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2B757B" w:rsidRPr="00B16F37" w14:paraId="7CAB295A" w14:textId="77777777" w:rsidTr="00E92450">
        <w:tc>
          <w:tcPr>
            <w:tcW w:w="851" w:type="dxa"/>
            <w:tcBorders>
              <w:bottom w:val="single" w:sz="8" w:space="0" w:color="auto"/>
            </w:tcBorders>
            <w:vAlign w:val="bottom"/>
          </w:tcPr>
          <w:p w14:paraId="2D04D9BA" w14:textId="77777777" w:rsidR="002B757B" w:rsidRPr="00B16F37" w:rsidRDefault="002B757B" w:rsidP="00892011">
            <w:pPr>
              <w:spacing w:after="120"/>
              <w:jc w:val="left"/>
            </w:pPr>
            <w:bookmarkStart w:id="0" w:name="_Hlk137651738"/>
            <w:bookmarkStart w:id="1" w:name="_Toc522023191"/>
            <w:r w:rsidRPr="00B16F37">
              <w:rPr>
                <w:noProof/>
              </w:rPr>
              <w:drawing>
                <wp:inline distT="0" distB="0" distL="0" distR="0" wp14:anchorId="54FB724E" wp14:editId="4D5CF17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2E217D41" w14:textId="77777777" w:rsidR="002B757B" w:rsidRPr="00B16F37" w:rsidRDefault="002B757B" w:rsidP="00892011">
            <w:pPr>
              <w:spacing w:after="120"/>
              <w:jc w:val="left"/>
            </w:pPr>
            <w:r w:rsidRPr="00B16F37">
              <w:rPr>
                <w:noProof/>
              </w:rPr>
              <w:drawing>
                <wp:inline distT="0" distB="0" distL="0" distR="0" wp14:anchorId="01A8B8AE" wp14:editId="40C1992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55CEE16E" w14:textId="41048DC9" w:rsidR="002B757B" w:rsidRPr="00B16F37" w:rsidRDefault="002B757B" w:rsidP="00361521">
            <w:pPr>
              <w:tabs>
                <w:tab w:val="clear" w:pos="567"/>
                <w:tab w:val="clear" w:pos="1134"/>
                <w:tab w:val="clear" w:pos="1701"/>
                <w:tab w:val="clear" w:pos="2268"/>
              </w:tabs>
              <w:spacing w:after="120"/>
              <w:ind w:left="36"/>
              <w:jc w:val="right"/>
              <w:rPr>
                <w:szCs w:val="22"/>
              </w:rPr>
            </w:pPr>
            <w:r w:rsidRPr="00B16F37">
              <w:rPr>
                <w:sz w:val="40"/>
                <w:szCs w:val="40"/>
              </w:rPr>
              <w:t>CBD</w:t>
            </w:r>
            <w:r w:rsidRPr="00B16F37">
              <w:rPr>
                <w:sz w:val="20"/>
                <w:szCs w:val="20"/>
              </w:rPr>
              <w:t>/COP/16/</w:t>
            </w:r>
            <w:r w:rsidR="003F2B45" w:rsidRPr="00B16F37">
              <w:rPr>
                <w:sz w:val="20"/>
                <w:szCs w:val="20"/>
              </w:rPr>
              <w:t>3</w:t>
            </w:r>
            <w:r w:rsidR="00825B54" w:rsidRPr="00B16F37">
              <w:rPr>
                <w:sz w:val="20"/>
                <w:szCs w:val="20"/>
              </w:rPr>
              <w:t>-</w:t>
            </w:r>
            <w:r w:rsidR="00825B54" w:rsidRPr="00B16F37">
              <w:rPr>
                <w:sz w:val="40"/>
                <w:szCs w:val="40"/>
              </w:rPr>
              <w:t>CBD</w:t>
            </w:r>
            <w:r w:rsidR="00825B54" w:rsidRPr="00B16F37">
              <w:rPr>
                <w:sz w:val="20"/>
                <w:szCs w:val="20"/>
              </w:rPr>
              <w:t>/CP/MOP/11/</w:t>
            </w:r>
            <w:r w:rsidR="00236445" w:rsidRPr="00B16F37">
              <w:rPr>
                <w:sz w:val="20"/>
                <w:szCs w:val="20"/>
              </w:rPr>
              <w:t>4-</w:t>
            </w:r>
            <w:r w:rsidR="00236445" w:rsidRPr="00B16F37">
              <w:rPr>
                <w:sz w:val="40"/>
                <w:szCs w:val="40"/>
              </w:rPr>
              <w:t>CBD</w:t>
            </w:r>
            <w:r w:rsidR="00236445" w:rsidRPr="00B16F37">
              <w:rPr>
                <w:sz w:val="20"/>
                <w:szCs w:val="20"/>
              </w:rPr>
              <w:t>/NP/MOP/5/4</w:t>
            </w:r>
          </w:p>
        </w:tc>
      </w:tr>
      <w:tr w:rsidR="002B757B" w:rsidRPr="00B16F37" w14:paraId="241A8FFC" w14:textId="77777777" w:rsidTr="00E92450">
        <w:tc>
          <w:tcPr>
            <w:tcW w:w="4545" w:type="dxa"/>
            <w:gridSpan w:val="3"/>
            <w:tcBorders>
              <w:top w:val="single" w:sz="8" w:space="0" w:color="auto"/>
              <w:bottom w:val="single" w:sz="12" w:space="0" w:color="auto"/>
            </w:tcBorders>
          </w:tcPr>
          <w:p w14:paraId="4D5E4D38" w14:textId="77777777" w:rsidR="002B757B" w:rsidRPr="00B16F37" w:rsidRDefault="002B757B" w:rsidP="00361521">
            <w:pPr>
              <w:pStyle w:val="Cornernotation"/>
              <w:suppressLineNumbers/>
              <w:suppressAutoHyphens/>
              <w:ind w:left="0" w:right="0" w:firstLine="0"/>
            </w:pPr>
            <w:r w:rsidRPr="00B16F37">
              <w:rPr>
                <w:b/>
                <w:bCs/>
                <w:noProof/>
              </w:rPr>
              <w:drawing>
                <wp:inline distT="0" distB="0" distL="0" distR="0" wp14:anchorId="5E1CE12E" wp14:editId="14F7849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945" w:type="dxa"/>
            <w:tcBorders>
              <w:top w:val="single" w:sz="8" w:space="0" w:color="auto"/>
              <w:bottom w:val="single" w:sz="12" w:space="0" w:color="auto"/>
            </w:tcBorders>
          </w:tcPr>
          <w:p w14:paraId="35C529FF" w14:textId="77777777" w:rsidR="002B757B" w:rsidRPr="00B16F37" w:rsidRDefault="002B757B" w:rsidP="006814E7">
            <w:pPr>
              <w:ind w:left="2584"/>
              <w:rPr>
                <w:sz w:val="22"/>
                <w:szCs w:val="22"/>
              </w:rPr>
            </w:pPr>
            <w:r w:rsidRPr="00B16F37">
              <w:rPr>
                <w:sz w:val="22"/>
                <w:szCs w:val="22"/>
              </w:rPr>
              <w:t>Distr.: General</w:t>
            </w:r>
          </w:p>
          <w:p w14:paraId="67E8EE81" w14:textId="341BA44C" w:rsidR="002B757B" w:rsidRPr="00B16F37" w:rsidRDefault="003F2B45" w:rsidP="006814E7">
            <w:pPr>
              <w:ind w:left="2584"/>
              <w:rPr>
                <w:sz w:val="22"/>
                <w:szCs w:val="22"/>
              </w:rPr>
            </w:pPr>
            <w:r w:rsidRPr="00B16F37">
              <w:rPr>
                <w:sz w:val="22"/>
                <w:szCs w:val="22"/>
              </w:rPr>
              <w:t>2 October</w:t>
            </w:r>
            <w:r w:rsidR="002B757B" w:rsidRPr="00B16F37">
              <w:rPr>
                <w:sz w:val="22"/>
                <w:szCs w:val="22"/>
              </w:rPr>
              <w:t xml:space="preserve"> 2024</w:t>
            </w:r>
          </w:p>
          <w:p w14:paraId="6E12C704" w14:textId="77777777" w:rsidR="002B757B" w:rsidRPr="00B16F37" w:rsidRDefault="002B757B" w:rsidP="006814E7">
            <w:pPr>
              <w:ind w:left="2584"/>
              <w:rPr>
                <w:sz w:val="22"/>
                <w:szCs w:val="22"/>
              </w:rPr>
            </w:pPr>
          </w:p>
          <w:p w14:paraId="6169E3D4" w14:textId="77777777" w:rsidR="002B757B" w:rsidRPr="00B16F37" w:rsidRDefault="002B757B" w:rsidP="006814E7">
            <w:pPr>
              <w:ind w:left="2584"/>
              <w:rPr>
                <w:sz w:val="22"/>
                <w:szCs w:val="22"/>
              </w:rPr>
            </w:pPr>
            <w:r w:rsidRPr="00B16F37">
              <w:rPr>
                <w:sz w:val="22"/>
                <w:szCs w:val="22"/>
              </w:rPr>
              <w:t>Original: English</w:t>
            </w:r>
          </w:p>
          <w:p w14:paraId="36563420" w14:textId="77777777" w:rsidR="002B757B" w:rsidRPr="00B16F37" w:rsidRDefault="002B757B" w:rsidP="006814E7"/>
        </w:tc>
      </w:tr>
    </w:tbl>
    <w:tbl>
      <w:tblPr>
        <w:tblStyle w:val="TableGrid"/>
        <w:tblW w:w="10490" w:type="dxa"/>
        <w:tblInd w:w="-284" w:type="dxa"/>
        <w:tblLayout w:type="fixed"/>
        <w:tblLook w:val="04A0" w:firstRow="1" w:lastRow="0" w:firstColumn="1" w:lastColumn="0" w:noHBand="0" w:noVBand="1"/>
      </w:tblPr>
      <w:tblGrid>
        <w:gridCol w:w="2978"/>
        <w:gridCol w:w="3543"/>
        <w:gridCol w:w="3969"/>
      </w:tblGrid>
      <w:tr w:rsidR="0015126A" w:rsidRPr="00B16F37" w14:paraId="50A21BD0" w14:textId="77777777" w:rsidTr="00361521">
        <w:tc>
          <w:tcPr>
            <w:tcW w:w="2978" w:type="dxa"/>
            <w:tcBorders>
              <w:left w:val="nil"/>
              <w:bottom w:val="nil"/>
              <w:right w:val="nil"/>
            </w:tcBorders>
          </w:tcPr>
          <w:p w14:paraId="553402F3" w14:textId="77777777" w:rsidR="00411CB7" w:rsidRPr="00B16F37" w:rsidRDefault="00411CB7" w:rsidP="00892011">
            <w:pPr>
              <w:pStyle w:val="AFCorNot12Bold"/>
              <w:rPr>
                <w:snapToGrid w:val="0"/>
              </w:rPr>
            </w:pPr>
            <w:r w:rsidRPr="00B16F37">
              <w:rPr>
                <w:snapToGrid w:val="0"/>
              </w:rPr>
              <w:t xml:space="preserve">Conference of the Parties </w:t>
            </w:r>
            <w:r w:rsidRPr="00B16F37">
              <w:rPr>
                <w:snapToGrid w:val="0"/>
              </w:rPr>
              <w:br/>
              <w:t>to the Convention on Biological Diversity</w:t>
            </w:r>
          </w:p>
          <w:p w14:paraId="4761F8B9" w14:textId="77777777" w:rsidR="00411CB7" w:rsidRPr="00B16F37" w:rsidRDefault="00411CB7" w:rsidP="00892011">
            <w:pPr>
              <w:pStyle w:val="AFCorNotBold"/>
              <w:rPr>
                <w:snapToGrid w:val="0"/>
                <w:sz w:val="22"/>
                <w:szCs w:val="22"/>
              </w:rPr>
            </w:pPr>
            <w:r w:rsidRPr="00B16F37">
              <w:rPr>
                <w:snapToGrid w:val="0"/>
                <w:sz w:val="22"/>
                <w:szCs w:val="22"/>
              </w:rPr>
              <w:t xml:space="preserve">Sixteenth meeting </w:t>
            </w:r>
          </w:p>
          <w:p w14:paraId="148F9FE2" w14:textId="1D816E5C" w:rsidR="00411CB7" w:rsidRPr="00B16F37" w:rsidRDefault="00411CB7" w:rsidP="00892011">
            <w:pPr>
              <w:suppressLineNumbers/>
              <w:tabs>
                <w:tab w:val="left" w:pos="1814"/>
                <w:tab w:val="left" w:pos="2948"/>
                <w:tab w:val="left" w:pos="3515"/>
                <w:tab w:val="left" w:pos="4014"/>
              </w:tabs>
              <w:suppressAutoHyphens/>
              <w:ind w:right="176" w:firstLine="9"/>
              <w:jc w:val="left"/>
              <w:rPr>
                <w:sz w:val="22"/>
                <w:szCs w:val="22"/>
              </w:rPr>
            </w:pPr>
            <w:r w:rsidRPr="00B16F37">
              <w:rPr>
                <w:sz w:val="22"/>
                <w:szCs w:val="22"/>
              </w:rPr>
              <w:t>Cali, Colombia, 21 October–1</w:t>
            </w:r>
            <w:r w:rsidR="00025BB9" w:rsidRPr="00B16F37">
              <w:rPr>
                <w:sz w:val="22"/>
                <w:szCs w:val="22"/>
              </w:rPr>
              <w:t> </w:t>
            </w:r>
            <w:r w:rsidRPr="00B16F37">
              <w:rPr>
                <w:sz w:val="22"/>
                <w:szCs w:val="22"/>
              </w:rPr>
              <w:t>November 2024</w:t>
            </w:r>
          </w:p>
          <w:p w14:paraId="64F5704D" w14:textId="71583578" w:rsidR="0015126A" w:rsidRPr="00B16F37" w:rsidRDefault="00411CB7" w:rsidP="00B510B4">
            <w:pPr>
              <w:pStyle w:val="CBDNormal"/>
              <w:jc w:val="left"/>
              <w:rPr>
                <w:sz w:val="22"/>
                <w:szCs w:val="22"/>
              </w:rPr>
            </w:pPr>
            <w:r w:rsidRPr="00B16F37">
              <w:rPr>
                <w:snapToGrid w:val="0"/>
                <w:sz w:val="22"/>
                <w:szCs w:val="22"/>
              </w:rPr>
              <w:t>Item 7 of the provisional agenda</w:t>
            </w:r>
            <w:bookmarkEnd w:id="0"/>
            <w:bookmarkEnd w:id="1"/>
            <w:r w:rsidR="0015126A" w:rsidRPr="00B16F37">
              <w:rPr>
                <w:rStyle w:val="FootnoteReference"/>
                <w:sz w:val="22"/>
                <w:szCs w:val="22"/>
              </w:rPr>
              <w:footnoteReference w:customMarkFollows="1" w:id="2"/>
              <w:t>*</w:t>
            </w:r>
          </w:p>
          <w:p w14:paraId="36E21396" w14:textId="409EB29C" w:rsidR="0015126A" w:rsidRPr="00B16F37" w:rsidRDefault="0015126A" w:rsidP="00B510B4">
            <w:pPr>
              <w:pStyle w:val="CBDNormal"/>
              <w:jc w:val="left"/>
              <w:rPr>
                <w:snapToGrid w:val="0"/>
              </w:rPr>
            </w:pPr>
            <w:r w:rsidRPr="00B16F37">
              <w:rPr>
                <w:sz w:val="22"/>
                <w:szCs w:val="22"/>
              </w:rPr>
              <w:t>Administration of the Convention and budget for the trust funds</w:t>
            </w:r>
          </w:p>
        </w:tc>
        <w:tc>
          <w:tcPr>
            <w:tcW w:w="3543" w:type="dxa"/>
            <w:tcBorders>
              <w:left w:val="nil"/>
              <w:bottom w:val="nil"/>
              <w:right w:val="nil"/>
            </w:tcBorders>
          </w:tcPr>
          <w:p w14:paraId="1A1644A0" w14:textId="77777777" w:rsidR="0015126A" w:rsidRPr="00B16F37" w:rsidRDefault="0015126A" w:rsidP="00892011">
            <w:pPr>
              <w:pStyle w:val="AFCorNot12Bold"/>
              <w:rPr>
                <w:rFonts w:asciiTheme="majorBidi" w:hAnsiTheme="majorBidi" w:cstheme="majorBidi"/>
                <w:b w:val="0"/>
                <w:bCs/>
                <w:snapToGrid w:val="0"/>
                <w:kern w:val="22"/>
              </w:rPr>
            </w:pPr>
            <w:r w:rsidRPr="00B16F37">
              <w:rPr>
                <w:snapToGrid w:val="0"/>
              </w:rPr>
              <w:t>Conference</w:t>
            </w:r>
            <w:r w:rsidRPr="00B16F37">
              <w:rPr>
                <w:rFonts w:asciiTheme="majorBidi" w:hAnsiTheme="majorBidi" w:cstheme="majorBidi"/>
                <w:bCs/>
                <w:snapToGrid w:val="0"/>
                <w:kern w:val="22"/>
              </w:rPr>
              <w:t xml:space="preserve"> of the Parties </w:t>
            </w:r>
            <w:r w:rsidRPr="00B16F37">
              <w:rPr>
                <w:rFonts w:asciiTheme="majorBidi" w:hAnsiTheme="majorBidi" w:cstheme="majorBidi"/>
                <w:bCs/>
                <w:snapToGrid w:val="0"/>
                <w:kern w:val="22"/>
              </w:rPr>
              <w:br/>
              <w:t>to the Convention on Biological Diversity serving as the meeting of the Parties to the Cartagena Protocol on Biosafety</w:t>
            </w:r>
          </w:p>
          <w:p w14:paraId="63536D83" w14:textId="77777777" w:rsidR="0015126A" w:rsidRPr="00B16F37" w:rsidRDefault="0015126A" w:rsidP="00892011">
            <w:pPr>
              <w:pStyle w:val="AFCorNotBold"/>
              <w:rPr>
                <w:rFonts w:asciiTheme="majorBidi" w:hAnsiTheme="majorBidi" w:cstheme="majorBidi"/>
                <w:b w:val="0"/>
                <w:bCs/>
                <w:snapToGrid w:val="0"/>
                <w:kern w:val="22"/>
                <w:sz w:val="22"/>
                <w:szCs w:val="22"/>
                <w:lang w:eastAsia="nb-NO"/>
              </w:rPr>
            </w:pPr>
            <w:r w:rsidRPr="00B16F37">
              <w:rPr>
                <w:snapToGrid w:val="0"/>
                <w:sz w:val="22"/>
                <w:szCs w:val="22"/>
              </w:rPr>
              <w:t>Eleventh</w:t>
            </w:r>
            <w:r w:rsidRPr="00B16F37">
              <w:rPr>
                <w:rFonts w:asciiTheme="majorBidi" w:hAnsiTheme="majorBidi" w:cstheme="majorBidi"/>
                <w:snapToGrid w:val="0"/>
                <w:kern w:val="22"/>
                <w:sz w:val="22"/>
                <w:szCs w:val="22"/>
                <w:lang w:eastAsia="nb-NO"/>
              </w:rPr>
              <w:t xml:space="preserve"> meeting</w:t>
            </w:r>
          </w:p>
          <w:p w14:paraId="129D2E0F" w14:textId="2336ECF1" w:rsidR="0015126A" w:rsidRPr="00B16F37" w:rsidRDefault="0015126A" w:rsidP="00B510B4">
            <w:pPr>
              <w:pStyle w:val="CBDNormal"/>
              <w:jc w:val="left"/>
              <w:rPr>
                <w:sz w:val="22"/>
                <w:szCs w:val="22"/>
              </w:rPr>
            </w:pPr>
            <w:r w:rsidRPr="00B16F37">
              <w:rPr>
                <w:sz w:val="22"/>
                <w:szCs w:val="22"/>
              </w:rPr>
              <w:t>Cali, Colombia, 21 October–1 November 2024</w:t>
            </w:r>
          </w:p>
          <w:p w14:paraId="2F287522" w14:textId="0D2CA8AE" w:rsidR="0015126A" w:rsidRPr="00B16F37" w:rsidRDefault="0015126A" w:rsidP="00B510B4">
            <w:pPr>
              <w:pStyle w:val="CBDNormal"/>
              <w:jc w:val="left"/>
              <w:rPr>
                <w:rFonts w:asciiTheme="majorBidi" w:hAnsiTheme="majorBidi" w:cstheme="majorBidi"/>
                <w:snapToGrid w:val="0"/>
                <w:kern w:val="22"/>
                <w:sz w:val="22"/>
                <w:szCs w:val="22"/>
              </w:rPr>
            </w:pPr>
            <w:r w:rsidRPr="00B16F37">
              <w:rPr>
                <w:sz w:val="22"/>
                <w:szCs w:val="22"/>
              </w:rPr>
              <w:t>Item 6 of the provisional agenda</w:t>
            </w:r>
            <w:r w:rsidR="00A16798" w:rsidRPr="00B16F37">
              <w:rPr>
                <w:rStyle w:val="FootnoteReference"/>
                <w:sz w:val="22"/>
                <w:szCs w:val="22"/>
              </w:rPr>
              <w:footnoteReference w:customMarkFollows="1" w:id="3"/>
              <w:t>**</w:t>
            </w:r>
          </w:p>
          <w:p w14:paraId="32FCA568" w14:textId="0A3300C7" w:rsidR="0015126A" w:rsidRPr="00B16F37" w:rsidRDefault="0015126A" w:rsidP="00B510B4">
            <w:pPr>
              <w:pStyle w:val="CBDNormal"/>
              <w:jc w:val="left"/>
              <w:rPr>
                <w:rFonts w:asciiTheme="majorBidi" w:hAnsiTheme="majorBidi" w:cstheme="majorBidi"/>
                <w:b/>
                <w:bCs/>
                <w:snapToGrid w:val="0"/>
                <w:kern w:val="22"/>
              </w:rPr>
            </w:pPr>
            <w:r w:rsidRPr="00B16F37">
              <w:rPr>
                <w:rFonts w:asciiTheme="majorBidi" w:hAnsiTheme="majorBidi" w:cstheme="majorBidi"/>
                <w:snapToGrid w:val="0"/>
                <w:kern w:val="22"/>
                <w:sz w:val="22"/>
                <w:szCs w:val="22"/>
              </w:rPr>
              <w:t>Administration of the Protocol and budget for the trust funds</w:t>
            </w:r>
          </w:p>
        </w:tc>
        <w:tc>
          <w:tcPr>
            <w:tcW w:w="3969" w:type="dxa"/>
            <w:tcBorders>
              <w:left w:val="nil"/>
              <w:bottom w:val="nil"/>
              <w:right w:val="nil"/>
            </w:tcBorders>
          </w:tcPr>
          <w:p w14:paraId="216243DA" w14:textId="77777777" w:rsidR="0015126A" w:rsidRPr="00B16F37" w:rsidRDefault="0015126A" w:rsidP="00892011">
            <w:pPr>
              <w:pStyle w:val="AFCorNot12Bold"/>
              <w:rPr>
                <w:rFonts w:asciiTheme="majorBidi" w:hAnsiTheme="majorBidi" w:cstheme="majorBidi"/>
                <w:b w:val="0"/>
                <w:bCs/>
                <w:snapToGrid w:val="0"/>
                <w:kern w:val="22"/>
              </w:rPr>
            </w:pPr>
            <w:r w:rsidRPr="00B16F37">
              <w:rPr>
                <w:snapToGrid w:val="0"/>
              </w:rPr>
              <w:t>Conference</w:t>
            </w:r>
            <w:r w:rsidRPr="00B16F37">
              <w:rPr>
                <w:rFonts w:asciiTheme="majorBidi" w:hAnsiTheme="majorBidi" w:cstheme="majorBidi"/>
                <w:bCs/>
                <w:snapToGrid w:val="0"/>
                <w:kern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51D1B718" w14:textId="77777777" w:rsidR="0015126A" w:rsidRPr="00B16F37" w:rsidRDefault="0015126A" w:rsidP="00892011">
            <w:pPr>
              <w:pStyle w:val="AFCorNotBold"/>
              <w:rPr>
                <w:rFonts w:asciiTheme="majorBidi" w:hAnsiTheme="majorBidi" w:cstheme="majorBidi"/>
                <w:snapToGrid w:val="0"/>
                <w:kern w:val="22"/>
                <w:sz w:val="22"/>
                <w:szCs w:val="22"/>
              </w:rPr>
            </w:pPr>
            <w:r w:rsidRPr="00B16F37">
              <w:rPr>
                <w:rFonts w:asciiTheme="majorBidi" w:hAnsiTheme="majorBidi" w:cstheme="majorBidi"/>
                <w:snapToGrid w:val="0"/>
                <w:kern w:val="22"/>
                <w:sz w:val="22"/>
                <w:szCs w:val="22"/>
              </w:rPr>
              <w:t xml:space="preserve">Fifth meeting </w:t>
            </w:r>
          </w:p>
          <w:p w14:paraId="7569F6B2" w14:textId="054FC77F" w:rsidR="0015126A" w:rsidRPr="00B16F37" w:rsidRDefault="0015126A" w:rsidP="00B510B4">
            <w:pPr>
              <w:pStyle w:val="CBDNormal"/>
              <w:jc w:val="left"/>
              <w:rPr>
                <w:sz w:val="22"/>
                <w:szCs w:val="22"/>
              </w:rPr>
            </w:pPr>
            <w:r w:rsidRPr="00B16F37">
              <w:rPr>
                <w:sz w:val="22"/>
                <w:szCs w:val="22"/>
              </w:rPr>
              <w:t>Cali, Colombia, 21 October–1 November 2024</w:t>
            </w:r>
          </w:p>
          <w:p w14:paraId="57746601" w14:textId="60A51406" w:rsidR="0015126A" w:rsidRPr="00B16F37" w:rsidRDefault="0015126A" w:rsidP="00B510B4">
            <w:pPr>
              <w:pStyle w:val="CBDNormal"/>
              <w:jc w:val="left"/>
              <w:rPr>
                <w:sz w:val="22"/>
                <w:szCs w:val="22"/>
                <w:vertAlign w:val="superscript"/>
              </w:rPr>
            </w:pPr>
            <w:r w:rsidRPr="00B16F37">
              <w:rPr>
                <w:sz w:val="22"/>
                <w:szCs w:val="22"/>
              </w:rPr>
              <w:t>Item 6 of the provisional agenda</w:t>
            </w:r>
            <w:r w:rsidRPr="00B16F37">
              <w:rPr>
                <w:rStyle w:val="FootnoteReference"/>
                <w:sz w:val="22"/>
                <w:szCs w:val="22"/>
              </w:rPr>
              <w:footnoteReference w:customMarkFollows="1" w:id="4"/>
              <w:t>***</w:t>
            </w:r>
          </w:p>
          <w:p w14:paraId="7D2A08D7" w14:textId="345D9C3B" w:rsidR="0015126A" w:rsidRPr="00B16F37" w:rsidRDefault="0015126A" w:rsidP="00B510B4">
            <w:pPr>
              <w:pStyle w:val="CBDNormal"/>
              <w:jc w:val="left"/>
              <w:rPr>
                <w:rFonts w:asciiTheme="majorBidi" w:hAnsiTheme="majorBidi" w:cstheme="majorBidi"/>
                <w:b/>
                <w:bCs/>
                <w:snapToGrid w:val="0"/>
                <w:kern w:val="22"/>
              </w:rPr>
            </w:pPr>
            <w:r w:rsidRPr="00B16F37">
              <w:rPr>
                <w:rFonts w:asciiTheme="majorBidi" w:hAnsiTheme="majorBidi" w:cstheme="majorBidi"/>
                <w:snapToGrid w:val="0"/>
                <w:kern w:val="22"/>
                <w:sz w:val="22"/>
                <w:szCs w:val="22"/>
              </w:rPr>
              <w:t>Administration of the Convention and budget for the trust funds</w:t>
            </w:r>
          </w:p>
        </w:tc>
      </w:tr>
    </w:tbl>
    <w:p w14:paraId="03687E5E" w14:textId="30606E8B" w:rsidR="0015126A" w:rsidRPr="00B16F37" w:rsidRDefault="0015126A">
      <w:pPr>
        <w:pStyle w:val="CBDTitle"/>
      </w:pPr>
      <w:r w:rsidRPr="00B16F37">
        <w:t>Administration of the Convention and its Protocols for the biennium 2023–2024</w:t>
      </w:r>
    </w:p>
    <w:p w14:paraId="0B2FE69D" w14:textId="30E4EC32" w:rsidR="00324861" w:rsidRPr="00B16F37" w:rsidRDefault="00324861" w:rsidP="00324861">
      <w:pPr>
        <w:pStyle w:val="CBDSubTitle"/>
      </w:pPr>
      <w:r w:rsidRPr="00B16F37">
        <w:t>Note by the Secretariat</w:t>
      </w:r>
    </w:p>
    <w:p w14:paraId="6C09E3F3" w14:textId="0D324EA7" w:rsidR="0015126A" w:rsidRPr="00B16F37" w:rsidRDefault="0015126A" w:rsidP="00361521">
      <w:pPr>
        <w:pStyle w:val="CBDH1"/>
      </w:pPr>
      <w:r w:rsidRPr="00B16F37">
        <w:t>I.</w:t>
      </w:r>
      <w:r w:rsidRPr="00B16F37">
        <w:tab/>
        <w:t>Introduction</w:t>
      </w:r>
    </w:p>
    <w:p w14:paraId="3C68E7A0" w14:textId="11866B0A" w:rsidR="0015126A" w:rsidRPr="00B16F37" w:rsidRDefault="0015126A" w:rsidP="00361521">
      <w:pPr>
        <w:pStyle w:val="CBDNormalNumber"/>
      </w:pPr>
      <w:r w:rsidRPr="00B16F37">
        <w:t xml:space="preserve">In its decision 15/34, the Conference of the Parties to the Convention on Biological Diversity requested the Executive Secretary to report to the Conference of the Parties to the Convention, the Conference of the Parties serving as the meeting of the Parties to the Cartagena Protocol on Biosafety and the Conference of the Parties serving as the meeting of the Parties to the Nagoya Protocol on Access to Genetic Resources and the Fair and Equitable Sharing of Benefits Arising from their Utilization at their sixteenth, eleventh and fifth meetings, respectively, on income and budget performance, unspent balances and the status of surplus and carry-overs, as well as any adjustments made to the budget for the biennium 2023–2024. </w:t>
      </w:r>
    </w:p>
    <w:p w14:paraId="6D94342D" w14:textId="5E5A281E" w:rsidR="0015126A" w:rsidRPr="00B16F37" w:rsidRDefault="0015126A" w:rsidP="00361521">
      <w:pPr>
        <w:pStyle w:val="CBDNormalNumber"/>
      </w:pPr>
      <w:r w:rsidRPr="00B16F37">
        <w:t>The present document provides detail</w:t>
      </w:r>
      <w:r w:rsidR="002614F6" w:rsidRPr="00B16F37">
        <w:t>ed</w:t>
      </w:r>
      <w:r w:rsidRPr="00B16F37">
        <w:t xml:space="preserve"> </w:t>
      </w:r>
      <w:r w:rsidR="002614F6" w:rsidRPr="00B16F37">
        <w:t xml:space="preserve">information </w:t>
      </w:r>
      <w:r w:rsidRPr="00B16F37">
        <w:t>on the financial and administrative performance of the Secretariat for the biennium 2023</w:t>
      </w:r>
      <w:r w:rsidRPr="00B16F37">
        <w:rPr>
          <w:kern w:val="22"/>
        </w:rPr>
        <w:t>–</w:t>
      </w:r>
      <w:r w:rsidRPr="00B16F37">
        <w:t xml:space="preserve">2024 </w:t>
      </w:r>
      <w:r w:rsidR="00942A5B" w:rsidRPr="00B16F37">
        <w:t>up to</w:t>
      </w:r>
      <w:r w:rsidR="002702DF" w:rsidRPr="00B16F37">
        <w:t>, unless otherwise indicated,</w:t>
      </w:r>
      <w:r w:rsidR="00942A5B" w:rsidRPr="00B16F37">
        <w:t xml:space="preserve"> </w:t>
      </w:r>
      <w:r w:rsidRPr="00B16F37">
        <w:t>31</w:t>
      </w:r>
      <w:r w:rsidR="002702DF" w:rsidRPr="00B16F37">
        <w:t> </w:t>
      </w:r>
      <w:r w:rsidRPr="00B16F37">
        <w:t>July 2024.</w:t>
      </w:r>
      <w:r w:rsidRPr="00B16F37">
        <w:rPr>
          <w:kern w:val="22"/>
          <w:lang w:eastAsia="x-none"/>
        </w:rPr>
        <w:t xml:space="preserve"> </w:t>
      </w:r>
      <w:r w:rsidRPr="00B16F37">
        <w:rPr>
          <w:kern w:val="22"/>
        </w:rPr>
        <w:t>Further</w:t>
      </w:r>
      <w:r w:rsidRPr="00B16F37">
        <w:rPr>
          <w:rFonts w:eastAsia="Malgun Gothic"/>
          <w:color w:val="000000" w:themeColor="text1"/>
          <w:kern w:val="22"/>
        </w:rPr>
        <w:t xml:space="preserve"> information on the status of contributions to the three general trust funds (General Trust Fund for the Convention, General Trust Fund for the Core Programme Budget for the Cartagena Protocol and General Trust Fund for the Core Programme Budget for the Nagoya Protocol), the Special Voluntary Trust Fund for Additional Voluntary Contributions in Support of Approved Activities under the Convention, the Special Trust Fund for Additional Voluntary Contributions to Facilitate the Participation of Parties in the Processes under the Convention and the Special Voluntary Trust Fund for Facilitating the Participation of Indigenous Peoples and Local Communities in the Processes under the Convention as at 30 September 2024, as well as the financial statements for 2023, is available on the Secretariat’s website</w:t>
      </w:r>
      <w:r w:rsidRPr="00B16F37">
        <w:t>.</w:t>
      </w:r>
      <w:r w:rsidR="00892011" w:rsidRPr="00B16F37">
        <w:rPr>
          <w:rStyle w:val="FootnoteReference"/>
        </w:rPr>
        <w:footnoteReference w:id="5"/>
      </w:r>
    </w:p>
    <w:p w14:paraId="58D4C218" w14:textId="43C1FFC2" w:rsidR="0015126A" w:rsidRPr="00B16F37" w:rsidRDefault="0015126A" w:rsidP="00361521">
      <w:pPr>
        <w:pStyle w:val="CBDH1"/>
      </w:pPr>
      <w:r w:rsidRPr="00B16F37">
        <w:lastRenderedPageBreak/>
        <w:t>II.</w:t>
      </w:r>
      <w:r w:rsidRPr="00B16F37">
        <w:tab/>
        <w:t>Income and financial performance for the biennium 2023</w:t>
      </w:r>
      <w:r w:rsidRPr="00B16F37">
        <w:rPr>
          <w:kern w:val="22"/>
        </w:rPr>
        <w:t>–</w:t>
      </w:r>
      <w:r w:rsidRPr="00B16F37">
        <w:t>2024</w:t>
      </w:r>
    </w:p>
    <w:p w14:paraId="75C92C22" w14:textId="0DBAFB3E" w:rsidR="0015126A" w:rsidRPr="00B16F37" w:rsidRDefault="0015126A" w:rsidP="00361521">
      <w:pPr>
        <w:pStyle w:val="CBDH2"/>
        <w:numPr>
          <w:ilvl w:val="0"/>
          <w:numId w:val="0"/>
        </w:numPr>
        <w:ind w:left="567" w:hanging="567"/>
        <w:outlineLvl w:val="1"/>
      </w:pPr>
      <w:r w:rsidRPr="00B16F37">
        <w:t>A.</w:t>
      </w:r>
      <w:r w:rsidRPr="00B16F37">
        <w:tab/>
        <w:t>Status of assessed contributions</w:t>
      </w:r>
    </w:p>
    <w:p w14:paraId="45E06CC3" w14:textId="7DEF5C49" w:rsidR="0015126A" w:rsidRPr="00B16F37" w:rsidRDefault="0015126A" w:rsidP="00361521">
      <w:pPr>
        <w:pStyle w:val="CBDNormalNumber"/>
      </w:pPr>
      <w:r w:rsidRPr="00B16F37">
        <w:t>In its decision 15/34, the Conference of the Parties adopted an integrated programme of work and budget for the Convention and its Protocols. In the same decision, it decided to share the costs for secretariat services among the Convention, the Cartagena Protocol and the Nagoya Protocol on a ratio of 72 to 15 to 13, respectively, for the biennium 2023</w:t>
      </w:r>
      <w:r w:rsidRPr="00B16F37">
        <w:rPr>
          <w:kern w:val="22"/>
        </w:rPr>
        <w:t>–</w:t>
      </w:r>
      <w:r w:rsidRPr="00B16F37">
        <w:t>2024. The integrated budget was also adopted by the Conference of the Parties serving as the meeting of the Parties to the Cartagena Protocol on Biosafety and the Conference of the Parties serving as the meeting of the Parties to the Nagoya Protocol in decisions CP-10/14 and NP-4/12</w:t>
      </w:r>
      <w:r w:rsidR="00743623" w:rsidRPr="00B16F37">
        <w:t>, respectively</w:t>
      </w:r>
      <w:r w:rsidRPr="00B16F37">
        <w:t>.</w:t>
      </w:r>
    </w:p>
    <w:p w14:paraId="3BD4F738" w14:textId="27E83A5B" w:rsidR="0015126A" w:rsidRPr="00B16F37" w:rsidRDefault="0015126A" w:rsidP="00361521">
      <w:pPr>
        <w:pStyle w:val="CBDNormalNumber"/>
        <w:rPr>
          <w:b/>
          <w:bCs/>
          <w:lang w:eastAsia="en-CA"/>
        </w:rPr>
      </w:pPr>
      <w:r w:rsidRPr="00B16F37">
        <w:t xml:space="preserve">The </w:t>
      </w:r>
      <w:r w:rsidRPr="00B16F37">
        <w:rPr>
          <w:kern w:val="22"/>
        </w:rPr>
        <w:t>integrated</w:t>
      </w:r>
      <w:r w:rsidRPr="00B16F37">
        <w:t xml:space="preserve"> budget of $19,931,600 and $21,714,500 was approved for 2023 and 2024, respectively, amounting to </w:t>
      </w:r>
      <w:r w:rsidR="004503B7" w:rsidRPr="00B16F37">
        <w:t xml:space="preserve">a total of </w:t>
      </w:r>
      <w:r w:rsidRPr="00B16F37">
        <w:t>$41,646,100 for the biennium, including the programme support costs of 13 per cent. The individual budgets for the Convention and the Protocols, as approved by the respective governing bodies, are shown in table 1.</w:t>
      </w:r>
    </w:p>
    <w:p w14:paraId="6646C215" w14:textId="6FAE871D" w:rsidR="0015126A" w:rsidRPr="00B16F37" w:rsidRDefault="0015126A" w:rsidP="000E301F">
      <w:pPr>
        <w:pStyle w:val="CBDTableTitle"/>
      </w:pPr>
      <w:r w:rsidRPr="00B16F37">
        <w:rPr>
          <w:b w:val="0"/>
          <w:bCs/>
        </w:rPr>
        <w:t>Table 1</w:t>
      </w:r>
      <w:r w:rsidRPr="00B16F37">
        <w:t xml:space="preserve"> </w:t>
      </w:r>
      <w:r w:rsidRPr="00B16F37">
        <w:br/>
        <w:t>Summary of resources approved by trust fund, 2023–2024</w:t>
      </w:r>
    </w:p>
    <w:p w14:paraId="66E92596" w14:textId="53335C86" w:rsidR="0015126A" w:rsidRPr="00B16F37" w:rsidRDefault="0015126A" w:rsidP="00361521">
      <w:pPr>
        <w:pStyle w:val="CBDTableTitle"/>
        <w:spacing w:before="0"/>
        <w:rPr>
          <w:b w:val="0"/>
          <w:bCs/>
          <w:sz w:val="20"/>
          <w:szCs w:val="20"/>
          <w:lang w:eastAsia="en-CA"/>
        </w:rPr>
      </w:pPr>
      <w:r w:rsidRPr="00B16F37">
        <w:rPr>
          <w:b w:val="0"/>
          <w:bCs/>
          <w:color w:val="000000" w:themeColor="text1"/>
          <w:sz w:val="18"/>
          <w:szCs w:val="18"/>
          <w:lang w:eastAsia="zh-CN"/>
        </w:rPr>
        <w:t>(United States dollars)</w:t>
      </w:r>
    </w:p>
    <w:tbl>
      <w:tblPr>
        <w:tblW w:w="8647" w:type="dxa"/>
        <w:jc w:val="center"/>
        <w:tblLook w:val="04A0" w:firstRow="1" w:lastRow="0" w:firstColumn="1" w:lastColumn="0" w:noHBand="0" w:noVBand="1"/>
      </w:tblPr>
      <w:tblGrid>
        <w:gridCol w:w="3854"/>
        <w:gridCol w:w="1527"/>
        <w:gridCol w:w="1527"/>
        <w:gridCol w:w="1739"/>
      </w:tblGrid>
      <w:tr w:rsidR="0015126A" w:rsidRPr="00B16F37" w14:paraId="64F73087" w14:textId="77777777" w:rsidTr="00361521">
        <w:trPr>
          <w:trHeight w:val="433"/>
          <w:jc w:val="center"/>
        </w:trPr>
        <w:tc>
          <w:tcPr>
            <w:tcW w:w="3854" w:type="dxa"/>
            <w:vMerge w:val="restart"/>
            <w:tcBorders>
              <w:top w:val="single" w:sz="4" w:space="0" w:color="auto"/>
              <w:left w:val="nil"/>
              <w:bottom w:val="single" w:sz="4" w:space="0" w:color="auto"/>
              <w:right w:val="nil"/>
            </w:tcBorders>
            <w:shd w:val="clear" w:color="auto" w:fill="auto"/>
            <w:noWrap/>
            <w:vAlign w:val="bottom"/>
            <w:hideMark/>
          </w:tcPr>
          <w:p w14:paraId="65C39135" w14:textId="4ADFE5EA" w:rsidR="0015126A" w:rsidRPr="00B16F37" w:rsidRDefault="0015126A" w:rsidP="00361521">
            <w:pPr>
              <w:keepNext/>
              <w:keepLines/>
              <w:ind w:left="32"/>
              <w:jc w:val="left"/>
              <w:rPr>
                <w:i/>
                <w:iCs/>
                <w:color w:val="000000"/>
                <w:sz w:val="18"/>
                <w:szCs w:val="18"/>
                <w:lang w:eastAsia="zh-CN"/>
              </w:rPr>
            </w:pPr>
            <w:r w:rsidRPr="00B16F37">
              <w:rPr>
                <w:i/>
                <w:iCs/>
                <w:color w:val="000000" w:themeColor="text1"/>
                <w:sz w:val="18"/>
                <w:szCs w:val="18"/>
                <w:lang w:eastAsia="zh-CN"/>
              </w:rPr>
              <w:t>Trust fund</w:t>
            </w:r>
          </w:p>
        </w:tc>
        <w:tc>
          <w:tcPr>
            <w:tcW w:w="1527" w:type="dxa"/>
            <w:vMerge w:val="restart"/>
            <w:tcBorders>
              <w:top w:val="single" w:sz="4" w:space="0" w:color="auto"/>
              <w:left w:val="nil"/>
              <w:bottom w:val="single" w:sz="4" w:space="0" w:color="auto"/>
              <w:right w:val="nil"/>
            </w:tcBorders>
            <w:shd w:val="clear" w:color="auto" w:fill="auto"/>
            <w:vAlign w:val="bottom"/>
            <w:hideMark/>
          </w:tcPr>
          <w:p w14:paraId="1AA69A43" w14:textId="0A840F1D" w:rsidR="0015126A" w:rsidRPr="00B16F37" w:rsidRDefault="0015126A" w:rsidP="00361521">
            <w:pPr>
              <w:keepNext/>
              <w:keepLines/>
              <w:ind w:left="32"/>
              <w:jc w:val="right"/>
              <w:rPr>
                <w:i/>
                <w:iCs/>
                <w:color w:val="000000"/>
                <w:sz w:val="18"/>
                <w:szCs w:val="18"/>
                <w:lang w:eastAsia="zh-CN"/>
              </w:rPr>
            </w:pPr>
            <w:r w:rsidRPr="00B16F37">
              <w:rPr>
                <w:i/>
                <w:iCs/>
                <w:color w:val="000000" w:themeColor="text1"/>
                <w:sz w:val="18"/>
                <w:szCs w:val="18"/>
                <w:lang w:eastAsia="zh-CN"/>
              </w:rPr>
              <w:t>Approved budget for 2023</w:t>
            </w:r>
          </w:p>
        </w:tc>
        <w:tc>
          <w:tcPr>
            <w:tcW w:w="1527" w:type="dxa"/>
            <w:vMerge w:val="restart"/>
            <w:tcBorders>
              <w:top w:val="single" w:sz="4" w:space="0" w:color="auto"/>
              <w:left w:val="nil"/>
              <w:bottom w:val="single" w:sz="4" w:space="0" w:color="auto"/>
              <w:right w:val="nil"/>
            </w:tcBorders>
            <w:shd w:val="clear" w:color="auto" w:fill="auto"/>
            <w:vAlign w:val="bottom"/>
            <w:hideMark/>
          </w:tcPr>
          <w:p w14:paraId="0478C76C" w14:textId="07447B7E" w:rsidR="0015126A" w:rsidRPr="00B16F37" w:rsidRDefault="0015126A" w:rsidP="00361521">
            <w:pPr>
              <w:keepNext/>
              <w:keepLines/>
              <w:ind w:left="32"/>
              <w:jc w:val="right"/>
              <w:rPr>
                <w:i/>
                <w:iCs/>
                <w:color w:val="000000"/>
                <w:sz w:val="18"/>
                <w:szCs w:val="18"/>
                <w:lang w:eastAsia="zh-CN"/>
              </w:rPr>
            </w:pPr>
            <w:r w:rsidRPr="00B16F37">
              <w:rPr>
                <w:i/>
                <w:iCs/>
                <w:color w:val="000000" w:themeColor="text1"/>
                <w:sz w:val="18"/>
                <w:szCs w:val="18"/>
                <w:lang w:eastAsia="zh-CN"/>
              </w:rPr>
              <w:t>Approved budget for 2024</w:t>
            </w:r>
          </w:p>
        </w:tc>
        <w:tc>
          <w:tcPr>
            <w:tcW w:w="1739" w:type="dxa"/>
            <w:vMerge w:val="restart"/>
            <w:tcBorders>
              <w:top w:val="single" w:sz="4" w:space="0" w:color="auto"/>
              <w:left w:val="nil"/>
              <w:bottom w:val="single" w:sz="4" w:space="0" w:color="auto"/>
              <w:right w:val="nil"/>
            </w:tcBorders>
            <w:shd w:val="clear" w:color="auto" w:fill="auto"/>
            <w:vAlign w:val="bottom"/>
            <w:hideMark/>
          </w:tcPr>
          <w:p w14:paraId="28872DDD" w14:textId="36345521" w:rsidR="0015126A" w:rsidRPr="00B16F37" w:rsidRDefault="0015126A" w:rsidP="00361521">
            <w:pPr>
              <w:keepNext/>
              <w:keepLines/>
              <w:ind w:left="32"/>
              <w:jc w:val="right"/>
              <w:rPr>
                <w:i/>
                <w:iCs/>
                <w:color w:val="000000"/>
                <w:sz w:val="18"/>
                <w:szCs w:val="18"/>
                <w:lang w:eastAsia="zh-CN"/>
              </w:rPr>
            </w:pPr>
            <w:r w:rsidRPr="00B16F37">
              <w:rPr>
                <w:i/>
                <w:iCs/>
                <w:color w:val="000000" w:themeColor="text1"/>
                <w:sz w:val="18"/>
                <w:szCs w:val="18"/>
                <w:lang w:eastAsia="zh-CN"/>
              </w:rPr>
              <w:t>Total approved budget for the biennium 2023–2024</w:t>
            </w:r>
          </w:p>
        </w:tc>
      </w:tr>
      <w:tr w:rsidR="0015126A" w:rsidRPr="00B16F37" w14:paraId="107192FC" w14:textId="77777777" w:rsidTr="00361521">
        <w:trPr>
          <w:trHeight w:val="433"/>
          <w:jc w:val="center"/>
        </w:trPr>
        <w:tc>
          <w:tcPr>
            <w:tcW w:w="3854" w:type="dxa"/>
            <w:vMerge/>
            <w:tcBorders>
              <w:bottom w:val="single" w:sz="4" w:space="0" w:color="auto"/>
            </w:tcBorders>
            <w:vAlign w:val="center"/>
            <w:hideMark/>
          </w:tcPr>
          <w:p w14:paraId="7A0DA28D" w14:textId="77777777" w:rsidR="0015126A" w:rsidRPr="00B16F37" w:rsidRDefault="0015126A" w:rsidP="00361521">
            <w:pPr>
              <w:keepNext/>
              <w:keepLines/>
              <w:ind w:left="32"/>
              <w:jc w:val="left"/>
              <w:rPr>
                <w:b/>
                <w:bCs/>
                <w:color w:val="000000"/>
                <w:sz w:val="18"/>
                <w:szCs w:val="18"/>
                <w:lang w:eastAsia="zh-CN"/>
              </w:rPr>
            </w:pPr>
          </w:p>
        </w:tc>
        <w:tc>
          <w:tcPr>
            <w:tcW w:w="1527" w:type="dxa"/>
            <w:vMerge/>
            <w:tcBorders>
              <w:bottom w:val="single" w:sz="4" w:space="0" w:color="auto"/>
            </w:tcBorders>
            <w:vAlign w:val="center"/>
            <w:hideMark/>
          </w:tcPr>
          <w:p w14:paraId="7821F08F" w14:textId="77777777" w:rsidR="0015126A" w:rsidRPr="00B16F37" w:rsidRDefault="0015126A" w:rsidP="00361521">
            <w:pPr>
              <w:keepNext/>
              <w:keepLines/>
              <w:ind w:left="32"/>
              <w:jc w:val="left"/>
              <w:rPr>
                <w:b/>
                <w:bCs/>
                <w:color w:val="000000"/>
                <w:sz w:val="18"/>
                <w:szCs w:val="18"/>
                <w:lang w:eastAsia="zh-CN"/>
              </w:rPr>
            </w:pPr>
          </w:p>
        </w:tc>
        <w:tc>
          <w:tcPr>
            <w:tcW w:w="1527" w:type="dxa"/>
            <w:vMerge/>
            <w:tcBorders>
              <w:bottom w:val="single" w:sz="4" w:space="0" w:color="auto"/>
            </w:tcBorders>
            <w:vAlign w:val="center"/>
            <w:hideMark/>
          </w:tcPr>
          <w:p w14:paraId="4916892C" w14:textId="77777777" w:rsidR="0015126A" w:rsidRPr="00B16F37" w:rsidRDefault="0015126A" w:rsidP="00361521">
            <w:pPr>
              <w:keepNext/>
              <w:keepLines/>
              <w:ind w:left="32"/>
              <w:jc w:val="left"/>
              <w:rPr>
                <w:b/>
                <w:bCs/>
                <w:color w:val="000000"/>
                <w:sz w:val="18"/>
                <w:szCs w:val="18"/>
                <w:lang w:eastAsia="zh-CN"/>
              </w:rPr>
            </w:pPr>
          </w:p>
        </w:tc>
        <w:tc>
          <w:tcPr>
            <w:tcW w:w="1739" w:type="dxa"/>
            <w:vMerge/>
            <w:tcBorders>
              <w:bottom w:val="single" w:sz="4" w:space="0" w:color="auto"/>
            </w:tcBorders>
            <w:vAlign w:val="center"/>
            <w:hideMark/>
          </w:tcPr>
          <w:p w14:paraId="00993421" w14:textId="77777777" w:rsidR="0015126A" w:rsidRPr="00B16F37" w:rsidRDefault="0015126A" w:rsidP="00361521">
            <w:pPr>
              <w:keepNext/>
              <w:keepLines/>
              <w:ind w:left="32"/>
              <w:jc w:val="left"/>
              <w:rPr>
                <w:b/>
                <w:bCs/>
                <w:color w:val="000000"/>
                <w:sz w:val="18"/>
                <w:szCs w:val="18"/>
                <w:lang w:eastAsia="zh-CN"/>
              </w:rPr>
            </w:pPr>
          </w:p>
        </w:tc>
      </w:tr>
      <w:tr w:rsidR="0015126A" w:rsidRPr="00B16F37" w14:paraId="796E195B" w14:textId="77777777" w:rsidTr="00361521">
        <w:trPr>
          <w:trHeight w:val="275"/>
          <w:jc w:val="center"/>
        </w:trPr>
        <w:tc>
          <w:tcPr>
            <w:tcW w:w="3854" w:type="dxa"/>
            <w:tcBorders>
              <w:top w:val="single" w:sz="4" w:space="0" w:color="auto"/>
              <w:left w:val="nil"/>
              <w:bottom w:val="nil"/>
              <w:right w:val="nil"/>
            </w:tcBorders>
            <w:shd w:val="clear" w:color="auto" w:fill="auto"/>
            <w:noWrap/>
            <w:vAlign w:val="bottom"/>
            <w:hideMark/>
          </w:tcPr>
          <w:p w14:paraId="70207B7A" w14:textId="38A5E4C7" w:rsidR="0015126A" w:rsidRPr="00B16F37" w:rsidRDefault="0015126A" w:rsidP="00361521">
            <w:pPr>
              <w:keepNext/>
              <w:keepLines/>
              <w:ind w:left="32"/>
              <w:jc w:val="left"/>
              <w:rPr>
                <w:color w:val="000000"/>
                <w:sz w:val="18"/>
                <w:szCs w:val="18"/>
                <w:lang w:eastAsia="zh-CN"/>
              </w:rPr>
            </w:pPr>
            <w:r w:rsidRPr="00B16F37">
              <w:rPr>
                <w:color w:val="000000" w:themeColor="text1"/>
                <w:sz w:val="18"/>
                <w:szCs w:val="18"/>
                <w:lang w:eastAsia="zh-CN"/>
              </w:rPr>
              <w:t>General Trust Fund for</w:t>
            </w:r>
            <w:r w:rsidRPr="00B16F37" w:rsidDel="00575C93">
              <w:rPr>
                <w:color w:val="000000" w:themeColor="text1"/>
                <w:sz w:val="18"/>
                <w:szCs w:val="18"/>
                <w:lang w:eastAsia="zh-CN"/>
              </w:rPr>
              <w:t xml:space="preserve"> </w:t>
            </w:r>
            <w:r w:rsidRPr="00B16F37">
              <w:rPr>
                <w:color w:val="000000" w:themeColor="text1"/>
                <w:sz w:val="18"/>
                <w:szCs w:val="18"/>
                <w:lang w:eastAsia="zh-CN"/>
              </w:rPr>
              <w:t>the Convention</w:t>
            </w:r>
          </w:p>
        </w:tc>
        <w:tc>
          <w:tcPr>
            <w:tcW w:w="1527" w:type="dxa"/>
            <w:tcBorders>
              <w:top w:val="single" w:sz="4" w:space="0" w:color="auto"/>
              <w:left w:val="nil"/>
              <w:bottom w:val="nil"/>
              <w:right w:val="nil"/>
            </w:tcBorders>
            <w:shd w:val="clear" w:color="auto" w:fill="auto"/>
            <w:noWrap/>
            <w:vAlign w:val="bottom"/>
            <w:hideMark/>
          </w:tcPr>
          <w:p w14:paraId="292DE9ED" w14:textId="60241936" w:rsidR="0015126A" w:rsidRPr="00B16F37" w:rsidRDefault="0015126A" w:rsidP="00361521">
            <w:pPr>
              <w:keepNext/>
              <w:keepLines/>
              <w:ind w:left="32"/>
              <w:jc w:val="right"/>
              <w:rPr>
                <w:color w:val="000000"/>
                <w:sz w:val="18"/>
                <w:szCs w:val="18"/>
                <w:lang w:eastAsia="zh-CN"/>
              </w:rPr>
            </w:pPr>
            <w:r w:rsidRPr="00B16F37">
              <w:rPr>
                <w:color w:val="000000" w:themeColor="text1"/>
                <w:sz w:val="18"/>
                <w:szCs w:val="18"/>
                <w:lang w:eastAsia="zh-CN"/>
              </w:rPr>
              <w:t>14 350 800</w:t>
            </w:r>
          </w:p>
        </w:tc>
        <w:tc>
          <w:tcPr>
            <w:tcW w:w="1527" w:type="dxa"/>
            <w:tcBorders>
              <w:top w:val="single" w:sz="4" w:space="0" w:color="auto"/>
              <w:left w:val="nil"/>
              <w:bottom w:val="nil"/>
              <w:right w:val="nil"/>
            </w:tcBorders>
            <w:shd w:val="clear" w:color="auto" w:fill="auto"/>
            <w:noWrap/>
            <w:vAlign w:val="bottom"/>
            <w:hideMark/>
          </w:tcPr>
          <w:p w14:paraId="6173E8DC" w14:textId="576F069F" w:rsidR="0015126A" w:rsidRPr="00B16F37" w:rsidRDefault="0015126A" w:rsidP="00361521">
            <w:pPr>
              <w:keepNext/>
              <w:keepLines/>
              <w:ind w:left="32"/>
              <w:jc w:val="right"/>
              <w:rPr>
                <w:color w:val="000000"/>
                <w:sz w:val="18"/>
                <w:szCs w:val="18"/>
                <w:lang w:eastAsia="zh-CN"/>
              </w:rPr>
            </w:pPr>
            <w:r w:rsidRPr="00B16F37">
              <w:rPr>
                <w:color w:val="000000" w:themeColor="text1"/>
                <w:sz w:val="18"/>
                <w:szCs w:val="18"/>
                <w:lang w:eastAsia="zh-CN"/>
              </w:rPr>
              <w:t>15 634 400</w:t>
            </w:r>
          </w:p>
        </w:tc>
        <w:tc>
          <w:tcPr>
            <w:tcW w:w="1739" w:type="dxa"/>
            <w:tcBorders>
              <w:top w:val="single" w:sz="4" w:space="0" w:color="auto"/>
              <w:left w:val="nil"/>
              <w:bottom w:val="nil"/>
              <w:right w:val="nil"/>
            </w:tcBorders>
            <w:shd w:val="clear" w:color="auto" w:fill="auto"/>
            <w:noWrap/>
            <w:vAlign w:val="bottom"/>
            <w:hideMark/>
          </w:tcPr>
          <w:p w14:paraId="36B92FDE" w14:textId="04C38653" w:rsidR="0015126A" w:rsidRPr="00B16F37" w:rsidRDefault="0015126A" w:rsidP="00361521">
            <w:pPr>
              <w:keepNext/>
              <w:keepLines/>
              <w:ind w:left="32"/>
              <w:jc w:val="right"/>
              <w:rPr>
                <w:color w:val="000000"/>
                <w:sz w:val="18"/>
                <w:szCs w:val="18"/>
                <w:lang w:eastAsia="zh-CN"/>
              </w:rPr>
            </w:pPr>
            <w:r w:rsidRPr="00B16F37">
              <w:rPr>
                <w:color w:val="000000" w:themeColor="text1"/>
                <w:sz w:val="18"/>
                <w:szCs w:val="18"/>
                <w:lang w:eastAsia="zh-CN"/>
              </w:rPr>
              <w:t>29 985 200</w:t>
            </w:r>
          </w:p>
        </w:tc>
      </w:tr>
      <w:tr w:rsidR="0015126A" w:rsidRPr="00B16F37" w14:paraId="040D69DB" w14:textId="77777777" w:rsidTr="00361521">
        <w:trPr>
          <w:trHeight w:val="275"/>
          <w:jc w:val="center"/>
        </w:trPr>
        <w:tc>
          <w:tcPr>
            <w:tcW w:w="3854" w:type="dxa"/>
            <w:tcBorders>
              <w:top w:val="nil"/>
              <w:left w:val="nil"/>
              <w:bottom w:val="nil"/>
              <w:right w:val="nil"/>
            </w:tcBorders>
            <w:shd w:val="clear" w:color="auto" w:fill="auto"/>
            <w:noWrap/>
            <w:vAlign w:val="bottom"/>
            <w:hideMark/>
          </w:tcPr>
          <w:p w14:paraId="0FCFC3BA" w14:textId="14538983" w:rsidR="0015126A" w:rsidRPr="00B16F37" w:rsidRDefault="0015126A" w:rsidP="00361521">
            <w:pPr>
              <w:keepNext/>
              <w:keepLines/>
              <w:ind w:left="32"/>
              <w:jc w:val="left"/>
              <w:rPr>
                <w:color w:val="000000"/>
                <w:sz w:val="18"/>
                <w:szCs w:val="18"/>
                <w:lang w:eastAsia="zh-CN"/>
              </w:rPr>
            </w:pPr>
            <w:r w:rsidRPr="00B16F37">
              <w:rPr>
                <w:color w:val="000000" w:themeColor="text1"/>
                <w:sz w:val="18"/>
                <w:szCs w:val="18"/>
                <w:lang w:eastAsia="zh-CN"/>
              </w:rPr>
              <w:t>General Trust Fund for</w:t>
            </w:r>
            <w:r w:rsidRPr="00B16F37" w:rsidDel="00575C93">
              <w:rPr>
                <w:color w:val="000000" w:themeColor="text1"/>
                <w:sz w:val="18"/>
                <w:szCs w:val="18"/>
                <w:lang w:eastAsia="zh-CN"/>
              </w:rPr>
              <w:t xml:space="preserve"> </w:t>
            </w:r>
            <w:r w:rsidRPr="00B16F37">
              <w:rPr>
                <w:color w:val="000000" w:themeColor="text1"/>
                <w:sz w:val="18"/>
                <w:szCs w:val="18"/>
                <w:lang w:eastAsia="zh-CN"/>
              </w:rPr>
              <w:t>the Core Programme Budget for the Cartagena Protocol</w:t>
            </w:r>
          </w:p>
        </w:tc>
        <w:tc>
          <w:tcPr>
            <w:tcW w:w="1527" w:type="dxa"/>
            <w:tcBorders>
              <w:top w:val="nil"/>
              <w:left w:val="nil"/>
              <w:bottom w:val="nil"/>
              <w:right w:val="nil"/>
            </w:tcBorders>
            <w:shd w:val="clear" w:color="auto" w:fill="auto"/>
            <w:noWrap/>
            <w:vAlign w:val="bottom"/>
            <w:hideMark/>
          </w:tcPr>
          <w:p w14:paraId="3094803A" w14:textId="1DD3F112" w:rsidR="0015126A" w:rsidRPr="00B16F37" w:rsidRDefault="0015126A" w:rsidP="00361521">
            <w:pPr>
              <w:keepNext/>
              <w:keepLines/>
              <w:ind w:left="32"/>
              <w:jc w:val="right"/>
              <w:rPr>
                <w:color w:val="000000"/>
                <w:sz w:val="18"/>
                <w:szCs w:val="18"/>
                <w:lang w:eastAsia="zh-CN"/>
              </w:rPr>
            </w:pPr>
            <w:r w:rsidRPr="00B16F37">
              <w:rPr>
                <w:color w:val="000000"/>
                <w:sz w:val="18"/>
                <w:szCs w:val="18"/>
                <w:lang w:eastAsia="zh-CN"/>
              </w:rPr>
              <w:t>2 989 700</w:t>
            </w:r>
          </w:p>
        </w:tc>
        <w:tc>
          <w:tcPr>
            <w:tcW w:w="1527" w:type="dxa"/>
            <w:tcBorders>
              <w:top w:val="nil"/>
              <w:left w:val="nil"/>
              <w:bottom w:val="nil"/>
              <w:right w:val="nil"/>
            </w:tcBorders>
            <w:shd w:val="clear" w:color="auto" w:fill="auto"/>
            <w:noWrap/>
            <w:vAlign w:val="bottom"/>
            <w:hideMark/>
          </w:tcPr>
          <w:p w14:paraId="4C07F9C0" w14:textId="6E8B9630" w:rsidR="0015126A" w:rsidRPr="00B16F37" w:rsidRDefault="0015126A" w:rsidP="00361521">
            <w:pPr>
              <w:keepNext/>
              <w:keepLines/>
              <w:ind w:left="32"/>
              <w:jc w:val="right"/>
              <w:rPr>
                <w:color w:val="000000"/>
                <w:sz w:val="18"/>
                <w:szCs w:val="18"/>
                <w:lang w:eastAsia="zh-CN"/>
              </w:rPr>
            </w:pPr>
            <w:r w:rsidRPr="00B16F37">
              <w:rPr>
                <w:color w:val="000000" w:themeColor="text1"/>
                <w:sz w:val="18"/>
                <w:szCs w:val="18"/>
                <w:lang w:eastAsia="zh-CN"/>
              </w:rPr>
              <w:t>3 257 200</w:t>
            </w:r>
          </w:p>
        </w:tc>
        <w:tc>
          <w:tcPr>
            <w:tcW w:w="1739" w:type="dxa"/>
            <w:tcBorders>
              <w:top w:val="nil"/>
              <w:left w:val="nil"/>
              <w:bottom w:val="nil"/>
              <w:right w:val="nil"/>
            </w:tcBorders>
            <w:shd w:val="clear" w:color="auto" w:fill="auto"/>
            <w:noWrap/>
            <w:vAlign w:val="bottom"/>
            <w:hideMark/>
          </w:tcPr>
          <w:p w14:paraId="69051BEE" w14:textId="32DBC68D" w:rsidR="0015126A" w:rsidRPr="00B16F37" w:rsidRDefault="0015126A" w:rsidP="00361521">
            <w:pPr>
              <w:keepNext/>
              <w:keepLines/>
              <w:ind w:left="32"/>
              <w:jc w:val="right"/>
              <w:rPr>
                <w:color w:val="000000"/>
                <w:sz w:val="18"/>
                <w:szCs w:val="18"/>
                <w:lang w:eastAsia="zh-CN"/>
              </w:rPr>
            </w:pPr>
            <w:r w:rsidRPr="00B16F37">
              <w:rPr>
                <w:color w:val="000000" w:themeColor="text1"/>
                <w:sz w:val="18"/>
                <w:szCs w:val="18"/>
                <w:lang w:eastAsia="zh-CN"/>
              </w:rPr>
              <w:t>6 246 900</w:t>
            </w:r>
          </w:p>
        </w:tc>
      </w:tr>
      <w:tr w:rsidR="0015126A" w:rsidRPr="00B16F37" w14:paraId="32714A21" w14:textId="77777777" w:rsidTr="00361521">
        <w:trPr>
          <w:trHeight w:val="275"/>
          <w:jc w:val="center"/>
        </w:trPr>
        <w:tc>
          <w:tcPr>
            <w:tcW w:w="3854" w:type="dxa"/>
            <w:tcBorders>
              <w:top w:val="nil"/>
              <w:left w:val="nil"/>
              <w:bottom w:val="nil"/>
              <w:right w:val="nil"/>
            </w:tcBorders>
            <w:shd w:val="clear" w:color="auto" w:fill="auto"/>
            <w:noWrap/>
            <w:vAlign w:val="bottom"/>
            <w:hideMark/>
          </w:tcPr>
          <w:p w14:paraId="11A2BBB8" w14:textId="6D7B96CA" w:rsidR="0015126A" w:rsidRPr="00B16F37" w:rsidRDefault="0015126A" w:rsidP="00361521">
            <w:pPr>
              <w:ind w:left="32"/>
              <w:jc w:val="left"/>
              <w:rPr>
                <w:color w:val="000000"/>
                <w:sz w:val="18"/>
                <w:szCs w:val="18"/>
                <w:lang w:eastAsia="zh-CN"/>
              </w:rPr>
            </w:pPr>
            <w:r w:rsidRPr="00B16F37">
              <w:rPr>
                <w:color w:val="000000" w:themeColor="text1"/>
                <w:sz w:val="18"/>
                <w:szCs w:val="18"/>
                <w:lang w:eastAsia="zh-CN"/>
              </w:rPr>
              <w:t>General Trust Fund for</w:t>
            </w:r>
            <w:r w:rsidRPr="00B16F37" w:rsidDel="00575C93">
              <w:rPr>
                <w:color w:val="000000" w:themeColor="text1"/>
                <w:sz w:val="18"/>
                <w:szCs w:val="18"/>
                <w:lang w:eastAsia="zh-CN"/>
              </w:rPr>
              <w:t xml:space="preserve"> </w:t>
            </w:r>
            <w:r w:rsidRPr="00B16F37">
              <w:rPr>
                <w:color w:val="000000" w:themeColor="text1"/>
                <w:sz w:val="18"/>
                <w:szCs w:val="18"/>
                <w:lang w:eastAsia="zh-CN"/>
              </w:rPr>
              <w:t>the Core Programme Budget for the Nagoya Protocol</w:t>
            </w:r>
          </w:p>
        </w:tc>
        <w:tc>
          <w:tcPr>
            <w:tcW w:w="1527" w:type="dxa"/>
            <w:tcBorders>
              <w:top w:val="nil"/>
              <w:left w:val="nil"/>
              <w:bottom w:val="nil"/>
              <w:right w:val="nil"/>
            </w:tcBorders>
            <w:shd w:val="clear" w:color="auto" w:fill="auto"/>
            <w:noWrap/>
            <w:vAlign w:val="bottom"/>
            <w:hideMark/>
          </w:tcPr>
          <w:p w14:paraId="2B084E6C" w14:textId="7FF21080" w:rsidR="0015126A" w:rsidRPr="00B16F37" w:rsidRDefault="0015126A" w:rsidP="00361521">
            <w:pPr>
              <w:ind w:left="32"/>
              <w:jc w:val="right"/>
              <w:rPr>
                <w:color w:val="000000"/>
                <w:sz w:val="18"/>
                <w:szCs w:val="18"/>
                <w:lang w:eastAsia="zh-CN"/>
              </w:rPr>
            </w:pPr>
            <w:r w:rsidRPr="00B16F37">
              <w:rPr>
                <w:color w:val="000000" w:themeColor="text1"/>
                <w:sz w:val="18"/>
                <w:szCs w:val="18"/>
                <w:lang w:eastAsia="zh-CN"/>
              </w:rPr>
              <w:t>2 591 100</w:t>
            </w:r>
          </w:p>
        </w:tc>
        <w:tc>
          <w:tcPr>
            <w:tcW w:w="1527" w:type="dxa"/>
            <w:tcBorders>
              <w:top w:val="nil"/>
              <w:left w:val="nil"/>
              <w:bottom w:val="nil"/>
              <w:right w:val="nil"/>
            </w:tcBorders>
            <w:shd w:val="clear" w:color="auto" w:fill="auto"/>
            <w:noWrap/>
            <w:vAlign w:val="bottom"/>
            <w:hideMark/>
          </w:tcPr>
          <w:p w14:paraId="78B55122" w14:textId="56350074" w:rsidR="0015126A" w:rsidRPr="00B16F37" w:rsidRDefault="0015126A" w:rsidP="00361521">
            <w:pPr>
              <w:ind w:left="32"/>
              <w:jc w:val="right"/>
              <w:rPr>
                <w:color w:val="000000"/>
                <w:sz w:val="18"/>
                <w:szCs w:val="18"/>
                <w:lang w:eastAsia="zh-CN"/>
              </w:rPr>
            </w:pPr>
            <w:r w:rsidRPr="00B16F37">
              <w:rPr>
                <w:color w:val="000000" w:themeColor="text1"/>
                <w:sz w:val="18"/>
                <w:szCs w:val="18"/>
                <w:lang w:eastAsia="zh-CN"/>
              </w:rPr>
              <w:t>2 822 900</w:t>
            </w:r>
          </w:p>
        </w:tc>
        <w:tc>
          <w:tcPr>
            <w:tcW w:w="1739" w:type="dxa"/>
            <w:tcBorders>
              <w:top w:val="nil"/>
              <w:left w:val="nil"/>
              <w:bottom w:val="nil"/>
              <w:right w:val="nil"/>
            </w:tcBorders>
            <w:shd w:val="clear" w:color="auto" w:fill="auto"/>
            <w:noWrap/>
            <w:vAlign w:val="bottom"/>
            <w:hideMark/>
          </w:tcPr>
          <w:p w14:paraId="5EF685A1" w14:textId="413C8CFD" w:rsidR="0015126A" w:rsidRPr="00B16F37" w:rsidRDefault="0015126A" w:rsidP="00361521">
            <w:pPr>
              <w:ind w:left="32"/>
              <w:jc w:val="right"/>
              <w:rPr>
                <w:color w:val="000000"/>
                <w:sz w:val="18"/>
                <w:szCs w:val="18"/>
                <w:lang w:eastAsia="zh-CN"/>
              </w:rPr>
            </w:pPr>
            <w:r w:rsidRPr="00B16F37">
              <w:rPr>
                <w:color w:val="000000" w:themeColor="text1"/>
                <w:sz w:val="18"/>
                <w:szCs w:val="18"/>
                <w:lang w:eastAsia="zh-CN"/>
              </w:rPr>
              <w:t>5 414 000</w:t>
            </w:r>
          </w:p>
        </w:tc>
      </w:tr>
      <w:tr w:rsidR="0015126A" w:rsidRPr="00B16F37" w14:paraId="44443344" w14:textId="77777777" w:rsidTr="00361521">
        <w:trPr>
          <w:trHeight w:val="275"/>
          <w:jc w:val="center"/>
        </w:trPr>
        <w:tc>
          <w:tcPr>
            <w:tcW w:w="3854" w:type="dxa"/>
            <w:tcBorders>
              <w:top w:val="single" w:sz="4" w:space="0" w:color="auto"/>
              <w:left w:val="nil"/>
              <w:bottom w:val="single" w:sz="4" w:space="0" w:color="auto"/>
              <w:right w:val="nil"/>
            </w:tcBorders>
            <w:shd w:val="clear" w:color="auto" w:fill="auto"/>
            <w:noWrap/>
            <w:vAlign w:val="bottom"/>
            <w:hideMark/>
          </w:tcPr>
          <w:p w14:paraId="3F35A942" w14:textId="4BFC172F" w:rsidR="0015126A" w:rsidRPr="00B16F37" w:rsidRDefault="0015126A" w:rsidP="00361521">
            <w:pPr>
              <w:tabs>
                <w:tab w:val="clear" w:pos="567"/>
                <w:tab w:val="left" w:pos="316"/>
              </w:tabs>
              <w:ind w:left="32"/>
              <w:jc w:val="left"/>
              <w:rPr>
                <w:b/>
                <w:bCs/>
                <w:color w:val="000000"/>
                <w:sz w:val="18"/>
                <w:szCs w:val="18"/>
                <w:lang w:eastAsia="zh-CN"/>
              </w:rPr>
            </w:pPr>
            <w:r w:rsidRPr="00B16F37">
              <w:rPr>
                <w:b/>
                <w:bCs/>
                <w:color w:val="000000" w:themeColor="text1"/>
                <w:sz w:val="18"/>
                <w:szCs w:val="18"/>
                <w:lang w:eastAsia="zh-CN"/>
              </w:rPr>
              <w:tab/>
              <w:t>Total</w:t>
            </w:r>
          </w:p>
        </w:tc>
        <w:tc>
          <w:tcPr>
            <w:tcW w:w="1527" w:type="dxa"/>
            <w:tcBorders>
              <w:top w:val="single" w:sz="4" w:space="0" w:color="auto"/>
              <w:left w:val="nil"/>
              <w:bottom w:val="single" w:sz="4" w:space="0" w:color="auto"/>
              <w:right w:val="nil"/>
            </w:tcBorders>
            <w:shd w:val="clear" w:color="auto" w:fill="auto"/>
            <w:noWrap/>
            <w:vAlign w:val="bottom"/>
            <w:hideMark/>
          </w:tcPr>
          <w:p w14:paraId="08AB1794" w14:textId="62E5D7C7" w:rsidR="0015126A" w:rsidRPr="00B16F37" w:rsidRDefault="0015126A" w:rsidP="00361521">
            <w:pPr>
              <w:ind w:left="32"/>
              <w:jc w:val="right"/>
              <w:rPr>
                <w:b/>
                <w:bCs/>
                <w:color w:val="000000"/>
                <w:sz w:val="18"/>
                <w:szCs w:val="18"/>
                <w:lang w:eastAsia="zh-CN"/>
              </w:rPr>
            </w:pPr>
            <w:r w:rsidRPr="00B16F37">
              <w:rPr>
                <w:b/>
                <w:bCs/>
                <w:color w:val="000000" w:themeColor="text1"/>
                <w:sz w:val="18"/>
                <w:szCs w:val="18"/>
                <w:lang w:eastAsia="zh-CN"/>
              </w:rPr>
              <w:t>19 931 600</w:t>
            </w:r>
          </w:p>
        </w:tc>
        <w:tc>
          <w:tcPr>
            <w:tcW w:w="1527" w:type="dxa"/>
            <w:tcBorders>
              <w:top w:val="single" w:sz="4" w:space="0" w:color="auto"/>
              <w:left w:val="nil"/>
              <w:bottom w:val="single" w:sz="4" w:space="0" w:color="auto"/>
              <w:right w:val="nil"/>
            </w:tcBorders>
            <w:shd w:val="clear" w:color="auto" w:fill="auto"/>
            <w:noWrap/>
            <w:vAlign w:val="bottom"/>
            <w:hideMark/>
          </w:tcPr>
          <w:p w14:paraId="26B45100" w14:textId="10703C53" w:rsidR="0015126A" w:rsidRPr="00B16F37" w:rsidRDefault="0015126A" w:rsidP="00361521">
            <w:pPr>
              <w:ind w:left="32"/>
              <w:jc w:val="right"/>
              <w:rPr>
                <w:b/>
                <w:bCs/>
                <w:color w:val="000000"/>
                <w:sz w:val="18"/>
                <w:szCs w:val="18"/>
                <w:lang w:eastAsia="zh-CN"/>
              </w:rPr>
            </w:pPr>
            <w:bookmarkStart w:id="2" w:name="_Hlk176421975"/>
            <w:r w:rsidRPr="00B16F37">
              <w:rPr>
                <w:b/>
                <w:bCs/>
                <w:color w:val="000000" w:themeColor="text1"/>
                <w:sz w:val="18"/>
                <w:szCs w:val="18"/>
                <w:lang w:eastAsia="zh-CN"/>
              </w:rPr>
              <w:t>21 714 500</w:t>
            </w:r>
            <w:bookmarkEnd w:id="2"/>
          </w:p>
        </w:tc>
        <w:tc>
          <w:tcPr>
            <w:tcW w:w="1739" w:type="dxa"/>
            <w:tcBorders>
              <w:top w:val="single" w:sz="4" w:space="0" w:color="auto"/>
              <w:left w:val="nil"/>
              <w:bottom w:val="single" w:sz="4" w:space="0" w:color="auto"/>
              <w:right w:val="nil"/>
            </w:tcBorders>
            <w:shd w:val="clear" w:color="auto" w:fill="auto"/>
            <w:noWrap/>
            <w:vAlign w:val="bottom"/>
            <w:hideMark/>
          </w:tcPr>
          <w:p w14:paraId="6E94245F" w14:textId="399885FE" w:rsidR="0015126A" w:rsidRPr="00B16F37" w:rsidRDefault="0015126A" w:rsidP="00361521">
            <w:pPr>
              <w:ind w:left="32"/>
              <w:jc w:val="right"/>
              <w:rPr>
                <w:b/>
                <w:bCs/>
                <w:color w:val="000000"/>
                <w:sz w:val="18"/>
                <w:szCs w:val="18"/>
                <w:lang w:eastAsia="zh-CN"/>
              </w:rPr>
            </w:pPr>
            <w:bookmarkStart w:id="3" w:name="_Hlk176422224"/>
            <w:r w:rsidRPr="00B16F37">
              <w:rPr>
                <w:b/>
                <w:bCs/>
                <w:color w:val="000000" w:themeColor="text1"/>
                <w:sz w:val="18"/>
                <w:szCs w:val="18"/>
                <w:lang w:eastAsia="zh-CN"/>
              </w:rPr>
              <w:t>41 646</w:t>
            </w:r>
            <w:bookmarkEnd w:id="3"/>
            <w:r w:rsidRPr="00B16F37">
              <w:rPr>
                <w:b/>
                <w:bCs/>
                <w:color w:val="000000" w:themeColor="text1"/>
                <w:sz w:val="18"/>
                <w:szCs w:val="18"/>
                <w:lang w:eastAsia="zh-CN"/>
              </w:rPr>
              <w:t> 100</w:t>
            </w:r>
          </w:p>
        </w:tc>
      </w:tr>
    </w:tbl>
    <w:p w14:paraId="029AC54B" w14:textId="775FA8B8" w:rsidR="0015126A" w:rsidRPr="00B16F37" w:rsidRDefault="0015126A" w:rsidP="00361521">
      <w:pPr>
        <w:pStyle w:val="CBDNormalNumber"/>
        <w:rPr>
          <w:rFonts w:eastAsia="Malgun Gothic"/>
          <w:kern w:val="22"/>
        </w:rPr>
      </w:pPr>
      <w:r w:rsidRPr="00B16F37">
        <w:t>As shown in table 2, after deductin</w:t>
      </w:r>
      <w:r w:rsidR="00BC7A0E" w:rsidRPr="00B16F37">
        <w:t>g</w:t>
      </w:r>
      <w:r w:rsidRPr="00B16F37">
        <w:t xml:space="preserve"> savings from prior periods of $410,000 and the contribution </w:t>
      </w:r>
      <w:r w:rsidR="00A4069E" w:rsidRPr="00B16F37">
        <w:t>from</w:t>
      </w:r>
      <w:r w:rsidRPr="00B16F37">
        <w:t xml:space="preserve"> </w:t>
      </w:r>
      <w:r w:rsidRPr="00B16F37">
        <w:rPr>
          <w:kern w:val="22"/>
        </w:rPr>
        <w:t>the</w:t>
      </w:r>
      <w:r w:rsidRPr="00B16F37">
        <w:t xml:space="preserve"> host country of $3,298,100 and adding the contributions of $10,400 from three new Parties to the Nagoya Protocol, </w:t>
      </w:r>
      <w:r w:rsidR="00773484" w:rsidRPr="00B16F37">
        <w:t>total</w:t>
      </w:r>
      <w:r w:rsidRPr="00B16F37">
        <w:t xml:space="preserve"> assessed </w:t>
      </w:r>
      <w:r w:rsidR="00773484" w:rsidRPr="00B16F37">
        <w:t xml:space="preserve">contributions from </w:t>
      </w:r>
      <w:r w:rsidRPr="00B16F37">
        <w:t>Parties to the Convention</w:t>
      </w:r>
      <w:r w:rsidR="00484922" w:rsidRPr="00B16F37">
        <w:t xml:space="preserve"> and its Protocols</w:t>
      </w:r>
      <w:r w:rsidR="00645C64" w:rsidRPr="00B16F37">
        <w:t>,</w:t>
      </w:r>
      <w:r w:rsidRPr="00B16F37">
        <w:t xml:space="preserve"> in line with the scale of assessments</w:t>
      </w:r>
      <w:r w:rsidR="00645C64" w:rsidRPr="00B16F37">
        <w:t>,</w:t>
      </w:r>
      <w:r w:rsidRPr="00B16F37">
        <w:t xml:space="preserve"> amounted to $37,948,400 for the biennium. </w:t>
      </w:r>
    </w:p>
    <w:p w14:paraId="3095F5E3" w14:textId="6BE97884" w:rsidR="0015126A" w:rsidRPr="00B16F37" w:rsidRDefault="0015126A" w:rsidP="00FD70F5">
      <w:pPr>
        <w:pStyle w:val="CBDTableTitle"/>
      </w:pPr>
      <w:r w:rsidRPr="00B16F37">
        <w:rPr>
          <w:b w:val="0"/>
          <w:bCs/>
          <w:lang w:eastAsia="en-CA"/>
        </w:rPr>
        <w:t>Table 2</w:t>
      </w:r>
      <w:r w:rsidRPr="00B16F37">
        <w:rPr>
          <w:lang w:eastAsia="en-CA"/>
        </w:rPr>
        <w:br/>
        <w:t>Overall s</w:t>
      </w:r>
      <w:r w:rsidRPr="00B16F37">
        <w:t>tatus of assessed contributions, 2023–2024</w:t>
      </w:r>
    </w:p>
    <w:p w14:paraId="48A99164" w14:textId="4DD130B7" w:rsidR="0015126A" w:rsidRPr="00B16F37" w:rsidRDefault="0015126A" w:rsidP="00361521">
      <w:pPr>
        <w:pStyle w:val="CBDTableTitle"/>
        <w:spacing w:before="0"/>
        <w:rPr>
          <w:b w:val="0"/>
          <w:bCs/>
          <w:sz w:val="18"/>
          <w:szCs w:val="18"/>
        </w:rPr>
      </w:pPr>
      <w:r w:rsidRPr="00B16F37">
        <w:rPr>
          <w:rFonts w:hint="eastAsia"/>
          <w:b w:val="0"/>
          <w:bCs/>
          <w:color w:val="000000" w:themeColor="text1"/>
          <w:sz w:val="18"/>
          <w:szCs w:val="18"/>
          <w:lang w:eastAsia="zh-CN"/>
        </w:rPr>
        <w:t>(Thousands of United States dollars)</w:t>
      </w:r>
    </w:p>
    <w:tbl>
      <w:tblPr>
        <w:tblW w:w="5812" w:type="dxa"/>
        <w:jc w:val="center"/>
        <w:tblLook w:val="04A0" w:firstRow="1" w:lastRow="0" w:firstColumn="1" w:lastColumn="0" w:noHBand="0" w:noVBand="1"/>
      </w:tblPr>
      <w:tblGrid>
        <w:gridCol w:w="4260"/>
        <w:gridCol w:w="1552"/>
      </w:tblGrid>
      <w:tr w:rsidR="0015126A" w:rsidRPr="00B16F37" w14:paraId="270D29F4" w14:textId="77777777" w:rsidTr="00361521">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19FC8059" w14:textId="4ECED478" w:rsidR="0015126A" w:rsidRPr="00B16F37" w:rsidRDefault="0015126A" w:rsidP="00F531D2">
            <w:pPr>
              <w:jc w:val="left"/>
              <w:rPr>
                <w:i/>
                <w:iCs/>
                <w:color w:val="000000"/>
                <w:sz w:val="18"/>
                <w:szCs w:val="18"/>
                <w:lang w:eastAsia="zh-CN"/>
              </w:rPr>
            </w:pPr>
            <w:r w:rsidRPr="00B16F37">
              <w:rPr>
                <w:i/>
                <w:iCs/>
                <w:color w:val="000000" w:themeColor="text1"/>
                <w:sz w:val="18"/>
                <w:szCs w:val="18"/>
                <w:lang w:eastAsia="zh-CN"/>
              </w:rPr>
              <w:t>Funding source</w:t>
            </w:r>
          </w:p>
        </w:tc>
        <w:tc>
          <w:tcPr>
            <w:tcW w:w="1552" w:type="dxa"/>
            <w:tcBorders>
              <w:top w:val="single" w:sz="4" w:space="0" w:color="auto"/>
              <w:left w:val="nil"/>
              <w:bottom w:val="single" w:sz="4" w:space="0" w:color="auto"/>
              <w:right w:val="nil"/>
            </w:tcBorders>
            <w:shd w:val="clear" w:color="auto" w:fill="auto"/>
            <w:vAlign w:val="center"/>
            <w:hideMark/>
          </w:tcPr>
          <w:p w14:paraId="06D4A6BC" w14:textId="08AC49F9" w:rsidR="0015126A" w:rsidRPr="00B16F37" w:rsidRDefault="0015126A" w:rsidP="00F531D2">
            <w:pPr>
              <w:jc w:val="right"/>
              <w:rPr>
                <w:i/>
                <w:iCs/>
                <w:color w:val="000000"/>
                <w:sz w:val="18"/>
                <w:szCs w:val="18"/>
                <w:lang w:eastAsia="zh-CN"/>
              </w:rPr>
            </w:pPr>
            <w:r w:rsidRPr="00B16F37">
              <w:rPr>
                <w:i/>
                <w:iCs/>
                <w:color w:val="000000" w:themeColor="text1"/>
                <w:sz w:val="18"/>
                <w:szCs w:val="18"/>
                <w:lang w:eastAsia="zh-CN"/>
              </w:rPr>
              <w:t>Amount</w:t>
            </w:r>
          </w:p>
        </w:tc>
      </w:tr>
      <w:tr w:rsidR="0015126A" w:rsidRPr="00B16F37" w14:paraId="3F2FD620" w14:textId="77777777" w:rsidTr="00361521">
        <w:trPr>
          <w:trHeight w:val="290"/>
          <w:jc w:val="center"/>
        </w:trPr>
        <w:tc>
          <w:tcPr>
            <w:tcW w:w="4260" w:type="dxa"/>
            <w:tcBorders>
              <w:top w:val="nil"/>
              <w:left w:val="nil"/>
              <w:bottom w:val="nil"/>
              <w:right w:val="nil"/>
            </w:tcBorders>
            <w:shd w:val="clear" w:color="auto" w:fill="auto"/>
            <w:vAlign w:val="center"/>
            <w:hideMark/>
          </w:tcPr>
          <w:p w14:paraId="3F0F3D33" w14:textId="77777777" w:rsidR="0015126A" w:rsidRPr="00B16F37" w:rsidRDefault="0015126A" w:rsidP="00F531D2">
            <w:pPr>
              <w:jc w:val="left"/>
              <w:rPr>
                <w:color w:val="000000"/>
                <w:sz w:val="18"/>
                <w:szCs w:val="18"/>
                <w:lang w:eastAsia="zh-CN"/>
              </w:rPr>
            </w:pPr>
            <w:r w:rsidRPr="00B16F37">
              <w:rPr>
                <w:color w:val="000000" w:themeColor="text1"/>
                <w:sz w:val="18"/>
                <w:szCs w:val="18"/>
                <w:lang w:eastAsia="zh-CN"/>
              </w:rPr>
              <w:t>Approved budget</w:t>
            </w:r>
          </w:p>
        </w:tc>
        <w:tc>
          <w:tcPr>
            <w:tcW w:w="1552" w:type="dxa"/>
            <w:tcBorders>
              <w:top w:val="nil"/>
              <w:left w:val="nil"/>
              <w:bottom w:val="nil"/>
              <w:right w:val="nil"/>
            </w:tcBorders>
            <w:shd w:val="clear" w:color="auto" w:fill="auto"/>
            <w:vAlign w:val="center"/>
            <w:hideMark/>
          </w:tcPr>
          <w:p w14:paraId="46AB92E9" w14:textId="549E90CD" w:rsidR="0015126A" w:rsidRPr="00B16F37" w:rsidRDefault="0015126A" w:rsidP="00F531D2">
            <w:pPr>
              <w:jc w:val="right"/>
              <w:rPr>
                <w:color w:val="000000"/>
                <w:sz w:val="18"/>
                <w:szCs w:val="18"/>
                <w:lang w:eastAsia="zh-CN"/>
              </w:rPr>
            </w:pPr>
            <w:r w:rsidRPr="00B16F37">
              <w:rPr>
                <w:color w:val="000000" w:themeColor="text1"/>
                <w:sz w:val="18"/>
                <w:szCs w:val="18"/>
                <w:lang w:eastAsia="zh-CN"/>
              </w:rPr>
              <w:t>41 646.1</w:t>
            </w:r>
          </w:p>
        </w:tc>
      </w:tr>
      <w:tr w:rsidR="0015126A" w:rsidRPr="00B16F37" w14:paraId="3C0918B4" w14:textId="77777777" w:rsidTr="00361521">
        <w:trPr>
          <w:trHeight w:val="290"/>
          <w:jc w:val="center"/>
        </w:trPr>
        <w:tc>
          <w:tcPr>
            <w:tcW w:w="4260" w:type="dxa"/>
            <w:tcBorders>
              <w:top w:val="nil"/>
              <w:left w:val="nil"/>
              <w:bottom w:val="nil"/>
              <w:right w:val="nil"/>
            </w:tcBorders>
            <w:shd w:val="clear" w:color="auto" w:fill="auto"/>
            <w:vAlign w:val="center"/>
            <w:hideMark/>
          </w:tcPr>
          <w:p w14:paraId="29366F87" w14:textId="77777777" w:rsidR="0015126A" w:rsidRPr="00B16F37" w:rsidRDefault="0015126A" w:rsidP="00F531D2">
            <w:pPr>
              <w:jc w:val="left"/>
              <w:rPr>
                <w:color w:val="000000"/>
                <w:sz w:val="18"/>
                <w:szCs w:val="18"/>
                <w:lang w:eastAsia="zh-CN"/>
              </w:rPr>
            </w:pPr>
            <w:r w:rsidRPr="00B16F37">
              <w:rPr>
                <w:color w:val="000000" w:themeColor="text1"/>
                <w:sz w:val="18"/>
                <w:szCs w:val="18"/>
                <w:lang w:eastAsia="zh-CN"/>
              </w:rPr>
              <w:t>Host country</w:t>
            </w:r>
          </w:p>
        </w:tc>
        <w:tc>
          <w:tcPr>
            <w:tcW w:w="1552" w:type="dxa"/>
            <w:tcBorders>
              <w:top w:val="nil"/>
              <w:left w:val="nil"/>
              <w:bottom w:val="nil"/>
              <w:right w:val="nil"/>
            </w:tcBorders>
            <w:shd w:val="clear" w:color="auto" w:fill="auto"/>
            <w:vAlign w:val="center"/>
            <w:hideMark/>
          </w:tcPr>
          <w:p w14:paraId="28616915" w14:textId="6225DCEA" w:rsidR="0015126A" w:rsidRPr="00B16F37" w:rsidRDefault="0015126A" w:rsidP="00F531D2">
            <w:pPr>
              <w:jc w:val="right"/>
              <w:rPr>
                <w:color w:val="000000"/>
                <w:sz w:val="18"/>
                <w:szCs w:val="18"/>
                <w:lang w:eastAsia="zh-CN"/>
              </w:rPr>
            </w:pPr>
            <w:r w:rsidRPr="00B16F37">
              <w:rPr>
                <w:color w:val="000000" w:themeColor="text1"/>
                <w:sz w:val="18"/>
                <w:szCs w:val="18"/>
                <w:lang w:eastAsia="zh-CN"/>
              </w:rPr>
              <w:t>(3 298.1)</w:t>
            </w:r>
          </w:p>
        </w:tc>
      </w:tr>
      <w:tr w:rsidR="0015126A" w:rsidRPr="00B16F37" w14:paraId="4FF3821C" w14:textId="77777777" w:rsidTr="00361521">
        <w:trPr>
          <w:trHeight w:val="300"/>
          <w:jc w:val="center"/>
        </w:trPr>
        <w:tc>
          <w:tcPr>
            <w:tcW w:w="4260" w:type="dxa"/>
            <w:tcBorders>
              <w:top w:val="nil"/>
              <w:left w:val="nil"/>
              <w:bottom w:val="nil"/>
              <w:right w:val="nil"/>
            </w:tcBorders>
            <w:shd w:val="clear" w:color="auto" w:fill="auto"/>
            <w:vAlign w:val="center"/>
            <w:hideMark/>
          </w:tcPr>
          <w:p w14:paraId="44059592" w14:textId="479D382C" w:rsidR="0015126A" w:rsidRPr="00B16F37" w:rsidRDefault="0015126A" w:rsidP="00F531D2">
            <w:pPr>
              <w:jc w:val="left"/>
              <w:rPr>
                <w:color w:val="000000"/>
                <w:sz w:val="18"/>
                <w:szCs w:val="18"/>
                <w:lang w:eastAsia="zh-CN"/>
              </w:rPr>
            </w:pPr>
            <w:r w:rsidRPr="00B16F37">
              <w:rPr>
                <w:color w:val="000000" w:themeColor="text1"/>
                <w:sz w:val="18"/>
                <w:szCs w:val="18"/>
                <w:lang w:eastAsia="zh-CN"/>
              </w:rPr>
              <w:t>Savings from prior years</w:t>
            </w:r>
          </w:p>
        </w:tc>
        <w:tc>
          <w:tcPr>
            <w:tcW w:w="1552" w:type="dxa"/>
            <w:tcBorders>
              <w:top w:val="nil"/>
              <w:left w:val="nil"/>
              <w:bottom w:val="nil"/>
              <w:right w:val="nil"/>
            </w:tcBorders>
            <w:shd w:val="clear" w:color="auto" w:fill="auto"/>
            <w:vAlign w:val="center"/>
            <w:hideMark/>
          </w:tcPr>
          <w:p w14:paraId="2547D643" w14:textId="7BA07914" w:rsidR="0015126A" w:rsidRPr="00B16F37" w:rsidRDefault="0015126A" w:rsidP="00F531D2">
            <w:pPr>
              <w:jc w:val="right"/>
              <w:rPr>
                <w:color w:val="000000"/>
                <w:sz w:val="18"/>
                <w:szCs w:val="18"/>
                <w:lang w:eastAsia="zh-CN"/>
              </w:rPr>
            </w:pPr>
            <w:r w:rsidRPr="00B16F37">
              <w:rPr>
                <w:color w:val="000000" w:themeColor="text1"/>
                <w:sz w:val="18"/>
                <w:szCs w:val="18"/>
                <w:lang w:eastAsia="zh-CN"/>
              </w:rPr>
              <w:t>(410.0)</w:t>
            </w:r>
          </w:p>
        </w:tc>
      </w:tr>
      <w:tr w:rsidR="0015126A" w:rsidRPr="00B16F37" w14:paraId="0CF73FB8" w14:textId="77777777" w:rsidTr="00361521">
        <w:trPr>
          <w:trHeight w:val="315"/>
          <w:jc w:val="center"/>
        </w:trPr>
        <w:tc>
          <w:tcPr>
            <w:tcW w:w="4260" w:type="dxa"/>
            <w:tcBorders>
              <w:top w:val="nil"/>
              <w:left w:val="nil"/>
              <w:bottom w:val="single" w:sz="4" w:space="0" w:color="auto"/>
              <w:right w:val="nil"/>
            </w:tcBorders>
            <w:shd w:val="clear" w:color="auto" w:fill="auto"/>
            <w:vAlign w:val="center"/>
            <w:hideMark/>
          </w:tcPr>
          <w:p w14:paraId="4BD347BC" w14:textId="77777777" w:rsidR="0015126A" w:rsidRPr="00B16F37" w:rsidRDefault="0015126A" w:rsidP="00F531D2">
            <w:pPr>
              <w:jc w:val="left"/>
              <w:rPr>
                <w:color w:val="000000"/>
                <w:sz w:val="18"/>
                <w:szCs w:val="18"/>
                <w:lang w:eastAsia="zh-CN"/>
              </w:rPr>
            </w:pPr>
            <w:r w:rsidRPr="00B16F37">
              <w:rPr>
                <w:color w:val="000000" w:themeColor="text1"/>
                <w:sz w:val="18"/>
                <w:szCs w:val="18"/>
                <w:lang w:eastAsia="zh-CN"/>
              </w:rPr>
              <w:t>Additional Parties to the Protocols</w:t>
            </w:r>
          </w:p>
        </w:tc>
        <w:tc>
          <w:tcPr>
            <w:tcW w:w="1552" w:type="dxa"/>
            <w:tcBorders>
              <w:top w:val="nil"/>
              <w:left w:val="nil"/>
              <w:bottom w:val="single" w:sz="4" w:space="0" w:color="auto"/>
              <w:right w:val="nil"/>
            </w:tcBorders>
            <w:shd w:val="clear" w:color="auto" w:fill="auto"/>
            <w:vAlign w:val="center"/>
            <w:hideMark/>
          </w:tcPr>
          <w:p w14:paraId="0373CFCB" w14:textId="276DC245" w:rsidR="0015126A" w:rsidRPr="00B16F37" w:rsidRDefault="0015126A" w:rsidP="00F531D2">
            <w:pPr>
              <w:jc w:val="right"/>
              <w:rPr>
                <w:color w:val="000000"/>
                <w:sz w:val="18"/>
                <w:szCs w:val="18"/>
                <w:lang w:eastAsia="zh-CN"/>
              </w:rPr>
            </w:pPr>
            <w:r w:rsidRPr="00B16F37">
              <w:rPr>
                <w:color w:val="000000"/>
                <w:sz w:val="18"/>
                <w:szCs w:val="18"/>
                <w:lang w:eastAsia="zh-CN"/>
              </w:rPr>
              <w:t>10.4</w:t>
            </w:r>
          </w:p>
        </w:tc>
      </w:tr>
      <w:tr w:rsidR="0015126A" w:rsidRPr="00B16F37" w14:paraId="1197FCA2" w14:textId="77777777" w:rsidTr="00361521">
        <w:trPr>
          <w:trHeight w:val="290"/>
          <w:jc w:val="center"/>
        </w:trPr>
        <w:tc>
          <w:tcPr>
            <w:tcW w:w="4260" w:type="dxa"/>
            <w:tcBorders>
              <w:top w:val="nil"/>
              <w:left w:val="nil"/>
              <w:bottom w:val="single" w:sz="4" w:space="0" w:color="auto"/>
              <w:right w:val="nil"/>
            </w:tcBorders>
            <w:shd w:val="clear" w:color="auto" w:fill="auto"/>
            <w:vAlign w:val="center"/>
            <w:hideMark/>
          </w:tcPr>
          <w:p w14:paraId="04542654" w14:textId="21416234" w:rsidR="0015126A" w:rsidRPr="00B16F37" w:rsidRDefault="0015126A" w:rsidP="00361521">
            <w:pPr>
              <w:tabs>
                <w:tab w:val="clear" w:pos="567"/>
                <w:tab w:val="left" w:pos="316"/>
              </w:tabs>
              <w:rPr>
                <w:b/>
                <w:bCs/>
                <w:color w:val="000000"/>
                <w:sz w:val="18"/>
                <w:szCs w:val="18"/>
                <w:lang w:eastAsia="zh-CN"/>
              </w:rPr>
            </w:pPr>
            <w:r w:rsidRPr="00B16F37">
              <w:rPr>
                <w:b/>
                <w:bCs/>
                <w:color w:val="000000" w:themeColor="text1"/>
                <w:sz w:val="18"/>
                <w:szCs w:val="18"/>
                <w:lang w:eastAsia="zh-CN"/>
              </w:rPr>
              <w:tab/>
              <w:t>Total assessment</w:t>
            </w:r>
          </w:p>
        </w:tc>
        <w:tc>
          <w:tcPr>
            <w:tcW w:w="1552" w:type="dxa"/>
            <w:tcBorders>
              <w:top w:val="nil"/>
              <w:left w:val="nil"/>
              <w:bottom w:val="single" w:sz="4" w:space="0" w:color="auto"/>
              <w:right w:val="nil"/>
            </w:tcBorders>
            <w:shd w:val="clear" w:color="auto" w:fill="auto"/>
            <w:vAlign w:val="center"/>
            <w:hideMark/>
          </w:tcPr>
          <w:p w14:paraId="2B4F05A3" w14:textId="6198F20B" w:rsidR="0015126A" w:rsidRPr="00B16F37" w:rsidRDefault="0015126A" w:rsidP="00F531D2">
            <w:pPr>
              <w:jc w:val="right"/>
              <w:rPr>
                <w:b/>
                <w:bCs/>
                <w:color w:val="000000"/>
                <w:sz w:val="18"/>
                <w:szCs w:val="18"/>
                <w:lang w:eastAsia="zh-CN"/>
              </w:rPr>
            </w:pPr>
            <w:r w:rsidRPr="00B16F37">
              <w:rPr>
                <w:b/>
                <w:bCs/>
                <w:color w:val="000000" w:themeColor="text1"/>
                <w:sz w:val="18"/>
                <w:szCs w:val="18"/>
                <w:lang w:eastAsia="zh-CN"/>
              </w:rPr>
              <w:t>37 948.4</w:t>
            </w:r>
          </w:p>
        </w:tc>
      </w:tr>
    </w:tbl>
    <w:p w14:paraId="33B5B05B" w14:textId="3F2116F0" w:rsidR="0015126A" w:rsidRPr="00B16F37" w:rsidRDefault="0015126A" w:rsidP="00361521">
      <w:pPr>
        <w:pStyle w:val="CBDTableTitle"/>
        <w:rPr>
          <w:lang w:eastAsia="en-CA"/>
        </w:rPr>
      </w:pPr>
      <w:r w:rsidRPr="00B16F37">
        <w:rPr>
          <w:rFonts w:hint="eastAsia"/>
          <w:b w:val="0"/>
          <w:bCs/>
          <w:lang w:eastAsia="en-CA"/>
        </w:rPr>
        <w:lastRenderedPageBreak/>
        <w:t>Table 3</w:t>
      </w:r>
      <w:r w:rsidRPr="00B16F37">
        <w:rPr>
          <w:lang w:eastAsia="en-CA"/>
        </w:rPr>
        <w:t xml:space="preserve"> </w:t>
      </w:r>
      <w:r w:rsidRPr="00B16F37">
        <w:rPr>
          <w:rFonts w:hint="eastAsia"/>
          <w:i/>
          <w:iCs/>
          <w:lang w:eastAsia="en-CA"/>
        </w:rPr>
        <w:br/>
      </w:r>
      <w:r w:rsidRPr="00B16F37">
        <w:rPr>
          <w:lang w:eastAsia="en-CA"/>
        </w:rPr>
        <w:t xml:space="preserve">Status of contributions to the Convention and its Protocols for the </w:t>
      </w:r>
      <w:r w:rsidR="006D406D" w:rsidRPr="00B16F37">
        <w:rPr>
          <w:lang w:eastAsia="en-CA"/>
        </w:rPr>
        <w:t>b</w:t>
      </w:r>
      <w:r w:rsidRPr="00B16F37">
        <w:rPr>
          <w:lang w:eastAsia="en-CA"/>
        </w:rPr>
        <w:t>iennium 2023</w:t>
      </w:r>
      <w:r w:rsidRPr="00B16F37">
        <w:t>–</w:t>
      </w:r>
      <w:r w:rsidRPr="00B16F37">
        <w:rPr>
          <w:lang w:eastAsia="en-CA"/>
        </w:rPr>
        <w:t>2024</w:t>
      </w:r>
      <w:r w:rsidR="006D406D" w:rsidRPr="00B16F37">
        <w:rPr>
          <w:lang w:eastAsia="en-CA"/>
        </w:rPr>
        <w:t>,</w:t>
      </w:r>
      <w:r w:rsidRPr="00B16F37">
        <w:rPr>
          <w:lang w:eastAsia="en-CA"/>
        </w:rPr>
        <w:t xml:space="preserve"> </w:t>
      </w:r>
      <w:r w:rsidRPr="00B16F37">
        <w:rPr>
          <w:lang w:eastAsia="en-CA"/>
        </w:rPr>
        <w:br/>
        <w:t xml:space="preserve">as </w:t>
      </w:r>
      <w:proofErr w:type="gramStart"/>
      <w:r w:rsidR="006D406D" w:rsidRPr="00B16F37">
        <w:rPr>
          <w:lang w:eastAsia="en-CA"/>
        </w:rPr>
        <w:t>at</w:t>
      </w:r>
      <w:proofErr w:type="gramEnd"/>
      <w:r w:rsidRPr="00B16F37">
        <w:rPr>
          <w:lang w:eastAsia="en-CA"/>
        </w:rPr>
        <w:t xml:space="preserve"> 31 July 2024</w:t>
      </w:r>
    </w:p>
    <w:p w14:paraId="087CBC12" w14:textId="7379CB81" w:rsidR="0015126A" w:rsidRPr="00B16F37" w:rsidRDefault="0015126A" w:rsidP="00361521">
      <w:pPr>
        <w:pStyle w:val="Style1"/>
        <w:numPr>
          <w:ilvl w:val="0"/>
          <w:numId w:val="0"/>
        </w:numPr>
        <w:spacing w:before="0" w:after="60"/>
        <w:ind w:left="567"/>
        <w:outlineLvl w:val="9"/>
        <w:rPr>
          <w:rFonts w:ascii="Times New Roman" w:hAnsi="Times New Roman" w:cs="Times New Roman"/>
          <w:b w:val="0"/>
          <w:bCs/>
          <w:i w:val="0"/>
          <w:iCs w:val="0"/>
          <w:sz w:val="18"/>
          <w:szCs w:val="18"/>
          <w:lang w:eastAsia="en-CA"/>
        </w:rPr>
      </w:pPr>
      <w:r w:rsidRPr="00B16F37">
        <w:rPr>
          <w:rFonts w:ascii="Times New Roman" w:hAnsi="Times New Roman" w:cs="Times New Roman" w:hint="eastAsia"/>
          <w:b w:val="0"/>
          <w:bCs/>
          <w:i w:val="0"/>
          <w:iCs w:val="0"/>
          <w:color w:val="000000" w:themeColor="text1"/>
          <w:sz w:val="18"/>
          <w:szCs w:val="18"/>
          <w:lang w:eastAsia="zh-CN"/>
        </w:rPr>
        <w:t xml:space="preserve">(Thousands of United States </w:t>
      </w:r>
      <w:r w:rsidRPr="00B16F37">
        <w:rPr>
          <w:rFonts w:ascii="Times New Roman" w:hAnsi="Times New Roman" w:cs="Times New Roman"/>
          <w:b w:val="0"/>
          <w:bCs/>
          <w:i w:val="0"/>
          <w:iCs w:val="0"/>
          <w:color w:val="000000" w:themeColor="text1"/>
          <w:sz w:val="18"/>
          <w:szCs w:val="18"/>
          <w:lang w:eastAsia="zh-CN"/>
        </w:rPr>
        <w:t>d</w:t>
      </w:r>
      <w:r w:rsidRPr="00B16F37">
        <w:rPr>
          <w:rFonts w:ascii="Times New Roman" w:hAnsi="Times New Roman" w:cs="Times New Roman" w:hint="eastAsia"/>
          <w:b w:val="0"/>
          <w:bCs/>
          <w:i w:val="0"/>
          <w:iCs w:val="0"/>
          <w:color w:val="000000" w:themeColor="text1"/>
          <w:sz w:val="18"/>
          <w:szCs w:val="18"/>
          <w:lang w:eastAsia="zh-CN"/>
        </w:rPr>
        <w:t>ollars)</w:t>
      </w:r>
    </w:p>
    <w:tbl>
      <w:tblPr>
        <w:tblW w:w="8293" w:type="dxa"/>
        <w:jc w:val="center"/>
        <w:tblLook w:val="04A0" w:firstRow="1" w:lastRow="0" w:firstColumn="1" w:lastColumn="0" w:noHBand="0" w:noVBand="1"/>
      </w:tblPr>
      <w:tblGrid>
        <w:gridCol w:w="3788"/>
        <w:gridCol w:w="846"/>
        <w:gridCol w:w="1019"/>
        <w:gridCol w:w="1036"/>
        <w:gridCol w:w="934"/>
        <w:gridCol w:w="1036"/>
      </w:tblGrid>
      <w:tr w:rsidR="0015126A" w:rsidRPr="00B16F37" w14:paraId="421664AD" w14:textId="77777777" w:rsidTr="00931865">
        <w:trPr>
          <w:trHeight w:val="246"/>
          <w:jc w:val="center"/>
        </w:trPr>
        <w:tc>
          <w:tcPr>
            <w:tcW w:w="3788" w:type="dxa"/>
            <w:tcBorders>
              <w:top w:val="single" w:sz="4" w:space="0" w:color="auto"/>
              <w:bottom w:val="single" w:sz="4" w:space="0" w:color="auto"/>
            </w:tcBorders>
            <w:vAlign w:val="center"/>
            <w:hideMark/>
          </w:tcPr>
          <w:p w14:paraId="6980EEA3" w14:textId="77777777" w:rsidR="0015126A" w:rsidRPr="00B16F37" w:rsidRDefault="0015126A" w:rsidP="006B6E6D">
            <w:pPr>
              <w:keepNext/>
              <w:keepLines/>
              <w:jc w:val="left"/>
              <w:rPr>
                <w:color w:val="000000"/>
                <w:sz w:val="18"/>
                <w:szCs w:val="18"/>
                <w:lang w:eastAsia="zh-CN"/>
              </w:rPr>
            </w:pPr>
          </w:p>
        </w:tc>
        <w:tc>
          <w:tcPr>
            <w:tcW w:w="750" w:type="dxa"/>
            <w:tcBorders>
              <w:top w:val="single" w:sz="4" w:space="0" w:color="auto"/>
              <w:bottom w:val="single" w:sz="4" w:space="0" w:color="auto"/>
              <w:right w:val="nil"/>
            </w:tcBorders>
            <w:shd w:val="clear" w:color="auto" w:fill="auto"/>
            <w:noWrap/>
            <w:vAlign w:val="bottom"/>
            <w:hideMark/>
          </w:tcPr>
          <w:p w14:paraId="124FDEED" w14:textId="2280F74C" w:rsidR="0015126A" w:rsidRPr="00B16F37" w:rsidRDefault="0015126A" w:rsidP="006B6E6D">
            <w:pPr>
              <w:keepNext/>
              <w:keepLines/>
              <w:jc w:val="right"/>
              <w:rPr>
                <w:i/>
                <w:iCs/>
                <w:color w:val="000000"/>
                <w:sz w:val="18"/>
                <w:szCs w:val="18"/>
                <w:lang w:eastAsia="zh-CN"/>
              </w:rPr>
            </w:pPr>
            <w:r w:rsidRPr="00B16F37">
              <w:rPr>
                <w:i/>
                <w:iCs/>
                <w:color w:val="000000" w:themeColor="text1"/>
                <w:sz w:val="18"/>
                <w:szCs w:val="18"/>
                <w:lang w:eastAsia="zh-CN"/>
              </w:rPr>
              <w:t xml:space="preserve">Amount </w:t>
            </w:r>
            <w:r w:rsidR="000A003A" w:rsidRPr="00B16F37">
              <w:rPr>
                <w:i/>
                <w:iCs/>
                <w:color w:val="000000" w:themeColor="text1"/>
                <w:sz w:val="18"/>
                <w:szCs w:val="18"/>
                <w:lang w:eastAsia="zh-CN"/>
              </w:rPr>
              <w:t>a</w:t>
            </w:r>
            <w:r w:rsidRPr="00B16F37">
              <w:rPr>
                <w:i/>
                <w:iCs/>
                <w:color w:val="000000" w:themeColor="text1"/>
                <w:sz w:val="18"/>
                <w:szCs w:val="18"/>
                <w:lang w:eastAsia="zh-CN"/>
              </w:rPr>
              <w:t>ssessed</w:t>
            </w:r>
          </w:p>
        </w:tc>
        <w:tc>
          <w:tcPr>
            <w:tcW w:w="1019" w:type="dxa"/>
            <w:tcBorders>
              <w:top w:val="single" w:sz="4" w:space="0" w:color="auto"/>
              <w:left w:val="nil"/>
              <w:bottom w:val="single" w:sz="4" w:space="0" w:color="auto"/>
              <w:right w:val="nil"/>
            </w:tcBorders>
            <w:shd w:val="clear" w:color="auto" w:fill="auto"/>
            <w:noWrap/>
            <w:vAlign w:val="bottom"/>
            <w:hideMark/>
          </w:tcPr>
          <w:p w14:paraId="1D27D94E" w14:textId="489BD395" w:rsidR="0015126A" w:rsidRPr="00B16F37" w:rsidRDefault="0015126A" w:rsidP="006B6E6D">
            <w:pPr>
              <w:keepNext/>
              <w:keepLines/>
              <w:jc w:val="right"/>
              <w:rPr>
                <w:i/>
                <w:iCs/>
                <w:color w:val="000000"/>
                <w:sz w:val="18"/>
                <w:szCs w:val="18"/>
                <w:lang w:eastAsia="zh-CN"/>
              </w:rPr>
            </w:pPr>
            <w:r w:rsidRPr="00B16F37">
              <w:rPr>
                <w:i/>
                <w:iCs/>
                <w:color w:val="000000" w:themeColor="text1"/>
                <w:sz w:val="18"/>
                <w:szCs w:val="18"/>
                <w:lang w:eastAsia="zh-CN"/>
              </w:rPr>
              <w:t xml:space="preserve">Amount </w:t>
            </w:r>
            <w:r w:rsidR="000A003A" w:rsidRPr="00B16F37">
              <w:rPr>
                <w:i/>
                <w:iCs/>
                <w:color w:val="000000" w:themeColor="text1"/>
                <w:sz w:val="18"/>
                <w:szCs w:val="18"/>
                <w:lang w:eastAsia="zh-CN"/>
              </w:rPr>
              <w:t>r</w:t>
            </w:r>
            <w:r w:rsidRPr="00B16F37">
              <w:rPr>
                <w:i/>
                <w:iCs/>
                <w:color w:val="000000" w:themeColor="text1"/>
                <w:sz w:val="18"/>
                <w:szCs w:val="18"/>
                <w:lang w:eastAsia="zh-CN"/>
              </w:rPr>
              <w:t>eceived</w:t>
            </w:r>
          </w:p>
        </w:tc>
        <w:tc>
          <w:tcPr>
            <w:tcW w:w="901" w:type="dxa"/>
            <w:tcBorders>
              <w:top w:val="single" w:sz="4" w:space="0" w:color="auto"/>
              <w:left w:val="nil"/>
              <w:bottom w:val="single" w:sz="4" w:space="0" w:color="auto"/>
              <w:right w:val="nil"/>
            </w:tcBorders>
            <w:shd w:val="clear" w:color="auto" w:fill="auto"/>
            <w:noWrap/>
            <w:vAlign w:val="bottom"/>
            <w:hideMark/>
          </w:tcPr>
          <w:p w14:paraId="1CC84973" w14:textId="6F762684" w:rsidR="0015126A" w:rsidRPr="00B16F37" w:rsidRDefault="0015126A" w:rsidP="006B6E6D">
            <w:pPr>
              <w:keepNext/>
              <w:keepLines/>
              <w:jc w:val="left"/>
              <w:rPr>
                <w:i/>
                <w:iCs/>
                <w:color w:val="000000"/>
                <w:sz w:val="18"/>
                <w:szCs w:val="18"/>
                <w:lang w:eastAsia="zh-CN"/>
              </w:rPr>
            </w:pPr>
            <w:r w:rsidRPr="00B16F37">
              <w:rPr>
                <w:i/>
                <w:iCs/>
                <w:color w:val="000000" w:themeColor="text1"/>
                <w:sz w:val="18"/>
                <w:szCs w:val="18"/>
                <w:lang w:eastAsia="zh-CN"/>
              </w:rPr>
              <w:t>Percentage</w:t>
            </w:r>
          </w:p>
        </w:tc>
        <w:tc>
          <w:tcPr>
            <w:tcW w:w="934" w:type="dxa"/>
            <w:tcBorders>
              <w:top w:val="single" w:sz="4" w:space="0" w:color="auto"/>
              <w:left w:val="nil"/>
              <w:bottom w:val="single" w:sz="4" w:space="0" w:color="auto"/>
              <w:right w:val="nil"/>
            </w:tcBorders>
            <w:shd w:val="clear" w:color="auto" w:fill="auto"/>
            <w:noWrap/>
            <w:vAlign w:val="bottom"/>
            <w:hideMark/>
          </w:tcPr>
          <w:p w14:paraId="4AB67886" w14:textId="2C3103F6" w:rsidR="0015126A" w:rsidRPr="00B16F37" w:rsidRDefault="000A003A" w:rsidP="006B6E6D">
            <w:pPr>
              <w:keepNext/>
              <w:keepLines/>
              <w:jc w:val="right"/>
              <w:rPr>
                <w:i/>
                <w:iCs/>
                <w:color w:val="000000"/>
                <w:sz w:val="18"/>
                <w:szCs w:val="18"/>
                <w:lang w:eastAsia="zh-CN"/>
              </w:rPr>
            </w:pPr>
            <w:r w:rsidRPr="00B16F37">
              <w:rPr>
                <w:i/>
                <w:iCs/>
                <w:color w:val="000000" w:themeColor="text1"/>
                <w:sz w:val="18"/>
                <w:szCs w:val="18"/>
                <w:lang w:eastAsia="zh-CN"/>
              </w:rPr>
              <w:t>Unpaid a</w:t>
            </w:r>
            <w:r w:rsidR="0015126A" w:rsidRPr="00B16F37">
              <w:rPr>
                <w:i/>
                <w:iCs/>
                <w:color w:val="000000" w:themeColor="text1"/>
                <w:sz w:val="18"/>
                <w:szCs w:val="18"/>
                <w:lang w:eastAsia="zh-CN"/>
              </w:rPr>
              <w:t>mount</w:t>
            </w:r>
          </w:p>
        </w:tc>
        <w:tc>
          <w:tcPr>
            <w:tcW w:w="901" w:type="dxa"/>
            <w:tcBorders>
              <w:top w:val="single" w:sz="4" w:space="0" w:color="auto"/>
              <w:left w:val="nil"/>
              <w:bottom w:val="single" w:sz="4" w:space="0" w:color="auto"/>
              <w:right w:val="nil"/>
            </w:tcBorders>
            <w:shd w:val="clear" w:color="auto" w:fill="auto"/>
            <w:noWrap/>
            <w:vAlign w:val="bottom"/>
            <w:hideMark/>
          </w:tcPr>
          <w:p w14:paraId="553A8BEA" w14:textId="77777777" w:rsidR="0015126A" w:rsidRPr="00B16F37" w:rsidRDefault="0015126A" w:rsidP="006B6E6D">
            <w:pPr>
              <w:keepNext/>
              <w:keepLines/>
              <w:jc w:val="left"/>
              <w:rPr>
                <w:i/>
                <w:iCs/>
                <w:color w:val="000000"/>
                <w:sz w:val="18"/>
                <w:szCs w:val="18"/>
                <w:lang w:eastAsia="zh-CN"/>
              </w:rPr>
            </w:pPr>
            <w:r w:rsidRPr="00B16F37">
              <w:rPr>
                <w:i/>
                <w:iCs/>
                <w:color w:val="000000" w:themeColor="text1"/>
                <w:sz w:val="18"/>
                <w:szCs w:val="18"/>
                <w:lang w:eastAsia="zh-CN"/>
              </w:rPr>
              <w:t>Percentage</w:t>
            </w:r>
          </w:p>
        </w:tc>
      </w:tr>
      <w:tr w:rsidR="0015126A" w:rsidRPr="00B16F37" w14:paraId="22B73784" w14:textId="77777777" w:rsidTr="00931865">
        <w:trPr>
          <w:trHeight w:val="259"/>
          <w:jc w:val="center"/>
        </w:trPr>
        <w:tc>
          <w:tcPr>
            <w:tcW w:w="3788" w:type="dxa"/>
            <w:tcBorders>
              <w:top w:val="single" w:sz="4" w:space="0" w:color="auto"/>
              <w:left w:val="nil"/>
              <w:bottom w:val="nil"/>
            </w:tcBorders>
            <w:shd w:val="clear" w:color="auto" w:fill="auto"/>
            <w:noWrap/>
            <w:vAlign w:val="bottom"/>
            <w:hideMark/>
          </w:tcPr>
          <w:p w14:paraId="7021246D" w14:textId="410FFF6F" w:rsidR="0015126A" w:rsidRPr="00B16F37" w:rsidRDefault="0015126A" w:rsidP="006B6E6D">
            <w:pPr>
              <w:keepNext/>
              <w:keepLines/>
              <w:jc w:val="left"/>
              <w:rPr>
                <w:color w:val="000000"/>
                <w:sz w:val="18"/>
                <w:szCs w:val="18"/>
                <w:lang w:eastAsia="zh-CN"/>
              </w:rPr>
            </w:pPr>
            <w:r w:rsidRPr="00B16F37">
              <w:rPr>
                <w:color w:val="000000" w:themeColor="text1"/>
                <w:sz w:val="18"/>
                <w:szCs w:val="18"/>
                <w:lang w:eastAsia="zh-CN"/>
              </w:rPr>
              <w:t>General Trust Fund for</w:t>
            </w:r>
            <w:r w:rsidRPr="00B16F37" w:rsidDel="00575C93">
              <w:rPr>
                <w:color w:val="000000" w:themeColor="text1"/>
                <w:sz w:val="18"/>
                <w:szCs w:val="18"/>
                <w:lang w:eastAsia="zh-CN"/>
              </w:rPr>
              <w:t xml:space="preserve"> </w:t>
            </w:r>
            <w:r w:rsidRPr="00B16F37">
              <w:rPr>
                <w:color w:val="000000" w:themeColor="text1"/>
                <w:sz w:val="18"/>
                <w:szCs w:val="18"/>
                <w:lang w:eastAsia="zh-CN"/>
              </w:rPr>
              <w:t>the Convention</w:t>
            </w:r>
          </w:p>
        </w:tc>
        <w:tc>
          <w:tcPr>
            <w:tcW w:w="750" w:type="dxa"/>
            <w:tcBorders>
              <w:top w:val="single" w:sz="4" w:space="0" w:color="auto"/>
              <w:bottom w:val="nil"/>
              <w:right w:val="nil"/>
            </w:tcBorders>
            <w:shd w:val="clear" w:color="auto" w:fill="auto"/>
            <w:noWrap/>
            <w:vAlign w:val="bottom"/>
            <w:hideMark/>
          </w:tcPr>
          <w:p w14:paraId="427F52CC" w14:textId="1DC72250" w:rsidR="0015126A" w:rsidRPr="00B16F37" w:rsidRDefault="0015126A" w:rsidP="006B6E6D">
            <w:pPr>
              <w:keepNext/>
              <w:keepLines/>
              <w:jc w:val="right"/>
              <w:rPr>
                <w:color w:val="000000"/>
                <w:sz w:val="18"/>
                <w:szCs w:val="18"/>
                <w:lang w:eastAsia="zh-CN"/>
              </w:rPr>
            </w:pPr>
            <w:r w:rsidRPr="00B16F37">
              <w:rPr>
                <w:color w:val="000000" w:themeColor="text1"/>
                <w:sz w:val="18"/>
                <w:szCs w:val="18"/>
                <w:lang w:eastAsia="zh-CN"/>
              </w:rPr>
              <w:t>27 315.4</w:t>
            </w:r>
          </w:p>
        </w:tc>
        <w:tc>
          <w:tcPr>
            <w:tcW w:w="1019" w:type="dxa"/>
            <w:tcBorders>
              <w:top w:val="single" w:sz="4" w:space="0" w:color="auto"/>
              <w:left w:val="nil"/>
              <w:bottom w:val="nil"/>
              <w:right w:val="nil"/>
            </w:tcBorders>
            <w:shd w:val="clear" w:color="auto" w:fill="auto"/>
            <w:noWrap/>
            <w:vAlign w:val="bottom"/>
            <w:hideMark/>
          </w:tcPr>
          <w:p w14:paraId="299836D9" w14:textId="7B7C1A7F" w:rsidR="0015126A" w:rsidRPr="00B16F37" w:rsidRDefault="0015126A" w:rsidP="006B6E6D">
            <w:pPr>
              <w:keepNext/>
              <w:keepLines/>
              <w:jc w:val="right"/>
              <w:rPr>
                <w:color w:val="000000"/>
                <w:sz w:val="18"/>
                <w:szCs w:val="18"/>
                <w:lang w:eastAsia="zh-CN"/>
              </w:rPr>
            </w:pPr>
            <w:r w:rsidRPr="00B16F37">
              <w:rPr>
                <w:color w:val="000000"/>
                <w:sz w:val="18"/>
                <w:szCs w:val="18"/>
                <w:lang w:eastAsia="zh-CN"/>
              </w:rPr>
              <w:t>21 343.6</w:t>
            </w:r>
          </w:p>
        </w:tc>
        <w:tc>
          <w:tcPr>
            <w:tcW w:w="901" w:type="dxa"/>
            <w:tcBorders>
              <w:top w:val="single" w:sz="4" w:space="0" w:color="auto"/>
              <w:left w:val="nil"/>
              <w:bottom w:val="nil"/>
              <w:right w:val="nil"/>
            </w:tcBorders>
            <w:shd w:val="clear" w:color="auto" w:fill="auto"/>
            <w:noWrap/>
            <w:vAlign w:val="bottom"/>
            <w:hideMark/>
          </w:tcPr>
          <w:p w14:paraId="4F7CFB66" w14:textId="63116642" w:rsidR="0015126A" w:rsidRPr="00B16F37" w:rsidRDefault="0015126A" w:rsidP="006B6E6D">
            <w:pPr>
              <w:keepNext/>
              <w:keepLines/>
              <w:jc w:val="right"/>
              <w:rPr>
                <w:color w:val="000000"/>
                <w:sz w:val="18"/>
                <w:szCs w:val="18"/>
                <w:lang w:eastAsia="zh-CN"/>
              </w:rPr>
            </w:pPr>
            <w:r w:rsidRPr="00B16F37">
              <w:rPr>
                <w:color w:val="000000"/>
                <w:sz w:val="18"/>
                <w:szCs w:val="18"/>
                <w:lang w:eastAsia="zh-CN"/>
              </w:rPr>
              <w:t>78.14</w:t>
            </w:r>
          </w:p>
        </w:tc>
        <w:tc>
          <w:tcPr>
            <w:tcW w:w="934" w:type="dxa"/>
            <w:tcBorders>
              <w:top w:val="single" w:sz="4" w:space="0" w:color="auto"/>
              <w:left w:val="nil"/>
              <w:bottom w:val="nil"/>
              <w:right w:val="nil"/>
            </w:tcBorders>
            <w:shd w:val="clear" w:color="auto" w:fill="auto"/>
            <w:noWrap/>
            <w:vAlign w:val="bottom"/>
            <w:hideMark/>
          </w:tcPr>
          <w:p w14:paraId="08C5465C" w14:textId="2D8CD003" w:rsidR="0015126A" w:rsidRPr="00B16F37" w:rsidRDefault="0015126A" w:rsidP="006B6E6D">
            <w:pPr>
              <w:keepNext/>
              <w:keepLines/>
              <w:jc w:val="right"/>
              <w:rPr>
                <w:color w:val="000000"/>
                <w:sz w:val="18"/>
                <w:szCs w:val="18"/>
                <w:lang w:eastAsia="zh-CN"/>
              </w:rPr>
            </w:pPr>
            <w:r w:rsidRPr="00B16F37">
              <w:rPr>
                <w:color w:val="000000"/>
                <w:sz w:val="18"/>
                <w:szCs w:val="18"/>
                <w:lang w:eastAsia="zh-CN"/>
              </w:rPr>
              <w:t>5 971.8</w:t>
            </w:r>
          </w:p>
        </w:tc>
        <w:tc>
          <w:tcPr>
            <w:tcW w:w="901" w:type="dxa"/>
            <w:tcBorders>
              <w:top w:val="single" w:sz="4" w:space="0" w:color="auto"/>
              <w:left w:val="nil"/>
              <w:bottom w:val="nil"/>
              <w:right w:val="nil"/>
            </w:tcBorders>
            <w:shd w:val="clear" w:color="auto" w:fill="auto"/>
            <w:noWrap/>
            <w:vAlign w:val="bottom"/>
            <w:hideMark/>
          </w:tcPr>
          <w:p w14:paraId="1328E3C8" w14:textId="0E14DB5C" w:rsidR="0015126A" w:rsidRPr="00B16F37" w:rsidRDefault="0015126A" w:rsidP="006B6E6D">
            <w:pPr>
              <w:keepNext/>
              <w:keepLines/>
              <w:jc w:val="right"/>
              <w:rPr>
                <w:color w:val="000000"/>
                <w:sz w:val="18"/>
                <w:szCs w:val="18"/>
                <w:lang w:eastAsia="zh-CN"/>
              </w:rPr>
            </w:pPr>
            <w:r w:rsidRPr="00B16F37">
              <w:rPr>
                <w:color w:val="000000" w:themeColor="text1"/>
                <w:sz w:val="18"/>
                <w:szCs w:val="18"/>
                <w:lang w:eastAsia="zh-CN"/>
              </w:rPr>
              <w:t>21.86</w:t>
            </w:r>
          </w:p>
        </w:tc>
      </w:tr>
      <w:tr w:rsidR="0015126A" w:rsidRPr="00B16F37" w14:paraId="7A75485A" w14:textId="77777777" w:rsidTr="00931865">
        <w:trPr>
          <w:trHeight w:val="238"/>
          <w:jc w:val="center"/>
        </w:trPr>
        <w:tc>
          <w:tcPr>
            <w:tcW w:w="3788" w:type="dxa"/>
            <w:tcBorders>
              <w:top w:val="nil"/>
              <w:left w:val="nil"/>
              <w:bottom w:val="nil"/>
            </w:tcBorders>
            <w:shd w:val="clear" w:color="auto" w:fill="auto"/>
            <w:noWrap/>
            <w:vAlign w:val="bottom"/>
            <w:hideMark/>
          </w:tcPr>
          <w:p w14:paraId="69D97DD8" w14:textId="5DCEC441" w:rsidR="0015126A" w:rsidRPr="00B16F37" w:rsidRDefault="0015126A" w:rsidP="006B6E6D">
            <w:pPr>
              <w:keepNext/>
              <w:keepLines/>
              <w:jc w:val="left"/>
              <w:rPr>
                <w:color w:val="000000"/>
                <w:sz w:val="18"/>
                <w:szCs w:val="18"/>
                <w:lang w:eastAsia="zh-CN"/>
              </w:rPr>
            </w:pPr>
            <w:r w:rsidRPr="00B16F37">
              <w:rPr>
                <w:color w:val="000000" w:themeColor="text1"/>
                <w:sz w:val="18"/>
                <w:szCs w:val="18"/>
                <w:lang w:eastAsia="zh-CN"/>
              </w:rPr>
              <w:t>General Trust Fund for</w:t>
            </w:r>
            <w:r w:rsidRPr="00B16F37" w:rsidDel="00575C93">
              <w:rPr>
                <w:color w:val="000000" w:themeColor="text1"/>
                <w:sz w:val="18"/>
                <w:szCs w:val="18"/>
                <w:lang w:eastAsia="zh-CN"/>
              </w:rPr>
              <w:t xml:space="preserve"> </w:t>
            </w:r>
            <w:r w:rsidRPr="00B16F37">
              <w:rPr>
                <w:color w:val="000000" w:themeColor="text1"/>
                <w:sz w:val="18"/>
                <w:szCs w:val="18"/>
                <w:lang w:eastAsia="zh-CN"/>
              </w:rPr>
              <w:t>the Core Programme Budget for the Cartagena Protocol</w:t>
            </w:r>
          </w:p>
        </w:tc>
        <w:tc>
          <w:tcPr>
            <w:tcW w:w="750" w:type="dxa"/>
            <w:tcBorders>
              <w:top w:val="nil"/>
              <w:right w:val="nil"/>
            </w:tcBorders>
            <w:shd w:val="clear" w:color="auto" w:fill="auto"/>
            <w:noWrap/>
            <w:vAlign w:val="bottom"/>
            <w:hideMark/>
          </w:tcPr>
          <w:p w14:paraId="57BDBED4" w14:textId="604BC84E" w:rsidR="0015126A" w:rsidRPr="00B16F37" w:rsidRDefault="0015126A" w:rsidP="006B6E6D">
            <w:pPr>
              <w:keepNext/>
              <w:keepLines/>
              <w:jc w:val="right"/>
              <w:rPr>
                <w:color w:val="000000"/>
                <w:sz w:val="18"/>
                <w:szCs w:val="18"/>
                <w:lang w:eastAsia="zh-CN"/>
              </w:rPr>
            </w:pPr>
            <w:r w:rsidRPr="00B16F37">
              <w:rPr>
                <w:color w:val="000000" w:themeColor="text1"/>
                <w:sz w:val="18"/>
                <w:szCs w:val="18"/>
                <w:lang w:eastAsia="zh-CN"/>
              </w:rPr>
              <w:t>5 690.7</w:t>
            </w:r>
          </w:p>
        </w:tc>
        <w:tc>
          <w:tcPr>
            <w:tcW w:w="1019" w:type="dxa"/>
            <w:tcBorders>
              <w:top w:val="nil"/>
              <w:left w:val="nil"/>
              <w:bottom w:val="nil"/>
              <w:right w:val="nil"/>
            </w:tcBorders>
            <w:shd w:val="clear" w:color="auto" w:fill="auto"/>
            <w:noWrap/>
            <w:vAlign w:val="bottom"/>
            <w:hideMark/>
          </w:tcPr>
          <w:p w14:paraId="254EB26B" w14:textId="5650383E" w:rsidR="0015126A" w:rsidRPr="00B16F37" w:rsidRDefault="0015126A" w:rsidP="006B6E6D">
            <w:pPr>
              <w:keepNext/>
              <w:keepLines/>
              <w:jc w:val="right"/>
              <w:rPr>
                <w:color w:val="000000"/>
                <w:sz w:val="18"/>
                <w:szCs w:val="18"/>
                <w:lang w:eastAsia="zh-CN"/>
              </w:rPr>
            </w:pPr>
            <w:r w:rsidRPr="00B16F37">
              <w:rPr>
                <w:color w:val="000000"/>
                <w:sz w:val="18"/>
                <w:szCs w:val="18"/>
                <w:lang w:eastAsia="zh-CN"/>
              </w:rPr>
              <w:t>4 577.6</w:t>
            </w:r>
          </w:p>
        </w:tc>
        <w:tc>
          <w:tcPr>
            <w:tcW w:w="901" w:type="dxa"/>
            <w:tcBorders>
              <w:top w:val="nil"/>
              <w:left w:val="nil"/>
              <w:bottom w:val="nil"/>
              <w:right w:val="nil"/>
            </w:tcBorders>
            <w:shd w:val="clear" w:color="auto" w:fill="auto"/>
            <w:noWrap/>
            <w:vAlign w:val="bottom"/>
            <w:hideMark/>
          </w:tcPr>
          <w:p w14:paraId="571F7FD2" w14:textId="5E8A8F8B" w:rsidR="0015126A" w:rsidRPr="00B16F37" w:rsidRDefault="0015126A" w:rsidP="006B6E6D">
            <w:pPr>
              <w:keepNext/>
              <w:keepLines/>
              <w:jc w:val="right"/>
              <w:rPr>
                <w:color w:val="000000"/>
                <w:sz w:val="18"/>
                <w:szCs w:val="18"/>
                <w:lang w:eastAsia="zh-CN"/>
              </w:rPr>
            </w:pPr>
            <w:r w:rsidRPr="00B16F37">
              <w:rPr>
                <w:color w:val="000000" w:themeColor="text1"/>
                <w:sz w:val="18"/>
                <w:szCs w:val="18"/>
                <w:lang w:eastAsia="zh-CN"/>
              </w:rPr>
              <w:t>80.44</w:t>
            </w:r>
          </w:p>
        </w:tc>
        <w:tc>
          <w:tcPr>
            <w:tcW w:w="934" w:type="dxa"/>
            <w:tcBorders>
              <w:top w:val="nil"/>
              <w:left w:val="nil"/>
              <w:bottom w:val="nil"/>
              <w:right w:val="nil"/>
            </w:tcBorders>
            <w:shd w:val="clear" w:color="auto" w:fill="auto"/>
            <w:noWrap/>
            <w:vAlign w:val="bottom"/>
            <w:hideMark/>
          </w:tcPr>
          <w:p w14:paraId="6E778A08" w14:textId="04B1AC5B" w:rsidR="0015126A" w:rsidRPr="00B16F37" w:rsidRDefault="0015126A" w:rsidP="006B6E6D">
            <w:pPr>
              <w:keepNext/>
              <w:keepLines/>
              <w:jc w:val="right"/>
              <w:rPr>
                <w:color w:val="000000"/>
                <w:sz w:val="18"/>
                <w:szCs w:val="18"/>
                <w:lang w:eastAsia="zh-CN"/>
              </w:rPr>
            </w:pPr>
            <w:r w:rsidRPr="00B16F37">
              <w:rPr>
                <w:color w:val="000000"/>
                <w:sz w:val="18"/>
                <w:szCs w:val="18"/>
                <w:lang w:eastAsia="zh-CN"/>
              </w:rPr>
              <w:t>1 113.1</w:t>
            </w:r>
          </w:p>
        </w:tc>
        <w:tc>
          <w:tcPr>
            <w:tcW w:w="901" w:type="dxa"/>
            <w:tcBorders>
              <w:top w:val="nil"/>
              <w:left w:val="nil"/>
              <w:bottom w:val="nil"/>
              <w:right w:val="nil"/>
            </w:tcBorders>
            <w:shd w:val="clear" w:color="auto" w:fill="auto"/>
            <w:noWrap/>
            <w:vAlign w:val="bottom"/>
            <w:hideMark/>
          </w:tcPr>
          <w:p w14:paraId="7AF74093" w14:textId="2F2DBEE8" w:rsidR="0015126A" w:rsidRPr="00B16F37" w:rsidRDefault="0015126A" w:rsidP="006B6E6D">
            <w:pPr>
              <w:keepNext/>
              <w:keepLines/>
              <w:jc w:val="right"/>
              <w:rPr>
                <w:color w:val="000000"/>
                <w:sz w:val="18"/>
                <w:szCs w:val="18"/>
                <w:lang w:eastAsia="zh-CN"/>
              </w:rPr>
            </w:pPr>
            <w:r w:rsidRPr="00B16F37">
              <w:rPr>
                <w:color w:val="000000" w:themeColor="text1"/>
                <w:sz w:val="18"/>
                <w:szCs w:val="18"/>
                <w:lang w:eastAsia="zh-CN"/>
              </w:rPr>
              <w:t>19.56</w:t>
            </w:r>
          </w:p>
        </w:tc>
      </w:tr>
      <w:tr w:rsidR="0015126A" w:rsidRPr="00B16F37" w14:paraId="627BCD58" w14:textId="77777777" w:rsidTr="00931865">
        <w:trPr>
          <w:trHeight w:val="238"/>
          <w:jc w:val="center"/>
        </w:trPr>
        <w:tc>
          <w:tcPr>
            <w:tcW w:w="3788" w:type="dxa"/>
            <w:tcBorders>
              <w:top w:val="nil"/>
              <w:left w:val="nil"/>
              <w:bottom w:val="nil"/>
            </w:tcBorders>
            <w:shd w:val="clear" w:color="auto" w:fill="auto"/>
            <w:noWrap/>
            <w:vAlign w:val="bottom"/>
            <w:hideMark/>
          </w:tcPr>
          <w:p w14:paraId="006595C4" w14:textId="184C3F29" w:rsidR="0015126A" w:rsidRPr="00B16F37" w:rsidRDefault="0015126A" w:rsidP="003B5E42">
            <w:pPr>
              <w:jc w:val="left"/>
              <w:rPr>
                <w:color w:val="000000"/>
                <w:sz w:val="18"/>
                <w:szCs w:val="18"/>
                <w:lang w:eastAsia="zh-CN"/>
              </w:rPr>
            </w:pPr>
            <w:r w:rsidRPr="00B16F37">
              <w:rPr>
                <w:color w:val="000000" w:themeColor="text1"/>
                <w:sz w:val="18"/>
                <w:szCs w:val="18"/>
                <w:lang w:eastAsia="zh-CN"/>
              </w:rPr>
              <w:t>General Trust Fund for</w:t>
            </w:r>
            <w:r w:rsidRPr="00B16F37" w:rsidDel="00575C93">
              <w:rPr>
                <w:color w:val="000000" w:themeColor="text1"/>
                <w:sz w:val="18"/>
                <w:szCs w:val="18"/>
                <w:lang w:eastAsia="zh-CN"/>
              </w:rPr>
              <w:t xml:space="preserve"> </w:t>
            </w:r>
            <w:r w:rsidRPr="00B16F37">
              <w:rPr>
                <w:color w:val="000000" w:themeColor="text1"/>
                <w:sz w:val="18"/>
                <w:szCs w:val="18"/>
                <w:lang w:eastAsia="zh-CN"/>
              </w:rPr>
              <w:t>the Core Programme Budget for the Nagoya Protocol</w:t>
            </w:r>
          </w:p>
        </w:tc>
        <w:tc>
          <w:tcPr>
            <w:tcW w:w="750" w:type="dxa"/>
            <w:tcBorders>
              <w:top w:val="nil"/>
              <w:bottom w:val="single" w:sz="4" w:space="0" w:color="auto"/>
              <w:right w:val="nil"/>
            </w:tcBorders>
            <w:shd w:val="clear" w:color="auto" w:fill="auto"/>
            <w:noWrap/>
            <w:vAlign w:val="bottom"/>
            <w:hideMark/>
          </w:tcPr>
          <w:p w14:paraId="542F376D" w14:textId="401FBFDE" w:rsidR="0015126A" w:rsidRPr="00B16F37" w:rsidRDefault="0015126A" w:rsidP="003B5E42">
            <w:pPr>
              <w:jc w:val="right"/>
              <w:rPr>
                <w:color w:val="000000"/>
                <w:sz w:val="18"/>
                <w:szCs w:val="18"/>
                <w:lang w:eastAsia="zh-CN"/>
              </w:rPr>
            </w:pPr>
            <w:r w:rsidRPr="00B16F37">
              <w:rPr>
                <w:color w:val="000000"/>
                <w:sz w:val="18"/>
                <w:szCs w:val="18"/>
                <w:lang w:eastAsia="zh-CN"/>
              </w:rPr>
              <w:t>4 942.3</w:t>
            </w:r>
          </w:p>
        </w:tc>
        <w:tc>
          <w:tcPr>
            <w:tcW w:w="1019" w:type="dxa"/>
            <w:tcBorders>
              <w:top w:val="nil"/>
              <w:left w:val="nil"/>
              <w:bottom w:val="nil"/>
              <w:right w:val="nil"/>
            </w:tcBorders>
            <w:shd w:val="clear" w:color="auto" w:fill="auto"/>
            <w:noWrap/>
            <w:vAlign w:val="bottom"/>
            <w:hideMark/>
          </w:tcPr>
          <w:p w14:paraId="326E256B" w14:textId="1D10756D" w:rsidR="0015126A" w:rsidRPr="00B16F37" w:rsidRDefault="0015126A" w:rsidP="003B5E42">
            <w:pPr>
              <w:jc w:val="right"/>
              <w:rPr>
                <w:color w:val="000000"/>
                <w:sz w:val="18"/>
                <w:szCs w:val="18"/>
                <w:lang w:eastAsia="zh-CN"/>
              </w:rPr>
            </w:pPr>
            <w:r w:rsidRPr="00B16F37">
              <w:rPr>
                <w:color w:val="000000"/>
                <w:sz w:val="18"/>
                <w:szCs w:val="18"/>
                <w:lang w:eastAsia="zh-CN"/>
              </w:rPr>
              <w:t>3 620.6</w:t>
            </w:r>
          </w:p>
        </w:tc>
        <w:tc>
          <w:tcPr>
            <w:tcW w:w="901" w:type="dxa"/>
            <w:tcBorders>
              <w:top w:val="nil"/>
              <w:left w:val="nil"/>
              <w:bottom w:val="nil"/>
              <w:right w:val="nil"/>
            </w:tcBorders>
            <w:shd w:val="clear" w:color="auto" w:fill="auto"/>
            <w:noWrap/>
            <w:vAlign w:val="bottom"/>
            <w:hideMark/>
          </w:tcPr>
          <w:p w14:paraId="469E5369" w14:textId="1B759EE8" w:rsidR="0015126A" w:rsidRPr="00B16F37" w:rsidRDefault="0015126A" w:rsidP="003B5E42">
            <w:pPr>
              <w:jc w:val="right"/>
              <w:rPr>
                <w:color w:val="000000"/>
                <w:sz w:val="18"/>
                <w:szCs w:val="18"/>
                <w:lang w:eastAsia="zh-CN"/>
              </w:rPr>
            </w:pPr>
            <w:r w:rsidRPr="00B16F37">
              <w:rPr>
                <w:color w:val="000000" w:themeColor="text1"/>
                <w:sz w:val="18"/>
                <w:szCs w:val="18"/>
                <w:lang w:eastAsia="zh-CN"/>
              </w:rPr>
              <w:t>73.26</w:t>
            </w:r>
          </w:p>
        </w:tc>
        <w:tc>
          <w:tcPr>
            <w:tcW w:w="934" w:type="dxa"/>
            <w:tcBorders>
              <w:top w:val="nil"/>
              <w:left w:val="nil"/>
              <w:bottom w:val="nil"/>
              <w:right w:val="nil"/>
            </w:tcBorders>
            <w:shd w:val="clear" w:color="auto" w:fill="auto"/>
            <w:noWrap/>
            <w:vAlign w:val="bottom"/>
            <w:hideMark/>
          </w:tcPr>
          <w:p w14:paraId="42F2BF4E" w14:textId="0A5DE8A0" w:rsidR="0015126A" w:rsidRPr="00B16F37" w:rsidRDefault="0015126A" w:rsidP="003B5E42">
            <w:pPr>
              <w:jc w:val="right"/>
              <w:rPr>
                <w:color w:val="000000"/>
                <w:sz w:val="18"/>
                <w:szCs w:val="18"/>
                <w:lang w:eastAsia="zh-CN"/>
              </w:rPr>
            </w:pPr>
            <w:r w:rsidRPr="00B16F37">
              <w:rPr>
                <w:color w:val="000000"/>
                <w:sz w:val="18"/>
                <w:szCs w:val="18"/>
                <w:lang w:eastAsia="zh-CN"/>
              </w:rPr>
              <w:t>1 321.8</w:t>
            </w:r>
          </w:p>
        </w:tc>
        <w:tc>
          <w:tcPr>
            <w:tcW w:w="901" w:type="dxa"/>
            <w:tcBorders>
              <w:top w:val="nil"/>
              <w:left w:val="nil"/>
              <w:bottom w:val="nil"/>
              <w:right w:val="nil"/>
            </w:tcBorders>
            <w:shd w:val="clear" w:color="auto" w:fill="auto"/>
            <w:noWrap/>
            <w:vAlign w:val="bottom"/>
            <w:hideMark/>
          </w:tcPr>
          <w:p w14:paraId="75A1FD35" w14:textId="4FB1FA65" w:rsidR="0015126A" w:rsidRPr="00B16F37" w:rsidRDefault="0015126A" w:rsidP="003B5E42">
            <w:pPr>
              <w:jc w:val="right"/>
              <w:rPr>
                <w:color w:val="000000"/>
                <w:sz w:val="18"/>
                <w:szCs w:val="18"/>
                <w:lang w:eastAsia="zh-CN"/>
              </w:rPr>
            </w:pPr>
            <w:r w:rsidRPr="00B16F37">
              <w:rPr>
                <w:color w:val="000000" w:themeColor="text1"/>
                <w:sz w:val="18"/>
                <w:szCs w:val="18"/>
                <w:lang w:eastAsia="zh-CN"/>
              </w:rPr>
              <w:t>26.74</w:t>
            </w:r>
          </w:p>
        </w:tc>
      </w:tr>
      <w:tr w:rsidR="0015126A" w:rsidRPr="00B16F37" w14:paraId="51984EAA" w14:textId="77777777" w:rsidTr="00931865">
        <w:trPr>
          <w:trHeight w:val="238"/>
          <w:jc w:val="center"/>
        </w:trPr>
        <w:tc>
          <w:tcPr>
            <w:tcW w:w="3788" w:type="dxa"/>
            <w:tcBorders>
              <w:top w:val="single" w:sz="4" w:space="0" w:color="auto"/>
              <w:left w:val="nil"/>
              <w:bottom w:val="single" w:sz="4" w:space="0" w:color="auto"/>
            </w:tcBorders>
            <w:shd w:val="clear" w:color="auto" w:fill="auto"/>
            <w:noWrap/>
            <w:vAlign w:val="bottom"/>
            <w:hideMark/>
          </w:tcPr>
          <w:p w14:paraId="428182CF" w14:textId="72020D1C" w:rsidR="0015126A" w:rsidRPr="00B16F37" w:rsidRDefault="0015126A" w:rsidP="00361521">
            <w:pPr>
              <w:tabs>
                <w:tab w:val="clear" w:pos="567"/>
                <w:tab w:val="left" w:pos="316"/>
              </w:tabs>
              <w:jc w:val="left"/>
              <w:rPr>
                <w:b/>
                <w:bCs/>
                <w:color w:val="000000"/>
                <w:sz w:val="18"/>
                <w:szCs w:val="18"/>
                <w:lang w:eastAsia="zh-CN"/>
              </w:rPr>
            </w:pPr>
            <w:r w:rsidRPr="00B16F37">
              <w:rPr>
                <w:b/>
                <w:bCs/>
                <w:color w:val="000000" w:themeColor="text1"/>
                <w:sz w:val="18"/>
                <w:szCs w:val="18"/>
                <w:lang w:eastAsia="zh-CN"/>
              </w:rPr>
              <w:tab/>
              <w:t xml:space="preserve">Total </w:t>
            </w:r>
          </w:p>
        </w:tc>
        <w:tc>
          <w:tcPr>
            <w:tcW w:w="750" w:type="dxa"/>
            <w:tcBorders>
              <w:top w:val="single" w:sz="4" w:space="0" w:color="auto"/>
              <w:bottom w:val="single" w:sz="4" w:space="0" w:color="auto"/>
              <w:right w:val="nil"/>
            </w:tcBorders>
            <w:shd w:val="clear" w:color="auto" w:fill="auto"/>
            <w:noWrap/>
            <w:vAlign w:val="bottom"/>
            <w:hideMark/>
          </w:tcPr>
          <w:p w14:paraId="7D8410DE" w14:textId="79DFDE56" w:rsidR="0015126A" w:rsidRPr="00B16F37" w:rsidRDefault="0015126A" w:rsidP="003B5E42">
            <w:pPr>
              <w:jc w:val="right"/>
              <w:rPr>
                <w:b/>
                <w:bCs/>
                <w:color w:val="000000"/>
                <w:sz w:val="18"/>
                <w:szCs w:val="18"/>
                <w:lang w:eastAsia="zh-CN"/>
              </w:rPr>
            </w:pPr>
            <w:r w:rsidRPr="00B16F37">
              <w:rPr>
                <w:b/>
                <w:bCs/>
                <w:color w:val="000000"/>
                <w:sz w:val="18"/>
                <w:szCs w:val="18"/>
                <w:lang w:eastAsia="zh-CN"/>
              </w:rPr>
              <w:t>37 948.4</w:t>
            </w:r>
          </w:p>
        </w:tc>
        <w:tc>
          <w:tcPr>
            <w:tcW w:w="1019" w:type="dxa"/>
            <w:tcBorders>
              <w:top w:val="single" w:sz="4" w:space="0" w:color="auto"/>
              <w:left w:val="nil"/>
              <w:bottom w:val="single" w:sz="4" w:space="0" w:color="auto"/>
              <w:right w:val="nil"/>
            </w:tcBorders>
            <w:shd w:val="clear" w:color="auto" w:fill="auto"/>
            <w:noWrap/>
            <w:vAlign w:val="bottom"/>
            <w:hideMark/>
          </w:tcPr>
          <w:p w14:paraId="4E881467" w14:textId="1C618DCB" w:rsidR="0015126A" w:rsidRPr="00B16F37" w:rsidRDefault="0015126A" w:rsidP="003B5E42">
            <w:pPr>
              <w:jc w:val="right"/>
              <w:rPr>
                <w:b/>
                <w:bCs/>
                <w:color w:val="000000"/>
                <w:sz w:val="18"/>
                <w:szCs w:val="18"/>
                <w:lang w:eastAsia="zh-CN"/>
              </w:rPr>
            </w:pPr>
            <w:r w:rsidRPr="00B16F37">
              <w:rPr>
                <w:b/>
                <w:bCs/>
                <w:color w:val="000000"/>
                <w:sz w:val="18"/>
                <w:szCs w:val="18"/>
                <w:lang w:eastAsia="zh-CN"/>
              </w:rPr>
              <w:t>29 541.8</w:t>
            </w:r>
          </w:p>
        </w:tc>
        <w:tc>
          <w:tcPr>
            <w:tcW w:w="901" w:type="dxa"/>
            <w:tcBorders>
              <w:top w:val="single" w:sz="4" w:space="0" w:color="auto"/>
              <w:left w:val="nil"/>
              <w:bottom w:val="single" w:sz="4" w:space="0" w:color="auto"/>
              <w:right w:val="nil"/>
            </w:tcBorders>
            <w:shd w:val="clear" w:color="auto" w:fill="auto"/>
            <w:noWrap/>
            <w:vAlign w:val="bottom"/>
            <w:hideMark/>
          </w:tcPr>
          <w:p w14:paraId="558381B8" w14:textId="658964A8" w:rsidR="0015126A" w:rsidRPr="00B16F37" w:rsidRDefault="0015126A" w:rsidP="003B5E42">
            <w:pPr>
              <w:jc w:val="right"/>
              <w:rPr>
                <w:b/>
                <w:bCs/>
                <w:color w:val="000000"/>
                <w:sz w:val="18"/>
                <w:szCs w:val="18"/>
                <w:lang w:eastAsia="zh-CN"/>
              </w:rPr>
            </w:pPr>
            <w:r w:rsidRPr="00B16F37">
              <w:rPr>
                <w:b/>
                <w:bCs/>
                <w:color w:val="000000" w:themeColor="text1"/>
                <w:sz w:val="18"/>
                <w:szCs w:val="18"/>
                <w:lang w:eastAsia="zh-CN"/>
              </w:rPr>
              <w:t>77.85</w:t>
            </w:r>
          </w:p>
        </w:tc>
        <w:tc>
          <w:tcPr>
            <w:tcW w:w="934" w:type="dxa"/>
            <w:tcBorders>
              <w:top w:val="single" w:sz="4" w:space="0" w:color="auto"/>
              <w:left w:val="nil"/>
              <w:bottom w:val="single" w:sz="4" w:space="0" w:color="auto"/>
              <w:right w:val="nil"/>
            </w:tcBorders>
            <w:shd w:val="clear" w:color="auto" w:fill="auto"/>
            <w:noWrap/>
            <w:vAlign w:val="bottom"/>
            <w:hideMark/>
          </w:tcPr>
          <w:p w14:paraId="31144291" w14:textId="62E77EE9" w:rsidR="0015126A" w:rsidRPr="00B16F37" w:rsidRDefault="0015126A" w:rsidP="003B5E42">
            <w:pPr>
              <w:jc w:val="right"/>
              <w:rPr>
                <w:b/>
                <w:bCs/>
                <w:color w:val="000000"/>
                <w:sz w:val="18"/>
                <w:szCs w:val="18"/>
                <w:lang w:eastAsia="zh-CN"/>
              </w:rPr>
            </w:pPr>
            <w:r w:rsidRPr="00B16F37">
              <w:rPr>
                <w:b/>
                <w:bCs/>
                <w:color w:val="000000"/>
                <w:sz w:val="18"/>
                <w:szCs w:val="18"/>
                <w:lang w:eastAsia="zh-CN"/>
              </w:rPr>
              <w:t>8 406.7</w:t>
            </w:r>
          </w:p>
        </w:tc>
        <w:tc>
          <w:tcPr>
            <w:tcW w:w="901" w:type="dxa"/>
            <w:tcBorders>
              <w:top w:val="single" w:sz="4" w:space="0" w:color="auto"/>
              <w:left w:val="nil"/>
              <w:bottom w:val="single" w:sz="4" w:space="0" w:color="auto"/>
              <w:right w:val="nil"/>
            </w:tcBorders>
            <w:shd w:val="clear" w:color="auto" w:fill="auto"/>
            <w:noWrap/>
            <w:vAlign w:val="bottom"/>
            <w:hideMark/>
          </w:tcPr>
          <w:p w14:paraId="714A7C88" w14:textId="65FC907A" w:rsidR="0015126A" w:rsidRPr="00B16F37" w:rsidRDefault="0015126A" w:rsidP="003B5E42">
            <w:pPr>
              <w:jc w:val="right"/>
              <w:rPr>
                <w:b/>
                <w:bCs/>
                <w:color w:val="000000"/>
                <w:sz w:val="18"/>
                <w:szCs w:val="18"/>
                <w:lang w:eastAsia="zh-CN"/>
              </w:rPr>
            </w:pPr>
            <w:r w:rsidRPr="00B16F37">
              <w:rPr>
                <w:b/>
                <w:bCs/>
                <w:color w:val="000000" w:themeColor="text1"/>
                <w:sz w:val="18"/>
                <w:szCs w:val="18"/>
                <w:lang w:eastAsia="zh-CN"/>
              </w:rPr>
              <w:t>22.15</w:t>
            </w:r>
          </w:p>
        </w:tc>
      </w:tr>
    </w:tbl>
    <w:p w14:paraId="79CB0351" w14:textId="3EEEAD77" w:rsidR="0015126A" w:rsidRPr="00B16F37" w:rsidRDefault="0015126A" w:rsidP="00361521">
      <w:pPr>
        <w:pStyle w:val="CBDNormalNumber"/>
        <w:rPr>
          <w:rFonts w:eastAsia="Malgun Gothic"/>
          <w:kern w:val="22"/>
        </w:rPr>
      </w:pPr>
      <w:r w:rsidRPr="00B16F37">
        <w:t xml:space="preserve">As shown in table 3, as </w:t>
      </w:r>
      <w:proofErr w:type="gramStart"/>
      <w:r w:rsidRPr="00B16F37">
        <w:t>at</w:t>
      </w:r>
      <w:proofErr w:type="gramEnd"/>
      <w:r w:rsidRPr="00B16F37">
        <w:t xml:space="preserve"> 31 July 2024, 77.85 per cent of total assessed contributions for the 2023</w:t>
      </w:r>
      <w:r w:rsidRPr="00B16F37">
        <w:rPr>
          <w:kern w:val="22"/>
        </w:rPr>
        <w:t>–</w:t>
      </w:r>
      <w:r w:rsidRPr="00B16F37">
        <w:t xml:space="preserve">2024 biennium were paid by the Parties. As shown in table 4, as at the same date, 92 Parties to the Convention, 82 Parties to the Cartagena Protocol and 59 Parties to the Nagoya Protocol had paid their </w:t>
      </w:r>
      <w:r w:rsidR="0025544E" w:rsidRPr="00B16F37">
        <w:t xml:space="preserve">assessed contributions </w:t>
      </w:r>
      <w:r w:rsidRPr="00B16F37">
        <w:t xml:space="preserve">for 2023 in full. </w:t>
      </w:r>
      <w:proofErr w:type="gramStart"/>
      <w:r w:rsidRPr="00B16F37">
        <w:t>With regard to</w:t>
      </w:r>
      <w:proofErr w:type="gramEnd"/>
      <w:r w:rsidRPr="00B16F37">
        <w:t xml:space="preserve"> 2024, 51 Parties to the Convention, 49 Parties to the </w:t>
      </w:r>
      <w:r w:rsidRPr="00B16F37">
        <w:rPr>
          <w:kern w:val="22"/>
        </w:rPr>
        <w:t>Cartagena</w:t>
      </w:r>
      <w:r w:rsidRPr="00B16F37">
        <w:t xml:space="preserve"> Protocol and 29 Parties to the Nagoya Protocol had paid their assessed </w:t>
      </w:r>
      <w:r w:rsidR="0025544E" w:rsidRPr="00B16F37">
        <w:t xml:space="preserve">contributions </w:t>
      </w:r>
      <w:r w:rsidRPr="00B16F37">
        <w:t>in full.</w:t>
      </w:r>
    </w:p>
    <w:p w14:paraId="0B908333" w14:textId="2FAB14F3" w:rsidR="0015126A" w:rsidRPr="00B16F37" w:rsidRDefault="0015126A" w:rsidP="00361521">
      <w:pPr>
        <w:pStyle w:val="CBDTableTitle"/>
        <w:rPr>
          <w:rFonts w:eastAsia="Malgun Gothic"/>
        </w:rPr>
      </w:pPr>
      <w:r w:rsidRPr="00B16F37">
        <w:rPr>
          <w:rFonts w:hint="eastAsia"/>
          <w:b w:val="0"/>
          <w:bCs/>
          <w:lang w:eastAsia="en-CA"/>
        </w:rPr>
        <w:t>Table 4</w:t>
      </w:r>
      <w:r w:rsidRPr="00B16F37">
        <w:rPr>
          <w:lang w:eastAsia="en-CA"/>
        </w:rPr>
        <w:t xml:space="preserve"> </w:t>
      </w:r>
      <w:r w:rsidRPr="00B16F37">
        <w:rPr>
          <w:lang w:eastAsia="en-CA"/>
        </w:rPr>
        <w:br/>
      </w:r>
      <w:r w:rsidR="0025544E" w:rsidRPr="00B16F37">
        <w:rPr>
          <w:lang w:eastAsia="en-CA"/>
        </w:rPr>
        <w:t xml:space="preserve">Status of assessed contributions </w:t>
      </w:r>
      <w:r w:rsidRPr="00B16F37">
        <w:rPr>
          <w:lang w:eastAsia="en-CA"/>
        </w:rPr>
        <w:t>for the biennium 2023</w:t>
      </w:r>
      <w:r w:rsidRPr="00B16F37">
        <w:t>–</w:t>
      </w:r>
      <w:r w:rsidRPr="00B16F37">
        <w:rPr>
          <w:lang w:eastAsia="en-CA"/>
        </w:rPr>
        <w:t xml:space="preserve">2024 in full as </w:t>
      </w:r>
      <w:proofErr w:type="gramStart"/>
      <w:r w:rsidRPr="00B16F37">
        <w:rPr>
          <w:lang w:eastAsia="en-CA"/>
        </w:rPr>
        <w:t>at</w:t>
      </w:r>
      <w:proofErr w:type="gramEnd"/>
      <w:r w:rsidRPr="00B16F37">
        <w:rPr>
          <w:lang w:eastAsia="en-CA"/>
        </w:rPr>
        <w:t xml:space="preserve"> 31</w:t>
      </w:r>
      <w:r w:rsidR="000111F8" w:rsidRPr="00B16F37">
        <w:rPr>
          <w:lang w:eastAsia="en-CA"/>
        </w:rPr>
        <w:t> </w:t>
      </w:r>
      <w:r w:rsidRPr="00B16F37">
        <w:rPr>
          <w:lang w:eastAsia="en-CA"/>
        </w:rPr>
        <w:t>July 2024</w:t>
      </w:r>
    </w:p>
    <w:tbl>
      <w:tblPr>
        <w:tblW w:w="9022" w:type="dxa"/>
        <w:jc w:val="center"/>
        <w:tblLook w:val="04A0" w:firstRow="1" w:lastRow="0" w:firstColumn="1" w:lastColumn="0" w:noHBand="0" w:noVBand="1"/>
      </w:tblPr>
      <w:tblGrid>
        <w:gridCol w:w="3786"/>
        <w:gridCol w:w="796"/>
        <w:gridCol w:w="1177"/>
        <w:gridCol w:w="1036"/>
        <w:gridCol w:w="1211"/>
        <w:gridCol w:w="1036"/>
      </w:tblGrid>
      <w:tr w:rsidR="0015126A" w:rsidRPr="00B16F37" w14:paraId="12056679" w14:textId="77777777" w:rsidTr="00361521">
        <w:trPr>
          <w:trHeight w:val="433"/>
          <w:jc w:val="center"/>
        </w:trPr>
        <w:tc>
          <w:tcPr>
            <w:tcW w:w="3786" w:type="dxa"/>
            <w:vMerge w:val="restart"/>
            <w:tcBorders>
              <w:top w:val="single" w:sz="4" w:space="0" w:color="auto"/>
              <w:left w:val="nil"/>
              <w:bottom w:val="single" w:sz="4" w:space="0" w:color="000000"/>
              <w:right w:val="nil"/>
            </w:tcBorders>
            <w:shd w:val="clear" w:color="auto" w:fill="auto"/>
            <w:noWrap/>
            <w:vAlign w:val="bottom"/>
            <w:hideMark/>
          </w:tcPr>
          <w:p w14:paraId="470EAA9B" w14:textId="514F76E2" w:rsidR="0015126A" w:rsidRPr="00B16F37" w:rsidRDefault="0015126A" w:rsidP="00361521">
            <w:pPr>
              <w:keepNext/>
              <w:keepLines/>
              <w:jc w:val="left"/>
              <w:rPr>
                <w:i/>
                <w:iCs/>
                <w:color w:val="000000"/>
                <w:sz w:val="18"/>
                <w:szCs w:val="18"/>
                <w:lang w:eastAsia="zh-CN"/>
              </w:rPr>
            </w:pPr>
            <w:r w:rsidRPr="00B16F37">
              <w:rPr>
                <w:i/>
                <w:iCs/>
                <w:color w:val="000000"/>
                <w:sz w:val="18"/>
                <w:szCs w:val="18"/>
                <w:lang w:eastAsia="zh-CN"/>
              </w:rPr>
              <w:t>Trust fund</w:t>
            </w:r>
          </w:p>
        </w:tc>
        <w:tc>
          <w:tcPr>
            <w:tcW w:w="796" w:type="dxa"/>
            <w:vMerge w:val="restart"/>
            <w:tcBorders>
              <w:top w:val="single" w:sz="4" w:space="0" w:color="auto"/>
              <w:left w:val="nil"/>
              <w:bottom w:val="single" w:sz="4" w:space="0" w:color="000000"/>
              <w:right w:val="nil"/>
            </w:tcBorders>
            <w:shd w:val="clear" w:color="auto" w:fill="auto"/>
            <w:vAlign w:val="bottom"/>
            <w:hideMark/>
          </w:tcPr>
          <w:p w14:paraId="18B3E6DC" w14:textId="77777777" w:rsidR="0015126A" w:rsidRPr="00B16F37" w:rsidRDefault="0015126A" w:rsidP="00361521">
            <w:pPr>
              <w:keepNext/>
              <w:keepLines/>
              <w:jc w:val="right"/>
              <w:rPr>
                <w:i/>
                <w:iCs/>
                <w:color w:val="000000"/>
                <w:sz w:val="18"/>
                <w:szCs w:val="18"/>
                <w:lang w:eastAsia="zh-CN"/>
              </w:rPr>
            </w:pPr>
            <w:r w:rsidRPr="00B16F37">
              <w:rPr>
                <w:i/>
                <w:iCs/>
                <w:color w:val="000000"/>
                <w:sz w:val="18"/>
                <w:szCs w:val="18"/>
                <w:lang w:eastAsia="zh-CN"/>
              </w:rPr>
              <w:t>Number of Parties</w:t>
            </w:r>
          </w:p>
        </w:tc>
        <w:tc>
          <w:tcPr>
            <w:tcW w:w="1157" w:type="dxa"/>
            <w:vMerge w:val="restart"/>
            <w:tcBorders>
              <w:top w:val="single" w:sz="4" w:space="0" w:color="auto"/>
              <w:left w:val="nil"/>
              <w:bottom w:val="single" w:sz="4" w:space="0" w:color="000000"/>
              <w:right w:val="nil"/>
            </w:tcBorders>
            <w:shd w:val="clear" w:color="auto" w:fill="auto"/>
            <w:vAlign w:val="bottom"/>
            <w:hideMark/>
          </w:tcPr>
          <w:p w14:paraId="48AC44A3" w14:textId="075524DF" w:rsidR="0015126A" w:rsidRPr="00B16F37" w:rsidRDefault="0015126A" w:rsidP="00361521">
            <w:pPr>
              <w:keepNext/>
              <w:keepLines/>
              <w:jc w:val="right"/>
              <w:rPr>
                <w:i/>
                <w:iCs/>
                <w:color w:val="000000"/>
                <w:sz w:val="18"/>
                <w:szCs w:val="18"/>
                <w:lang w:eastAsia="zh-CN"/>
              </w:rPr>
            </w:pPr>
            <w:r w:rsidRPr="00B16F37">
              <w:rPr>
                <w:i/>
                <w:iCs/>
                <w:color w:val="000000"/>
                <w:sz w:val="18"/>
                <w:szCs w:val="18"/>
                <w:lang w:eastAsia="zh-CN"/>
              </w:rPr>
              <w:t xml:space="preserve">Number of Parties that had paid their </w:t>
            </w:r>
            <w:r w:rsidR="0025544E" w:rsidRPr="00B16F37">
              <w:rPr>
                <w:i/>
                <w:iCs/>
                <w:color w:val="000000"/>
                <w:sz w:val="18"/>
                <w:szCs w:val="18"/>
                <w:lang w:eastAsia="zh-CN"/>
              </w:rPr>
              <w:t xml:space="preserve">assessed contributions </w:t>
            </w:r>
            <w:r w:rsidRPr="00B16F37">
              <w:rPr>
                <w:i/>
                <w:iCs/>
                <w:color w:val="000000"/>
                <w:sz w:val="18"/>
                <w:szCs w:val="18"/>
                <w:lang w:eastAsia="zh-CN"/>
              </w:rPr>
              <w:t>for 2023 in full</w:t>
            </w:r>
          </w:p>
        </w:tc>
        <w:tc>
          <w:tcPr>
            <w:tcW w:w="1036" w:type="dxa"/>
            <w:vMerge w:val="restart"/>
            <w:tcBorders>
              <w:top w:val="single" w:sz="4" w:space="0" w:color="auto"/>
              <w:left w:val="nil"/>
              <w:bottom w:val="single" w:sz="4" w:space="0" w:color="000000"/>
              <w:right w:val="nil"/>
            </w:tcBorders>
            <w:shd w:val="clear" w:color="auto" w:fill="auto"/>
            <w:noWrap/>
            <w:vAlign w:val="bottom"/>
            <w:hideMark/>
          </w:tcPr>
          <w:p w14:paraId="13D1FC55" w14:textId="77777777" w:rsidR="0015126A" w:rsidRPr="00B16F37" w:rsidRDefault="0015126A" w:rsidP="00361521">
            <w:pPr>
              <w:keepNext/>
              <w:keepLines/>
              <w:jc w:val="right"/>
              <w:rPr>
                <w:i/>
                <w:iCs/>
                <w:color w:val="000000"/>
                <w:sz w:val="18"/>
                <w:szCs w:val="18"/>
                <w:lang w:eastAsia="zh-CN"/>
              </w:rPr>
            </w:pPr>
            <w:r w:rsidRPr="00B16F37">
              <w:rPr>
                <w:i/>
                <w:iCs/>
                <w:color w:val="000000"/>
                <w:sz w:val="18"/>
                <w:szCs w:val="18"/>
                <w:lang w:eastAsia="zh-CN"/>
              </w:rPr>
              <w:t>Percentage</w:t>
            </w:r>
          </w:p>
        </w:tc>
        <w:tc>
          <w:tcPr>
            <w:tcW w:w="1211" w:type="dxa"/>
            <w:vMerge w:val="restart"/>
            <w:tcBorders>
              <w:top w:val="single" w:sz="4" w:space="0" w:color="auto"/>
              <w:left w:val="nil"/>
              <w:bottom w:val="single" w:sz="4" w:space="0" w:color="000000"/>
              <w:right w:val="nil"/>
            </w:tcBorders>
            <w:shd w:val="clear" w:color="auto" w:fill="auto"/>
            <w:vAlign w:val="bottom"/>
            <w:hideMark/>
          </w:tcPr>
          <w:p w14:paraId="79C9F78E" w14:textId="4B3F6203" w:rsidR="0015126A" w:rsidRPr="00B16F37" w:rsidRDefault="0015126A" w:rsidP="00361521">
            <w:pPr>
              <w:keepNext/>
              <w:keepLines/>
              <w:jc w:val="right"/>
              <w:rPr>
                <w:i/>
                <w:iCs/>
                <w:color w:val="000000"/>
                <w:sz w:val="18"/>
                <w:szCs w:val="18"/>
                <w:lang w:eastAsia="zh-CN"/>
              </w:rPr>
            </w:pPr>
            <w:r w:rsidRPr="00B16F37">
              <w:rPr>
                <w:i/>
                <w:iCs/>
                <w:color w:val="000000"/>
                <w:sz w:val="18"/>
                <w:szCs w:val="18"/>
                <w:lang w:eastAsia="zh-CN"/>
              </w:rPr>
              <w:t xml:space="preserve">Number of Parties that had paid their </w:t>
            </w:r>
            <w:r w:rsidR="0025544E" w:rsidRPr="00B16F37">
              <w:rPr>
                <w:i/>
                <w:iCs/>
                <w:color w:val="000000"/>
                <w:sz w:val="18"/>
                <w:szCs w:val="18"/>
                <w:lang w:eastAsia="zh-CN"/>
              </w:rPr>
              <w:t xml:space="preserve">assessed contributions </w:t>
            </w:r>
            <w:r w:rsidRPr="00B16F37">
              <w:rPr>
                <w:i/>
                <w:iCs/>
                <w:color w:val="000000"/>
                <w:sz w:val="18"/>
                <w:szCs w:val="18"/>
                <w:lang w:eastAsia="zh-CN"/>
              </w:rPr>
              <w:t>in full</w:t>
            </w:r>
          </w:p>
        </w:tc>
        <w:tc>
          <w:tcPr>
            <w:tcW w:w="1036" w:type="dxa"/>
            <w:vMerge w:val="restart"/>
            <w:tcBorders>
              <w:top w:val="single" w:sz="4" w:space="0" w:color="auto"/>
              <w:left w:val="nil"/>
              <w:bottom w:val="single" w:sz="4" w:space="0" w:color="000000"/>
              <w:right w:val="nil"/>
            </w:tcBorders>
            <w:shd w:val="clear" w:color="auto" w:fill="auto"/>
            <w:noWrap/>
            <w:vAlign w:val="bottom"/>
            <w:hideMark/>
          </w:tcPr>
          <w:p w14:paraId="542B0902" w14:textId="77777777" w:rsidR="0015126A" w:rsidRPr="00B16F37" w:rsidRDefault="0015126A" w:rsidP="00361521">
            <w:pPr>
              <w:keepNext/>
              <w:keepLines/>
              <w:jc w:val="right"/>
              <w:rPr>
                <w:i/>
                <w:iCs/>
                <w:color w:val="000000"/>
                <w:sz w:val="18"/>
                <w:szCs w:val="18"/>
                <w:lang w:eastAsia="zh-CN"/>
              </w:rPr>
            </w:pPr>
            <w:r w:rsidRPr="00B16F37">
              <w:rPr>
                <w:i/>
                <w:iCs/>
                <w:color w:val="000000"/>
                <w:sz w:val="18"/>
                <w:szCs w:val="18"/>
                <w:lang w:eastAsia="zh-CN"/>
              </w:rPr>
              <w:t>Percentage</w:t>
            </w:r>
          </w:p>
        </w:tc>
      </w:tr>
      <w:tr w:rsidR="0015126A" w:rsidRPr="00B16F37" w14:paraId="1A43E40D" w14:textId="77777777" w:rsidTr="00E20C80">
        <w:trPr>
          <w:trHeight w:val="433"/>
          <w:jc w:val="center"/>
        </w:trPr>
        <w:tc>
          <w:tcPr>
            <w:tcW w:w="3786" w:type="dxa"/>
            <w:vMerge/>
            <w:tcBorders>
              <w:top w:val="single" w:sz="4" w:space="0" w:color="auto"/>
              <w:left w:val="nil"/>
              <w:bottom w:val="single" w:sz="4" w:space="0" w:color="000000"/>
              <w:right w:val="nil"/>
            </w:tcBorders>
            <w:vAlign w:val="center"/>
            <w:hideMark/>
          </w:tcPr>
          <w:p w14:paraId="7438F424" w14:textId="77777777" w:rsidR="0015126A" w:rsidRPr="00B16F37" w:rsidRDefault="0015126A" w:rsidP="00361521">
            <w:pPr>
              <w:keepNext/>
              <w:keepLines/>
              <w:jc w:val="left"/>
              <w:rPr>
                <w:b/>
                <w:bCs/>
                <w:color w:val="000000"/>
                <w:sz w:val="18"/>
                <w:szCs w:val="18"/>
                <w:lang w:eastAsia="zh-CN"/>
              </w:rPr>
            </w:pPr>
          </w:p>
        </w:tc>
        <w:tc>
          <w:tcPr>
            <w:tcW w:w="796" w:type="dxa"/>
            <w:vMerge/>
            <w:tcBorders>
              <w:top w:val="single" w:sz="4" w:space="0" w:color="auto"/>
              <w:left w:val="nil"/>
              <w:bottom w:val="single" w:sz="4" w:space="0" w:color="000000"/>
              <w:right w:val="nil"/>
            </w:tcBorders>
            <w:vAlign w:val="center"/>
            <w:hideMark/>
          </w:tcPr>
          <w:p w14:paraId="47FAEE28" w14:textId="77777777" w:rsidR="0015126A" w:rsidRPr="00B16F37" w:rsidRDefault="0015126A" w:rsidP="00361521">
            <w:pPr>
              <w:keepNext/>
              <w:keepLines/>
              <w:jc w:val="left"/>
              <w:rPr>
                <w:b/>
                <w:bCs/>
                <w:color w:val="000000"/>
                <w:sz w:val="18"/>
                <w:szCs w:val="18"/>
                <w:lang w:eastAsia="zh-CN"/>
              </w:rPr>
            </w:pPr>
          </w:p>
        </w:tc>
        <w:tc>
          <w:tcPr>
            <w:tcW w:w="1157" w:type="dxa"/>
            <w:vMerge/>
            <w:tcBorders>
              <w:top w:val="single" w:sz="4" w:space="0" w:color="auto"/>
              <w:left w:val="nil"/>
              <w:bottom w:val="single" w:sz="4" w:space="0" w:color="000000"/>
              <w:right w:val="nil"/>
            </w:tcBorders>
            <w:vAlign w:val="center"/>
            <w:hideMark/>
          </w:tcPr>
          <w:p w14:paraId="008F4FB9" w14:textId="77777777" w:rsidR="0015126A" w:rsidRPr="00B16F37" w:rsidRDefault="0015126A" w:rsidP="00361521">
            <w:pPr>
              <w:keepNext/>
              <w:keepLines/>
              <w:jc w:val="left"/>
              <w:rPr>
                <w:b/>
                <w:bCs/>
                <w:color w:val="000000"/>
                <w:sz w:val="18"/>
                <w:szCs w:val="18"/>
                <w:lang w:eastAsia="zh-CN"/>
              </w:rPr>
            </w:pPr>
          </w:p>
        </w:tc>
        <w:tc>
          <w:tcPr>
            <w:tcW w:w="1036" w:type="dxa"/>
            <w:vMerge/>
            <w:tcBorders>
              <w:top w:val="single" w:sz="4" w:space="0" w:color="auto"/>
              <w:left w:val="nil"/>
              <w:bottom w:val="single" w:sz="4" w:space="0" w:color="000000"/>
              <w:right w:val="nil"/>
            </w:tcBorders>
            <w:vAlign w:val="center"/>
            <w:hideMark/>
          </w:tcPr>
          <w:p w14:paraId="14F221DC" w14:textId="77777777" w:rsidR="0015126A" w:rsidRPr="00B16F37" w:rsidRDefault="0015126A" w:rsidP="00361521">
            <w:pPr>
              <w:keepNext/>
              <w:keepLines/>
              <w:jc w:val="left"/>
              <w:rPr>
                <w:b/>
                <w:bCs/>
                <w:color w:val="000000"/>
                <w:sz w:val="18"/>
                <w:szCs w:val="18"/>
                <w:lang w:eastAsia="zh-CN"/>
              </w:rPr>
            </w:pPr>
          </w:p>
        </w:tc>
        <w:tc>
          <w:tcPr>
            <w:tcW w:w="1211" w:type="dxa"/>
            <w:vMerge/>
            <w:tcBorders>
              <w:top w:val="single" w:sz="4" w:space="0" w:color="auto"/>
              <w:left w:val="nil"/>
              <w:bottom w:val="single" w:sz="4" w:space="0" w:color="000000"/>
              <w:right w:val="nil"/>
            </w:tcBorders>
            <w:vAlign w:val="center"/>
            <w:hideMark/>
          </w:tcPr>
          <w:p w14:paraId="2809AA80" w14:textId="77777777" w:rsidR="0015126A" w:rsidRPr="00B16F37" w:rsidRDefault="0015126A" w:rsidP="00361521">
            <w:pPr>
              <w:keepNext/>
              <w:keepLines/>
              <w:jc w:val="left"/>
              <w:rPr>
                <w:b/>
                <w:bCs/>
                <w:color w:val="000000"/>
                <w:sz w:val="18"/>
                <w:szCs w:val="18"/>
                <w:lang w:eastAsia="zh-CN"/>
              </w:rPr>
            </w:pPr>
          </w:p>
        </w:tc>
        <w:tc>
          <w:tcPr>
            <w:tcW w:w="1036" w:type="dxa"/>
            <w:vMerge/>
            <w:tcBorders>
              <w:top w:val="single" w:sz="4" w:space="0" w:color="auto"/>
              <w:left w:val="nil"/>
              <w:bottom w:val="single" w:sz="4" w:space="0" w:color="000000"/>
              <w:right w:val="nil"/>
            </w:tcBorders>
            <w:vAlign w:val="center"/>
            <w:hideMark/>
          </w:tcPr>
          <w:p w14:paraId="15DEAA9C" w14:textId="77777777" w:rsidR="0015126A" w:rsidRPr="00B16F37" w:rsidRDefault="0015126A" w:rsidP="00361521">
            <w:pPr>
              <w:keepNext/>
              <w:keepLines/>
              <w:jc w:val="left"/>
              <w:rPr>
                <w:b/>
                <w:bCs/>
                <w:color w:val="000000"/>
                <w:sz w:val="18"/>
                <w:szCs w:val="18"/>
                <w:lang w:eastAsia="zh-CN"/>
              </w:rPr>
            </w:pPr>
          </w:p>
        </w:tc>
      </w:tr>
      <w:tr w:rsidR="0015126A" w:rsidRPr="00B16F37" w14:paraId="40C2B172" w14:textId="77777777" w:rsidTr="00361521">
        <w:trPr>
          <w:trHeight w:val="265"/>
          <w:jc w:val="center"/>
        </w:trPr>
        <w:tc>
          <w:tcPr>
            <w:tcW w:w="3786" w:type="dxa"/>
            <w:tcBorders>
              <w:top w:val="nil"/>
              <w:left w:val="nil"/>
              <w:bottom w:val="nil"/>
              <w:right w:val="nil"/>
            </w:tcBorders>
            <w:shd w:val="clear" w:color="auto" w:fill="auto"/>
            <w:noWrap/>
            <w:vAlign w:val="bottom"/>
            <w:hideMark/>
          </w:tcPr>
          <w:p w14:paraId="3990797D" w14:textId="2708C834" w:rsidR="0015126A" w:rsidRPr="00B16F37" w:rsidRDefault="0015126A" w:rsidP="00361521">
            <w:pPr>
              <w:keepNext/>
              <w:keepLines/>
              <w:jc w:val="left"/>
              <w:rPr>
                <w:color w:val="000000"/>
                <w:sz w:val="18"/>
                <w:szCs w:val="18"/>
                <w:lang w:eastAsia="zh-CN"/>
              </w:rPr>
            </w:pPr>
            <w:r w:rsidRPr="00B16F37">
              <w:rPr>
                <w:color w:val="000000" w:themeColor="text1"/>
                <w:sz w:val="18"/>
                <w:szCs w:val="18"/>
                <w:lang w:eastAsia="zh-CN"/>
              </w:rPr>
              <w:t>General Trust Fund for</w:t>
            </w:r>
            <w:r w:rsidRPr="00B16F37" w:rsidDel="00575C93">
              <w:rPr>
                <w:color w:val="000000" w:themeColor="text1"/>
                <w:sz w:val="18"/>
                <w:szCs w:val="18"/>
                <w:lang w:eastAsia="zh-CN"/>
              </w:rPr>
              <w:t xml:space="preserve"> </w:t>
            </w:r>
            <w:r w:rsidRPr="00B16F37">
              <w:rPr>
                <w:color w:val="000000" w:themeColor="text1"/>
                <w:sz w:val="18"/>
                <w:szCs w:val="18"/>
                <w:lang w:eastAsia="zh-CN"/>
              </w:rPr>
              <w:t xml:space="preserve">the </w:t>
            </w:r>
            <w:r w:rsidRPr="00B16F37">
              <w:rPr>
                <w:color w:val="000000"/>
                <w:sz w:val="18"/>
                <w:szCs w:val="18"/>
                <w:lang w:eastAsia="zh-CN"/>
              </w:rPr>
              <w:t>Convention</w:t>
            </w:r>
          </w:p>
        </w:tc>
        <w:tc>
          <w:tcPr>
            <w:tcW w:w="796" w:type="dxa"/>
            <w:tcBorders>
              <w:top w:val="nil"/>
              <w:left w:val="nil"/>
              <w:bottom w:val="nil"/>
              <w:right w:val="nil"/>
            </w:tcBorders>
            <w:shd w:val="clear" w:color="auto" w:fill="auto"/>
            <w:noWrap/>
            <w:vAlign w:val="center"/>
            <w:hideMark/>
          </w:tcPr>
          <w:p w14:paraId="7691796D" w14:textId="77777777"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196</w:t>
            </w:r>
          </w:p>
        </w:tc>
        <w:tc>
          <w:tcPr>
            <w:tcW w:w="1157" w:type="dxa"/>
            <w:tcBorders>
              <w:top w:val="nil"/>
              <w:left w:val="nil"/>
              <w:bottom w:val="nil"/>
              <w:right w:val="nil"/>
            </w:tcBorders>
            <w:shd w:val="clear" w:color="auto" w:fill="auto"/>
            <w:noWrap/>
            <w:vAlign w:val="center"/>
            <w:hideMark/>
          </w:tcPr>
          <w:p w14:paraId="45EC37FE" w14:textId="28B2887B"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92</w:t>
            </w:r>
          </w:p>
        </w:tc>
        <w:tc>
          <w:tcPr>
            <w:tcW w:w="1036" w:type="dxa"/>
            <w:tcBorders>
              <w:top w:val="nil"/>
              <w:left w:val="nil"/>
              <w:bottom w:val="nil"/>
              <w:right w:val="nil"/>
            </w:tcBorders>
            <w:shd w:val="clear" w:color="auto" w:fill="auto"/>
            <w:noWrap/>
            <w:vAlign w:val="center"/>
            <w:hideMark/>
          </w:tcPr>
          <w:p w14:paraId="122CEC9C" w14:textId="16F5483D"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46.94</w:t>
            </w:r>
          </w:p>
        </w:tc>
        <w:tc>
          <w:tcPr>
            <w:tcW w:w="1211" w:type="dxa"/>
            <w:tcBorders>
              <w:top w:val="nil"/>
              <w:left w:val="nil"/>
              <w:bottom w:val="nil"/>
              <w:right w:val="nil"/>
            </w:tcBorders>
            <w:shd w:val="clear" w:color="auto" w:fill="auto"/>
            <w:noWrap/>
            <w:vAlign w:val="center"/>
            <w:hideMark/>
          </w:tcPr>
          <w:p w14:paraId="607DCE46" w14:textId="7406588F"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51</w:t>
            </w:r>
          </w:p>
        </w:tc>
        <w:tc>
          <w:tcPr>
            <w:tcW w:w="1036" w:type="dxa"/>
            <w:tcBorders>
              <w:top w:val="nil"/>
              <w:left w:val="nil"/>
              <w:bottom w:val="nil"/>
              <w:right w:val="nil"/>
            </w:tcBorders>
            <w:shd w:val="clear" w:color="auto" w:fill="auto"/>
            <w:noWrap/>
            <w:vAlign w:val="center"/>
            <w:hideMark/>
          </w:tcPr>
          <w:p w14:paraId="555F36B5" w14:textId="5AE0FB5D"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26.02</w:t>
            </w:r>
          </w:p>
        </w:tc>
      </w:tr>
      <w:tr w:rsidR="0015126A" w:rsidRPr="00B16F37" w14:paraId="02CE8F80" w14:textId="77777777" w:rsidTr="00361521">
        <w:trPr>
          <w:trHeight w:val="265"/>
          <w:jc w:val="center"/>
        </w:trPr>
        <w:tc>
          <w:tcPr>
            <w:tcW w:w="3786" w:type="dxa"/>
            <w:tcBorders>
              <w:top w:val="nil"/>
              <w:left w:val="nil"/>
              <w:bottom w:val="nil"/>
              <w:right w:val="nil"/>
            </w:tcBorders>
            <w:shd w:val="clear" w:color="auto" w:fill="auto"/>
            <w:noWrap/>
            <w:vAlign w:val="bottom"/>
            <w:hideMark/>
          </w:tcPr>
          <w:p w14:paraId="081E2747" w14:textId="6CEFA3BD" w:rsidR="0015126A" w:rsidRPr="00B16F37" w:rsidRDefault="0015126A" w:rsidP="00361521">
            <w:pPr>
              <w:keepNext/>
              <w:keepLines/>
              <w:jc w:val="left"/>
              <w:rPr>
                <w:color w:val="000000"/>
                <w:sz w:val="18"/>
                <w:szCs w:val="18"/>
                <w:lang w:eastAsia="zh-CN"/>
              </w:rPr>
            </w:pPr>
            <w:r w:rsidRPr="00B16F37">
              <w:rPr>
                <w:color w:val="000000" w:themeColor="text1"/>
                <w:sz w:val="18"/>
                <w:szCs w:val="18"/>
                <w:lang w:eastAsia="zh-CN"/>
              </w:rPr>
              <w:t>General Trust Fund for</w:t>
            </w:r>
            <w:r w:rsidRPr="00B16F37" w:rsidDel="00575C93">
              <w:rPr>
                <w:color w:val="000000" w:themeColor="text1"/>
                <w:sz w:val="18"/>
                <w:szCs w:val="18"/>
                <w:lang w:eastAsia="zh-CN"/>
              </w:rPr>
              <w:t xml:space="preserve"> </w:t>
            </w:r>
            <w:r w:rsidRPr="00B16F37">
              <w:rPr>
                <w:color w:val="000000" w:themeColor="text1"/>
                <w:sz w:val="18"/>
                <w:szCs w:val="18"/>
                <w:lang w:eastAsia="zh-CN"/>
              </w:rPr>
              <w:t xml:space="preserve">the Core Programme Budget for the </w:t>
            </w:r>
            <w:r w:rsidRPr="00B16F37">
              <w:rPr>
                <w:color w:val="000000"/>
                <w:sz w:val="18"/>
                <w:szCs w:val="18"/>
                <w:lang w:eastAsia="zh-CN"/>
              </w:rPr>
              <w:t>Cartagena Protocol</w:t>
            </w:r>
          </w:p>
        </w:tc>
        <w:tc>
          <w:tcPr>
            <w:tcW w:w="796" w:type="dxa"/>
            <w:tcBorders>
              <w:top w:val="nil"/>
              <w:left w:val="nil"/>
              <w:bottom w:val="nil"/>
              <w:right w:val="nil"/>
            </w:tcBorders>
            <w:shd w:val="clear" w:color="auto" w:fill="auto"/>
            <w:noWrap/>
            <w:vAlign w:val="center"/>
            <w:hideMark/>
          </w:tcPr>
          <w:p w14:paraId="07D57F80" w14:textId="24B74BA5"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173</w:t>
            </w:r>
          </w:p>
        </w:tc>
        <w:tc>
          <w:tcPr>
            <w:tcW w:w="1157" w:type="dxa"/>
            <w:tcBorders>
              <w:top w:val="nil"/>
              <w:left w:val="nil"/>
              <w:bottom w:val="nil"/>
              <w:right w:val="nil"/>
            </w:tcBorders>
            <w:shd w:val="clear" w:color="auto" w:fill="auto"/>
            <w:noWrap/>
            <w:vAlign w:val="center"/>
            <w:hideMark/>
          </w:tcPr>
          <w:p w14:paraId="24890786" w14:textId="1DBDDE1A"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82</w:t>
            </w:r>
          </w:p>
        </w:tc>
        <w:tc>
          <w:tcPr>
            <w:tcW w:w="1036" w:type="dxa"/>
            <w:tcBorders>
              <w:top w:val="nil"/>
              <w:left w:val="nil"/>
              <w:bottom w:val="nil"/>
              <w:right w:val="nil"/>
            </w:tcBorders>
            <w:shd w:val="clear" w:color="auto" w:fill="auto"/>
            <w:noWrap/>
            <w:vAlign w:val="center"/>
            <w:hideMark/>
          </w:tcPr>
          <w:p w14:paraId="37F27819" w14:textId="40696D64"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47.40</w:t>
            </w:r>
          </w:p>
        </w:tc>
        <w:tc>
          <w:tcPr>
            <w:tcW w:w="1211" w:type="dxa"/>
            <w:tcBorders>
              <w:top w:val="nil"/>
              <w:left w:val="nil"/>
              <w:bottom w:val="nil"/>
              <w:right w:val="nil"/>
            </w:tcBorders>
            <w:shd w:val="clear" w:color="auto" w:fill="auto"/>
            <w:noWrap/>
            <w:vAlign w:val="center"/>
            <w:hideMark/>
          </w:tcPr>
          <w:p w14:paraId="6BF61771" w14:textId="50E1228B"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49</w:t>
            </w:r>
          </w:p>
        </w:tc>
        <w:tc>
          <w:tcPr>
            <w:tcW w:w="1036" w:type="dxa"/>
            <w:tcBorders>
              <w:top w:val="nil"/>
              <w:left w:val="nil"/>
              <w:bottom w:val="nil"/>
              <w:right w:val="nil"/>
            </w:tcBorders>
            <w:shd w:val="clear" w:color="auto" w:fill="auto"/>
            <w:noWrap/>
            <w:vAlign w:val="center"/>
            <w:hideMark/>
          </w:tcPr>
          <w:p w14:paraId="5AEE4B60" w14:textId="2796662D"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28.32</w:t>
            </w:r>
          </w:p>
        </w:tc>
      </w:tr>
      <w:tr w:rsidR="0015126A" w:rsidRPr="00B16F37" w14:paraId="529A6666" w14:textId="77777777" w:rsidTr="00361521">
        <w:trPr>
          <w:trHeight w:val="265"/>
          <w:jc w:val="center"/>
        </w:trPr>
        <w:tc>
          <w:tcPr>
            <w:tcW w:w="3786" w:type="dxa"/>
            <w:tcBorders>
              <w:top w:val="nil"/>
              <w:left w:val="nil"/>
              <w:bottom w:val="single" w:sz="4" w:space="0" w:color="auto"/>
              <w:right w:val="nil"/>
            </w:tcBorders>
            <w:shd w:val="clear" w:color="auto" w:fill="auto"/>
            <w:noWrap/>
            <w:vAlign w:val="bottom"/>
            <w:hideMark/>
          </w:tcPr>
          <w:p w14:paraId="4963CB03" w14:textId="1773C0EA" w:rsidR="0015126A" w:rsidRPr="00B16F37" w:rsidRDefault="0015126A" w:rsidP="00361521">
            <w:pPr>
              <w:keepNext/>
              <w:keepLines/>
              <w:jc w:val="left"/>
              <w:rPr>
                <w:color w:val="000000"/>
                <w:sz w:val="18"/>
                <w:szCs w:val="18"/>
                <w:lang w:eastAsia="zh-CN"/>
              </w:rPr>
            </w:pPr>
            <w:r w:rsidRPr="00B16F37">
              <w:rPr>
                <w:color w:val="000000" w:themeColor="text1"/>
                <w:sz w:val="18"/>
                <w:szCs w:val="18"/>
                <w:lang w:eastAsia="zh-CN"/>
              </w:rPr>
              <w:t>General Trust Fund for</w:t>
            </w:r>
            <w:r w:rsidRPr="00B16F37" w:rsidDel="00575C93">
              <w:rPr>
                <w:color w:val="000000" w:themeColor="text1"/>
                <w:sz w:val="18"/>
                <w:szCs w:val="18"/>
                <w:lang w:eastAsia="zh-CN"/>
              </w:rPr>
              <w:t xml:space="preserve"> </w:t>
            </w:r>
            <w:r w:rsidRPr="00B16F37">
              <w:rPr>
                <w:color w:val="000000" w:themeColor="text1"/>
                <w:sz w:val="18"/>
                <w:szCs w:val="18"/>
                <w:lang w:eastAsia="zh-CN"/>
              </w:rPr>
              <w:t xml:space="preserve">the Core Programme Budget for the </w:t>
            </w:r>
            <w:r w:rsidRPr="00B16F37">
              <w:rPr>
                <w:color w:val="000000"/>
                <w:sz w:val="18"/>
                <w:szCs w:val="18"/>
                <w:lang w:eastAsia="zh-CN"/>
              </w:rPr>
              <w:t>Nagoya Protocol</w:t>
            </w:r>
          </w:p>
        </w:tc>
        <w:tc>
          <w:tcPr>
            <w:tcW w:w="796" w:type="dxa"/>
            <w:tcBorders>
              <w:top w:val="nil"/>
              <w:left w:val="nil"/>
              <w:bottom w:val="single" w:sz="4" w:space="0" w:color="auto"/>
              <w:right w:val="nil"/>
            </w:tcBorders>
            <w:shd w:val="clear" w:color="auto" w:fill="auto"/>
            <w:noWrap/>
            <w:vAlign w:val="center"/>
            <w:hideMark/>
          </w:tcPr>
          <w:p w14:paraId="146FFDB3" w14:textId="2456F213"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141</w:t>
            </w:r>
          </w:p>
        </w:tc>
        <w:tc>
          <w:tcPr>
            <w:tcW w:w="1157" w:type="dxa"/>
            <w:tcBorders>
              <w:top w:val="nil"/>
              <w:left w:val="nil"/>
              <w:bottom w:val="single" w:sz="4" w:space="0" w:color="auto"/>
              <w:right w:val="nil"/>
            </w:tcBorders>
            <w:shd w:val="clear" w:color="auto" w:fill="auto"/>
            <w:noWrap/>
            <w:vAlign w:val="center"/>
            <w:hideMark/>
          </w:tcPr>
          <w:p w14:paraId="27646AB6" w14:textId="68599485"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59</w:t>
            </w:r>
          </w:p>
        </w:tc>
        <w:tc>
          <w:tcPr>
            <w:tcW w:w="1036" w:type="dxa"/>
            <w:tcBorders>
              <w:top w:val="nil"/>
              <w:left w:val="nil"/>
              <w:bottom w:val="single" w:sz="4" w:space="0" w:color="auto"/>
              <w:right w:val="nil"/>
            </w:tcBorders>
            <w:shd w:val="clear" w:color="auto" w:fill="auto"/>
            <w:noWrap/>
            <w:vAlign w:val="center"/>
            <w:hideMark/>
          </w:tcPr>
          <w:p w14:paraId="525E81D0" w14:textId="4EBC8229"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41.84</w:t>
            </w:r>
          </w:p>
        </w:tc>
        <w:tc>
          <w:tcPr>
            <w:tcW w:w="1211" w:type="dxa"/>
            <w:tcBorders>
              <w:top w:val="nil"/>
              <w:left w:val="nil"/>
              <w:bottom w:val="single" w:sz="4" w:space="0" w:color="auto"/>
              <w:right w:val="nil"/>
            </w:tcBorders>
            <w:shd w:val="clear" w:color="auto" w:fill="auto"/>
            <w:noWrap/>
            <w:vAlign w:val="center"/>
            <w:hideMark/>
          </w:tcPr>
          <w:p w14:paraId="0EA6DD29" w14:textId="74E8B600"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29</w:t>
            </w:r>
          </w:p>
        </w:tc>
        <w:tc>
          <w:tcPr>
            <w:tcW w:w="1036" w:type="dxa"/>
            <w:tcBorders>
              <w:top w:val="nil"/>
              <w:left w:val="nil"/>
              <w:bottom w:val="single" w:sz="4" w:space="0" w:color="auto"/>
              <w:right w:val="nil"/>
            </w:tcBorders>
            <w:shd w:val="clear" w:color="auto" w:fill="auto"/>
            <w:noWrap/>
            <w:vAlign w:val="center"/>
            <w:hideMark/>
          </w:tcPr>
          <w:p w14:paraId="327F2425" w14:textId="30DA3EBB" w:rsidR="0015126A" w:rsidRPr="00B16F37" w:rsidRDefault="0015126A" w:rsidP="00361521">
            <w:pPr>
              <w:keepNext/>
              <w:keepLines/>
              <w:jc w:val="right"/>
              <w:rPr>
                <w:color w:val="000000"/>
                <w:sz w:val="18"/>
                <w:szCs w:val="18"/>
                <w:lang w:eastAsia="zh-CN"/>
              </w:rPr>
            </w:pPr>
            <w:r w:rsidRPr="00B16F37">
              <w:rPr>
                <w:color w:val="000000"/>
                <w:sz w:val="18"/>
                <w:szCs w:val="18"/>
                <w:lang w:eastAsia="zh-CN"/>
              </w:rPr>
              <w:t>20.57</w:t>
            </w:r>
          </w:p>
        </w:tc>
      </w:tr>
    </w:tbl>
    <w:p w14:paraId="00541796" w14:textId="28FCA982" w:rsidR="0015126A" w:rsidRPr="00B16F37" w:rsidRDefault="0015126A" w:rsidP="00361521">
      <w:pPr>
        <w:pStyle w:val="CBDNormalNumber"/>
        <w:rPr>
          <w:kern w:val="22"/>
          <w:lang w:eastAsia="x-none"/>
        </w:rPr>
      </w:pPr>
      <w:r w:rsidRPr="00B16F37">
        <w:t xml:space="preserve">The </w:t>
      </w:r>
      <w:r w:rsidRPr="00B16F37">
        <w:rPr>
          <w:kern w:val="22"/>
        </w:rPr>
        <w:t>status</w:t>
      </w:r>
      <w:r w:rsidRPr="00B16F37">
        <w:t xml:space="preserve"> of contributions to the three general trust funds is available on the Secretariat’s website.</w:t>
      </w:r>
    </w:p>
    <w:p w14:paraId="7A6E5F70" w14:textId="7FFF9A11" w:rsidR="0015126A" w:rsidRPr="00B16F37" w:rsidRDefault="0015126A" w:rsidP="00361521">
      <w:pPr>
        <w:pStyle w:val="CBDH2"/>
        <w:numPr>
          <w:ilvl w:val="0"/>
          <w:numId w:val="0"/>
        </w:numPr>
        <w:ind w:left="567" w:hanging="567"/>
        <w:outlineLvl w:val="1"/>
        <w:rPr>
          <w:kern w:val="22"/>
          <w:lang w:eastAsia="x-none"/>
        </w:rPr>
      </w:pPr>
      <w:r w:rsidRPr="00B16F37">
        <w:t>B.</w:t>
      </w:r>
      <w:r w:rsidRPr="00B16F37">
        <w:tab/>
        <w:t>2023–2024 integrated budget performance</w:t>
      </w:r>
    </w:p>
    <w:p w14:paraId="5F820B3E" w14:textId="6A0A0F8C" w:rsidR="0015126A" w:rsidRPr="00B16F37" w:rsidRDefault="0015126A" w:rsidP="00361521">
      <w:pPr>
        <w:pStyle w:val="CBDNormalNumber"/>
        <w:rPr>
          <w:lang w:eastAsia="en-CA"/>
        </w:rPr>
      </w:pPr>
      <w:r w:rsidRPr="00B16F37">
        <w:t xml:space="preserve">As shown in the third column of table 5, </w:t>
      </w:r>
      <w:r w:rsidR="00DC4131" w:rsidRPr="00B16F37">
        <w:t xml:space="preserve">as </w:t>
      </w:r>
      <w:proofErr w:type="gramStart"/>
      <w:r w:rsidR="00DC4131" w:rsidRPr="00B16F37">
        <w:t>at</w:t>
      </w:r>
      <w:proofErr w:type="gramEnd"/>
      <w:r w:rsidR="00DC4131" w:rsidRPr="00B16F37">
        <w:t xml:space="preserve"> 31 July 2024, </w:t>
      </w:r>
      <w:r w:rsidRPr="00B16F37">
        <w:t>expenditure incurred under the approved budget for the biennium 2023</w:t>
      </w:r>
      <w:r w:rsidRPr="00B16F37">
        <w:rPr>
          <w:kern w:val="22"/>
        </w:rPr>
        <w:t>–</w:t>
      </w:r>
      <w:r w:rsidRPr="00B16F37">
        <w:t>2024</w:t>
      </w:r>
      <w:r w:rsidR="0025544E" w:rsidRPr="00B16F37">
        <w:t xml:space="preserve"> amount</w:t>
      </w:r>
      <w:r w:rsidR="00DC4131" w:rsidRPr="00B16F37">
        <w:t>ed</w:t>
      </w:r>
      <w:r w:rsidR="0025544E" w:rsidRPr="00B16F37">
        <w:t xml:space="preserve"> to a total $39,824,700,</w:t>
      </w:r>
      <w:r w:rsidRPr="00B16F37">
        <w:t xml:space="preserve"> including actual costs and commitments </w:t>
      </w:r>
      <w:r w:rsidR="0025544E" w:rsidRPr="00B16F37">
        <w:t xml:space="preserve">that would </w:t>
      </w:r>
      <w:r w:rsidRPr="00B16F37">
        <w:t>be disbursed by the end of 2024.</w:t>
      </w:r>
    </w:p>
    <w:p w14:paraId="6643187E" w14:textId="6A743CCF" w:rsidR="0015126A" w:rsidRPr="00B16F37" w:rsidRDefault="0015126A" w:rsidP="00361521">
      <w:pPr>
        <w:pStyle w:val="CBDTableTitle"/>
        <w:rPr>
          <w:bCs/>
          <w:lang w:eastAsia="en-CA"/>
        </w:rPr>
      </w:pPr>
      <w:r w:rsidRPr="00B16F37">
        <w:rPr>
          <w:b w:val="0"/>
          <w:bCs/>
          <w:lang w:eastAsia="en-CA"/>
        </w:rPr>
        <w:t>Table 5</w:t>
      </w:r>
      <w:r w:rsidRPr="00B16F37">
        <w:rPr>
          <w:bCs/>
          <w:lang w:eastAsia="en-CA"/>
        </w:rPr>
        <w:t xml:space="preserve"> </w:t>
      </w:r>
      <w:r w:rsidRPr="00B16F37">
        <w:rPr>
          <w:bCs/>
          <w:lang w:eastAsia="en-CA"/>
        </w:rPr>
        <w:br/>
        <w:t>Expenditure by object of expenditure in relation to the 2023–2024 approved integrated budget</w:t>
      </w:r>
      <w:r w:rsidR="00406E20" w:rsidRPr="00B16F37">
        <w:rPr>
          <w:bCs/>
          <w:lang w:eastAsia="en-CA"/>
        </w:rPr>
        <w:t xml:space="preserve">, as </w:t>
      </w:r>
      <w:proofErr w:type="gramStart"/>
      <w:r w:rsidR="00406E20" w:rsidRPr="00B16F37">
        <w:rPr>
          <w:bCs/>
          <w:lang w:eastAsia="en-CA"/>
        </w:rPr>
        <w:t>at</w:t>
      </w:r>
      <w:proofErr w:type="gramEnd"/>
      <w:r w:rsidR="00406E20" w:rsidRPr="00B16F37">
        <w:rPr>
          <w:bCs/>
          <w:lang w:eastAsia="en-CA"/>
        </w:rPr>
        <w:t xml:space="preserve"> 31 July 2024</w:t>
      </w:r>
      <w:r w:rsidR="00A66917" w:rsidRPr="00B16F37">
        <w:rPr>
          <w:bCs/>
          <w:lang w:eastAsia="en-CA"/>
        </w:rPr>
        <w:t xml:space="preserve"> </w:t>
      </w:r>
    </w:p>
    <w:p w14:paraId="2333653D" w14:textId="77777777" w:rsidR="0015126A" w:rsidRPr="00B16F37" w:rsidRDefault="0015126A" w:rsidP="00361521">
      <w:pPr>
        <w:pStyle w:val="Style1"/>
        <w:numPr>
          <w:ilvl w:val="0"/>
          <w:numId w:val="0"/>
        </w:numPr>
        <w:spacing w:before="0" w:after="60"/>
        <w:ind w:left="567"/>
        <w:outlineLvl w:val="9"/>
        <w:rPr>
          <w:rFonts w:ascii="Times New Roman" w:hAnsi="Times New Roman" w:cs="Times New Roman"/>
          <w:b w:val="0"/>
          <w:bCs/>
          <w:i w:val="0"/>
          <w:iCs w:val="0"/>
          <w:color w:val="000000" w:themeColor="text1"/>
          <w:sz w:val="18"/>
          <w:szCs w:val="18"/>
          <w:lang w:eastAsia="zh-CN"/>
        </w:rPr>
      </w:pPr>
      <w:r w:rsidRPr="00B16F37">
        <w:rPr>
          <w:rFonts w:ascii="Times New Roman" w:hAnsi="Times New Roman" w:cs="Times New Roman" w:hint="eastAsia"/>
          <w:b w:val="0"/>
          <w:bCs/>
          <w:i w:val="0"/>
          <w:iCs w:val="0"/>
          <w:color w:val="000000" w:themeColor="text1"/>
          <w:sz w:val="18"/>
          <w:szCs w:val="18"/>
          <w:lang w:eastAsia="zh-CN"/>
        </w:rPr>
        <w:t>(Thousands of United States dollars)</w:t>
      </w: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559"/>
        <w:gridCol w:w="1678"/>
        <w:gridCol w:w="1154"/>
      </w:tblGrid>
      <w:tr w:rsidR="0015126A" w:rsidRPr="00B16F37" w14:paraId="32881321" w14:textId="77777777" w:rsidTr="00361521">
        <w:trPr>
          <w:trHeight w:val="426"/>
          <w:tblHeader/>
          <w:jc w:val="center"/>
        </w:trPr>
        <w:tc>
          <w:tcPr>
            <w:tcW w:w="2972" w:type="dxa"/>
            <w:shd w:val="clear" w:color="auto" w:fill="auto"/>
            <w:vAlign w:val="bottom"/>
            <w:hideMark/>
          </w:tcPr>
          <w:p w14:paraId="53872340" w14:textId="77777777" w:rsidR="0015126A" w:rsidRPr="00B16F37" w:rsidRDefault="0015126A" w:rsidP="00361521">
            <w:pPr>
              <w:keepNext/>
              <w:keepLines/>
              <w:jc w:val="center"/>
              <w:rPr>
                <w:rFonts w:asciiTheme="majorBidi" w:hAnsiTheme="majorBidi" w:cstheme="majorBidi"/>
                <w:i/>
                <w:iCs/>
                <w:color w:val="000000"/>
                <w:sz w:val="18"/>
                <w:szCs w:val="18"/>
                <w:lang w:eastAsia="zh-CN"/>
              </w:rPr>
            </w:pPr>
            <w:r w:rsidRPr="00B16F37">
              <w:rPr>
                <w:rFonts w:asciiTheme="majorBidi" w:hAnsiTheme="majorBidi" w:cstheme="majorBidi"/>
                <w:i/>
                <w:iCs/>
                <w:color w:val="000000"/>
                <w:sz w:val="18"/>
                <w:szCs w:val="18"/>
                <w:lang w:eastAsia="zh-CN"/>
              </w:rPr>
              <w:t>Object of expenditure</w:t>
            </w:r>
          </w:p>
        </w:tc>
        <w:tc>
          <w:tcPr>
            <w:tcW w:w="2559" w:type="dxa"/>
            <w:shd w:val="clear" w:color="auto" w:fill="auto"/>
            <w:vAlign w:val="bottom"/>
            <w:hideMark/>
          </w:tcPr>
          <w:p w14:paraId="02603FC5" w14:textId="7C03C2F4" w:rsidR="0015126A" w:rsidRPr="00B16F37" w:rsidRDefault="0015126A" w:rsidP="00361521">
            <w:pPr>
              <w:keepNext/>
              <w:keepLines/>
              <w:jc w:val="center"/>
              <w:rPr>
                <w:rFonts w:asciiTheme="majorBidi" w:hAnsiTheme="majorBidi" w:cstheme="majorBidi"/>
                <w:i/>
                <w:iCs/>
                <w:color w:val="000000"/>
                <w:sz w:val="18"/>
                <w:szCs w:val="18"/>
                <w:lang w:eastAsia="zh-CN"/>
              </w:rPr>
            </w:pPr>
            <w:r w:rsidRPr="00B16F37">
              <w:rPr>
                <w:rFonts w:asciiTheme="majorBidi" w:hAnsiTheme="majorBidi" w:cstheme="majorBidi"/>
                <w:i/>
                <w:iCs/>
                <w:color w:val="000000"/>
                <w:sz w:val="18"/>
                <w:szCs w:val="18"/>
                <w:lang w:eastAsia="zh-CN"/>
              </w:rPr>
              <w:t>Approved budget for 2023</w:t>
            </w:r>
            <w:r w:rsidR="00500E21" w:rsidRPr="00B16F37">
              <w:rPr>
                <w:rFonts w:asciiTheme="majorBidi" w:hAnsiTheme="majorBidi" w:cstheme="majorBidi"/>
                <w:i/>
                <w:iCs/>
                <w:color w:val="000000"/>
                <w:sz w:val="18"/>
                <w:szCs w:val="18"/>
                <w:lang w:eastAsia="zh-CN"/>
              </w:rPr>
              <w:t>–</w:t>
            </w:r>
            <w:r w:rsidRPr="00B16F37">
              <w:rPr>
                <w:rFonts w:asciiTheme="majorBidi" w:hAnsiTheme="majorBidi" w:cstheme="majorBidi"/>
                <w:i/>
                <w:iCs/>
                <w:color w:val="000000"/>
                <w:sz w:val="18"/>
                <w:szCs w:val="18"/>
                <w:lang w:eastAsia="zh-CN"/>
              </w:rPr>
              <w:t>2024</w:t>
            </w:r>
          </w:p>
        </w:tc>
        <w:tc>
          <w:tcPr>
            <w:tcW w:w="1678" w:type="dxa"/>
            <w:shd w:val="clear" w:color="auto" w:fill="auto"/>
            <w:vAlign w:val="bottom"/>
            <w:hideMark/>
          </w:tcPr>
          <w:p w14:paraId="417B2329" w14:textId="77777777" w:rsidR="0015126A" w:rsidRPr="00B16F37" w:rsidRDefault="0015126A" w:rsidP="00361521">
            <w:pPr>
              <w:keepNext/>
              <w:keepLines/>
              <w:jc w:val="center"/>
              <w:rPr>
                <w:rFonts w:asciiTheme="majorBidi" w:hAnsiTheme="majorBidi" w:cstheme="majorBidi"/>
                <w:i/>
                <w:iCs/>
                <w:color w:val="000000"/>
                <w:sz w:val="18"/>
                <w:szCs w:val="18"/>
                <w:lang w:eastAsia="zh-CN"/>
              </w:rPr>
            </w:pPr>
            <w:r w:rsidRPr="00B16F37">
              <w:rPr>
                <w:rFonts w:asciiTheme="majorBidi" w:hAnsiTheme="majorBidi" w:cstheme="majorBidi"/>
                <w:i/>
                <w:iCs/>
                <w:color w:val="000000"/>
                <w:sz w:val="18"/>
                <w:szCs w:val="18"/>
                <w:lang w:eastAsia="zh-CN"/>
              </w:rPr>
              <w:t>Expenditure</w:t>
            </w:r>
          </w:p>
        </w:tc>
        <w:tc>
          <w:tcPr>
            <w:tcW w:w="1154" w:type="dxa"/>
            <w:shd w:val="clear" w:color="auto" w:fill="auto"/>
            <w:vAlign w:val="bottom"/>
            <w:hideMark/>
          </w:tcPr>
          <w:p w14:paraId="2C00B763" w14:textId="77777777" w:rsidR="0015126A" w:rsidRPr="00B16F37" w:rsidRDefault="0015126A" w:rsidP="00361521">
            <w:pPr>
              <w:keepNext/>
              <w:keepLines/>
              <w:jc w:val="center"/>
              <w:rPr>
                <w:rFonts w:asciiTheme="majorBidi" w:hAnsiTheme="majorBidi" w:cstheme="majorBidi"/>
                <w:i/>
                <w:iCs/>
                <w:color w:val="000000"/>
                <w:sz w:val="18"/>
                <w:szCs w:val="18"/>
                <w:lang w:eastAsia="zh-CN"/>
              </w:rPr>
            </w:pPr>
            <w:r w:rsidRPr="00B16F37">
              <w:rPr>
                <w:rFonts w:asciiTheme="majorBidi" w:hAnsiTheme="majorBidi" w:cstheme="majorBidi"/>
                <w:i/>
                <w:iCs/>
                <w:color w:val="000000"/>
                <w:sz w:val="18"/>
                <w:szCs w:val="18"/>
                <w:lang w:eastAsia="zh-CN"/>
              </w:rPr>
              <w:t>Variance</w:t>
            </w:r>
          </w:p>
        </w:tc>
      </w:tr>
      <w:tr w:rsidR="0015126A" w:rsidRPr="00B16F37" w14:paraId="2CA44748" w14:textId="77777777" w:rsidTr="00361521">
        <w:trPr>
          <w:trHeight w:val="347"/>
          <w:jc w:val="center"/>
        </w:trPr>
        <w:tc>
          <w:tcPr>
            <w:tcW w:w="2972" w:type="dxa"/>
            <w:shd w:val="clear" w:color="auto" w:fill="auto"/>
            <w:vAlign w:val="bottom"/>
            <w:hideMark/>
          </w:tcPr>
          <w:p w14:paraId="29529B60" w14:textId="375B0347" w:rsidR="0015126A" w:rsidRPr="00B16F37" w:rsidRDefault="0015126A" w:rsidP="00361521">
            <w:pPr>
              <w:keepNext/>
              <w:keepLines/>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Staff costs</w:t>
            </w:r>
          </w:p>
        </w:tc>
        <w:tc>
          <w:tcPr>
            <w:tcW w:w="2559" w:type="dxa"/>
            <w:shd w:val="clear" w:color="auto" w:fill="auto"/>
            <w:vAlign w:val="bottom"/>
            <w:hideMark/>
          </w:tcPr>
          <w:p w14:paraId="611F892A" w14:textId="50B78140" w:rsidR="0015126A" w:rsidRPr="00B16F37" w:rsidRDefault="0015126A" w:rsidP="00361521">
            <w:pPr>
              <w:keepNext/>
              <w:keepLines/>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24 157.3</w:t>
            </w:r>
          </w:p>
        </w:tc>
        <w:tc>
          <w:tcPr>
            <w:tcW w:w="1678" w:type="dxa"/>
            <w:shd w:val="clear" w:color="auto" w:fill="auto"/>
            <w:vAlign w:val="bottom"/>
            <w:hideMark/>
          </w:tcPr>
          <w:p w14:paraId="11DE018D" w14:textId="2AE6611F" w:rsidR="0015126A" w:rsidRPr="00B16F37" w:rsidRDefault="0015126A" w:rsidP="00361521">
            <w:pPr>
              <w:keepNext/>
              <w:keepLines/>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23 394.0</w:t>
            </w:r>
          </w:p>
        </w:tc>
        <w:tc>
          <w:tcPr>
            <w:tcW w:w="1154" w:type="dxa"/>
            <w:shd w:val="clear" w:color="auto" w:fill="auto"/>
            <w:vAlign w:val="bottom"/>
            <w:hideMark/>
          </w:tcPr>
          <w:p w14:paraId="0CEE4A47" w14:textId="6328B92D" w:rsidR="0015126A" w:rsidRPr="00B16F37" w:rsidRDefault="0015126A" w:rsidP="00361521">
            <w:pPr>
              <w:keepNext/>
              <w:keepLines/>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763.3</w:t>
            </w:r>
          </w:p>
        </w:tc>
      </w:tr>
      <w:tr w:rsidR="0015126A" w:rsidRPr="00B16F37" w14:paraId="200C8564" w14:textId="77777777" w:rsidTr="00361521">
        <w:trPr>
          <w:trHeight w:val="216"/>
          <w:jc w:val="center"/>
        </w:trPr>
        <w:tc>
          <w:tcPr>
            <w:tcW w:w="2972" w:type="dxa"/>
            <w:shd w:val="clear" w:color="auto" w:fill="auto"/>
            <w:vAlign w:val="bottom"/>
            <w:hideMark/>
          </w:tcPr>
          <w:p w14:paraId="354F658E" w14:textId="505B4D8D" w:rsidR="0015126A" w:rsidRPr="00B16F37" w:rsidRDefault="0015126A" w:rsidP="00892011">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Temporary assistance and overtime</w:t>
            </w:r>
          </w:p>
        </w:tc>
        <w:tc>
          <w:tcPr>
            <w:tcW w:w="2559" w:type="dxa"/>
            <w:shd w:val="clear" w:color="auto" w:fill="auto"/>
            <w:vAlign w:val="bottom"/>
            <w:hideMark/>
          </w:tcPr>
          <w:p w14:paraId="41F7CE9B" w14:textId="59BB0033"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200.0</w:t>
            </w:r>
          </w:p>
        </w:tc>
        <w:tc>
          <w:tcPr>
            <w:tcW w:w="1678" w:type="dxa"/>
            <w:shd w:val="clear" w:color="auto" w:fill="auto"/>
            <w:vAlign w:val="bottom"/>
            <w:hideMark/>
          </w:tcPr>
          <w:p w14:paraId="5ABDD7DD" w14:textId="76038688"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210.0</w:t>
            </w:r>
          </w:p>
        </w:tc>
        <w:tc>
          <w:tcPr>
            <w:tcW w:w="1154" w:type="dxa"/>
            <w:shd w:val="clear" w:color="auto" w:fill="auto"/>
            <w:vAlign w:val="bottom"/>
            <w:hideMark/>
          </w:tcPr>
          <w:p w14:paraId="400F2508" w14:textId="004CFFBA"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(10.0)</w:t>
            </w:r>
          </w:p>
        </w:tc>
      </w:tr>
      <w:tr w:rsidR="0015126A" w:rsidRPr="00B16F37" w14:paraId="04D54B4A" w14:textId="77777777" w:rsidTr="00361521">
        <w:trPr>
          <w:trHeight w:val="216"/>
          <w:jc w:val="center"/>
        </w:trPr>
        <w:tc>
          <w:tcPr>
            <w:tcW w:w="2972" w:type="dxa"/>
            <w:shd w:val="clear" w:color="auto" w:fill="auto"/>
            <w:vAlign w:val="bottom"/>
            <w:hideMark/>
          </w:tcPr>
          <w:p w14:paraId="1B660CDF" w14:textId="55F32969" w:rsidR="0015126A" w:rsidRPr="00B16F37" w:rsidRDefault="0015126A" w:rsidP="00892011">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Consultants and subcontractors</w:t>
            </w:r>
          </w:p>
        </w:tc>
        <w:tc>
          <w:tcPr>
            <w:tcW w:w="2559" w:type="dxa"/>
            <w:shd w:val="clear" w:color="auto" w:fill="auto"/>
            <w:vAlign w:val="bottom"/>
            <w:hideMark/>
          </w:tcPr>
          <w:p w14:paraId="35087BB0" w14:textId="6C8876EF"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678" w:type="dxa"/>
            <w:shd w:val="clear" w:color="auto" w:fill="auto"/>
            <w:vAlign w:val="bottom"/>
            <w:hideMark/>
          </w:tcPr>
          <w:p w14:paraId="217DDD04" w14:textId="3AF2D2A3"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90.0</w:t>
            </w:r>
          </w:p>
        </w:tc>
        <w:tc>
          <w:tcPr>
            <w:tcW w:w="1154" w:type="dxa"/>
            <w:shd w:val="clear" w:color="auto" w:fill="auto"/>
            <w:vAlign w:val="bottom"/>
            <w:hideMark/>
          </w:tcPr>
          <w:p w14:paraId="7494A044" w14:textId="10879793"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w:t>
            </w:r>
          </w:p>
        </w:tc>
      </w:tr>
      <w:tr w:rsidR="0015126A" w:rsidRPr="00B16F37" w14:paraId="2DFCA1CE" w14:textId="77777777" w:rsidTr="00361521">
        <w:trPr>
          <w:trHeight w:val="216"/>
          <w:jc w:val="center"/>
        </w:trPr>
        <w:tc>
          <w:tcPr>
            <w:tcW w:w="2972" w:type="dxa"/>
            <w:shd w:val="clear" w:color="auto" w:fill="auto"/>
            <w:vAlign w:val="bottom"/>
            <w:hideMark/>
          </w:tcPr>
          <w:p w14:paraId="05B60FA8" w14:textId="3CCEAC82" w:rsidR="0015126A" w:rsidRPr="00B16F37" w:rsidRDefault="0015126A" w:rsidP="00892011">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Training</w:t>
            </w:r>
          </w:p>
        </w:tc>
        <w:tc>
          <w:tcPr>
            <w:tcW w:w="2559" w:type="dxa"/>
            <w:shd w:val="clear" w:color="auto" w:fill="auto"/>
            <w:vAlign w:val="bottom"/>
            <w:hideMark/>
          </w:tcPr>
          <w:p w14:paraId="3483553B" w14:textId="5FBCC35A"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w:t>
            </w:r>
          </w:p>
        </w:tc>
        <w:tc>
          <w:tcPr>
            <w:tcW w:w="1678" w:type="dxa"/>
            <w:shd w:val="clear" w:color="auto" w:fill="auto"/>
            <w:vAlign w:val="bottom"/>
            <w:hideMark/>
          </w:tcPr>
          <w:p w14:paraId="2D6990ED" w14:textId="63C78E3A"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7.2</w:t>
            </w:r>
          </w:p>
        </w:tc>
        <w:tc>
          <w:tcPr>
            <w:tcW w:w="1154" w:type="dxa"/>
            <w:shd w:val="clear" w:color="auto" w:fill="auto"/>
            <w:vAlign w:val="bottom"/>
            <w:hideMark/>
          </w:tcPr>
          <w:p w14:paraId="45E99B6E" w14:textId="79A843D3"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2.8</w:t>
            </w:r>
          </w:p>
        </w:tc>
      </w:tr>
      <w:tr w:rsidR="0015126A" w:rsidRPr="00B16F37" w14:paraId="39A29E88" w14:textId="77777777" w:rsidTr="00361521">
        <w:trPr>
          <w:trHeight w:val="329"/>
          <w:jc w:val="center"/>
        </w:trPr>
        <w:tc>
          <w:tcPr>
            <w:tcW w:w="2972" w:type="dxa"/>
            <w:shd w:val="clear" w:color="auto" w:fill="auto"/>
            <w:vAlign w:val="bottom"/>
            <w:hideMark/>
          </w:tcPr>
          <w:p w14:paraId="4FD82351" w14:textId="473EE00D" w:rsidR="0015126A" w:rsidRPr="00B16F37" w:rsidRDefault="0015126A" w:rsidP="00892011">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Structural review</w:t>
            </w:r>
          </w:p>
        </w:tc>
        <w:tc>
          <w:tcPr>
            <w:tcW w:w="2559" w:type="dxa"/>
            <w:shd w:val="clear" w:color="auto" w:fill="auto"/>
            <w:vAlign w:val="bottom"/>
            <w:hideMark/>
          </w:tcPr>
          <w:p w14:paraId="31CFBF35" w14:textId="522629DD"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250.0</w:t>
            </w:r>
          </w:p>
        </w:tc>
        <w:tc>
          <w:tcPr>
            <w:tcW w:w="1678" w:type="dxa"/>
            <w:shd w:val="clear" w:color="auto" w:fill="auto"/>
            <w:vAlign w:val="bottom"/>
            <w:hideMark/>
          </w:tcPr>
          <w:p w14:paraId="09E7137F" w14:textId="123CF5E0"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23.0</w:t>
            </w:r>
          </w:p>
        </w:tc>
        <w:tc>
          <w:tcPr>
            <w:tcW w:w="1154" w:type="dxa"/>
            <w:shd w:val="clear" w:color="auto" w:fill="auto"/>
            <w:vAlign w:val="bottom"/>
            <w:hideMark/>
          </w:tcPr>
          <w:p w14:paraId="00E3AE4E"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227.0</w:t>
            </w:r>
          </w:p>
        </w:tc>
      </w:tr>
      <w:tr w:rsidR="0015126A" w:rsidRPr="00B16F37" w14:paraId="46FF80B2" w14:textId="77777777" w:rsidTr="00361521">
        <w:trPr>
          <w:trHeight w:val="216"/>
          <w:jc w:val="center"/>
        </w:trPr>
        <w:tc>
          <w:tcPr>
            <w:tcW w:w="2972" w:type="dxa"/>
            <w:shd w:val="clear" w:color="auto" w:fill="auto"/>
            <w:vAlign w:val="bottom"/>
            <w:hideMark/>
          </w:tcPr>
          <w:p w14:paraId="2EA8AA17" w14:textId="47B1531D" w:rsidR="0015126A" w:rsidRPr="00B16F37" w:rsidRDefault="0015126A" w:rsidP="00892011">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Bureau meetings</w:t>
            </w:r>
          </w:p>
        </w:tc>
        <w:tc>
          <w:tcPr>
            <w:tcW w:w="2559" w:type="dxa"/>
            <w:shd w:val="clear" w:color="auto" w:fill="auto"/>
            <w:vAlign w:val="bottom"/>
            <w:hideMark/>
          </w:tcPr>
          <w:p w14:paraId="1791FBC4" w14:textId="78CE56F9"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278.9</w:t>
            </w:r>
          </w:p>
        </w:tc>
        <w:tc>
          <w:tcPr>
            <w:tcW w:w="1678" w:type="dxa"/>
            <w:shd w:val="clear" w:color="auto" w:fill="auto"/>
            <w:vAlign w:val="bottom"/>
            <w:hideMark/>
          </w:tcPr>
          <w:p w14:paraId="567445A6" w14:textId="1EEB8DB0" w:rsidR="0015126A" w:rsidRPr="00B16F37" w:rsidRDefault="0015126A" w:rsidP="00FB740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280.0</w:t>
            </w:r>
          </w:p>
        </w:tc>
        <w:tc>
          <w:tcPr>
            <w:tcW w:w="1154" w:type="dxa"/>
            <w:shd w:val="clear" w:color="auto" w:fill="auto"/>
            <w:vAlign w:val="bottom"/>
            <w:hideMark/>
          </w:tcPr>
          <w:p w14:paraId="45A0DB07" w14:textId="4DA75CE6"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1.1</w:t>
            </w:r>
          </w:p>
        </w:tc>
      </w:tr>
      <w:tr w:rsidR="0015126A" w:rsidRPr="00B16F37" w14:paraId="10FD0F9B" w14:textId="77777777" w:rsidTr="00361521">
        <w:trPr>
          <w:trHeight w:val="216"/>
          <w:jc w:val="center"/>
        </w:trPr>
        <w:tc>
          <w:tcPr>
            <w:tcW w:w="2972" w:type="dxa"/>
            <w:shd w:val="clear" w:color="auto" w:fill="auto"/>
            <w:vAlign w:val="bottom"/>
            <w:hideMark/>
          </w:tcPr>
          <w:p w14:paraId="52F90EBF" w14:textId="28A3B3BB" w:rsidR="0015126A" w:rsidRPr="00B16F37" w:rsidRDefault="0015126A" w:rsidP="00892011">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Expert meetings</w:t>
            </w:r>
          </w:p>
        </w:tc>
        <w:tc>
          <w:tcPr>
            <w:tcW w:w="2559" w:type="dxa"/>
            <w:shd w:val="clear" w:color="auto" w:fill="auto"/>
            <w:vAlign w:val="bottom"/>
            <w:hideMark/>
          </w:tcPr>
          <w:p w14:paraId="37B7864F" w14:textId="2B32CE0C"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480.0</w:t>
            </w:r>
          </w:p>
        </w:tc>
        <w:tc>
          <w:tcPr>
            <w:tcW w:w="1678" w:type="dxa"/>
            <w:shd w:val="clear" w:color="auto" w:fill="auto"/>
            <w:vAlign w:val="bottom"/>
            <w:hideMark/>
          </w:tcPr>
          <w:p w14:paraId="16A86523" w14:textId="189E8FB4" w:rsidR="0015126A" w:rsidRPr="00B16F37" w:rsidRDefault="0015126A" w:rsidP="0019209D">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453.1</w:t>
            </w:r>
          </w:p>
        </w:tc>
        <w:tc>
          <w:tcPr>
            <w:tcW w:w="1154" w:type="dxa"/>
            <w:shd w:val="clear" w:color="auto" w:fill="auto"/>
            <w:vAlign w:val="bottom"/>
            <w:hideMark/>
          </w:tcPr>
          <w:p w14:paraId="553C9A6C" w14:textId="5717764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26.9</w:t>
            </w:r>
          </w:p>
        </w:tc>
      </w:tr>
      <w:tr w:rsidR="0015126A" w:rsidRPr="00B16F37" w14:paraId="574FF5F5" w14:textId="77777777" w:rsidTr="00361521">
        <w:trPr>
          <w:trHeight w:val="329"/>
          <w:jc w:val="center"/>
        </w:trPr>
        <w:tc>
          <w:tcPr>
            <w:tcW w:w="2972" w:type="dxa"/>
            <w:shd w:val="clear" w:color="auto" w:fill="auto"/>
            <w:vAlign w:val="bottom"/>
            <w:hideMark/>
          </w:tcPr>
          <w:p w14:paraId="574C7623" w14:textId="2F490A8E" w:rsidR="0015126A" w:rsidRPr="00B16F37" w:rsidRDefault="0015126A" w:rsidP="00892011">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lastRenderedPageBreak/>
              <w:t xml:space="preserve">Meetings of intergovernmental </w:t>
            </w:r>
            <w:proofErr w:type="spellStart"/>
            <w:r w:rsidRPr="00B16F37">
              <w:rPr>
                <w:rFonts w:asciiTheme="majorBidi" w:hAnsiTheme="majorBidi" w:cstheme="majorBidi"/>
                <w:color w:val="000000"/>
                <w:sz w:val="18"/>
                <w:szCs w:val="18"/>
                <w:lang w:eastAsia="zh-CN"/>
              </w:rPr>
              <w:t>bodies</w:t>
            </w:r>
            <w:r w:rsidRPr="00B16F37">
              <w:rPr>
                <w:rFonts w:asciiTheme="majorBidi" w:hAnsiTheme="majorBidi" w:cstheme="majorBidi"/>
                <w:i/>
                <w:iCs/>
                <w:color w:val="000000"/>
                <w:sz w:val="18"/>
                <w:szCs w:val="18"/>
                <w:vertAlign w:val="superscript"/>
                <w:lang w:eastAsia="zh-CN"/>
              </w:rPr>
              <w:t>a</w:t>
            </w:r>
            <w:proofErr w:type="spellEnd"/>
          </w:p>
        </w:tc>
        <w:tc>
          <w:tcPr>
            <w:tcW w:w="2559" w:type="dxa"/>
            <w:shd w:val="clear" w:color="auto" w:fill="auto"/>
            <w:vAlign w:val="bottom"/>
            <w:hideMark/>
          </w:tcPr>
          <w:p w14:paraId="2B5D0BD6" w14:textId="2026C094"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5 584.6</w:t>
            </w:r>
          </w:p>
        </w:tc>
        <w:tc>
          <w:tcPr>
            <w:tcW w:w="1678" w:type="dxa"/>
            <w:shd w:val="clear" w:color="auto" w:fill="auto"/>
            <w:vAlign w:val="bottom"/>
            <w:hideMark/>
          </w:tcPr>
          <w:p w14:paraId="2B9BD288" w14:textId="436ABE9C"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5 500.0</w:t>
            </w:r>
          </w:p>
        </w:tc>
        <w:tc>
          <w:tcPr>
            <w:tcW w:w="1154" w:type="dxa"/>
            <w:shd w:val="clear" w:color="auto" w:fill="auto"/>
            <w:vAlign w:val="bottom"/>
            <w:hideMark/>
          </w:tcPr>
          <w:p w14:paraId="13E87151" w14:textId="711F4D05"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84.6</w:t>
            </w:r>
          </w:p>
        </w:tc>
      </w:tr>
      <w:tr w:rsidR="0015126A" w:rsidRPr="00B16F37" w14:paraId="13F69251" w14:textId="77777777" w:rsidTr="00361521">
        <w:trPr>
          <w:trHeight w:val="216"/>
          <w:jc w:val="center"/>
        </w:trPr>
        <w:tc>
          <w:tcPr>
            <w:tcW w:w="2972" w:type="dxa"/>
            <w:shd w:val="clear" w:color="auto" w:fill="auto"/>
            <w:vAlign w:val="bottom"/>
            <w:hideMark/>
          </w:tcPr>
          <w:p w14:paraId="319BA76C" w14:textId="5AAAFE8B" w:rsidR="0015126A" w:rsidRPr="00B16F37" w:rsidRDefault="0015126A" w:rsidP="00892011">
            <w:pPr>
              <w:jc w:val="left"/>
              <w:rPr>
                <w:rFonts w:asciiTheme="majorBidi" w:hAnsiTheme="majorBidi" w:cstheme="majorBidi"/>
                <w:color w:val="000000"/>
                <w:sz w:val="18"/>
                <w:szCs w:val="18"/>
                <w:vertAlign w:val="superscript"/>
                <w:lang w:eastAsia="zh-CN"/>
              </w:rPr>
            </w:pPr>
            <w:r w:rsidRPr="00B16F37">
              <w:rPr>
                <w:rFonts w:asciiTheme="majorBidi" w:hAnsiTheme="majorBidi" w:cstheme="majorBidi"/>
                <w:color w:val="000000" w:themeColor="text1"/>
                <w:sz w:val="18"/>
                <w:szCs w:val="18"/>
                <w:lang w:eastAsia="zh-CN"/>
              </w:rPr>
              <w:t>Public awareness material and communications</w:t>
            </w:r>
          </w:p>
        </w:tc>
        <w:tc>
          <w:tcPr>
            <w:tcW w:w="2559" w:type="dxa"/>
            <w:shd w:val="clear" w:color="auto" w:fill="auto"/>
            <w:vAlign w:val="bottom"/>
            <w:hideMark/>
          </w:tcPr>
          <w:p w14:paraId="3B72B7E5" w14:textId="6CF407E4"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678" w:type="dxa"/>
            <w:shd w:val="clear" w:color="auto" w:fill="auto"/>
            <w:vAlign w:val="bottom"/>
            <w:hideMark/>
          </w:tcPr>
          <w:p w14:paraId="3B05A7FB" w14:textId="68DF9728"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154" w:type="dxa"/>
            <w:shd w:val="clear" w:color="auto" w:fill="auto"/>
            <w:vAlign w:val="bottom"/>
            <w:hideMark/>
          </w:tcPr>
          <w:p w14:paraId="630A0F37" w14:textId="64B6D7EF"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w:t>
            </w:r>
          </w:p>
        </w:tc>
      </w:tr>
      <w:tr w:rsidR="0015126A" w:rsidRPr="00B16F37" w14:paraId="49813DF4" w14:textId="77777777" w:rsidTr="00361521">
        <w:trPr>
          <w:trHeight w:val="216"/>
          <w:jc w:val="center"/>
        </w:trPr>
        <w:tc>
          <w:tcPr>
            <w:tcW w:w="2972" w:type="dxa"/>
            <w:shd w:val="clear" w:color="auto" w:fill="auto"/>
            <w:vAlign w:val="bottom"/>
            <w:hideMark/>
          </w:tcPr>
          <w:p w14:paraId="7557DF06" w14:textId="1EA6D768" w:rsidR="0015126A" w:rsidRPr="00B16F37" w:rsidRDefault="0015126A" w:rsidP="00892011">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Translation of the clearing-house mechanism website and website projects</w:t>
            </w:r>
          </w:p>
        </w:tc>
        <w:tc>
          <w:tcPr>
            <w:tcW w:w="2559" w:type="dxa"/>
            <w:shd w:val="clear" w:color="auto" w:fill="auto"/>
            <w:vAlign w:val="bottom"/>
            <w:hideMark/>
          </w:tcPr>
          <w:p w14:paraId="4713F2D3" w14:textId="01A28455"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130.0</w:t>
            </w:r>
          </w:p>
        </w:tc>
        <w:tc>
          <w:tcPr>
            <w:tcW w:w="1678" w:type="dxa"/>
            <w:shd w:val="clear" w:color="auto" w:fill="auto"/>
            <w:vAlign w:val="bottom"/>
            <w:hideMark/>
          </w:tcPr>
          <w:p w14:paraId="6357560D" w14:textId="775107E5"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70.0</w:t>
            </w:r>
          </w:p>
        </w:tc>
        <w:tc>
          <w:tcPr>
            <w:tcW w:w="1154" w:type="dxa"/>
            <w:shd w:val="clear" w:color="auto" w:fill="auto"/>
            <w:vAlign w:val="bottom"/>
            <w:hideMark/>
          </w:tcPr>
          <w:p w14:paraId="288D22EA" w14:textId="7AA8E322"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60.0</w:t>
            </w:r>
          </w:p>
        </w:tc>
      </w:tr>
      <w:tr w:rsidR="0015126A" w:rsidRPr="00B16F37" w14:paraId="269F4C58" w14:textId="77777777" w:rsidTr="00361521">
        <w:trPr>
          <w:trHeight w:val="360"/>
          <w:jc w:val="center"/>
        </w:trPr>
        <w:tc>
          <w:tcPr>
            <w:tcW w:w="2972" w:type="dxa"/>
            <w:shd w:val="clear" w:color="auto" w:fill="auto"/>
            <w:vAlign w:val="bottom"/>
            <w:hideMark/>
          </w:tcPr>
          <w:p w14:paraId="7E329666" w14:textId="3C1E94CD" w:rsidR="0015126A" w:rsidRPr="00B16F37" w:rsidRDefault="0015126A" w:rsidP="00892011">
            <w:pPr>
              <w:jc w:val="left"/>
              <w:rPr>
                <w:rFonts w:asciiTheme="majorBidi" w:hAnsiTheme="majorBidi" w:cstheme="majorBidi"/>
                <w:color w:val="000000"/>
                <w:sz w:val="18"/>
                <w:szCs w:val="18"/>
                <w:vertAlign w:val="superscript"/>
                <w:lang w:eastAsia="zh-CN"/>
              </w:rPr>
            </w:pPr>
            <w:r w:rsidRPr="00B16F37">
              <w:rPr>
                <w:rFonts w:asciiTheme="majorBidi" w:hAnsiTheme="majorBidi" w:cstheme="majorBidi"/>
                <w:color w:val="000000" w:themeColor="text1"/>
                <w:sz w:val="18"/>
                <w:szCs w:val="18"/>
                <w:lang w:eastAsia="zh-CN"/>
              </w:rPr>
              <w:t>Travel on official business</w:t>
            </w:r>
          </w:p>
        </w:tc>
        <w:tc>
          <w:tcPr>
            <w:tcW w:w="2559" w:type="dxa"/>
            <w:shd w:val="clear" w:color="auto" w:fill="auto"/>
            <w:vAlign w:val="bottom"/>
            <w:hideMark/>
          </w:tcPr>
          <w:p w14:paraId="75C0C24F"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640.0 </w:t>
            </w:r>
          </w:p>
        </w:tc>
        <w:tc>
          <w:tcPr>
            <w:tcW w:w="1678" w:type="dxa"/>
            <w:shd w:val="clear" w:color="auto" w:fill="auto"/>
            <w:vAlign w:val="bottom"/>
            <w:hideMark/>
          </w:tcPr>
          <w:p w14:paraId="7EEB4941"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720.0 </w:t>
            </w:r>
          </w:p>
        </w:tc>
        <w:tc>
          <w:tcPr>
            <w:tcW w:w="1154" w:type="dxa"/>
            <w:shd w:val="clear" w:color="auto" w:fill="auto"/>
            <w:vAlign w:val="bottom"/>
            <w:hideMark/>
          </w:tcPr>
          <w:p w14:paraId="23664CDC" w14:textId="7C3F434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(80.0)</w:t>
            </w:r>
          </w:p>
        </w:tc>
      </w:tr>
      <w:tr w:rsidR="0015126A" w:rsidRPr="00B16F37" w14:paraId="2EF6F601" w14:textId="77777777" w:rsidTr="00361521">
        <w:trPr>
          <w:trHeight w:val="216"/>
          <w:jc w:val="center"/>
        </w:trPr>
        <w:tc>
          <w:tcPr>
            <w:tcW w:w="2972" w:type="dxa"/>
            <w:shd w:val="clear" w:color="auto" w:fill="auto"/>
            <w:vAlign w:val="bottom"/>
            <w:hideMark/>
          </w:tcPr>
          <w:p w14:paraId="48409D31" w14:textId="2204ED96" w:rsidR="0015126A" w:rsidRPr="00B16F37" w:rsidRDefault="0015126A" w:rsidP="00892011">
            <w:pPr>
              <w:jc w:val="left"/>
              <w:rPr>
                <w:rFonts w:asciiTheme="majorBidi" w:hAnsiTheme="majorBidi" w:cstheme="majorBidi"/>
                <w:color w:val="000000" w:themeColor="text1"/>
                <w:sz w:val="18"/>
                <w:szCs w:val="18"/>
                <w:lang w:eastAsia="zh-CN"/>
              </w:rPr>
            </w:pPr>
            <w:r w:rsidRPr="00B16F37">
              <w:rPr>
                <w:rFonts w:asciiTheme="majorBidi" w:hAnsiTheme="majorBidi" w:cstheme="majorBidi"/>
                <w:color w:val="000000" w:themeColor="text1"/>
                <w:sz w:val="18"/>
                <w:szCs w:val="18"/>
                <w:lang w:eastAsia="zh-CN"/>
              </w:rPr>
              <w:t>Rent and associated costs</w:t>
            </w:r>
          </w:p>
        </w:tc>
        <w:tc>
          <w:tcPr>
            <w:tcW w:w="2559" w:type="dxa"/>
            <w:shd w:val="clear" w:color="auto" w:fill="auto"/>
            <w:vAlign w:val="bottom"/>
            <w:hideMark/>
          </w:tcPr>
          <w:p w14:paraId="71DB36BE" w14:textId="5D10D7A9"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2 918.7 </w:t>
            </w:r>
          </w:p>
        </w:tc>
        <w:tc>
          <w:tcPr>
            <w:tcW w:w="1678" w:type="dxa"/>
            <w:shd w:val="clear" w:color="auto" w:fill="auto"/>
            <w:vAlign w:val="bottom"/>
            <w:hideMark/>
          </w:tcPr>
          <w:p w14:paraId="01CFFDFB"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2 895.8 </w:t>
            </w:r>
          </w:p>
        </w:tc>
        <w:tc>
          <w:tcPr>
            <w:tcW w:w="1154" w:type="dxa"/>
            <w:shd w:val="clear" w:color="auto" w:fill="auto"/>
            <w:vAlign w:val="bottom"/>
            <w:hideMark/>
          </w:tcPr>
          <w:p w14:paraId="234F297A"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22.9</w:t>
            </w:r>
          </w:p>
        </w:tc>
      </w:tr>
      <w:tr w:rsidR="0015126A" w:rsidRPr="00B16F37" w14:paraId="37961EAB" w14:textId="77777777" w:rsidTr="00361521">
        <w:trPr>
          <w:trHeight w:val="216"/>
          <w:jc w:val="center"/>
        </w:trPr>
        <w:tc>
          <w:tcPr>
            <w:tcW w:w="2972" w:type="dxa"/>
            <w:shd w:val="clear" w:color="auto" w:fill="auto"/>
            <w:vAlign w:val="bottom"/>
          </w:tcPr>
          <w:p w14:paraId="5348562F" w14:textId="6A2E4648" w:rsidR="0015126A" w:rsidRPr="00B16F37" w:rsidRDefault="0015126A" w:rsidP="00892011">
            <w:pPr>
              <w:jc w:val="left"/>
              <w:rPr>
                <w:rFonts w:asciiTheme="majorBidi" w:hAnsiTheme="majorBidi" w:cstheme="majorBidi"/>
                <w:color w:val="000000" w:themeColor="text1"/>
                <w:sz w:val="18"/>
                <w:szCs w:val="18"/>
                <w:lang w:eastAsia="zh-CN"/>
              </w:rPr>
            </w:pPr>
            <w:r w:rsidRPr="00B16F37">
              <w:rPr>
                <w:rFonts w:asciiTheme="majorBidi" w:hAnsiTheme="majorBidi" w:cstheme="majorBidi"/>
                <w:color w:val="000000"/>
                <w:sz w:val="18"/>
                <w:szCs w:val="18"/>
                <w:lang w:eastAsia="zh-CN"/>
              </w:rPr>
              <w:t>Information technology</w:t>
            </w:r>
          </w:p>
        </w:tc>
        <w:tc>
          <w:tcPr>
            <w:tcW w:w="2559" w:type="dxa"/>
            <w:shd w:val="clear" w:color="auto" w:fill="auto"/>
            <w:vAlign w:val="bottom"/>
          </w:tcPr>
          <w:p w14:paraId="191F3067"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130.0</w:t>
            </w:r>
          </w:p>
        </w:tc>
        <w:tc>
          <w:tcPr>
            <w:tcW w:w="1678" w:type="dxa"/>
            <w:shd w:val="clear" w:color="auto" w:fill="auto"/>
            <w:vAlign w:val="bottom"/>
          </w:tcPr>
          <w:p w14:paraId="5C90A566"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100.0</w:t>
            </w:r>
          </w:p>
        </w:tc>
        <w:tc>
          <w:tcPr>
            <w:tcW w:w="1154" w:type="dxa"/>
            <w:shd w:val="clear" w:color="auto" w:fill="auto"/>
            <w:vAlign w:val="bottom"/>
          </w:tcPr>
          <w:p w14:paraId="34262CEC"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30.0</w:t>
            </w:r>
          </w:p>
        </w:tc>
      </w:tr>
      <w:tr w:rsidR="0015126A" w:rsidRPr="00B16F37" w14:paraId="1AC0BD33" w14:textId="77777777" w:rsidTr="00361521">
        <w:trPr>
          <w:trHeight w:val="216"/>
          <w:jc w:val="center"/>
        </w:trPr>
        <w:tc>
          <w:tcPr>
            <w:tcW w:w="2972" w:type="dxa"/>
            <w:shd w:val="clear" w:color="auto" w:fill="auto"/>
            <w:vAlign w:val="bottom"/>
          </w:tcPr>
          <w:p w14:paraId="15236429" w14:textId="15375F81" w:rsidR="0015126A" w:rsidRPr="00B16F37" w:rsidRDefault="0015126A" w:rsidP="00892011">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General operating expenses</w:t>
            </w:r>
          </w:p>
        </w:tc>
        <w:tc>
          <w:tcPr>
            <w:tcW w:w="2559" w:type="dxa"/>
            <w:shd w:val="clear" w:color="auto" w:fill="auto"/>
            <w:vAlign w:val="bottom"/>
          </w:tcPr>
          <w:p w14:paraId="09C62ACD"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1 453.2</w:t>
            </w:r>
          </w:p>
        </w:tc>
        <w:tc>
          <w:tcPr>
            <w:tcW w:w="1678" w:type="dxa"/>
            <w:shd w:val="clear" w:color="auto" w:fill="auto"/>
            <w:vAlign w:val="bottom"/>
          </w:tcPr>
          <w:p w14:paraId="1264ACE7"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1 400.0</w:t>
            </w:r>
          </w:p>
        </w:tc>
        <w:tc>
          <w:tcPr>
            <w:tcW w:w="1154" w:type="dxa"/>
            <w:shd w:val="clear" w:color="auto" w:fill="auto"/>
            <w:vAlign w:val="bottom"/>
          </w:tcPr>
          <w:p w14:paraId="3B49D6C3" w14:textId="77777777"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53.2</w:t>
            </w:r>
          </w:p>
        </w:tc>
      </w:tr>
      <w:tr w:rsidR="0015126A" w:rsidRPr="00B16F37" w14:paraId="25CB644F" w14:textId="77777777" w:rsidTr="00361521">
        <w:trPr>
          <w:trHeight w:val="216"/>
          <w:jc w:val="center"/>
        </w:trPr>
        <w:tc>
          <w:tcPr>
            <w:tcW w:w="2972" w:type="dxa"/>
            <w:shd w:val="clear" w:color="auto" w:fill="auto"/>
            <w:vAlign w:val="bottom"/>
            <w:hideMark/>
          </w:tcPr>
          <w:p w14:paraId="6F271681" w14:textId="21A618FC" w:rsidR="0015126A" w:rsidRPr="00B16F37" w:rsidRDefault="0015126A" w:rsidP="00892011">
            <w:pPr>
              <w:jc w:val="left"/>
              <w:rPr>
                <w:rFonts w:asciiTheme="majorBidi" w:hAnsiTheme="majorBidi" w:cstheme="majorBidi"/>
                <w:b/>
                <w:bCs/>
                <w:color w:val="000000"/>
                <w:sz w:val="18"/>
                <w:szCs w:val="18"/>
                <w:lang w:eastAsia="zh-CN"/>
              </w:rPr>
            </w:pPr>
            <w:r w:rsidRPr="00B16F37">
              <w:rPr>
                <w:rFonts w:asciiTheme="majorBidi" w:hAnsiTheme="majorBidi" w:cstheme="majorBidi"/>
                <w:b/>
                <w:bCs/>
                <w:color w:val="000000"/>
                <w:sz w:val="18"/>
                <w:szCs w:val="18"/>
                <w:lang w:eastAsia="zh-CN"/>
              </w:rPr>
              <w:tab/>
              <w:t>Subtotal</w:t>
            </w:r>
          </w:p>
        </w:tc>
        <w:tc>
          <w:tcPr>
            <w:tcW w:w="2559" w:type="dxa"/>
            <w:shd w:val="clear" w:color="auto" w:fill="auto"/>
            <w:vAlign w:val="bottom"/>
            <w:hideMark/>
          </w:tcPr>
          <w:p w14:paraId="49974FEB" w14:textId="726F0E53" w:rsidR="0015126A" w:rsidRPr="00B16F37" w:rsidRDefault="0015126A" w:rsidP="00892011">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sz w:val="18"/>
                <w:szCs w:val="18"/>
                <w:lang w:eastAsia="zh-CN"/>
              </w:rPr>
              <w:t>36 432.7</w:t>
            </w:r>
          </w:p>
        </w:tc>
        <w:tc>
          <w:tcPr>
            <w:tcW w:w="1678" w:type="dxa"/>
            <w:shd w:val="clear" w:color="auto" w:fill="auto"/>
            <w:vAlign w:val="bottom"/>
            <w:hideMark/>
          </w:tcPr>
          <w:p w14:paraId="4CE1CA5B" w14:textId="29857B91" w:rsidR="0015126A" w:rsidRPr="00B16F37" w:rsidRDefault="0015126A" w:rsidP="00892011">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35 243.1</w:t>
            </w:r>
          </w:p>
        </w:tc>
        <w:tc>
          <w:tcPr>
            <w:tcW w:w="1154" w:type="dxa"/>
            <w:shd w:val="clear" w:color="auto" w:fill="auto"/>
            <w:vAlign w:val="bottom"/>
            <w:hideMark/>
          </w:tcPr>
          <w:p w14:paraId="0D1CD2B0" w14:textId="012888F1" w:rsidR="0015126A" w:rsidRPr="00B16F37" w:rsidRDefault="0015126A" w:rsidP="00892011">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1 189.6</w:t>
            </w:r>
          </w:p>
        </w:tc>
      </w:tr>
      <w:tr w:rsidR="0015126A" w:rsidRPr="00B16F37" w14:paraId="20075388" w14:textId="77777777" w:rsidTr="00361521">
        <w:trPr>
          <w:trHeight w:val="329"/>
          <w:jc w:val="center"/>
        </w:trPr>
        <w:tc>
          <w:tcPr>
            <w:tcW w:w="2972" w:type="dxa"/>
            <w:shd w:val="clear" w:color="auto" w:fill="auto"/>
            <w:vAlign w:val="bottom"/>
            <w:hideMark/>
          </w:tcPr>
          <w:p w14:paraId="06D3F149" w14:textId="0918D290" w:rsidR="0015126A" w:rsidRPr="00B16F37" w:rsidRDefault="0015126A" w:rsidP="00892011">
            <w:pPr>
              <w:jc w:val="lef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Programme support costs </w:t>
            </w:r>
            <w:r w:rsidRPr="00B16F37">
              <w:rPr>
                <w:rFonts w:asciiTheme="majorBidi" w:hAnsiTheme="majorBidi" w:cstheme="majorBidi"/>
                <w:color w:val="000000"/>
                <w:sz w:val="18"/>
                <w:szCs w:val="18"/>
                <w:lang w:eastAsia="zh-CN"/>
              </w:rPr>
              <w:br/>
              <w:t>(13 per cent)</w:t>
            </w:r>
          </w:p>
        </w:tc>
        <w:tc>
          <w:tcPr>
            <w:tcW w:w="2559" w:type="dxa"/>
            <w:shd w:val="clear" w:color="auto" w:fill="auto"/>
            <w:vAlign w:val="bottom"/>
            <w:hideMark/>
          </w:tcPr>
          <w:p w14:paraId="0BDC350B" w14:textId="30CEA5B4"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sz w:val="18"/>
                <w:szCs w:val="18"/>
                <w:lang w:eastAsia="zh-CN"/>
              </w:rPr>
              <w:t xml:space="preserve">4 736.2 </w:t>
            </w:r>
          </w:p>
        </w:tc>
        <w:tc>
          <w:tcPr>
            <w:tcW w:w="1678" w:type="dxa"/>
            <w:shd w:val="clear" w:color="auto" w:fill="auto"/>
            <w:vAlign w:val="bottom"/>
            <w:hideMark/>
          </w:tcPr>
          <w:p w14:paraId="19EBB154" w14:textId="5B28989F"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 xml:space="preserve">4 581.6 </w:t>
            </w:r>
          </w:p>
        </w:tc>
        <w:tc>
          <w:tcPr>
            <w:tcW w:w="1154" w:type="dxa"/>
            <w:shd w:val="clear" w:color="auto" w:fill="auto"/>
            <w:vAlign w:val="bottom"/>
            <w:hideMark/>
          </w:tcPr>
          <w:p w14:paraId="01FE9E30" w14:textId="5FE3D37C" w:rsidR="0015126A" w:rsidRPr="00B16F37" w:rsidRDefault="0015126A" w:rsidP="00892011">
            <w:pPr>
              <w:jc w:val="right"/>
              <w:rPr>
                <w:rFonts w:asciiTheme="majorBidi" w:hAnsiTheme="majorBidi" w:cstheme="majorBidi"/>
                <w:color w:val="000000"/>
                <w:sz w:val="18"/>
                <w:szCs w:val="18"/>
                <w:lang w:eastAsia="zh-CN"/>
              </w:rPr>
            </w:pPr>
            <w:r w:rsidRPr="00B16F37">
              <w:rPr>
                <w:rFonts w:asciiTheme="majorBidi" w:hAnsiTheme="majorBidi" w:cstheme="majorBidi"/>
                <w:color w:val="000000" w:themeColor="text1"/>
                <w:sz w:val="18"/>
                <w:szCs w:val="18"/>
                <w:lang w:eastAsia="zh-CN"/>
              </w:rPr>
              <w:t xml:space="preserve">154.6 </w:t>
            </w:r>
          </w:p>
        </w:tc>
      </w:tr>
      <w:tr w:rsidR="0015126A" w:rsidRPr="00B16F37" w14:paraId="2EA06421" w14:textId="77777777" w:rsidTr="00361521">
        <w:trPr>
          <w:trHeight w:val="215"/>
          <w:jc w:val="center"/>
        </w:trPr>
        <w:tc>
          <w:tcPr>
            <w:tcW w:w="2972" w:type="dxa"/>
            <w:shd w:val="clear" w:color="auto" w:fill="auto"/>
            <w:vAlign w:val="bottom"/>
            <w:hideMark/>
          </w:tcPr>
          <w:p w14:paraId="541C55CF" w14:textId="1FF3942F" w:rsidR="0015126A" w:rsidRPr="00B16F37" w:rsidRDefault="0015126A" w:rsidP="00892011">
            <w:pPr>
              <w:jc w:val="left"/>
              <w:rPr>
                <w:rFonts w:asciiTheme="majorBidi" w:hAnsiTheme="majorBidi" w:cstheme="majorBidi"/>
                <w:b/>
                <w:bCs/>
                <w:color w:val="000000"/>
                <w:sz w:val="18"/>
                <w:szCs w:val="18"/>
                <w:lang w:eastAsia="zh-CN"/>
              </w:rPr>
            </w:pPr>
            <w:r w:rsidRPr="00B16F37">
              <w:rPr>
                <w:rFonts w:asciiTheme="majorBidi" w:hAnsiTheme="majorBidi" w:cstheme="majorBidi"/>
                <w:b/>
                <w:bCs/>
                <w:color w:val="000000"/>
                <w:sz w:val="18"/>
                <w:szCs w:val="18"/>
                <w:lang w:eastAsia="zh-CN"/>
              </w:rPr>
              <w:tab/>
              <w:t xml:space="preserve">Total </w:t>
            </w:r>
          </w:p>
        </w:tc>
        <w:tc>
          <w:tcPr>
            <w:tcW w:w="2559" w:type="dxa"/>
            <w:shd w:val="clear" w:color="auto" w:fill="auto"/>
            <w:vAlign w:val="bottom"/>
            <w:hideMark/>
          </w:tcPr>
          <w:p w14:paraId="5E14C907" w14:textId="37050163" w:rsidR="0015126A" w:rsidRPr="00B16F37" w:rsidRDefault="0015126A" w:rsidP="00892011">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sz w:val="18"/>
                <w:szCs w:val="18"/>
                <w:lang w:eastAsia="zh-CN"/>
              </w:rPr>
              <w:t>41 168.9</w:t>
            </w:r>
          </w:p>
        </w:tc>
        <w:tc>
          <w:tcPr>
            <w:tcW w:w="1678" w:type="dxa"/>
            <w:shd w:val="clear" w:color="auto" w:fill="auto"/>
            <w:vAlign w:val="bottom"/>
            <w:hideMark/>
          </w:tcPr>
          <w:p w14:paraId="5E7101C9" w14:textId="5612F6D9" w:rsidR="0015126A" w:rsidRPr="00B16F37" w:rsidRDefault="0015126A" w:rsidP="00892011">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39 824.7</w:t>
            </w:r>
          </w:p>
        </w:tc>
        <w:tc>
          <w:tcPr>
            <w:tcW w:w="1154" w:type="dxa"/>
            <w:shd w:val="clear" w:color="auto" w:fill="auto"/>
            <w:vAlign w:val="bottom"/>
            <w:hideMark/>
          </w:tcPr>
          <w:p w14:paraId="305E599B" w14:textId="58587EA7" w:rsidR="0015126A" w:rsidRPr="00B16F37" w:rsidRDefault="0015126A" w:rsidP="00892011">
            <w:pPr>
              <w:jc w:val="right"/>
              <w:rPr>
                <w:rFonts w:asciiTheme="majorBidi" w:hAnsiTheme="majorBidi" w:cstheme="majorBidi"/>
                <w:b/>
                <w:bCs/>
                <w:color w:val="000000"/>
                <w:sz w:val="18"/>
                <w:szCs w:val="18"/>
                <w:lang w:eastAsia="zh-CN"/>
              </w:rPr>
            </w:pPr>
            <w:r w:rsidRPr="00B16F37">
              <w:rPr>
                <w:rFonts w:asciiTheme="majorBidi" w:hAnsiTheme="majorBidi" w:cstheme="majorBidi"/>
                <w:b/>
                <w:bCs/>
                <w:color w:val="000000" w:themeColor="text1"/>
                <w:sz w:val="18"/>
                <w:szCs w:val="18"/>
                <w:lang w:eastAsia="zh-CN"/>
              </w:rPr>
              <w:t>1 344.2</w:t>
            </w:r>
          </w:p>
        </w:tc>
      </w:tr>
    </w:tbl>
    <w:p w14:paraId="75AD1470" w14:textId="278A1687" w:rsidR="0015126A" w:rsidRPr="00B16F37" w:rsidRDefault="0015126A" w:rsidP="006B6E6D">
      <w:pPr>
        <w:pStyle w:val="paragraph"/>
        <w:spacing w:before="240"/>
        <w:textAlignment w:val="baseline"/>
        <w:rPr>
          <w:kern w:val="22"/>
          <w:sz w:val="18"/>
          <w:szCs w:val="18"/>
        </w:rPr>
      </w:pPr>
      <w:r w:rsidRPr="00B16F37">
        <w:rPr>
          <w:i/>
          <w:iCs/>
          <w:kern w:val="22"/>
          <w:sz w:val="18"/>
          <w:szCs w:val="18"/>
          <w:vertAlign w:val="superscript"/>
        </w:rPr>
        <w:t>a</w:t>
      </w:r>
      <w:r w:rsidRPr="00B16F37">
        <w:rPr>
          <w:kern w:val="22"/>
          <w:sz w:val="18"/>
          <w:szCs w:val="18"/>
        </w:rPr>
        <w:t xml:space="preserve"> Meetings funded from the core budget.</w:t>
      </w:r>
    </w:p>
    <w:p w14:paraId="51E9BF6C" w14:textId="55FFA036" w:rsidR="0015126A" w:rsidRPr="00B16F37" w:rsidRDefault="0015126A" w:rsidP="00361521">
      <w:pPr>
        <w:pStyle w:val="paragraph"/>
        <w:keepNext/>
        <w:spacing w:before="120" w:after="120"/>
        <w:textAlignment w:val="baseline"/>
        <w:rPr>
          <w:i/>
          <w:iCs/>
          <w:kern w:val="22"/>
        </w:rPr>
      </w:pPr>
      <w:r w:rsidRPr="00B16F37">
        <w:rPr>
          <w:i/>
          <w:iCs/>
          <w:kern w:val="22"/>
        </w:rPr>
        <w:t>Staff costs</w:t>
      </w:r>
    </w:p>
    <w:p w14:paraId="552AEB30" w14:textId="478D9CD2" w:rsidR="0015126A" w:rsidRPr="00B16F37" w:rsidRDefault="0015126A" w:rsidP="00361521">
      <w:pPr>
        <w:pStyle w:val="CBDNormalNumber"/>
      </w:pPr>
      <w:r w:rsidRPr="00B16F37">
        <w:t xml:space="preserve">In its </w:t>
      </w:r>
      <w:r w:rsidRPr="00B16F37">
        <w:rPr>
          <w:kern w:val="22"/>
        </w:rPr>
        <w:t>decision</w:t>
      </w:r>
      <w:r w:rsidRPr="00B16F37">
        <w:t xml:space="preserve"> 15/34, the Conference of the Parties approved 82 posts (53 posts in the Professional and higher categories and 29 posts in the General Service category) for the consolidated core budget of the three general trust funds for the biennium 2023</w:t>
      </w:r>
      <w:r w:rsidRPr="00B16F37">
        <w:rPr>
          <w:kern w:val="22"/>
        </w:rPr>
        <w:t>–</w:t>
      </w:r>
      <w:r w:rsidRPr="00B16F37">
        <w:t xml:space="preserve">2024. A variance of $763,300 is expected at the end of 2024, owing mainly to unfilled vacancies in 2023 and 2024. </w:t>
      </w:r>
    </w:p>
    <w:p w14:paraId="64B22D76" w14:textId="601D1966" w:rsidR="0015126A" w:rsidRPr="00B16F37" w:rsidRDefault="0015126A" w:rsidP="00361521">
      <w:pPr>
        <w:pStyle w:val="paragraph"/>
        <w:keepNext/>
        <w:spacing w:before="120" w:after="120"/>
        <w:textAlignment w:val="baseline"/>
        <w:rPr>
          <w:i/>
          <w:iCs/>
          <w:szCs w:val="22"/>
        </w:rPr>
      </w:pPr>
      <w:r w:rsidRPr="00B16F37">
        <w:rPr>
          <w:i/>
          <w:iCs/>
          <w:kern w:val="22"/>
        </w:rPr>
        <w:t>Temporary</w:t>
      </w:r>
      <w:r w:rsidRPr="00B16F37">
        <w:rPr>
          <w:i/>
          <w:iCs/>
          <w:szCs w:val="22"/>
        </w:rPr>
        <w:t xml:space="preserve"> assistance and overtime</w:t>
      </w:r>
    </w:p>
    <w:p w14:paraId="2286E754" w14:textId="21128AD9" w:rsidR="0015126A" w:rsidRPr="00B16F37" w:rsidRDefault="0015126A" w:rsidP="00361521">
      <w:pPr>
        <w:pStyle w:val="CBDNormalNumber"/>
        <w:rPr>
          <w:i/>
          <w:iCs/>
        </w:rPr>
      </w:pPr>
      <w:r w:rsidRPr="00B16F37">
        <w:t xml:space="preserve">As </w:t>
      </w:r>
      <w:proofErr w:type="gramStart"/>
      <w:r w:rsidRPr="00B16F37">
        <w:t>at</w:t>
      </w:r>
      <w:proofErr w:type="gramEnd"/>
      <w:r w:rsidRPr="00B16F37">
        <w:t xml:space="preserve"> 31 July 2024, the Secretariat had spent some $210,000 to recruit 28 individual contractors to meet increased operational needs. </w:t>
      </w:r>
    </w:p>
    <w:p w14:paraId="49817A84" w14:textId="53599FEA" w:rsidR="0015126A" w:rsidRPr="00B16F37" w:rsidRDefault="0015126A" w:rsidP="00361521">
      <w:pPr>
        <w:pStyle w:val="paragraph"/>
        <w:keepNext/>
        <w:spacing w:before="120" w:after="120"/>
        <w:textAlignment w:val="baseline"/>
        <w:rPr>
          <w:i/>
          <w:iCs/>
          <w:szCs w:val="22"/>
        </w:rPr>
      </w:pPr>
      <w:r w:rsidRPr="00B16F37">
        <w:rPr>
          <w:i/>
          <w:iCs/>
          <w:kern w:val="22"/>
        </w:rPr>
        <w:t>Consultants</w:t>
      </w:r>
      <w:r w:rsidRPr="00B16F37">
        <w:rPr>
          <w:i/>
          <w:iCs/>
          <w:szCs w:val="22"/>
        </w:rPr>
        <w:t xml:space="preserve"> and subcontractors </w:t>
      </w:r>
    </w:p>
    <w:p w14:paraId="074605A1" w14:textId="05C74FC7" w:rsidR="0015126A" w:rsidRPr="00B16F37" w:rsidRDefault="0015126A" w:rsidP="00361521">
      <w:pPr>
        <w:pStyle w:val="CBDNormalNumber"/>
      </w:pPr>
      <w:r w:rsidRPr="00B16F37">
        <w:t xml:space="preserve">As </w:t>
      </w:r>
      <w:proofErr w:type="gramStart"/>
      <w:r w:rsidRPr="00B16F37">
        <w:t>at</w:t>
      </w:r>
      <w:proofErr w:type="gramEnd"/>
      <w:r w:rsidRPr="00B16F37">
        <w:t xml:space="preserve"> 31 July 2024, the Secretariat had spent some $90,000 for consultancy on the review of the effectiveness of the financial mechanism, </w:t>
      </w:r>
      <w:r w:rsidR="00F22649" w:rsidRPr="00B16F37">
        <w:t xml:space="preserve">to meet </w:t>
      </w:r>
      <w:r w:rsidRPr="00B16F37">
        <w:t xml:space="preserve">the objectives set out in </w:t>
      </w:r>
      <w:r w:rsidR="00F22649" w:rsidRPr="00B16F37">
        <w:t>in the terms of reference for the review (</w:t>
      </w:r>
      <w:r w:rsidRPr="00B16F37">
        <w:t>decision</w:t>
      </w:r>
      <w:r w:rsidR="00A50B68" w:rsidRPr="00B16F37">
        <w:t> </w:t>
      </w:r>
      <w:r w:rsidRPr="00B16F37">
        <w:t>15/15</w:t>
      </w:r>
      <w:r w:rsidR="00F22649" w:rsidRPr="00B16F37">
        <w:t>, annex IV)</w:t>
      </w:r>
      <w:r w:rsidRPr="00B16F37">
        <w:t xml:space="preserve">. </w:t>
      </w:r>
    </w:p>
    <w:p w14:paraId="38D09ADA" w14:textId="77777777" w:rsidR="0015126A" w:rsidRPr="00B16F37" w:rsidRDefault="0015126A" w:rsidP="00361521">
      <w:pPr>
        <w:pStyle w:val="paragraph"/>
        <w:keepNext/>
        <w:spacing w:before="120" w:after="120"/>
        <w:textAlignment w:val="baseline"/>
        <w:rPr>
          <w:i/>
          <w:iCs/>
          <w:szCs w:val="22"/>
        </w:rPr>
      </w:pPr>
      <w:r w:rsidRPr="00B16F37">
        <w:rPr>
          <w:i/>
          <w:iCs/>
          <w:kern w:val="22"/>
        </w:rPr>
        <w:t>Training</w:t>
      </w:r>
      <w:r w:rsidRPr="00B16F37">
        <w:rPr>
          <w:i/>
          <w:iCs/>
          <w:szCs w:val="22"/>
        </w:rPr>
        <w:t xml:space="preserve"> </w:t>
      </w:r>
    </w:p>
    <w:p w14:paraId="35D172B0" w14:textId="4D2854BC" w:rsidR="0015126A" w:rsidRPr="00B16F37" w:rsidRDefault="0015126A">
      <w:pPr>
        <w:pStyle w:val="CBDNormalNumber"/>
      </w:pPr>
      <w:r w:rsidRPr="00B16F37">
        <w:t xml:space="preserve">As </w:t>
      </w:r>
      <w:proofErr w:type="gramStart"/>
      <w:r w:rsidRPr="00B16F37">
        <w:t>at</w:t>
      </w:r>
      <w:proofErr w:type="gramEnd"/>
      <w:r w:rsidRPr="00B16F37">
        <w:t xml:space="preserve"> 31 July 2024, $7,200 </w:t>
      </w:r>
      <w:r w:rsidRPr="00B16F37">
        <w:rPr>
          <w:kern w:val="22"/>
        </w:rPr>
        <w:t>had been</w:t>
      </w:r>
      <w:r w:rsidRPr="00B16F37">
        <w:t xml:space="preserve"> spent to cover the travel costs of the United Nations Environment Programme (UNEP) team that provided training on the Umoja Integrated Planning, Management and Reporting solution.</w:t>
      </w:r>
    </w:p>
    <w:p w14:paraId="4C56F162" w14:textId="0624F5E9" w:rsidR="0015126A" w:rsidRPr="00B16F37" w:rsidRDefault="0015126A" w:rsidP="00361521">
      <w:pPr>
        <w:pStyle w:val="paragraph"/>
        <w:keepNext/>
        <w:spacing w:before="120" w:after="120"/>
        <w:textAlignment w:val="baseline"/>
        <w:rPr>
          <w:i/>
          <w:iCs/>
          <w:kern w:val="22"/>
        </w:rPr>
      </w:pPr>
      <w:r w:rsidRPr="00B16F37">
        <w:rPr>
          <w:i/>
          <w:iCs/>
          <w:kern w:val="22"/>
        </w:rPr>
        <w:t>Structural review</w:t>
      </w:r>
    </w:p>
    <w:p w14:paraId="6CC9B7B8" w14:textId="2F473766" w:rsidR="0015126A" w:rsidRPr="00B16F37" w:rsidRDefault="008134FC" w:rsidP="00361521">
      <w:pPr>
        <w:pStyle w:val="CBDNormalNumber"/>
      </w:pPr>
      <w:r w:rsidRPr="00B16F37">
        <w:t>The Secretariat commissioned a consultancy to prepare a scoping report</w:t>
      </w:r>
      <w:r w:rsidRPr="00B16F37">
        <w:rPr>
          <w:rStyle w:val="FootnoteReference"/>
        </w:rPr>
        <w:footnoteReference w:id="6"/>
      </w:r>
      <w:r w:rsidRPr="00B16F37">
        <w:t xml:space="preserve"> to assist in the launch of the functional review after the present meeting (see sect. E).</w:t>
      </w:r>
    </w:p>
    <w:p w14:paraId="6CD4E5C6" w14:textId="44CD9438" w:rsidR="0015126A" w:rsidRPr="00B16F37" w:rsidRDefault="0015126A" w:rsidP="00361521">
      <w:pPr>
        <w:pStyle w:val="paragraph"/>
        <w:keepNext/>
        <w:spacing w:before="120" w:after="120"/>
        <w:textAlignment w:val="baseline"/>
        <w:rPr>
          <w:szCs w:val="22"/>
        </w:rPr>
      </w:pPr>
      <w:r w:rsidRPr="00B16F37">
        <w:rPr>
          <w:i/>
          <w:iCs/>
          <w:kern w:val="22"/>
        </w:rPr>
        <w:t>Bureau</w:t>
      </w:r>
      <w:r w:rsidRPr="00B16F37">
        <w:rPr>
          <w:i/>
          <w:iCs/>
          <w:szCs w:val="22"/>
        </w:rPr>
        <w:t xml:space="preserve"> meetings</w:t>
      </w:r>
    </w:p>
    <w:p w14:paraId="5CAE3F3C" w14:textId="77777777" w:rsidR="0015126A" w:rsidRPr="00B16F37" w:rsidRDefault="0015126A" w:rsidP="00361521">
      <w:pPr>
        <w:pStyle w:val="CBDNormalNumber"/>
        <w:rPr>
          <w:i/>
          <w:iCs/>
        </w:rPr>
      </w:pPr>
      <w:r w:rsidRPr="00B16F37">
        <w:t>During the period from January 2023 to February 2024, five meetings of the Bureau of the Conference of the Parties, two meetings of the Bureau of the Subsidiary Body on Scientific, Technical and Technological Advice and one joint meeting of the two Bureaux were held in person. A total of $280,000 was spent to facilitate the travel of the Bureau members from developing country Parties.</w:t>
      </w:r>
    </w:p>
    <w:p w14:paraId="2CA4C415" w14:textId="77777777" w:rsidR="0015126A" w:rsidRPr="00B16F37" w:rsidRDefault="0015126A" w:rsidP="00361521">
      <w:pPr>
        <w:pStyle w:val="paragraph"/>
        <w:keepNext/>
        <w:spacing w:before="120"/>
        <w:textAlignment w:val="baseline"/>
        <w:rPr>
          <w:i/>
          <w:iCs/>
          <w:szCs w:val="22"/>
        </w:rPr>
      </w:pPr>
      <w:r w:rsidRPr="00B16F37">
        <w:rPr>
          <w:i/>
          <w:iCs/>
          <w:szCs w:val="22"/>
        </w:rPr>
        <w:lastRenderedPageBreak/>
        <w:t>Expert meetings</w:t>
      </w:r>
    </w:p>
    <w:p w14:paraId="48031BB7" w14:textId="1696B1DF" w:rsidR="0015126A" w:rsidRPr="00B16F37" w:rsidRDefault="0015126A" w:rsidP="00361521">
      <w:pPr>
        <w:pStyle w:val="CBDNormalNumber"/>
      </w:pPr>
      <w:r w:rsidRPr="00B16F37">
        <w:t xml:space="preserve">At its fifteenth meeting, the </w:t>
      </w:r>
      <w:r w:rsidRPr="00B16F37">
        <w:rPr>
          <w:kern w:val="22"/>
        </w:rPr>
        <w:t>Conference</w:t>
      </w:r>
      <w:r w:rsidRPr="00B16F37">
        <w:t xml:space="preserve"> of the Parties approved a budget of $480,000 to organize several expert meetings in 2023–2024. During the period from </w:t>
      </w:r>
      <w:r w:rsidR="00F22649" w:rsidRPr="00B16F37">
        <w:t>1 </w:t>
      </w:r>
      <w:r w:rsidRPr="00B16F37">
        <w:t xml:space="preserve">January 2023 to </w:t>
      </w:r>
      <w:r w:rsidR="00F22649" w:rsidRPr="00B16F37">
        <w:t>31 July</w:t>
      </w:r>
      <w:r w:rsidR="0046281C" w:rsidRPr="00B16F37">
        <w:t xml:space="preserve"> </w:t>
      </w:r>
      <w:r w:rsidRPr="00B16F37">
        <w:t xml:space="preserve">2024, the Secretariat organized the following </w:t>
      </w:r>
      <w:r w:rsidR="00F22649" w:rsidRPr="00B16F37">
        <w:t xml:space="preserve">in-person </w:t>
      </w:r>
      <w:r w:rsidRPr="00B16F37">
        <w:t xml:space="preserve">expert meetings, for a total cost of $453,100: </w:t>
      </w:r>
    </w:p>
    <w:p w14:paraId="3A4B1D43" w14:textId="77777777" w:rsidR="0015126A" w:rsidRPr="00B16F37" w:rsidRDefault="0015126A" w:rsidP="00361521">
      <w:pPr>
        <w:pStyle w:val="paragraph"/>
        <w:numPr>
          <w:ilvl w:val="0"/>
          <w:numId w:val="30"/>
        </w:numPr>
        <w:ind w:left="1134" w:hanging="567"/>
        <w:textAlignment w:val="baseline"/>
        <w:rPr>
          <w:szCs w:val="22"/>
        </w:rPr>
      </w:pPr>
      <w:r w:rsidRPr="00B16F37">
        <w:rPr>
          <w:szCs w:val="22"/>
        </w:rPr>
        <w:t xml:space="preserve">Twelfth meeting of the Informal Advisory Committee on the Biosafety </w:t>
      </w:r>
      <w:proofErr w:type="gramStart"/>
      <w:r w:rsidRPr="00B16F37">
        <w:rPr>
          <w:szCs w:val="22"/>
        </w:rPr>
        <w:t>Clearing-House</w:t>
      </w:r>
      <w:proofErr w:type="gramEnd"/>
      <w:r w:rsidRPr="00B16F37">
        <w:rPr>
          <w:szCs w:val="22"/>
        </w:rPr>
        <w:t xml:space="preserve"> (15 and 16 May 2023)</w:t>
      </w:r>
    </w:p>
    <w:p w14:paraId="6EAE6EC0" w14:textId="62888718" w:rsidR="0015126A" w:rsidRPr="00B16F37" w:rsidRDefault="0015126A" w:rsidP="00361521">
      <w:pPr>
        <w:pStyle w:val="paragraph"/>
        <w:numPr>
          <w:ilvl w:val="0"/>
          <w:numId w:val="30"/>
        </w:numPr>
        <w:ind w:left="1134" w:hanging="567"/>
        <w:textAlignment w:val="baseline"/>
        <w:rPr>
          <w:szCs w:val="22"/>
        </w:rPr>
      </w:pPr>
      <w:r w:rsidRPr="00B16F37">
        <w:rPr>
          <w:szCs w:val="22"/>
        </w:rPr>
        <w:t>First meeting of the Informal Advisory Group on Technical and Scientific Cooperation (14</w:t>
      </w:r>
      <w:r w:rsidR="00E024E9" w:rsidRPr="00B16F37">
        <w:rPr>
          <w:szCs w:val="22"/>
        </w:rPr>
        <w:noBreakHyphen/>
      </w:r>
      <w:r w:rsidRPr="00B16F37">
        <w:rPr>
          <w:szCs w:val="22"/>
        </w:rPr>
        <w:t>16</w:t>
      </w:r>
      <w:r w:rsidR="00E024E9" w:rsidRPr="00B16F37">
        <w:rPr>
          <w:szCs w:val="22"/>
        </w:rPr>
        <w:t> </w:t>
      </w:r>
      <w:r w:rsidRPr="00B16F37">
        <w:rPr>
          <w:szCs w:val="22"/>
        </w:rPr>
        <w:t xml:space="preserve">June 2023) </w:t>
      </w:r>
    </w:p>
    <w:p w14:paraId="34DBACAB" w14:textId="77777777" w:rsidR="0015126A" w:rsidRPr="00B16F37" w:rsidRDefault="0015126A" w:rsidP="00361521">
      <w:pPr>
        <w:pStyle w:val="paragraph"/>
        <w:numPr>
          <w:ilvl w:val="0"/>
          <w:numId w:val="30"/>
        </w:numPr>
        <w:ind w:left="1134" w:hanging="567"/>
        <w:textAlignment w:val="baseline"/>
        <w:rPr>
          <w:szCs w:val="22"/>
        </w:rPr>
      </w:pPr>
      <w:r w:rsidRPr="00B16F37">
        <w:rPr>
          <w:szCs w:val="22"/>
        </w:rPr>
        <w:t xml:space="preserve">Fifth meeting of the Informal Advisory Committee on Capacity-building for the Implementation of the Nagoya Protocol (20–22 June 2023) </w:t>
      </w:r>
    </w:p>
    <w:p w14:paraId="6A7BEBC5" w14:textId="2AB387C0" w:rsidR="0015126A" w:rsidRPr="00B16F37" w:rsidRDefault="0015126A" w:rsidP="00361521">
      <w:pPr>
        <w:pStyle w:val="paragraph"/>
        <w:numPr>
          <w:ilvl w:val="0"/>
          <w:numId w:val="30"/>
        </w:numPr>
        <w:ind w:left="1134" w:hanging="567"/>
        <w:textAlignment w:val="baseline"/>
        <w:rPr>
          <w:szCs w:val="22"/>
        </w:rPr>
      </w:pPr>
      <w:r w:rsidRPr="00B16F37">
        <w:rPr>
          <w:szCs w:val="22"/>
        </w:rPr>
        <w:t xml:space="preserve">First meeting of the Advisory Committee on Resource Mobilization (25–29 September 2023) </w:t>
      </w:r>
    </w:p>
    <w:p w14:paraId="2F10C1A1" w14:textId="446B9708" w:rsidR="0015126A" w:rsidRPr="00B16F37" w:rsidRDefault="0015126A" w:rsidP="00361521">
      <w:pPr>
        <w:pStyle w:val="paragraph"/>
        <w:numPr>
          <w:ilvl w:val="0"/>
          <w:numId w:val="30"/>
        </w:numPr>
        <w:ind w:left="1134" w:hanging="567"/>
        <w:textAlignment w:val="baseline"/>
        <w:rPr>
          <w:szCs w:val="22"/>
        </w:rPr>
      </w:pPr>
      <w:r w:rsidRPr="00B16F37">
        <w:rPr>
          <w:szCs w:val="22"/>
        </w:rPr>
        <w:t xml:space="preserve">Eighteenth and nineteenth meetings of the Compliance Committee under the Cartagena Protocol (24–26 October 2023 and 30 April–2 May 2024, respectively) </w:t>
      </w:r>
    </w:p>
    <w:p w14:paraId="30E107E5" w14:textId="77777777" w:rsidR="0015126A" w:rsidRPr="00B16F37" w:rsidRDefault="0015126A" w:rsidP="00361521">
      <w:pPr>
        <w:pStyle w:val="paragraph"/>
        <w:numPr>
          <w:ilvl w:val="0"/>
          <w:numId w:val="30"/>
        </w:numPr>
        <w:ind w:left="1134" w:hanging="567"/>
        <w:textAlignment w:val="baseline"/>
        <w:rPr>
          <w:szCs w:val="22"/>
        </w:rPr>
      </w:pPr>
      <w:r w:rsidRPr="00B16F37">
        <w:rPr>
          <w:szCs w:val="22"/>
        </w:rPr>
        <w:t>Fifth meeting of the Informal Advisory Committee to the Access and Benefit-sharing Clearing-House (13–15 February 2024)</w:t>
      </w:r>
    </w:p>
    <w:p w14:paraId="279FC679" w14:textId="57B57B54" w:rsidR="0015126A" w:rsidRPr="00B16F37" w:rsidRDefault="0015126A" w:rsidP="00361521">
      <w:pPr>
        <w:pStyle w:val="paragraph"/>
        <w:numPr>
          <w:ilvl w:val="0"/>
          <w:numId w:val="30"/>
        </w:numPr>
        <w:ind w:left="1134" w:hanging="567"/>
        <w:textAlignment w:val="baseline"/>
        <w:rPr>
          <w:rFonts w:asciiTheme="majorBidi" w:hAnsiTheme="majorBidi" w:cstheme="majorBidi"/>
          <w:szCs w:val="22"/>
        </w:rPr>
      </w:pPr>
      <w:r w:rsidRPr="00B16F37">
        <w:rPr>
          <w:szCs w:val="22"/>
        </w:rPr>
        <w:t>Sixth meeting of the Ad Hoc Technical Expert Group on Indicators</w:t>
      </w:r>
      <w:r w:rsidRPr="00B16F37">
        <w:rPr>
          <w:rFonts w:asciiTheme="majorBidi" w:hAnsiTheme="majorBidi" w:cstheme="majorBidi"/>
          <w:color w:val="009B48"/>
          <w:szCs w:val="22"/>
        </w:rPr>
        <w:t xml:space="preserve"> </w:t>
      </w:r>
      <w:r w:rsidRPr="00B16F37">
        <w:rPr>
          <w:rFonts w:asciiTheme="majorBidi" w:hAnsiTheme="majorBidi" w:cstheme="majorBidi"/>
          <w:szCs w:val="22"/>
        </w:rPr>
        <w:t>for the Kunming-Montreal Global Biodiversity Framework (12</w:t>
      </w:r>
      <w:r w:rsidRPr="00B16F37">
        <w:rPr>
          <w:szCs w:val="22"/>
        </w:rPr>
        <w:t>–</w:t>
      </w:r>
      <w:r w:rsidRPr="00B16F37">
        <w:rPr>
          <w:rFonts w:asciiTheme="majorBidi" w:hAnsiTheme="majorBidi" w:cstheme="majorBidi"/>
          <w:szCs w:val="22"/>
        </w:rPr>
        <w:t>15 March 2024)</w:t>
      </w:r>
    </w:p>
    <w:p w14:paraId="697E9936" w14:textId="280ED5B3" w:rsidR="0015126A" w:rsidRPr="00B16F37" w:rsidRDefault="0015126A" w:rsidP="00361521">
      <w:pPr>
        <w:pStyle w:val="paragraph"/>
        <w:numPr>
          <w:ilvl w:val="0"/>
          <w:numId w:val="30"/>
        </w:numPr>
        <w:ind w:left="1134" w:hanging="567"/>
        <w:textAlignment w:val="baseline"/>
        <w:rPr>
          <w:i/>
          <w:iCs/>
          <w:szCs w:val="22"/>
        </w:rPr>
      </w:pPr>
      <w:r w:rsidRPr="00B16F37">
        <w:rPr>
          <w:szCs w:val="22"/>
        </w:rPr>
        <w:t>Fourth meeting of the Compliance Committee under the Nagoya Protocol on Access and Benefit-sharing (25–27 March 2024)</w:t>
      </w:r>
    </w:p>
    <w:p w14:paraId="1FB0F37D" w14:textId="77777777" w:rsidR="0015126A" w:rsidRPr="00B16F37" w:rsidRDefault="0015126A" w:rsidP="00361521">
      <w:pPr>
        <w:pStyle w:val="paragraph"/>
        <w:keepNext/>
        <w:spacing w:before="120" w:after="120"/>
        <w:textAlignment w:val="baseline"/>
        <w:rPr>
          <w:i/>
          <w:iCs/>
          <w:szCs w:val="22"/>
        </w:rPr>
      </w:pPr>
      <w:r w:rsidRPr="00B16F37">
        <w:rPr>
          <w:i/>
          <w:iCs/>
          <w:szCs w:val="22"/>
        </w:rPr>
        <w:t xml:space="preserve">Meetings of </w:t>
      </w:r>
      <w:r w:rsidRPr="00B16F37">
        <w:rPr>
          <w:i/>
          <w:iCs/>
          <w:kern w:val="22"/>
        </w:rPr>
        <w:t>intergovernmental</w:t>
      </w:r>
      <w:r w:rsidRPr="00B16F37">
        <w:rPr>
          <w:i/>
          <w:iCs/>
          <w:szCs w:val="22"/>
        </w:rPr>
        <w:t xml:space="preserve"> bodies</w:t>
      </w:r>
    </w:p>
    <w:p w14:paraId="6279C039" w14:textId="1769EB42" w:rsidR="0015126A" w:rsidRPr="00B16F37" w:rsidRDefault="0015126A" w:rsidP="00361521">
      <w:pPr>
        <w:pStyle w:val="CBDNormalNumber"/>
      </w:pPr>
      <w:r w:rsidRPr="00B16F37">
        <w:t xml:space="preserve">In its decision 15/34, the Conference of the Parties </w:t>
      </w:r>
      <w:r w:rsidRPr="00B16F37">
        <w:rPr>
          <w:kern w:val="22"/>
        </w:rPr>
        <w:t>approved</w:t>
      </w:r>
      <w:r w:rsidRPr="00B16F37">
        <w:t xml:space="preserve"> a budget of $5,584,600 for the biennium to cover the costs of the meetings of the subsidiary bodies, the sixteenth meeting of the Conference of the Parties to the Convention, the eleventh meeting of the Conference of the Parties serving as the meeting of the Parties to the Cartagena Protocol and the fifth meeting of the Conference of the Parties serving as the meeting of the Parties to the Nagoya Protocol. As at 31 July 2024, some $5.5 million had been spent to cover the costs of the twenty-fifth </w:t>
      </w:r>
      <w:r w:rsidR="005A6EC9" w:rsidRPr="00B16F37">
        <w:t xml:space="preserve">and twenty-sixth </w:t>
      </w:r>
      <w:r w:rsidRPr="00B16F37">
        <w:t>meeting</w:t>
      </w:r>
      <w:r w:rsidR="005A6EC9" w:rsidRPr="00B16F37">
        <w:t>s</w:t>
      </w:r>
      <w:r w:rsidRPr="00B16F37">
        <w:t xml:space="preserve"> of the Subsidiary Body on Scientific, Technical and Technological Advice; </w:t>
      </w:r>
      <w:r w:rsidR="00737B25" w:rsidRPr="00B16F37">
        <w:t xml:space="preserve">the fourth and fifth meetings of the Subsidiary Body on Implementation; </w:t>
      </w:r>
      <w:r w:rsidRPr="00B16F37">
        <w:t>the resumed second parts of the fifteenth meeting of the Conference of the Parties to the Convention, tenth meeting of the Conference of the Parties serving as the meeting of the Parties to the Cartagena Protocol and fourth meeting of the Conference of the Parties serving as the meeting of the Parties to the Nagoya Protocol; the twelfth meeting of the Ad Hoc Open-ended Intersessional Working Group on Article 8(j) and Related Provisions of the Convention, the sixteenth meeting of the Conference of the Parties to the Convention, the eleventh meeting of the Conference of the Parties serving as the meeting of the Parties to the Cartagena Protocol and the fifth meeting of the Conference of the Parties serving as the meeting of the Parties to the Nagoya Protocol.</w:t>
      </w:r>
    </w:p>
    <w:p w14:paraId="1E986E9F" w14:textId="146580D5" w:rsidR="0015126A" w:rsidRPr="00B16F37" w:rsidRDefault="0015126A" w:rsidP="00361521">
      <w:pPr>
        <w:pStyle w:val="paragraph"/>
        <w:keepNext/>
        <w:spacing w:before="120" w:after="120"/>
        <w:textAlignment w:val="baseline"/>
        <w:rPr>
          <w:i/>
          <w:iCs/>
          <w:szCs w:val="22"/>
        </w:rPr>
      </w:pPr>
      <w:r w:rsidRPr="00B16F37">
        <w:rPr>
          <w:i/>
          <w:iCs/>
          <w:szCs w:val="22"/>
        </w:rPr>
        <w:t xml:space="preserve">Public </w:t>
      </w:r>
      <w:r w:rsidRPr="00B16F37">
        <w:rPr>
          <w:i/>
          <w:iCs/>
          <w:kern w:val="22"/>
        </w:rPr>
        <w:t>awareness</w:t>
      </w:r>
      <w:r w:rsidRPr="00B16F37">
        <w:rPr>
          <w:i/>
          <w:iCs/>
          <w:szCs w:val="22"/>
        </w:rPr>
        <w:t xml:space="preserve"> materials and communications</w:t>
      </w:r>
    </w:p>
    <w:p w14:paraId="58D8998F" w14:textId="48440282" w:rsidR="0015126A" w:rsidRPr="00B16F37" w:rsidRDefault="0015126A" w:rsidP="00361521">
      <w:pPr>
        <w:pStyle w:val="CBDNormalNumber"/>
      </w:pPr>
      <w:r w:rsidRPr="00B16F37">
        <w:t xml:space="preserve">As </w:t>
      </w:r>
      <w:proofErr w:type="gramStart"/>
      <w:r w:rsidRPr="00B16F37">
        <w:t>at</w:t>
      </w:r>
      <w:proofErr w:type="gramEnd"/>
      <w:r w:rsidRPr="00B16F37">
        <w:t xml:space="preserve"> 31 July 2024, the Secretariat had spent $100,000 to produce information materials for print, web, social media, audio and television dissemination that highlighted and raised awareness of the Framework, </w:t>
      </w:r>
      <w:r w:rsidR="004C18E4" w:rsidRPr="00B16F37">
        <w:t>as well as</w:t>
      </w:r>
      <w:r w:rsidRPr="00B16F37">
        <w:t xml:space="preserve"> for the sixteenth meeting of the Conference of the Parties, </w:t>
      </w:r>
      <w:r w:rsidR="00362A8C" w:rsidRPr="00B16F37">
        <w:t xml:space="preserve">other </w:t>
      </w:r>
      <w:r w:rsidRPr="00B16F37">
        <w:t>work undertaken under the Convention and the celebration of the International Day for Biological Diversity.</w:t>
      </w:r>
    </w:p>
    <w:p w14:paraId="0887EDF3" w14:textId="742116B5" w:rsidR="0015126A" w:rsidRPr="00B16F37" w:rsidRDefault="0015126A" w:rsidP="00361521">
      <w:pPr>
        <w:pStyle w:val="paragraph"/>
        <w:keepNext/>
        <w:spacing w:before="120" w:after="120"/>
        <w:textAlignment w:val="baseline"/>
        <w:rPr>
          <w:i/>
          <w:iCs/>
          <w:szCs w:val="22"/>
        </w:rPr>
      </w:pPr>
      <w:r w:rsidRPr="00B16F37">
        <w:rPr>
          <w:i/>
          <w:iCs/>
          <w:kern w:val="22"/>
        </w:rPr>
        <w:t>Translation</w:t>
      </w:r>
      <w:r w:rsidRPr="00B16F37">
        <w:rPr>
          <w:i/>
          <w:iCs/>
          <w:szCs w:val="22"/>
        </w:rPr>
        <w:t xml:space="preserve"> of the clearing-house mechanism website and website projects</w:t>
      </w:r>
    </w:p>
    <w:p w14:paraId="61C04570" w14:textId="0B4D6E73" w:rsidR="0015126A" w:rsidRPr="00B16F37" w:rsidRDefault="0015126A" w:rsidP="00361521">
      <w:pPr>
        <w:pStyle w:val="CBDNormalNumber"/>
      </w:pPr>
      <w:r w:rsidRPr="00B16F37">
        <w:t xml:space="preserve">As </w:t>
      </w:r>
      <w:proofErr w:type="gramStart"/>
      <w:r w:rsidRPr="00B16F37">
        <w:t>at</w:t>
      </w:r>
      <w:proofErr w:type="gramEnd"/>
      <w:r w:rsidRPr="00B16F37">
        <w:t xml:space="preserve"> 31 July 2024, the Secretariat had spent some $70,000 under this </w:t>
      </w:r>
      <w:r w:rsidR="00806ED7" w:rsidRPr="00B16F37">
        <w:t>object of expenditure</w:t>
      </w:r>
      <w:r w:rsidRPr="00B16F37">
        <w:t>, mostly on the translation of the Biosafety Clearing-House and the Access and Benefit-sharing Clearing-House platforms. As the Secretariat’s website is under redevelopment, translation of the website content has been deferred until after redevelopment is complete.</w:t>
      </w:r>
    </w:p>
    <w:p w14:paraId="48648CD7" w14:textId="568E49D7" w:rsidR="0015126A" w:rsidRPr="00B16F37" w:rsidRDefault="0015126A" w:rsidP="00361521">
      <w:pPr>
        <w:pStyle w:val="paragraph"/>
        <w:keepNext/>
        <w:spacing w:before="120" w:after="120"/>
        <w:textAlignment w:val="baseline"/>
        <w:rPr>
          <w:i/>
          <w:iCs/>
          <w:szCs w:val="22"/>
        </w:rPr>
      </w:pPr>
      <w:r w:rsidRPr="00B16F37">
        <w:rPr>
          <w:i/>
          <w:iCs/>
          <w:szCs w:val="22"/>
        </w:rPr>
        <w:lastRenderedPageBreak/>
        <w:t>Travel on official business</w:t>
      </w:r>
    </w:p>
    <w:p w14:paraId="48DD6D0C" w14:textId="7EFE2BED" w:rsidR="0015126A" w:rsidRPr="00B16F37" w:rsidRDefault="0015126A" w:rsidP="00361521">
      <w:pPr>
        <w:pStyle w:val="CBDNormalNumber"/>
      </w:pPr>
      <w:r w:rsidRPr="00B16F37">
        <w:t xml:space="preserve">As </w:t>
      </w:r>
      <w:proofErr w:type="gramStart"/>
      <w:r w:rsidRPr="00B16F37">
        <w:t>at</w:t>
      </w:r>
      <w:proofErr w:type="gramEnd"/>
      <w:r w:rsidRPr="00B16F37">
        <w:t xml:space="preserve"> 31 July 2024, an amount of $720,000 had been spent for official travel to cover the travel of Secretariat staff to represent the Convention </w:t>
      </w:r>
      <w:r w:rsidRPr="00B16F37">
        <w:rPr>
          <w:kern w:val="22"/>
        </w:rPr>
        <w:t>and</w:t>
      </w:r>
      <w:r w:rsidRPr="00B16F37">
        <w:t xml:space="preserve"> its Protocols at various meetings and events. The overrun of $80,000 was due to the continuing and increasing demands on the Secretariat to attend meetings and events. It should also be noted that the budget for travel for the current biennium ($640,000) is significantly lower than those for previous </w:t>
      </w:r>
      <w:proofErr w:type="spellStart"/>
      <w:r w:rsidRPr="00B16F37">
        <w:t>bienniums</w:t>
      </w:r>
      <w:proofErr w:type="spellEnd"/>
      <w:r w:rsidRPr="00B16F37">
        <w:t>, which had varied between $800,000 and $900,000.</w:t>
      </w:r>
    </w:p>
    <w:p w14:paraId="1FE6A055" w14:textId="6ACB428D" w:rsidR="0015126A" w:rsidRPr="00B16F37" w:rsidRDefault="0015126A" w:rsidP="00361521">
      <w:pPr>
        <w:pStyle w:val="CBDNormalNumber"/>
      </w:pPr>
      <w:r w:rsidRPr="00B16F37">
        <w:t xml:space="preserve">Staff members had undertaken 85 trips in 2023 and 75 </w:t>
      </w:r>
      <w:r w:rsidR="001E032E" w:rsidRPr="00B16F37">
        <w:t xml:space="preserve">from 1 January to </w:t>
      </w:r>
      <w:r w:rsidRPr="00B16F37">
        <w:t xml:space="preserve">31 July 2024. During the biennium, the Secretariat staff also attended meetings with civil society and business forums and participated in relevant technical meetings and intergovernmental processes. The participation of staff in other meetings and events was funded through voluntary </w:t>
      </w:r>
      <w:r w:rsidR="002362E6" w:rsidRPr="00B16F37">
        <w:t>contributions</w:t>
      </w:r>
      <w:r w:rsidRPr="00B16F37">
        <w:t xml:space="preserve">, while some participation was paid by the </w:t>
      </w:r>
      <w:r w:rsidR="00F96981" w:rsidRPr="00B16F37">
        <w:t xml:space="preserve">different </w:t>
      </w:r>
      <w:r w:rsidRPr="00B16F37">
        <w:t>organizers. In addition, staff members attended meetings and events by videoconference.</w:t>
      </w:r>
    </w:p>
    <w:p w14:paraId="3E8DAE75" w14:textId="77777777" w:rsidR="0015126A" w:rsidRPr="00B16F37" w:rsidRDefault="0015126A" w:rsidP="00361521">
      <w:pPr>
        <w:pStyle w:val="paragraph"/>
        <w:keepNext/>
        <w:spacing w:before="120" w:after="120"/>
        <w:textAlignment w:val="baseline"/>
      </w:pPr>
      <w:r w:rsidRPr="00B16F37">
        <w:rPr>
          <w:i/>
          <w:iCs/>
          <w:kern w:val="22"/>
        </w:rPr>
        <w:t>Rent</w:t>
      </w:r>
      <w:r w:rsidRPr="00B16F37">
        <w:rPr>
          <w:i/>
          <w:iCs/>
          <w:szCs w:val="22"/>
        </w:rPr>
        <w:t xml:space="preserve"> and associated costs</w:t>
      </w:r>
    </w:p>
    <w:p w14:paraId="5C6AA1C8" w14:textId="357362FA" w:rsidR="0015126A" w:rsidRPr="00B16F37" w:rsidRDefault="0015126A" w:rsidP="00361521">
      <w:pPr>
        <w:pStyle w:val="CBDNormalNumber"/>
        <w:rPr>
          <w:i/>
          <w:iCs/>
        </w:rPr>
      </w:pPr>
      <w:r w:rsidRPr="00B16F37">
        <w:t xml:space="preserve">The rent and associated costs of the </w:t>
      </w:r>
      <w:r w:rsidRPr="00B16F37">
        <w:rPr>
          <w:kern w:val="22"/>
        </w:rPr>
        <w:t>Secretariat’s</w:t>
      </w:r>
      <w:r w:rsidRPr="00B16F37">
        <w:t xml:space="preserve"> existing office space in Montreal, Canada, are paid by the Government of Canada and the Government of the Province of Quebec on a 75/25 cost-sharing basis. The Secretariat disbursed $2,895,800 for the rental of its premises </w:t>
      </w:r>
      <w:r w:rsidR="00F22649" w:rsidRPr="00B16F37">
        <w:t xml:space="preserve">over the biennium, </w:t>
      </w:r>
      <w:r w:rsidRPr="00B16F37">
        <w:t>in accordance with the current 10-year lease agreement.</w:t>
      </w:r>
    </w:p>
    <w:p w14:paraId="498A6289" w14:textId="5B14F8C4" w:rsidR="0015126A" w:rsidRPr="00B16F37" w:rsidRDefault="0015126A" w:rsidP="00361521">
      <w:pPr>
        <w:pStyle w:val="paragraph"/>
        <w:keepNext/>
        <w:spacing w:before="120" w:after="120"/>
        <w:textAlignment w:val="baseline"/>
        <w:rPr>
          <w:i/>
          <w:iCs/>
          <w:szCs w:val="22"/>
        </w:rPr>
      </w:pPr>
      <w:r w:rsidRPr="00B16F37">
        <w:rPr>
          <w:i/>
          <w:iCs/>
          <w:szCs w:val="22"/>
        </w:rPr>
        <w:t>Information technology</w:t>
      </w:r>
    </w:p>
    <w:p w14:paraId="59B6451C" w14:textId="53495F0F" w:rsidR="00A7398E" w:rsidRPr="00B16F37" w:rsidRDefault="00A7398E" w:rsidP="00A7398E">
      <w:pPr>
        <w:pStyle w:val="CBDNormalNumber"/>
      </w:pPr>
      <w:r w:rsidRPr="00B16F37">
        <w:t xml:space="preserve">The Secretariat spent $100,000 to contract the services of user interface designers to improve the design and features of </w:t>
      </w:r>
      <w:r w:rsidR="00F22649" w:rsidRPr="00B16F37">
        <w:t xml:space="preserve">Secretariat’s </w:t>
      </w:r>
      <w:r w:rsidRPr="00B16F37">
        <w:t>website. The output will result in a more dynamic, attractive and user-friendly website that will be device</w:t>
      </w:r>
      <w:r w:rsidR="00F22649" w:rsidRPr="00B16F37">
        <w:t>-</w:t>
      </w:r>
      <w:r w:rsidRPr="00B16F37">
        <w:t>responsive and aligned with themes of Kunming Montreal Global Biodiversity Framework</w:t>
      </w:r>
      <w:r w:rsidR="00F22649" w:rsidRPr="00B16F37">
        <w:t>.</w:t>
      </w:r>
      <w:r w:rsidRPr="00B16F37">
        <w:t xml:space="preserve"> </w:t>
      </w:r>
    </w:p>
    <w:p w14:paraId="32D9E32C" w14:textId="77777777" w:rsidR="0015126A" w:rsidRPr="00B16F37" w:rsidRDefault="0015126A" w:rsidP="00361521">
      <w:pPr>
        <w:pStyle w:val="CBDNormalNumber"/>
        <w:numPr>
          <w:ilvl w:val="0"/>
          <w:numId w:val="0"/>
        </w:numPr>
        <w:ind w:left="567"/>
      </w:pPr>
    </w:p>
    <w:p w14:paraId="3EB47028" w14:textId="3D9D66D6" w:rsidR="0015126A" w:rsidRPr="00B16F37" w:rsidRDefault="0015126A" w:rsidP="00361521">
      <w:pPr>
        <w:pStyle w:val="paragraph"/>
        <w:keepNext/>
        <w:spacing w:before="120" w:after="120"/>
        <w:textAlignment w:val="baseline"/>
        <w:rPr>
          <w:i/>
          <w:iCs/>
          <w:szCs w:val="22"/>
        </w:rPr>
      </w:pPr>
      <w:r w:rsidRPr="00B16F37">
        <w:rPr>
          <w:i/>
          <w:iCs/>
          <w:kern w:val="22"/>
        </w:rPr>
        <w:t>General</w:t>
      </w:r>
      <w:r w:rsidRPr="00B16F37">
        <w:rPr>
          <w:i/>
          <w:iCs/>
          <w:szCs w:val="22"/>
        </w:rPr>
        <w:t xml:space="preserve"> operating expenses</w:t>
      </w:r>
    </w:p>
    <w:p w14:paraId="6727FA24" w14:textId="1224278E" w:rsidR="0015126A" w:rsidRPr="00B16F37" w:rsidRDefault="0015126A" w:rsidP="00361521">
      <w:pPr>
        <w:pStyle w:val="CBDNormalNumber"/>
      </w:pPr>
      <w:r w:rsidRPr="00B16F37">
        <w:t xml:space="preserve">General operating expenses include </w:t>
      </w:r>
      <w:r w:rsidRPr="00B16F37">
        <w:rPr>
          <w:kern w:val="22"/>
        </w:rPr>
        <w:t>funding</w:t>
      </w:r>
      <w:r w:rsidRPr="00B16F37">
        <w:t xml:space="preserve"> for office equipment and supplies, utilities, insurance costs, courier services, communication costs and Umoja annual licence costs. The Secretariat completed the project to upgrade its existing office space and conference rooms, as well as enhance the information technology infrastructure to better support and streamline operations. The upgrade of the conference rooms and information technology infrastructure contributed to cost efficiency and to ensuring the security of the Secretariat’s data. </w:t>
      </w:r>
    </w:p>
    <w:p w14:paraId="5E331B6D" w14:textId="2E819DAD" w:rsidR="0015126A" w:rsidRPr="00B16F37" w:rsidRDefault="0015126A" w:rsidP="00361521">
      <w:pPr>
        <w:pStyle w:val="CBDH3"/>
        <w:rPr>
          <w:bCs/>
        </w:rPr>
      </w:pPr>
      <w:r w:rsidRPr="00B16F37">
        <w:rPr>
          <w:bCs/>
        </w:rPr>
        <w:t>Working capital reserve</w:t>
      </w:r>
    </w:p>
    <w:p w14:paraId="1E8220A0" w14:textId="6461F021" w:rsidR="0015126A" w:rsidRPr="00B16F37" w:rsidRDefault="0015126A" w:rsidP="00361521">
      <w:pPr>
        <w:pStyle w:val="CBDNormalNumber"/>
      </w:pPr>
      <w:r w:rsidRPr="00B16F37">
        <w:t xml:space="preserve">The working capital reserve is equivalent to 15 per cent of the estimated annual expenditure, including programme support costs. The purpose of the working capital reserve is to ensure continuity of operations of the Secretariat in the event of a temporary shortfall of cash. Drawdowns from the working capital reserve are restored from contributions as soon as possible. </w:t>
      </w:r>
    </w:p>
    <w:p w14:paraId="38B36DB8" w14:textId="1C462065" w:rsidR="0015126A" w:rsidRPr="00B16F37" w:rsidRDefault="0015126A" w:rsidP="00361521">
      <w:pPr>
        <w:pStyle w:val="CBDTableTitle"/>
        <w:rPr>
          <w:snapToGrid w:val="0"/>
        </w:rPr>
      </w:pPr>
      <w:r w:rsidRPr="00B16F37">
        <w:rPr>
          <w:b w:val="0"/>
          <w:bCs/>
          <w:snapToGrid w:val="0"/>
        </w:rPr>
        <w:t>Table 6</w:t>
      </w:r>
      <w:r w:rsidRPr="00B16F37">
        <w:rPr>
          <w:snapToGrid w:val="0"/>
        </w:rPr>
        <w:br/>
        <w:t xml:space="preserve">Working capital reserve as </w:t>
      </w:r>
      <w:proofErr w:type="gramStart"/>
      <w:r w:rsidRPr="00B16F37">
        <w:rPr>
          <w:snapToGrid w:val="0"/>
        </w:rPr>
        <w:t>at</w:t>
      </w:r>
      <w:proofErr w:type="gramEnd"/>
      <w:r w:rsidRPr="00B16F37">
        <w:rPr>
          <w:snapToGrid w:val="0"/>
        </w:rPr>
        <w:t xml:space="preserve"> 31 December 2023</w:t>
      </w:r>
    </w:p>
    <w:p w14:paraId="5684F7DC" w14:textId="77777777" w:rsidR="0015126A" w:rsidRPr="00B16F37" w:rsidRDefault="0015126A" w:rsidP="00361521">
      <w:pPr>
        <w:pStyle w:val="ListParagraph"/>
        <w:keepNext/>
        <w:keepLines/>
        <w:suppressLineNumbers/>
        <w:suppressAutoHyphens/>
        <w:spacing w:after="60"/>
        <w:ind w:left="567"/>
        <w:jc w:val="left"/>
        <w:rPr>
          <w:kern w:val="22"/>
          <w:sz w:val="18"/>
          <w:szCs w:val="18"/>
        </w:rPr>
      </w:pPr>
      <w:r w:rsidRPr="00B16F37">
        <w:rPr>
          <w:kern w:val="22"/>
          <w:sz w:val="18"/>
          <w:szCs w:val="18"/>
        </w:rPr>
        <w:t>(Thousands of United States dollars)</w:t>
      </w:r>
    </w:p>
    <w:tbl>
      <w:tblPr>
        <w:tblW w:w="6508" w:type="dxa"/>
        <w:jc w:val="center"/>
        <w:tblLayout w:type="fixed"/>
        <w:tblLook w:val="04A0" w:firstRow="1" w:lastRow="0" w:firstColumn="1" w:lastColumn="0" w:noHBand="0" w:noVBand="1"/>
      </w:tblPr>
      <w:tblGrid>
        <w:gridCol w:w="5398"/>
        <w:gridCol w:w="1110"/>
      </w:tblGrid>
      <w:tr w:rsidR="0015126A" w:rsidRPr="00B16F37" w14:paraId="76BA03E1" w14:textId="77777777" w:rsidTr="00361521">
        <w:trPr>
          <w:cantSplit/>
          <w:tblHeader/>
          <w:jc w:val="center"/>
        </w:trPr>
        <w:tc>
          <w:tcPr>
            <w:tcW w:w="5398" w:type="dxa"/>
            <w:tcBorders>
              <w:top w:val="single" w:sz="4" w:space="0" w:color="auto"/>
              <w:bottom w:val="single" w:sz="4" w:space="0" w:color="auto"/>
            </w:tcBorders>
            <w:shd w:val="clear" w:color="auto" w:fill="auto"/>
            <w:noWrap/>
          </w:tcPr>
          <w:p w14:paraId="0106B70D" w14:textId="77777777" w:rsidR="0015126A" w:rsidRPr="00B16F37" w:rsidRDefault="0015126A" w:rsidP="00361521">
            <w:pPr>
              <w:suppressLineNumbers/>
              <w:suppressAutoHyphens/>
              <w:spacing w:before="60"/>
              <w:jc w:val="left"/>
              <w:rPr>
                <w:i/>
                <w:iCs/>
                <w:color w:val="000000"/>
                <w:kern w:val="22"/>
                <w:sz w:val="18"/>
                <w:szCs w:val="18"/>
                <w:lang w:eastAsia="en-CA"/>
              </w:rPr>
            </w:pPr>
            <w:r w:rsidRPr="00B16F37">
              <w:rPr>
                <w:i/>
                <w:iCs/>
                <w:color w:val="000000"/>
                <w:kern w:val="22"/>
                <w:sz w:val="18"/>
                <w:szCs w:val="18"/>
                <w:lang w:eastAsia="en-CA"/>
              </w:rPr>
              <w:t>Trust fund</w:t>
            </w:r>
          </w:p>
        </w:tc>
        <w:tc>
          <w:tcPr>
            <w:tcW w:w="1110" w:type="dxa"/>
            <w:tcBorders>
              <w:top w:val="single" w:sz="4" w:space="0" w:color="auto"/>
              <w:bottom w:val="single" w:sz="4" w:space="0" w:color="auto"/>
            </w:tcBorders>
            <w:shd w:val="clear" w:color="auto" w:fill="auto"/>
            <w:noWrap/>
            <w:hideMark/>
          </w:tcPr>
          <w:p w14:paraId="79A90DCA" w14:textId="33F1C6B5" w:rsidR="0015126A" w:rsidRPr="00B16F37" w:rsidRDefault="0015126A" w:rsidP="00361521">
            <w:pPr>
              <w:suppressLineNumbers/>
              <w:suppressAutoHyphens/>
              <w:spacing w:before="60"/>
              <w:jc w:val="right"/>
              <w:rPr>
                <w:i/>
                <w:iCs/>
                <w:color w:val="000000"/>
                <w:kern w:val="22"/>
                <w:sz w:val="18"/>
                <w:szCs w:val="18"/>
                <w:lang w:eastAsia="en-CA"/>
              </w:rPr>
            </w:pPr>
            <w:r w:rsidRPr="00B16F37">
              <w:rPr>
                <w:i/>
                <w:iCs/>
                <w:color w:val="000000"/>
                <w:kern w:val="22"/>
                <w:sz w:val="18"/>
                <w:szCs w:val="18"/>
                <w:lang w:eastAsia="en-CA"/>
              </w:rPr>
              <w:t>2023</w:t>
            </w:r>
          </w:p>
        </w:tc>
      </w:tr>
      <w:tr w:rsidR="0015126A" w:rsidRPr="00B16F37" w14:paraId="1EEF9A03" w14:textId="77777777" w:rsidTr="00361521">
        <w:trPr>
          <w:cantSplit/>
          <w:jc w:val="center"/>
        </w:trPr>
        <w:tc>
          <w:tcPr>
            <w:tcW w:w="5398" w:type="dxa"/>
            <w:tcBorders>
              <w:top w:val="single" w:sz="4" w:space="0" w:color="auto"/>
            </w:tcBorders>
            <w:shd w:val="clear" w:color="auto" w:fill="auto"/>
            <w:noWrap/>
            <w:hideMark/>
          </w:tcPr>
          <w:p w14:paraId="5933B46A" w14:textId="49558694" w:rsidR="0015126A" w:rsidRPr="00B16F37" w:rsidRDefault="0015126A" w:rsidP="00361521">
            <w:pPr>
              <w:suppressLineNumbers/>
              <w:suppressAutoHyphens/>
              <w:spacing w:before="60"/>
              <w:jc w:val="left"/>
              <w:rPr>
                <w:color w:val="000000"/>
                <w:kern w:val="22"/>
                <w:sz w:val="18"/>
                <w:szCs w:val="18"/>
                <w:lang w:eastAsia="en-CA"/>
              </w:rPr>
            </w:pPr>
            <w:r w:rsidRPr="00B16F37">
              <w:rPr>
                <w:sz w:val="18"/>
                <w:szCs w:val="18"/>
              </w:rPr>
              <w:t>General Trust Fund for the Convention</w:t>
            </w:r>
            <w:r w:rsidRPr="00B16F37" w:rsidDel="000F4F34">
              <w:rPr>
                <w:color w:val="000000"/>
                <w:kern w:val="22"/>
                <w:sz w:val="18"/>
                <w:szCs w:val="18"/>
                <w:lang w:eastAsia="en-CA"/>
              </w:rPr>
              <w:t xml:space="preserve"> </w:t>
            </w:r>
          </w:p>
        </w:tc>
        <w:tc>
          <w:tcPr>
            <w:tcW w:w="1110" w:type="dxa"/>
            <w:tcBorders>
              <w:top w:val="single" w:sz="4" w:space="0" w:color="auto"/>
            </w:tcBorders>
            <w:shd w:val="clear" w:color="auto" w:fill="auto"/>
            <w:noWrap/>
            <w:hideMark/>
          </w:tcPr>
          <w:p w14:paraId="2F9D3315" w14:textId="3158E655" w:rsidR="0015126A" w:rsidRPr="00B16F37" w:rsidRDefault="0015126A" w:rsidP="00361521">
            <w:pPr>
              <w:suppressLineNumbers/>
              <w:suppressAutoHyphens/>
              <w:spacing w:before="60"/>
              <w:jc w:val="right"/>
              <w:rPr>
                <w:color w:val="000000"/>
                <w:kern w:val="22"/>
                <w:sz w:val="18"/>
                <w:szCs w:val="18"/>
                <w:lang w:eastAsia="en-CA"/>
              </w:rPr>
            </w:pPr>
            <w:r w:rsidRPr="00B16F37">
              <w:rPr>
                <w:color w:val="000000"/>
                <w:kern w:val="22"/>
                <w:sz w:val="18"/>
                <w:szCs w:val="18"/>
                <w:lang w:eastAsia="en-CA"/>
              </w:rPr>
              <w:t>2 317.0</w:t>
            </w:r>
          </w:p>
        </w:tc>
      </w:tr>
      <w:tr w:rsidR="0015126A" w:rsidRPr="00B16F37" w14:paraId="3A76AD80" w14:textId="77777777" w:rsidTr="00361521">
        <w:trPr>
          <w:cantSplit/>
          <w:jc w:val="center"/>
        </w:trPr>
        <w:tc>
          <w:tcPr>
            <w:tcW w:w="5398" w:type="dxa"/>
            <w:shd w:val="clear" w:color="auto" w:fill="auto"/>
            <w:noWrap/>
            <w:hideMark/>
          </w:tcPr>
          <w:p w14:paraId="68F4278D" w14:textId="7118A4F8" w:rsidR="0015126A" w:rsidRPr="00B16F37" w:rsidRDefault="0015126A" w:rsidP="00361521">
            <w:pPr>
              <w:suppressLineNumbers/>
              <w:suppressAutoHyphens/>
              <w:spacing w:before="60"/>
              <w:jc w:val="left"/>
              <w:rPr>
                <w:color w:val="000000"/>
                <w:kern w:val="22"/>
                <w:sz w:val="18"/>
                <w:szCs w:val="18"/>
                <w:lang w:eastAsia="en-CA"/>
              </w:rPr>
            </w:pPr>
            <w:r w:rsidRPr="00B16F37">
              <w:rPr>
                <w:sz w:val="18"/>
                <w:szCs w:val="18"/>
              </w:rPr>
              <w:t>General Trust Fund for the Core Programme Budget for the Cartagena Protocol</w:t>
            </w:r>
            <w:r w:rsidRPr="00B16F37" w:rsidDel="000F4F34">
              <w:rPr>
                <w:color w:val="000000"/>
                <w:kern w:val="22"/>
                <w:sz w:val="18"/>
                <w:szCs w:val="18"/>
                <w:lang w:eastAsia="en-CA"/>
              </w:rPr>
              <w:t xml:space="preserve"> </w:t>
            </w:r>
          </w:p>
        </w:tc>
        <w:tc>
          <w:tcPr>
            <w:tcW w:w="1110" w:type="dxa"/>
            <w:shd w:val="clear" w:color="auto" w:fill="auto"/>
            <w:noWrap/>
            <w:hideMark/>
          </w:tcPr>
          <w:p w14:paraId="799E2A7B" w14:textId="0FC3BC04" w:rsidR="0015126A" w:rsidRPr="00B16F37" w:rsidRDefault="0015126A" w:rsidP="00361521">
            <w:pPr>
              <w:suppressLineNumbers/>
              <w:suppressAutoHyphens/>
              <w:spacing w:before="60"/>
              <w:jc w:val="right"/>
              <w:rPr>
                <w:color w:val="000000"/>
                <w:kern w:val="22"/>
                <w:sz w:val="18"/>
                <w:szCs w:val="18"/>
                <w:lang w:eastAsia="en-CA"/>
              </w:rPr>
            </w:pPr>
            <w:r w:rsidRPr="00B16F37">
              <w:rPr>
                <w:color w:val="000000"/>
                <w:kern w:val="22"/>
                <w:sz w:val="18"/>
                <w:szCs w:val="18"/>
                <w:lang w:eastAsia="en-CA"/>
              </w:rPr>
              <w:t>482.7</w:t>
            </w:r>
          </w:p>
        </w:tc>
      </w:tr>
      <w:tr w:rsidR="0015126A" w:rsidRPr="00B16F37" w14:paraId="31EA3795" w14:textId="77777777" w:rsidTr="00361521">
        <w:trPr>
          <w:cantSplit/>
          <w:jc w:val="center"/>
        </w:trPr>
        <w:tc>
          <w:tcPr>
            <w:tcW w:w="5398" w:type="dxa"/>
            <w:tcBorders>
              <w:bottom w:val="single" w:sz="4" w:space="0" w:color="auto"/>
            </w:tcBorders>
            <w:shd w:val="clear" w:color="auto" w:fill="auto"/>
            <w:noWrap/>
            <w:hideMark/>
          </w:tcPr>
          <w:p w14:paraId="75EAE049" w14:textId="597DA9B1" w:rsidR="0015126A" w:rsidRPr="00B16F37" w:rsidRDefault="0015126A" w:rsidP="00361521">
            <w:pPr>
              <w:suppressLineNumbers/>
              <w:suppressAutoHyphens/>
              <w:spacing w:before="60"/>
              <w:jc w:val="left"/>
              <w:rPr>
                <w:color w:val="000000"/>
                <w:kern w:val="22"/>
                <w:sz w:val="18"/>
                <w:szCs w:val="18"/>
                <w:lang w:eastAsia="en-CA"/>
              </w:rPr>
            </w:pPr>
            <w:r w:rsidRPr="00B16F37">
              <w:rPr>
                <w:color w:val="000000"/>
                <w:kern w:val="22"/>
                <w:sz w:val="18"/>
                <w:szCs w:val="18"/>
                <w:lang w:eastAsia="en-CA"/>
              </w:rPr>
              <w:t>General Trust Fund for the Core Programme Budget for the Nagoya Protocol</w:t>
            </w:r>
          </w:p>
        </w:tc>
        <w:tc>
          <w:tcPr>
            <w:tcW w:w="1110" w:type="dxa"/>
            <w:tcBorders>
              <w:bottom w:val="single" w:sz="4" w:space="0" w:color="auto"/>
            </w:tcBorders>
            <w:shd w:val="clear" w:color="auto" w:fill="auto"/>
            <w:noWrap/>
            <w:hideMark/>
          </w:tcPr>
          <w:p w14:paraId="4EAB5A16" w14:textId="4D380919" w:rsidR="0015126A" w:rsidRPr="00B16F37" w:rsidRDefault="0015126A" w:rsidP="00361521">
            <w:pPr>
              <w:suppressLineNumbers/>
              <w:suppressAutoHyphens/>
              <w:spacing w:before="60"/>
              <w:jc w:val="right"/>
              <w:rPr>
                <w:color w:val="000000"/>
                <w:kern w:val="22"/>
                <w:sz w:val="18"/>
                <w:szCs w:val="18"/>
                <w:lang w:eastAsia="en-CA"/>
              </w:rPr>
            </w:pPr>
            <w:r w:rsidRPr="00B16F37">
              <w:rPr>
                <w:color w:val="000000"/>
                <w:kern w:val="22"/>
                <w:sz w:val="18"/>
                <w:szCs w:val="18"/>
                <w:lang w:eastAsia="en-CA"/>
              </w:rPr>
              <w:t>418.4</w:t>
            </w:r>
          </w:p>
        </w:tc>
      </w:tr>
      <w:tr w:rsidR="0015126A" w:rsidRPr="00B16F37" w14:paraId="44A97F1C" w14:textId="77777777" w:rsidTr="00361521">
        <w:trPr>
          <w:cantSplit/>
          <w:jc w:val="center"/>
        </w:trPr>
        <w:tc>
          <w:tcPr>
            <w:tcW w:w="5398" w:type="dxa"/>
            <w:tcBorders>
              <w:top w:val="single" w:sz="4" w:space="0" w:color="auto"/>
              <w:bottom w:val="single" w:sz="4" w:space="0" w:color="auto"/>
            </w:tcBorders>
            <w:shd w:val="clear" w:color="auto" w:fill="auto"/>
            <w:noWrap/>
            <w:hideMark/>
          </w:tcPr>
          <w:p w14:paraId="01630DA0" w14:textId="647D1BA5" w:rsidR="0015126A" w:rsidRPr="00B16F37" w:rsidRDefault="0015126A" w:rsidP="00361521">
            <w:pPr>
              <w:suppressLineNumbers/>
              <w:tabs>
                <w:tab w:val="clear" w:pos="567"/>
                <w:tab w:val="left" w:pos="316"/>
              </w:tabs>
              <w:suppressAutoHyphens/>
              <w:spacing w:before="60"/>
              <w:rPr>
                <w:b/>
                <w:bCs/>
                <w:color w:val="000000"/>
                <w:kern w:val="22"/>
                <w:sz w:val="18"/>
                <w:szCs w:val="18"/>
                <w:lang w:eastAsia="en-CA"/>
              </w:rPr>
            </w:pPr>
            <w:r w:rsidRPr="00B16F37">
              <w:rPr>
                <w:b/>
                <w:bCs/>
                <w:color w:val="000000"/>
                <w:kern w:val="22"/>
                <w:sz w:val="18"/>
                <w:szCs w:val="18"/>
                <w:lang w:eastAsia="en-CA"/>
              </w:rPr>
              <w:tab/>
              <w:t>Total</w:t>
            </w:r>
          </w:p>
        </w:tc>
        <w:tc>
          <w:tcPr>
            <w:tcW w:w="1110" w:type="dxa"/>
            <w:tcBorders>
              <w:top w:val="single" w:sz="4" w:space="0" w:color="auto"/>
              <w:bottom w:val="single" w:sz="4" w:space="0" w:color="auto"/>
            </w:tcBorders>
            <w:shd w:val="clear" w:color="auto" w:fill="auto"/>
            <w:noWrap/>
            <w:hideMark/>
          </w:tcPr>
          <w:p w14:paraId="500E52F8" w14:textId="68B69259" w:rsidR="0015126A" w:rsidRPr="00B16F37" w:rsidRDefault="0015126A" w:rsidP="00361521">
            <w:pPr>
              <w:suppressLineNumbers/>
              <w:suppressAutoHyphens/>
              <w:spacing w:before="60"/>
              <w:jc w:val="right"/>
              <w:rPr>
                <w:b/>
                <w:bCs/>
                <w:color w:val="000000"/>
                <w:kern w:val="22"/>
                <w:sz w:val="18"/>
                <w:szCs w:val="18"/>
                <w:lang w:eastAsia="en-CA"/>
              </w:rPr>
            </w:pPr>
            <w:r w:rsidRPr="00B16F37">
              <w:rPr>
                <w:b/>
                <w:bCs/>
                <w:color w:val="000000"/>
                <w:kern w:val="22"/>
                <w:sz w:val="18"/>
                <w:szCs w:val="18"/>
                <w:lang w:eastAsia="en-CA"/>
              </w:rPr>
              <w:t>3 218.1</w:t>
            </w:r>
          </w:p>
        </w:tc>
      </w:tr>
    </w:tbl>
    <w:p w14:paraId="6F2B6889" w14:textId="110BD47C" w:rsidR="0015126A" w:rsidRPr="00B16F37" w:rsidRDefault="0015126A" w:rsidP="00361521">
      <w:pPr>
        <w:pStyle w:val="CBDNormalNumber"/>
      </w:pPr>
      <w:r w:rsidRPr="00B16F37">
        <w:lastRenderedPageBreak/>
        <w:t>Table 6 shows the w</w:t>
      </w:r>
      <w:r w:rsidRPr="00B16F37">
        <w:rPr>
          <w:snapToGrid w:val="0"/>
        </w:rPr>
        <w:t xml:space="preserve">orking capital reserve as </w:t>
      </w:r>
      <w:proofErr w:type="gramStart"/>
      <w:r w:rsidRPr="00B16F37">
        <w:rPr>
          <w:snapToGrid w:val="0"/>
        </w:rPr>
        <w:t>at</w:t>
      </w:r>
      <w:proofErr w:type="gramEnd"/>
      <w:r w:rsidRPr="00B16F37">
        <w:rPr>
          <w:snapToGrid w:val="0"/>
        </w:rPr>
        <w:t xml:space="preserve"> 31 December 2023. </w:t>
      </w:r>
      <w:r w:rsidRPr="00B16F37">
        <w:t xml:space="preserve">It is estimated that the cumulative surplus, excluding the working capital reserve of $3,218,100, of the three general trust funds will stand at $18 million at the end of 2024 (see table 7). The projection </w:t>
      </w:r>
      <w:proofErr w:type="gramStart"/>
      <w:r w:rsidRPr="00B16F37">
        <w:t>is based on the assumption</w:t>
      </w:r>
      <w:proofErr w:type="gramEnd"/>
      <w:r w:rsidRPr="00B16F37">
        <w:t xml:space="preserve"> that no further collection of assessed contributions will be received by the Secretariat between 1 August and 31 December 2024.</w:t>
      </w:r>
    </w:p>
    <w:p w14:paraId="30419FA1" w14:textId="49FEDBE2" w:rsidR="0015126A" w:rsidRPr="00B16F37" w:rsidRDefault="0015126A" w:rsidP="00361521">
      <w:pPr>
        <w:pStyle w:val="CBDTableTitle"/>
        <w:rPr>
          <w:bCs/>
          <w:kern w:val="22"/>
        </w:rPr>
      </w:pPr>
      <w:r w:rsidRPr="00B16F37">
        <w:rPr>
          <w:b w:val="0"/>
          <w:kern w:val="22"/>
        </w:rPr>
        <w:t>Table 7</w:t>
      </w:r>
      <w:r w:rsidRPr="00B16F37">
        <w:rPr>
          <w:bCs/>
          <w:kern w:val="22"/>
        </w:rPr>
        <w:br/>
        <w:t>Projected cumulative surplus (excluding the working capital reserve)</w:t>
      </w:r>
      <w:r w:rsidR="00906542" w:rsidRPr="00B16F37">
        <w:rPr>
          <w:bCs/>
          <w:kern w:val="22"/>
        </w:rPr>
        <w:t xml:space="preserve"> as </w:t>
      </w:r>
      <w:proofErr w:type="gramStart"/>
      <w:r w:rsidR="00906542" w:rsidRPr="00B16F37">
        <w:rPr>
          <w:bCs/>
          <w:kern w:val="22"/>
        </w:rPr>
        <w:t>at</w:t>
      </w:r>
      <w:proofErr w:type="gramEnd"/>
      <w:r w:rsidR="00906542" w:rsidRPr="00B16F37">
        <w:rPr>
          <w:bCs/>
          <w:kern w:val="22"/>
        </w:rPr>
        <w:t xml:space="preserve"> </w:t>
      </w:r>
      <w:r w:rsidR="00EE3C17" w:rsidRPr="00B16F37">
        <w:rPr>
          <w:bCs/>
          <w:kern w:val="22"/>
        </w:rPr>
        <w:t>31 December 2024</w:t>
      </w:r>
    </w:p>
    <w:p w14:paraId="6095BFE0" w14:textId="77777777" w:rsidR="0015126A" w:rsidRPr="00B16F37" w:rsidRDefault="0015126A" w:rsidP="00361521">
      <w:pPr>
        <w:keepNext/>
        <w:keepLines/>
        <w:suppressLineNumbers/>
        <w:suppressAutoHyphens/>
        <w:spacing w:after="60"/>
        <w:ind w:left="567"/>
        <w:jc w:val="left"/>
        <w:rPr>
          <w:kern w:val="22"/>
          <w:sz w:val="18"/>
          <w:szCs w:val="18"/>
        </w:rPr>
      </w:pPr>
      <w:r w:rsidRPr="00B16F37">
        <w:rPr>
          <w:kern w:val="22"/>
          <w:sz w:val="18"/>
          <w:szCs w:val="18"/>
        </w:rPr>
        <w:t>(Millions of United States dollars)</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549"/>
      </w:tblGrid>
      <w:tr w:rsidR="0015126A" w:rsidRPr="00B16F37" w14:paraId="2E67C50B" w14:textId="77777777" w:rsidTr="00361521">
        <w:tc>
          <w:tcPr>
            <w:tcW w:w="1701" w:type="dxa"/>
            <w:tcBorders>
              <w:top w:val="single" w:sz="4" w:space="0" w:color="auto"/>
            </w:tcBorders>
            <w:vAlign w:val="center"/>
          </w:tcPr>
          <w:p w14:paraId="7C1A40F5" w14:textId="1F8DC5BE" w:rsidR="0015126A" w:rsidRPr="00B16F37" w:rsidRDefault="0015126A" w:rsidP="00361521">
            <w:pPr>
              <w:keepNext/>
              <w:suppressLineNumbers/>
              <w:suppressAutoHyphens/>
              <w:spacing w:before="40" w:after="60"/>
              <w:jc w:val="left"/>
              <w:rPr>
                <w:kern w:val="22"/>
                <w:sz w:val="18"/>
                <w:szCs w:val="18"/>
              </w:rPr>
            </w:pPr>
            <w:r w:rsidRPr="00B16F37">
              <w:rPr>
                <w:kern w:val="22"/>
                <w:sz w:val="18"/>
                <w:szCs w:val="18"/>
              </w:rPr>
              <w:t>Convention</w:t>
            </w:r>
          </w:p>
        </w:tc>
        <w:tc>
          <w:tcPr>
            <w:tcW w:w="3549" w:type="dxa"/>
            <w:tcBorders>
              <w:top w:val="single" w:sz="4" w:space="0" w:color="auto"/>
            </w:tcBorders>
            <w:vAlign w:val="center"/>
          </w:tcPr>
          <w:p w14:paraId="163AE500" w14:textId="7BEEE0BE" w:rsidR="0015126A" w:rsidRPr="00B16F37" w:rsidDel="00026C34" w:rsidRDefault="0015126A" w:rsidP="00361521">
            <w:pPr>
              <w:keepNext/>
              <w:suppressLineNumbers/>
              <w:suppressAutoHyphens/>
              <w:spacing w:before="40" w:after="60"/>
              <w:jc w:val="right"/>
              <w:rPr>
                <w:kern w:val="22"/>
                <w:sz w:val="18"/>
                <w:szCs w:val="18"/>
              </w:rPr>
            </w:pPr>
            <w:r w:rsidRPr="00B16F37">
              <w:rPr>
                <w:kern w:val="22"/>
                <w:sz w:val="18"/>
                <w:szCs w:val="18"/>
              </w:rPr>
              <w:t>11.0</w:t>
            </w:r>
          </w:p>
        </w:tc>
      </w:tr>
      <w:tr w:rsidR="0015126A" w:rsidRPr="00B16F37" w14:paraId="2B35D0B7" w14:textId="77777777" w:rsidTr="00361521">
        <w:tc>
          <w:tcPr>
            <w:tcW w:w="1701" w:type="dxa"/>
            <w:vAlign w:val="center"/>
          </w:tcPr>
          <w:p w14:paraId="4F955580" w14:textId="4B33E00A" w:rsidR="0015126A" w:rsidRPr="00B16F37" w:rsidRDefault="0015126A" w:rsidP="00361521">
            <w:pPr>
              <w:keepNext/>
              <w:suppressLineNumbers/>
              <w:suppressAutoHyphens/>
              <w:spacing w:before="40" w:after="60"/>
              <w:jc w:val="left"/>
              <w:rPr>
                <w:kern w:val="22"/>
                <w:sz w:val="18"/>
                <w:szCs w:val="18"/>
              </w:rPr>
            </w:pPr>
            <w:r w:rsidRPr="00B16F37">
              <w:rPr>
                <w:kern w:val="22"/>
                <w:sz w:val="18"/>
                <w:szCs w:val="18"/>
              </w:rPr>
              <w:t>Cartagena Protocol</w:t>
            </w:r>
          </w:p>
        </w:tc>
        <w:tc>
          <w:tcPr>
            <w:tcW w:w="3549" w:type="dxa"/>
            <w:vAlign w:val="center"/>
          </w:tcPr>
          <w:p w14:paraId="2EFDFC39" w14:textId="7E451F94" w:rsidR="0015126A" w:rsidRPr="00B16F37" w:rsidDel="00026C34" w:rsidRDefault="0015126A" w:rsidP="00361521">
            <w:pPr>
              <w:keepNext/>
              <w:suppressLineNumbers/>
              <w:suppressAutoHyphens/>
              <w:spacing w:before="40" w:after="60"/>
              <w:jc w:val="right"/>
              <w:rPr>
                <w:kern w:val="22"/>
                <w:sz w:val="18"/>
                <w:szCs w:val="18"/>
              </w:rPr>
            </w:pPr>
            <w:r w:rsidRPr="00B16F37">
              <w:rPr>
                <w:kern w:val="22"/>
                <w:sz w:val="18"/>
                <w:szCs w:val="18"/>
              </w:rPr>
              <w:t>4.9</w:t>
            </w:r>
          </w:p>
        </w:tc>
      </w:tr>
      <w:tr w:rsidR="0015126A" w:rsidRPr="00B16F37" w14:paraId="4AEA6DB5" w14:textId="77777777" w:rsidTr="00361521">
        <w:tc>
          <w:tcPr>
            <w:tcW w:w="1701" w:type="dxa"/>
            <w:tcBorders>
              <w:bottom w:val="single" w:sz="4" w:space="0" w:color="auto"/>
            </w:tcBorders>
            <w:vAlign w:val="center"/>
          </w:tcPr>
          <w:p w14:paraId="5520432E" w14:textId="7875825E" w:rsidR="0015126A" w:rsidRPr="00B16F37" w:rsidRDefault="0015126A" w:rsidP="00361521">
            <w:pPr>
              <w:keepNext/>
              <w:suppressLineNumbers/>
              <w:suppressAutoHyphens/>
              <w:spacing w:before="40" w:after="60"/>
              <w:jc w:val="left"/>
              <w:rPr>
                <w:kern w:val="22"/>
                <w:sz w:val="18"/>
                <w:szCs w:val="18"/>
              </w:rPr>
            </w:pPr>
            <w:r w:rsidRPr="00B16F37">
              <w:rPr>
                <w:kern w:val="22"/>
                <w:sz w:val="18"/>
                <w:szCs w:val="18"/>
              </w:rPr>
              <w:t>Nagoya Protocol</w:t>
            </w:r>
          </w:p>
        </w:tc>
        <w:tc>
          <w:tcPr>
            <w:tcW w:w="3549" w:type="dxa"/>
            <w:tcBorders>
              <w:bottom w:val="single" w:sz="4" w:space="0" w:color="auto"/>
            </w:tcBorders>
            <w:vAlign w:val="center"/>
          </w:tcPr>
          <w:p w14:paraId="51BE2356" w14:textId="2CE8DF0C" w:rsidR="0015126A" w:rsidRPr="00B16F37" w:rsidDel="00026C34" w:rsidRDefault="0015126A" w:rsidP="00361521">
            <w:pPr>
              <w:keepNext/>
              <w:suppressLineNumbers/>
              <w:suppressAutoHyphens/>
              <w:spacing w:before="40" w:after="60"/>
              <w:jc w:val="right"/>
              <w:rPr>
                <w:kern w:val="22"/>
                <w:sz w:val="18"/>
                <w:szCs w:val="18"/>
              </w:rPr>
            </w:pPr>
            <w:r w:rsidRPr="00B16F37">
              <w:rPr>
                <w:kern w:val="22"/>
                <w:sz w:val="18"/>
                <w:szCs w:val="18"/>
              </w:rPr>
              <w:t>2.2</w:t>
            </w:r>
          </w:p>
        </w:tc>
      </w:tr>
      <w:tr w:rsidR="0015126A" w:rsidRPr="00B16F37" w14:paraId="692A8BED" w14:textId="77777777" w:rsidTr="00361521">
        <w:tc>
          <w:tcPr>
            <w:tcW w:w="1701" w:type="dxa"/>
            <w:tcBorders>
              <w:top w:val="single" w:sz="4" w:space="0" w:color="auto"/>
              <w:bottom w:val="single" w:sz="4" w:space="0" w:color="auto"/>
            </w:tcBorders>
            <w:vAlign w:val="center"/>
          </w:tcPr>
          <w:p w14:paraId="34B32B9C" w14:textId="2435187B" w:rsidR="0015126A" w:rsidRPr="00B16F37" w:rsidRDefault="0015126A" w:rsidP="00361521">
            <w:pPr>
              <w:keepNext/>
              <w:suppressLineNumbers/>
              <w:suppressAutoHyphens/>
              <w:spacing w:before="40" w:after="60"/>
              <w:ind w:left="181"/>
              <w:jc w:val="left"/>
              <w:rPr>
                <w:kern w:val="22"/>
                <w:sz w:val="18"/>
                <w:szCs w:val="18"/>
              </w:rPr>
            </w:pPr>
            <w:r w:rsidRPr="00B16F37">
              <w:rPr>
                <w:b/>
                <w:bCs/>
                <w:kern w:val="22"/>
                <w:sz w:val="18"/>
                <w:szCs w:val="18"/>
              </w:rPr>
              <w:t>Total</w:t>
            </w:r>
          </w:p>
        </w:tc>
        <w:tc>
          <w:tcPr>
            <w:tcW w:w="3549" w:type="dxa"/>
            <w:tcBorders>
              <w:top w:val="single" w:sz="4" w:space="0" w:color="auto"/>
              <w:bottom w:val="single" w:sz="4" w:space="0" w:color="auto"/>
            </w:tcBorders>
            <w:vAlign w:val="center"/>
          </w:tcPr>
          <w:p w14:paraId="589CE280" w14:textId="2B5304B8" w:rsidR="0015126A" w:rsidRPr="00B16F37" w:rsidRDefault="0015126A" w:rsidP="00361521">
            <w:pPr>
              <w:keepNext/>
              <w:suppressLineNumbers/>
              <w:suppressAutoHyphens/>
              <w:spacing w:before="40" w:after="60"/>
              <w:jc w:val="right"/>
              <w:rPr>
                <w:kern w:val="22"/>
                <w:sz w:val="18"/>
                <w:szCs w:val="18"/>
              </w:rPr>
            </w:pPr>
            <w:r w:rsidRPr="00B16F37">
              <w:rPr>
                <w:b/>
                <w:bCs/>
                <w:kern w:val="22"/>
                <w:sz w:val="18"/>
                <w:szCs w:val="18"/>
              </w:rPr>
              <w:t>18.1</w:t>
            </w:r>
          </w:p>
        </w:tc>
      </w:tr>
    </w:tbl>
    <w:p w14:paraId="2B98497D" w14:textId="40CE5015" w:rsidR="0015126A" w:rsidRPr="00B16F37" w:rsidRDefault="0015126A" w:rsidP="00361521">
      <w:pPr>
        <w:pStyle w:val="CBDH2"/>
        <w:numPr>
          <w:ilvl w:val="0"/>
          <w:numId w:val="0"/>
        </w:numPr>
        <w:ind w:left="567" w:hanging="567"/>
        <w:jc w:val="left"/>
        <w:outlineLvl w:val="1"/>
      </w:pPr>
      <w:r w:rsidRPr="00B16F37">
        <w:t>C.</w:t>
      </w:r>
      <w:r w:rsidRPr="00B16F37">
        <w:tab/>
        <w:t xml:space="preserve">Special Voluntary </w:t>
      </w:r>
      <w:r w:rsidRPr="00B16F37">
        <w:rPr>
          <w:rFonts w:hint="eastAsia"/>
        </w:rPr>
        <w:t>Trust Fund</w:t>
      </w:r>
      <w:r w:rsidRPr="00B16F37">
        <w:t xml:space="preserve"> for Additional Voluntary Contributions in Support of Approved Activities under the </w:t>
      </w:r>
      <w:r w:rsidRPr="00B16F37">
        <w:rPr>
          <w:rFonts w:hint="eastAsia"/>
        </w:rPr>
        <w:t xml:space="preserve">Convention </w:t>
      </w:r>
    </w:p>
    <w:p w14:paraId="6DB100BF" w14:textId="0BC1EE4A" w:rsidR="0015126A" w:rsidRPr="00B16F37" w:rsidRDefault="0015126A" w:rsidP="00361521">
      <w:pPr>
        <w:pStyle w:val="CBDNormalNumber"/>
        <w:rPr>
          <w:color w:val="000000" w:themeColor="text1"/>
        </w:rPr>
      </w:pPr>
      <w:r w:rsidRPr="00B16F37">
        <w:rPr>
          <w:color w:val="000000" w:themeColor="text1"/>
        </w:rPr>
        <w:t>In its decision 15/34, the Conference of the Parties acknowledged a funding estimate of $22,207,099 for the Special Voluntary Trust Fund for Additional Voluntary Contributions in Support of Approved Activities under the Convention for the biennium 2023</w:t>
      </w:r>
      <w:r w:rsidRPr="00B16F37">
        <w:rPr>
          <w:kern w:val="22"/>
        </w:rPr>
        <w:t>–</w:t>
      </w:r>
      <w:r w:rsidRPr="00B16F37">
        <w:rPr>
          <w:color w:val="000000" w:themeColor="text1"/>
        </w:rPr>
        <w:t xml:space="preserve">2024. As </w:t>
      </w:r>
      <w:proofErr w:type="gramStart"/>
      <w:r w:rsidRPr="00B16F37">
        <w:rPr>
          <w:color w:val="000000" w:themeColor="text1"/>
        </w:rPr>
        <w:t>at</w:t>
      </w:r>
      <w:proofErr w:type="gramEnd"/>
      <w:r w:rsidRPr="00B16F37">
        <w:rPr>
          <w:color w:val="000000" w:themeColor="text1"/>
        </w:rPr>
        <w:t xml:space="preserve"> 31 August 2024, the Secretariat had received contributions for additional approved activities totalling </w:t>
      </w:r>
      <w:r w:rsidRPr="00B16F37">
        <w:t xml:space="preserve">$14,953,029. </w:t>
      </w:r>
    </w:p>
    <w:p w14:paraId="125DF76C" w14:textId="73F07DF4" w:rsidR="0015126A" w:rsidRPr="00B16F37" w:rsidRDefault="0015126A" w:rsidP="00361521">
      <w:pPr>
        <w:pStyle w:val="CBDNormalNumber"/>
        <w:rPr>
          <w:color w:val="000000" w:themeColor="text1"/>
        </w:rPr>
      </w:pPr>
      <w:r w:rsidRPr="00B16F37">
        <w:rPr>
          <w:color w:val="000000" w:themeColor="text1"/>
        </w:rPr>
        <w:t xml:space="preserve">The Secretariat incurred total </w:t>
      </w:r>
      <w:r w:rsidRPr="00B16F37">
        <w:rPr>
          <w:kern w:val="22"/>
        </w:rPr>
        <w:t>expenditure</w:t>
      </w:r>
      <w:r w:rsidRPr="00B16F37">
        <w:rPr>
          <w:color w:val="000000" w:themeColor="text1"/>
        </w:rPr>
        <w:t xml:space="preserve"> of </w:t>
      </w:r>
      <w:r w:rsidRPr="00B16F37">
        <w:t>$11,348,622</w:t>
      </w:r>
      <w:r w:rsidRPr="00B16F37">
        <w:rPr>
          <w:color w:val="000000" w:themeColor="text1"/>
        </w:rPr>
        <w:t xml:space="preserve"> from January 2023 to 31 August 2024. The activities that it carried out by over that period related to, inter alia, resource mobilization, marine and coastal biodiversity, digital sequence information, planning and monitoring and biosafety. </w:t>
      </w:r>
    </w:p>
    <w:p w14:paraId="4505E29B" w14:textId="76055C81" w:rsidR="0015126A" w:rsidRPr="00B16F37" w:rsidRDefault="0015126A" w:rsidP="00361521">
      <w:pPr>
        <w:pStyle w:val="CBDH2"/>
        <w:numPr>
          <w:ilvl w:val="0"/>
          <w:numId w:val="0"/>
        </w:numPr>
        <w:ind w:left="567" w:hanging="567"/>
        <w:jc w:val="left"/>
        <w:outlineLvl w:val="1"/>
      </w:pPr>
      <w:r w:rsidRPr="00B16F37">
        <w:t>D.</w:t>
      </w:r>
      <w:r w:rsidRPr="00B16F37">
        <w:tab/>
        <w:t xml:space="preserve">Special </w:t>
      </w:r>
      <w:r w:rsidRPr="00B16F37">
        <w:rPr>
          <w:rFonts w:hint="eastAsia"/>
        </w:rPr>
        <w:t>Trust Fund</w:t>
      </w:r>
      <w:r w:rsidRPr="00B16F37">
        <w:t xml:space="preserve"> for Additional Voluntary Contributions to Facilitate the Participation of Parties in the Processes under the </w:t>
      </w:r>
      <w:r w:rsidRPr="00B16F37">
        <w:rPr>
          <w:rFonts w:hint="eastAsia"/>
        </w:rPr>
        <w:t xml:space="preserve">Convention </w:t>
      </w:r>
    </w:p>
    <w:p w14:paraId="6BE78416" w14:textId="66B9B84F" w:rsidR="0015126A" w:rsidRPr="00B16F37" w:rsidRDefault="0015126A" w:rsidP="00361521">
      <w:pPr>
        <w:pStyle w:val="CBDNormalNumber"/>
        <w:rPr>
          <w:color w:val="000000" w:themeColor="text1"/>
        </w:rPr>
      </w:pPr>
      <w:r w:rsidRPr="00B16F37">
        <w:rPr>
          <w:color w:val="000000" w:themeColor="text1"/>
        </w:rPr>
        <w:t>In its decision 15/34, the Conference of the Parties acknowledged a funding estimate of $8,604,000 for the Special Trust Fund for Additional Voluntary Contributions to Facilitate the Participation of Parties in the Processes under the Convention for the biennium 2023</w:t>
      </w:r>
      <w:r w:rsidRPr="00B16F37">
        <w:rPr>
          <w:kern w:val="22"/>
        </w:rPr>
        <w:t>–</w:t>
      </w:r>
      <w:r w:rsidRPr="00B16F37">
        <w:rPr>
          <w:color w:val="000000" w:themeColor="text1"/>
        </w:rPr>
        <w:t xml:space="preserve">2024. As </w:t>
      </w:r>
      <w:proofErr w:type="gramStart"/>
      <w:r w:rsidRPr="00B16F37">
        <w:rPr>
          <w:color w:val="000000" w:themeColor="text1"/>
        </w:rPr>
        <w:t>at</w:t>
      </w:r>
      <w:proofErr w:type="gramEnd"/>
      <w:r w:rsidRPr="00B16F37">
        <w:rPr>
          <w:color w:val="000000" w:themeColor="text1"/>
        </w:rPr>
        <w:t xml:space="preserve"> 31</w:t>
      </w:r>
      <w:r w:rsidR="00817A9A" w:rsidRPr="00B16F37">
        <w:rPr>
          <w:color w:val="000000" w:themeColor="text1"/>
        </w:rPr>
        <w:t> </w:t>
      </w:r>
      <w:r w:rsidRPr="00B16F37">
        <w:rPr>
          <w:color w:val="000000" w:themeColor="text1"/>
        </w:rPr>
        <w:t>August 2024, the Secretariat had received contributions to that Trust Fund totalling $2,533,421.</w:t>
      </w:r>
    </w:p>
    <w:p w14:paraId="7ABA734F" w14:textId="1926E38B" w:rsidR="0015126A" w:rsidRPr="00B16F37" w:rsidRDefault="00F22649" w:rsidP="00361521">
      <w:pPr>
        <w:pStyle w:val="CBDNormalNumber"/>
      </w:pPr>
      <w:r w:rsidRPr="00B16F37">
        <w:rPr>
          <w:color w:val="000000" w:themeColor="text1"/>
        </w:rPr>
        <w:t>As at 31 August 2024, t</w:t>
      </w:r>
      <w:r w:rsidR="0015126A" w:rsidRPr="00B16F37">
        <w:rPr>
          <w:color w:val="000000" w:themeColor="text1"/>
        </w:rPr>
        <w:t>he Secretariat had spent $2,526,854 in 2023 and 2024 for the participation of</w:t>
      </w:r>
      <w:r w:rsidR="0015126A" w:rsidRPr="00B16F37">
        <w:t xml:space="preserve"> </w:t>
      </w:r>
      <w:r w:rsidR="0015126A" w:rsidRPr="00B16F37">
        <w:rPr>
          <w:color w:val="000000" w:themeColor="text1"/>
        </w:rPr>
        <w:t xml:space="preserve">591 delegates from developing countries to attend </w:t>
      </w:r>
      <w:r w:rsidR="0015126A" w:rsidRPr="00B16F37">
        <w:t>the twenty-fifth and twenty-sixth meetings of the Subsidiary Body on Scientific, Technical and Technological Advice; the resumed second parts of the fifteenth meeting of the Conference of the Parties to the Convention, tenth meeting of the Conference of the Parties serving as the meeting of the Parties to the Cartagena Protocol and fourth meeting of the Conference of the Parties serving as the meeting of the Parties to the Nagoya Protocol; the twelfth meeting of the Working Group on Article 8(j) and Related Provisions; the first and second meetings of the Ad Hoc Open-ended Working Group on Benefit-sharing from the Use of Digital Sequence Information on Genetic Resources</w:t>
      </w:r>
      <w:r w:rsidR="006E02A0" w:rsidRPr="00B16F37">
        <w:t>;</w:t>
      </w:r>
      <w:r w:rsidR="0015126A" w:rsidRPr="00B16F37">
        <w:t xml:space="preserve"> the fourth </w:t>
      </w:r>
      <w:r w:rsidR="002E7362" w:rsidRPr="00B16F37">
        <w:t xml:space="preserve">and fifth </w:t>
      </w:r>
      <w:r w:rsidR="0015126A" w:rsidRPr="00B16F37">
        <w:t>meeting</w:t>
      </w:r>
      <w:r w:rsidR="002E7362" w:rsidRPr="00B16F37">
        <w:t>s</w:t>
      </w:r>
      <w:r w:rsidR="0015126A" w:rsidRPr="00B16F37">
        <w:t xml:space="preserve"> of the Subsidiary Body on Implementation</w:t>
      </w:r>
      <w:r w:rsidR="006E02A0" w:rsidRPr="00B16F37">
        <w:t>;</w:t>
      </w:r>
      <w:r w:rsidR="0015126A" w:rsidRPr="00B16F37">
        <w:t xml:space="preserve"> the sixteenth meeting of the Conference of the Parties to the Convention</w:t>
      </w:r>
      <w:r w:rsidR="006E02A0" w:rsidRPr="00B16F37">
        <w:t>;</w:t>
      </w:r>
      <w:r w:rsidR="0015126A" w:rsidRPr="00B16F37">
        <w:t xml:space="preserve"> the eleventh meeting of the Conference of the Parties serving as the meeting of the Parties to the Cartagena Protocol</w:t>
      </w:r>
      <w:r w:rsidR="006E02A0" w:rsidRPr="00B16F37">
        <w:t>;</w:t>
      </w:r>
      <w:r w:rsidR="0015126A" w:rsidRPr="00B16F37">
        <w:t xml:space="preserve"> and the fifth meeting of the Conference of the Parties serving as the meeting of the Parties to the Nagoya Protocol.</w:t>
      </w:r>
    </w:p>
    <w:p w14:paraId="42BB6FF7" w14:textId="16A6FAEE" w:rsidR="0015126A" w:rsidRPr="00B16F37" w:rsidRDefault="0015126A" w:rsidP="00361521">
      <w:pPr>
        <w:pStyle w:val="CBDH2"/>
        <w:numPr>
          <w:ilvl w:val="0"/>
          <w:numId w:val="0"/>
        </w:numPr>
        <w:ind w:left="567" w:hanging="567"/>
        <w:jc w:val="left"/>
        <w:outlineLvl w:val="1"/>
      </w:pPr>
      <w:r w:rsidRPr="00B16F37">
        <w:t>E.</w:t>
      </w:r>
      <w:r w:rsidRPr="00B16F37">
        <w:tab/>
      </w:r>
      <w:r w:rsidRPr="00B16F37">
        <w:rPr>
          <w:rFonts w:hint="eastAsia"/>
        </w:rPr>
        <w:t>Special Voluntary Trust Fund for Facilitat</w:t>
      </w:r>
      <w:r w:rsidRPr="00B16F37">
        <w:t>ing</w:t>
      </w:r>
      <w:r w:rsidRPr="00B16F37">
        <w:rPr>
          <w:rFonts w:hint="eastAsia"/>
        </w:rPr>
        <w:t xml:space="preserve"> the Participation of Indigenous Peoples and Local Communities</w:t>
      </w:r>
      <w:r w:rsidRPr="00B16F37">
        <w:t xml:space="preserve"> in the Processes under the Convention</w:t>
      </w:r>
    </w:p>
    <w:p w14:paraId="0EB67B23" w14:textId="62BEBA66" w:rsidR="0015126A" w:rsidRPr="00B16F37" w:rsidRDefault="0015126A" w:rsidP="00361521">
      <w:pPr>
        <w:pStyle w:val="CBDNormalNumber"/>
        <w:rPr>
          <w:color w:val="000000" w:themeColor="text1"/>
        </w:rPr>
      </w:pPr>
      <w:r w:rsidRPr="00B16F37">
        <w:rPr>
          <w:color w:val="000000" w:themeColor="text1"/>
        </w:rPr>
        <w:t>In its decision 15/34, the Conference of the Parties acknowledged a funding estimate of $895,400 for the Special Voluntary Trust Fund for Facilitating the Participation of Indigenous Peoples and Local Communities in the Processes under the Convention for the biennium 2023</w:t>
      </w:r>
      <w:r w:rsidRPr="00B16F37">
        <w:t>–</w:t>
      </w:r>
      <w:r w:rsidRPr="00B16F37">
        <w:rPr>
          <w:color w:val="000000" w:themeColor="text1"/>
        </w:rPr>
        <w:t xml:space="preserve">2024. As </w:t>
      </w:r>
      <w:proofErr w:type="gramStart"/>
      <w:r w:rsidRPr="00B16F37">
        <w:rPr>
          <w:color w:val="000000" w:themeColor="text1"/>
        </w:rPr>
        <w:t>at</w:t>
      </w:r>
      <w:proofErr w:type="gramEnd"/>
      <w:r w:rsidRPr="00B16F37">
        <w:rPr>
          <w:color w:val="000000" w:themeColor="text1"/>
        </w:rPr>
        <w:t xml:space="preserve"> 31 August 2024, the Secretariat had received contributions totalling $420,460.</w:t>
      </w:r>
    </w:p>
    <w:p w14:paraId="0FDEA8AA" w14:textId="23E58035" w:rsidR="0015126A" w:rsidRPr="00B16F37" w:rsidRDefault="0015126A" w:rsidP="00361521">
      <w:pPr>
        <w:pStyle w:val="CBDNormalNumber"/>
        <w:rPr>
          <w:b/>
          <w:bCs/>
          <w:kern w:val="22"/>
        </w:rPr>
      </w:pPr>
      <w:r w:rsidRPr="00B16F37">
        <w:rPr>
          <w:color w:val="000000" w:themeColor="text1"/>
        </w:rPr>
        <w:lastRenderedPageBreak/>
        <w:t xml:space="preserve">As at 31 July 2024, the Secretariat had incurred expenditure totalling $535,894 to cover the travel costs of </w:t>
      </w:r>
      <w:r w:rsidRPr="00B16F37">
        <w:t>91</w:t>
      </w:r>
      <w:r w:rsidRPr="00B16F37">
        <w:rPr>
          <w:color w:val="000000" w:themeColor="text1"/>
        </w:rPr>
        <w:t xml:space="preserve"> participants from indigenous and local communities to attend </w:t>
      </w:r>
      <w:r w:rsidRPr="00B16F37">
        <w:t xml:space="preserve">the twenty-fifth and twenty-sixth meetings of the Subsidiary </w:t>
      </w:r>
      <w:r w:rsidRPr="00B16F37">
        <w:rPr>
          <w:kern w:val="22"/>
        </w:rPr>
        <w:t>Body</w:t>
      </w:r>
      <w:r w:rsidRPr="00B16F37">
        <w:t xml:space="preserve"> on Scientific, Technical and Technological Advice; the resumed second parts of the fifteenth meeting of the Conference of the Parties to the Convention, tenth meeting of the Conference of the Parties serving as the meeting of the Parties to the Cartagena Protocol and fourth meeting of the Conference of the Parties serving as the meeting of the Parties to the Nagoya Protocol; the twelfth meeting of the Working Group on Article 8(j) and Related Provisions; the first and second meetings of the Ad Hoc Open-ended Working Group on Benefit-sharing from the Use of Digital Sequence Information on Genetic Resources</w:t>
      </w:r>
      <w:r w:rsidR="006E02A0" w:rsidRPr="00B16F37">
        <w:t>;</w:t>
      </w:r>
      <w:r w:rsidRPr="00B16F37">
        <w:t xml:space="preserve"> the fourth </w:t>
      </w:r>
      <w:r w:rsidR="002E7362" w:rsidRPr="00B16F37">
        <w:t xml:space="preserve">and fifth </w:t>
      </w:r>
      <w:r w:rsidRPr="00B16F37">
        <w:t>meeting</w:t>
      </w:r>
      <w:r w:rsidR="002E7362" w:rsidRPr="00B16F37">
        <w:t>s</w:t>
      </w:r>
      <w:r w:rsidRPr="00B16F37">
        <w:t xml:space="preserve"> of the Subsidiary Body on Implementation</w:t>
      </w:r>
      <w:r w:rsidR="006E02A0" w:rsidRPr="00B16F37">
        <w:t>;</w:t>
      </w:r>
      <w:r w:rsidRPr="00B16F37">
        <w:t xml:space="preserve"> the sixteenth meeting of the Conference of the Parties to the Convention</w:t>
      </w:r>
      <w:r w:rsidR="006E02A0" w:rsidRPr="00B16F37">
        <w:t>;</w:t>
      </w:r>
      <w:r w:rsidRPr="00B16F37">
        <w:t xml:space="preserve"> the eleventh meeting of the Conference of the Parties serving as the meeting of the Parties to the Cartagena Protocol</w:t>
      </w:r>
      <w:r w:rsidR="006E02A0" w:rsidRPr="00B16F37">
        <w:t>;</w:t>
      </w:r>
      <w:r w:rsidRPr="00B16F37">
        <w:t xml:space="preserve"> and the fifth</w:t>
      </w:r>
      <w:r w:rsidR="002E7362" w:rsidRPr="00B16F37">
        <w:t xml:space="preserve"> </w:t>
      </w:r>
      <w:r w:rsidRPr="00B16F37">
        <w:t>meeting of the Conference of the Parties serving as the meeting of the Parties to the Nagoya Protocol.</w:t>
      </w:r>
    </w:p>
    <w:p w14:paraId="69D65875" w14:textId="21BD3F95" w:rsidR="0015126A" w:rsidRPr="00B16F37" w:rsidRDefault="0015126A" w:rsidP="00361521">
      <w:pPr>
        <w:pStyle w:val="CBDH1"/>
      </w:pPr>
      <w:r w:rsidRPr="00B16F37">
        <w:t>III.</w:t>
      </w:r>
      <w:r w:rsidRPr="00B16F37">
        <w:tab/>
        <w:t>Other administrative matters</w:t>
      </w:r>
    </w:p>
    <w:p w14:paraId="7D835CAE" w14:textId="0C36DAF9" w:rsidR="0015126A" w:rsidRPr="00B16F37" w:rsidRDefault="0015126A" w:rsidP="00361521">
      <w:pPr>
        <w:pStyle w:val="CBDH2"/>
        <w:numPr>
          <w:ilvl w:val="0"/>
          <w:numId w:val="0"/>
        </w:numPr>
        <w:ind w:left="567" w:hanging="567"/>
        <w:outlineLvl w:val="1"/>
      </w:pPr>
      <w:r w:rsidRPr="00B16F37">
        <w:t>A.</w:t>
      </w:r>
      <w:r w:rsidRPr="00B16F37">
        <w:tab/>
        <w:t>Staffing</w:t>
      </w:r>
    </w:p>
    <w:p w14:paraId="013FCA8E" w14:textId="353BC5C2" w:rsidR="0015126A" w:rsidRPr="00B16F37" w:rsidRDefault="0015126A" w:rsidP="00361521">
      <w:pPr>
        <w:pStyle w:val="CBDNormalNumber"/>
      </w:pPr>
      <w:r w:rsidRPr="00B16F37">
        <w:rPr>
          <w:color w:val="000000" w:themeColor="text1"/>
        </w:rPr>
        <w:t>In its decision 15/34</w:t>
      </w:r>
      <w:r w:rsidRPr="00B16F37">
        <w:t xml:space="preserve">, the Conference of the Parties adopted a staffing table </w:t>
      </w:r>
      <w:r w:rsidR="005C2036" w:rsidRPr="00B16F37">
        <w:t xml:space="preserve">of the Secretariat </w:t>
      </w:r>
      <w:r w:rsidR="0016791F" w:rsidRPr="00B16F37">
        <w:t xml:space="preserve">for the biennium 2023–2024 </w:t>
      </w:r>
      <w:r w:rsidRPr="00B16F37">
        <w:t>of 53 posts in the Professional and higher categories and 29 posts in the General Service category</w:t>
      </w:r>
      <w:r w:rsidR="00B848B8" w:rsidRPr="00B16F37">
        <w:t>.</w:t>
      </w:r>
      <w:r w:rsidRPr="00B16F37">
        <w:t xml:space="preserve"> There are currently six vacant posts in the Professional and higher categories and one vacant post in the General Service category, for which recruitment is in progress and at various stages. All vacant positions are expected to be filled by the end of 2024.</w:t>
      </w:r>
    </w:p>
    <w:p w14:paraId="653F97B1" w14:textId="4E45CACE" w:rsidR="0015126A" w:rsidRPr="00B16F37" w:rsidRDefault="0015126A" w:rsidP="00361521">
      <w:pPr>
        <w:pStyle w:val="CBDNormalNumber"/>
      </w:pPr>
      <w:r w:rsidRPr="00B16F37">
        <w:t xml:space="preserve">In addition to the posts funded under the integrated core budget, there are 19 posts (4 in the Professional and higher categories and 15 in the General Service category) in the Administration, Finance and Conference </w:t>
      </w:r>
      <w:r w:rsidRPr="00B16F37">
        <w:rPr>
          <w:kern w:val="22"/>
        </w:rPr>
        <w:t>Services</w:t>
      </w:r>
      <w:r w:rsidRPr="00B16F37">
        <w:t xml:space="preserve"> Division that are funded from the UNEP overhead trust fund, 5 posts </w:t>
      </w:r>
      <w:r w:rsidR="00330FFF" w:rsidRPr="00B16F37">
        <w:t>in</w:t>
      </w:r>
      <w:r w:rsidRPr="00B16F37">
        <w:t xml:space="preserve"> the Japan Biodiversity Fund </w:t>
      </w:r>
      <w:r w:rsidR="00330FFF" w:rsidRPr="00B16F37">
        <w:t xml:space="preserve">Team </w:t>
      </w:r>
      <w:r w:rsidRPr="00B16F37">
        <w:t>(3 in the Professional and higher categories and 2 in the General Service category)</w:t>
      </w:r>
      <w:r w:rsidR="00833D53" w:rsidRPr="00B16F37">
        <w:t>.</w:t>
      </w:r>
      <w:r w:rsidRPr="00B16F37">
        <w:t xml:space="preserve"> </w:t>
      </w:r>
      <w:r w:rsidR="00763C7B" w:rsidRPr="00B16F37">
        <w:t>Furthermore</w:t>
      </w:r>
      <w:r w:rsidR="00833D53" w:rsidRPr="00B16F37">
        <w:t xml:space="preserve">, there are </w:t>
      </w:r>
      <w:r w:rsidRPr="00B16F37">
        <w:t xml:space="preserve">two posts in the Professional category financed by voluntary contributions from the European Union and Norway and two posts funded by the Republic of Korea through the Bio-Bridge Initiative project (one in the Professional and higher categories and one in the General Service category). The Republic of Korea is also directly funding one professional expert on mission. </w:t>
      </w:r>
    </w:p>
    <w:p w14:paraId="24179DE2" w14:textId="06CC3094" w:rsidR="0015126A" w:rsidRPr="00B16F37" w:rsidRDefault="0015126A" w:rsidP="00361521">
      <w:pPr>
        <w:pStyle w:val="CBDNormalNumber"/>
      </w:pPr>
      <w:r w:rsidRPr="00B16F37">
        <w:rPr>
          <w:kern w:val="22"/>
        </w:rPr>
        <w:t>Furthermore</w:t>
      </w:r>
      <w:r w:rsidRPr="00B16F37">
        <w:t xml:space="preserve">, four Junior Professional Officers sponsored by the Government of Japan (two), the Government of the United Kingdom of Great Britain and Northern Ireland (one) and the Government of Italy (one) are currently supporting the Secretariat in the implementation of the programme of work. </w:t>
      </w:r>
    </w:p>
    <w:p w14:paraId="5F36E2E0" w14:textId="66823233" w:rsidR="0015126A" w:rsidRPr="00B16F37" w:rsidRDefault="0015126A" w:rsidP="00361521">
      <w:pPr>
        <w:pStyle w:val="CBDNormalNumber"/>
      </w:pPr>
      <w:r w:rsidRPr="00B16F37">
        <w:t xml:space="preserve">As </w:t>
      </w:r>
      <w:proofErr w:type="gramStart"/>
      <w:r w:rsidRPr="00B16F37">
        <w:t>at</w:t>
      </w:r>
      <w:proofErr w:type="gramEnd"/>
      <w:r w:rsidRPr="00B16F37">
        <w:t xml:space="preserve"> 31 </w:t>
      </w:r>
      <w:r w:rsidRPr="00B16F37">
        <w:rPr>
          <w:kern w:val="22"/>
        </w:rPr>
        <w:t>July</w:t>
      </w:r>
      <w:r w:rsidRPr="00B16F37">
        <w:t xml:space="preserve"> 2024, the Secretariat had used the services of 62 consultants and individual contractors over the biennium, mainly funded from voluntary contributions, as additional resources to implement the programme of work and manage short-term staffing needs. </w:t>
      </w:r>
    </w:p>
    <w:p w14:paraId="47E4347E" w14:textId="61D4FE2D" w:rsidR="0015126A" w:rsidRPr="00B16F37" w:rsidRDefault="0015126A" w:rsidP="00361521">
      <w:pPr>
        <w:pStyle w:val="CBDH2"/>
        <w:numPr>
          <w:ilvl w:val="0"/>
          <w:numId w:val="0"/>
        </w:numPr>
        <w:ind w:left="567" w:hanging="567"/>
        <w:outlineLvl w:val="1"/>
      </w:pPr>
      <w:r w:rsidRPr="00B16F37">
        <w:t>B.</w:t>
      </w:r>
      <w:r w:rsidRPr="00B16F37">
        <w:tab/>
        <w:t xml:space="preserve">Results-based budgeting </w:t>
      </w:r>
    </w:p>
    <w:p w14:paraId="40D29002" w14:textId="6A1E195F" w:rsidR="0015126A" w:rsidRPr="00B16F37" w:rsidRDefault="0015126A" w:rsidP="00361521">
      <w:pPr>
        <w:pStyle w:val="CBDNormalNumber"/>
        <w:rPr>
          <w:kern w:val="22"/>
        </w:rPr>
      </w:pPr>
      <w:r w:rsidRPr="00B16F37">
        <w:rPr>
          <w:kern w:val="22"/>
        </w:rPr>
        <w:t>In response to a request by the Conference of the Parties in its decision 14/37 and to audit recommendations, the Secretariat has developed a results-based framework for its programming and budgeting</w:t>
      </w:r>
      <w:r w:rsidR="003C7F4F" w:rsidRPr="00B16F37">
        <w:rPr>
          <w:kern w:val="22"/>
        </w:rPr>
        <w:t xml:space="preserve"> work</w:t>
      </w:r>
      <w:r w:rsidRPr="00B16F37">
        <w:rPr>
          <w:kern w:val="22"/>
        </w:rPr>
        <w:t xml:space="preserve">. The framework has been gradually introduced since early 2023 with the aim to </w:t>
      </w:r>
      <w:r w:rsidR="00086E6A" w:rsidRPr="00B16F37">
        <w:rPr>
          <w:kern w:val="22"/>
        </w:rPr>
        <w:t xml:space="preserve">make it </w:t>
      </w:r>
      <w:r w:rsidRPr="00B16F37">
        <w:rPr>
          <w:kern w:val="22"/>
        </w:rPr>
        <w:t xml:space="preserve">fully operational during the 2025–2026 biennium. It will be updated on a regular basis, especially after major meetings, to ensure that planning is aligned with and adjusted </w:t>
      </w:r>
      <w:proofErr w:type="gramStart"/>
      <w:r w:rsidRPr="00B16F37">
        <w:rPr>
          <w:kern w:val="22"/>
        </w:rPr>
        <w:t>on the basis of</w:t>
      </w:r>
      <w:proofErr w:type="gramEnd"/>
      <w:r w:rsidRPr="00B16F37">
        <w:rPr>
          <w:kern w:val="22"/>
        </w:rPr>
        <w:t xml:space="preserve"> decisions of the Conference of the Parties to the Convention and the Conference of the Parties serving as the meetings of the Parties to the Protocols. The framework is expected to guide the Secretariat in determining its resource requirements and to further optimize the use of voluntary funds for the achievement of results. </w:t>
      </w:r>
    </w:p>
    <w:p w14:paraId="0FE5B048" w14:textId="2B69C3CA" w:rsidR="0015126A" w:rsidRPr="00B16F37" w:rsidRDefault="0015126A" w:rsidP="00361521">
      <w:pPr>
        <w:pStyle w:val="CBDNormalNumber"/>
        <w:rPr>
          <w:kern w:val="22"/>
        </w:rPr>
      </w:pPr>
      <w:r w:rsidRPr="00B16F37">
        <w:rPr>
          <w:kern w:val="22"/>
        </w:rPr>
        <w:lastRenderedPageBreak/>
        <w:t xml:space="preserve">The Secretariat has started to use the results-based framework to ensure the optimized implementation of its activities and of the voluntary funds. The framework will also enable the Secretariat to monitor the implementation of its activities and to report on results effectively. </w:t>
      </w:r>
    </w:p>
    <w:p w14:paraId="6495B6D9" w14:textId="47765FBE" w:rsidR="0015126A" w:rsidRPr="00B16F37" w:rsidRDefault="0015126A" w:rsidP="00361521">
      <w:pPr>
        <w:pStyle w:val="CBDH2"/>
        <w:numPr>
          <w:ilvl w:val="0"/>
          <w:numId w:val="0"/>
        </w:numPr>
        <w:ind w:left="567" w:hanging="567"/>
        <w:outlineLvl w:val="1"/>
      </w:pPr>
      <w:r w:rsidRPr="00B16F37">
        <w:t>C.</w:t>
      </w:r>
      <w:r w:rsidRPr="00B16F37">
        <w:tab/>
        <w:t xml:space="preserve">Introduction of a new programme monitoring tool </w:t>
      </w:r>
    </w:p>
    <w:p w14:paraId="73CFB440" w14:textId="77C43DA7" w:rsidR="0015126A" w:rsidRPr="00B16F37" w:rsidRDefault="0015126A" w:rsidP="00361521">
      <w:pPr>
        <w:pStyle w:val="CBDNormalNumber"/>
        <w:rPr>
          <w:kern w:val="22"/>
        </w:rPr>
      </w:pPr>
      <w:r w:rsidRPr="00B16F37">
        <w:rPr>
          <w:kern w:val="22"/>
        </w:rPr>
        <w:t xml:space="preserve">The United Nations Secretariat has introduced the Integrated Planning, Management and Reporting solution, in line with the vision of the Secretary-General of the United Nations for a more agile and decentralized United Nations Secretariat. In its resolution 74/271 on progress towards an accountability system in the United Nations Secretariat, the General Assembly requested the Secretary-General to continue his efforts aimed at strengthening the implementation of results-based management. The solution is built to facilitate the implementation of results-based projects following the logical framework approach, in accordance with results-based management principles, and will thus support the commitment and efforts of the Secretary-General to implement a results-based management culture. </w:t>
      </w:r>
    </w:p>
    <w:p w14:paraId="6E28C5DB" w14:textId="778B741F" w:rsidR="0015126A" w:rsidRPr="00B16F37" w:rsidRDefault="0015126A" w:rsidP="00361521">
      <w:pPr>
        <w:pStyle w:val="CBDNormalNumber"/>
        <w:rPr>
          <w:kern w:val="22"/>
        </w:rPr>
      </w:pPr>
      <w:r w:rsidRPr="00B16F37">
        <w:rPr>
          <w:kern w:val="22"/>
        </w:rPr>
        <w:t>In March 2024, UNEP held a training session, hosted by the Secretariat of the Convention, on the Integrated Planning, Management and Reporting solution for the UNEP-administered multilateral environmental agreement secretariats, in support of their transition to the solution. The Secretariat of the Convention has started to roll out the new system and will use it for the management of its programme of work. The solution will support and strengthen the implementation of the results-based framework of the Secretariat.</w:t>
      </w:r>
    </w:p>
    <w:p w14:paraId="44223993" w14:textId="63A3CF91" w:rsidR="0015126A" w:rsidRPr="00B16F37" w:rsidRDefault="0015126A" w:rsidP="00361521">
      <w:pPr>
        <w:pStyle w:val="CBDH2"/>
        <w:numPr>
          <w:ilvl w:val="0"/>
          <w:numId w:val="0"/>
        </w:numPr>
        <w:ind w:left="567" w:hanging="567"/>
      </w:pPr>
      <w:r w:rsidRPr="00B16F37">
        <w:t>D.</w:t>
      </w:r>
      <w:r w:rsidRPr="00B16F37">
        <w:tab/>
        <w:t>Outstanding audit recommendations</w:t>
      </w:r>
    </w:p>
    <w:p w14:paraId="75668FD8" w14:textId="62E78BE8" w:rsidR="0015126A" w:rsidRPr="00B16F37" w:rsidRDefault="0015126A" w:rsidP="00361521">
      <w:pPr>
        <w:pStyle w:val="CBDNormalNumber"/>
      </w:pPr>
      <w:r w:rsidRPr="00B16F37">
        <w:t xml:space="preserve">The Secretariat was subject to three audits over the past five years. The first, carried out by the Office of the Internal Oversight Services in July 2019, was followed by two </w:t>
      </w:r>
      <w:r w:rsidRPr="00B16F37">
        <w:rPr>
          <w:kern w:val="22"/>
        </w:rPr>
        <w:t>audits</w:t>
      </w:r>
      <w:r w:rsidRPr="00B16F37">
        <w:t xml:space="preserve"> conducted by the Board of Auditors in January 2020 and October 2021, respectively. As </w:t>
      </w:r>
      <w:proofErr w:type="gramStart"/>
      <w:r w:rsidRPr="00B16F37">
        <w:t>at</w:t>
      </w:r>
      <w:proofErr w:type="gramEnd"/>
      <w:r w:rsidRPr="00B16F37">
        <w:t xml:space="preserve"> 31 July 2024, all the recommendations from the audits had been implemented and closed, except those concerning: (a)</w:t>
      </w:r>
      <w:r w:rsidR="004F32B2" w:rsidRPr="00B16F37">
        <w:t> </w:t>
      </w:r>
      <w:r w:rsidRPr="00B16F37">
        <w:t>the closure of old grants; (b) the establishment of a resource mobilization mechanism; and (c) the development of an evaluation policy and mechanism to facilitate the evaluation of the Secretariat’s multi-year programme of work.</w:t>
      </w:r>
    </w:p>
    <w:p w14:paraId="0ABB1D9D" w14:textId="6B043F1C" w:rsidR="0015126A" w:rsidRPr="00B16F37" w:rsidRDefault="0015126A" w:rsidP="00361521">
      <w:pPr>
        <w:pStyle w:val="CBDNormalNumber"/>
      </w:pPr>
      <w:r w:rsidRPr="00B16F37">
        <w:t>Since the beginning of 2024, the Secretariat has successfully closed over 60 grants in close collaboration with UNEP and the United Nations Office at Nairobi. This exercise is also in line with the directives from the UNEP Executive Director and is scheduled to be completed by the end of 2024.</w:t>
      </w:r>
    </w:p>
    <w:p w14:paraId="1457C979" w14:textId="1E3F1B81" w:rsidR="0015126A" w:rsidRPr="00B16F37" w:rsidRDefault="0015126A" w:rsidP="00361521">
      <w:pPr>
        <w:pStyle w:val="CBDNormalNumber"/>
      </w:pPr>
      <w:proofErr w:type="gramStart"/>
      <w:r w:rsidRPr="00B16F37">
        <w:t>With regard to</w:t>
      </w:r>
      <w:proofErr w:type="gramEnd"/>
      <w:r w:rsidRPr="00B16F37">
        <w:t xml:space="preserve"> the establishment of a resource mobilization strategy and the development of an evaluation </w:t>
      </w:r>
      <w:r w:rsidRPr="00B16F37">
        <w:rPr>
          <w:kern w:val="22"/>
        </w:rPr>
        <w:t>policy</w:t>
      </w:r>
      <w:r w:rsidRPr="00B16F37">
        <w:t xml:space="preserve"> and mechanism, the Secretariat has prioritized the establishment of the result-based management framework to guide the preparation and management of its programme of work, a process that is still ongoing and is expected to be finalized in 2025. The result-based management framework is considered a necessary step before developing a resource mobilization strategy and an evaluation policy and mechanism. Given </w:t>
      </w:r>
      <w:r w:rsidR="0029047A" w:rsidRPr="00B16F37">
        <w:t xml:space="preserve">its </w:t>
      </w:r>
      <w:r w:rsidRPr="00B16F37">
        <w:t>lack of capacity</w:t>
      </w:r>
      <w:r w:rsidR="005F28B0" w:rsidRPr="00B16F37">
        <w:t>,</w:t>
      </w:r>
      <w:r w:rsidRPr="00B16F37">
        <w:t xml:space="preserve"> </w:t>
      </w:r>
      <w:r w:rsidR="0029047A" w:rsidRPr="00B16F37">
        <w:t xml:space="preserve">the Secretariat </w:t>
      </w:r>
      <w:r w:rsidRPr="00B16F37">
        <w:t>plans to secure funding to recruit specialists in resource mobilization strategies and policy evaluation with a view to implementin</w:t>
      </w:r>
      <w:r w:rsidR="005F28B0" w:rsidRPr="00B16F37">
        <w:t>g</w:t>
      </w:r>
      <w:r w:rsidRPr="00B16F37">
        <w:t xml:space="preserve"> </w:t>
      </w:r>
      <w:r w:rsidR="005F28B0" w:rsidRPr="00B16F37">
        <w:t xml:space="preserve">those recommendations </w:t>
      </w:r>
      <w:r w:rsidRPr="00B16F37">
        <w:t>by December 2025.</w:t>
      </w:r>
    </w:p>
    <w:p w14:paraId="6C3A9B65" w14:textId="760EE6EC" w:rsidR="0015126A" w:rsidRPr="00B16F37" w:rsidRDefault="0015126A" w:rsidP="00361521">
      <w:pPr>
        <w:pStyle w:val="CBDH2"/>
        <w:numPr>
          <w:ilvl w:val="0"/>
          <w:numId w:val="0"/>
        </w:numPr>
        <w:ind w:left="567" w:hanging="567"/>
      </w:pPr>
      <w:r w:rsidRPr="00B16F37">
        <w:t>E.</w:t>
      </w:r>
      <w:r w:rsidRPr="00B16F37">
        <w:tab/>
        <w:t>Functional review</w:t>
      </w:r>
    </w:p>
    <w:p w14:paraId="51CC33C2" w14:textId="7295E496" w:rsidR="0015126A" w:rsidRPr="00B16F37" w:rsidRDefault="0015126A" w:rsidP="00361521">
      <w:pPr>
        <w:pStyle w:val="CBDNormalNumber"/>
      </w:pPr>
      <w:r w:rsidRPr="00B16F37">
        <w:t xml:space="preserve">In its </w:t>
      </w:r>
      <w:r w:rsidRPr="00B16F37">
        <w:rPr>
          <w:kern w:val="22"/>
        </w:rPr>
        <w:t>decision</w:t>
      </w:r>
      <w:r w:rsidRPr="00B16F37">
        <w:t xml:space="preserve"> 15/34, the Conference of the Parties requested the Executive Secretary to undertake an external in-depth functional review of the structure of the Secretariat, with a view to updating its structure and the grading of posts in the light of the Framework, for consideration by the Conference of the Parties at its sixteenth meeting. Undertaking a comprehensive functional review is a complex and time-consuming exercise that requires the active involvement of all staff of an organization and the committed leadership and strategic vision of its head.</w:t>
      </w:r>
    </w:p>
    <w:p w14:paraId="026C42EB" w14:textId="7A3F0ACD" w:rsidR="003F3E6C" w:rsidRPr="00B16F37" w:rsidRDefault="0015126A" w:rsidP="00FD61C8">
      <w:pPr>
        <w:pStyle w:val="CBDNormalNumber"/>
      </w:pPr>
      <w:r w:rsidRPr="00B16F37">
        <w:t>Owing to the long process for the appointment of the new Executive Secretary, during which the Deputy Executive Secretary took on the role of Acting Executive Secretary</w:t>
      </w:r>
      <w:r w:rsidR="002138BB" w:rsidRPr="00B16F37">
        <w:t>,</w:t>
      </w:r>
      <w:r w:rsidRPr="00B16F37">
        <w:t xml:space="preserve"> in addition to his </w:t>
      </w:r>
      <w:r w:rsidRPr="00B16F37">
        <w:lastRenderedPageBreak/>
        <w:t xml:space="preserve">deputy functions, and the fact that other senior management posts were under also recruitment, and in the light of stretched staff resources across the Secretariat, no action could be taken to launch the functional review before the present meeting. However, the Secretariat commissioned a consultancy to prepare a scoping report </w:t>
      </w:r>
      <w:r w:rsidR="0006442E" w:rsidRPr="00B16F37">
        <w:t xml:space="preserve">to assist in the launch of the functional review after </w:t>
      </w:r>
      <w:r w:rsidR="00AB276E" w:rsidRPr="00B16F37">
        <w:t xml:space="preserve">the </w:t>
      </w:r>
      <w:r w:rsidR="001B0352" w:rsidRPr="00B16F37">
        <w:t xml:space="preserve">present </w:t>
      </w:r>
      <w:r w:rsidR="00AB276E" w:rsidRPr="00B16F37">
        <w:t>meeting</w:t>
      </w:r>
      <w:r w:rsidR="005E3595" w:rsidRPr="00B16F37">
        <w:t>.</w:t>
      </w:r>
    </w:p>
    <w:p w14:paraId="1D17120C" w14:textId="37419FAA" w:rsidR="00AB276E" w:rsidRPr="008035FA" w:rsidRDefault="00AB276E" w:rsidP="00361521">
      <w:pPr>
        <w:pStyle w:val="CBDNormalNumber"/>
        <w:numPr>
          <w:ilvl w:val="0"/>
          <w:numId w:val="0"/>
        </w:numPr>
        <w:ind w:left="567"/>
        <w:jc w:val="center"/>
      </w:pPr>
      <w:r w:rsidRPr="00B16F37">
        <w:t>__________</w:t>
      </w:r>
    </w:p>
    <w:sectPr w:rsidR="00AB276E" w:rsidRPr="008035FA" w:rsidSect="009B5636">
      <w:headerReference w:type="even" r:id="rId14"/>
      <w:headerReference w:type="default" r:id="rId15"/>
      <w:footerReference w:type="even" r:id="rId16"/>
      <w:footerReference w:type="default" r:id="rId17"/>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E73631" w14:textId="77777777" w:rsidR="00554EA8" w:rsidRPr="006814E7" w:rsidRDefault="00554EA8" w:rsidP="00451B9F">
      <w:r w:rsidRPr="006814E7">
        <w:separator/>
      </w:r>
    </w:p>
  </w:endnote>
  <w:endnote w:type="continuationSeparator" w:id="0">
    <w:p w14:paraId="6551847A" w14:textId="77777777" w:rsidR="00554EA8" w:rsidRPr="006814E7" w:rsidRDefault="00554EA8" w:rsidP="00451B9F">
      <w:r w:rsidRPr="006814E7">
        <w:continuationSeparator/>
      </w:r>
    </w:p>
  </w:endnote>
  <w:endnote w:type="continuationNotice" w:id="1">
    <w:p w14:paraId="50104475" w14:textId="77777777" w:rsidR="00554EA8" w:rsidRPr="006814E7" w:rsidRDefault="00554E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A2B54" w14:textId="479F6B95" w:rsidR="00361521" w:rsidRDefault="00B510B4">
    <w:pPr>
      <w:pStyle w:val="Footer"/>
    </w:pPr>
    <w:r>
      <w:fldChar w:fldCharType="begin"/>
    </w:r>
    <w:r>
      <w:instrText xml:space="preserve"> PAGE </w:instrText>
    </w:r>
    <w:r>
      <w:fldChar w:fldCharType="separate"/>
    </w:r>
    <w:r>
      <w:t>2</w:t>
    </w:r>
    <w:r>
      <w:fldChar w:fldCharType="end"/>
    </w:r>
    <w:r>
      <w:t>/</w:t>
    </w:r>
    <w:fldSimple w:instr="NUMPAGES \* MERGEFORMAT">
      <w: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8CCD5" w14:textId="08928EBD" w:rsidR="00361521" w:rsidRDefault="00B510B4" w:rsidP="00B510B4">
    <w:pPr>
      <w:pStyle w:val="Footer"/>
      <w:jc w:val="right"/>
    </w:pPr>
    <w:r>
      <w:fldChar w:fldCharType="begin"/>
    </w:r>
    <w:r>
      <w:instrText xml:space="preserve"> PAGE </w:instrText>
    </w:r>
    <w:r>
      <w:fldChar w:fldCharType="separate"/>
    </w:r>
    <w:r>
      <w:t>2</w:t>
    </w:r>
    <w:r>
      <w:fldChar w:fldCharType="end"/>
    </w:r>
    <w:r>
      <w:t>/</w:t>
    </w:r>
    <w:fldSimple w:instr="NUMPAGES \* MERGEFORMAT">
      <w: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26E1C" w14:textId="77777777" w:rsidR="00554EA8" w:rsidRPr="006814E7" w:rsidRDefault="00554EA8" w:rsidP="00451B9F">
      <w:r w:rsidRPr="006814E7">
        <w:separator/>
      </w:r>
    </w:p>
  </w:footnote>
  <w:footnote w:type="continuationSeparator" w:id="0">
    <w:p w14:paraId="5707A8B8" w14:textId="77777777" w:rsidR="00554EA8" w:rsidRPr="006814E7" w:rsidRDefault="00554EA8" w:rsidP="00451B9F">
      <w:r w:rsidRPr="006814E7">
        <w:continuationSeparator/>
      </w:r>
    </w:p>
  </w:footnote>
  <w:footnote w:type="continuationNotice" w:id="1">
    <w:p w14:paraId="4E6A5DEA" w14:textId="77777777" w:rsidR="00554EA8" w:rsidRPr="006814E7" w:rsidRDefault="00554EA8"/>
  </w:footnote>
  <w:footnote w:id="2">
    <w:p w14:paraId="7611D034" w14:textId="3642BDB5" w:rsidR="0015126A" w:rsidRPr="00C57CE8" w:rsidRDefault="0015126A" w:rsidP="00411CB7">
      <w:pPr>
        <w:pStyle w:val="Footnote"/>
      </w:pPr>
      <w:r w:rsidRPr="00C57CE8">
        <w:rPr>
          <w:rStyle w:val="FootnoteReference"/>
        </w:rPr>
        <w:t>*</w:t>
      </w:r>
      <w:r w:rsidRPr="00C57CE8">
        <w:t xml:space="preserve"> CBD/COP/16/1.</w:t>
      </w:r>
    </w:p>
  </w:footnote>
  <w:footnote w:id="3">
    <w:p w14:paraId="3B268E0D" w14:textId="77777777" w:rsidR="00A16798" w:rsidRPr="00C57CE8" w:rsidRDefault="00A16798" w:rsidP="00A16798">
      <w:pPr>
        <w:pStyle w:val="FootnoteText"/>
        <w:rPr>
          <w:szCs w:val="18"/>
        </w:rPr>
      </w:pPr>
      <w:r w:rsidRPr="00C57CE8">
        <w:rPr>
          <w:rStyle w:val="FootnoteReference"/>
          <w:szCs w:val="18"/>
        </w:rPr>
        <w:t>**</w:t>
      </w:r>
      <w:r w:rsidRPr="00C57CE8">
        <w:rPr>
          <w:szCs w:val="18"/>
        </w:rPr>
        <w:t xml:space="preserve"> CBD/CP/MOP/11/1.</w:t>
      </w:r>
    </w:p>
  </w:footnote>
  <w:footnote w:id="4">
    <w:p w14:paraId="052AEA4D" w14:textId="056301A9" w:rsidR="0015126A" w:rsidRPr="00C57CE8" w:rsidRDefault="0015126A">
      <w:pPr>
        <w:pStyle w:val="FootnoteText"/>
        <w:rPr>
          <w:szCs w:val="18"/>
        </w:rPr>
      </w:pPr>
      <w:r w:rsidRPr="00C57CE8">
        <w:rPr>
          <w:rStyle w:val="FootnoteReference"/>
          <w:szCs w:val="18"/>
        </w:rPr>
        <w:t>***</w:t>
      </w:r>
      <w:r w:rsidRPr="00C57CE8">
        <w:rPr>
          <w:szCs w:val="18"/>
        </w:rPr>
        <w:t xml:space="preserve"> CBD/NP/MOP/5/1.</w:t>
      </w:r>
    </w:p>
  </w:footnote>
  <w:footnote w:id="5">
    <w:p w14:paraId="0790CD9C" w14:textId="1E2D5706" w:rsidR="00892011" w:rsidRPr="00892011" w:rsidRDefault="00892011">
      <w:pPr>
        <w:pStyle w:val="FootnoteText"/>
        <w:rPr>
          <w:lang w:val="en-US"/>
        </w:rPr>
      </w:pPr>
      <w:r w:rsidRPr="00C57CE8">
        <w:rPr>
          <w:rStyle w:val="FootnoteReference"/>
          <w:szCs w:val="18"/>
        </w:rPr>
        <w:footnoteRef/>
      </w:r>
      <w:r>
        <w:t xml:space="preserve"> </w:t>
      </w:r>
      <w:hyperlink r:id="rId1">
        <w:r w:rsidRPr="00C57CE8">
          <w:rPr>
            <w:rStyle w:val="Hyperlink"/>
            <w:szCs w:val="18"/>
          </w:rPr>
          <w:t>www.cbd.int/information/adm-fin/</w:t>
        </w:r>
      </w:hyperlink>
      <w:r w:rsidRPr="00361521">
        <w:rPr>
          <w:rStyle w:val="Hyperlink"/>
          <w:szCs w:val="18"/>
        </w:rPr>
        <w:t>.</w:t>
      </w:r>
    </w:p>
  </w:footnote>
  <w:footnote w:id="6">
    <w:p w14:paraId="7F44490C" w14:textId="77777777" w:rsidR="008134FC" w:rsidRPr="00BA58DF" w:rsidRDefault="008134FC" w:rsidP="008134FC">
      <w:pPr>
        <w:pStyle w:val="FootnoteText"/>
        <w:rPr>
          <w:lang w:val="en-US"/>
        </w:rPr>
      </w:pPr>
      <w:r>
        <w:rPr>
          <w:rStyle w:val="FootnoteReference"/>
        </w:rPr>
        <w:footnoteRef/>
      </w:r>
      <w:r>
        <w:t xml:space="preserve"> </w:t>
      </w:r>
      <w:r w:rsidRPr="00D733EA">
        <w:rPr>
          <w:szCs w:val="18"/>
        </w:rPr>
        <w:t>CBD</w:t>
      </w:r>
      <w:r w:rsidRPr="00C57CE8">
        <w:rPr>
          <w:szCs w:val="18"/>
        </w:rPr>
        <w:t>/</w:t>
      </w:r>
      <w:r w:rsidRPr="00D733EA">
        <w:rPr>
          <w:szCs w:val="18"/>
        </w:rPr>
        <w:t>COP</w:t>
      </w:r>
      <w:r w:rsidRPr="00C57CE8">
        <w:rPr>
          <w:szCs w:val="18"/>
        </w:rPr>
        <w:t>/16/4/Add.2-CBD/CP/MOP/11/5/Add.2-CBD/NP/MOP/5/5/Add.2</w:t>
      </w:r>
      <w:r>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6921F" w14:textId="6FD4A6B3" w:rsidR="005B31FC" w:rsidRPr="00361521" w:rsidRDefault="000A2346" w:rsidP="00361521">
    <w:pPr>
      <w:pBdr>
        <w:bottom w:val="single" w:sz="4" w:space="1" w:color="auto"/>
      </w:pBdr>
      <w:spacing w:after="240"/>
      <w:ind w:right="4"/>
      <w:jc w:val="left"/>
      <w:rPr>
        <w:noProof/>
        <w:kern w:val="20"/>
        <w:sz w:val="20"/>
        <w:szCs w:val="20"/>
      </w:rPr>
    </w:pPr>
    <w:r w:rsidRPr="000A2346">
      <w:rPr>
        <w:rStyle w:val="PlaceholderText"/>
        <w:color w:val="auto"/>
        <w:sz w:val="20"/>
        <w:szCs w:val="20"/>
      </w:rPr>
      <w:t>CBD/COP/16/3-CBD/CP/MOP/11/4-CBD/NP/MOP/5/4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59B16" w14:textId="7E51516A" w:rsidR="005B31FC" w:rsidRPr="00B16F37" w:rsidRDefault="000A2346" w:rsidP="00361521">
    <w:pPr>
      <w:pBdr>
        <w:bottom w:val="single" w:sz="4" w:space="1" w:color="auto"/>
      </w:pBdr>
      <w:spacing w:after="240"/>
      <w:ind w:right="4"/>
      <w:jc w:val="right"/>
      <w:rPr>
        <w:kern w:val="20"/>
        <w:sz w:val="20"/>
        <w:szCs w:val="20"/>
      </w:rPr>
    </w:pPr>
    <w:r w:rsidRPr="00B16F37">
      <w:rPr>
        <w:noProof/>
        <w:kern w:val="22"/>
        <w:sz w:val="20"/>
        <w:szCs w:val="20"/>
      </w:rPr>
      <w:t>CBD/COP/16/3-CBD/CP/MOP/11/4-CBD/NP/MOP/5/4</w:t>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581B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0F64F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F0F9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35AA4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3031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E11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AAF6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2485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6E0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8053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1"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22" w15:restartNumberingAfterBreak="0">
    <w:nsid w:val="1A3925CD"/>
    <w:multiLevelType w:val="hybridMultilevel"/>
    <w:tmpl w:val="D360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24" w15:restartNumberingAfterBreak="0">
    <w:nsid w:val="1A5D05E6"/>
    <w:multiLevelType w:val="hybridMultilevel"/>
    <w:tmpl w:val="EB76BC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977DD4"/>
    <w:multiLevelType w:val="hybridMultilevel"/>
    <w:tmpl w:val="0716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36"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40"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98E2FF3"/>
    <w:multiLevelType w:val="multilevel"/>
    <w:tmpl w:val="222A08B4"/>
    <w:numStyleLink w:val="ListCBD"/>
  </w:abstractNum>
  <w:abstractNum w:abstractNumId="4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4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4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4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4E880595"/>
    <w:multiLevelType w:val="multilevel"/>
    <w:tmpl w:val="222A08B4"/>
    <w:numStyleLink w:val="ListCBD"/>
  </w:abstractNum>
  <w:abstractNum w:abstractNumId="54" w15:restartNumberingAfterBreak="0">
    <w:nsid w:val="52A66A9D"/>
    <w:multiLevelType w:val="multilevel"/>
    <w:tmpl w:val="222A08B4"/>
    <w:numStyleLink w:val="ListCBD"/>
  </w:abstractNum>
  <w:abstractNum w:abstractNumId="5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D943BEE"/>
    <w:multiLevelType w:val="multilevel"/>
    <w:tmpl w:val="222A08B4"/>
    <w:numStyleLink w:val="ListCBD"/>
  </w:abstractNum>
  <w:abstractNum w:abstractNumId="59"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60"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8B70991"/>
    <w:multiLevelType w:val="multilevel"/>
    <w:tmpl w:val="222A08B4"/>
    <w:numStyleLink w:val="ListCBD"/>
  </w:abstractNum>
  <w:abstractNum w:abstractNumId="62"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07E6FE9"/>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67"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16cid:durableId="468864174">
    <w:abstractNumId w:val="60"/>
  </w:num>
  <w:num w:numId="2" w16cid:durableId="2039618497">
    <w:abstractNumId w:val="70"/>
  </w:num>
  <w:num w:numId="3" w16cid:durableId="521821063">
    <w:abstractNumId w:val="62"/>
  </w:num>
  <w:num w:numId="4" w16cid:durableId="428742993">
    <w:abstractNumId w:val="59"/>
  </w:num>
  <w:num w:numId="5" w16cid:durableId="1938632523">
    <w:abstractNumId w:val="39"/>
  </w:num>
  <w:num w:numId="6" w16cid:durableId="795872334">
    <w:abstractNumId w:val="36"/>
  </w:num>
  <w:num w:numId="7" w16cid:durableId="1312782846">
    <w:abstractNumId w:val="49"/>
  </w:num>
  <w:num w:numId="8" w16cid:durableId="1695229103">
    <w:abstractNumId w:val="18"/>
  </w:num>
  <w:num w:numId="9" w16cid:durableId="1644920754">
    <w:abstractNumId w:val="25"/>
  </w:num>
  <w:num w:numId="10" w16cid:durableId="1828396445">
    <w:abstractNumId w:val="64"/>
  </w:num>
  <w:num w:numId="11" w16cid:durableId="751897603">
    <w:abstractNumId w:val="43"/>
  </w:num>
  <w:num w:numId="12" w16cid:durableId="1125805898">
    <w:abstractNumId w:val="33"/>
  </w:num>
  <w:num w:numId="13" w16cid:durableId="616718184">
    <w:abstractNumId w:val="52"/>
  </w:num>
  <w:num w:numId="14" w16cid:durableId="1757942756">
    <w:abstractNumId w:val="50"/>
  </w:num>
  <w:num w:numId="15" w16cid:durableId="549076060">
    <w:abstractNumId w:val="38"/>
  </w:num>
  <w:num w:numId="16" w16cid:durableId="888224596">
    <w:abstractNumId w:val="15"/>
  </w:num>
  <w:num w:numId="17" w16cid:durableId="1691681130">
    <w:abstractNumId w:val="69"/>
  </w:num>
  <w:num w:numId="18" w16cid:durableId="16355201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5978027">
    <w:abstractNumId w:val="45"/>
  </w:num>
  <w:num w:numId="20" w16cid:durableId="2121486030">
    <w:abstractNumId w:val="23"/>
  </w:num>
  <w:num w:numId="21" w16cid:durableId="1630280876">
    <w:abstractNumId w:val="21"/>
  </w:num>
  <w:num w:numId="22" w16cid:durableId="1962877493">
    <w:abstractNumId w:val="44"/>
  </w:num>
  <w:num w:numId="23" w16cid:durableId="1497724973">
    <w:abstractNumId w:val="42"/>
  </w:num>
  <w:num w:numId="24" w16cid:durableId="204828385">
    <w:abstractNumId w:val="35"/>
  </w:num>
  <w:num w:numId="25" w16cid:durableId="202258076">
    <w:abstractNumId w:val="67"/>
  </w:num>
  <w:num w:numId="26" w16cid:durableId="8226196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1012216">
    <w:abstractNumId w:val="40"/>
  </w:num>
  <w:num w:numId="28" w16cid:durableId="21446343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0314483">
    <w:abstractNumId w:val="47"/>
  </w:num>
  <w:num w:numId="30" w16cid:durableId="1193494282">
    <w:abstractNumId w:val="22"/>
  </w:num>
  <w:num w:numId="31" w16cid:durableId="1322123619">
    <w:abstractNumId w:val="66"/>
  </w:num>
  <w:num w:numId="32" w16cid:durableId="1914313463">
    <w:abstractNumId w:val="30"/>
  </w:num>
  <w:num w:numId="33" w16cid:durableId="560672902">
    <w:abstractNumId w:val="14"/>
  </w:num>
  <w:num w:numId="34" w16cid:durableId="1072390599">
    <w:abstractNumId w:val="65"/>
  </w:num>
  <w:num w:numId="35" w16cid:durableId="1933662228">
    <w:abstractNumId w:val="37"/>
  </w:num>
  <w:num w:numId="36" w16cid:durableId="1991909117">
    <w:abstractNumId w:val="11"/>
  </w:num>
  <w:num w:numId="37" w16cid:durableId="1138956019">
    <w:abstractNumId w:val="26"/>
  </w:num>
  <w:num w:numId="38" w16cid:durableId="607395260">
    <w:abstractNumId w:val="9"/>
  </w:num>
  <w:num w:numId="39" w16cid:durableId="98110136">
    <w:abstractNumId w:val="7"/>
  </w:num>
  <w:num w:numId="40" w16cid:durableId="920676582">
    <w:abstractNumId w:val="6"/>
  </w:num>
  <w:num w:numId="41" w16cid:durableId="447286378">
    <w:abstractNumId w:val="5"/>
  </w:num>
  <w:num w:numId="42" w16cid:durableId="1532258362">
    <w:abstractNumId w:val="4"/>
  </w:num>
  <w:num w:numId="43" w16cid:durableId="1587106058">
    <w:abstractNumId w:val="8"/>
  </w:num>
  <w:num w:numId="44" w16cid:durableId="1646355732">
    <w:abstractNumId w:val="3"/>
  </w:num>
  <w:num w:numId="45" w16cid:durableId="2006930253">
    <w:abstractNumId w:val="2"/>
  </w:num>
  <w:num w:numId="46" w16cid:durableId="1811677887">
    <w:abstractNumId w:val="1"/>
  </w:num>
  <w:num w:numId="47" w16cid:durableId="537353487">
    <w:abstractNumId w:val="0"/>
  </w:num>
  <w:num w:numId="48" w16cid:durableId="2069499237">
    <w:abstractNumId w:val="61"/>
  </w:num>
  <w:num w:numId="49" w16cid:durableId="158270868">
    <w:abstractNumId w:val="68"/>
  </w:num>
  <w:num w:numId="50" w16cid:durableId="159275565">
    <w:abstractNumId w:val="28"/>
  </w:num>
  <w:num w:numId="51" w16cid:durableId="271714945">
    <w:abstractNumId w:val="29"/>
  </w:num>
  <w:num w:numId="52" w16cid:durableId="1638680439">
    <w:abstractNumId w:val="61"/>
    <w:lvlOverride w:ilvl="0">
      <w:startOverride w:val="1"/>
    </w:lvlOverride>
  </w:num>
  <w:num w:numId="53" w16cid:durableId="1865050652">
    <w:abstractNumId w:val="54"/>
  </w:num>
  <w:num w:numId="54" w16cid:durableId="152986975">
    <w:abstractNumId w:val="48"/>
  </w:num>
  <w:num w:numId="55" w16cid:durableId="1295136099">
    <w:abstractNumId w:val="57"/>
  </w:num>
  <w:num w:numId="56" w16cid:durableId="80179172">
    <w:abstractNumId w:val="56"/>
  </w:num>
  <w:num w:numId="57" w16cid:durableId="20679887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51"/>
  </w:num>
  <w:num w:numId="59" w16cid:durableId="1771076976">
    <w:abstractNumId w:val="16"/>
  </w:num>
  <w:num w:numId="60" w16cid:durableId="939752621">
    <w:abstractNumId w:val="53"/>
  </w:num>
  <w:num w:numId="61" w16cid:durableId="915044361">
    <w:abstractNumId w:val="41"/>
  </w:num>
  <w:num w:numId="62" w16cid:durableId="855196379">
    <w:abstractNumId w:val="19"/>
  </w:num>
  <w:num w:numId="63" w16cid:durableId="146685333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7"/>
  </w:num>
  <w:num w:numId="65" w16cid:durableId="708722651">
    <w:abstractNumId w:val="10"/>
  </w:num>
  <w:num w:numId="66" w16cid:durableId="21364124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4"/>
  </w:num>
  <w:num w:numId="74" w16cid:durableId="1570270110">
    <w:abstractNumId w:val="55"/>
  </w:num>
  <w:num w:numId="75" w16cid:durableId="2125995167">
    <w:abstractNumId w:val="46"/>
  </w:num>
  <w:num w:numId="76" w16cid:durableId="893932166">
    <w:abstractNumId w:val="63"/>
  </w:num>
  <w:num w:numId="77" w16cid:durableId="1627851340">
    <w:abstractNumId w:val="32"/>
  </w:num>
  <w:num w:numId="78" w16cid:durableId="1945532808">
    <w:abstractNumId w:val="17"/>
  </w:num>
  <w:num w:numId="79"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3"/>
  </w:num>
  <w:num w:numId="8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8"/>
  </w:num>
  <w:num w:numId="86" w16cid:durableId="1081876658">
    <w:abstractNumId w:val="8"/>
  </w:num>
  <w:num w:numId="87" w16cid:durableId="2057927063">
    <w:abstractNumId w:val="3"/>
  </w:num>
  <w:num w:numId="88" w16cid:durableId="630017806">
    <w:abstractNumId w:val="2"/>
  </w:num>
  <w:num w:numId="89" w16cid:durableId="2081127458">
    <w:abstractNumId w:val="1"/>
  </w:num>
  <w:num w:numId="90" w16cid:durableId="1864173357">
    <w:abstractNumId w:val="0"/>
  </w:num>
  <w:num w:numId="91" w16cid:durableId="424957950">
    <w:abstractNumId w:val="24"/>
  </w:num>
  <w:num w:numId="92" w16cid:durableId="2139492710">
    <w:abstractNumId w:val="58"/>
  </w:num>
  <w:num w:numId="93" w16cid:durableId="197353562">
    <w:abstractNumId w:val="58"/>
  </w:num>
  <w:num w:numId="94" w16cid:durableId="959148488">
    <w:abstractNumId w:val="58"/>
  </w:num>
  <w:num w:numId="95" w16cid:durableId="1306351563">
    <w:abstractNumId w:val="58"/>
  </w:num>
  <w:num w:numId="96" w16cid:durableId="1258291412">
    <w:abstractNumId w:val="58"/>
  </w:num>
  <w:num w:numId="97" w16cid:durableId="2132162123">
    <w:abstractNumId w:val="58"/>
  </w:num>
  <w:num w:numId="98" w16cid:durableId="767427740">
    <w:abstractNumId w:val="58"/>
  </w:num>
  <w:num w:numId="99" w16cid:durableId="921836813">
    <w:abstractNumId w:val="58"/>
  </w:num>
  <w:num w:numId="100" w16cid:durableId="430710877">
    <w:abstractNumId w:val="58"/>
  </w:num>
  <w:num w:numId="101" w16cid:durableId="161818173">
    <w:abstractNumId w:val="58"/>
  </w:num>
  <w:num w:numId="102" w16cid:durableId="237716041">
    <w:abstractNumId w:val="58"/>
  </w:num>
  <w:num w:numId="103" w16cid:durableId="1287740243">
    <w:abstractNumId w:val="58"/>
  </w:num>
  <w:num w:numId="104" w16cid:durableId="407192051">
    <w:abstractNumId w:val="58"/>
  </w:num>
  <w:num w:numId="105" w16cid:durableId="1300499834">
    <w:abstractNumId w:val="58"/>
  </w:num>
  <w:num w:numId="106" w16cid:durableId="892346738">
    <w:abstractNumId w:val="58"/>
  </w:num>
  <w:num w:numId="107" w16cid:durableId="382602386">
    <w:abstractNumId w:val="58"/>
  </w:num>
  <w:num w:numId="108" w16cid:durableId="1209025004">
    <w:abstractNumId w:val="58"/>
  </w:num>
  <w:num w:numId="109" w16cid:durableId="1323849562">
    <w:abstractNumId w:val="58"/>
  </w:num>
  <w:num w:numId="110" w16cid:durableId="1661692755">
    <w:abstractNumId w:val="58"/>
  </w:num>
  <w:num w:numId="111" w16cid:durableId="1616018499">
    <w:abstractNumId w:val="58"/>
  </w:num>
  <w:num w:numId="112" w16cid:durableId="786656891">
    <w:abstractNumId w:val="58"/>
  </w:num>
  <w:num w:numId="113" w16cid:durableId="1743915977">
    <w:abstractNumId w:val="58"/>
  </w:num>
  <w:num w:numId="114" w16cid:durableId="1788505549">
    <w:abstractNumId w:val="58"/>
  </w:num>
  <w:num w:numId="115" w16cid:durableId="1218586719">
    <w:abstractNumId w:val="58"/>
  </w:num>
  <w:num w:numId="116" w16cid:durableId="857541403">
    <w:abstractNumId w:val="58"/>
  </w:num>
  <w:num w:numId="117" w16cid:durableId="253976008">
    <w:abstractNumId w:val="58"/>
  </w:num>
  <w:num w:numId="118" w16cid:durableId="224146620">
    <w:abstractNumId w:val="58"/>
  </w:num>
  <w:num w:numId="119" w16cid:durableId="740175653">
    <w:abstractNumId w:val="58"/>
  </w:num>
  <w:num w:numId="120" w16cid:durableId="2055151187">
    <w:abstractNumId w:val="58"/>
  </w:num>
  <w:num w:numId="121" w16cid:durableId="1933588503">
    <w:abstractNumId w:val="58"/>
  </w:num>
  <w:num w:numId="122" w16cid:durableId="883907664">
    <w:abstractNumId w:val="58"/>
  </w:num>
  <w:num w:numId="123" w16cid:durableId="607272945">
    <w:abstractNumId w:val="58"/>
  </w:num>
  <w:num w:numId="124" w16cid:durableId="35737726">
    <w:abstractNumId w:val="58"/>
  </w:num>
  <w:num w:numId="125" w16cid:durableId="1387023358">
    <w:abstractNumId w:val="58"/>
  </w:num>
  <w:num w:numId="126" w16cid:durableId="591160294">
    <w:abstractNumId w:val="58"/>
  </w:num>
  <w:num w:numId="127" w16cid:durableId="1808010833">
    <w:abstractNumId w:val="58"/>
  </w:num>
  <w:num w:numId="128" w16cid:durableId="1708798286">
    <w:abstractNumId w:val="58"/>
  </w:num>
  <w:num w:numId="129" w16cid:durableId="811598167">
    <w:abstractNumId w:val="58"/>
  </w:num>
  <w:num w:numId="130" w16cid:durableId="1553732887">
    <w:abstractNumId w:val="58"/>
  </w:num>
  <w:num w:numId="131" w16cid:durableId="971984959">
    <w:abstractNumId w:val="58"/>
  </w:num>
  <w:num w:numId="132" w16cid:durableId="1008361928">
    <w:abstractNumId w:val="58"/>
  </w:num>
  <w:num w:numId="133" w16cid:durableId="1817258690">
    <w:abstractNumId w:val="58"/>
  </w:num>
  <w:num w:numId="134" w16cid:durableId="21131634">
    <w:abstractNumId w:val="58"/>
  </w:num>
  <w:num w:numId="135" w16cid:durableId="1616865514">
    <w:abstractNumId w:val="58"/>
  </w:num>
  <w:num w:numId="136" w16cid:durableId="353506157">
    <w:abstractNumId w:val="58"/>
  </w:num>
  <w:num w:numId="137" w16cid:durableId="292909767">
    <w:abstractNumId w:val="58"/>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proofState w:spelling="clean"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5D6"/>
    <w:rsid w:val="00000BF5"/>
    <w:rsid w:val="00001B0F"/>
    <w:rsid w:val="00001F94"/>
    <w:rsid w:val="00002398"/>
    <w:rsid w:val="0000259F"/>
    <w:rsid w:val="00002AE4"/>
    <w:rsid w:val="00003AEB"/>
    <w:rsid w:val="0000407B"/>
    <w:rsid w:val="00004159"/>
    <w:rsid w:val="0000440D"/>
    <w:rsid w:val="00005CCD"/>
    <w:rsid w:val="000061EE"/>
    <w:rsid w:val="00006597"/>
    <w:rsid w:val="00006E14"/>
    <w:rsid w:val="000073B2"/>
    <w:rsid w:val="00007538"/>
    <w:rsid w:val="000076F5"/>
    <w:rsid w:val="00007AA5"/>
    <w:rsid w:val="0001016D"/>
    <w:rsid w:val="0001087A"/>
    <w:rsid w:val="00010D45"/>
    <w:rsid w:val="000111F8"/>
    <w:rsid w:val="000112BE"/>
    <w:rsid w:val="000125D5"/>
    <w:rsid w:val="00012D38"/>
    <w:rsid w:val="0001354B"/>
    <w:rsid w:val="00013E5A"/>
    <w:rsid w:val="00013EA7"/>
    <w:rsid w:val="0001418B"/>
    <w:rsid w:val="0001438D"/>
    <w:rsid w:val="00014779"/>
    <w:rsid w:val="0001477E"/>
    <w:rsid w:val="00014A14"/>
    <w:rsid w:val="00014B94"/>
    <w:rsid w:val="00014E60"/>
    <w:rsid w:val="00014FB7"/>
    <w:rsid w:val="0001521B"/>
    <w:rsid w:val="00016C64"/>
    <w:rsid w:val="00017720"/>
    <w:rsid w:val="00017D68"/>
    <w:rsid w:val="00020161"/>
    <w:rsid w:val="00020831"/>
    <w:rsid w:val="00021164"/>
    <w:rsid w:val="000213E9"/>
    <w:rsid w:val="00021511"/>
    <w:rsid w:val="000228E8"/>
    <w:rsid w:val="000231BD"/>
    <w:rsid w:val="000232B1"/>
    <w:rsid w:val="00023383"/>
    <w:rsid w:val="00025493"/>
    <w:rsid w:val="0002550E"/>
    <w:rsid w:val="000258D2"/>
    <w:rsid w:val="000259C7"/>
    <w:rsid w:val="00025BB9"/>
    <w:rsid w:val="000262F2"/>
    <w:rsid w:val="000266DB"/>
    <w:rsid w:val="00026728"/>
    <w:rsid w:val="0002685A"/>
    <w:rsid w:val="00026C34"/>
    <w:rsid w:val="00026F68"/>
    <w:rsid w:val="00027385"/>
    <w:rsid w:val="0002776E"/>
    <w:rsid w:val="00027C88"/>
    <w:rsid w:val="00027D5D"/>
    <w:rsid w:val="00027E5E"/>
    <w:rsid w:val="00027F79"/>
    <w:rsid w:val="0003069F"/>
    <w:rsid w:val="00030DEB"/>
    <w:rsid w:val="000311B5"/>
    <w:rsid w:val="00031E36"/>
    <w:rsid w:val="000320AF"/>
    <w:rsid w:val="000322A9"/>
    <w:rsid w:val="00032584"/>
    <w:rsid w:val="00033DD1"/>
    <w:rsid w:val="00034123"/>
    <w:rsid w:val="000342A6"/>
    <w:rsid w:val="000343E2"/>
    <w:rsid w:val="00034518"/>
    <w:rsid w:val="00034737"/>
    <w:rsid w:val="00035008"/>
    <w:rsid w:val="00035BEE"/>
    <w:rsid w:val="00035F25"/>
    <w:rsid w:val="0003605F"/>
    <w:rsid w:val="000362C9"/>
    <w:rsid w:val="00036ACD"/>
    <w:rsid w:val="0003781E"/>
    <w:rsid w:val="00037E37"/>
    <w:rsid w:val="0004093A"/>
    <w:rsid w:val="00040ACA"/>
    <w:rsid w:val="00040B48"/>
    <w:rsid w:val="00040E9D"/>
    <w:rsid w:val="00040F30"/>
    <w:rsid w:val="000413C5"/>
    <w:rsid w:val="00041CC2"/>
    <w:rsid w:val="00042D48"/>
    <w:rsid w:val="00043130"/>
    <w:rsid w:val="00044379"/>
    <w:rsid w:val="000456D6"/>
    <w:rsid w:val="00045C28"/>
    <w:rsid w:val="00045E51"/>
    <w:rsid w:val="000461BE"/>
    <w:rsid w:val="0004644D"/>
    <w:rsid w:val="000478D3"/>
    <w:rsid w:val="00050118"/>
    <w:rsid w:val="00050267"/>
    <w:rsid w:val="0005171F"/>
    <w:rsid w:val="00051F11"/>
    <w:rsid w:val="00052A60"/>
    <w:rsid w:val="00052ADD"/>
    <w:rsid w:val="00052F42"/>
    <w:rsid w:val="00053772"/>
    <w:rsid w:val="00053972"/>
    <w:rsid w:val="000540DA"/>
    <w:rsid w:val="000544CA"/>
    <w:rsid w:val="00056F85"/>
    <w:rsid w:val="00059B05"/>
    <w:rsid w:val="000609B8"/>
    <w:rsid w:val="00060E23"/>
    <w:rsid w:val="0006126C"/>
    <w:rsid w:val="000618B4"/>
    <w:rsid w:val="00061B19"/>
    <w:rsid w:val="0006219B"/>
    <w:rsid w:val="00062627"/>
    <w:rsid w:val="000627AB"/>
    <w:rsid w:val="000630BD"/>
    <w:rsid w:val="000641D7"/>
    <w:rsid w:val="0006442E"/>
    <w:rsid w:val="00064499"/>
    <w:rsid w:val="00065000"/>
    <w:rsid w:val="0006504C"/>
    <w:rsid w:val="00065235"/>
    <w:rsid w:val="000659BF"/>
    <w:rsid w:val="00065EE0"/>
    <w:rsid w:val="00066016"/>
    <w:rsid w:val="000667D8"/>
    <w:rsid w:val="000667E6"/>
    <w:rsid w:val="000667F8"/>
    <w:rsid w:val="00066C0D"/>
    <w:rsid w:val="00066E89"/>
    <w:rsid w:val="00067F2D"/>
    <w:rsid w:val="000709FB"/>
    <w:rsid w:val="00070ADF"/>
    <w:rsid w:val="00070B88"/>
    <w:rsid w:val="00070CAD"/>
    <w:rsid w:val="000710C7"/>
    <w:rsid w:val="0007116A"/>
    <w:rsid w:val="00071FEE"/>
    <w:rsid w:val="000726AD"/>
    <w:rsid w:val="000734CA"/>
    <w:rsid w:val="000738E3"/>
    <w:rsid w:val="00074B1E"/>
    <w:rsid w:val="00074CC9"/>
    <w:rsid w:val="000752E3"/>
    <w:rsid w:val="0007588E"/>
    <w:rsid w:val="00075F4E"/>
    <w:rsid w:val="00076225"/>
    <w:rsid w:val="000769A0"/>
    <w:rsid w:val="00076BC5"/>
    <w:rsid w:val="00081DFD"/>
    <w:rsid w:val="000822E1"/>
    <w:rsid w:val="000826F7"/>
    <w:rsid w:val="00083A28"/>
    <w:rsid w:val="00083B33"/>
    <w:rsid w:val="00083B67"/>
    <w:rsid w:val="00083CC9"/>
    <w:rsid w:val="000845D9"/>
    <w:rsid w:val="00084D62"/>
    <w:rsid w:val="0008529C"/>
    <w:rsid w:val="00086D6A"/>
    <w:rsid w:val="00086E36"/>
    <w:rsid w:val="00086E6A"/>
    <w:rsid w:val="0008756D"/>
    <w:rsid w:val="00087634"/>
    <w:rsid w:val="000906E3"/>
    <w:rsid w:val="00090790"/>
    <w:rsid w:val="000909C1"/>
    <w:rsid w:val="00090D28"/>
    <w:rsid w:val="00090FB8"/>
    <w:rsid w:val="00091061"/>
    <w:rsid w:val="000911AA"/>
    <w:rsid w:val="00091470"/>
    <w:rsid w:val="00091C32"/>
    <w:rsid w:val="00091DEA"/>
    <w:rsid w:val="000925AC"/>
    <w:rsid w:val="00092DC0"/>
    <w:rsid w:val="0009308C"/>
    <w:rsid w:val="00093454"/>
    <w:rsid w:val="000934A3"/>
    <w:rsid w:val="00093DE2"/>
    <w:rsid w:val="00093F03"/>
    <w:rsid w:val="0009465B"/>
    <w:rsid w:val="00094AC9"/>
    <w:rsid w:val="00095189"/>
    <w:rsid w:val="0009557B"/>
    <w:rsid w:val="0009654C"/>
    <w:rsid w:val="00097574"/>
    <w:rsid w:val="00097897"/>
    <w:rsid w:val="00097948"/>
    <w:rsid w:val="00097FF5"/>
    <w:rsid w:val="00098A10"/>
    <w:rsid w:val="000A0039"/>
    <w:rsid w:val="000A003A"/>
    <w:rsid w:val="000A14E9"/>
    <w:rsid w:val="000A181E"/>
    <w:rsid w:val="000A2346"/>
    <w:rsid w:val="000A2755"/>
    <w:rsid w:val="000A306E"/>
    <w:rsid w:val="000A33DA"/>
    <w:rsid w:val="000A3B5B"/>
    <w:rsid w:val="000A59C4"/>
    <w:rsid w:val="000A6DC4"/>
    <w:rsid w:val="000A7B5E"/>
    <w:rsid w:val="000B0925"/>
    <w:rsid w:val="000B0CDF"/>
    <w:rsid w:val="000B123B"/>
    <w:rsid w:val="000B12BB"/>
    <w:rsid w:val="000B2250"/>
    <w:rsid w:val="000B23EF"/>
    <w:rsid w:val="000B2CFC"/>
    <w:rsid w:val="000B2EC2"/>
    <w:rsid w:val="000B312C"/>
    <w:rsid w:val="000B33D0"/>
    <w:rsid w:val="000B35E1"/>
    <w:rsid w:val="000B3C61"/>
    <w:rsid w:val="000B4667"/>
    <w:rsid w:val="000B5071"/>
    <w:rsid w:val="000B554E"/>
    <w:rsid w:val="000B5A57"/>
    <w:rsid w:val="000B5F8B"/>
    <w:rsid w:val="000B6141"/>
    <w:rsid w:val="000B7B72"/>
    <w:rsid w:val="000C049C"/>
    <w:rsid w:val="000C0519"/>
    <w:rsid w:val="000C1524"/>
    <w:rsid w:val="000C18CF"/>
    <w:rsid w:val="000C1A78"/>
    <w:rsid w:val="000C23C2"/>
    <w:rsid w:val="000C252F"/>
    <w:rsid w:val="000C29AF"/>
    <w:rsid w:val="000C3ABA"/>
    <w:rsid w:val="000C42F1"/>
    <w:rsid w:val="000C44C3"/>
    <w:rsid w:val="000C562C"/>
    <w:rsid w:val="000C585D"/>
    <w:rsid w:val="000C58C2"/>
    <w:rsid w:val="000C5FAD"/>
    <w:rsid w:val="000C6AFB"/>
    <w:rsid w:val="000C6B93"/>
    <w:rsid w:val="000C7391"/>
    <w:rsid w:val="000C78A0"/>
    <w:rsid w:val="000C7AE4"/>
    <w:rsid w:val="000C7BDC"/>
    <w:rsid w:val="000D02E4"/>
    <w:rsid w:val="000D0472"/>
    <w:rsid w:val="000D0E73"/>
    <w:rsid w:val="000D19CC"/>
    <w:rsid w:val="000D2976"/>
    <w:rsid w:val="000D3673"/>
    <w:rsid w:val="000D36D0"/>
    <w:rsid w:val="000D38D0"/>
    <w:rsid w:val="000D447D"/>
    <w:rsid w:val="000D5274"/>
    <w:rsid w:val="000D5C82"/>
    <w:rsid w:val="000D7B1C"/>
    <w:rsid w:val="000E04A0"/>
    <w:rsid w:val="000E096B"/>
    <w:rsid w:val="000E0CAA"/>
    <w:rsid w:val="000E100D"/>
    <w:rsid w:val="000E1026"/>
    <w:rsid w:val="000E10D1"/>
    <w:rsid w:val="000E1180"/>
    <w:rsid w:val="000E205B"/>
    <w:rsid w:val="000E2AC8"/>
    <w:rsid w:val="000E301F"/>
    <w:rsid w:val="000E31D0"/>
    <w:rsid w:val="000E35DD"/>
    <w:rsid w:val="000E3B95"/>
    <w:rsid w:val="000E3D5C"/>
    <w:rsid w:val="000E3FF4"/>
    <w:rsid w:val="000E3FFB"/>
    <w:rsid w:val="000E524E"/>
    <w:rsid w:val="000E61DF"/>
    <w:rsid w:val="000E6EFE"/>
    <w:rsid w:val="000E7027"/>
    <w:rsid w:val="000E7ACC"/>
    <w:rsid w:val="000F0ADA"/>
    <w:rsid w:val="000F1208"/>
    <w:rsid w:val="000F1F71"/>
    <w:rsid w:val="000F20D0"/>
    <w:rsid w:val="000F2113"/>
    <w:rsid w:val="000F25B5"/>
    <w:rsid w:val="000F3AF5"/>
    <w:rsid w:val="000F4186"/>
    <w:rsid w:val="000F420F"/>
    <w:rsid w:val="000F4F34"/>
    <w:rsid w:val="000F53F0"/>
    <w:rsid w:val="000F5F9C"/>
    <w:rsid w:val="000F6DC6"/>
    <w:rsid w:val="000F72CA"/>
    <w:rsid w:val="000F75CD"/>
    <w:rsid w:val="000F7CCF"/>
    <w:rsid w:val="00100491"/>
    <w:rsid w:val="00100515"/>
    <w:rsid w:val="001007DD"/>
    <w:rsid w:val="00100802"/>
    <w:rsid w:val="00100BF4"/>
    <w:rsid w:val="00100CE5"/>
    <w:rsid w:val="00100EF9"/>
    <w:rsid w:val="00100F1D"/>
    <w:rsid w:val="0010148C"/>
    <w:rsid w:val="00102BD9"/>
    <w:rsid w:val="00103171"/>
    <w:rsid w:val="00104232"/>
    <w:rsid w:val="00104976"/>
    <w:rsid w:val="00104E50"/>
    <w:rsid w:val="00106229"/>
    <w:rsid w:val="0010623C"/>
    <w:rsid w:val="00106652"/>
    <w:rsid w:val="001066B3"/>
    <w:rsid w:val="001068F9"/>
    <w:rsid w:val="001069FD"/>
    <w:rsid w:val="00106EA3"/>
    <w:rsid w:val="00107EB6"/>
    <w:rsid w:val="00110283"/>
    <w:rsid w:val="00110C28"/>
    <w:rsid w:val="00111B04"/>
    <w:rsid w:val="00111EAF"/>
    <w:rsid w:val="001124EB"/>
    <w:rsid w:val="00112509"/>
    <w:rsid w:val="001125C1"/>
    <w:rsid w:val="00112CB6"/>
    <w:rsid w:val="00113B90"/>
    <w:rsid w:val="00114257"/>
    <w:rsid w:val="0011508A"/>
    <w:rsid w:val="001150CA"/>
    <w:rsid w:val="001154FB"/>
    <w:rsid w:val="0011588E"/>
    <w:rsid w:val="00115DE8"/>
    <w:rsid w:val="001168DF"/>
    <w:rsid w:val="00116979"/>
    <w:rsid w:val="00116AD9"/>
    <w:rsid w:val="00117088"/>
    <w:rsid w:val="00117EF9"/>
    <w:rsid w:val="00117FFB"/>
    <w:rsid w:val="001200F6"/>
    <w:rsid w:val="00120230"/>
    <w:rsid w:val="0012097B"/>
    <w:rsid w:val="00120AF3"/>
    <w:rsid w:val="00120D38"/>
    <w:rsid w:val="00120D77"/>
    <w:rsid w:val="0012127B"/>
    <w:rsid w:val="00121DD4"/>
    <w:rsid w:val="00121E6A"/>
    <w:rsid w:val="00122295"/>
    <w:rsid w:val="00122536"/>
    <w:rsid w:val="00123072"/>
    <w:rsid w:val="0012332C"/>
    <w:rsid w:val="00123CF0"/>
    <w:rsid w:val="00123FE8"/>
    <w:rsid w:val="00123FFE"/>
    <w:rsid w:val="0012481C"/>
    <w:rsid w:val="00125847"/>
    <w:rsid w:val="00125B31"/>
    <w:rsid w:val="00125B77"/>
    <w:rsid w:val="00125F7E"/>
    <w:rsid w:val="001260A9"/>
    <w:rsid w:val="001272D6"/>
    <w:rsid w:val="001276B9"/>
    <w:rsid w:val="00127AD1"/>
    <w:rsid w:val="0012DDD0"/>
    <w:rsid w:val="00130423"/>
    <w:rsid w:val="001306BE"/>
    <w:rsid w:val="0013085B"/>
    <w:rsid w:val="001324EA"/>
    <w:rsid w:val="00132BF7"/>
    <w:rsid w:val="00132FBF"/>
    <w:rsid w:val="00133045"/>
    <w:rsid w:val="001331E7"/>
    <w:rsid w:val="00133C8B"/>
    <w:rsid w:val="00133E9F"/>
    <w:rsid w:val="00134136"/>
    <w:rsid w:val="00134435"/>
    <w:rsid w:val="00134613"/>
    <w:rsid w:val="00134C2E"/>
    <w:rsid w:val="00134C36"/>
    <w:rsid w:val="001351C3"/>
    <w:rsid w:val="00136648"/>
    <w:rsid w:val="00136EA5"/>
    <w:rsid w:val="0013718A"/>
    <w:rsid w:val="00137194"/>
    <w:rsid w:val="00137AEB"/>
    <w:rsid w:val="00137C04"/>
    <w:rsid w:val="00140315"/>
    <w:rsid w:val="0014040C"/>
    <w:rsid w:val="00140487"/>
    <w:rsid w:val="001411C6"/>
    <w:rsid w:val="00141310"/>
    <w:rsid w:val="00141487"/>
    <w:rsid w:val="00141C95"/>
    <w:rsid w:val="00142643"/>
    <w:rsid w:val="001427F2"/>
    <w:rsid w:val="00142BB5"/>
    <w:rsid w:val="001435D7"/>
    <w:rsid w:val="00143ACD"/>
    <w:rsid w:val="001443C5"/>
    <w:rsid w:val="00144988"/>
    <w:rsid w:val="0014518C"/>
    <w:rsid w:val="00145B48"/>
    <w:rsid w:val="001467DF"/>
    <w:rsid w:val="00146926"/>
    <w:rsid w:val="0014707B"/>
    <w:rsid w:val="001470C2"/>
    <w:rsid w:val="001474F9"/>
    <w:rsid w:val="001509AB"/>
    <w:rsid w:val="00151001"/>
    <w:rsid w:val="0015126A"/>
    <w:rsid w:val="001522F2"/>
    <w:rsid w:val="001523AA"/>
    <w:rsid w:val="00152B4D"/>
    <w:rsid w:val="00152D01"/>
    <w:rsid w:val="00153CC9"/>
    <w:rsid w:val="00153EF3"/>
    <w:rsid w:val="001549CC"/>
    <w:rsid w:val="00154A35"/>
    <w:rsid w:val="0015532B"/>
    <w:rsid w:val="001558E1"/>
    <w:rsid w:val="001573C3"/>
    <w:rsid w:val="00157B7F"/>
    <w:rsid w:val="00160067"/>
    <w:rsid w:val="0016035B"/>
    <w:rsid w:val="0016045C"/>
    <w:rsid w:val="001612B0"/>
    <w:rsid w:val="001616CA"/>
    <w:rsid w:val="00161B90"/>
    <w:rsid w:val="00161F18"/>
    <w:rsid w:val="00162797"/>
    <w:rsid w:val="00162B74"/>
    <w:rsid w:val="00162F9B"/>
    <w:rsid w:val="00162FC9"/>
    <w:rsid w:val="00163A8C"/>
    <w:rsid w:val="00163B8E"/>
    <w:rsid w:val="00164084"/>
    <w:rsid w:val="00164488"/>
    <w:rsid w:val="0016457D"/>
    <w:rsid w:val="00165A18"/>
    <w:rsid w:val="00166DC4"/>
    <w:rsid w:val="00167084"/>
    <w:rsid w:val="00167735"/>
    <w:rsid w:val="0016791F"/>
    <w:rsid w:val="001701FE"/>
    <w:rsid w:val="00170AD6"/>
    <w:rsid w:val="00171096"/>
    <w:rsid w:val="001717B2"/>
    <w:rsid w:val="00171DF6"/>
    <w:rsid w:val="00171F61"/>
    <w:rsid w:val="00172C38"/>
    <w:rsid w:val="001734F3"/>
    <w:rsid w:val="001735D5"/>
    <w:rsid w:val="00173615"/>
    <w:rsid w:val="0017362E"/>
    <w:rsid w:val="00173D56"/>
    <w:rsid w:val="0017409A"/>
    <w:rsid w:val="001742F7"/>
    <w:rsid w:val="00174B7C"/>
    <w:rsid w:val="00175CDE"/>
    <w:rsid w:val="001760EF"/>
    <w:rsid w:val="00176EC3"/>
    <w:rsid w:val="001777BF"/>
    <w:rsid w:val="00177973"/>
    <w:rsid w:val="00177F6C"/>
    <w:rsid w:val="001801D9"/>
    <w:rsid w:val="00180FCA"/>
    <w:rsid w:val="0018136B"/>
    <w:rsid w:val="001817FA"/>
    <w:rsid w:val="0018189A"/>
    <w:rsid w:val="00181D94"/>
    <w:rsid w:val="00182AA1"/>
    <w:rsid w:val="001831B9"/>
    <w:rsid w:val="001832E2"/>
    <w:rsid w:val="00183B5D"/>
    <w:rsid w:val="00183CDA"/>
    <w:rsid w:val="001840EE"/>
    <w:rsid w:val="00184439"/>
    <w:rsid w:val="00184A97"/>
    <w:rsid w:val="001850D0"/>
    <w:rsid w:val="00185E50"/>
    <w:rsid w:val="00186162"/>
    <w:rsid w:val="00186472"/>
    <w:rsid w:val="0018688C"/>
    <w:rsid w:val="00186F7E"/>
    <w:rsid w:val="00187E13"/>
    <w:rsid w:val="00190201"/>
    <w:rsid w:val="00190606"/>
    <w:rsid w:val="00190BE3"/>
    <w:rsid w:val="00190CC8"/>
    <w:rsid w:val="001915F0"/>
    <w:rsid w:val="00191A85"/>
    <w:rsid w:val="00191D46"/>
    <w:rsid w:val="0019209D"/>
    <w:rsid w:val="001922FB"/>
    <w:rsid w:val="001929F5"/>
    <w:rsid w:val="00192DE2"/>
    <w:rsid w:val="001933EA"/>
    <w:rsid w:val="001939F4"/>
    <w:rsid w:val="00193E16"/>
    <w:rsid w:val="00193FAD"/>
    <w:rsid w:val="00194C54"/>
    <w:rsid w:val="001951B4"/>
    <w:rsid w:val="00195C84"/>
    <w:rsid w:val="00195FC3"/>
    <w:rsid w:val="00196105"/>
    <w:rsid w:val="001963A8"/>
    <w:rsid w:val="001968AC"/>
    <w:rsid w:val="00197046"/>
    <w:rsid w:val="0019747F"/>
    <w:rsid w:val="0019748B"/>
    <w:rsid w:val="001978D0"/>
    <w:rsid w:val="0019E395"/>
    <w:rsid w:val="001A0344"/>
    <w:rsid w:val="001A0ECD"/>
    <w:rsid w:val="001A0F89"/>
    <w:rsid w:val="001A145E"/>
    <w:rsid w:val="001A1973"/>
    <w:rsid w:val="001A1B6C"/>
    <w:rsid w:val="001A1C05"/>
    <w:rsid w:val="001A1E20"/>
    <w:rsid w:val="001A2412"/>
    <w:rsid w:val="001A244E"/>
    <w:rsid w:val="001A2DBD"/>
    <w:rsid w:val="001A3108"/>
    <w:rsid w:val="001A31F1"/>
    <w:rsid w:val="001A3373"/>
    <w:rsid w:val="001A4BB0"/>
    <w:rsid w:val="001A518B"/>
    <w:rsid w:val="001A58BB"/>
    <w:rsid w:val="001A73CF"/>
    <w:rsid w:val="001A74A6"/>
    <w:rsid w:val="001A7511"/>
    <w:rsid w:val="001A7E19"/>
    <w:rsid w:val="001B0352"/>
    <w:rsid w:val="001B1DCA"/>
    <w:rsid w:val="001B21CD"/>
    <w:rsid w:val="001B2AA2"/>
    <w:rsid w:val="001B2F87"/>
    <w:rsid w:val="001B3420"/>
    <w:rsid w:val="001B3EDB"/>
    <w:rsid w:val="001B437B"/>
    <w:rsid w:val="001B446C"/>
    <w:rsid w:val="001B4818"/>
    <w:rsid w:val="001B4AFA"/>
    <w:rsid w:val="001B4CC6"/>
    <w:rsid w:val="001B515F"/>
    <w:rsid w:val="001B57CA"/>
    <w:rsid w:val="001B5B2B"/>
    <w:rsid w:val="001B5CE7"/>
    <w:rsid w:val="001B695E"/>
    <w:rsid w:val="001C0084"/>
    <w:rsid w:val="001C164E"/>
    <w:rsid w:val="001C1EB8"/>
    <w:rsid w:val="001C1FBB"/>
    <w:rsid w:val="001C2122"/>
    <w:rsid w:val="001C26A7"/>
    <w:rsid w:val="001C3537"/>
    <w:rsid w:val="001C37C6"/>
    <w:rsid w:val="001C57A1"/>
    <w:rsid w:val="001C62E8"/>
    <w:rsid w:val="001C6495"/>
    <w:rsid w:val="001C75BE"/>
    <w:rsid w:val="001C77D7"/>
    <w:rsid w:val="001CF05B"/>
    <w:rsid w:val="001D05CC"/>
    <w:rsid w:val="001D1246"/>
    <w:rsid w:val="001D1411"/>
    <w:rsid w:val="001D146C"/>
    <w:rsid w:val="001D1D85"/>
    <w:rsid w:val="001D2379"/>
    <w:rsid w:val="001D2433"/>
    <w:rsid w:val="001D28A9"/>
    <w:rsid w:val="001D3283"/>
    <w:rsid w:val="001D37D6"/>
    <w:rsid w:val="001D3E88"/>
    <w:rsid w:val="001D44CD"/>
    <w:rsid w:val="001D4566"/>
    <w:rsid w:val="001D484F"/>
    <w:rsid w:val="001D4E5B"/>
    <w:rsid w:val="001D57CF"/>
    <w:rsid w:val="001D5882"/>
    <w:rsid w:val="001D5C24"/>
    <w:rsid w:val="001D5DC0"/>
    <w:rsid w:val="001D5E2E"/>
    <w:rsid w:val="001D6177"/>
    <w:rsid w:val="001D61FB"/>
    <w:rsid w:val="001D64D1"/>
    <w:rsid w:val="001D663B"/>
    <w:rsid w:val="001D689E"/>
    <w:rsid w:val="001D6FF7"/>
    <w:rsid w:val="001D75B1"/>
    <w:rsid w:val="001D7927"/>
    <w:rsid w:val="001D79EB"/>
    <w:rsid w:val="001D7DC8"/>
    <w:rsid w:val="001E032E"/>
    <w:rsid w:val="001E0E0E"/>
    <w:rsid w:val="001E1195"/>
    <w:rsid w:val="001E16CA"/>
    <w:rsid w:val="001E172D"/>
    <w:rsid w:val="001E1F05"/>
    <w:rsid w:val="001E32E2"/>
    <w:rsid w:val="001E3820"/>
    <w:rsid w:val="001E3975"/>
    <w:rsid w:val="001E460F"/>
    <w:rsid w:val="001E4943"/>
    <w:rsid w:val="001E52B3"/>
    <w:rsid w:val="001E6653"/>
    <w:rsid w:val="001E68E8"/>
    <w:rsid w:val="001E7054"/>
    <w:rsid w:val="001E763C"/>
    <w:rsid w:val="001E7A20"/>
    <w:rsid w:val="001F0450"/>
    <w:rsid w:val="001F0FCE"/>
    <w:rsid w:val="001F110D"/>
    <w:rsid w:val="001F1545"/>
    <w:rsid w:val="001F1762"/>
    <w:rsid w:val="001F1855"/>
    <w:rsid w:val="001F2347"/>
    <w:rsid w:val="001F247D"/>
    <w:rsid w:val="001F3603"/>
    <w:rsid w:val="001F3795"/>
    <w:rsid w:val="001F3A86"/>
    <w:rsid w:val="001F4044"/>
    <w:rsid w:val="001F4921"/>
    <w:rsid w:val="001F55D9"/>
    <w:rsid w:val="001F5B43"/>
    <w:rsid w:val="001F67EA"/>
    <w:rsid w:val="001F67FA"/>
    <w:rsid w:val="001F6D78"/>
    <w:rsid w:val="001F6DB8"/>
    <w:rsid w:val="001F7DF1"/>
    <w:rsid w:val="00200B62"/>
    <w:rsid w:val="00200CB6"/>
    <w:rsid w:val="0020153D"/>
    <w:rsid w:val="0020182A"/>
    <w:rsid w:val="00201911"/>
    <w:rsid w:val="00201E35"/>
    <w:rsid w:val="0020245A"/>
    <w:rsid w:val="002024BB"/>
    <w:rsid w:val="00202617"/>
    <w:rsid w:val="00203039"/>
    <w:rsid w:val="002036EB"/>
    <w:rsid w:val="00203CD4"/>
    <w:rsid w:val="00204D2A"/>
    <w:rsid w:val="00205630"/>
    <w:rsid w:val="00205BAE"/>
    <w:rsid w:val="00205EC8"/>
    <w:rsid w:val="00207378"/>
    <w:rsid w:val="0021048A"/>
    <w:rsid w:val="002108B1"/>
    <w:rsid w:val="00211DBF"/>
    <w:rsid w:val="00211F3D"/>
    <w:rsid w:val="00212811"/>
    <w:rsid w:val="00212A6A"/>
    <w:rsid w:val="0021367E"/>
    <w:rsid w:val="002138BB"/>
    <w:rsid w:val="002151CD"/>
    <w:rsid w:val="002152F4"/>
    <w:rsid w:val="00215A0C"/>
    <w:rsid w:val="002161DA"/>
    <w:rsid w:val="00217524"/>
    <w:rsid w:val="0021796F"/>
    <w:rsid w:val="0022013F"/>
    <w:rsid w:val="00220456"/>
    <w:rsid w:val="002208A8"/>
    <w:rsid w:val="00221020"/>
    <w:rsid w:val="00221321"/>
    <w:rsid w:val="00221883"/>
    <w:rsid w:val="00221C2B"/>
    <w:rsid w:val="00221F33"/>
    <w:rsid w:val="0022255E"/>
    <w:rsid w:val="00222602"/>
    <w:rsid w:val="0022282C"/>
    <w:rsid w:val="00222A8C"/>
    <w:rsid w:val="00222D73"/>
    <w:rsid w:val="00222FCD"/>
    <w:rsid w:val="002231BC"/>
    <w:rsid w:val="00223E7F"/>
    <w:rsid w:val="00223F90"/>
    <w:rsid w:val="0022479C"/>
    <w:rsid w:val="00224A11"/>
    <w:rsid w:val="0022554C"/>
    <w:rsid w:val="00226073"/>
    <w:rsid w:val="002261A9"/>
    <w:rsid w:val="00226D52"/>
    <w:rsid w:val="0022708B"/>
    <w:rsid w:val="0022773B"/>
    <w:rsid w:val="00227C19"/>
    <w:rsid w:val="0023005D"/>
    <w:rsid w:val="002304A0"/>
    <w:rsid w:val="0023054E"/>
    <w:rsid w:val="002308C6"/>
    <w:rsid w:val="00231161"/>
    <w:rsid w:val="00231858"/>
    <w:rsid w:val="00232413"/>
    <w:rsid w:val="00232799"/>
    <w:rsid w:val="002329F5"/>
    <w:rsid w:val="0023329B"/>
    <w:rsid w:val="00233710"/>
    <w:rsid w:val="002340BA"/>
    <w:rsid w:val="002347C7"/>
    <w:rsid w:val="00234F0E"/>
    <w:rsid w:val="002362E6"/>
    <w:rsid w:val="00236445"/>
    <w:rsid w:val="002372B7"/>
    <w:rsid w:val="002379B9"/>
    <w:rsid w:val="00237C31"/>
    <w:rsid w:val="00237E55"/>
    <w:rsid w:val="0024026F"/>
    <w:rsid w:val="00240526"/>
    <w:rsid w:val="002406DC"/>
    <w:rsid w:val="00240A83"/>
    <w:rsid w:val="00240AC5"/>
    <w:rsid w:val="00240BA5"/>
    <w:rsid w:val="00240EC8"/>
    <w:rsid w:val="00240F79"/>
    <w:rsid w:val="0024162D"/>
    <w:rsid w:val="00242A84"/>
    <w:rsid w:val="002430C0"/>
    <w:rsid w:val="00243908"/>
    <w:rsid w:val="002439CC"/>
    <w:rsid w:val="00243BBC"/>
    <w:rsid w:val="0024412A"/>
    <w:rsid w:val="00245339"/>
    <w:rsid w:val="00245486"/>
    <w:rsid w:val="00245ACE"/>
    <w:rsid w:val="00246204"/>
    <w:rsid w:val="00246269"/>
    <w:rsid w:val="002474EF"/>
    <w:rsid w:val="00247D47"/>
    <w:rsid w:val="00251166"/>
    <w:rsid w:val="0025348A"/>
    <w:rsid w:val="00253669"/>
    <w:rsid w:val="00253C35"/>
    <w:rsid w:val="00253E6F"/>
    <w:rsid w:val="00253F07"/>
    <w:rsid w:val="00254C6F"/>
    <w:rsid w:val="0025544E"/>
    <w:rsid w:val="002557A8"/>
    <w:rsid w:val="00255C09"/>
    <w:rsid w:val="00255FDD"/>
    <w:rsid w:val="002560A7"/>
    <w:rsid w:val="00256164"/>
    <w:rsid w:val="00260088"/>
    <w:rsid w:val="0026049B"/>
    <w:rsid w:val="00260BBF"/>
    <w:rsid w:val="00260EC6"/>
    <w:rsid w:val="0026109F"/>
    <w:rsid w:val="00261340"/>
    <w:rsid w:val="002614F6"/>
    <w:rsid w:val="0026175D"/>
    <w:rsid w:val="002625A4"/>
    <w:rsid w:val="0026307C"/>
    <w:rsid w:val="00263154"/>
    <w:rsid w:val="00264378"/>
    <w:rsid w:val="00265284"/>
    <w:rsid w:val="002654FA"/>
    <w:rsid w:val="0026551A"/>
    <w:rsid w:val="002658D0"/>
    <w:rsid w:val="0026611F"/>
    <w:rsid w:val="00266571"/>
    <w:rsid w:val="0026671C"/>
    <w:rsid w:val="00266A72"/>
    <w:rsid w:val="00266AAB"/>
    <w:rsid w:val="00266D6D"/>
    <w:rsid w:val="0026709B"/>
    <w:rsid w:val="00267297"/>
    <w:rsid w:val="00267323"/>
    <w:rsid w:val="002702DF"/>
    <w:rsid w:val="002707A4"/>
    <w:rsid w:val="00270AEF"/>
    <w:rsid w:val="0027263B"/>
    <w:rsid w:val="002727E3"/>
    <w:rsid w:val="00273219"/>
    <w:rsid w:val="0027346C"/>
    <w:rsid w:val="0027398D"/>
    <w:rsid w:val="00273FFE"/>
    <w:rsid w:val="00274254"/>
    <w:rsid w:val="00274E5F"/>
    <w:rsid w:val="002755AC"/>
    <w:rsid w:val="002757A8"/>
    <w:rsid w:val="00275B2B"/>
    <w:rsid w:val="00275B55"/>
    <w:rsid w:val="0027678C"/>
    <w:rsid w:val="002768FC"/>
    <w:rsid w:val="00280368"/>
    <w:rsid w:val="002805E4"/>
    <w:rsid w:val="00280B0D"/>
    <w:rsid w:val="00281899"/>
    <w:rsid w:val="002819B0"/>
    <w:rsid w:val="00281E41"/>
    <w:rsid w:val="0028237D"/>
    <w:rsid w:val="002825A8"/>
    <w:rsid w:val="00282C17"/>
    <w:rsid w:val="00283D56"/>
    <w:rsid w:val="002848DE"/>
    <w:rsid w:val="00284BED"/>
    <w:rsid w:val="00284FB3"/>
    <w:rsid w:val="002850A3"/>
    <w:rsid w:val="00286C2B"/>
    <w:rsid w:val="00286CC9"/>
    <w:rsid w:val="0028705C"/>
    <w:rsid w:val="0028749D"/>
    <w:rsid w:val="00287C19"/>
    <w:rsid w:val="00287E68"/>
    <w:rsid w:val="002891E1"/>
    <w:rsid w:val="0029047A"/>
    <w:rsid w:val="00290CEA"/>
    <w:rsid w:val="00290EFC"/>
    <w:rsid w:val="00291695"/>
    <w:rsid w:val="0029196F"/>
    <w:rsid w:val="00291B60"/>
    <w:rsid w:val="00292535"/>
    <w:rsid w:val="00292715"/>
    <w:rsid w:val="00292D21"/>
    <w:rsid w:val="0029315A"/>
    <w:rsid w:val="00293630"/>
    <w:rsid w:val="00293976"/>
    <w:rsid w:val="00293E56"/>
    <w:rsid w:val="002947CF"/>
    <w:rsid w:val="00294F4F"/>
    <w:rsid w:val="00294FD0"/>
    <w:rsid w:val="002951AA"/>
    <w:rsid w:val="002952D0"/>
    <w:rsid w:val="00295AFE"/>
    <w:rsid w:val="00295C00"/>
    <w:rsid w:val="00296B5E"/>
    <w:rsid w:val="002978CF"/>
    <w:rsid w:val="002979E2"/>
    <w:rsid w:val="00297C7E"/>
    <w:rsid w:val="002A08B3"/>
    <w:rsid w:val="002A0EED"/>
    <w:rsid w:val="002A1164"/>
    <w:rsid w:val="002A12E7"/>
    <w:rsid w:val="002A1E0B"/>
    <w:rsid w:val="002A24A7"/>
    <w:rsid w:val="002A2502"/>
    <w:rsid w:val="002A2687"/>
    <w:rsid w:val="002A3072"/>
    <w:rsid w:val="002A30AA"/>
    <w:rsid w:val="002A34AA"/>
    <w:rsid w:val="002A3832"/>
    <w:rsid w:val="002A4384"/>
    <w:rsid w:val="002A4AE4"/>
    <w:rsid w:val="002A4C05"/>
    <w:rsid w:val="002A4C87"/>
    <w:rsid w:val="002A4FE3"/>
    <w:rsid w:val="002A551F"/>
    <w:rsid w:val="002A6B8D"/>
    <w:rsid w:val="002A6FA7"/>
    <w:rsid w:val="002A70BC"/>
    <w:rsid w:val="002A7CA3"/>
    <w:rsid w:val="002B12DD"/>
    <w:rsid w:val="002B1392"/>
    <w:rsid w:val="002B1C73"/>
    <w:rsid w:val="002B291B"/>
    <w:rsid w:val="002B2DED"/>
    <w:rsid w:val="002B2E9F"/>
    <w:rsid w:val="002B2ECB"/>
    <w:rsid w:val="002B33E4"/>
    <w:rsid w:val="002B3874"/>
    <w:rsid w:val="002B3C4A"/>
    <w:rsid w:val="002B3E9C"/>
    <w:rsid w:val="002B494C"/>
    <w:rsid w:val="002B53BC"/>
    <w:rsid w:val="002B6779"/>
    <w:rsid w:val="002B6B92"/>
    <w:rsid w:val="002B6D7C"/>
    <w:rsid w:val="002B702F"/>
    <w:rsid w:val="002B71A1"/>
    <w:rsid w:val="002B72B9"/>
    <w:rsid w:val="002B757B"/>
    <w:rsid w:val="002B7A83"/>
    <w:rsid w:val="002C020C"/>
    <w:rsid w:val="002C080E"/>
    <w:rsid w:val="002C0825"/>
    <w:rsid w:val="002C0B8B"/>
    <w:rsid w:val="002C1374"/>
    <w:rsid w:val="002C165E"/>
    <w:rsid w:val="002C1B04"/>
    <w:rsid w:val="002C1D98"/>
    <w:rsid w:val="002C27AA"/>
    <w:rsid w:val="002C35F6"/>
    <w:rsid w:val="002C3CC3"/>
    <w:rsid w:val="002C3FA4"/>
    <w:rsid w:val="002C4B40"/>
    <w:rsid w:val="002C553C"/>
    <w:rsid w:val="002C5643"/>
    <w:rsid w:val="002C6D50"/>
    <w:rsid w:val="002C72E7"/>
    <w:rsid w:val="002C7F51"/>
    <w:rsid w:val="002D02A8"/>
    <w:rsid w:val="002D038C"/>
    <w:rsid w:val="002D2410"/>
    <w:rsid w:val="002D2A8B"/>
    <w:rsid w:val="002D2DBD"/>
    <w:rsid w:val="002D34E9"/>
    <w:rsid w:val="002D3A9A"/>
    <w:rsid w:val="002D5696"/>
    <w:rsid w:val="002D6668"/>
    <w:rsid w:val="002D6CE4"/>
    <w:rsid w:val="002D6DA4"/>
    <w:rsid w:val="002D7355"/>
    <w:rsid w:val="002D75C0"/>
    <w:rsid w:val="002D7B60"/>
    <w:rsid w:val="002D8EC1"/>
    <w:rsid w:val="002E060E"/>
    <w:rsid w:val="002E164C"/>
    <w:rsid w:val="002E3314"/>
    <w:rsid w:val="002E3675"/>
    <w:rsid w:val="002E3A3B"/>
    <w:rsid w:val="002E3FF4"/>
    <w:rsid w:val="002E43D6"/>
    <w:rsid w:val="002E4415"/>
    <w:rsid w:val="002E4A76"/>
    <w:rsid w:val="002E507A"/>
    <w:rsid w:val="002E5981"/>
    <w:rsid w:val="002E615D"/>
    <w:rsid w:val="002E65EB"/>
    <w:rsid w:val="002E6E63"/>
    <w:rsid w:val="002E71B3"/>
    <w:rsid w:val="002E7362"/>
    <w:rsid w:val="002E7554"/>
    <w:rsid w:val="002E7A7A"/>
    <w:rsid w:val="002E7D48"/>
    <w:rsid w:val="002F009C"/>
    <w:rsid w:val="002F06FB"/>
    <w:rsid w:val="002F0BB5"/>
    <w:rsid w:val="002F0CCE"/>
    <w:rsid w:val="002F0D74"/>
    <w:rsid w:val="002F0E66"/>
    <w:rsid w:val="002F12C7"/>
    <w:rsid w:val="002F17D8"/>
    <w:rsid w:val="002F2058"/>
    <w:rsid w:val="002F2296"/>
    <w:rsid w:val="002F29C4"/>
    <w:rsid w:val="002F39A2"/>
    <w:rsid w:val="002F3C77"/>
    <w:rsid w:val="002F3F7F"/>
    <w:rsid w:val="002F40C4"/>
    <w:rsid w:val="002F4226"/>
    <w:rsid w:val="002F4947"/>
    <w:rsid w:val="002F496E"/>
    <w:rsid w:val="002F5008"/>
    <w:rsid w:val="002F5D92"/>
    <w:rsid w:val="002F6889"/>
    <w:rsid w:val="002F6F32"/>
    <w:rsid w:val="002F72DE"/>
    <w:rsid w:val="0030091E"/>
    <w:rsid w:val="00300DF8"/>
    <w:rsid w:val="00301330"/>
    <w:rsid w:val="003021E0"/>
    <w:rsid w:val="003028C4"/>
    <w:rsid w:val="00302A05"/>
    <w:rsid w:val="00302FCB"/>
    <w:rsid w:val="0030346B"/>
    <w:rsid w:val="0030349E"/>
    <w:rsid w:val="003036A8"/>
    <w:rsid w:val="00303EA3"/>
    <w:rsid w:val="00303F0B"/>
    <w:rsid w:val="0030420B"/>
    <w:rsid w:val="003042B5"/>
    <w:rsid w:val="0030497E"/>
    <w:rsid w:val="00304D73"/>
    <w:rsid w:val="00305D1C"/>
    <w:rsid w:val="00306467"/>
    <w:rsid w:val="00307AC2"/>
    <w:rsid w:val="00307BA4"/>
    <w:rsid w:val="00307F84"/>
    <w:rsid w:val="00310824"/>
    <w:rsid w:val="00310E11"/>
    <w:rsid w:val="0031151F"/>
    <w:rsid w:val="00311EFE"/>
    <w:rsid w:val="003131F7"/>
    <w:rsid w:val="00313455"/>
    <w:rsid w:val="003137AC"/>
    <w:rsid w:val="00314251"/>
    <w:rsid w:val="003144C5"/>
    <w:rsid w:val="00315701"/>
    <w:rsid w:val="00317D76"/>
    <w:rsid w:val="003203FB"/>
    <w:rsid w:val="00320C76"/>
    <w:rsid w:val="00321208"/>
    <w:rsid w:val="0032173C"/>
    <w:rsid w:val="00321839"/>
    <w:rsid w:val="003223D5"/>
    <w:rsid w:val="0032263E"/>
    <w:rsid w:val="00322C88"/>
    <w:rsid w:val="00323342"/>
    <w:rsid w:val="0032362B"/>
    <w:rsid w:val="0032384F"/>
    <w:rsid w:val="00323AAB"/>
    <w:rsid w:val="00324111"/>
    <w:rsid w:val="003243B0"/>
    <w:rsid w:val="0032485E"/>
    <w:rsid w:val="00324861"/>
    <w:rsid w:val="0032491D"/>
    <w:rsid w:val="00324E3A"/>
    <w:rsid w:val="00325168"/>
    <w:rsid w:val="00325204"/>
    <w:rsid w:val="003272E1"/>
    <w:rsid w:val="00327D20"/>
    <w:rsid w:val="00327D86"/>
    <w:rsid w:val="0032B289"/>
    <w:rsid w:val="00330240"/>
    <w:rsid w:val="003308A0"/>
    <w:rsid w:val="00330FFF"/>
    <w:rsid w:val="00331386"/>
    <w:rsid w:val="0033173F"/>
    <w:rsid w:val="00331DC8"/>
    <w:rsid w:val="00331E81"/>
    <w:rsid w:val="003324D8"/>
    <w:rsid w:val="00332522"/>
    <w:rsid w:val="0033367C"/>
    <w:rsid w:val="00333900"/>
    <w:rsid w:val="00334B75"/>
    <w:rsid w:val="00334C76"/>
    <w:rsid w:val="00336097"/>
    <w:rsid w:val="00336D57"/>
    <w:rsid w:val="003375D2"/>
    <w:rsid w:val="00337ADD"/>
    <w:rsid w:val="003403D3"/>
    <w:rsid w:val="003411DF"/>
    <w:rsid w:val="0034186D"/>
    <w:rsid w:val="00341DFA"/>
    <w:rsid w:val="00343D19"/>
    <w:rsid w:val="00343F4C"/>
    <w:rsid w:val="0034409E"/>
    <w:rsid w:val="0034430F"/>
    <w:rsid w:val="00344D0C"/>
    <w:rsid w:val="0034522D"/>
    <w:rsid w:val="00345821"/>
    <w:rsid w:val="00345D9F"/>
    <w:rsid w:val="00346995"/>
    <w:rsid w:val="003470DA"/>
    <w:rsid w:val="00347294"/>
    <w:rsid w:val="00347522"/>
    <w:rsid w:val="003475EE"/>
    <w:rsid w:val="003478E4"/>
    <w:rsid w:val="003501F8"/>
    <w:rsid w:val="00350294"/>
    <w:rsid w:val="00351059"/>
    <w:rsid w:val="00351069"/>
    <w:rsid w:val="00351954"/>
    <w:rsid w:val="00351BFE"/>
    <w:rsid w:val="00351EDD"/>
    <w:rsid w:val="00351FFE"/>
    <w:rsid w:val="003521AB"/>
    <w:rsid w:val="00352726"/>
    <w:rsid w:val="003534D8"/>
    <w:rsid w:val="0035382E"/>
    <w:rsid w:val="00353DDB"/>
    <w:rsid w:val="0035484A"/>
    <w:rsid w:val="00354B22"/>
    <w:rsid w:val="00354C4A"/>
    <w:rsid w:val="00354F22"/>
    <w:rsid w:val="00354FB1"/>
    <w:rsid w:val="00355922"/>
    <w:rsid w:val="003563FC"/>
    <w:rsid w:val="0035667E"/>
    <w:rsid w:val="0035676A"/>
    <w:rsid w:val="00356C00"/>
    <w:rsid w:val="00356D0E"/>
    <w:rsid w:val="00360ABA"/>
    <w:rsid w:val="00361363"/>
    <w:rsid w:val="00361521"/>
    <w:rsid w:val="00362244"/>
    <w:rsid w:val="00362A8C"/>
    <w:rsid w:val="00363FEA"/>
    <w:rsid w:val="00364139"/>
    <w:rsid w:val="003644AE"/>
    <w:rsid w:val="00364E6F"/>
    <w:rsid w:val="003658FC"/>
    <w:rsid w:val="0036631D"/>
    <w:rsid w:val="003664E6"/>
    <w:rsid w:val="0036692F"/>
    <w:rsid w:val="003673F9"/>
    <w:rsid w:val="00367518"/>
    <w:rsid w:val="00367B85"/>
    <w:rsid w:val="00367D00"/>
    <w:rsid w:val="00367DA2"/>
    <w:rsid w:val="00370908"/>
    <w:rsid w:val="003711A2"/>
    <w:rsid w:val="00372262"/>
    <w:rsid w:val="00372E5C"/>
    <w:rsid w:val="00373791"/>
    <w:rsid w:val="00373AE2"/>
    <w:rsid w:val="0037434B"/>
    <w:rsid w:val="003746C3"/>
    <w:rsid w:val="00374DB8"/>
    <w:rsid w:val="00375609"/>
    <w:rsid w:val="0037591F"/>
    <w:rsid w:val="00375C4D"/>
    <w:rsid w:val="003766CB"/>
    <w:rsid w:val="0037695F"/>
    <w:rsid w:val="00376DF2"/>
    <w:rsid w:val="0037705B"/>
    <w:rsid w:val="003778D5"/>
    <w:rsid w:val="00377B44"/>
    <w:rsid w:val="00377DC9"/>
    <w:rsid w:val="00380D5A"/>
    <w:rsid w:val="0038113D"/>
    <w:rsid w:val="00382991"/>
    <w:rsid w:val="00382D9D"/>
    <w:rsid w:val="00382EBA"/>
    <w:rsid w:val="00383B8B"/>
    <w:rsid w:val="003842BD"/>
    <w:rsid w:val="00384812"/>
    <w:rsid w:val="00385404"/>
    <w:rsid w:val="00385624"/>
    <w:rsid w:val="00386B5F"/>
    <w:rsid w:val="00387134"/>
    <w:rsid w:val="0038746B"/>
    <w:rsid w:val="003874DA"/>
    <w:rsid w:val="00387874"/>
    <w:rsid w:val="0038BF7E"/>
    <w:rsid w:val="00390AF4"/>
    <w:rsid w:val="0039109E"/>
    <w:rsid w:val="003919C6"/>
    <w:rsid w:val="00391BAB"/>
    <w:rsid w:val="00391F32"/>
    <w:rsid w:val="0039282B"/>
    <w:rsid w:val="00392F65"/>
    <w:rsid w:val="0039331C"/>
    <w:rsid w:val="003933ED"/>
    <w:rsid w:val="003935F6"/>
    <w:rsid w:val="00393E17"/>
    <w:rsid w:val="0039426C"/>
    <w:rsid w:val="003943F7"/>
    <w:rsid w:val="00394460"/>
    <w:rsid w:val="00394FC5"/>
    <w:rsid w:val="00394FE6"/>
    <w:rsid w:val="003955D5"/>
    <w:rsid w:val="0039569D"/>
    <w:rsid w:val="00395A73"/>
    <w:rsid w:val="00395B67"/>
    <w:rsid w:val="00396947"/>
    <w:rsid w:val="003A09EE"/>
    <w:rsid w:val="003A162B"/>
    <w:rsid w:val="003A2C9A"/>
    <w:rsid w:val="003A2D5C"/>
    <w:rsid w:val="003A3179"/>
    <w:rsid w:val="003A37F0"/>
    <w:rsid w:val="003A3C23"/>
    <w:rsid w:val="003A3E1F"/>
    <w:rsid w:val="003A453F"/>
    <w:rsid w:val="003A574E"/>
    <w:rsid w:val="003A63B3"/>
    <w:rsid w:val="003A7085"/>
    <w:rsid w:val="003A743A"/>
    <w:rsid w:val="003A7491"/>
    <w:rsid w:val="003A75A8"/>
    <w:rsid w:val="003B092C"/>
    <w:rsid w:val="003B0C76"/>
    <w:rsid w:val="003B13F8"/>
    <w:rsid w:val="003B1B48"/>
    <w:rsid w:val="003B2118"/>
    <w:rsid w:val="003B3C48"/>
    <w:rsid w:val="003B4254"/>
    <w:rsid w:val="003B4304"/>
    <w:rsid w:val="003B4514"/>
    <w:rsid w:val="003B5979"/>
    <w:rsid w:val="003B5E42"/>
    <w:rsid w:val="003B6789"/>
    <w:rsid w:val="003B72E2"/>
    <w:rsid w:val="003B72ED"/>
    <w:rsid w:val="003B7831"/>
    <w:rsid w:val="003B7CB1"/>
    <w:rsid w:val="003C0358"/>
    <w:rsid w:val="003C0454"/>
    <w:rsid w:val="003C0976"/>
    <w:rsid w:val="003C0F02"/>
    <w:rsid w:val="003C2A99"/>
    <w:rsid w:val="003C358F"/>
    <w:rsid w:val="003C3782"/>
    <w:rsid w:val="003C436C"/>
    <w:rsid w:val="003C4F2D"/>
    <w:rsid w:val="003C57F5"/>
    <w:rsid w:val="003C58EC"/>
    <w:rsid w:val="003C5F26"/>
    <w:rsid w:val="003C6F68"/>
    <w:rsid w:val="003C6F91"/>
    <w:rsid w:val="003C7660"/>
    <w:rsid w:val="003C7C9C"/>
    <w:rsid w:val="003C7F4F"/>
    <w:rsid w:val="003D0ED1"/>
    <w:rsid w:val="003D1072"/>
    <w:rsid w:val="003D1BFF"/>
    <w:rsid w:val="003D287C"/>
    <w:rsid w:val="003D391E"/>
    <w:rsid w:val="003D391F"/>
    <w:rsid w:val="003D3999"/>
    <w:rsid w:val="003D3F16"/>
    <w:rsid w:val="003D4BE0"/>
    <w:rsid w:val="003D5C49"/>
    <w:rsid w:val="003D7134"/>
    <w:rsid w:val="003D7A7F"/>
    <w:rsid w:val="003D7CF2"/>
    <w:rsid w:val="003E0811"/>
    <w:rsid w:val="003E1371"/>
    <w:rsid w:val="003E1795"/>
    <w:rsid w:val="003E232F"/>
    <w:rsid w:val="003E23B4"/>
    <w:rsid w:val="003E27E8"/>
    <w:rsid w:val="003E2A75"/>
    <w:rsid w:val="003E2C7E"/>
    <w:rsid w:val="003E3922"/>
    <w:rsid w:val="003E44F4"/>
    <w:rsid w:val="003E45DF"/>
    <w:rsid w:val="003E4CB8"/>
    <w:rsid w:val="003E5358"/>
    <w:rsid w:val="003E551A"/>
    <w:rsid w:val="003E597C"/>
    <w:rsid w:val="003E5EF9"/>
    <w:rsid w:val="003E63D7"/>
    <w:rsid w:val="003E64BB"/>
    <w:rsid w:val="003F0057"/>
    <w:rsid w:val="003F0938"/>
    <w:rsid w:val="003F13A6"/>
    <w:rsid w:val="003F211B"/>
    <w:rsid w:val="003F2355"/>
    <w:rsid w:val="003F2B45"/>
    <w:rsid w:val="003F2DCE"/>
    <w:rsid w:val="003F369E"/>
    <w:rsid w:val="003F386C"/>
    <w:rsid w:val="003F3965"/>
    <w:rsid w:val="003F3E6C"/>
    <w:rsid w:val="003F414E"/>
    <w:rsid w:val="003F47FD"/>
    <w:rsid w:val="003F50CF"/>
    <w:rsid w:val="003F5604"/>
    <w:rsid w:val="003F61EB"/>
    <w:rsid w:val="003F640A"/>
    <w:rsid w:val="003F6E65"/>
    <w:rsid w:val="003F762E"/>
    <w:rsid w:val="003F7ECD"/>
    <w:rsid w:val="003F7FDA"/>
    <w:rsid w:val="0040063B"/>
    <w:rsid w:val="00400C1D"/>
    <w:rsid w:val="00400E7E"/>
    <w:rsid w:val="00401128"/>
    <w:rsid w:val="00401458"/>
    <w:rsid w:val="00401CCC"/>
    <w:rsid w:val="00401D4B"/>
    <w:rsid w:val="00401DDB"/>
    <w:rsid w:val="00402655"/>
    <w:rsid w:val="004027E9"/>
    <w:rsid w:val="004035BA"/>
    <w:rsid w:val="00403B74"/>
    <w:rsid w:val="00403FB5"/>
    <w:rsid w:val="004053B1"/>
    <w:rsid w:val="00405927"/>
    <w:rsid w:val="0040597C"/>
    <w:rsid w:val="00405C90"/>
    <w:rsid w:val="00405ECD"/>
    <w:rsid w:val="00406E20"/>
    <w:rsid w:val="0040721B"/>
    <w:rsid w:val="00407239"/>
    <w:rsid w:val="004074D2"/>
    <w:rsid w:val="004077CB"/>
    <w:rsid w:val="00407D88"/>
    <w:rsid w:val="00407E1E"/>
    <w:rsid w:val="00410B62"/>
    <w:rsid w:val="0041102C"/>
    <w:rsid w:val="00411CB7"/>
    <w:rsid w:val="00412279"/>
    <w:rsid w:val="00414A50"/>
    <w:rsid w:val="004166DE"/>
    <w:rsid w:val="004167A1"/>
    <w:rsid w:val="0041691B"/>
    <w:rsid w:val="00416CC7"/>
    <w:rsid w:val="004217A0"/>
    <w:rsid w:val="00421FEB"/>
    <w:rsid w:val="004224F5"/>
    <w:rsid w:val="004225A0"/>
    <w:rsid w:val="0042273E"/>
    <w:rsid w:val="00422A6C"/>
    <w:rsid w:val="00423820"/>
    <w:rsid w:val="0042478D"/>
    <w:rsid w:val="004247F6"/>
    <w:rsid w:val="00424C1C"/>
    <w:rsid w:val="00425369"/>
    <w:rsid w:val="004256B2"/>
    <w:rsid w:val="00425901"/>
    <w:rsid w:val="00426B59"/>
    <w:rsid w:val="00426EC7"/>
    <w:rsid w:val="00427366"/>
    <w:rsid w:val="00430B66"/>
    <w:rsid w:val="00430C99"/>
    <w:rsid w:val="00432F49"/>
    <w:rsid w:val="004334BB"/>
    <w:rsid w:val="0043419D"/>
    <w:rsid w:val="00434A5B"/>
    <w:rsid w:val="00434B14"/>
    <w:rsid w:val="00434FE6"/>
    <w:rsid w:val="004351D7"/>
    <w:rsid w:val="0043524B"/>
    <w:rsid w:val="004352F7"/>
    <w:rsid w:val="00435BC8"/>
    <w:rsid w:val="00435DF4"/>
    <w:rsid w:val="004366AF"/>
    <w:rsid w:val="004368E7"/>
    <w:rsid w:val="00437041"/>
    <w:rsid w:val="004372CF"/>
    <w:rsid w:val="004375BA"/>
    <w:rsid w:val="00437839"/>
    <w:rsid w:val="00437DE2"/>
    <w:rsid w:val="00437EC1"/>
    <w:rsid w:val="00440CAA"/>
    <w:rsid w:val="00440CE9"/>
    <w:rsid w:val="004416D8"/>
    <w:rsid w:val="00441F78"/>
    <w:rsid w:val="00441FD2"/>
    <w:rsid w:val="00442330"/>
    <w:rsid w:val="0044265E"/>
    <w:rsid w:val="00442AF2"/>
    <w:rsid w:val="00442D28"/>
    <w:rsid w:val="00442E9E"/>
    <w:rsid w:val="00443939"/>
    <w:rsid w:val="00444839"/>
    <w:rsid w:val="00444F53"/>
    <w:rsid w:val="00444FCF"/>
    <w:rsid w:val="004450A4"/>
    <w:rsid w:val="004460B0"/>
    <w:rsid w:val="004463EC"/>
    <w:rsid w:val="00446884"/>
    <w:rsid w:val="00446B51"/>
    <w:rsid w:val="004475B0"/>
    <w:rsid w:val="0044775D"/>
    <w:rsid w:val="00450151"/>
    <w:rsid w:val="004503B7"/>
    <w:rsid w:val="00450A67"/>
    <w:rsid w:val="00451513"/>
    <w:rsid w:val="00451B9F"/>
    <w:rsid w:val="00451ECC"/>
    <w:rsid w:val="004524A5"/>
    <w:rsid w:val="0045329A"/>
    <w:rsid w:val="0045383B"/>
    <w:rsid w:val="00453CFC"/>
    <w:rsid w:val="00454469"/>
    <w:rsid w:val="00455DCD"/>
    <w:rsid w:val="00456BF5"/>
    <w:rsid w:val="0045788A"/>
    <w:rsid w:val="004603D8"/>
    <w:rsid w:val="00460832"/>
    <w:rsid w:val="004610CA"/>
    <w:rsid w:val="00461112"/>
    <w:rsid w:val="004611BE"/>
    <w:rsid w:val="0046187D"/>
    <w:rsid w:val="00461918"/>
    <w:rsid w:val="0046281C"/>
    <w:rsid w:val="0046287B"/>
    <w:rsid w:val="00463760"/>
    <w:rsid w:val="00463DB1"/>
    <w:rsid w:val="00463F19"/>
    <w:rsid w:val="00465349"/>
    <w:rsid w:val="004653D2"/>
    <w:rsid w:val="00465AEA"/>
    <w:rsid w:val="00465CAA"/>
    <w:rsid w:val="0046695F"/>
    <w:rsid w:val="004679D5"/>
    <w:rsid w:val="00467F68"/>
    <w:rsid w:val="0046AFC9"/>
    <w:rsid w:val="004700A4"/>
    <w:rsid w:val="004708D7"/>
    <w:rsid w:val="004709AC"/>
    <w:rsid w:val="004720EC"/>
    <w:rsid w:val="00472411"/>
    <w:rsid w:val="00472501"/>
    <w:rsid w:val="004727A4"/>
    <w:rsid w:val="00472A65"/>
    <w:rsid w:val="00474498"/>
    <w:rsid w:val="00474F8A"/>
    <w:rsid w:val="00475824"/>
    <w:rsid w:val="004760C1"/>
    <w:rsid w:val="00476489"/>
    <w:rsid w:val="00476509"/>
    <w:rsid w:val="0047688B"/>
    <w:rsid w:val="004772C9"/>
    <w:rsid w:val="0048014B"/>
    <w:rsid w:val="00480D83"/>
    <w:rsid w:val="00480E3D"/>
    <w:rsid w:val="004810A9"/>
    <w:rsid w:val="00481281"/>
    <w:rsid w:val="00481716"/>
    <w:rsid w:val="00481AB9"/>
    <w:rsid w:val="00482395"/>
    <w:rsid w:val="004827A2"/>
    <w:rsid w:val="00482E6E"/>
    <w:rsid w:val="004843DF"/>
    <w:rsid w:val="00484922"/>
    <w:rsid w:val="00484DBC"/>
    <w:rsid w:val="004854D4"/>
    <w:rsid w:val="00485760"/>
    <w:rsid w:val="0048596C"/>
    <w:rsid w:val="00485BCF"/>
    <w:rsid w:val="00486675"/>
    <w:rsid w:val="00490747"/>
    <w:rsid w:val="00490D77"/>
    <w:rsid w:val="00491186"/>
    <w:rsid w:val="004914AC"/>
    <w:rsid w:val="00492518"/>
    <w:rsid w:val="00492821"/>
    <w:rsid w:val="00492DFB"/>
    <w:rsid w:val="0049436C"/>
    <w:rsid w:val="0049451F"/>
    <w:rsid w:val="00494712"/>
    <w:rsid w:val="00495413"/>
    <w:rsid w:val="00495AB0"/>
    <w:rsid w:val="00495CE1"/>
    <w:rsid w:val="00496463"/>
    <w:rsid w:val="00496F77"/>
    <w:rsid w:val="0049750D"/>
    <w:rsid w:val="00497B00"/>
    <w:rsid w:val="004A0D10"/>
    <w:rsid w:val="004A1639"/>
    <w:rsid w:val="004A16D7"/>
    <w:rsid w:val="004A1947"/>
    <w:rsid w:val="004A1B96"/>
    <w:rsid w:val="004A21DB"/>
    <w:rsid w:val="004A2880"/>
    <w:rsid w:val="004A2918"/>
    <w:rsid w:val="004A312F"/>
    <w:rsid w:val="004A3249"/>
    <w:rsid w:val="004A45EE"/>
    <w:rsid w:val="004A4638"/>
    <w:rsid w:val="004A4814"/>
    <w:rsid w:val="004A4899"/>
    <w:rsid w:val="004A615C"/>
    <w:rsid w:val="004A6429"/>
    <w:rsid w:val="004A64F9"/>
    <w:rsid w:val="004A6F5E"/>
    <w:rsid w:val="004A707C"/>
    <w:rsid w:val="004A7699"/>
    <w:rsid w:val="004A772A"/>
    <w:rsid w:val="004B0724"/>
    <w:rsid w:val="004B0915"/>
    <w:rsid w:val="004B094F"/>
    <w:rsid w:val="004B0ACA"/>
    <w:rsid w:val="004B0C5F"/>
    <w:rsid w:val="004B1629"/>
    <w:rsid w:val="004B22CC"/>
    <w:rsid w:val="004B24CB"/>
    <w:rsid w:val="004B3203"/>
    <w:rsid w:val="004B3556"/>
    <w:rsid w:val="004B3FB4"/>
    <w:rsid w:val="004B44D9"/>
    <w:rsid w:val="004B4667"/>
    <w:rsid w:val="004B475E"/>
    <w:rsid w:val="004B4BD8"/>
    <w:rsid w:val="004B4E75"/>
    <w:rsid w:val="004B5207"/>
    <w:rsid w:val="004B5E31"/>
    <w:rsid w:val="004B6021"/>
    <w:rsid w:val="004B6212"/>
    <w:rsid w:val="004B691B"/>
    <w:rsid w:val="004B7446"/>
    <w:rsid w:val="004B7BD7"/>
    <w:rsid w:val="004C0190"/>
    <w:rsid w:val="004C0672"/>
    <w:rsid w:val="004C10EA"/>
    <w:rsid w:val="004C18E4"/>
    <w:rsid w:val="004C2236"/>
    <w:rsid w:val="004C24CD"/>
    <w:rsid w:val="004C26B5"/>
    <w:rsid w:val="004C27D3"/>
    <w:rsid w:val="004C37D0"/>
    <w:rsid w:val="004C4211"/>
    <w:rsid w:val="004C4AC5"/>
    <w:rsid w:val="004C529A"/>
    <w:rsid w:val="004C56F2"/>
    <w:rsid w:val="004C59DE"/>
    <w:rsid w:val="004C5A7C"/>
    <w:rsid w:val="004C61FD"/>
    <w:rsid w:val="004C68A1"/>
    <w:rsid w:val="004C6A1A"/>
    <w:rsid w:val="004C72D8"/>
    <w:rsid w:val="004C72F7"/>
    <w:rsid w:val="004C753C"/>
    <w:rsid w:val="004C75F7"/>
    <w:rsid w:val="004D09B4"/>
    <w:rsid w:val="004D0BE0"/>
    <w:rsid w:val="004D1581"/>
    <w:rsid w:val="004D17FE"/>
    <w:rsid w:val="004D18DE"/>
    <w:rsid w:val="004D22EA"/>
    <w:rsid w:val="004D26A6"/>
    <w:rsid w:val="004D2DF5"/>
    <w:rsid w:val="004D2E6B"/>
    <w:rsid w:val="004D31BE"/>
    <w:rsid w:val="004D3419"/>
    <w:rsid w:val="004D476A"/>
    <w:rsid w:val="004D4F55"/>
    <w:rsid w:val="004D5A76"/>
    <w:rsid w:val="004D5ADB"/>
    <w:rsid w:val="004D6C6F"/>
    <w:rsid w:val="004D7ECE"/>
    <w:rsid w:val="004E0B21"/>
    <w:rsid w:val="004E1D50"/>
    <w:rsid w:val="004E2692"/>
    <w:rsid w:val="004E2D60"/>
    <w:rsid w:val="004E31EE"/>
    <w:rsid w:val="004E3DD7"/>
    <w:rsid w:val="004E44C4"/>
    <w:rsid w:val="004E4E4C"/>
    <w:rsid w:val="004E5BEF"/>
    <w:rsid w:val="004E5C8C"/>
    <w:rsid w:val="004E62F8"/>
    <w:rsid w:val="004E6D45"/>
    <w:rsid w:val="004E739D"/>
    <w:rsid w:val="004E74A3"/>
    <w:rsid w:val="004E74CE"/>
    <w:rsid w:val="004E7A9C"/>
    <w:rsid w:val="004F005F"/>
    <w:rsid w:val="004F00A1"/>
    <w:rsid w:val="004F040F"/>
    <w:rsid w:val="004F08A4"/>
    <w:rsid w:val="004F0E8B"/>
    <w:rsid w:val="004F13A9"/>
    <w:rsid w:val="004F1608"/>
    <w:rsid w:val="004F19C8"/>
    <w:rsid w:val="004F2094"/>
    <w:rsid w:val="004F233D"/>
    <w:rsid w:val="004F2B1B"/>
    <w:rsid w:val="004F32B2"/>
    <w:rsid w:val="004F33A1"/>
    <w:rsid w:val="004F3457"/>
    <w:rsid w:val="004F3A23"/>
    <w:rsid w:val="004F4648"/>
    <w:rsid w:val="004F48B8"/>
    <w:rsid w:val="004F5BE1"/>
    <w:rsid w:val="004F6235"/>
    <w:rsid w:val="004F645A"/>
    <w:rsid w:val="004F648E"/>
    <w:rsid w:val="004F69A2"/>
    <w:rsid w:val="004F6EE9"/>
    <w:rsid w:val="004F7652"/>
    <w:rsid w:val="004F7750"/>
    <w:rsid w:val="004F7B15"/>
    <w:rsid w:val="004F7CA7"/>
    <w:rsid w:val="004F7E91"/>
    <w:rsid w:val="005001CE"/>
    <w:rsid w:val="005008BD"/>
    <w:rsid w:val="00500916"/>
    <w:rsid w:val="00500E21"/>
    <w:rsid w:val="00501AAA"/>
    <w:rsid w:val="00502003"/>
    <w:rsid w:val="0050292D"/>
    <w:rsid w:val="00502F28"/>
    <w:rsid w:val="0050316D"/>
    <w:rsid w:val="00503B65"/>
    <w:rsid w:val="00503DE5"/>
    <w:rsid w:val="00504D2B"/>
    <w:rsid w:val="00505D34"/>
    <w:rsid w:val="00506643"/>
    <w:rsid w:val="00506707"/>
    <w:rsid w:val="00506791"/>
    <w:rsid w:val="00507137"/>
    <w:rsid w:val="005074D6"/>
    <w:rsid w:val="00510469"/>
    <w:rsid w:val="00511135"/>
    <w:rsid w:val="00511453"/>
    <w:rsid w:val="00511C8F"/>
    <w:rsid w:val="00511D5D"/>
    <w:rsid w:val="005125FD"/>
    <w:rsid w:val="005128E2"/>
    <w:rsid w:val="00513808"/>
    <w:rsid w:val="00514819"/>
    <w:rsid w:val="0051487A"/>
    <w:rsid w:val="00514A8C"/>
    <w:rsid w:val="005150F2"/>
    <w:rsid w:val="00516423"/>
    <w:rsid w:val="00517047"/>
    <w:rsid w:val="005170C3"/>
    <w:rsid w:val="0051766B"/>
    <w:rsid w:val="00517BCD"/>
    <w:rsid w:val="00517D8B"/>
    <w:rsid w:val="00517F56"/>
    <w:rsid w:val="00517FAF"/>
    <w:rsid w:val="00519A1A"/>
    <w:rsid w:val="00520414"/>
    <w:rsid w:val="00520E0C"/>
    <w:rsid w:val="00521271"/>
    <w:rsid w:val="00521523"/>
    <w:rsid w:val="00521D24"/>
    <w:rsid w:val="005222E3"/>
    <w:rsid w:val="005227A0"/>
    <w:rsid w:val="00522F6F"/>
    <w:rsid w:val="00522FE7"/>
    <w:rsid w:val="00523460"/>
    <w:rsid w:val="00523BCC"/>
    <w:rsid w:val="00523DBF"/>
    <w:rsid w:val="00524226"/>
    <w:rsid w:val="00524456"/>
    <w:rsid w:val="0052536C"/>
    <w:rsid w:val="0052571B"/>
    <w:rsid w:val="00525EC7"/>
    <w:rsid w:val="00526539"/>
    <w:rsid w:val="0052689A"/>
    <w:rsid w:val="00526F1C"/>
    <w:rsid w:val="00527231"/>
    <w:rsid w:val="00527CCB"/>
    <w:rsid w:val="00530929"/>
    <w:rsid w:val="00530932"/>
    <w:rsid w:val="00530AE9"/>
    <w:rsid w:val="00532735"/>
    <w:rsid w:val="00533DDE"/>
    <w:rsid w:val="005350C6"/>
    <w:rsid w:val="0053526E"/>
    <w:rsid w:val="005356F0"/>
    <w:rsid w:val="00535F53"/>
    <w:rsid w:val="005368D1"/>
    <w:rsid w:val="005369E0"/>
    <w:rsid w:val="00537013"/>
    <w:rsid w:val="005374D1"/>
    <w:rsid w:val="005375A7"/>
    <w:rsid w:val="005377B6"/>
    <w:rsid w:val="0053793E"/>
    <w:rsid w:val="00540203"/>
    <w:rsid w:val="0054056A"/>
    <w:rsid w:val="005405BD"/>
    <w:rsid w:val="00541278"/>
    <w:rsid w:val="0054132B"/>
    <w:rsid w:val="0054152A"/>
    <w:rsid w:val="00542059"/>
    <w:rsid w:val="00542CDD"/>
    <w:rsid w:val="00542CDF"/>
    <w:rsid w:val="00543DDF"/>
    <w:rsid w:val="00544062"/>
    <w:rsid w:val="005458B7"/>
    <w:rsid w:val="00546C50"/>
    <w:rsid w:val="0054727D"/>
    <w:rsid w:val="00547421"/>
    <w:rsid w:val="005478C8"/>
    <w:rsid w:val="00547997"/>
    <w:rsid w:val="00547C17"/>
    <w:rsid w:val="00547D33"/>
    <w:rsid w:val="005500E1"/>
    <w:rsid w:val="00550A8B"/>
    <w:rsid w:val="00550B90"/>
    <w:rsid w:val="00550BC4"/>
    <w:rsid w:val="00551789"/>
    <w:rsid w:val="00552148"/>
    <w:rsid w:val="00552308"/>
    <w:rsid w:val="005527D0"/>
    <w:rsid w:val="00552CFD"/>
    <w:rsid w:val="005531CD"/>
    <w:rsid w:val="00553751"/>
    <w:rsid w:val="00553D15"/>
    <w:rsid w:val="00553DFB"/>
    <w:rsid w:val="0055428B"/>
    <w:rsid w:val="00554EA8"/>
    <w:rsid w:val="00554ECB"/>
    <w:rsid w:val="0055504A"/>
    <w:rsid w:val="005556C1"/>
    <w:rsid w:val="00555BA6"/>
    <w:rsid w:val="0055634E"/>
    <w:rsid w:val="0055651E"/>
    <w:rsid w:val="00556978"/>
    <w:rsid w:val="00556C14"/>
    <w:rsid w:val="00556D23"/>
    <w:rsid w:val="005570E2"/>
    <w:rsid w:val="0055798A"/>
    <w:rsid w:val="00557C6B"/>
    <w:rsid w:val="00557C8A"/>
    <w:rsid w:val="00560686"/>
    <w:rsid w:val="00560CF3"/>
    <w:rsid w:val="00561C7F"/>
    <w:rsid w:val="00561F2E"/>
    <w:rsid w:val="00561F54"/>
    <w:rsid w:val="0056220B"/>
    <w:rsid w:val="0056272A"/>
    <w:rsid w:val="00562C39"/>
    <w:rsid w:val="00562F83"/>
    <w:rsid w:val="00563428"/>
    <w:rsid w:val="005636F6"/>
    <w:rsid w:val="00564562"/>
    <w:rsid w:val="00564886"/>
    <w:rsid w:val="00564F8E"/>
    <w:rsid w:val="005650D2"/>
    <w:rsid w:val="00565309"/>
    <w:rsid w:val="005667E7"/>
    <w:rsid w:val="005669FC"/>
    <w:rsid w:val="00566D0C"/>
    <w:rsid w:val="00566F7E"/>
    <w:rsid w:val="00567DBB"/>
    <w:rsid w:val="00570364"/>
    <w:rsid w:val="00571CCC"/>
    <w:rsid w:val="0057463E"/>
    <w:rsid w:val="00574762"/>
    <w:rsid w:val="00575506"/>
    <w:rsid w:val="00575C3B"/>
    <w:rsid w:val="00575C93"/>
    <w:rsid w:val="00575DC0"/>
    <w:rsid w:val="00577299"/>
    <w:rsid w:val="00577789"/>
    <w:rsid w:val="0057790B"/>
    <w:rsid w:val="005802C4"/>
    <w:rsid w:val="005805F6"/>
    <w:rsid w:val="0058100B"/>
    <w:rsid w:val="005817E2"/>
    <w:rsid w:val="00581E53"/>
    <w:rsid w:val="0058256E"/>
    <w:rsid w:val="005827EA"/>
    <w:rsid w:val="0058283E"/>
    <w:rsid w:val="00582DB4"/>
    <w:rsid w:val="00583701"/>
    <w:rsid w:val="00583CC3"/>
    <w:rsid w:val="00583DBE"/>
    <w:rsid w:val="0058524C"/>
    <w:rsid w:val="0058669C"/>
    <w:rsid w:val="00586783"/>
    <w:rsid w:val="0059126B"/>
    <w:rsid w:val="00591B77"/>
    <w:rsid w:val="00591F63"/>
    <w:rsid w:val="00592DF8"/>
    <w:rsid w:val="00592E91"/>
    <w:rsid w:val="00592EAF"/>
    <w:rsid w:val="005930FB"/>
    <w:rsid w:val="005936A3"/>
    <w:rsid w:val="005940CB"/>
    <w:rsid w:val="00594C08"/>
    <w:rsid w:val="00594EF1"/>
    <w:rsid w:val="005950BF"/>
    <w:rsid w:val="0059562D"/>
    <w:rsid w:val="00595A00"/>
    <w:rsid w:val="00596658"/>
    <w:rsid w:val="005968E0"/>
    <w:rsid w:val="00596F95"/>
    <w:rsid w:val="0059774C"/>
    <w:rsid w:val="00597992"/>
    <w:rsid w:val="00597D11"/>
    <w:rsid w:val="005A0118"/>
    <w:rsid w:val="005A0E80"/>
    <w:rsid w:val="005A0F66"/>
    <w:rsid w:val="005A1358"/>
    <w:rsid w:val="005A1600"/>
    <w:rsid w:val="005A2EE8"/>
    <w:rsid w:val="005A3218"/>
    <w:rsid w:val="005A3251"/>
    <w:rsid w:val="005A389A"/>
    <w:rsid w:val="005A3A39"/>
    <w:rsid w:val="005A4571"/>
    <w:rsid w:val="005A4D0D"/>
    <w:rsid w:val="005A4F8A"/>
    <w:rsid w:val="005A5B67"/>
    <w:rsid w:val="005A5E37"/>
    <w:rsid w:val="005A61CE"/>
    <w:rsid w:val="005A6EC9"/>
    <w:rsid w:val="005A7861"/>
    <w:rsid w:val="005A7B5C"/>
    <w:rsid w:val="005A7B6D"/>
    <w:rsid w:val="005A7BF0"/>
    <w:rsid w:val="005B0EBA"/>
    <w:rsid w:val="005B1967"/>
    <w:rsid w:val="005B2298"/>
    <w:rsid w:val="005B2B20"/>
    <w:rsid w:val="005B31FC"/>
    <w:rsid w:val="005B34E2"/>
    <w:rsid w:val="005B4E90"/>
    <w:rsid w:val="005B4FB5"/>
    <w:rsid w:val="005B6140"/>
    <w:rsid w:val="005B6220"/>
    <w:rsid w:val="005B68B0"/>
    <w:rsid w:val="005B6A57"/>
    <w:rsid w:val="005B77B6"/>
    <w:rsid w:val="005C0582"/>
    <w:rsid w:val="005C1C86"/>
    <w:rsid w:val="005C202E"/>
    <w:rsid w:val="005C2036"/>
    <w:rsid w:val="005C2228"/>
    <w:rsid w:val="005C22BB"/>
    <w:rsid w:val="005C30B9"/>
    <w:rsid w:val="005C3B1F"/>
    <w:rsid w:val="005C4A7D"/>
    <w:rsid w:val="005C5DED"/>
    <w:rsid w:val="005C5F70"/>
    <w:rsid w:val="005C6D75"/>
    <w:rsid w:val="005C6E4D"/>
    <w:rsid w:val="005C6F40"/>
    <w:rsid w:val="005C6F76"/>
    <w:rsid w:val="005C70ED"/>
    <w:rsid w:val="005C773D"/>
    <w:rsid w:val="005D00CC"/>
    <w:rsid w:val="005D01BF"/>
    <w:rsid w:val="005D0218"/>
    <w:rsid w:val="005D0C05"/>
    <w:rsid w:val="005D2B44"/>
    <w:rsid w:val="005D2DE2"/>
    <w:rsid w:val="005D38AF"/>
    <w:rsid w:val="005D3D9E"/>
    <w:rsid w:val="005D3EA2"/>
    <w:rsid w:val="005D3F42"/>
    <w:rsid w:val="005D4898"/>
    <w:rsid w:val="005D4DB5"/>
    <w:rsid w:val="005D59FF"/>
    <w:rsid w:val="005D6221"/>
    <w:rsid w:val="005D6257"/>
    <w:rsid w:val="005D65AE"/>
    <w:rsid w:val="005D66B7"/>
    <w:rsid w:val="005D7AD4"/>
    <w:rsid w:val="005DD12F"/>
    <w:rsid w:val="005E0CA8"/>
    <w:rsid w:val="005E0E7B"/>
    <w:rsid w:val="005E1234"/>
    <w:rsid w:val="005E1BCA"/>
    <w:rsid w:val="005E2256"/>
    <w:rsid w:val="005E25F4"/>
    <w:rsid w:val="005E27D5"/>
    <w:rsid w:val="005E286E"/>
    <w:rsid w:val="005E2A28"/>
    <w:rsid w:val="005E3595"/>
    <w:rsid w:val="005E3AAC"/>
    <w:rsid w:val="005E4007"/>
    <w:rsid w:val="005E4104"/>
    <w:rsid w:val="005E4A59"/>
    <w:rsid w:val="005E50A1"/>
    <w:rsid w:val="005E50F9"/>
    <w:rsid w:val="005E5116"/>
    <w:rsid w:val="005E53E9"/>
    <w:rsid w:val="005E6A34"/>
    <w:rsid w:val="005E6D74"/>
    <w:rsid w:val="005E76AB"/>
    <w:rsid w:val="005E7D7D"/>
    <w:rsid w:val="005E7E5C"/>
    <w:rsid w:val="005F009D"/>
    <w:rsid w:val="005F121F"/>
    <w:rsid w:val="005F1354"/>
    <w:rsid w:val="005F28B0"/>
    <w:rsid w:val="005F2A30"/>
    <w:rsid w:val="005F31F7"/>
    <w:rsid w:val="005F3309"/>
    <w:rsid w:val="005F418C"/>
    <w:rsid w:val="005F41BF"/>
    <w:rsid w:val="005F4F70"/>
    <w:rsid w:val="005F5017"/>
    <w:rsid w:val="005F5B57"/>
    <w:rsid w:val="005F62DB"/>
    <w:rsid w:val="005F6BDA"/>
    <w:rsid w:val="005F6F11"/>
    <w:rsid w:val="005F77C2"/>
    <w:rsid w:val="00600A9C"/>
    <w:rsid w:val="00600C13"/>
    <w:rsid w:val="006014FF"/>
    <w:rsid w:val="00602286"/>
    <w:rsid w:val="00603F9A"/>
    <w:rsid w:val="006042D6"/>
    <w:rsid w:val="00604D6B"/>
    <w:rsid w:val="0060533F"/>
    <w:rsid w:val="006056DA"/>
    <w:rsid w:val="00605855"/>
    <w:rsid w:val="00605BD5"/>
    <w:rsid w:val="00606337"/>
    <w:rsid w:val="0060752D"/>
    <w:rsid w:val="0060788F"/>
    <w:rsid w:val="00610D5F"/>
    <w:rsid w:val="00612698"/>
    <w:rsid w:val="00612939"/>
    <w:rsid w:val="00612DA6"/>
    <w:rsid w:val="00614111"/>
    <w:rsid w:val="00614433"/>
    <w:rsid w:val="00614DB1"/>
    <w:rsid w:val="00614E0C"/>
    <w:rsid w:val="00614E12"/>
    <w:rsid w:val="006150CF"/>
    <w:rsid w:val="0061581C"/>
    <w:rsid w:val="00615A39"/>
    <w:rsid w:val="00616DF9"/>
    <w:rsid w:val="006172F7"/>
    <w:rsid w:val="00617573"/>
    <w:rsid w:val="00617B07"/>
    <w:rsid w:val="00620CD6"/>
    <w:rsid w:val="00621071"/>
    <w:rsid w:val="006210CD"/>
    <w:rsid w:val="00621D88"/>
    <w:rsid w:val="00622739"/>
    <w:rsid w:val="00622F79"/>
    <w:rsid w:val="006232B4"/>
    <w:rsid w:val="006233FF"/>
    <w:rsid w:val="0062377A"/>
    <w:rsid w:val="00623902"/>
    <w:rsid w:val="00623EB4"/>
    <w:rsid w:val="00623F84"/>
    <w:rsid w:val="00624062"/>
    <w:rsid w:val="0062426A"/>
    <w:rsid w:val="00624D2B"/>
    <w:rsid w:val="00625265"/>
    <w:rsid w:val="0062541A"/>
    <w:rsid w:val="0062557C"/>
    <w:rsid w:val="00625729"/>
    <w:rsid w:val="00626322"/>
    <w:rsid w:val="00626434"/>
    <w:rsid w:val="00626B00"/>
    <w:rsid w:val="006274FF"/>
    <w:rsid w:val="006314DF"/>
    <w:rsid w:val="0063185C"/>
    <w:rsid w:val="00631915"/>
    <w:rsid w:val="0063259F"/>
    <w:rsid w:val="00632B70"/>
    <w:rsid w:val="00633118"/>
    <w:rsid w:val="00634127"/>
    <w:rsid w:val="006354E0"/>
    <w:rsid w:val="00636FE7"/>
    <w:rsid w:val="00637459"/>
    <w:rsid w:val="006376AA"/>
    <w:rsid w:val="0064092C"/>
    <w:rsid w:val="00640C7F"/>
    <w:rsid w:val="00641BCA"/>
    <w:rsid w:val="00642000"/>
    <w:rsid w:val="0064238F"/>
    <w:rsid w:val="00643173"/>
    <w:rsid w:val="00644664"/>
    <w:rsid w:val="00644AED"/>
    <w:rsid w:val="00644B84"/>
    <w:rsid w:val="00644C16"/>
    <w:rsid w:val="00645857"/>
    <w:rsid w:val="00645C64"/>
    <w:rsid w:val="00645F7F"/>
    <w:rsid w:val="006464E8"/>
    <w:rsid w:val="0065085F"/>
    <w:rsid w:val="00650DAD"/>
    <w:rsid w:val="00651635"/>
    <w:rsid w:val="00651832"/>
    <w:rsid w:val="006518E7"/>
    <w:rsid w:val="00651E3F"/>
    <w:rsid w:val="006520EF"/>
    <w:rsid w:val="0065222F"/>
    <w:rsid w:val="00652852"/>
    <w:rsid w:val="00652F86"/>
    <w:rsid w:val="00652FAD"/>
    <w:rsid w:val="00653A85"/>
    <w:rsid w:val="00653B1D"/>
    <w:rsid w:val="00653FCF"/>
    <w:rsid w:val="0065450C"/>
    <w:rsid w:val="0065486E"/>
    <w:rsid w:val="00654A81"/>
    <w:rsid w:val="00654FB1"/>
    <w:rsid w:val="00655277"/>
    <w:rsid w:val="00655576"/>
    <w:rsid w:val="00655E2A"/>
    <w:rsid w:val="00655E4E"/>
    <w:rsid w:val="0065662E"/>
    <w:rsid w:val="0065689B"/>
    <w:rsid w:val="006570E4"/>
    <w:rsid w:val="00657526"/>
    <w:rsid w:val="006577CE"/>
    <w:rsid w:val="0065F9BE"/>
    <w:rsid w:val="00660B61"/>
    <w:rsid w:val="006613BE"/>
    <w:rsid w:val="00661EBD"/>
    <w:rsid w:val="006622C6"/>
    <w:rsid w:val="006624F3"/>
    <w:rsid w:val="0066279D"/>
    <w:rsid w:val="006633E9"/>
    <w:rsid w:val="006639D1"/>
    <w:rsid w:val="00664D84"/>
    <w:rsid w:val="00666284"/>
    <w:rsid w:val="0066654B"/>
    <w:rsid w:val="006673BE"/>
    <w:rsid w:val="0066758C"/>
    <w:rsid w:val="00667E82"/>
    <w:rsid w:val="00670318"/>
    <w:rsid w:val="00670409"/>
    <w:rsid w:val="006719F6"/>
    <w:rsid w:val="00671BE3"/>
    <w:rsid w:val="0067292F"/>
    <w:rsid w:val="00672F63"/>
    <w:rsid w:val="00674058"/>
    <w:rsid w:val="006749DE"/>
    <w:rsid w:val="00674A81"/>
    <w:rsid w:val="00674CD9"/>
    <w:rsid w:val="00675DAD"/>
    <w:rsid w:val="00676208"/>
    <w:rsid w:val="00677792"/>
    <w:rsid w:val="00677ACA"/>
    <w:rsid w:val="00677ED0"/>
    <w:rsid w:val="00680D2D"/>
    <w:rsid w:val="006814E7"/>
    <w:rsid w:val="006815D6"/>
    <w:rsid w:val="00681BEF"/>
    <w:rsid w:val="0068246C"/>
    <w:rsid w:val="00683B58"/>
    <w:rsid w:val="006841CE"/>
    <w:rsid w:val="006842BA"/>
    <w:rsid w:val="006848DD"/>
    <w:rsid w:val="00685A3A"/>
    <w:rsid w:val="00685FC1"/>
    <w:rsid w:val="0068622A"/>
    <w:rsid w:val="006862F5"/>
    <w:rsid w:val="006865EA"/>
    <w:rsid w:val="006867A1"/>
    <w:rsid w:val="006868FE"/>
    <w:rsid w:val="00686F26"/>
    <w:rsid w:val="006876F3"/>
    <w:rsid w:val="006903BC"/>
    <w:rsid w:val="00690625"/>
    <w:rsid w:val="00690DBD"/>
    <w:rsid w:val="006914CE"/>
    <w:rsid w:val="00691E5A"/>
    <w:rsid w:val="00695116"/>
    <w:rsid w:val="006972AA"/>
    <w:rsid w:val="0069741A"/>
    <w:rsid w:val="00697A96"/>
    <w:rsid w:val="006A02BC"/>
    <w:rsid w:val="006A0499"/>
    <w:rsid w:val="006A04C3"/>
    <w:rsid w:val="006A0B03"/>
    <w:rsid w:val="006A0EEB"/>
    <w:rsid w:val="006A1783"/>
    <w:rsid w:val="006A27F6"/>
    <w:rsid w:val="006A2D8E"/>
    <w:rsid w:val="006A39BF"/>
    <w:rsid w:val="006A3E63"/>
    <w:rsid w:val="006A4850"/>
    <w:rsid w:val="006A576F"/>
    <w:rsid w:val="006A5A2E"/>
    <w:rsid w:val="006A5A37"/>
    <w:rsid w:val="006A5EE6"/>
    <w:rsid w:val="006A6EAF"/>
    <w:rsid w:val="006A78D3"/>
    <w:rsid w:val="006A794F"/>
    <w:rsid w:val="006B08E4"/>
    <w:rsid w:val="006B0BFC"/>
    <w:rsid w:val="006B0D7D"/>
    <w:rsid w:val="006B114F"/>
    <w:rsid w:val="006B18C9"/>
    <w:rsid w:val="006B1903"/>
    <w:rsid w:val="006B1B85"/>
    <w:rsid w:val="006B2FB7"/>
    <w:rsid w:val="006B53F5"/>
    <w:rsid w:val="006B5F53"/>
    <w:rsid w:val="006B639F"/>
    <w:rsid w:val="006B6426"/>
    <w:rsid w:val="006B6E6D"/>
    <w:rsid w:val="006B6EF9"/>
    <w:rsid w:val="006B7A7A"/>
    <w:rsid w:val="006B7E6E"/>
    <w:rsid w:val="006C0122"/>
    <w:rsid w:val="006C0462"/>
    <w:rsid w:val="006C1934"/>
    <w:rsid w:val="006C1D1D"/>
    <w:rsid w:val="006C21D9"/>
    <w:rsid w:val="006C241A"/>
    <w:rsid w:val="006C319F"/>
    <w:rsid w:val="006C42AC"/>
    <w:rsid w:val="006C4B51"/>
    <w:rsid w:val="006C4B84"/>
    <w:rsid w:val="006C518D"/>
    <w:rsid w:val="006C5550"/>
    <w:rsid w:val="006C5959"/>
    <w:rsid w:val="006C5FC9"/>
    <w:rsid w:val="006C66AD"/>
    <w:rsid w:val="006C6A49"/>
    <w:rsid w:val="006C6C5A"/>
    <w:rsid w:val="006C71FF"/>
    <w:rsid w:val="006C735C"/>
    <w:rsid w:val="006C75DA"/>
    <w:rsid w:val="006C7867"/>
    <w:rsid w:val="006D03B0"/>
    <w:rsid w:val="006D062E"/>
    <w:rsid w:val="006D0753"/>
    <w:rsid w:val="006D0E54"/>
    <w:rsid w:val="006D212E"/>
    <w:rsid w:val="006D2283"/>
    <w:rsid w:val="006D2289"/>
    <w:rsid w:val="006D2735"/>
    <w:rsid w:val="006D2A28"/>
    <w:rsid w:val="006D2F97"/>
    <w:rsid w:val="006D3665"/>
    <w:rsid w:val="006D3AC2"/>
    <w:rsid w:val="006D406D"/>
    <w:rsid w:val="006D426D"/>
    <w:rsid w:val="006D4699"/>
    <w:rsid w:val="006D48C6"/>
    <w:rsid w:val="006D4BC3"/>
    <w:rsid w:val="006D4F68"/>
    <w:rsid w:val="006D4F8C"/>
    <w:rsid w:val="006D5016"/>
    <w:rsid w:val="006D57EF"/>
    <w:rsid w:val="006D58F3"/>
    <w:rsid w:val="006D6796"/>
    <w:rsid w:val="006D7829"/>
    <w:rsid w:val="006D7DDC"/>
    <w:rsid w:val="006E02A0"/>
    <w:rsid w:val="006E0D06"/>
    <w:rsid w:val="006E0FA9"/>
    <w:rsid w:val="006E1A2E"/>
    <w:rsid w:val="006E1C6D"/>
    <w:rsid w:val="006E1C93"/>
    <w:rsid w:val="006E1D3E"/>
    <w:rsid w:val="006E2181"/>
    <w:rsid w:val="006E26FA"/>
    <w:rsid w:val="006E39CA"/>
    <w:rsid w:val="006E3A31"/>
    <w:rsid w:val="006E3C46"/>
    <w:rsid w:val="006E486D"/>
    <w:rsid w:val="006E4FB6"/>
    <w:rsid w:val="006E528C"/>
    <w:rsid w:val="006E54BA"/>
    <w:rsid w:val="006E6458"/>
    <w:rsid w:val="006E6A37"/>
    <w:rsid w:val="006E73CF"/>
    <w:rsid w:val="006E78EA"/>
    <w:rsid w:val="006E7AC8"/>
    <w:rsid w:val="006F0B23"/>
    <w:rsid w:val="006F0EF5"/>
    <w:rsid w:val="006F1FEA"/>
    <w:rsid w:val="006F2688"/>
    <w:rsid w:val="006F3BA7"/>
    <w:rsid w:val="006F3D4F"/>
    <w:rsid w:val="006F43D8"/>
    <w:rsid w:val="006F45E5"/>
    <w:rsid w:val="006F530D"/>
    <w:rsid w:val="006F5745"/>
    <w:rsid w:val="006F5928"/>
    <w:rsid w:val="006F7606"/>
    <w:rsid w:val="006F7A7E"/>
    <w:rsid w:val="006F7BC8"/>
    <w:rsid w:val="006F7FE1"/>
    <w:rsid w:val="007001D4"/>
    <w:rsid w:val="00700C77"/>
    <w:rsid w:val="007010A7"/>
    <w:rsid w:val="00701924"/>
    <w:rsid w:val="00701BB8"/>
    <w:rsid w:val="00702945"/>
    <w:rsid w:val="00702A50"/>
    <w:rsid w:val="00702B10"/>
    <w:rsid w:val="00703D0D"/>
    <w:rsid w:val="00704C99"/>
    <w:rsid w:val="00706474"/>
    <w:rsid w:val="007064ED"/>
    <w:rsid w:val="00706A7D"/>
    <w:rsid w:val="00706E9B"/>
    <w:rsid w:val="00706F6B"/>
    <w:rsid w:val="007076E3"/>
    <w:rsid w:val="00710215"/>
    <w:rsid w:val="00710ABF"/>
    <w:rsid w:val="00710FD3"/>
    <w:rsid w:val="007112E5"/>
    <w:rsid w:val="00711646"/>
    <w:rsid w:val="00711690"/>
    <w:rsid w:val="007117E2"/>
    <w:rsid w:val="00711BB0"/>
    <w:rsid w:val="00711C0E"/>
    <w:rsid w:val="00711D6E"/>
    <w:rsid w:val="00711D95"/>
    <w:rsid w:val="00712969"/>
    <w:rsid w:val="00713476"/>
    <w:rsid w:val="00713722"/>
    <w:rsid w:val="007141D3"/>
    <w:rsid w:val="007145BC"/>
    <w:rsid w:val="00714772"/>
    <w:rsid w:val="00714C2F"/>
    <w:rsid w:val="00714DB8"/>
    <w:rsid w:val="00714E9D"/>
    <w:rsid w:val="0071521A"/>
    <w:rsid w:val="00715596"/>
    <w:rsid w:val="007158FB"/>
    <w:rsid w:val="00715F3C"/>
    <w:rsid w:val="00716100"/>
    <w:rsid w:val="0071721E"/>
    <w:rsid w:val="00717CEF"/>
    <w:rsid w:val="007204EF"/>
    <w:rsid w:val="00720D2D"/>
    <w:rsid w:val="00721186"/>
    <w:rsid w:val="007215FD"/>
    <w:rsid w:val="00721AB9"/>
    <w:rsid w:val="00721CBD"/>
    <w:rsid w:val="00721DB7"/>
    <w:rsid w:val="007220B5"/>
    <w:rsid w:val="007223AC"/>
    <w:rsid w:val="00722E61"/>
    <w:rsid w:val="00723153"/>
    <w:rsid w:val="00723959"/>
    <w:rsid w:val="00723B8C"/>
    <w:rsid w:val="0072401A"/>
    <w:rsid w:val="007244A4"/>
    <w:rsid w:val="00724E8F"/>
    <w:rsid w:val="00725176"/>
    <w:rsid w:val="007253B4"/>
    <w:rsid w:val="00725D1B"/>
    <w:rsid w:val="00725F4A"/>
    <w:rsid w:val="00726EE7"/>
    <w:rsid w:val="00727836"/>
    <w:rsid w:val="00727AF6"/>
    <w:rsid w:val="00727DD5"/>
    <w:rsid w:val="00731794"/>
    <w:rsid w:val="007318FD"/>
    <w:rsid w:val="00731DFB"/>
    <w:rsid w:val="007320F0"/>
    <w:rsid w:val="007325D4"/>
    <w:rsid w:val="00732D97"/>
    <w:rsid w:val="007332D5"/>
    <w:rsid w:val="007336D1"/>
    <w:rsid w:val="00733763"/>
    <w:rsid w:val="00733A20"/>
    <w:rsid w:val="0073404B"/>
    <w:rsid w:val="00734447"/>
    <w:rsid w:val="007346BA"/>
    <w:rsid w:val="007348E2"/>
    <w:rsid w:val="00734B4D"/>
    <w:rsid w:val="00734CC5"/>
    <w:rsid w:val="0073536B"/>
    <w:rsid w:val="007364BB"/>
    <w:rsid w:val="0073690B"/>
    <w:rsid w:val="00736E95"/>
    <w:rsid w:val="00736F55"/>
    <w:rsid w:val="00737B25"/>
    <w:rsid w:val="00737C67"/>
    <w:rsid w:val="00737FED"/>
    <w:rsid w:val="0073FD70"/>
    <w:rsid w:val="00741551"/>
    <w:rsid w:val="00741665"/>
    <w:rsid w:val="00741ABD"/>
    <w:rsid w:val="00742386"/>
    <w:rsid w:val="00742AC7"/>
    <w:rsid w:val="00742C21"/>
    <w:rsid w:val="0074350D"/>
    <w:rsid w:val="00743623"/>
    <w:rsid w:val="00744888"/>
    <w:rsid w:val="007456EA"/>
    <w:rsid w:val="00745954"/>
    <w:rsid w:val="00746464"/>
    <w:rsid w:val="00746D78"/>
    <w:rsid w:val="0074725F"/>
    <w:rsid w:val="00747278"/>
    <w:rsid w:val="0074742E"/>
    <w:rsid w:val="00747950"/>
    <w:rsid w:val="00747EAE"/>
    <w:rsid w:val="0075074C"/>
    <w:rsid w:val="007510DA"/>
    <w:rsid w:val="0075137E"/>
    <w:rsid w:val="007513EA"/>
    <w:rsid w:val="007517E1"/>
    <w:rsid w:val="0075246B"/>
    <w:rsid w:val="00752AF1"/>
    <w:rsid w:val="00753C2B"/>
    <w:rsid w:val="00754272"/>
    <w:rsid w:val="00754431"/>
    <w:rsid w:val="00755BB4"/>
    <w:rsid w:val="00756061"/>
    <w:rsid w:val="007561AC"/>
    <w:rsid w:val="007565A8"/>
    <w:rsid w:val="00756C46"/>
    <w:rsid w:val="00756D42"/>
    <w:rsid w:val="00757386"/>
    <w:rsid w:val="00757D8B"/>
    <w:rsid w:val="00757EB0"/>
    <w:rsid w:val="0076067B"/>
    <w:rsid w:val="007611ED"/>
    <w:rsid w:val="0076265A"/>
    <w:rsid w:val="00762C0A"/>
    <w:rsid w:val="00762FC6"/>
    <w:rsid w:val="00763206"/>
    <w:rsid w:val="00763917"/>
    <w:rsid w:val="00763C7B"/>
    <w:rsid w:val="007645D0"/>
    <w:rsid w:val="00764B3C"/>
    <w:rsid w:val="00764D10"/>
    <w:rsid w:val="007653EC"/>
    <w:rsid w:val="00765587"/>
    <w:rsid w:val="0076581C"/>
    <w:rsid w:val="00765B7F"/>
    <w:rsid w:val="0076622B"/>
    <w:rsid w:val="00766F37"/>
    <w:rsid w:val="00767E0A"/>
    <w:rsid w:val="00768472"/>
    <w:rsid w:val="0077111E"/>
    <w:rsid w:val="007716EF"/>
    <w:rsid w:val="00771CDC"/>
    <w:rsid w:val="00772170"/>
    <w:rsid w:val="007722CB"/>
    <w:rsid w:val="00772CE2"/>
    <w:rsid w:val="00773484"/>
    <w:rsid w:val="00773A05"/>
    <w:rsid w:val="007755D0"/>
    <w:rsid w:val="00775CAB"/>
    <w:rsid w:val="007763A4"/>
    <w:rsid w:val="007764B2"/>
    <w:rsid w:val="00777091"/>
    <w:rsid w:val="00777B94"/>
    <w:rsid w:val="00777C0B"/>
    <w:rsid w:val="00777EEF"/>
    <w:rsid w:val="00780653"/>
    <w:rsid w:val="007810F1"/>
    <w:rsid w:val="007814E6"/>
    <w:rsid w:val="00781573"/>
    <w:rsid w:val="00781A60"/>
    <w:rsid w:val="00781E29"/>
    <w:rsid w:val="007820AE"/>
    <w:rsid w:val="00782FC7"/>
    <w:rsid w:val="00783218"/>
    <w:rsid w:val="007833EC"/>
    <w:rsid w:val="0078385D"/>
    <w:rsid w:val="0078400E"/>
    <w:rsid w:val="0078485F"/>
    <w:rsid w:val="00785152"/>
    <w:rsid w:val="007859B8"/>
    <w:rsid w:val="00785F79"/>
    <w:rsid w:val="007863D7"/>
    <w:rsid w:val="007864F7"/>
    <w:rsid w:val="00786AF0"/>
    <w:rsid w:val="0078702A"/>
    <w:rsid w:val="007871E1"/>
    <w:rsid w:val="00787388"/>
    <w:rsid w:val="00787455"/>
    <w:rsid w:val="00787621"/>
    <w:rsid w:val="00787ECE"/>
    <w:rsid w:val="00790685"/>
    <w:rsid w:val="00790AC9"/>
    <w:rsid w:val="00790E0D"/>
    <w:rsid w:val="0079147E"/>
    <w:rsid w:val="0079155F"/>
    <w:rsid w:val="0079193A"/>
    <w:rsid w:val="00791E0A"/>
    <w:rsid w:val="00791FE9"/>
    <w:rsid w:val="007922BB"/>
    <w:rsid w:val="00792911"/>
    <w:rsid w:val="00793A8C"/>
    <w:rsid w:val="00793D44"/>
    <w:rsid w:val="00793EB2"/>
    <w:rsid w:val="007958B1"/>
    <w:rsid w:val="00795F00"/>
    <w:rsid w:val="00796CE6"/>
    <w:rsid w:val="0079737F"/>
    <w:rsid w:val="00797717"/>
    <w:rsid w:val="0079780B"/>
    <w:rsid w:val="007979C2"/>
    <w:rsid w:val="00797BF0"/>
    <w:rsid w:val="007A14A8"/>
    <w:rsid w:val="007A17B4"/>
    <w:rsid w:val="007A27CC"/>
    <w:rsid w:val="007A2A54"/>
    <w:rsid w:val="007A2BF5"/>
    <w:rsid w:val="007A3060"/>
    <w:rsid w:val="007A359A"/>
    <w:rsid w:val="007A376B"/>
    <w:rsid w:val="007A3A8D"/>
    <w:rsid w:val="007A3CCA"/>
    <w:rsid w:val="007A4ECB"/>
    <w:rsid w:val="007A532F"/>
    <w:rsid w:val="007A57DB"/>
    <w:rsid w:val="007A58A9"/>
    <w:rsid w:val="007A6144"/>
    <w:rsid w:val="007A661A"/>
    <w:rsid w:val="007A6EAA"/>
    <w:rsid w:val="007A7BF0"/>
    <w:rsid w:val="007A7DFE"/>
    <w:rsid w:val="007A7F7E"/>
    <w:rsid w:val="007B02F6"/>
    <w:rsid w:val="007B1193"/>
    <w:rsid w:val="007B1CA9"/>
    <w:rsid w:val="007B201A"/>
    <w:rsid w:val="007B2232"/>
    <w:rsid w:val="007B2A27"/>
    <w:rsid w:val="007B3CEF"/>
    <w:rsid w:val="007B3F34"/>
    <w:rsid w:val="007B4EC7"/>
    <w:rsid w:val="007B59C2"/>
    <w:rsid w:val="007B5B35"/>
    <w:rsid w:val="007B6EBD"/>
    <w:rsid w:val="007B706D"/>
    <w:rsid w:val="007C07B4"/>
    <w:rsid w:val="007C1295"/>
    <w:rsid w:val="007C1A31"/>
    <w:rsid w:val="007C202E"/>
    <w:rsid w:val="007C265B"/>
    <w:rsid w:val="007C2844"/>
    <w:rsid w:val="007C2CB2"/>
    <w:rsid w:val="007C2D21"/>
    <w:rsid w:val="007C3100"/>
    <w:rsid w:val="007C41C5"/>
    <w:rsid w:val="007C4F6D"/>
    <w:rsid w:val="007C5991"/>
    <w:rsid w:val="007C610C"/>
    <w:rsid w:val="007C72B6"/>
    <w:rsid w:val="007C7504"/>
    <w:rsid w:val="007C7547"/>
    <w:rsid w:val="007D0553"/>
    <w:rsid w:val="007D0975"/>
    <w:rsid w:val="007D1F35"/>
    <w:rsid w:val="007D2D64"/>
    <w:rsid w:val="007D3600"/>
    <w:rsid w:val="007D3F4B"/>
    <w:rsid w:val="007D4137"/>
    <w:rsid w:val="007D44DF"/>
    <w:rsid w:val="007D49D2"/>
    <w:rsid w:val="007D4F56"/>
    <w:rsid w:val="007D573A"/>
    <w:rsid w:val="007D5791"/>
    <w:rsid w:val="007D65A0"/>
    <w:rsid w:val="007D6DE4"/>
    <w:rsid w:val="007D740C"/>
    <w:rsid w:val="007D7950"/>
    <w:rsid w:val="007D79A9"/>
    <w:rsid w:val="007E0010"/>
    <w:rsid w:val="007E0B58"/>
    <w:rsid w:val="007E206F"/>
    <w:rsid w:val="007E2405"/>
    <w:rsid w:val="007E2443"/>
    <w:rsid w:val="007E2D93"/>
    <w:rsid w:val="007E313E"/>
    <w:rsid w:val="007E34AE"/>
    <w:rsid w:val="007E35D5"/>
    <w:rsid w:val="007E36FD"/>
    <w:rsid w:val="007E3995"/>
    <w:rsid w:val="007E47BA"/>
    <w:rsid w:val="007E4877"/>
    <w:rsid w:val="007E530D"/>
    <w:rsid w:val="007E595C"/>
    <w:rsid w:val="007E5D61"/>
    <w:rsid w:val="007E6F83"/>
    <w:rsid w:val="007E7040"/>
    <w:rsid w:val="007E7396"/>
    <w:rsid w:val="007F0042"/>
    <w:rsid w:val="007F031D"/>
    <w:rsid w:val="007F091A"/>
    <w:rsid w:val="007F09BF"/>
    <w:rsid w:val="007F11A8"/>
    <w:rsid w:val="007F15CE"/>
    <w:rsid w:val="007F264F"/>
    <w:rsid w:val="007F2DF3"/>
    <w:rsid w:val="007F2FD0"/>
    <w:rsid w:val="007F3204"/>
    <w:rsid w:val="007F3704"/>
    <w:rsid w:val="007F3C55"/>
    <w:rsid w:val="007F51C5"/>
    <w:rsid w:val="007F5706"/>
    <w:rsid w:val="007F57F3"/>
    <w:rsid w:val="007F68AC"/>
    <w:rsid w:val="007F6EB6"/>
    <w:rsid w:val="007F749D"/>
    <w:rsid w:val="00800646"/>
    <w:rsid w:val="008006AF"/>
    <w:rsid w:val="00800F03"/>
    <w:rsid w:val="00800F16"/>
    <w:rsid w:val="00800FA1"/>
    <w:rsid w:val="00801178"/>
    <w:rsid w:val="008017F1"/>
    <w:rsid w:val="0080268E"/>
    <w:rsid w:val="00802881"/>
    <w:rsid w:val="00802B55"/>
    <w:rsid w:val="00803491"/>
    <w:rsid w:val="008035FA"/>
    <w:rsid w:val="00803687"/>
    <w:rsid w:val="00803A10"/>
    <w:rsid w:val="00803AA9"/>
    <w:rsid w:val="008048AB"/>
    <w:rsid w:val="008053EF"/>
    <w:rsid w:val="0080568D"/>
    <w:rsid w:val="008056C9"/>
    <w:rsid w:val="008057A2"/>
    <w:rsid w:val="00805A1B"/>
    <w:rsid w:val="00806360"/>
    <w:rsid w:val="00806C29"/>
    <w:rsid w:val="00806E02"/>
    <w:rsid w:val="00806ED7"/>
    <w:rsid w:val="00807C93"/>
    <w:rsid w:val="0080F46C"/>
    <w:rsid w:val="008102F0"/>
    <w:rsid w:val="008103B5"/>
    <w:rsid w:val="00810843"/>
    <w:rsid w:val="00810B7D"/>
    <w:rsid w:val="00811007"/>
    <w:rsid w:val="00812D87"/>
    <w:rsid w:val="008134FC"/>
    <w:rsid w:val="00813732"/>
    <w:rsid w:val="00813A59"/>
    <w:rsid w:val="00813C7B"/>
    <w:rsid w:val="00814086"/>
    <w:rsid w:val="00814D2F"/>
    <w:rsid w:val="00815890"/>
    <w:rsid w:val="00815A86"/>
    <w:rsid w:val="00815EA9"/>
    <w:rsid w:val="00816467"/>
    <w:rsid w:val="00816623"/>
    <w:rsid w:val="00816D10"/>
    <w:rsid w:val="00816DF1"/>
    <w:rsid w:val="008171B1"/>
    <w:rsid w:val="008177D8"/>
    <w:rsid w:val="008179FB"/>
    <w:rsid w:val="00817A9A"/>
    <w:rsid w:val="00817E68"/>
    <w:rsid w:val="0081A2C5"/>
    <w:rsid w:val="00820399"/>
    <w:rsid w:val="0082057E"/>
    <w:rsid w:val="008206F6"/>
    <w:rsid w:val="00820E75"/>
    <w:rsid w:val="00820F48"/>
    <w:rsid w:val="00821C15"/>
    <w:rsid w:val="00822072"/>
    <w:rsid w:val="00822166"/>
    <w:rsid w:val="0082253E"/>
    <w:rsid w:val="00822B10"/>
    <w:rsid w:val="00822C87"/>
    <w:rsid w:val="008233F4"/>
    <w:rsid w:val="0082397A"/>
    <w:rsid w:val="00823D9A"/>
    <w:rsid w:val="00824237"/>
    <w:rsid w:val="008242CC"/>
    <w:rsid w:val="00825B54"/>
    <w:rsid w:val="00825DA2"/>
    <w:rsid w:val="008265D3"/>
    <w:rsid w:val="0082737E"/>
    <w:rsid w:val="008277BA"/>
    <w:rsid w:val="008300A0"/>
    <w:rsid w:val="00830932"/>
    <w:rsid w:val="00831088"/>
    <w:rsid w:val="00831A68"/>
    <w:rsid w:val="008324CD"/>
    <w:rsid w:val="00832881"/>
    <w:rsid w:val="00832D97"/>
    <w:rsid w:val="00833548"/>
    <w:rsid w:val="00833D53"/>
    <w:rsid w:val="008341BE"/>
    <w:rsid w:val="008349B5"/>
    <w:rsid w:val="00835BC2"/>
    <w:rsid w:val="00836C3D"/>
    <w:rsid w:val="00836C7C"/>
    <w:rsid w:val="00836C9E"/>
    <w:rsid w:val="0083731B"/>
    <w:rsid w:val="00840124"/>
    <w:rsid w:val="008403D3"/>
    <w:rsid w:val="0084087B"/>
    <w:rsid w:val="00841130"/>
    <w:rsid w:val="00841595"/>
    <w:rsid w:val="00841CCF"/>
    <w:rsid w:val="00841FBB"/>
    <w:rsid w:val="00842A7F"/>
    <w:rsid w:val="00842B1E"/>
    <w:rsid w:val="00842DBF"/>
    <w:rsid w:val="00842E2B"/>
    <w:rsid w:val="008435CA"/>
    <w:rsid w:val="0084374D"/>
    <w:rsid w:val="008448C6"/>
    <w:rsid w:val="00844E21"/>
    <w:rsid w:val="00845121"/>
    <w:rsid w:val="008453AD"/>
    <w:rsid w:val="00845D2F"/>
    <w:rsid w:val="00846A5E"/>
    <w:rsid w:val="008471D2"/>
    <w:rsid w:val="00847C80"/>
    <w:rsid w:val="00852630"/>
    <w:rsid w:val="00852EA6"/>
    <w:rsid w:val="00855B24"/>
    <w:rsid w:val="00856455"/>
    <w:rsid w:val="00856A56"/>
    <w:rsid w:val="00857088"/>
    <w:rsid w:val="00857173"/>
    <w:rsid w:val="0085785F"/>
    <w:rsid w:val="00857D73"/>
    <w:rsid w:val="008601DD"/>
    <w:rsid w:val="00860239"/>
    <w:rsid w:val="00860A2A"/>
    <w:rsid w:val="008613C7"/>
    <w:rsid w:val="00861C60"/>
    <w:rsid w:val="0086245F"/>
    <w:rsid w:val="00862536"/>
    <w:rsid w:val="00863858"/>
    <w:rsid w:val="00863F08"/>
    <w:rsid w:val="00864B25"/>
    <w:rsid w:val="0086570B"/>
    <w:rsid w:val="008657F0"/>
    <w:rsid w:val="00865937"/>
    <w:rsid w:val="00866160"/>
    <w:rsid w:val="00866177"/>
    <w:rsid w:val="00866D89"/>
    <w:rsid w:val="008672A1"/>
    <w:rsid w:val="00870086"/>
    <w:rsid w:val="0087053E"/>
    <w:rsid w:val="00870601"/>
    <w:rsid w:val="00870E64"/>
    <w:rsid w:val="00871336"/>
    <w:rsid w:val="00872C3C"/>
    <w:rsid w:val="00872F12"/>
    <w:rsid w:val="00873A14"/>
    <w:rsid w:val="00873AC2"/>
    <w:rsid w:val="008745D7"/>
    <w:rsid w:val="00874918"/>
    <w:rsid w:val="0087503F"/>
    <w:rsid w:val="008754F1"/>
    <w:rsid w:val="00875906"/>
    <w:rsid w:val="00875A21"/>
    <w:rsid w:val="00875ADF"/>
    <w:rsid w:val="00876347"/>
    <w:rsid w:val="00876513"/>
    <w:rsid w:val="00876E1E"/>
    <w:rsid w:val="0087763C"/>
    <w:rsid w:val="00877DA4"/>
    <w:rsid w:val="00880316"/>
    <w:rsid w:val="00880A72"/>
    <w:rsid w:val="00880ABD"/>
    <w:rsid w:val="00880EEE"/>
    <w:rsid w:val="008814B8"/>
    <w:rsid w:val="0088225B"/>
    <w:rsid w:val="00882935"/>
    <w:rsid w:val="00882EB6"/>
    <w:rsid w:val="008832C4"/>
    <w:rsid w:val="00883D58"/>
    <w:rsid w:val="008840BB"/>
    <w:rsid w:val="008848CA"/>
    <w:rsid w:val="008850A5"/>
    <w:rsid w:val="008852D7"/>
    <w:rsid w:val="00886436"/>
    <w:rsid w:val="008867CC"/>
    <w:rsid w:val="00886ED4"/>
    <w:rsid w:val="008876B5"/>
    <w:rsid w:val="00887B40"/>
    <w:rsid w:val="00887FB0"/>
    <w:rsid w:val="0089081A"/>
    <w:rsid w:val="00891209"/>
    <w:rsid w:val="00892011"/>
    <w:rsid w:val="00892A44"/>
    <w:rsid w:val="00892B45"/>
    <w:rsid w:val="00892CCD"/>
    <w:rsid w:val="0089395F"/>
    <w:rsid w:val="0089499B"/>
    <w:rsid w:val="00895E7F"/>
    <w:rsid w:val="00895EDC"/>
    <w:rsid w:val="00896278"/>
    <w:rsid w:val="0089630D"/>
    <w:rsid w:val="00896409"/>
    <w:rsid w:val="008965D0"/>
    <w:rsid w:val="0089662D"/>
    <w:rsid w:val="008967ED"/>
    <w:rsid w:val="00896E82"/>
    <w:rsid w:val="0089767B"/>
    <w:rsid w:val="00897DCF"/>
    <w:rsid w:val="00897F4A"/>
    <w:rsid w:val="0089FC73"/>
    <w:rsid w:val="008A0214"/>
    <w:rsid w:val="008A0717"/>
    <w:rsid w:val="008A0786"/>
    <w:rsid w:val="008A10D0"/>
    <w:rsid w:val="008A3221"/>
    <w:rsid w:val="008A3A53"/>
    <w:rsid w:val="008A4E96"/>
    <w:rsid w:val="008A52AE"/>
    <w:rsid w:val="008A58C9"/>
    <w:rsid w:val="008A670B"/>
    <w:rsid w:val="008A687D"/>
    <w:rsid w:val="008A6984"/>
    <w:rsid w:val="008A7247"/>
    <w:rsid w:val="008A7BDA"/>
    <w:rsid w:val="008B04A4"/>
    <w:rsid w:val="008B0862"/>
    <w:rsid w:val="008B0AD5"/>
    <w:rsid w:val="008B10E1"/>
    <w:rsid w:val="008B170C"/>
    <w:rsid w:val="008B2134"/>
    <w:rsid w:val="008B23CF"/>
    <w:rsid w:val="008B247F"/>
    <w:rsid w:val="008B2655"/>
    <w:rsid w:val="008B2860"/>
    <w:rsid w:val="008B2B55"/>
    <w:rsid w:val="008B2BAA"/>
    <w:rsid w:val="008B3080"/>
    <w:rsid w:val="008B43A8"/>
    <w:rsid w:val="008B49D5"/>
    <w:rsid w:val="008B4A79"/>
    <w:rsid w:val="008B549C"/>
    <w:rsid w:val="008B5B6E"/>
    <w:rsid w:val="008B5E33"/>
    <w:rsid w:val="008B6638"/>
    <w:rsid w:val="008B6735"/>
    <w:rsid w:val="008B67C3"/>
    <w:rsid w:val="008B6B20"/>
    <w:rsid w:val="008B6C4E"/>
    <w:rsid w:val="008B784E"/>
    <w:rsid w:val="008B7B80"/>
    <w:rsid w:val="008C0432"/>
    <w:rsid w:val="008C0DBA"/>
    <w:rsid w:val="008C0DCF"/>
    <w:rsid w:val="008C0E06"/>
    <w:rsid w:val="008C135C"/>
    <w:rsid w:val="008C28BE"/>
    <w:rsid w:val="008C28DD"/>
    <w:rsid w:val="008C35FB"/>
    <w:rsid w:val="008C3CE7"/>
    <w:rsid w:val="008C3CF4"/>
    <w:rsid w:val="008C467A"/>
    <w:rsid w:val="008C46C9"/>
    <w:rsid w:val="008C47E3"/>
    <w:rsid w:val="008C49FF"/>
    <w:rsid w:val="008C4B26"/>
    <w:rsid w:val="008C5221"/>
    <w:rsid w:val="008C5477"/>
    <w:rsid w:val="008C5ED8"/>
    <w:rsid w:val="008C6390"/>
    <w:rsid w:val="008C67E0"/>
    <w:rsid w:val="008C6DDB"/>
    <w:rsid w:val="008C6F6C"/>
    <w:rsid w:val="008C7459"/>
    <w:rsid w:val="008C79C1"/>
    <w:rsid w:val="008D09B8"/>
    <w:rsid w:val="008D1652"/>
    <w:rsid w:val="008D1B5A"/>
    <w:rsid w:val="008D1EDF"/>
    <w:rsid w:val="008D1F91"/>
    <w:rsid w:val="008D21A1"/>
    <w:rsid w:val="008D21AD"/>
    <w:rsid w:val="008D2AA9"/>
    <w:rsid w:val="008D31E1"/>
    <w:rsid w:val="008D336F"/>
    <w:rsid w:val="008D3753"/>
    <w:rsid w:val="008D38DE"/>
    <w:rsid w:val="008D3EB3"/>
    <w:rsid w:val="008D400E"/>
    <w:rsid w:val="008D5A99"/>
    <w:rsid w:val="008D5ECF"/>
    <w:rsid w:val="008D6358"/>
    <w:rsid w:val="008D68AE"/>
    <w:rsid w:val="008D6D32"/>
    <w:rsid w:val="008D70C0"/>
    <w:rsid w:val="008D7CE6"/>
    <w:rsid w:val="008D7F4A"/>
    <w:rsid w:val="008E02C3"/>
    <w:rsid w:val="008E06D2"/>
    <w:rsid w:val="008E0743"/>
    <w:rsid w:val="008E0C80"/>
    <w:rsid w:val="008E154E"/>
    <w:rsid w:val="008E1558"/>
    <w:rsid w:val="008E19ED"/>
    <w:rsid w:val="008E216D"/>
    <w:rsid w:val="008E259C"/>
    <w:rsid w:val="008E2711"/>
    <w:rsid w:val="008E2E05"/>
    <w:rsid w:val="008E33BD"/>
    <w:rsid w:val="008E38F9"/>
    <w:rsid w:val="008E3F04"/>
    <w:rsid w:val="008E415A"/>
    <w:rsid w:val="008E41ED"/>
    <w:rsid w:val="008E59D3"/>
    <w:rsid w:val="008E6294"/>
    <w:rsid w:val="008E64DA"/>
    <w:rsid w:val="008E6569"/>
    <w:rsid w:val="008E666A"/>
    <w:rsid w:val="008E7BAD"/>
    <w:rsid w:val="008F0A98"/>
    <w:rsid w:val="008F1579"/>
    <w:rsid w:val="008F1857"/>
    <w:rsid w:val="008F1FE8"/>
    <w:rsid w:val="008F21CD"/>
    <w:rsid w:val="008F2B32"/>
    <w:rsid w:val="008F3073"/>
    <w:rsid w:val="008F3348"/>
    <w:rsid w:val="008F337B"/>
    <w:rsid w:val="008F339A"/>
    <w:rsid w:val="008F3470"/>
    <w:rsid w:val="008F45CA"/>
    <w:rsid w:val="008F4F2D"/>
    <w:rsid w:val="008F52F2"/>
    <w:rsid w:val="008F5929"/>
    <w:rsid w:val="008F6506"/>
    <w:rsid w:val="008F6864"/>
    <w:rsid w:val="008F6C6C"/>
    <w:rsid w:val="008F6D33"/>
    <w:rsid w:val="008F71CB"/>
    <w:rsid w:val="008F7B28"/>
    <w:rsid w:val="0090023B"/>
    <w:rsid w:val="00900354"/>
    <w:rsid w:val="00901097"/>
    <w:rsid w:val="00901E2E"/>
    <w:rsid w:val="00901FEC"/>
    <w:rsid w:val="00902585"/>
    <w:rsid w:val="00902CDF"/>
    <w:rsid w:val="00902EBD"/>
    <w:rsid w:val="009032E6"/>
    <w:rsid w:val="00903651"/>
    <w:rsid w:val="0090472C"/>
    <w:rsid w:val="00904A3A"/>
    <w:rsid w:val="00904B02"/>
    <w:rsid w:val="0090517A"/>
    <w:rsid w:val="009056F4"/>
    <w:rsid w:val="00905880"/>
    <w:rsid w:val="009058FE"/>
    <w:rsid w:val="00905AC1"/>
    <w:rsid w:val="00905C59"/>
    <w:rsid w:val="0090613E"/>
    <w:rsid w:val="009063BA"/>
    <w:rsid w:val="00906542"/>
    <w:rsid w:val="00906DA7"/>
    <w:rsid w:val="00906EAC"/>
    <w:rsid w:val="00906FF6"/>
    <w:rsid w:val="0090786C"/>
    <w:rsid w:val="009107BF"/>
    <w:rsid w:val="00911872"/>
    <w:rsid w:val="00912C1B"/>
    <w:rsid w:val="00912C5D"/>
    <w:rsid w:val="00913E05"/>
    <w:rsid w:val="009143B0"/>
    <w:rsid w:val="00914FAE"/>
    <w:rsid w:val="00916783"/>
    <w:rsid w:val="009168F9"/>
    <w:rsid w:val="00916B62"/>
    <w:rsid w:val="00916CFE"/>
    <w:rsid w:val="00916D23"/>
    <w:rsid w:val="009171BD"/>
    <w:rsid w:val="00917298"/>
    <w:rsid w:val="00920673"/>
    <w:rsid w:val="00920979"/>
    <w:rsid w:val="00920D51"/>
    <w:rsid w:val="00920EF0"/>
    <w:rsid w:val="00921824"/>
    <w:rsid w:val="00921FE9"/>
    <w:rsid w:val="009225CD"/>
    <w:rsid w:val="00922CFD"/>
    <w:rsid w:val="00923621"/>
    <w:rsid w:val="009239A3"/>
    <w:rsid w:val="00924823"/>
    <w:rsid w:val="00924834"/>
    <w:rsid w:val="009249D2"/>
    <w:rsid w:val="00925686"/>
    <w:rsid w:val="00926017"/>
    <w:rsid w:val="009268D1"/>
    <w:rsid w:val="00926994"/>
    <w:rsid w:val="00926BB0"/>
    <w:rsid w:val="00926EE0"/>
    <w:rsid w:val="00926F76"/>
    <w:rsid w:val="0092756D"/>
    <w:rsid w:val="009306A3"/>
    <w:rsid w:val="00930811"/>
    <w:rsid w:val="00930DBE"/>
    <w:rsid w:val="00930F9A"/>
    <w:rsid w:val="0093125F"/>
    <w:rsid w:val="00931647"/>
    <w:rsid w:val="009316BA"/>
    <w:rsid w:val="009317F0"/>
    <w:rsid w:val="00931865"/>
    <w:rsid w:val="00931999"/>
    <w:rsid w:val="00932EE7"/>
    <w:rsid w:val="00932F37"/>
    <w:rsid w:val="0093328D"/>
    <w:rsid w:val="0093358E"/>
    <w:rsid w:val="009335C5"/>
    <w:rsid w:val="00933661"/>
    <w:rsid w:val="0093398C"/>
    <w:rsid w:val="00933C39"/>
    <w:rsid w:val="00933F3C"/>
    <w:rsid w:val="0093583B"/>
    <w:rsid w:val="009368B1"/>
    <w:rsid w:val="0093747F"/>
    <w:rsid w:val="00937A13"/>
    <w:rsid w:val="0094014B"/>
    <w:rsid w:val="0094065D"/>
    <w:rsid w:val="00941C30"/>
    <w:rsid w:val="009423F8"/>
    <w:rsid w:val="00942698"/>
    <w:rsid w:val="00942920"/>
    <w:rsid w:val="00942A5B"/>
    <w:rsid w:val="00944353"/>
    <w:rsid w:val="00944699"/>
    <w:rsid w:val="00944AC8"/>
    <w:rsid w:val="00944C3F"/>
    <w:rsid w:val="00944CC3"/>
    <w:rsid w:val="00944CDE"/>
    <w:rsid w:val="00944E25"/>
    <w:rsid w:val="00944F8E"/>
    <w:rsid w:val="00944FDF"/>
    <w:rsid w:val="00945A8A"/>
    <w:rsid w:val="00945C0B"/>
    <w:rsid w:val="00945C99"/>
    <w:rsid w:val="00946506"/>
    <w:rsid w:val="009475FC"/>
    <w:rsid w:val="00947723"/>
    <w:rsid w:val="00947CAF"/>
    <w:rsid w:val="00947F8F"/>
    <w:rsid w:val="00950187"/>
    <w:rsid w:val="009504FA"/>
    <w:rsid w:val="0095060D"/>
    <w:rsid w:val="00950680"/>
    <w:rsid w:val="00951073"/>
    <w:rsid w:val="00951587"/>
    <w:rsid w:val="009517F3"/>
    <w:rsid w:val="00951BDC"/>
    <w:rsid w:val="00953137"/>
    <w:rsid w:val="00953322"/>
    <w:rsid w:val="00953607"/>
    <w:rsid w:val="009543E3"/>
    <w:rsid w:val="0095441F"/>
    <w:rsid w:val="00954B33"/>
    <w:rsid w:val="009551F8"/>
    <w:rsid w:val="0095568E"/>
    <w:rsid w:val="00956DC4"/>
    <w:rsid w:val="00957B17"/>
    <w:rsid w:val="00960305"/>
    <w:rsid w:val="00960462"/>
    <w:rsid w:val="009609E5"/>
    <w:rsid w:val="00961D73"/>
    <w:rsid w:val="00963525"/>
    <w:rsid w:val="00963839"/>
    <w:rsid w:val="009648B2"/>
    <w:rsid w:val="00964D87"/>
    <w:rsid w:val="009650A7"/>
    <w:rsid w:val="00966407"/>
    <w:rsid w:val="00966DFC"/>
    <w:rsid w:val="00967657"/>
    <w:rsid w:val="009704B0"/>
    <w:rsid w:val="0097061B"/>
    <w:rsid w:val="009706A9"/>
    <w:rsid w:val="00970BC6"/>
    <w:rsid w:val="0097131F"/>
    <w:rsid w:val="00971466"/>
    <w:rsid w:val="0097225F"/>
    <w:rsid w:val="009729AF"/>
    <w:rsid w:val="00972ABA"/>
    <w:rsid w:val="00972C31"/>
    <w:rsid w:val="00973C5F"/>
    <w:rsid w:val="00974C19"/>
    <w:rsid w:val="00974E77"/>
    <w:rsid w:val="009765F7"/>
    <w:rsid w:val="009775E8"/>
    <w:rsid w:val="00977BBA"/>
    <w:rsid w:val="00980EF8"/>
    <w:rsid w:val="00981051"/>
    <w:rsid w:val="00981391"/>
    <w:rsid w:val="009822D9"/>
    <w:rsid w:val="00982602"/>
    <w:rsid w:val="00983B35"/>
    <w:rsid w:val="00983F29"/>
    <w:rsid w:val="009844BE"/>
    <w:rsid w:val="00984674"/>
    <w:rsid w:val="00984D37"/>
    <w:rsid w:val="00984F81"/>
    <w:rsid w:val="0098521B"/>
    <w:rsid w:val="00985913"/>
    <w:rsid w:val="00985DB2"/>
    <w:rsid w:val="00986585"/>
    <w:rsid w:val="00986C70"/>
    <w:rsid w:val="00987351"/>
    <w:rsid w:val="009874F8"/>
    <w:rsid w:val="00987559"/>
    <w:rsid w:val="00987605"/>
    <w:rsid w:val="0099059E"/>
    <w:rsid w:val="009909C4"/>
    <w:rsid w:val="009909F3"/>
    <w:rsid w:val="00990D25"/>
    <w:rsid w:val="00990ED5"/>
    <w:rsid w:val="00991A43"/>
    <w:rsid w:val="0099292C"/>
    <w:rsid w:val="009930EB"/>
    <w:rsid w:val="009931F2"/>
    <w:rsid w:val="0099380C"/>
    <w:rsid w:val="00993F06"/>
    <w:rsid w:val="0099450E"/>
    <w:rsid w:val="0099470B"/>
    <w:rsid w:val="00994860"/>
    <w:rsid w:val="00994A4C"/>
    <w:rsid w:val="00994C6B"/>
    <w:rsid w:val="00994F4A"/>
    <w:rsid w:val="00995B0B"/>
    <w:rsid w:val="00995B73"/>
    <w:rsid w:val="00996302"/>
    <w:rsid w:val="00996344"/>
    <w:rsid w:val="009966D4"/>
    <w:rsid w:val="00996FBC"/>
    <w:rsid w:val="009973D3"/>
    <w:rsid w:val="00997A27"/>
    <w:rsid w:val="00997BD5"/>
    <w:rsid w:val="00997E84"/>
    <w:rsid w:val="009A0449"/>
    <w:rsid w:val="009A13A1"/>
    <w:rsid w:val="009A15DE"/>
    <w:rsid w:val="009A2983"/>
    <w:rsid w:val="009A29BF"/>
    <w:rsid w:val="009A2C3A"/>
    <w:rsid w:val="009A2CA7"/>
    <w:rsid w:val="009A30CC"/>
    <w:rsid w:val="009A30FC"/>
    <w:rsid w:val="009A37CE"/>
    <w:rsid w:val="009A3C72"/>
    <w:rsid w:val="009A4D0D"/>
    <w:rsid w:val="009A5546"/>
    <w:rsid w:val="009A5D78"/>
    <w:rsid w:val="009A62CC"/>
    <w:rsid w:val="009A63D4"/>
    <w:rsid w:val="009A67A5"/>
    <w:rsid w:val="009A68A9"/>
    <w:rsid w:val="009A7876"/>
    <w:rsid w:val="009A78CC"/>
    <w:rsid w:val="009A7A14"/>
    <w:rsid w:val="009A7B69"/>
    <w:rsid w:val="009B081A"/>
    <w:rsid w:val="009B1938"/>
    <w:rsid w:val="009B1A07"/>
    <w:rsid w:val="009B23AF"/>
    <w:rsid w:val="009B2D76"/>
    <w:rsid w:val="009B2FB0"/>
    <w:rsid w:val="009B3412"/>
    <w:rsid w:val="009B3621"/>
    <w:rsid w:val="009B383F"/>
    <w:rsid w:val="009B396E"/>
    <w:rsid w:val="009B4A04"/>
    <w:rsid w:val="009B546F"/>
    <w:rsid w:val="009B5636"/>
    <w:rsid w:val="009B5B3A"/>
    <w:rsid w:val="009B5D73"/>
    <w:rsid w:val="009B6295"/>
    <w:rsid w:val="009B6826"/>
    <w:rsid w:val="009B6954"/>
    <w:rsid w:val="009B6D43"/>
    <w:rsid w:val="009B7A3D"/>
    <w:rsid w:val="009B7C4F"/>
    <w:rsid w:val="009C0162"/>
    <w:rsid w:val="009C05AA"/>
    <w:rsid w:val="009C080A"/>
    <w:rsid w:val="009C0B70"/>
    <w:rsid w:val="009C1ADE"/>
    <w:rsid w:val="009C274E"/>
    <w:rsid w:val="009C2FC9"/>
    <w:rsid w:val="009C34D2"/>
    <w:rsid w:val="009C54BD"/>
    <w:rsid w:val="009C66D7"/>
    <w:rsid w:val="009C7662"/>
    <w:rsid w:val="009C7B28"/>
    <w:rsid w:val="009C7DE8"/>
    <w:rsid w:val="009C7EEC"/>
    <w:rsid w:val="009C7F3E"/>
    <w:rsid w:val="009D073E"/>
    <w:rsid w:val="009D0994"/>
    <w:rsid w:val="009D1191"/>
    <w:rsid w:val="009D1473"/>
    <w:rsid w:val="009D16EA"/>
    <w:rsid w:val="009D1AB0"/>
    <w:rsid w:val="009D1DD6"/>
    <w:rsid w:val="009D1F4C"/>
    <w:rsid w:val="009D2032"/>
    <w:rsid w:val="009D2108"/>
    <w:rsid w:val="009D27CA"/>
    <w:rsid w:val="009D28E4"/>
    <w:rsid w:val="009D3529"/>
    <w:rsid w:val="009D40A6"/>
    <w:rsid w:val="009D49FF"/>
    <w:rsid w:val="009D4B60"/>
    <w:rsid w:val="009D4CAF"/>
    <w:rsid w:val="009D4DC3"/>
    <w:rsid w:val="009D502E"/>
    <w:rsid w:val="009D56E5"/>
    <w:rsid w:val="009D5B31"/>
    <w:rsid w:val="009D61F2"/>
    <w:rsid w:val="009D62B0"/>
    <w:rsid w:val="009D68A9"/>
    <w:rsid w:val="009D6ADB"/>
    <w:rsid w:val="009D7597"/>
    <w:rsid w:val="009D76D9"/>
    <w:rsid w:val="009D7B60"/>
    <w:rsid w:val="009D7E76"/>
    <w:rsid w:val="009DB68E"/>
    <w:rsid w:val="009E052D"/>
    <w:rsid w:val="009E0F45"/>
    <w:rsid w:val="009E0FA4"/>
    <w:rsid w:val="009E13BD"/>
    <w:rsid w:val="009E13FF"/>
    <w:rsid w:val="009E1D3C"/>
    <w:rsid w:val="009E1FB3"/>
    <w:rsid w:val="009E1FDF"/>
    <w:rsid w:val="009E2692"/>
    <w:rsid w:val="009E334C"/>
    <w:rsid w:val="009E3742"/>
    <w:rsid w:val="009E4AD5"/>
    <w:rsid w:val="009E4F48"/>
    <w:rsid w:val="009E4FE4"/>
    <w:rsid w:val="009E51B3"/>
    <w:rsid w:val="009E59C4"/>
    <w:rsid w:val="009E6C83"/>
    <w:rsid w:val="009E7D6E"/>
    <w:rsid w:val="009F000F"/>
    <w:rsid w:val="009F078F"/>
    <w:rsid w:val="009F0805"/>
    <w:rsid w:val="009F090B"/>
    <w:rsid w:val="009F0ED0"/>
    <w:rsid w:val="009F133B"/>
    <w:rsid w:val="009F18DE"/>
    <w:rsid w:val="009F1C78"/>
    <w:rsid w:val="009F1EEB"/>
    <w:rsid w:val="009F2756"/>
    <w:rsid w:val="009F2F6F"/>
    <w:rsid w:val="009F31CC"/>
    <w:rsid w:val="009F32DC"/>
    <w:rsid w:val="009F37C3"/>
    <w:rsid w:val="009F3A45"/>
    <w:rsid w:val="009F3B62"/>
    <w:rsid w:val="009F503A"/>
    <w:rsid w:val="009F579A"/>
    <w:rsid w:val="009F5E00"/>
    <w:rsid w:val="009F618A"/>
    <w:rsid w:val="009F6C5F"/>
    <w:rsid w:val="009F707E"/>
    <w:rsid w:val="009F7493"/>
    <w:rsid w:val="009F7E91"/>
    <w:rsid w:val="00A00D33"/>
    <w:rsid w:val="00A00DA5"/>
    <w:rsid w:val="00A00F82"/>
    <w:rsid w:val="00A013D7"/>
    <w:rsid w:val="00A019D4"/>
    <w:rsid w:val="00A02C4B"/>
    <w:rsid w:val="00A03939"/>
    <w:rsid w:val="00A041A2"/>
    <w:rsid w:val="00A043A9"/>
    <w:rsid w:val="00A058C2"/>
    <w:rsid w:val="00A07F0F"/>
    <w:rsid w:val="00A07FDD"/>
    <w:rsid w:val="00A0DDA2"/>
    <w:rsid w:val="00A10285"/>
    <w:rsid w:val="00A10383"/>
    <w:rsid w:val="00A10796"/>
    <w:rsid w:val="00A10869"/>
    <w:rsid w:val="00A1094E"/>
    <w:rsid w:val="00A11479"/>
    <w:rsid w:val="00A114D1"/>
    <w:rsid w:val="00A119FD"/>
    <w:rsid w:val="00A11C69"/>
    <w:rsid w:val="00A11CD2"/>
    <w:rsid w:val="00A121CD"/>
    <w:rsid w:val="00A13174"/>
    <w:rsid w:val="00A131B4"/>
    <w:rsid w:val="00A13833"/>
    <w:rsid w:val="00A140AE"/>
    <w:rsid w:val="00A14311"/>
    <w:rsid w:val="00A14464"/>
    <w:rsid w:val="00A145FB"/>
    <w:rsid w:val="00A15C35"/>
    <w:rsid w:val="00A162AE"/>
    <w:rsid w:val="00A16798"/>
    <w:rsid w:val="00A170C1"/>
    <w:rsid w:val="00A172DD"/>
    <w:rsid w:val="00A177A8"/>
    <w:rsid w:val="00A17B87"/>
    <w:rsid w:val="00A2096D"/>
    <w:rsid w:val="00A213C8"/>
    <w:rsid w:val="00A215B4"/>
    <w:rsid w:val="00A21D8F"/>
    <w:rsid w:val="00A22137"/>
    <w:rsid w:val="00A227A8"/>
    <w:rsid w:val="00A22FFA"/>
    <w:rsid w:val="00A237CF"/>
    <w:rsid w:val="00A24B03"/>
    <w:rsid w:val="00A25383"/>
    <w:rsid w:val="00A25564"/>
    <w:rsid w:val="00A25833"/>
    <w:rsid w:val="00A25974"/>
    <w:rsid w:val="00A26628"/>
    <w:rsid w:val="00A26788"/>
    <w:rsid w:val="00A26F15"/>
    <w:rsid w:val="00A27503"/>
    <w:rsid w:val="00A2761F"/>
    <w:rsid w:val="00A28CB7"/>
    <w:rsid w:val="00A30981"/>
    <w:rsid w:val="00A309E8"/>
    <w:rsid w:val="00A3117B"/>
    <w:rsid w:val="00A318C9"/>
    <w:rsid w:val="00A31ED9"/>
    <w:rsid w:val="00A32412"/>
    <w:rsid w:val="00A32590"/>
    <w:rsid w:val="00A3269D"/>
    <w:rsid w:val="00A32866"/>
    <w:rsid w:val="00A32E9A"/>
    <w:rsid w:val="00A3310B"/>
    <w:rsid w:val="00A338F0"/>
    <w:rsid w:val="00A3391C"/>
    <w:rsid w:val="00A33CCF"/>
    <w:rsid w:val="00A344BA"/>
    <w:rsid w:val="00A3487E"/>
    <w:rsid w:val="00A34A67"/>
    <w:rsid w:val="00A3516B"/>
    <w:rsid w:val="00A37135"/>
    <w:rsid w:val="00A403FE"/>
    <w:rsid w:val="00A4069E"/>
    <w:rsid w:val="00A40D78"/>
    <w:rsid w:val="00A411F3"/>
    <w:rsid w:val="00A420ED"/>
    <w:rsid w:val="00A422B2"/>
    <w:rsid w:val="00A43E4D"/>
    <w:rsid w:val="00A43FAC"/>
    <w:rsid w:val="00A445FD"/>
    <w:rsid w:val="00A44866"/>
    <w:rsid w:val="00A44932"/>
    <w:rsid w:val="00A46559"/>
    <w:rsid w:val="00A47936"/>
    <w:rsid w:val="00A47C87"/>
    <w:rsid w:val="00A50B0F"/>
    <w:rsid w:val="00A50B68"/>
    <w:rsid w:val="00A51138"/>
    <w:rsid w:val="00A51942"/>
    <w:rsid w:val="00A52513"/>
    <w:rsid w:val="00A52828"/>
    <w:rsid w:val="00A52C8C"/>
    <w:rsid w:val="00A53907"/>
    <w:rsid w:val="00A53FB5"/>
    <w:rsid w:val="00A54002"/>
    <w:rsid w:val="00A54FD0"/>
    <w:rsid w:val="00A55036"/>
    <w:rsid w:val="00A5534C"/>
    <w:rsid w:val="00A5581B"/>
    <w:rsid w:val="00A55CC9"/>
    <w:rsid w:val="00A55DFD"/>
    <w:rsid w:val="00A605C6"/>
    <w:rsid w:val="00A61145"/>
    <w:rsid w:val="00A616A5"/>
    <w:rsid w:val="00A617E4"/>
    <w:rsid w:val="00A61C35"/>
    <w:rsid w:val="00A624ED"/>
    <w:rsid w:val="00A62BA2"/>
    <w:rsid w:val="00A63186"/>
    <w:rsid w:val="00A633AB"/>
    <w:rsid w:val="00A63570"/>
    <w:rsid w:val="00A63EE5"/>
    <w:rsid w:val="00A654EE"/>
    <w:rsid w:val="00A6579B"/>
    <w:rsid w:val="00A65A60"/>
    <w:rsid w:val="00A661E7"/>
    <w:rsid w:val="00A66917"/>
    <w:rsid w:val="00A67FBD"/>
    <w:rsid w:val="00A70A3E"/>
    <w:rsid w:val="00A70B5F"/>
    <w:rsid w:val="00A70B92"/>
    <w:rsid w:val="00A71312"/>
    <w:rsid w:val="00A71531"/>
    <w:rsid w:val="00A71970"/>
    <w:rsid w:val="00A7262C"/>
    <w:rsid w:val="00A7282B"/>
    <w:rsid w:val="00A72C9A"/>
    <w:rsid w:val="00A7398E"/>
    <w:rsid w:val="00A7404F"/>
    <w:rsid w:val="00A74192"/>
    <w:rsid w:val="00A74C88"/>
    <w:rsid w:val="00A75069"/>
    <w:rsid w:val="00A7578D"/>
    <w:rsid w:val="00A75B08"/>
    <w:rsid w:val="00A761CE"/>
    <w:rsid w:val="00A76539"/>
    <w:rsid w:val="00A77020"/>
    <w:rsid w:val="00A778F2"/>
    <w:rsid w:val="00A80849"/>
    <w:rsid w:val="00A814BA"/>
    <w:rsid w:val="00A8163B"/>
    <w:rsid w:val="00A81728"/>
    <w:rsid w:val="00A81F98"/>
    <w:rsid w:val="00A826A0"/>
    <w:rsid w:val="00A8306F"/>
    <w:rsid w:val="00A831AD"/>
    <w:rsid w:val="00A835E1"/>
    <w:rsid w:val="00A836EF"/>
    <w:rsid w:val="00A83ED6"/>
    <w:rsid w:val="00A84A05"/>
    <w:rsid w:val="00A8606C"/>
    <w:rsid w:val="00A87154"/>
    <w:rsid w:val="00A87C18"/>
    <w:rsid w:val="00A90A65"/>
    <w:rsid w:val="00A91462"/>
    <w:rsid w:val="00A9193E"/>
    <w:rsid w:val="00A91EB9"/>
    <w:rsid w:val="00A92BD7"/>
    <w:rsid w:val="00A92DBB"/>
    <w:rsid w:val="00A93287"/>
    <w:rsid w:val="00A9340D"/>
    <w:rsid w:val="00A93DA2"/>
    <w:rsid w:val="00A93E41"/>
    <w:rsid w:val="00A94A2C"/>
    <w:rsid w:val="00A95BB6"/>
    <w:rsid w:val="00A96CB7"/>
    <w:rsid w:val="00A973DA"/>
    <w:rsid w:val="00A97C0A"/>
    <w:rsid w:val="00AA14E4"/>
    <w:rsid w:val="00AA152B"/>
    <w:rsid w:val="00AA20DD"/>
    <w:rsid w:val="00AA27BF"/>
    <w:rsid w:val="00AA2AAF"/>
    <w:rsid w:val="00AA303B"/>
    <w:rsid w:val="00AA3E8E"/>
    <w:rsid w:val="00AA3FF0"/>
    <w:rsid w:val="00AA4838"/>
    <w:rsid w:val="00AA4A0C"/>
    <w:rsid w:val="00AA51DF"/>
    <w:rsid w:val="00AA5429"/>
    <w:rsid w:val="00AA5619"/>
    <w:rsid w:val="00AA58A5"/>
    <w:rsid w:val="00AA6169"/>
    <w:rsid w:val="00AA6459"/>
    <w:rsid w:val="00AA71A4"/>
    <w:rsid w:val="00AA728B"/>
    <w:rsid w:val="00AA7508"/>
    <w:rsid w:val="00AA7AFB"/>
    <w:rsid w:val="00AA9919"/>
    <w:rsid w:val="00AB03E4"/>
    <w:rsid w:val="00AB0A49"/>
    <w:rsid w:val="00AB0E82"/>
    <w:rsid w:val="00AB1A77"/>
    <w:rsid w:val="00AB1C0A"/>
    <w:rsid w:val="00AB1CCD"/>
    <w:rsid w:val="00AB276E"/>
    <w:rsid w:val="00AB2856"/>
    <w:rsid w:val="00AB2B38"/>
    <w:rsid w:val="00AB30C8"/>
    <w:rsid w:val="00AB3276"/>
    <w:rsid w:val="00AB368D"/>
    <w:rsid w:val="00AB381B"/>
    <w:rsid w:val="00AB45E0"/>
    <w:rsid w:val="00AB46DF"/>
    <w:rsid w:val="00AB47DC"/>
    <w:rsid w:val="00AB5A16"/>
    <w:rsid w:val="00AB5C00"/>
    <w:rsid w:val="00AB5EFF"/>
    <w:rsid w:val="00AB649C"/>
    <w:rsid w:val="00AB76EE"/>
    <w:rsid w:val="00AC071B"/>
    <w:rsid w:val="00AC0B11"/>
    <w:rsid w:val="00AC0CA2"/>
    <w:rsid w:val="00AC154A"/>
    <w:rsid w:val="00AC1FCA"/>
    <w:rsid w:val="00AC2120"/>
    <w:rsid w:val="00AC233B"/>
    <w:rsid w:val="00AC3299"/>
    <w:rsid w:val="00AC3588"/>
    <w:rsid w:val="00AC3696"/>
    <w:rsid w:val="00AC3DC6"/>
    <w:rsid w:val="00AC3E8F"/>
    <w:rsid w:val="00AC40CE"/>
    <w:rsid w:val="00AC5789"/>
    <w:rsid w:val="00AC5867"/>
    <w:rsid w:val="00AC58E7"/>
    <w:rsid w:val="00AC595C"/>
    <w:rsid w:val="00AC5B82"/>
    <w:rsid w:val="00AC67DB"/>
    <w:rsid w:val="00AC7439"/>
    <w:rsid w:val="00AC748D"/>
    <w:rsid w:val="00AC7690"/>
    <w:rsid w:val="00AC7E22"/>
    <w:rsid w:val="00AD0140"/>
    <w:rsid w:val="00AD0561"/>
    <w:rsid w:val="00AD0B43"/>
    <w:rsid w:val="00AD12AD"/>
    <w:rsid w:val="00AD17D0"/>
    <w:rsid w:val="00AD1BEF"/>
    <w:rsid w:val="00AD1CC9"/>
    <w:rsid w:val="00AD1F8D"/>
    <w:rsid w:val="00AD201C"/>
    <w:rsid w:val="00AD274D"/>
    <w:rsid w:val="00AD3633"/>
    <w:rsid w:val="00AD38A7"/>
    <w:rsid w:val="00AD4567"/>
    <w:rsid w:val="00AD4BF7"/>
    <w:rsid w:val="00AD4CCE"/>
    <w:rsid w:val="00AD4F29"/>
    <w:rsid w:val="00AD5428"/>
    <w:rsid w:val="00AD5799"/>
    <w:rsid w:val="00AD6DAB"/>
    <w:rsid w:val="00AD7619"/>
    <w:rsid w:val="00AD7F43"/>
    <w:rsid w:val="00AE02C7"/>
    <w:rsid w:val="00AE0825"/>
    <w:rsid w:val="00AE0D0E"/>
    <w:rsid w:val="00AE1032"/>
    <w:rsid w:val="00AE119D"/>
    <w:rsid w:val="00AE1C62"/>
    <w:rsid w:val="00AE2BDC"/>
    <w:rsid w:val="00AE2E8A"/>
    <w:rsid w:val="00AE3525"/>
    <w:rsid w:val="00AE3A44"/>
    <w:rsid w:val="00AE3EE2"/>
    <w:rsid w:val="00AE4660"/>
    <w:rsid w:val="00AE4783"/>
    <w:rsid w:val="00AE57A1"/>
    <w:rsid w:val="00AE5A53"/>
    <w:rsid w:val="00AE68BB"/>
    <w:rsid w:val="00AE779C"/>
    <w:rsid w:val="00AE7855"/>
    <w:rsid w:val="00AF01C2"/>
    <w:rsid w:val="00AF0B11"/>
    <w:rsid w:val="00AF0FCC"/>
    <w:rsid w:val="00AF128A"/>
    <w:rsid w:val="00AF16C1"/>
    <w:rsid w:val="00AF1AAA"/>
    <w:rsid w:val="00AF2051"/>
    <w:rsid w:val="00AF206C"/>
    <w:rsid w:val="00AF27F7"/>
    <w:rsid w:val="00AF4C36"/>
    <w:rsid w:val="00AF5299"/>
    <w:rsid w:val="00AF61D6"/>
    <w:rsid w:val="00AF6522"/>
    <w:rsid w:val="00AF673A"/>
    <w:rsid w:val="00AF682C"/>
    <w:rsid w:val="00AF69B0"/>
    <w:rsid w:val="00AF7024"/>
    <w:rsid w:val="00AF7747"/>
    <w:rsid w:val="00AF7831"/>
    <w:rsid w:val="00B0021E"/>
    <w:rsid w:val="00B020C7"/>
    <w:rsid w:val="00B026F9"/>
    <w:rsid w:val="00B03220"/>
    <w:rsid w:val="00B04563"/>
    <w:rsid w:val="00B04CE5"/>
    <w:rsid w:val="00B0514E"/>
    <w:rsid w:val="00B054F8"/>
    <w:rsid w:val="00B05DC5"/>
    <w:rsid w:val="00B05F43"/>
    <w:rsid w:val="00B06499"/>
    <w:rsid w:val="00B064E6"/>
    <w:rsid w:val="00B07F9A"/>
    <w:rsid w:val="00B1064C"/>
    <w:rsid w:val="00B115EA"/>
    <w:rsid w:val="00B117F6"/>
    <w:rsid w:val="00B11C2E"/>
    <w:rsid w:val="00B121FD"/>
    <w:rsid w:val="00B12AA4"/>
    <w:rsid w:val="00B12F00"/>
    <w:rsid w:val="00B13473"/>
    <w:rsid w:val="00B135AD"/>
    <w:rsid w:val="00B138DA"/>
    <w:rsid w:val="00B14558"/>
    <w:rsid w:val="00B15C01"/>
    <w:rsid w:val="00B15D84"/>
    <w:rsid w:val="00B15E55"/>
    <w:rsid w:val="00B16F37"/>
    <w:rsid w:val="00B17A19"/>
    <w:rsid w:val="00B205C4"/>
    <w:rsid w:val="00B206E0"/>
    <w:rsid w:val="00B2175E"/>
    <w:rsid w:val="00B23D60"/>
    <w:rsid w:val="00B23F01"/>
    <w:rsid w:val="00B24027"/>
    <w:rsid w:val="00B25300"/>
    <w:rsid w:val="00B265B2"/>
    <w:rsid w:val="00B265C9"/>
    <w:rsid w:val="00B267CC"/>
    <w:rsid w:val="00B26B64"/>
    <w:rsid w:val="00B26E2D"/>
    <w:rsid w:val="00B271D4"/>
    <w:rsid w:val="00B27F30"/>
    <w:rsid w:val="00B304C0"/>
    <w:rsid w:val="00B311E4"/>
    <w:rsid w:val="00B31341"/>
    <w:rsid w:val="00B31CD9"/>
    <w:rsid w:val="00B321DD"/>
    <w:rsid w:val="00B324BC"/>
    <w:rsid w:val="00B3255C"/>
    <w:rsid w:val="00B328FF"/>
    <w:rsid w:val="00B32CBF"/>
    <w:rsid w:val="00B334B6"/>
    <w:rsid w:val="00B33CD2"/>
    <w:rsid w:val="00B340BC"/>
    <w:rsid w:val="00B346DC"/>
    <w:rsid w:val="00B34EEC"/>
    <w:rsid w:val="00B35674"/>
    <w:rsid w:val="00B35953"/>
    <w:rsid w:val="00B35C75"/>
    <w:rsid w:val="00B35D5F"/>
    <w:rsid w:val="00B3633C"/>
    <w:rsid w:val="00B363B5"/>
    <w:rsid w:val="00B3689E"/>
    <w:rsid w:val="00B368AC"/>
    <w:rsid w:val="00B36E29"/>
    <w:rsid w:val="00B3745B"/>
    <w:rsid w:val="00B37B17"/>
    <w:rsid w:val="00B40723"/>
    <w:rsid w:val="00B4155D"/>
    <w:rsid w:val="00B418A7"/>
    <w:rsid w:val="00B41A04"/>
    <w:rsid w:val="00B41EB2"/>
    <w:rsid w:val="00B424C7"/>
    <w:rsid w:val="00B42D7D"/>
    <w:rsid w:val="00B42E24"/>
    <w:rsid w:val="00B42E40"/>
    <w:rsid w:val="00B43959"/>
    <w:rsid w:val="00B4463E"/>
    <w:rsid w:val="00B44B43"/>
    <w:rsid w:val="00B45552"/>
    <w:rsid w:val="00B46483"/>
    <w:rsid w:val="00B46AB3"/>
    <w:rsid w:val="00B46B88"/>
    <w:rsid w:val="00B46FAB"/>
    <w:rsid w:val="00B4729C"/>
    <w:rsid w:val="00B47403"/>
    <w:rsid w:val="00B4763B"/>
    <w:rsid w:val="00B476C0"/>
    <w:rsid w:val="00B4773C"/>
    <w:rsid w:val="00B479F4"/>
    <w:rsid w:val="00B47BA0"/>
    <w:rsid w:val="00B47D47"/>
    <w:rsid w:val="00B47E1E"/>
    <w:rsid w:val="00B5017B"/>
    <w:rsid w:val="00B5032B"/>
    <w:rsid w:val="00B506E4"/>
    <w:rsid w:val="00B509C1"/>
    <w:rsid w:val="00B510B4"/>
    <w:rsid w:val="00B517E8"/>
    <w:rsid w:val="00B52095"/>
    <w:rsid w:val="00B53091"/>
    <w:rsid w:val="00B53139"/>
    <w:rsid w:val="00B5336B"/>
    <w:rsid w:val="00B537E0"/>
    <w:rsid w:val="00B54EF4"/>
    <w:rsid w:val="00B55072"/>
    <w:rsid w:val="00B55962"/>
    <w:rsid w:val="00B56191"/>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52AA"/>
    <w:rsid w:val="00B653E5"/>
    <w:rsid w:val="00B65FB7"/>
    <w:rsid w:val="00B6672F"/>
    <w:rsid w:val="00B67BC5"/>
    <w:rsid w:val="00B703E8"/>
    <w:rsid w:val="00B70A57"/>
    <w:rsid w:val="00B70C0B"/>
    <w:rsid w:val="00B70DC8"/>
    <w:rsid w:val="00B718EF"/>
    <w:rsid w:val="00B71A6E"/>
    <w:rsid w:val="00B720F5"/>
    <w:rsid w:val="00B721F9"/>
    <w:rsid w:val="00B728C4"/>
    <w:rsid w:val="00B73631"/>
    <w:rsid w:val="00B741C0"/>
    <w:rsid w:val="00B741C6"/>
    <w:rsid w:val="00B745B7"/>
    <w:rsid w:val="00B74A83"/>
    <w:rsid w:val="00B756E6"/>
    <w:rsid w:val="00B75872"/>
    <w:rsid w:val="00B75E2C"/>
    <w:rsid w:val="00B76AED"/>
    <w:rsid w:val="00B76B09"/>
    <w:rsid w:val="00B77230"/>
    <w:rsid w:val="00B772B7"/>
    <w:rsid w:val="00B7748A"/>
    <w:rsid w:val="00B77A5E"/>
    <w:rsid w:val="00B77C39"/>
    <w:rsid w:val="00B807E3"/>
    <w:rsid w:val="00B81863"/>
    <w:rsid w:val="00B81A00"/>
    <w:rsid w:val="00B81E94"/>
    <w:rsid w:val="00B82233"/>
    <w:rsid w:val="00B825A0"/>
    <w:rsid w:val="00B828D6"/>
    <w:rsid w:val="00B82907"/>
    <w:rsid w:val="00B83018"/>
    <w:rsid w:val="00B83267"/>
    <w:rsid w:val="00B83DF3"/>
    <w:rsid w:val="00B848B8"/>
    <w:rsid w:val="00B849AE"/>
    <w:rsid w:val="00B84B86"/>
    <w:rsid w:val="00B84CC2"/>
    <w:rsid w:val="00B8572D"/>
    <w:rsid w:val="00B85ED6"/>
    <w:rsid w:val="00B8672C"/>
    <w:rsid w:val="00B86795"/>
    <w:rsid w:val="00B87188"/>
    <w:rsid w:val="00B8761E"/>
    <w:rsid w:val="00B8777D"/>
    <w:rsid w:val="00B9087F"/>
    <w:rsid w:val="00B9088A"/>
    <w:rsid w:val="00B91132"/>
    <w:rsid w:val="00B9124A"/>
    <w:rsid w:val="00B913CD"/>
    <w:rsid w:val="00B91407"/>
    <w:rsid w:val="00B9168A"/>
    <w:rsid w:val="00B924EC"/>
    <w:rsid w:val="00B92518"/>
    <w:rsid w:val="00B925F0"/>
    <w:rsid w:val="00B92ABC"/>
    <w:rsid w:val="00B92EB2"/>
    <w:rsid w:val="00B92F76"/>
    <w:rsid w:val="00B939D2"/>
    <w:rsid w:val="00B939DD"/>
    <w:rsid w:val="00B93D18"/>
    <w:rsid w:val="00B93E23"/>
    <w:rsid w:val="00B941FC"/>
    <w:rsid w:val="00B94429"/>
    <w:rsid w:val="00B9471C"/>
    <w:rsid w:val="00B950B2"/>
    <w:rsid w:val="00B95618"/>
    <w:rsid w:val="00B9594B"/>
    <w:rsid w:val="00B95F1B"/>
    <w:rsid w:val="00BA0520"/>
    <w:rsid w:val="00BA083C"/>
    <w:rsid w:val="00BA161A"/>
    <w:rsid w:val="00BA18C0"/>
    <w:rsid w:val="00BA1DBF"/>
    <w:rsid w:val="00BA23C3"/>
    <w:rsid w:val="00BA4511"/>
    <w:rsid w:val="00BA4F83"/>
    <w:rsid w:val="00BA58DF"/>
    <w:rsid w:val="00BA5D74"/>
    <w:rsid w:val="00BA6006"/>
    <w:rsid w:val="00BA6346"/>
    <w:rsid w:val="00BA64CB"/>
    <w:rsid w:val="00BA6A12"/>
    <w:rsid w:val="00BA71BF"/>
    <w:rsid w:val="00BA787F"/>
    <w:rsid w:val="00BA7AAC"/>
    <w:rsid w:val="00BB01C3"/>
    <w:rsid w:val="00BB08CB"/>
    <w:rsid w:val="00BB0C28"/>
    <w:rsid w:val="00BB0F0E"/>
    <w:rsid w:val="00BB146A"/>
    <w:rsid w:val="00BB2B43"/>
    <w:rsid w:val="00BB32ED"/>
    <w:rsid w:val="00BB3498"/>
    <w:rsid w:val="00BB36DE"/>
    <w:rsid w:val="00BB3E86"/>
    <w:rsid w:val="00BB3FE4"/>
    <w:rsid w:val="00BB494B"/>
    <w:rsid w:val="00BB50A4"/>
    <w:rsid w:val="00BB5D5F"/>
    <w:rsid w:val="00BB7195"/>
    <w:rsid w:val="00BB790E"/>
    <w:rsid w:val="00BC05B0"/>
    <w:rsid w:val="00BC05C3"/>
    <w:rsid w:val="00BC180F"/>
    <w:rsid w:val="00BC1E35"/>
    <w:rsid w:val="00BC21C7"/>
    <w:rsid w:val="00BC241E"/>
    <w:rsid w:val="00BC2E8E"/>
    <w:rsid w:val="00BC3412"/>
    <w:rsid w:val="00BC4DBE"/>
    <w:rsid w:val="00BC63F4"/>
    <w:rsid w:val="00BC63FC"/>
    <w:rsid w:val="00BC6961"/>
    <w:rsid w:val="00BC7183"/>
    <w:rsid w:val="00BC74DE"/>
    <w:rsid w:val="00BC7A0E"/>
    <w:rsid w:val="00BD184B"/>
    <w:rsid w:val="00BD1CD3"/>
    <w:rsid w:val="00BD209D"/>
    <w:rsid w:val="00BD24B2"/>
    <w:rsid w:val="00BD2EDE"/>
    <w:rsid w:val="00BD3118"/>
    <w:rsid w:val="00BD3513"/>
    <w:rsid w:val="00BD3B51"/>
    <w:rsid w:val="00BD42E9"/>
    <w:rsid w:val="00BD4792"/>
    <w:rsid w:val="00BD4E67"/>
    <w:rsid w:val="00BD5030"/>
    <w:rsid w:val="00BD5713"/>
    <w:rsid w:val="00BD5817"/>
    <w:rsid w:val="00BD5925"/>
    <w:rsid w:val="00BD602B"/>
    <w:rsid w:val="00BD7263"/>
    <w:rsid w:val="00BD78D7"/>
    <w:rsid w:val="00BD7F9F"/>
    <w:rsid w:val="00BE07AC"/>
    <w:rsid w:val="00BE0C86"/>
    <w:rsid w:val="00BE1061"/>
    <w:rsid w:val="00BE1289"/>
    <w:rsid w:val="00BE2264"/>
    <w:rsid w:val="00BE3094"/>
    <w:rsid w:val="00BE37DC"/>
    <w:rsid w:val="00BE3B00"/>
    <w:rsid w:val="00BE3B3E"/>
    <w:rsid w:val="00BE41DC"/>
    <w:rsid w:val="00BE4863"/>
    <w:rsid w:val="00BE49AB"/>
    <w:rsid w:val="00BE5018"/>
    <w:rsid w:val="00BE507F"/>
    <w:rsid w:val="00BE543A"/>
    <w:rsid w:val="00BE58BB"/>
    <w:rsid w:val="00BE5966"/>
    <w:rsid w:val="00BE6B51"/>
    <w:rsid w:val="00BE75DD"/>
    <w:rsid w:val="00BE7EFB"/>
    <w:rsid w:val="00BF05A5"/>
    <w:rsid w:val="00BF1906"/>
    <w:rsid w:val="00BF1B97"/>
    <w:rsid w:val="00BF1C4E"/>
    <w:rsid w:val="00BF1DA4"/>
    <w:rsid w:val="00BF1DBC"/>
    <w:rsid w:val="00BF1FAE"/>
    <w:rsid w:val="00BF2B6C"/>
    <w:rsid w:val="00BF3192"/>
    <w:rsid w:val="00BF53FC"/>
    <w:rsid w:val="00BF556F"/>
    <w:rsid w:val="00BF5C20"/>
    <w:rsid w:val="00BF608C"/>
    <w:rsid w:val="00BF655D"/>
    <w:rsid w:val="00BF6ADF"/>
    <w:rsid w:val="00C00351"/>
    <w:rsid w:val="00C006D6"/>
    <w:rsid w:val="00C00D44"/>
    <w:rsid w:val="00C01060"/>
    <w:rsid w:val="00C0136B"/>
    <w:rsid w:val="00C01781"/>
    <w:rsid w:val="00C02059"/>
    <w:rsid w:val="00C028EB"/>
    <w:rsid w:val="00C02BA5"/>
    <w:rsid w:val="00C0348A"/>
    <w:rsid w:val="00C042D8"/>
    <w:rsid w:val="00C044BB"/>
    <w:rsid w:val="00C045DF"/>
    <w:rsid w:val="00C045E4"/>
    <w:rsid w:val="00C05306"/>
    <w:rsid w:val="00C055A1"/>
    <w:rsid w:val="00C05906"/>
    <w:rsid w:val="00C06A41"/>
    <w:rsid w:val="00C0702C"/>
    <w:rsid w:val="00C0750A"/>
    <w:rsid w:val="00C078FC"/>
    <w:rsid w:val="00C07ADD"/>
    <w:rsid w:val="00C07F02"/>
    <w:rsid w:val="00C10A70"/>
    <w:rsid w:val="00C112A7"/>
    <w:rsid w:val="00C11D64"/>
    <w:rsid w:val="00C120CE"/>
    <w:rsid w:val="00C126BB"/>
    <w:rsid w:val="00C127A3"/>
    <w:rsid w:val="00C127AC"/>
    <w:rsid w:val="00C1302F"/>
    <w:rsid w:val="00C13044"/>
    <w:rsid w:val="00C1307F"/>
    <w:rsid w:val="00C13A65"/>
    <w:rsid w:val="00C13CDF"/>
    <w:rsid w:val="00C1509B"/>
    <w:rsid w:val="00C156BF"/>
    <w:rsid w:val="00C15B03"/>
    <w:rsid w:val="00C16528"/>
    <w:rsid w:val="00C166F5"/>
    <w:rsid w:val="00C16D6D"/>
    <w:rsid w:val="00C17449"/>
    <w:rsid w:val="00C176EB"/>
    <w:rsid w:val="00C17A6B"/>
    <w:rsid w:val="00C20886"/>
    <w:rsid w:val="00C209DB"/>
    <w:rsid w:val="00C20E48"/>
    <w:rsid w:val="00C21470"/>
    <w:rsid w:val="00C21DEA"/>
    <w:rsid w:val="00C2330D"/>
    <w:rsid w:val="00C2368A"/>
    <w:rsid w:val="00C23A39"/>
    <w:rsid w:val="00C23B7C"/>
    <w:rsid w:val="00C23ECA"/>
    <w:rsid w:val="00C24245"/>
    <w:rsid w:val="00C2443C"/>
    <w:rsid w:val="00C25232"/>
    <w:rsid w:val="00C262A4"/>
    <w:rsid w:val="00C26540"/>
    <w:rsid w:val="00C2664A"/>
    <w:rsid w:val="00C266AF"/>
    <w:rsid w:val="00C26B21"/>
    <w:rsid w:val="00C27601"/>
    <w:rsid w:val="00C302BB"/>
    <w:rsid w:val="00C30D51"/>
    <w:rsid w:val="00C317F1"/>
    <w:rsid w:val="00C31C55"/>
    <w:rsid w:val="00C31EFB"/>
    <w:rsid w:val="00C324B0"/>
    <w:rsid w:val="00C333C6"/>
    <w:rsid w:val="00C34150"/>
    <w:rsid w:val="00C34497"/>
    <w:rsid w:val="00C34A08"/>
    <w:rsid w:val="00C353C6"/>
    <w:rsid w:val="00C35762"/>
    <w:rsid w:val="00C358C0"/>
    <w:rsid w:val="00C35EA7"/>
    <w:rsid w:val="00C364C5"/>
    <w:rsid w:val="00C36541"/>
    <w:rsid w:val="00C36606"/>
    <w:rsid w:val="00C37937"/>
    <w:rsid w:val="00C37B51"/>
    <w:rsid w:val="00C4024A"/>
    <w:rsid w:val="00C40617"/>
    <w:rsid w:val="00C40643"/>
    <w:rsid w:val="00C40835"/>
    <w:rsid w:val="00C413D4"/>
    <w:rsid w:val="00C41844"/>
    <w:rsid w:val="00C41F12"/>
    <w:rsid w:val="00C421E5"/>
    <w:rsid w:val="00C428F6"/>
    <w:rsid w:val="00C43767"/>
    <w:rsid w:val="00C4398D"/>
    <w:rsid w:val="00C44935"/>
    <w:rsid w:val="00C44979"/>
    <w:rsid w:val="00C44E5F"/>
    <w:rsid w:val="00C44F0F"/>
    <w:rsid w:val="00C457B7"/>
    <w:rsid w:val="00C45F27"/>
    <w:rsid w:val="00C46519"/>
    <w:rsid w:val="00C47424"/>
    <w:rsid w:val="00C47C61"/>
    <w:rsid w:val="00C50295"/>
    <w:rsid w:val="00C50298"/>
    <w:rsid w:val="00C50F53"/>
    <w:rsid w:val="00C50FDC"/>
    <w:rsid w:val="00C512FB"/>
    <w:rsid w:val="00C51DA1"/>
    <w:rsid w:val="00C5295F"/>
    <w:rsid w:val="00C52B71"/>
    <w:rsid w:val="00C53DC0"/>
    <w:rsid w:val="00C53FD7"/>
    <w:rsid w:val="00C53FE3"/>
    <w:rsid w:val="00C540C4"/>
    <w:rsid w:val="00C542D7"/>
    <w:rsid w:val="00C54534"/>
    <w:rsid w:val="00C551DC"/>
    <w:rsid w:val="00C554B2"/>
    <w:rsid w:val="00C55FFB"/>
    <w:rsid w:val="00C56B9A"/>
    <w:rsid w:val="00C57B5C"/>
    <w:rsid w:val="00C57CE8"/>
    <w:rsid w:val="00C6023D"/>
    <w:rsid w:val="00C60AD3"/>
    <w:rsid w:val="00C60D77"/>
    <w:rsid w:val="00C61087"/>
    <w:rsid w:val="00C61E86"/>
    <w:rsid w:val="00C62DAE"/>
    <w:rsid w:val="00C63A6F"/>
    <w:rsid w:val="00C643AC"/>
    <w:rsid w:val="00C647CD"/>
    <w:rsid w:val="00C65FF3"/>
    <w:rsid w:val="00C66094"/>
    <w:rsid w:val="00C6618F"/>
    <w:rsid w:val="00C66639"/>
    <w:rsid w:val="00C669FF"/>
    <w:rsid w:val="00C66F16"/>
    <w:rsid w:val="00C67C99"/>
    <w:rsid w:val="00C67F68"/>
    <w:rsid w:val="00C704DF"/>
    <w:rsid w:val="00C704FB"/>
    <w:rsid w:val="00C7067B"/>
    <w:rsid w:val="00C70E5F"/>
    <w:rsid w:val="00C71A97"/>
    <w:rsid w:val="00C71D9E"/>
    <w:rsid w:val="00C728F5"/>
    <w:rsid w:val="00C72B9B"/>
    <w:rsid w:val="00C73620"/>
    <w:rsid w:val="00C73C48"/>
    <w:rsid w:val="00C744BE"/>
    <w:rsid w:val="00C74947"/>
    <w:rsid w:val="00C75023"/>
    <w:rsid w:val="00C754C3"/>
    <w:rsid w:val="00C75856"/>
    <w:rsid w:val="00C75A2C"/>
    <w:rsid w:val="00C75A64"/>
    <w:rsid w:val="00C75AAC"/>
    <w:rsid w:val="00C75CB1"/>
    <w:rsid w:val="00C76656"/>
    <w:rsid w:val="00C76C17"/>
    <w:rsid w:val="00C7782F"/>
    <w:rsid w:val="00C77A26"/>
    <w:rsid w:val="00C77B84"/>
    <w:rsid w:val="00C77E27"/>
    <w:rsid w:val="00C804D9"/>
    <w:rsid w:val="00C80A90"/>
    <w:rsid w:val="00C81726"/>
    <w:rsid w:val="00C81F4C"/>
    <w:rsid w:val="00C82719"/>
    <w:rsid w:val="00C83452"/>
    <w:rsid w:val="00C83C55"/>
    <w:rsid w:val="00C84617"/>
    <w:rsid w:val="00C846FD"/>
    <w:rsid w:val="00C849C9"/>
    <w:rsid w:val="00C84AC0"/>
    <w:rsid w:val="00C85107"/>
    <w:rsid w:val="00C8568F"/>
    <w:rsid w:val="00C857BF"/>
    <w:rsid w:val="00C85831"/>
    <w:rsid w:val="00C85BBC"/>
    <w:rsid w:val="00C86B94"/>
    <w:rsid w:val="00C86D82"/>
    <w:rsid w:val="00C86E6F"/>
    <w:rsid w:val="00C86EC6"/>
    <w:rsid w:val="00C86F57"/>
    <w:rsid w:val="00C87047"/>
    <w:rsid w:val="00C8711F"/>
    <w:rsid w:val="00C8777E"/>
    <w:rsid w:val="00C87808"/>
    <w:rsid w:val="00C90817"/>
    <w:rsid w:val="00C9114B"/>
    <w:rsid w:val="00C918C5"/>
    <w:rsid w:val="00C9216A"/>
    <w:rsid w:val="00C923ED"/>
    <w:rsid w:val="00C9243C"/>
    <w:rsid w:val="00C934B5"/>
    <w:rsid w:val="00C93BF1"/>
    <w:rsid w:val="00C95D80"/>
    <w:rsid w:val="00C9623F"/>
    <w:rsid w:val="00C96BD9"/>
    <w:rsid w:val="00C971B1"/>
    <w:rsid w:val="00C97CC3"/>
    <w:rsid w:val="00C97FC7"/>
    <w:rsid w:val="00CA018B"/>
    <w:rsid w:val="00CA1663"/>
    <w:rsid w:val="00CA24D8"/>
    <w:rsid w:val="00CA2806"/>
    <w:rsid w:val="00CA2B63"/>
    <w:rsid w:val="00CA2C9F"/>
    <w:rsid w:val="00CA3782"/>
    <w:rsid w:val="00CA3B99"/>
    <w:rsid w:val="00CA41C2"/>
    <w:rsid w:val="00CA44D8"/>
    <w:rsid w:val="00CA50F9"/>
    <w:rsid w:val="00CA5287"/>
    <w:rsid w:val="00CA56B5"/>
    <w:rsid w:val="00CA5776"/>
    <w:rsid w:val="00CA6357"/>
    <w:rsid w:val="00CA64DC"/>
    <w:rsid w:val="00CA6638"/>
    <w:rsid w:val="00CA6C65"/>
    <w:rsid w:val="00CA6DF1"/>
    <w:rsid w:val="00CA75EB"/>
    <w:rsid w:val="00CB000E"/>
    <w:rsid w:val="00CB06C3"/>
    <w:rsid w:val="00CB11B8"/>
    <w:rsid w:val="00CB158E"/>
    <w:rsid w:val="00CB1656"/>
    <w:rsid w:val="00CB1B6E"/>
    <w:rsid w:val="00CB1DC4"/>
    <w:rsid w:val="00CB220F"/>
    <w:rsid w:val="00CB28EE"/>
    <w:rsid w:val="00CB2E81"/>
    <w:rsid w:val="00CB3044"/>
    <w:rsid w:val="00CB3C6D"/>
    <w:rsid w:val="00CB446A"/>
    <w:rsid w:val="00CB5900"/>
    <w:rsid w:val="00CB5CEC"/>
    <w:rsid w:val="00CB5E9E"/>
    <w:rsid w:val="00CB6355"/>
    <w:rsid w:val="00CB6710"/>
    <w:rsid w:val="00CB6F6D"/>
    <w:rsid w:val="00CB7CA6"/>
    <w:rsid w:val="00CB7E72"/>
    <w:rsid w:val="00CC005F"/>
    <w:rsid w:val="00CC02DC"/>
    <w:rsid w:val="00CC040A"/>
    <w:rsid w:val="00CC11E8"/>
    <w:rsid w:val="00CC1257"/>
    <w:rsid w:val="00CC12BB"/>
    <w:rsid w:val="00CC21F0"/>
    <w:rsid w:val="00CC230C"/>
    <w:rsid w:val="00CC255D"/>
    <w:rsid w:val="00CC2FA8"/>
    <w:rsid w:val="00CC3FEB"/>
    <w:rsid w:val="00CC409C"/>
    <w:rsid w:val="00CC44B0"/>
    <w:rsid w:val="00CC57A7"/>
    <w:rsid w:val="00CC6B7C"/>
    <w:rsid w:val="00CD087B"/>
    <w:rsid w:val="00CD131D"/>
    <w:rsid w:val="00CD1D4D"/>
    <w:rsid w:val="00CD1F13"/>
    <w:rsid w:val="00CD262C"/>
    <w:rsid w:val="00CD2DB8"/>
    <w:rsid w:val="00CD3171"/>
    <w:rsid w:val="00CD3254"/>
    <w:rsid w:val="00CD3E6C"/>
    <w:rsid w:val="00CD4BEE"/>
    <w:rsid w:val="00CD4CD3"/>
    <w:rsid w:val="00CD54F0"/>
    <w:rsid w:val="00CD5D9A"/>
    <w:rsid w:val="00CD6589"/>
    <w:rsid w:val="00CD6B31"/>
    <w:rsid w:val="00CD7071"/>
    <w:rsid w:val="00CD7E35"/>
    <w:rsid w:val="00CE05E0"/>
    <w:rsid w:val="00CE06AC"/>
    <w:rsid w:val="00CE0B57"/>
    <w:rsid w:val="00CE0D5E"/>
    <w:rsid w:val="00CE11D1"/>
    <w:rsid w:val="00CE14F4"/>
    <w:rsid w:val="00CE2B0B"/>
    <w:rsid w:val="00CE2E84"/>
    <w:rsid w:val="00CE3A07"/>
    <w:rsid w:val="00CE3FB9"/>
    <w:rsid w:val="00CE41F9"/>
    <w:rsid w:val="00CE4BBD"/>
    <w:rsid w:val="00CE52D2"/>
    <w:rsid w:val="00CE5EB5"/>
    <w:rsid w:val="00CE5F97"/>
    <w:rsid w:val="00CE62A6"/>
    <w:rsid w:val="00CE63AE"/>
    <w:rsid w:val="00CE734A"/>
    <w:rsid w:val="00CE735B"/>
    <w:rsid w:val="00CE7D8A"/>
    <w:rsid w:val="00CF00DE"/>
    <w:rsid w:val="00CF0C4D"/>
    <w:rsid w:val="00CF104A"/>
    <w:rsid w:val="00CF13F6"/>
    <w:rsid w:val="00CF1C02"/>
    <w:rsid w:val="00CF26A3"/>
    <w:rsid w:val="00CF2E4C"/>
    <w:rsid w:val="00CF310C"/>
    <w:rsid w:val="00CF5ED6"/>
    <w:rsid w:val="00CF756B"/>
    <w:rsid w:val="00CF7CC5"/>
    <w:rsid w:val="00D002A7"/>
    <w:rsid w:val="00D003AA"/>
    <w:rsid w:val="00D0059B"/>
    <w:rsid w:val="00D01973"/>
    <w:rsid w:val="00D01F74"/>
    <w:rsid w:val="00D0240D"/>
    <w:rsid w:val="00D028C1"/>
    <w:rsid w:val="00D02B93"/>
    <w:rsid w:val="00D030CB"/>
    <w:rsid w:val="00D03EC7"/>
    <w:rsid w:val="00D040DB"/>
    <w:rsid w:val="00D057C9"/>
    <w:rsid w:val="00D057FA"/>
    <w:rsid w:val="00D06928"/>
    <w:rsid w:val="00D07139"/>
    <w:rsid w:val="00D0714C"/>
    <w:rsid w:val="00D07D35"/>
    <w:rsid w:val="00D10AB6"/>
    <w:rsid w:val="00D12F39"/>
    <w:rsid w:val="00D13EC8"/>
    <w:rsid w:val="00D14E37"/>
    <w:rsid w:val="00D14EF1"/>
    <w:rsid w:val="00D151BE"/>
    <w:rsid w:val="00D154E0"/>
    <w:rsid w:val="00D17854"/>
    <w:rsid w:val="00D17C4E"/>
    <w:rsid w:val="00D20961"/>
    <w:rsid w:val="00D20C7E"/>
    <w:rsid w:val="00D2114C"/>
    <w:rsid w:val="00D21805"/>
    <w:rsid w:val="00D222BC"/>
    <w:rsid w:val="00D229B3"/>
    <w:rsid w:val="00D22FF8"/>
    <w:rsid w:val="00D234B2"/>
    <w:rsid w:val="00D23789"/>
    <w:rsid w:val="00D23A17"/>
    <w:rsid w:val="00D245DE"/>
    <w:rsid w:val="00D24EFF"/>
    <w:rsid w:val="00D26176"/>
    <w:rsid w:val="00D264C1"/>
    <w:rsid w:val="00D26CE8"/>
    <w:rsid w:val="00D26DD0"/>
    <w:rsid w:val="00D27B2E"/>
    <w:rsid w:val="00D30BEE"/>
    <w:rsid w:val="00D31960"/>
    <w:rsid w:val="00D319CD"/>
    <w:rsid w:val="00D31FEB"/>
    <w:rsid w:val="00D32529"/>
    <w:rsid w:val="00D32595"/>
    <w:rsid w:val="00D334FB"/>
    <w:rsid w:val="00D337C9"/>
    <w:rsid w:val="00D3488D"/>
    <w:rsid w:val="00D34FC1"/>
    <w:rsid w:val="00D354E8"/>
    <w:rsid w:val="00D3563F"/>
    <w:rsid w:val="00D35FDB"/>
    <w:rsid w:val="00D36660"/>
    <w:rsid w:val="00D36740"/>
    <w:rsid w:val="00D37156"/>
    <w:rsid w:val="00D37178"/>
    <w:rsid w:val="00D377B9"/>
    <w:rsid w:val="00D3799F"/>
    <w:rsid w:val="00D379AE"/>
    <w:rsid w:val="00D37FC6"/>
    <w:rsid w:val="00D3E467"/>
    <w:rsid w:val="00D40242"/>
    <w:rsid w:val="00D40416"/>
    <w:rsid w:val="00D4065E"/>
    <w:rsid w:val="00D40A81"/>
    <w:rsid w:val="00D41115"/>
    <w:rsid w:val="00D41545"/>
    <w:rsid w:val="00D41B45"/>
    <w:rsid w:val="00D41B46"/>
    <w:rsid w:val="00D422CE"/>
    <w:rsid w:val="00D42D76"/>
    <w:rsid w:val="00D42E36"/>
    <w:rsid w:val="00D43276"/>
    <w:rsid w:val="00D4332E"/>
    <w:rsid w:val="00D439FE"/>
    <w:rsid w:val="00D4412D"/>
    <w:rsid w:val="00D44E73"/>
    <w:rsid w:val="00D4518C"/>
    <w:rsid w:val="00D4526C"/>
    <w:rsid w:val="00D453DA"/>
    <w:rsid w:val="00D454FF"/>
    <w:rsid w:val="00D45545"/>
    <w:rsid w:val="00D4610B"/>
    <w:rsid w:val="00D46426"/>
    <w:rsid w:val="00D47541"/>
    <w:rsid w:val="00D47D17"/>
    <w:rsid w:val="00D47E8F"/>
    <w:rsid w:val="00D5099E"/>
    <w:rsid w:val="00D50FCB"/>
    <w:rsid w:val="00D51229"/>
    <w:rsid w:val="00D51494"/>
    <w:rsid w:val="00D518BE"/>
    <w:rsid w:val="00D52602"/>
    <w:rsid w:val="00D52792"/>
    <w:rsid w:val="00D52BFE"/>
    <w:rsid w:val="00D53497"/>
    <w:rsid w:val="00D5375C"/>
    <w:rsid w:val="00D537BD"/>
    <w:rsid w:val="00D53ACC"/>
    <w:rsid w:val="00D53DFB"/>
    <w:rsid w:val="00D544D2"/>
    <w:rsid w:val="00D5490E"/>
    <w:rsid w:val="00D54A3A"/>
    <w:rsid w:val="00D54E6F"/>
    <w:rsid w:val="00D5584E"/>
    <w:rsid w:val="00D55E0C"/>
    <w:rsid w:val="00D560C8"/>
    <w:rsid w:val="00D563D4"/>
    <w:rsid w:val="00D56652"/>
    <w:rsid w:val="00D5674B"/>
    <w:rsid w:val="00D56BBA"/>
    <w:rsid w:val="00D57889"/>
    <w:rsid w:val="00D57E96"/>
    <w:rsid w:val="00D60506"/>
    <w:rsid w:val="00D610C0"/>
    <w:rsid w:val="00D614BE"/>
    <w:rsid w:val="00D61B9B"/>
    <w:rsid w:val="00D61DFD"/>
    <w:rsid w:val="00D62982"/>
    <w:rsid w:val="00D62B7D"/>
    <w:rsid w:val="00D62C19"/>
    <w:rsid w:val="00D6311C"/>
    <w:rsid w:val="00D63E51"/>
    <w:rsid w:val="00D645C2"/>
    <w:rsid w:val="00D64601"/>
    <w:rsid w:val="00D647CB"/>
    <w:rsid w:val="00D65AD9"/>
    <w:rsid w:val="00D66DCD"/>
    <w:rsid w:val="00D67E80"/>
    <w:rsid w:val="00D71D56"/>
    <w:rsid w:val="00D722E5"/>
    <w:rsid w:val="00D72F06"/>
    <w:rsid w:val="00D730E0"/>
    <w:rsid w:val="00D7343B"/>
    <w:rsid w:val="00D745F9"/>
    <w:rsid w:val="00D747D7"/>
    <w:rsid w:val="00D74AD1"/>
    <w:rsid w:val="00D7580A"/>
    <w:rsid w:val="00D760DE"/>
    <w:rsid w:val="00D77D1C"/>
    <w:rsid w:val="00D77F6C"/>
    <w:rsid w:val="00D80249"/>
    <w:rsid w:val="00D8075B"/>
    <w:rsid w:val="00D80C71"/>
    <w:rsid w:val="00D81411"/>
    <w:rsid w:val="00D815BB"/>
    <w:rsid w:val="00D815F7"/>
    <w:rsid w:val="00D81B66"/>
    <w:rsid w:val="00D81CF5"/>
    <w:rsid w:val="00D81F9E"/>
    <w:rsid w:val="00D8201D"/>
    <w:rsid w:val="00D825D5"/>
    <w:rsid w:val="00D829E9"/>
    <w:rsid w:val="00D833E8"/>
    <w:rsid w:val="00D84754"/>
    <w:rsid w:val="00D84BC9"/>
    <w:rsid w:val="00D85135"/>
    <w:rsid w:val="00D852EE"/>
    <w:rsid w:val="00D85629"/>
    <w:rsid w:val="00D85CEF"/>
    <w:rsid w:val="00D86FCA"/>
    <w:rsid w:val="00D87424"/>
    <w:rsid w:val="00D90429"/>
    <w:rsid w:val="00D90934"/>
    <w:rsid w:val="00D90A47"/>
    <w:rsid w:val="00D90F41"/>
    <w:rsid w:val="00D911C9"/>
    <w:rsid w:val="00D912FF"/>
    <w:rsid w:val="00D91CD1"/>
    <w:rsid w:val="00D9219A"/>
    <w:rsid w:val="00D92451"/>
    <w:rsid w:val="00D93656"/>
    <w:rsid w:val="00D93FDF"/>
    <w:rsid w:val="00D94860"/>
    <w:rsid w:val="00D95450"/>
    <w:rsid w:val="00D95527"/>
    <w:rsid w:val="00D9587F"/>
    <w:rsid w:val="00D95C7E"/>
    <w:rsid w:val="00D9600B"/>
    <w:rsid w:val="00D97496"/>
    <w:rsid w:val="00D976EA"/>
    <w:rsid w:val="00D97822"/>
    <w:rsid w:val="00D979CF"/>
    <w:rsid w:val="00D97BF3"/>
    <w:rsid w:val="00DA05F1"/>
    <w:rsid w:val="00DA0689"/>
    <w:rsid w:val="00DA08E6"/>
    <w:rsid w:val="00DA10B5"/>
    <w:rsid w:val="00DA1259"/>
    <w:rsid w:val="00DA17E8"/>
    <w:rsid w:val="00DA1B8B"/>
    <w:rsid w:val="00DA3604"/>
    <w:rsid w:val="00DA3769"/>
    <w:rsid w:val="00DA3F2C"/>
    <w:rsid w:val="00DA4331"/>
    <w:rsid w:val="00DA4A8D"/>
    <w:rsid w:val="00DA4F7A"/>
    <w:rsid w:val="00DA57F3"/>
    <w:rsid w:val="00DA676E"/>
    <w:rsid w:val="00DA6886"/>
    <w:rsid w:val="00DA690F"/>
    <w:rsid w:val="00DA6DDE"/>
    <w:rsid w:val="00DA7092"/>
    <w:rsid w:val="00DA709C"/>
    <w:rsid w:val="00DA746F"/>
    <w:rsid w:val="00DA774E"/>
    <w:rsid w:val="00DA7C2F"/>
    <w:rsid w:val="00DA7C36"/>
    <w:rsid w:val="00DB040A"/>
    <w:rsid w:val="00DB0A3B"/>
    <w:rsid w:val="00DB16C8"/>
    <w:rsid w:val="00DB1D4E"/>
    <w:rsid w:val="00DB2109"/>
    <w:rsid w:val="00DB29B1"/>
    <w:rsid w:val="00DB33F9"/>
    <w:rsid w:val="00DB42F8"/>
    <w:rsid w:val="00DB5089"/>
    <w:rsid w:val="00DB5166"/>
    <w:rsid w:val="00DB5211"/>
    <w:rsid w:val="00DB5AE0"/>
    <w:rsid w:val="00DB620E"/>
    <w:rsid w:val="00DB63CE"/>
    <w:rsid w:val="00DB6732"/>
    <w:rsid w:val="00DB71A2"/>
    <w:rsid w:val="00DB7C1D"/>
    <w:rsid w:val="00DC093E"/>
    <w:rsid w:val="00DC1122"/>
    <w:rsid w:val="00DC1314"/>
    <w:rsid w:val="00DC14E1"/>
    <w:rsid w:val="00DC1697"/>
    <w:rsid w:val="00DC1BB0"/>
    <w:rsid w:val="00DC203F"/>
    <w:rsid w:val="00DC26BE"/>
    <w:rsid w:val="00DC27D9"/>
    <w:rsid w:val="00DC2AFF"/>
    <w:rsid w:val="00DC2E00"/>
    <w:rsid w:val="00DC3758"/>
    <w:rsid w:val="00DC4131"/>
    <w:rsid w:val="00DC4454"/>
    <w:rsid w:val="00DC44B1"/>
    <w:rsid w:val="00DC45DD"/>
    <w:rsid w:val="00DC4652"/>
    <w:rsid w:val="00DC4A23"/>
    <w:rsid w:val="00DC5606"/>
    <w:rsid w:val="00DC5654"/>
    <w:rsid w:val="00DC6D15"/>
    <w:rsid w:val="00DC6DDD"/>
    <w:rsid w:val="00DC6EEE"/>
    <w:rsid w:val="00DD00AA"/>
    <w:rsid w:val="00DD02C2"/>
    <w:rsid w:val="00DD02F6"/>
    <w:rsid w:val="00DD0369"/>
    <w:rsid w:val="00DD0563"/>
    <w:rsid w:val="00DD0D1E"/>
    <w:rsid w:val="00DD13C7"/>
    <w:rsid w:val="00DD304C"/>
    <w:rsid w:val="00DD38D6"/>
    <w:rsid w:val="00DD3944"/>
    <w:rsid w:val="00DD3FC1"/>
    <w:rsid w:val="00DD425D"/>
    <w:rsid w:val="00DD4D45"/>
    <w:rsid w:val="00DD4F18"/>
    <w:rsid w:val="00DD51BC"/>
    <w:rsid w:val="00DD5784"/>
    <w:rsid w:val="00DD6138"/>
    <w:rsid w:val="00DD61A1"/>
    <w:rsid w:val="00DD6509"/>
    <w:rsid w:val="00DD677C"/>
    <w:rsid w:val="00DD6B2A"/>
    <w:rsid w:val="00DD6DCA"/>
    <w:rsid w:val="00DD7445"/>
    <w:rsid w:val="00DD7939"/>
    <w:rsid w:val="00DE008B"/>
    <w:rsid w:val="00DE04AF"/>
    <w:rsid w:val="00DE0C0F"/>
    <w:rsid w:val="00DE137E"/>
    <w:rsid w:val="00DE1DB0"/>
    <w:rsid w:val="00DE1EEA"/>
    <w:rsid w:val="00DE3216"/>
    <w:rsid w:val="00DE3D89"/>
    <w:rsid w:val="00DE411A"/>
    <w:rsid w:val="00DE59D5"/>
    <w:rsid w:val="00DE5A00"/>
    <w:rsid w:val="00DE5DE7"/>
    <w:rsid w:val="00DE5EAF"/>
    <w:rsid w:val="00DE5EDE"/>
    <w:rsid w:val="00DE6771"/>
    <w:rsid w:val="00DE6F2D"/>
    <w:rsid w:val="00DE704E"/>
    <w:rsid w:val="00DE7272"/>
    <w:rsid w:val="00DE737E"/>
    <w:rsid w:val="00DE7E15"/>
    <w:rsid w:val="00DEF06F"/>
    <w:rsid w:val="00DF0C7D"/>
    <w:rsid w:val="00DF0F04"/>
    <w:rsid w:val="00DF10FD"/>
    <w:rsid w:val="00DF13B7"/>
    <w:rsid w:val="00DF1457"/>
    <w:rsid w:val="00DF150E"/>
    <w:rsid w:val="00DF29CE"/>
    <w:rsid w:val="00DF309F"/>
    <w:rsid w:val="00DF342C"/>
    <w:rsid w:val="00DF3493"/>
    <w:rsid w:val="00DF3496"/>
    <w:rsid w:val="00DF3937"/>
    <w:rsid w:val="00DF3CAB"/>
    <w:rsid w:val="00DF3EFC"/>
    <w:rsid w:val="00DF465B"/>
    <w:rsid w:val="00DF5434"/>
    <w:rsid w:val="00DF6B5D"/>
    <w:rsid w:val="00DF7193"/>
    <w:rsid w:val="00DF71F0"/>
    <w:rsid w:val="00DF7595"/>
    <w:rsid w:val="00DF7BA3"/>
    <w:rsid w:val="00E001A3"/>
    <w:rsid w:val="00E00A62"/>
    <w:rsid w:val="00E01191"/>
    <w:rsid w:val="00E0163F"/>
    <w:rsid w:val="00E019F3"/>
    <w:rsid w:val="00E01B93"/>
    <w:rsid w:val="00E01D6F"/>
    <w:rsid w:val="00E024E9"/>
    <w:rsid w:val="00E037CB"/>
    <w:rsid w:val="00E04751"/>
    <w:rsid w:val="00E047D7"/>
    <w:rsid w:val="00E04AF7"/>
    <w:rsid w:val="00E05039"/>
    <w:rsid w:val="00E0533D"/>
    <w:rsid w:val="00E0570A"/>
    <w:rsid w:val="00E05917"/>
    <w:rsid w:val="00E05EA8"/>
    <w:rsid w:val="00E06A98"/>
    <w:rsid w:val="00E07A46"/>
    <w:rsid w:val="00E07B32"/>
    <w:rsid w:val="00E11679"/>
    <w:rsid w:val="00E1232A"/>
    <w:rsid w:val="00E127A9"/>
    <w:rsid w:val="00E12AB4"/>
    <w:rsid w:val="00E12C7A"/>
    <w:rsid w:val="00E12DDB"/>
    <w:rsid w:val="00E1440C"/>
    <w:rsid w:val="00E1496B"/>
    <w:rsid w:val="00E14C7A"/>
    <w:rsid w:val="00E14FA2"/>
    <w:rsid w:val="00E15901"/>
    <w:rsid w:val="00E15A7A"/>
    <w:rsid w:val="00E15B89"/>
    <w:rsid w:val="00E1650C"/>
    <w:rsid w:val="00E17473"/>
    <w:rsid w:val="00E17548"/>
    <w:rsid w:val="00E17C6F"/>
    <w:rsid w:val="00E203B1"/>
    <w:rsid w:val="00E20725"/>
    <w:rsid w:val="00E209A2"/>
    <w:rsid w:val="00E20BB5"/>
    <w:rsid w:val="00E20C80"/>
    <w:rsid w:val="00E21109"/>
    <w:rsid w:val="00E215AC"/>
    <w:rsid w:val="00E21D2E"/>
    <w:rsid w:val="00E21FDF"/>
    <w:rsid w:val="00E22A77"/>
    <w:rsid w:val="00E22EDE"/>
    <w:rsid w:val="00E2367E"/>
    <w:rsid w:val="00E25FE9"/>
    <w:rsid w:val="00E2621C"/>
    <w:rsid w:val="00E26330"/>
    <w:rsid w:val="00E27FDF"/>
    <w:rsid w:val="00E2D5F4"/>
    <w:rsid w:val="00E3019A"/>
    <w:rsid w:val="00E30350"/>
    <w:rsid w:val="00E308F8"/>
    <w:rsid w:val="00E31577"/>
    <w:rsid w:val="00E316AC"/>
    <w:rsid w:val="00E31790"/>
    <w:rsid w:val="00E31AFA"/>
    <w:rsid w:val="00E3261E"/>
    <w:rsid w:val="00E3280D"/>
    <w:rsid w:val="00E32E34"/>
    <w:rsid w:val="00E33129"/>
    <w:rsid w:val="00E33945"/>
    <w:rsid w:val="00E33E40"/>
    <w:rsid w:val="00E345AB"/>
    <w:rsid w:val="00E34A1A"/>
    <w:rsid w:val="00E35C11"/>
    <w:rsid w:val="00E36E06"/>
    <w:rsid w:val="00E372E1"/>
    <w:rsid w:val="00E408B8"/>
    <w:rsid w:val="00E40DB4"/>
    <w:rsid w:val="00E412E0"/>
    <w:rsid w:val="00E415E6"/>
    <w:rsid w:val="00E4160C"/>
    <w:rsid w:val="00E418A4"/>
    <w:rsid w:val="00E41DAC"/>
    <w:rsid w:val="00E42E69"/>
    <w:rsid w:val="00E43C5F"/>
    <w:rsid w:val="00E4447C"/>
    <w:rsid w:val="00E446EF"/>
    <w:rsid w:val="00E44E4C"/>
    <w:rsid w:val="00E45988"/>
    <w:rsid w:val="00E45A28"/>
    <w:rsid w:val="00E45E23"/>
    <w:rsid w:val="00E46C35"/>
    <w:rsid w:val="00E4723B"/>
    <w:rsid w:val="00E4759B"/>
    <w:rsid w:val="00E47791"/>
    <w:rsid w:val="00E47A31"/>
    <w:rsid w:val="00E519E2"/>
    <w:rsid w:val="00E52280"/>
    <w:rsid w:val="00E5238F"/>
    <w:rsid w:val="00E52840"/>
    <w:rsid w:val="00E52A1C"/>
    <w:rsid w:val="00E52BC9"/>
    <w:rsid w:val="00E53AD7"/>
    <w:rsid w:val="00E5409A"/>
    <w:rsid w:val="00E54ACA"/>
    <w:rsid w:val="00E54B6A"/>
    <w:rsid w:val="00E54C6A"/>
    <w:rsid w:val="00E56595"/>
    <w:rsid w:val="00E56B3F"/>
    <w:rsid w:val="00E57987"/>
    <w:rsid w:val="00E57D4F"/>
    <w:rsid w:val="00E60676"/>
    <w:rsid w:val="00E613A3"/>
    <w:rsid w:val="00E61DC8"/>
    <w:rsid w:val="00E62303"/>
    <w:rsid w:val="00E623C2"/>
    <w:rsid w:val="00E628AF"/>
    <w:rsid w:val="00E6390C"/>
    <w:rsid w:val="00E639CA"/>
    <w:rsid w:val="00E648D4"/>
    <w:rsid w:val="00E64E03"/>
    <w:rsid w:val="00E65A59"/>
    <w:rsid w:val="00E65F70"/>
    <w:rsid w:val="00E66273"/>
    <w:rsid w:val="00E6656B"/>
    <w:rsid w:val="00E67F0E"/>
    <w:rsid w:val="00E701D4"/>
    <w:rsid w:val="00E70725"/>
    <w:rsid w:val="00E70920"/>
    <w:rsid w:val="00E71386"/>
    <w:rsid w:val="00E71642"/>
    <w:rsid w:val="00E71D30"/>
    <w:rsid w:val="00E72487"/>
    <w:rsid w:val="00E72A52"/>
    <w:rsid w:val="00E7352E"/>
    <w:rsid w:val="00E73814"/>
    <w:rsid w:val="00E73912"/>
    <w:rsid w:val="00E73927"/>
    <w:rsid w:val="00E7442E"/>
    <w:rsid w:val="00E74F57"/>
    <w:rsid w:val="00E75301"/>
    <w:rsid w:val="00E75ECC"/>
    <w:rsid w:val="00E760C7"/>
    <w:rsid w:val="00E76479"/>
    <w:rsid w:val="00E7647D"/>
    <w:rsid w:val="00E77091"/>
    <w:rsid w:val="00E770E6"/>
    <w:rsid w:val="00E773C5"/>
    <w:rsid w:val="00E80C90"/>
    <w:rsid w:val="00E811C2"/>
    <w:rsid w:val="00E81287"/>
    <w:rsid w:val="00E812A9"/>
    <w:rsid w:val="00E815A2"/>
    <w:rsid w:val="00E815BC"/>
    <w:rsid w:val="00E8224C"/>
    <w:rsid w:val="00E83269"/>
    <w:rsid w:val="00E83D5B"/>
    <w:rsid w:val="00E83F06"/>
    <w:rsid w:val="00E85D14"/>
    <w:rsid w:val="00E867FE"/>
    <w:rsid w:val="00E869ED"/>
    <w:rsid w:val="00E86E56"/>
    <w:rsid w:val="00E87322"/>
    <w:rsid w:val="00E9000D"/>
    <w:rsid w:val="00E900CB"/>
    <w:rsid w:val="00E907CE"/>
    <w:rsid w:val="00E911AF"/>
    <w:rsid w:val="00E9132A"/>
    <w:rsid w:val="00E913BE"/>
    <w:rsid w:val="00E9198B"/>
    <w:rsid w:val="00E91F41"/>
    <w:rsid w:val="00E92450"/>
    <w:rsid w:val="00E9253C"/>
    <w:rsid w:val="00E927CB"/>
    <w:rsid w:val="00E9307C"/>
    <w:rsid w:val="00E938E9"/>
    <w:rsid w:val="00E93BAA"/>
    <w:rsid w:val="00E93E0E"/>
    <w:rsid w:val="00E94B99"/>
    <w:rsid w:val="00E95BA1"/>
    <w:rsid w:val="00E9661F"/>
    <w:rsid w:val="00E976D4"/>
    <w:rsid w:val="00E97AA2"/>
    <w:rsid w:val="00E97C62"/>
    <w:rsid w:val="00E97DC4"/>
    <w:rsid w:val="00EA063C"/>
    <w:rsid w:val="00EA0858"/>
    <w:rsid w:val="00EA0943"/>
    <w:rsid w:val="00EA118E"/>
    <w:rsid w:val="00EA1A89"/>
    <w:rsid w:val="00EA2288"/>
    <w:rsid w:val="00EA2E7B"/>
    <w:rsid w:val="00EA2F5A"/>
    <w:rsid w:val="00EA3043"/>
    <w:rsid w:val="00EA3AC9"/>
    <w:rsid w:val="00EA473B"/>
    <w:rsid w:val="00EA4C21"/>
    <w:rsid w:val="00EA6723"/>
    <w:rsid w:val="00EA76DA"/>
    <w:rsid w:val="00EA78D7"/>
    <w:rsid w:val="00EA7C69"/>
    <w:rsid w:val="00EA7D28"/>
    <w:rsid w:val="00EB0456"/>
    <w:rsid w:val="00EB0A50"/>
    <w:rsid w:val="00EB11DC"/>
    <w:rsid w:val="00EB12B8"/>
    <w:rsid w:val="00EB1BEB"/>
    <w:rsid w:val="00EB22F5"/>
    <w:rsid w:val="00EB23ED"/>
    <w:rsid w:val="00EB31F4"/>
    <w:rsid w:val="00EB3318"/>
    <w:rsid w:val="00EB36E6"/>
    <w:rsid w:val="00EB3FB6"/>
    <w:rsid w:val="00EB5280"/>
    <w:rsid w:val="00EB5B9B"/>
    <w:rsid w:val="00EB6F7A"/>
    <w:rsid w:val="00EB728D"/>
    <w:rsid w:val="00EB76B7"/>
    <w:rsid w:val="00EB7898"/>
    <w:rsid w:val="00EB7BAB"/>
    <w:rsid w:val="00EC0049"/>
    <w:rsid w:val="00EC0141"/>
    <w:rsid w:val="00EC0638"/>
    <w:rsid w:val="00EC0FBC"/>
    <w:rsid w:val="00EC1A78"/>
    <w:rsid w:val="00EC20CF"/>
    <w:rsid w:val="00EC21AF"/>
    <w:rsid w:val="00EC3124"/>
    <w:rsid w:val="00EC3171"/>
    <w:rsid w:val="00EC3327"/>
    <w:rsid w:val="00EC39A7"/>
    <w:rsid w:val="00EC3B85"/>
    <w:rsid w:val="00EC53E4"/>
    <w:rsid w:val="00EC670E"/>
    <w:rsid w:val="00EC68F3"/>
    <w:rsid w:val="00EC6A56"/>
    <w:rsid w:val="00EC6DF7"/>
    <w:rsid w:val="00EC7940"/>
    <w:rsid w:val="00ED0180"/>
    <w:rsid w:val="00ED0BF3"/>
    <w:rsid w:val="00ED0CFF"/>
    <w:rsid w:val="00ED1059"/>
    <w:rsid w:val="00ED114F"/>
    <w:rsid w:val="00ED16CF"/>
    <w:rsid w:val="00ED1F9F"/>
    <w:rsid w:val="00ED21D1"/>
    <w:rsid w:val="00ED23DE"/>
    <w:rsid w:val="00ED2833"/>
    <w:rsid w:val="00ED2A3B"/>
    <w:rsid w:val="00ED3342"/>
    <w:rsid w:val="00ED362B"/>
    <w:rsid w:val="00ED36A7"/>
    <w:rsid w:val="00ED38C7"/>
    <w:rsid w:val="00ED3974"/>
    <w:rsid w:val="00ED3E10"/>
    <w:rsid w:val="00ED48FB"/>
    <w:rsid w:val="00ED4B5B"/>
    <w:rsid w:val="00ED4E14"/>
    <w:rsid w:val="00ED4E22"/>
    <w:rsid w:val="00ED51DA"/>
    <w:rsid w:val="00ED546C"/>
    <w:rsid w:val="00ED5498"/>
    <w:rsid w:val="00ED54E7"/>
    <w:rsid w:val="00ED6053"/>
    <w:rsid w:val="00ED647F"/>
    <w:rsid w:val="00ED6D69"/>
    <w:rsid w:val="00ED6F9A"/>
    <w:rsid w:val="00ED7C5F"/>
    <w:rsid w:val="00EE0213"/>
    <w:rsid w:val="00EE099B"/>
    <w:rsid w:val="00EE0C98"/>
    <w:rsid w:val="00EE1650"/>
    <w:rsid w:val="00EE1C70"/>
    <w:rsid w:val="00EE1FD6"/>
    <w:rsid w:val="00EE27E1"/>
    <w:rsid w:val="00EE2DAD"/>
    <w:rsid w:val="00EE343A"/>
    <w:rsid w:val="00EE372B"/>
    <w:rsid w:val="00EE3C17"/>
    <w:rsid w:val="00EE3CD3"/>
    <w:rsid w:val="00EE48B1"/>
    <w:rsid w:val="00EE510D"/>
    <w:rsid w:val="00EE5157"/>
    <w:rsid w:val="00EE57E2"/>
    <w:rsid w:val="00EE5FE4"/>
    <w:rsid w:val="00EE68D4"/>
    <w:rsid w:val="00EE7491"/>
    <w:rsid w:val="00EE76AB"/>
    <w:rsid w:val="00EE7F06"/>
    <w:rsid w:val="00EF07DE"/>
    <w:rsid w:val="00EF0D9B"/>
    <w:rsid w:val="00EF1FB5"/>
    <w:rsid w:val="00EF21AD"/>
    <w:rsid w:val="00EF223D"/>
    <w:rsid w:val="00EF22E5"/>
    <w:rsid w:val="00EF2616"/>
    <w:rsid w:val="00EF2A36"/>
    <w:rsid w:val="00EF305A"/>
    <w:rsid w:val="00EF3A8E"/>
    <w:rsid w:val="00EF3B3A"/>
    <w:rsid w:val="00EF49B4"/>
    <w:rsid w:val="00EF543D"/>
    <w:rsid w:val="00EF6526"/>
    <w:rsid w:val="00EF70FE"/>
    <w:rsid w:val="00EF75E3"/>
    <w:rsid w:val="00EF7AE8"/>
    <w:rsid w:val="00EF7B41"/>
    <w:rsid w:val="00F000C6"/>
    <w:rsid w:val="00F00110"/>
    <w:rsid w:val="00F00E03"/>
    <w:rsid w:val="00F010D3"/>
    <w:rsid w:val="00F01B8E"/>
    <w:rsid w:val="00F01D57"/>
    <w:rsid w:val="00F01E2A"/>
    <w:rsid w:val="00F01FF8"/>
    <w:rsid w:val="00F02F67"/>
    <w:rsid w:val="00F0315A"/>
    <w:rsid w:val="00F03747"/>
    <w:rsid w:val="00F03818"/>
    <w:rsid w:val="00F04192"/>
    <w:rsid w:val="00F04A3C"/>
    <w:rsid w:val="00F04D73"/>
    <w:rsid w:val="00F06BF7"/>
    <w:rsid w:val="00F07775"/>
    <w:rsid w:val="00F07800"/>
    <w:rsid w:val="00F0791A"/>
    <w:rsid w:val="00F10801"/>
    <w:rsid w:val="00F10898"/>
    <w:rsid w:val="00F11584"/>
    <w:rsid w:val="00F11EE1"/>
    <w:rsid w:val="00F120F1"/>
    <w:rsid w:val="00F12224"/>
    <w:rsid w:val="00F122EF"/>
    <w:rsid w:val="00F13672"/>
    <w:rsid w:val="00F15105"/>
    <w:rsid w:val="00F1519B"/>
    <w:rsid w:val="00F153CE"/>
    <w:rsid w:val="00F157BD"/>
    <w:rsid w:val="00F15B22"/>
    <w:rsid w:val="00F1603B"/>
    <w:rsid w:val="00F1605F"/>
    <w:rsid w:val="00F16399"/>
    <w:rsid w:val="00F164B3"/>
    <w:rsid w:val="00F167ED"/>
    <w:rsid w:val="00F16DD8"/>
    <w:rsid w:val="00F1736E"/>
    <w:rsid w:val="00F175A1"/>
    <w:rsid w:val="00F17932"/>
    <w:rsid w:val="00F2075B"/>
    <w:rsid w:val="00F213E3"/>
    <w:rsid w:val="00F22649"/>
    <w:rsid w:val="00F22707"/>
    <w:rsid w:val="00F24054"/>
    <w:rsid w:val="00F24731"/>
    <w:rsid w:val="00F24775"/>
    <w:rsid w:val="00F25390"/>
    <w:rsid w:val="00F26EB8"/>
    <w:rsid w:val="00F30794"/>
    <w:rsid w:val="00F3122A"/>
    <w:rsid w:val="00F319E3"/>
    <w:rsid w:val="00F321FC"/>
    <w:rsid w:val="00F32CCE"/>
    <w:rsid w:val="00F34E53"/>
    <w:rsid w:val="00F3577D"/>
    <w:rsid w:val="00F35EB7"/>
    <w:rsid w:val="00F36A43"/>
    <w:rsid w:val="00F37C1C"/>
    <w:rsid w:val="00F37C5E"/>
    <w:rsid w:val="00F37D25"/>
    <w:rsid w:val="00F40562"/>
    <w:rsid w:val="00F41573"/>
    <w:rsid w:val="00F43A8C"/>
    <w:rsid w:val="00F43D08"/>
    <w:rsid w:val="00F442C8"/>
    <w:rsid w:val="00F44669"/>
    <w:rsid w:val="00F44814"/>
    <w:rsid w:val="00F44DB5"/>
    <w:rsid w:val="00F45126"/>
    <w:rsid w:val="00F457F8"/>
    <w:rsid w:val="00F45C5B"/>
    <w:rsid w:val="00F46708"/>
    <w:rsid w:val="00F47841"/>
    <w:rsid w:val="00F50572"/>
    <w:rsid w:val="00F505DD"/>
    <w:rsid w:val="00F51354"/>
    <w:rsid w:val="00F52350"/>
    <w:rsid w:val="00F5318C"/>
    <w:rsid w:val="00F531D2"/>
    <w:rsid w:val="00F53CAD"/>
    <w:rsid w:val="00F548D5"/>
    <w:rsid w:val="00F54AA2"/>
    <w:rsid w:val="00F54D6E"/>
    <w:rsid w:val="00F56269"/>
    <w:rsid w:val="00F572DD"/>
    <w:rsid w:val="00F57814"/>
    <w:rsid w:val="00F5791A"/>
    <w:rsid w:val="00F57AAC"/>
    <w:rsid w:val="00F57AEA"/>
    <w:rsid w:val="00F603F7"/>
    <w:rsid w:val="00F6099D"/>
    <w:rsid w:val="00F62129"/>
    <w:rsid w:val="00F62669"/>
    <w:rsid w:val="00F64143"/>
    <w:rsid w:val="00F64169"/>
    <w:rsid w:val="00F641E2"/>
    <w:rsid w:val="00F64BAC"/>
    <w:rsid w:val="00F651B7"/>
    <w:rsid w:val="00F6552A"/>
    <w:rsid w:val="00F656CA"/>
    <w:rsid w:val="00F65BF8"/>
    <w:rsid w:val="00F65DD7"/>
    <w:rsid w:val="00F663CF"/>
    <w:rsid w:val="00F6640E"/>
    <w:rsid w:val="00F66448"/>
    <w:rsid w:val="00F667E9"/>
    <w:rsid w:val="00F66C0C"/>
    <w:rsid w:val="00F66D12"/>
    <w:rsid w:val="00F67CE3"/>
    <w:rsid w:val="00F67D99"/>
    <w:rsid w:val="00F67EE4"/>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51E9"/>
    <w:rsid w:val="00F761B4"/>
    <w:rsid w:val="00F76665"/>
    <w:rsid w:val="00F76D1A"/>
    <w:rsid w:val="00F77068"/>
    <w:rsid w:val="00F7751D"/>
    <w:rsid w:val="00F8080A"/>
    <w:rsid w:val="00F81437"/>
    <w:rsid w:val="00F82024"/>
    <w:rsid w:val="00F82588"/>
    <w:rsid w:val="00F82E31"/>
    <w:rsid w:val="00F82E50"/>
    <w:rsid w:val="00F8311E"/>
    <w:rsid w:val="00F83377"/>
    <w:rsid w:val="00F83AB5"/>
    <w:rsid w:val="00F83D85"/>
    <w:rsid w:val="00F84074"/>
    <w:rsid w:val="00F84A15"/>
    <w:rsid w:val="00F84B4A"/>
    <w:rsid w:val="00F8627D"/>
    <w:rsid w:val="00F867B5"/>
    <w:rsid w:val="00F87393"/>
    <w:rsid w:val="00F87527"/>
    <w:rsid w:val="00F8762E"/>
    <w:rsid w:val="00F87BA0"/>
    <w:rsid w:val="00F87F20"/>
    <w:rsid w:val="00F8A7BE"/>
    <w:rsid w:val="00F91713"/>
    <w:rsid w:val="00F92890"/>
    <w:rsid w:val="00F930ED"/>
    <w:rsid w:val="00F93645"/>
    <w:rsid w:val="00F94C04"/>
    <w:rsid w:val="00F9538C"/>
    <w:rsid w:val="00F9567C"/>
    <w:rsid w:val="00F95F30"/>
    <w:rsid w:val="00F96021"/>
    <w:rsid w:val="00F962FF"/>
    <w:rsid w:val="00F96981"/>
    <w:rsid w:val="00F96A4D"/>
    <w:rsid w:val="00F97620"/>
    <w:rsid w:val="00F97834"/>
    <w:rsid w:val="00F9783B"/>
    <w:rsid w:val="00FA0264"/>
    <w:rsid w:val="00FA03AB"/>
    <w:rsid w:val="00FA144F"/>
    <w:rsid w:val="00FA149F"/>
    <w:rsid w:val="00FA17B6"/>
    <w:rsid w:val="00FA2548"/>
    <w:rsid w:val="00FA281E"/>
    <w:rsid w:val="00FA2847"/>
    <w:rsid w:val="00FA2AB7"/>
    <w:rsid w:val="00FA380C"/>
    <w:rsid w:val="00FA3A35"/>
    <w:rsid w:val="00FA3CAB"/>
    <w:rsid w:val="00FA4592"/>
    <w:rsid w:val="00FA4D65"/>
    <w:rsid w:val="00FA52B2"/>
    <w:rsid w:val="00FA5CF7"/>
    <w:rsid w:val="00FA7657"/>
    <w:rsid w:val="00FA7688"/>
    <w:rsid w:val="00FA7C4D"/>
    <w:rsid w:val="00FA7EDE"/>
    <w:rsid w:val="00FB06E8"/>
    <w:rsid w:val="00FB1092"/>
    <w:rsid w:val="00FB12A2"/>
    <w:rsid w:val="00FB148C"/>
    <w:rsid w:val="00FB20E3"/>
    <w:rsid w:val="00FB27C1"/>
    <w:rsid w:val="00FB27FB"/>
    <w:rsid w:val="00FB3171"/>
    <w:rsid w:val="00FB3482"/>
    <w:rsid w:val="00FB37B6"/>
    <w:rsid w:val="00FB3861"/>
    <w:rsid w:val="00FB39D7"/>
    <w:rsid w:val="00FB5CE7"/>
    <w:rsid w:val="00FB6378"/>
    <w:rsid w:val="00FB67F5"/>
    <w:rsid w:val="00FB7401"/>
    <w:rsid w:val="00FB7C1F"/>
    <w:rsid w:val="00FC109B"/>
    <w:rsid w:val="00FC180C"/>
    <w:rsid w:val="00FC1AEE"/>
    <w:rsid w:val="00FC2006"/>
    <w:rsid w:val="00FC2473"/>
    <w:rsid w:val="00FC2538"/>
    <w:rsid w:val="00FC278D"/>
    <w:rsid w:val="00FC2A54"/>
    <w:rsid w:val="00FC2FFC"/>
    <w:rsid w:val="00FC33A3"/>
    <w:rsid w:val="00FC39CC"/>
    <w:rsid w:val="00FC3F0C"/>
    <w:rsid w:val="00FC46D5"/>
    <w:rsid w:val="00FC477A"/>
    <w:rsid w:val="00FC5060"/>
    <w:rsid w:val="00FC51F3"/>
    <w:rsid w:val="00FC52DD"/>
    <w:rsid w:val="00FC562D"/>
    <w:rsid w:val="00FC5AF5"/>
    <w:rsid w:val="00FC5EC7"/>
    <w:rsid w:val="00FC76C3"/>
    <w:rsid w:val="00FC79D1"/>
    <w:rsid w:val="00FC7AC5"/>
    <w:rsid w:val="00FCFE53"/>
    <w:rsid w:val="00FD10F1"/>
    <w:rsid w:val="00FD1FAE"/>
    <w:rsid w:val="00FD2384"/>
    <w:rsid w:val="00FD273A"/>
    <w:rsid w:val="00FD3A6D"/>
    <w:rsid w:val="00FD458B"/>
    <w:rsid w:val="00FD4CC5"/>
    <w:rsid w:val="00FD513E"/>
    <w:rsid w:val="00FD582B"/>
    <w:rsid w:val="00FD5E06"/>
    <w:rsid w:val="00FD5E7D"/>
    <w:rsid w:val="00FD61C8"/>
    <w:rsid w:val="00FD69A3"/>
    <w:rsid w:val="00FD6F6D"/>
    <w:rsid w:val="00FD70F5"/>
    <w:rsid w:val="00FD77D2"/>
    <w:rsid w:val="00FE0B22"/>
    <w:rsid w:val="00FE0C1C"/>
    <w:rsid w:val="00FE0D5F"/>
    <w:rsid w:val="00FE0D6B"/>
    <w:rsid w:val="00FE0F98"/>
    <w:rsid w:val="00FE1779"/>
    <w:rsid w:val="00FE2388"/>
    <w:rsid w:val="00FE2538"/>
    <w:rsid w:val="00FE2563"/>
    <w:rsid w:val="00FE26E7"/>
    <w:rsid w:val="00FE2EE0"/>
    <w:rsid w:val="00FE3FFE"/>
    <w:rsid w:val="00FE4107"/>
    <w:rsid w:val="00FE411D"/>
    <w:rsid w:val="00FE49A0"/>
    <w:rsid w:val="00FE4B76"/>
    <w:rsid w:val="00FE5EFF"/>
    <w:rsid w:val="00FE6D4D"/>
    <w:rsid w:val="00FE72FF"/>
    <w:rsid w:val="00FE7774"/>
    <w:rsid w:val="00FE7C0D"/>
    <w:rsid w:val="00FE7CAE"/>
    <w:rsid w:val="00FE7E09"/>
    <w:rsid w:val="00FE7EEB"/>
    <w:rsid w:val="00FEDF88"/>
    <w:rsid w:val="00FF1B15"/>
    <w:rsid w:val="00FF2C9D"/>
    <w:rsid w:val="00FF3C72"/>
    <w:rsid w:val="00FF51B1"/>
    <w:rsid w:val="00FF5815"/>
    <w:rsid w:val="00FF6508"/>
    <w:rsid w:val="00FF6DE5"/>
    <w:rsid w:val="00FF763F"/>
    <w:rsid w:val="00FF7742"/>
    <w:rsid w:val="00FF7AF4"/>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9A2868"/>
  <w15:docId w15:val="{6487BF48-3A28-449B-B212-05E885A2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4E7"/>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Heading1">
    <w:name w:val="heading 1"/>
    <w:basedOn w:val="Normal"/>
    <w:next w:val="Heading2"/>
    <w:link w:val="Heading1Char"/>
    <w:uiPriority w:val="9"/>
    <w:qFormat/>
    <w:rsid w:val="006814E7"/>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814E7"/>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814E7"/>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814E7"/>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814E7"/>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rsid w:val="006814E7"/>
    <w:pPr>
      <w:keepNext/>
      <w:keepLines/>
      <w:numPr>
        <w:ilvl w:val="5"/>
        <w:numId w:val="3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814E7"/>
    <w:pPr>
      <w:keepNext/>
      <w:keepLines/>
      <w:widowControl w:val="0"/>
      <w:numPr>
        <w:ilvl w:val="6"/>
        <w:numId w:val="3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814E7"/>
    <w:pPr>
      <w:keepNext/>
      <w:keepLines/>
      <w:widowControl w:val="0"/>
      <w:numPr>
        <w:ilvl w:val="7"/>
        <w:numId w:val="3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814E7"/>
    <w:pPr>
      <w:keepNext/>
      <w:widowControl w:val="0"/>
      <w:numPr>
        <w:ilvl w:val="8"/>
        <w:numId w:val="3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6814E7"/>
    <w:rPr>
      <w:vertAlign w:val="superscript"/>
      <w:lang w:val="en-GB"/>
    </w:rPr>
  </w:style>
  <w:style w:type="paragraph" w:styleId="FootnoteText">
    <w:name w:val="footnote text"/>
    <w:basedOn w:val="Normal"/>
    <w:link w:val="FootnoteTextChar"/>
    <w:uiPriority w:val="99"/>
    <w:unhideWhenUsed/>
    <w:rsid w:val="006814E7"/>
    <w:pPr>
      <w:jc w:val="left"/>
    </w:pPr>
    <w:rPr>
      <w:sz w:val="18"/>
      <w:szCs w:val="20"/>
    </w:rPr>
  </w:style>
  <w:style w:type="character" w:customStyle="1" w:styleId="FootnoteTextChar">
    <w:name w:val="Footnote Text Char"/>
    <w:basedOn w:val="DefaultParagraphFont"/>
    <w:link w:val="FootnoteText"/>
    <w:uiPriority w:val="99"/>
    <w:rsid w:val="006814E7"/>
    <w:rPr>
      <w:rFonts w:ascii="Times New Roman" w:eastAsia="SimSun" w:hAnsi="Times New Roman" w:cs="Times New Roman"/>
      <w:sz w:val="18"/>
      <w:szCs w:val="20"/>
      <w:lang w:val="en-GB"/>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Heading2"/>
    <w:uiPriority w:val="1"/>
    <w:qFormat/>
    <w:rsid w:val="519665D8"/>
  </w:style>
  <w:style w:type="character" w:customStyle="1" w:styleId="Para1Char">
    <w:name w:val="Para1 Char"/>
    <w:link w:val="Para1"/>
    <w:uiPriority w:val="1"/>
    <w:rsid w:val="519665D8"/>
    <w:rPr>
      <w:rFonts w:ascii="Times New Roman" w:eastAsia="SimSun" w:hAnsi="Times New Roman" w:cs="Times New Roman"/>
      <w:lang w:val="en-GB"/>
    </w:rPr>
  </w:style>
  <w:style w:type="paragraph" w:customStyle="1" w:styleId="Item">
    <w:name w:val="Item"/>
    <w:basedOn w:val="Normal"/>
    <w:qFormat/>
    <w:rsid w:val="006814E7"/>
    <w:pPr>
      <w:suppressLineNumbers/>
      <w:suppressAutoHyphens/>
      <w:spacing w:before="240" w:after="120"/>
      <w:jc w:val="left"/>
    </w:pPr>
    <w:rPr>
      <w:rFonts w:eastAsia="Times New Roman"/>
      <w:b/>
      <w:iCs/>
      <w:snapToGrid w:val="0"/>
      <w:kern w:val="22"/>
      <w:sz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519665D8"/>
    <w:pPr>
      <w:spacing w:after="160"/>
      <w:jc w:val="left"/>
    </w:pPr>
    <w:rPr>
      <w:rFonts w:asciiTheme="minorHAnsi" w:eastAsiaTheme="minorEastAsia" w:hAnsiTheme="minorHAnsi" w:cstheme="minorBidi"/>
      <w:vertAlign w:val="superscript"/>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en-GB" w:eastAsia="de-CH"/>
    </w:rPr>
  </w:style>
  <w:style w:type="character" w:customStyle="1" w:styleId="Heading2Char">
    <w:name w:val="Heading 2 Char"/>
    <w:basedOn w:val="DefaultParagraphFont"/>
    <w:link w:val="Heading2"/>
    <w:uiPriority w:val="9"/>
    <w:rsid w:val="006814E7"/>
    <w:rPr>
      <w:rFonts w:ascii="Times New Roman Bold" w:eastAsiaTheme="majorEastAsia" w:hAnsi="Times New Roman Bold" w:cstheme="majorBidi"/>
      <w:b/>
      <w:sz w:val="24"/>
      <w:szCs w:val="26"/>
      <w:lang w:val="en-GB"/>
    </w:rPr>
  </w:style>
  <w:style w:type="paragraph" w:styleId="ListParagraph">
    <w:name w:val="List Paragraph"/>
    <w:basedOn w:val="Normal"/>
    <w:uiPriority w:val="34"/>
    <w:qFormat/>
    <w:rsid w:val="006814E7"/>
    <w:pPr>
      <w:ind w:left="720"/>
      <w:contextualSpacing/>
    </w:pPr>
  </w:style>
  <w:style w:type="paragraph" w:styleId="NormalWeb">
    <w:name w:val="Normal (Web)"/>
    <w:basedOn w:val="Normal"/>
    <w:uiPriority w:val="99"/>
    <w:semiHidden/>
    <w:unhideWhenUsed/>
    <w:rsid w:val="519665D8"/>
    <w:rPr>
      <w:rFonts w:ascii="Calibri" w:hAnsi="Calibri" w:cs="Calibri"/>
      <w:lang w:eastAsia="fr-FR"/>
    </w:rPr>
  </w:style>
  <w:style w:type="paragraph" w:styleId="BodyText">
    <w:name w:val="Body Text"/>
    <w:basedOn w:val="Normal"/>
    <w:link w:val="BodyTextChar"/>
    <w:uiPriority w:val="99"/>
    <w:unhideWhenUsed/>
    <w:rsid w:val="006814E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814E7"/>
    <w:rPr>
      <w:rFonts w:eastAsiaTheme="minorHAnsi"/>
      <w:kern w:val="2"/>
      <w:lang w:val="en-GB"/>
      <w14:ligatures w14:val="standardContextual"/>
    </w:rPr>
  </w:style>
  <w:style w:type="character" w:styleId="CommentReference">
    <w:name w:val="annotation reference"/>
    <w:basedOn w:val="DefaultParagraphFont"/>
    <w:uiPriority w:val="99"/>
    <w:semiHidden/>
    <w:unhideWhenUsed/>
    <w:rsid w:val="006814E7"/>
    <w:rPr>
      <w:sz w:val="16"/>
      <w:szCs w:val="16"/>
      <w:lang w:val="en-GB"/>
    </w:rPr>
  </w:style>
  <w:style w:type="paragraph" w:styleId="CommentText">
    <w:name w:val="annotation text"/>
    <w:basedOn w:val="Normal"/>
    <w:link w:val="CommentTextChar"/>
    <w:uiPriority w:val="99"/>
    <w:semiHidden/>
    <w:rsid w:val="006814E7"/>
    <w:rPr>
      <w:sz w:val="20"/>
      <w:szCs w:val="20"/>
    </w:rPr>
  </w:style>
  <w:style w:type="character" w:customStyle="1" w:styleId="CommentTextChar">
    <w:name w:val="Comment Text Char"/>
    <w:basedOn w:val="DefaultParagraphFont"/>
    <w:link w:val="CommentText"/>
    <w:uiPriority w:val="99"/>
    <w:semiHidden/>
    <w:rsid w:val="006814E7"/>
    <w:rPr>
      <w:rFonts w:ascii="Times New Roman" w:eastAsia="SimSun" w:hAnsi="Times New Roman" w:cs="Times New Roman"/>
      <w:sz w:val="20"/>
      <w:szCs w:val="20"/>
      <w:lang w:val="en-GB"/>
    </w:rPr>
  </w:style>
  <w:style w:type="paragraph" w:styleId="BalloonText">
    <w:name w:val="Balloon Text"/>
    <w:basedOn w:val="Normal"/>
    <w:link w:val="BalloonTextChar"/>
    <w:uiPriority w:val="99"/>
    <w:semiHidden/>
    <w:unhideWhenUsed/>
    <w:rsid w:val="519665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519665D8"/>
    <w:rPr>
      <w:rFonts w:ascii="Lucida Grande" w:eastAsia="SimSu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GB"/>
    </w:rPr>
  </w:style>
  <w:style w:type="character" w:customStyle="1" w:styleId="NoSpacingChar">
    <w:name w:val="No Spacing Char"/>
    <w:basedOn w:val="DefaultParagraphFont"/>
    <w:link w:val="NoSpacing"/>
    <w:uiPriority w:val="1"/>
    <w:rsid w:val="00E1232A"/>
    <w:rPr>
      <w:rFonts w:ascii="Calibri" w:eastAsia="Calibri" w:hAnsi="Calibri" w:cs="Times New Roman"/>
      <w:lang w:val="en-GB"/>
    </w:rPr>
  </w:style>
  <w:style w:type="table" w:styleId="TableGrid">
    <w:name w:val="Table Grid"/>
    <w:basedOn w:val="TableNormal"/>
    <w:uiPriority w:val="39"/>
    <w:rsid w:val="004823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lang w:val="en-GB"/>
    </w:rPr>
  </w:style>
  <w:style w:type="paragraph" w:styleId="Header">
    <w:name w:val="header"/>
    <w:basedOn w:val="Normal"/>
    <w:link w:val="HeaderChar"/>
    <w:rsid w:val="006814E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814E7"/>
    <w:rPr>
      <w:rFonts w:ascii="Times New Roman" w:eastAsia="SimSun" w:hAnsi="Times New Roman" w:cs="Times New Roman"/>
      <w:sz w:val="20"/>
      <w:lang w:val="en-GB"/>
    </w:rPr>
  </w:style>
  <w:style w:type="paragraph" w:styleId="Footer">
    <w:name w:val="footer"/>
    <w:basedOn w:val="Normal"/>
    <w:link w:val="FooterChar"/>
    <w:uiPriority w:val="99"/>
    <w:rsid w:val="006814E7"/>
    <w:pPr>
      <w:tabs>
        <w:tab w:val="center" w:pos="4680"/>
        <w:tab w:val="right" w:pos="9360"/>
      </w:tabs>
    </w:pPr>
    <w:rPr>
      <w:sz w:val="20"/>
    </w:rPr>
  </w:style>
  <w:style w:type="character" w:customStyle="1" w:styleId="FooterChar">
    <w:name w:val="Footer Char"/>
    <w:basedOn w:val="DefaultParagraphFont"/>
    <w:link w:val="Footer"/>
    <w:uiPriority w:val="99"/>
    <w:rsid w:val="006814E7"/>
    <w:rPr>
      <w:rFonts w:ascii="Times New Roman" w:eastAsia="SimSun" w:hAnsi="Times New Roman" w:cs="Times New Roman"/>
      <w:sz w:val="20"/>
      <w:lang w:val="en-GB"/>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CommentSubject">
    <w:name w:val="annotation subject"/>
    <w:basedOn w:val="CommentText"/>
    <w:next w:val="CommentText"/>
    <w:link w:val="CommentSubjectChar"/>
    <w:uiPriority w:val="99"/>
    <w:semiHidden/>
    <w:unhideWhenUsed/>
    <w:rsid w:val="006814E7"/>
    <w:rPr>
      <w:b/>
      <w:bCs/>
    </w:rPr>
  </w:style>
  <w:style w:type="character" w:customStyle="1" w:styleId="CommentSubjectChar">
    <w:name w:val="Comment Subject Char"/>
    <w:basedOn w:val="CommentTextChar"/>
    <w:link w:val="CommentSubject"/>
    <w:uiPriority w:val="99"/>
    <w:semiHidden/>
    <w:rsid w:val="006814E7"/>
    <w:rPr>
      <w:rFonts w:ascii="Times New Roman" w:eastAsia="SimSun" w:hAnsi="Times New Roman" w:cs="Times New Roman"/>
      <w:b/>
      <w:bCs/>
      <w:sz w:val="20"/>
      <w:szCs w:val="20"/>
      <w:lang w:val="en-GB"/>
    </w:rPr>
  </w:style>
  <w:style w:type="paragraph" w:styleId="Revision">
    <w:name w:val="Revision"/>
    <w:hidden/>
    <w:uiPriority w:val="99"/>
    <w:semiHidden/>
    <w:rsid w:val="006814E7"/>
    <w:pPr>
      <w:spacing w:after="0" w:line="240" w:lineRule="auto"/>
    </w:pPr>
    <w:rPr>
      <w:rFonts w:ascii="Simplified Arabic" w:eastAsia="Times New Roman" w:hAnsi="Simplified Arabic" w:cs="Simplified Arabic"/>
      <w:noProof/>
      <w:sz w:val="24"/>
      <w:szCs w:val="24"/>
      <w:lang w:val="en-US"/>
    </w:rPr>
  </w:style>
  <w:style w:type="character" w:styleId="Hyperlink">
    <w:name w:val="Hyperlink"/>
    <w:basedOn w:val="DefaultParagraphFont"/>
    <w:uiPriority w:val="99"/>
    <w:unhideWhenUsed/>
    <w:rsid w:val="006814E7"/>
    <w:rPr>
      <w:rFonts w:ascii="Times New Roman" w:hAnsi="Times New Roman"/>
      <w:color w:val="0563C1" w:themeColor="hyperlink"/>
      <w:u w:val="single"/>
      <w:lang w:val="en-GB"/>
    </w:rPr>
  </w:style>
  <w:style w:type="character" w:styleId="FollowedHyperlink">
    <w:name w:val="FollowedHyperlink"/>
    <w:rsid w:val="00482395"/>
    <w:rPr>
      <w:color w:val="800080"/>
      <w:u w:val="single"/>
      <w:lang w:val="en-GB"/>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lang w:val="en-GB"/>
    </w:rPr>
  </w:style>
  <w:style w:type="paragraph" w:customStyle="1" w:styleId="Style1">
    <w:name w:val="Style1"/>
    <w:basedOn w:val="Heading2"/>
    <w:uiPriority w:val="1"/>
    <w:qFormat/>
    <w:rsid w:val="519665D8"/>
    <w:rPr>
      <w:i/>
      <w:iCs/>
    </w:rPr>
  </w:style>
  <w:style w:type="paragraph" w:styleId="PlainText">
    <w:name w:val="Plain Text"/>
    <w:basedOn w:val="Normal"/>
    <w:link w:val="PlainTextChar"/>
    <w:uiPriority w:val="99"/>
    <w:semiHidden/>
    <w:unhideWhenUsed/>
    <w:rsid w:val="519665D8"/>
    <w:rPr>
      <w:rFonts w:ascii="Calibri" w:eastAsiaTheme="minorEastAsia" w:hAnsi="Calibri" w:cs="Calibri"/>
    </w:rPr>
  </w:style>
  <w:style w:type="character" w:customStyle="1" w:styleId="PlainTextChar">
    <w:name w:val="Plain Text Char"/>
    <w:basedOn w:val="DefaultParagraphFont"/>
    <w:link w:val="PlainText"/>
    <w:uiPriority w:val="99"/>
    <w:semiHidden/>
    <w:rsid w:val="519665D8"/>
    <w:rPr>
      <w:rFonts w:ascii="Calibri" w:hAnsi="Calibri" w:cs="Calibri"/>
      <w:lang w:val="en-GB"/>
    </w:rPr>
  </w:style>
  <w:style w:type="table" w:customStyle="1" w:styleId="TableGrid1">
    <w:name w:val="Table Grid1"/>
    <w:basedOn w:val="TableNormal"/>
    <w:next w:val="TableGrid"/>
    <w:uiPriority w:val="59"/>
    <w:rsid w:val="00836C3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14E7"/>
    <w:rPr>
      <w:rFonts w:ascii="Times New Roman" w:eastAsiaTheme="majorEastAsia" w:hAnsi="Times New Roman" w:cstheme="majorBidi"/>
      <w:b/>
      <w:bCs/>
      <w:kern w:val="2"/>
      <w:sz w:val="28"/>
      <w:szCs w:val="32"/>
      <w:lang w:val="en-GB"/>
      <w14:ligatures w14:val="standardContextual"/>
    </w:rPr>
  </w:style>
  <w:style w:type="table" w:styleId="ListTable6Colorful">
    <w:name w:val="List Table 6 Colorful"/>
    <w:basedOn w:val="TableNormal"/>
    <w:uiPriority w:val="51"/>
    <w:rsid w:val="00D454FF"/>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uiPriority w:val="1"/>
    <w:qFormat/>
    <w:rsid w:val="519665D8"/>
    <w:rPr>
      <w:i/>
      <w:iCs/>
      <w:sz w:val="18"/>
      <w:szCs w:val="18"/>
    </w:rPr>
  </w:style>
  <w:style w:type="character" w:customStyle="1" w:styleId="Heading9Char">
    <w:name w:val="Heading 9 Char"/>
    <w:basedOn w:val="DefaultParagraphFont"/>
    <w:link w:val="Heading9"/>
    <w:rsid w:val="006814E7"/>
    <w:rPr>
      <w:rFonts w:ascii="Times New Roman" w:eastAsia="SimSun" w:hAnsi="Times New Roman" w:cs="Times New Roman"/>
      <w:snapToGrid w:val="0"/>
      <w:u w:val="single"/>
      <w:lang w:val="en-GB"/>
    </w:rPr>
  </w:style>
  <w:style w:type="paragraph" w:styleId="BodyTextIndent">
    <w:name w:val="Body Text Indent"/>
    <w:basedOn w:val="Normal"/>
    <w:link w:val="BodyTextIndentChar"/>
    <w:uiPriority w:val="1"/>
    <w:rsid w:val="519665D8"/>
    <w:pPr>
      <w:ind w:left="1440" w:hanging="720"/>
      <w:jc w:val="left"/>
    </w:pPr>
  </w:style>
  <w:style w:type="character" w:customStyle="1" w:styleId="BodyTextIndentChar">
    <w:name w:val="Body Text Indent Char"/>
    <w:basedOn w:val="DefaultParagraphFont"/>
    <w:link w:val="BodyTextIndent"/>
    <w:uiPriority w:val="1"/>
    <w:rsid w:val="519665D8"/>
    <w:rPr>
      <w:rFonts w:ascii="Times New Roman" w:eastAsia="SimSun" w:hAnsi="Times New Roman" w:cs="Times New Roman"/>
      <w:lang w:val="en-GB"/>
    </w:rPr>
  </w:style>
  <w:style w:type="paragraph" w:styleId="Caption">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SimSun" w:hAnsi="Times New Roman" w:cs="Times New Roman"/>
      <w:lang w:val="en-GB"/>
    </w:rPr>
  </w:style>
  <w:style w:type="paragraph" w:customStyle="1" w:styleId="Cornernotation">
    <w:name w:val="Corner notation"/>
    <w:basedOn w:val="Normal"/>
    <w:rsid w:val="519665D8"/>
    <w:pPr>
      <w:ind w:left="170" w:right="3119" w:hanging="170"/>
      <w:jc w:val="left"/>
    </w:pPr>
  </w:style>
  <w:style w:type="character" w:styleId="EndnoteReference">
    <w:name w:val="endnote reference"/>
    <w:semiHidden/>
    <w:rsid w:val="00482395"/>
    <w:rPr>
      <w:vertAlign w:val="superscript"/>
      <w:lang w:val="en-GB"/>
    </w:rPr>
  </w:style>
  <w:style w:type="paragraph" w:styleId="EndnoteText">
    <w:name w:val="endnote text"/>
    <w:basedOn w:val="Normal"/>
    <w:link w:val="EndnoteTextChar"/>
    <w:uiPriority w:val="1"/>
    <w:semiHidden/>
    <w:rsid w:val="519665D8"/>
    <w:pPr>
      <w:widowControl w:val="0"/>
    </w:pPr>
    <w:rPr>
      <w:rFonts w:ascii="Courier New" w:hAnsi="Courier New"/>
    </w:rPr>
  </w:style>
  <w:style w:type="character" w:customStyle="1" w:styleId="EndnoteTextChar">
    <w:name w:val="Endnote Text Char"/>
    <w:basedOn w:val="DefaultParagraphFont"/>
    <w:link w:val="EndnoteText"/>
    <w:uiPriority w:val="1"/>
    <w:semiHidden/>
    <w:rsid w:val="519665D8"/>
    <w:rPr>
      <w:rFonts w:ascii="Courier New" w:eastAsia="SimSun" w:hAnsi="Courier New" w:cs="Times New Roman"/>
      <w:lang w:val="en-GB"/>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Heading1"/>
    <w:next w:val="Heading2"/>
    <w:uiPriority w:val="1"/>
    <w:rsid w:val="519665D8"/>
  </w:style>
  <w:style w:type="paragraph" w:customStyle="1" w:styleId="Heading1longmultiline">
    <w:name w:val="Heading 1 (long multiline)"/>
    <w:basedOn w:val="Heading1"/>
    <w:uiPriority w:val="1"/>
    <w:rsid w:val="519665D8"/>
    <w:pPr>
      <w:ind w:left="1843" w:hanging="1134"/>
    </w:pPr>
  </w:style>
  <w:style w:type="paragraph" w:customStyle="1" w:styleId="Heading1multiline">
    <w:name w:val="Heading 1 (multiline)"/>
    <w:basedOn w:val="Heading1"/>
    <w:uiPriority w:val="1"/>
    <w:rsid w:val="519665D8"/>
    <w:pPr>
      <w:ind w:left="1843" w:right="996"/>
    </w:pPr>
  </w:style>
  <w:style w:type="paragraph" w:customStyle="1" w:styleId="Heading2multiline">
    <w:name w:val="Heading 2 (multiline)"/>
    <w:basedOn w:val="Heading1"/>
    <w:next w:val="Normal"/>
    <w:uiPriority w:val="1"/>
    <w:rsid w:val="519665D8"/>
    <w:pPr>
      <w:spacing w:before="120"/>
      <w:ind w:left="1843" w:right="998"/>
    </w:pPr>
    <w:rPr>
      <w:i/>
      <w:iCs/>
      <w:caps/>
    </w:rPr>
  </w:style>
  <w:style w:type="paragraph" w:customStyle="1" w:styleId="Heading2longmultiline">
    <w:name w:val="Heading 2 (long multiline)"/>
    <w:basedOn w:val="Heading2multiline"/>
    <w:uiPriority w:val="1"/>
    <w:rsid w:val="519665D8"/>
    <w:pPr>
      <w:ind w:left="2127" w:hanging="1276"/>
    </w:pPr>
  </w:style>
  <w:style w:type="character" w:customStyle="1" w:styleId="Heading3Char">
    <w:name w:val="Heading 3 Char"/>
    <w:basedOn w:val="DefaultParagraphFont"/>
    <w:link w:val="Heading3"/>
    <w:uiPriority w:val="9"/>
    <w:rsid w:val="006814E7"/>
    <w:rPr>
      <w:rFonts w:ascii="Times New Roman" w:eastAsiaTheme="majorEastAsia" w:hAnsi="Times New Roman" w:cs="Times New Roman"/>
      <w:b/>
      <w:bCs/>
      <w:lang w:val="en-GB"/>
    </w:rPr>
  </w:style>
  <w:style w:type="paragraph" w:customStyle="1" w:styleId="heading2notforTOC">
    <w:name w:val="heading 2 not for TOC"/>
    <w:basedOn w:val="Heading3"/>
    <w:uiPriority w:val="1"/>
    <w:rsid w:val="519665D8"/>
  </w:style>
  <w:style w:type="paragraph" w:customStyle="1" w:styleId="Heading3multiline">
    <w:name w:val="Heading 3 (multiline)"/>
    <w:basedOn w:val="Heading3"/>
    <w:next w:val="Normal"/>
    <w:uiPriority w:val="1"/>
    <w:rsid w:val="519665D8"/>
    <w:pPr>
      <w:ind w:left="1418" w:hanging="425"/>
    </w:pPr>
  </w:style>
  <w:style w:type="character" w:customStyle="1" w:styleId="Heading4Char">
    <w:name w:val="Heading 4 Char"/>
    <w:basedOn w:val="DefaultParagraphFont"/>
    <w:link w:val="Heading4"/>
    <w:uiPriority w:val="9"/>
    <w:rsid w:val="006814E7"/>
    <w:rPr>
      <w:rFonts w:ascii="Times New Roman" w:eastAsiaTheme="majorEastAsia" w:hAnsi="Times New Roman" w:cs="Times New Roman"/>
      <w:b/>
      <w:bCs/>
      <w:lang w:val="en-GB"/>
    </w:rPr>
  </w:style>
  <w:style w:type="paragraph" w:customStyle="1" w:styleId="Heading4indent">
    <w:name w:val="Heading 4 indent"/>
    <w:basedOn w:val="Heading4"/>
    <w:uiPriority w:val="1"/>
    <w:rsid w:val="519665D8"/>
    <w:pPr>
      <w:ind w:left="720"/>
    </w:pPr>
  </w:style>
  <w:style w:type="character" w:customStyle="1" w:styleId="Heading5Char">
    <w:name w:val="Heading 5 Char"/>
    <w:basedOn w:val="DefaultParagraphFont"/>
    <w:link w:val="Heading5"/>
    <w:uiPriority w:val="9"/>
    <w:rsid w:val="006814E7"/>
    <w:rPr>
      <w:rFonts w:ascii="Times New Roman" w:eastAsiaTheme="majorEastAsia" w:hAnsi="Times New Roman" w:cs="Times New Roman"/>
      <w:i/>
      <w:iCs/>
      <w:lang w:val="en-GB"/>
    </w:rPr>
  </w:style>
  <w:style w:type="character" w:customStyle="1" w:styleId="Heading6Char">
    <w:name w:val="Heading 6 Char"/>
    <w:basedOn w:val="DefaultParagraphFont"/>
    <w:link w:val="Heading6"/>
    <w:rsid w:val="006814E7"/>
    <w:rPr>
      <w:rFonts w:ascii="Times New Roman" w:eastAsia="SimSun" w:hAnsi="Times New Roman" w:cs="Times New Roman"/>
      <w:bCs/>
      <w:sz w:val="24"/>
      <w:lang w:val="en-GB"/>
    </w:rPr>
  </w:style>
  <w:style w:type="character" w:customStyle="1" w:styleId="Heading7Char">
    <w:name w:val="Heading 7 Char"/>
    <w:basedOn w:val="DefaultParagraphFont"/>
    <w:link w:val="Heading7"/>
    <w:rsid w:val="006814E7"/>
    <w:rPr>
      <w:rFonts w:ascii="Times New Roman" w:eastAsia="SimSun" w:hAnsi="Times New Roman" w:cs="Times New Roman"/>
      <w:b/>
      <w:snapToGrid w:val="0"/>
      <w:u w:val="single"/>
      <w:lang w:val="en-GB"/>
    </w:rPr>
  </w:style>
  <w:style w:type="character" w:customStyle="1" w:styleId="Heading8Char">
    <w:name w:val="Heading 8 Char"/>
    <w:basedOn w:val="DefaultParagraphFont"/>
    <w:link w:val="Heading8"/>
    <w:rsid w:val="006814E7"/>
    <w:rPr>
      <w:rFonts w:ascii="Times New Roman" w:eastAsia="SimSun" w:hAnsi="Times New Roman" w:cs="Times New Roman"/>
      <w:b/>
      <w:snapToGrid w:val="0"/>
      <w:u w:val="single"/>
      <w:lang w:val="en-GB"/>
    </w:rPr>
  </w:style>
  <w:style w:type="paragraph" w:customStyle="1" w:styleId="meetingname">
    <w:name w:val="meeting name"/>
    <w:basedOn w:val="Normal"/>
    <w:uiPriority w:val="1"/>
    <w:qFormat/>
    <w:rsid w:val="519665D8"/>
    <w:pPr>
      <w:ind w:left="142" w:right="4218" w:hanging="142"/>
    </w:pPr>
    <w:rPr>
      <w:caps/>
    </w:rPr>
  </w:style>
  <w:style w:type="character" w:styleId="PageNumber">
    <w:name w:val="page number"/>
    <w:rsid w:val="00482395"/>
    <w:rPr>
      <w:rFonts w:ascii="Times New Roman" w:hAnsi="Times New Roman"/>
      <w:sz w:val="22"/>
      <w:lang w:val="en-GB"/>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lang w:val="en-GB"/>
    </w:rPr>
  </w:style>
  <w:style w:type="paragraph" w:styleId="Subtitle">
    <w:name w:val="Subtitle"/>
    <w:basedOn w:val="Normal"/>
    <w:next w:val="Normal"/>
    <w:link w:val="SubtitleChar"/>
    <w:uiPriority w:val="11"/>
    <w:qFormat/>
    <w:rsid w:val="519665D8"/>
    <w:rPr>
      <w:rFonts w:asciiTheme="majorHAnsi" w:eastAsiaTheme="majorEastAsia" w:hAnsiTheme="majorHAnsi" w:cstheme="majorBidi"/>
      <w:i/>
      <w:iCs/>
      <w:color w:val="4472C4" w:themeColor="accent1"/>
      <w:sz w:val="24"/>
      <w:szCs w:val="24"/>
    </w:rPr>
  </w:style>
  <w:style w:type="character" w:customStyle="1" w:styleId="SubtitleChar">
    <w:name w:val="Subtitle Char"/>
    <w:basedOn w:val="DefaultParagraphFont"/>
    <w:link w:val="Subtitle"/>
    <w:uiPriority w:val="11"/>
    <w:rsid w:val="519665D8"/>
    <w:rPr>
      <w:rFonts w:asciiTheme="majorHAnsi" w:eastAsiaTheme="majorEastAsia" w:hAnsiTheme="majorHAnsi" w:cstheme="majorBidi"/>
      <w:i/>
      <w:iCs/>
      <w:color w:val="4472C4" w:themeColor="accent1"/>
      <w:sz w:val="24"/>
      <w:szCs w:val="24"/>
      <w:lang w:val="en-GB"/>
    </w:rPr>
  </w:style>
  <w:style w:type="paragraph" w:customStyle="1" w:styleId="tabletitle">
    <w:name w:val="table title"/>
    <w:basedOn w:val="Heading2"/>
    <w:uiPriority w:val="1"/>
    <w:qFormat/>
    <w:rsid w:val="519665D8"/>
    <w:rPr>
      <w:i/>
      <w:iCs/>
    </w:rPr>
  </w:style>
  <w:style w:type="paragraph" w:styleId="Title">
    <w:name w:val="Title"/>
    <w:basedOn w:val="Normal"/>
    <w:next w:val="Normal"/>
    <w:link w:val="TitleCh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itleChar">
    <w:name w:val="Title Char"/>
    <w:basedOn w:val="DefaultParagraphFont"/>
    <w:link w:val="Title"/>
    <w:uiPriority w:val="10"/>
    <w:rsid w:val="519665D8"/>
    <w:rPr>
      <w:rFonts w:asciiTheme="majorHAnsi" w:eastAsiaTheme="majorEastAsia" w:hAnsiTheme="majorHAnsi" w:cstheme="majorBidi"/>
      <w:color w:val="323E4F" w:themeColor="text2" w:themeShade="BF"/>
      <w:sz w:val="52"/>
      <w:szCs w:val="52"/>
      <w:lang w:val="en-GB"/>
    </w:rPr>
  </w:style>
  <w:style w:type="paragraph" w:styleId="TOAHeading">
    <w:name w:val="toa heading"/>
    <w:basedOn w:val="Normal"/>
    <w:next w:val="Normal"/>
    <w:uiPriority w:val="1"/>
    <w:semiHidden/>
    <w:rsid w:val="519665D8"/>
    <w:rPr>
      <w:rFonts w:cs="Arial"/>
      <w:b/>
      <w:bCs/>
      <w:sz w:val="24"/>
      <w:szCs w:val="24"/>
    </w:rPr>
  </w:style>
  <w:style w:type="paragraph" w:styleId="TOC1">
    <w:name w:val="toc 1"/>
    <w:basedOn w:val="Normal"/>
    <w:next w:val="Normal"/>
    <w:uiPriority w:val="1"/>
    <w:semiHidden/>
    <w:rsid w:val="519665D8"/>
    <w:pPr>
      <w:ind w:left="720" w:hanging="720"/>
    </w:pPr>
    <w:rPr>
      <w:caps/>
    </w:rPr>
  </w:style>
  <w:style w:type="paragraph" w:styleId="TOC2">
    <w:name w:val="toc 2"/>
    <w:basedOn w:val="Normal"/>
    <w:next w:val="Normal"/>
    <w:uiPriority w:val="1"/>
    <w:semiHidden/>
    <w:rsid w:val="519665D8"/>
    <w:pPr>
      <w:tabs>
        <w:tab w:val="right" w:leader="dot" w:pos="9356"/>
      </w:tabs>
      <w:ind w:left="1440" w:hanging="720"/>
    </w:pPr>
    <w:rPr>
      <w:noProof/>
    </w:rPr>
  </w:style>
  <w:style w:type="paragraph" w:styleId="TOC3">
    <w:name w:val="toc 3"/>
    <w:basedOn w:val="Normal"/>
    <w:next w:val="Normal"/>
    <w:uiPriority w:val="1"/>
    <w:semiHidden/>
    <w:rsid w:val="519665D8"/>
    <w:pPr>
      <w:ind w:left="2160" w:hanging="720"/>
    </w:pPr>
  </w:style>
  <w:style w:type="paragraph" w:styleId="TOC4">
    <w:name w:val="toc 4"/>
    <w:basedOn w:val="Normal"/>
    <w:next w:val="Normal"/>
    <w:uiPriority w:val="1"/>
    <w:semiHidden/>
    <w:rsid w:val="519665D8"/>
    <w:pPr>
      <w:ind w:left="660"/>
      <w:jc w:val="left"/>
    </w:pPr>
  </w:style>
  <w:style w:type="paragraph" w:styleId="TOC5">
    <w:name w:val="toc 5"/>
    <w:basedOn w:val="Normal"/>
    <w:next w:val="Normal"/>
    <w:uiPriority w:val="1"/>
    <w:semiHidden/>
    <w:rsid w:val="519665D8"/>
    <w:pPr>
      <w:ind w:left="880"/>
      <w:jc w:val="left"/>
    </w:pPr>
  </w:style>
  <w:style w:type="paragraph" w:styleId="TOC6">
    <w:name w:val="toc 6"/>
    <w:basedOn w:val="Normal"/>
    <w:next w:val="Normal"/>
    <w:uiPriority w:val="1"/>
    <w:semiHidden/>
    <w:rsid w:val="519665D8"/>
    <w:pPr>
      <w:ind w:left="1100"/>
      <w:jc w:val="left"/>
    </w:pPr>
  </w:style>
  <w:style w:type="paragraph" w:styleId="TOC7">
    <w:name w:val="toc 7"/>
    <w:basedOn w:val="Normal"/>
    <w:next w:val="Normal"/>
    <w:uiPriority w:val="1"/>
    <w:semiHidden/>
    <w:rsid w:val="519665D8"/>
    <w:pPr>
      <w:ind w:left="1320"/>
      <w:jc w:val="left"/>
    </w:pPr>
  </w:style>
  <w:style w:type="paragraph" w:styleId="TOC8">
    <w:name w:val="toc 8"/>
    <w:basedOn w:val="Normal"/>
    <w:next w:val="Normal"/>
    <w:uiPriority w:val="1"/>
    <w:semiHidden/>
    <w:rsid w:val="519665D8"/>
    <w:pPr>
      <w:ind w:left="1540"/>
      <w:jc w:val="left"/>
    </w:pPr>
  </w:style>
  <w:style w:type="paragraph" w:styleId="TOC9">
    <w:name w:val="toc 9"/>
    <w:basedOn w:val="Normal"/>
    <w:next w:val="Normal"/>
    <w:uiPriority w:val="1"/>
    <w:semiHidden/>
    <w:rsid w:val="519665D8"/>
    <w:pPr>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lang w:val="en-GB"/>
    </w:rPr>
  </w:style>
  <w:style w:type="character" w:styleId="Strong">
    <w:name w:val="Strong"/>
    <w:basedOn w:val="DefaultParagraphFont"/>
    <w:uiPriority w:val="22"/>
    <w:qFormat/>
    <w:rsid w:val="00006597"/>
    <w:rPr>
      <w:b/>
      <w:bCs/>
      <w:lang w:val="en-GB"/>
    </w:rPr>
  </w:style>
  <w:style w:type="paragraph" w:customStyle="1" w:styleId="paragraph">
    <w:name w:val="paragraph"/>
    <w:basedOn w:val="Normal"/>
    <w:uiPriority w:val="1"/>
    <w:rsid w:val="00DF6B5D"/>
    <w:rPr>
      <w:szCs w:val="24"/>
    </w:rPr>
  </w:style>
  <w:style w:type="character" w:customStyle="1" w:styleId="eop">
    <w:name w:val="eop"/>
    <w:basedOn w:val="DefaultParagraphFont"/>
    <w:rsid w:val="00081DFD"/>
    <w:rPr>
      <w:lang w:val="en-GB"/>
    </w:rPr>
  </w:style>
  <w:style w:type="character" w:customStyle="1" w:styleId="tabchar">
    <w:name w:val="tabchar"/>
    <w:basedOn w:val="DefaultParagraphFont"/>
    <w:rsid w:val="00081DFD"/>
    <w:rPr>
      <w:lang w:val="en-GB"/>
    </w:rPr>
  </w:style>
  <w:style w:type="paragraph" w:styleId="Quote">
    <w:name w:val="Quote"/>
    <w:basedOn w:val="Normal"/>
    <w:next w:val="Normal"/>
    <w:link w:val="QuoteChar"/>
    <w:uiPriority w:val="29"/>
    <w:qFormat/>
    <w:rsid w:val="519665D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19665D8"/>
    <w:pPr>
      <w:spacing w:before="360" w:after="360"/>
      <w:ind w:left="864" w:right="864"/>
      <w:jc w:val="center"/>
    </w:pPr>
    <w:rPr>
      <w:i/>
      <w:iCs/>
      <w:color w:val="4472C4" w:themeColor="accent1"/>
    </w:rPr>
  </w:style>
  <w:style w:type="character" w:customStyle="1" w:styleId="QuoteChar">
    <w:name w:val="Quote Char"/>
    <w:basedOn w:val="DefaultParagraphFont"/>
    <w:link w:val="Quote"/>
    <w:uiPriority w:val="29"/>
    <w:rsid w:val="519665D8"/>
    <w:rPr>
      <w:rFonts w:ascii="Times New Roman" w:eastAsia="SimSun" w:hAnsi="Times New Roman" w:cs="Times New Roman"/>
      <w:i/>
      <w:iCs/>
      <w:color w:val="404040" w:themeColor="text1" w:themeTint="BF"/>
      <w:lang w:val="en-GB"/>
    </w:rPr>
  </w:style>
  <w:style w:type="character" w:customStyle="1" w:styleId="IntenseQuoteChar">
    <w:name w:val="Intense Quote Char"/>
    <w:basedOn w:val="DefaultParagraphFont"/>
    <w:link w:val="IntenseQuote"/>
    <w:uiPriority w:val="30"/>
    <w:rsid w:val="519665D8"/>
    <w:rPr>
      <w:rFonts w:ascii="Times New Roman" w:eastAsia="SimSun" w:hAnsi="Times New Roman" w:cs="Times New Roman"/>
      <w:i/>
      <w:iCs/>
      <w:color w:val="4472C4" w:themeColor="accent1"/>
      <w:lang w:val="en-GB"/>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rPr>
  </w:style>
  <w:style w:type="character" w:customStyle="1" w:styleId="mark478z0f6ec">
    <w:name w:val="mark478z0f6ec"/>
    <w:basedOn w:val="DefaultParagraphFont"/>
    <w:rsid w:val="00873AC2"/>
    <w:rPr>
      <w:lang w:val="en-GB"/>
    </w:rPr>
  </w:style>
  <w:style w:type="character" w:customStyle="1" w:styleId="markrg7dsa8il">
    <w:name w:val="markrg7dsa8il"/>
    <w:basedOn w:val="DefaultParagraphFont"/>
    <w:rsid w:val="00873AC2"/>
    <w:rPr>
      <w:lang w:val="en-GB"/>
    </w:rPr>
  </w:style>
  <w:style w:type="character" w:customStyle="1" w:styleId="mark6henrkujc">
    <w:name w:val="mark6henrkujc"/>
    <w:basedOn w:val="DefaultParagraphFont"/>
    <w:rsid w:val="00873AC2"/>
    <w:rPr>
      <w:lang w:val="en-GB"/>
    </w:rPr>
  </w:style>
  <w:style w:type="paragraph" w:customStyle="1" w:styleId="Venuedate">
    <w:name w:val="Venue&amp;date"/>
    <w:basedOn w:val="Cornernotation"/>
    <w:qFormat/>
    <w:rsid w:val="002B757B"/>
    <w:rPr>
      <w:bCs/>
    </w:rPr>
  </w:style>
  <w:style w:type="paragraph" w:customStyle="1" w:styleId="Footnote">
    <w:name w:val="Footnote"/>
    <w:basedOn w:val="FootnoteText"/>
    <w:qFormat/>
    <w:rsid w:val="006814E7"/>
    <w:rPr>
      <w:szCs w:val="18"/>
    </w:rPr>
  </w:style>
  <w:style w:type="paragraph" w:customStyle="1" w:styleId="Cornernotation-Item">
    <w:name w:val="Corner notation - Item"/>
    <w:basedOn w:val="Venuedate"/>
    <w:qFormat/>
    <w:rsid w:val="002B757B"/>
    <w:rPr>
      <w:b/>
    </w:rPr>
  </w:style>
  <w:style w:type="paragraph" w:customStyle="1" w:styleId="DarkList-Accent31">
    <w:name w:val="Dark List - Accent 31"/>
    <w:hidden/>
    <w:uiPriority w:val="99"/>
    <w:semiHidden/>
    <w:rsid w:val="006814E7"/>
    <w:pPr>
      <w:spacing w:after="0" w:line="240" w:lineRule="auto"/>
    </w:pPr>
    <w:rPr>
      <w:rFonts w:ascii="Times New Roman" w:eastAsia="SimSun" w:hAnsi="Times New Roman" w:cs="Times New Roman"/>
      <w:lang w:val="en-GB" w:eastAsia="en-GB"/>
    </w:rPr>
  </w:style>
  <w:style w:type="paragraph" w:customStyle="1" w:styleId="CBDNormalNoNumber">
    <w:name w:val="CBD_Normal_NoNumber"/>
    <w:basedOn w:val="CBDNormal"/>
    <w:qFormat/>
    <w:rsid w:val="006814E7"/>
    <w:pPr>
      <w:spacing w:after="120"/>
      <w:ind w:left="567"/>
    </w:pPr>
  </w:style>
  <w:style w:type="paragraph" w:customStyle="1" w:styleId="Annex">
    <w:name w:val="Annex"/>
    <w:basedOn w:val="Normal"/>
    <w:semiHidden/>
    <w:qFormat/>
    <w:rsid w:val="006814E7"/>
    <w:pPr>
      <w:spacing w:after="240"/>
    </w:pPr>
    <w:rPr>
      <w:b/>
      <w:sz w:val="28"/>
    </w:rPr>
  </w:style>
  <w:style w:type="paragraph" w:customStyle="1" w:styleId="ABSymbol">
    <w:name w:val="AB_Symbol"/>
    <w:basedOn w:val="Normal"/>
    <w:qFormat/>
    <w:rsid w:val="006814E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3516B"/>
    <w:pPr>
      <w:numPr>
        <w:numId w:val="85"/>
      </w:numPr>
      <w:tabs>
        <w:tab w:val="left" w:pos="3969"/>
      </w:tabs>
      <w:spacing w:before="120" w:after="120"/>
    </w:pPr>
  </w:style>
  <w:style w:type="paragraph" w:customStyle="1" w:styleId="AFCorNotNormal">
    <w:name w:val="AF_CorNotNormal"/>
    <w:basedOn w:val="Normal"/>
    <w:unhideWhenUsed/>
    <w:rsid w:val="006814E7"/>
  </w:style>
  <w:style w:type="paragraph" w:customStyle="1" w:styleId="AEDistrNormal">
    <w:name w:val="AE_DistrNormal"/>
    <w:basedOn w:val="Normal"/>
    <w:unhideWhenUsed/>
    <w:rsid w:val="006814E7"/>
    <w:pPr>
      <w:jc w:val="left"/>
    </w:pPr>
  </w:style>
  <w:style w:type="paragraph" w:customStyle="1" w:styleId="AASmallLogo">
    <w:name w:val="AA_SmallLogo"/>
    <w:basedOn w:val="AEDistrNormal"/>
    <w:unhideWhenUsed/>
    <w:rsid w:val="006814E7"/>
    <w:pPr>
      <w:spacing w:before="40"/>
    </w:pPr>
    <w:rPr>
      <w:sz w:val="4"/>
    </w:rPr>
  </w:style>
  <w:style w:type="paragraph" w:customStyle="1" w:styleId="ACLargeLogo">
    <w:name w:val="AC_LargeLogo"/>
    <w:basedOn w:val="AFCorNotNormal"/>
    <w:next w:val="AISpacer"/>
    <w:unhideWhenUsed/>
    <w:rsid w:val="006814E7"/>
    <w:pPr>
      <w:spacing w:before="120"/>
      <w:contextualSpacing/>
      <w:jc w:val="left"/>
    </w:pPr>
    <w:rPr>
      <w:sz w:val="8"/>
    </w:rPr>
  </w:style>
  <w:style w:type="paragraph" w:customStyle="1" w:styleId="CBDNormal">
    <w:name w:val="CBD_Normal"/>
    <w:unhideWhenUsed/>
    <w:qFormat/>
    <w:rsid w:val="006814E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
    <w:name w:val="List"/>
    <w:basedOn w:val="Normal"/>
    <w:semiHidden/>
    <w:rsid w:val="006814E7"/>
    <w:pPr>
      <w:contextualSpacing/>
    </w:pPr>
  </w:style>
  <w:style w:type="numbering" w:customStyle="1" w:styleId="ListCBD">
    <w:name w:val="ListCBD"/>
    <w:basedOn w:val="NoList"/>
    <w:uiPriority w:val="99"/>
    <w:rsid w:val="006814E7"/>
    <w:pPr>
      <w:numPr>
        <w:numId w:val="58"/>
      </w:numPr>
    </w:pPr>
  </w:style>
  <w:style w:type="numbering" w:customStyle="1" w:styleId="CBDHeadings">
    <w:name w:val="CBD_Headings"/>
    <w:basedOn w:val="ListCBD"/>
    <w:uiPriority w:val="99"/>
    <w:rsid w:val="006814E7"/>
    <w:pPr>
      <w:numPr>
        <w:numId w:val="76"/>
      </w:numPr>
    </w:pPr>
  </w:style>
  <w:style w:type="paragraph" w:customStyle="1" w:styleId="AISpacer">
    <w:name w:val="AI_Spacer"/>
    <w:next w:val="Normal"/>
    <w:unhideWhenUsed/>
    <w:qFormat/>
    <w:rsid w:val="006814E7"/>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otNormal"/>
    <w:unhideWhenUsed/>
    <w:qFormat/>
    <w:rsid w:val="006814E7"/>
    <w:pPr>
      <w:spacing w:before="120"/>
    </w:pPr>
  </w:style>
  <w:style w:type="paragraph" w:customStyle="1" w:styleId="AFCorNotBold">
    <w:name w:val="AF_CorNotBold"/>
    <w:basedOn w:val="AFCorNotNormal"/>
    <w:next w:val="AFCorNotNormal"/>
    <w:unhideWhenUsed/>
    <w:qFormat/>
    <w:rsid w:val="006814E7"/>
    <w:rPr>
      <w:b/>
    </w:rPr>
  </w:style>
  <w:style w:type="paragraph" w:customStyle="1" w:styleId="AFCorNot12Bold">
    <w:name w:val="AF_CorNot12Bold"/>
    <w:basedOn w:val="AFCorNotNormal"/>
    <w:next w:val="AFCorNotNormal"/>
    <w:unhideWhenUsed/>
    <w:qFormat/>
    <w:rsid w:val="006814E7"/>
    <w:pPr>
      <w:jc w:val="left"/>
    </w:pPr>
    <w:rPr>
      <w:b/>
      <w:sz w:val="24"/>
    </w:rPr>
  </w:style>
  <w:style w:type="paragraph" w:customStyle="1" w:styleId="CBDAgendaItem">
    <w:name w:val="CBD_AgendaItem"/>
    <w:basedOn w:val="Normal"/>
    <w:qFormat/>
    <w:rsid w:val="006814E7"/>
    <w:pPr>
      <w:keepNext/>
      <w:keepLines/>
      <w:spacing w:before="240" w:after="120"/>
      <w:jc w:val="left"/>
    </w:pPr>
    <w:rPr>
      <w:b/>
      <w:sz w:val="24"/>
    </w:rPr>
  </w:style>
  <w:style w:type="paragraph" w:customStyle="1" w:styleId="CBDDesicionText">
    <w:name w:val="CBD_DesicionText"/>
    <w:basedOn w:val="CBDNormal"/>
    <w:qFormat/>
    <w:rsid w:val="006814E7"/>
    <w:pPr>
      <w:spacing w:after="120"/>
      <w:ind w:left="567"/>
    </w:pPr>
  </w:style>
  <w:style w:type="paragraph" w:customStyle="1" w:styleId="CBDDesicionAnnex">
    <w:name w:val="CBD_DesicionAnnex"/>
    <w:basedOn w:val="CBDNormal"/>
    <w:next w:val="CBDDesicionText"/>
    <w:qFormat/>
    <w:rsid w:val="006814E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814E7"/>
    <w:pPr>
      <w:keepNext/>
      <w:keepLines/>
      <w:spacing w:after="240"/>
      <w:jc w:val="left"/>
    </w:pPr>
    <w:rPr>
      <w:b/>
      <w:sz w:val="28"/>
      <w:lang w:bidi="ar-SY"/>
    </w:rPr>
  </w:style>
  <w:style w:type="paragraph" w:customStyle="1" w:styleId="CBDSubTitle">
    <w:name w:val="CBD_SubTitle"/>
    <w:basedOn w:val="CBDNormal"/>
    <w:qFormat/>
    <w:rsid w:val="006814E7"/>
    <w:pPr>
      <w:keepNext/>
      <w:keepLines/>
      <w:spacing w:before="240" w:after="240"/>
      <w:ind w:left="567"/>
      <w:jc w:val="left"/>
    </w:pPr>
    <w:rPr>
      <w:b/>
    </w:rPr>
  </w:style>
  <w:style w:type="paragraph" w:customStyle="1" w:styleId="CBDTitle">
    <w:name w:val="CBD_Title"/>
    <w:basedOn w:val="CBDNormal"/>
    <w:next w:val="CBDSubTitle"/>
    <w:qFormat/>
    <w:rsid w:val="006814E7"/>
    <w:pPr>
      <w:keepNext/>
      <w:keepLines/>
      <w:spacing w:before="240" w:after="240"/>
      <w:ind w:left="567"/>
      <w:jc w:val="left"/>
    </w:pPr>
    <w:rPr>
      <w:b/>
      <w:sz w:val="28"/>
    </w:rPr>
  </w:style>
  <w:style w:type="paragraph" w:customStyle="1" w:styleId="AENormal">
    <w:name w:val="AE_Normal"/>
    <w:basedOn w:val="Normal"/>
    <w:rsid w:val="006814E7"/>
  </w:style>
  <w:style w:type="paragraph" w:customStyle="1" w:styleId="CBDH1">
    <w:name w:val="CBD_H1"/>
    <w:basedOn w:val="CBDNormal"/>
    <w:qFormat/>
    <w:rsid w:val="006814E7"/>
    <w:pPr>
      <w:keepNext/>
      <w:keepLines/>
      <w:spacing w:before="240" w:after="120"/>
      <w:ind w:left="567" w:hanging="567"/>
      <w:jc w:val="left"/>
      <w:outlineLvl w:val="0"/>
    </w:pPr>
    <w:rPr>
      <w:b/>
      <w:sz w:val="28"/>
    </w:rPr>
  </w:style>
  <w:style w:type="paragraph" w:customStyle="1" w:styleId="CBDH2">
    <w:name w:val="CBD_H2"/>
    <w:basedOn w:val="CBDNormalNumber"/>
    <w:qFormat/>
    <w:rsid w:val="006814E7"/>
    <w:pPr>
      <w:keepNext/>
      <w:keepLines/>
      <w:ind w:hanging="567"/>
    </w:pPr>
    <w:rPr>
      <w:b/>
      <w:sz w:val="24"/>
    </w:rPr>
  </w:style>
  <w:style w:type="paragraph" w:customStyle="1" w:styleId="CBDFootnoteText">
    <w:name w:val="CBD_Footnote_Text"/>
    <w:basedOn w:val="CBDNormal"/>
    <w:qFormat/>
    <w:rsid w:val="006814E7"/>
    <w:pPr>
      <w:jc w:val="left"/>
    </w:pPr>
    <w:rPr>
      <w:sz w:val="18"/>
    </w:rPr>
  </w:style>
  <w:style w:type="paragraph" w:customStyle="1" w:styleId="CBDFooter">
    <w:name w:val="CBD_Footer"/>
    <w:basedOn w:val="CBDNormal"/>
    <w:qFormat/>
    <w:rsid w:val="006814E7"/>
    <w:rPr>
      <w:sz w:val="20"/>
    </w:rPr>
  </w:style>
  <w:style w:type="paragraph" w:customStyle="1" w:styleId="CBDHeader">
    <w:name w:val="CBD_Header"/>
    <w:basedOn w:val="CBDNormal"/>
    <w:next w:val="CBDFooter"/>
    <w:qFormat/>
    <w:rsid w:val="006814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814E7"/>
    <w:pPr>
      <w:keepNext/>
      <w:keepLines/>
      <w:spacing w:before="120" w:after="120"/>
      <w:ind w:left="567" w:hanging="567"/>
      <w:jc w:val="left"/>
    </w:pPr>
    <w:rPr>
      <w:b/>
    </w:rPr>
  </w:style>
  <w:style w:type="paragraph" w:customStyle="1" w:styleId="CBDH4">
    <w:name w:val="CBD_H4"/>
    <w:basedOn w:val="CBDNormal"/>
    <w:rsid w:val="006814E7"/>
    <w:pPr>
      <w:keepNext/>
      <w:keepLines/>
      <w:spacing w:before="120" w:after="120"/>
      <w:ind w:left="567" w:hanging="567"/>
      <w:jc w:val="left"/>
    </w:pPr>
    <w:rPr>
      <w:b/>
    </w:rPr>
  </w:style>
  <w:style w:type="paragraph" w:customStyle="1" w:styleId="CBDH5">
    <w:name w:val="CBD_H5"/>
    <w:basedOn w:val="CBDNormal"/>
    <w:qFormat/>
    <w:rsid w:val="006814E7"/>
    <w:pPr>
      <w:keepNext/>
      <w:keepLines/>
      <w:spacing w:before="120" w:after="120"/>
      <w:ind w:left="567" w:hanging="567"/>
      <w:jc w:val="left"/>
    </w:pPr>
    <w:rPr>
      <w:i/>
    </w:rPr>
  </w:style>
  <w:style w:type="paragraph" w:customStyle="1" w:styleId="CBDTableNormal">
    <w:name w:val="CBD_TableNormal"/>
    <w:basedOn w:val="CBDNormal"/>
    <w:qFormat/>
    <w:rsid w:val="006814E7"/>
    <w:pPr>
      <w:spacing w:before="40" w:after="80"/>
      <w:jc w:val="left"/>
    </w:pPr>
    <w:rPr>
      <w:sz w:val="20"/>
    </w:rPr>
  </w:style>
  <w:style w:type="paragraph" w:customStyle="1" w:styleId="CBDTableTitle">
    <w:name w:val="CBD_TableTitle"/>
    <w:basedOn w:val="CBDNormal"/>
    <w:qFormat/>
    <w:rsid w:val="006814E7"/>
    <w:pPr>
      <w:keepNext/>
      <w:keepLines/>
      <w:spacing w:before="120" w:after="60"/>
      <w:ind w:left="567"/>
      <w:jc w:val="left"/>
    </w:pPr>
    <w:rPr>
      <w:b/>
    </w:rPr>
  </w:style>
  <w:style w:type="paragraph" w:customStyle="1" w:styleId="CBDFigureTitle">
    <w:name w:val="CBD_FigureTitle"/>
    <w:basedOn w:val="CBDNormal"/>
    <w:next w:val="CBDNormalNoNumber"/>
    <w:qFormat/>
    <w:rsid w:val="006814E7"/>
    <w:pPr>
      <w:keepNext/>
      <w:keepLines/>
      <w:spacing w:before="120" w:after="60"/>
      <w:ind w:left="567"/>
      <w:jc w:val="left"/>
    </w:pPr>
    <w:rPr>
      <w:b/>
    </w:rPr>
  </w:style>
  <w:style w:type="paragraph" w:styleId="Bibliography">
    <w:name w:val="Bibliography"/>
    <w:basedOn w:val="Normal"/>
    <w:next w:val="Normal"/>
    <w:uiPriority w:val="37"/>
    <w:semiHidden/>
    <w:unhideWhenUsed/>
    <w:rsid w:val="006814E7"/>
  </w:style>
  <w:style w:type="paragraph" w:styleId="BlockText">
    <w:name w:val="Block Text"/>
    <w:basedOn w:val="Normal"/>
    <w:uiPriority w:val="99"/>
    <w:semiHidden/>
    <w:unhideWhenUsed/>
    <w:rsid w:val="006814E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6814E7"/>
    <w:pPr>
      <w:spacing w:after="120" w:line="480" w:lineRule="auto"/>
    </w:pPr>
  </w:style>
  <w:style w:type="character" w:customStyle="1" w:styleId="BodyText2Char">
    <w:name w:val="Body Text 2 Char"/>
    <w:basedOn w:val="DefaultParagraphFont"/>
    <w:link w:val="BodyText2"/>
    <w:uiPriority w:val="99"/>
    <w:semiHidden/>
    <w:rsid w:val="006814E7"/>
    <w:rPr>
      <w:rFonts w:ascii="Times New Roman" w:eastAsia="SimSun" w:hAnsi="Times New Roman" w:cs="Times New Roman"/>
      <w:lang w:val="en-GB"/>
    </w:rPr>
  </w:style>
  <w:style w:type="paragraph" w:styleId="BodyText3">
    <w:name w:val="Body Text 3"/>
    <w:basedOn w:val="Normal"/>
    <w:link w:val="BodyText3Char"/>
    <w:uiPriority w:val="99"/>
    <w:semiHidden/>
    <w:unhideWhenUsed/>
    <w:rsid w:val="006814E7"/>
    <w:pPr>
      <w:spacing w:after="120"/>
    </w:pPr>
    <w:rPr>
      <w:sz w:val="16"/>
      <w:szCs w:val="16"/>
    </w:rPr>
  </w:style>
  <w:style w:type="character" w:customStyle="1" w:styleId="BodyText3Char">
    <w:name w:val="Body Text 3 Char"/>
    <w:basedOn w:val="DefaultParagraphFont"/>
    <w:link w:val="BodyText3"/>
    <w:uiPriority w:val="99"/>
    <w:semiHidden/>
    <w:rsid w:val="006814E7"/>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6814E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814E7"/>
    <w:rPr>
      <w:rFonts w:ascii="Times New Roman" w:eastAsia="SimSun" w:hAnsi="Times New Roman" w:cs="Times New Roman"/>
      <w:kern w:val="2"/>
      <w:lang w:val="en-GB"/>
      <w14:ligatures w14:val="standardContextual"/>
    </w:rPr>
  </w:style>
  <w:style w:type="paragraph" w:styleId="BodyTextFirstIndent2">
    <w:name w:val="Body Text First Indent 2"/>
    <w:basedOn w:val="BodyTextIndent"/>
    <w:link w:val="BodyTextFirstIndent2Char"/>
    <w:uiPriority w:val="99"/>
    <w:semiHidden/>
    <w:unhideWhenUsed/>
    <w:rsid w:val="006814E7"/>
    <w:pPr>
      <w:ind w:left="360" w:firstLine="360"/>
      <w:jc w:val="both"/>
    </w:pPr>
  </w:style>
  <w:style w:type="character" w:customStyle="1" w:styleId="BodyTextFirstIndent2Char">
    <w:name w:val="Body Text First Indent 2 Char"/>
    <w:basedOn w:val="BodyTextIndentChar"/>
    <w:link w:val="BodyTextFirstIndent2"/>
    <w:uiPriority w:val="99"/>
    <w:semiHidden/>
    <w:rsid w:val="006814E7"/>
    <w:rPr>
      <w:rFonts w:ascii="Times New Roman" w:eastAsia="SimSun" w:hAnsi="Times New Roman" w:cs="Times New Roman"/>
      <w:lang w:val="en-GB"/>
    </w:rPr>
  </w:style>
  <w:style w:type="paragraph" w:styleId="BodyTextIndent2">
    <w:name w:val="Body Text Indent 2"/>
    <w:basedOn w:val="Normal"/>
    <w:link w:val="BodyTextIndent2Char"/>
    <w:uiPriority w:val="99"/>
    <w:semiHidden/>
    <w:unhideWhenUsed/>
    <w:rsid w:val="006814E7"/>
    <w:pPr>
      <w:spacing w:after="120" w:line="480" w:lineRule="auto"/>
      <w:ind w:left="283"/>
    </w:pPr>
  </w:style>
  <w:style w:type="character" w:customStyle="1" w:styleId="BodyTextIndent2Char">
    <w:name w:val="Body Text Indent 2 Char"/>
    <w:basedOn w:val="DefaultParagraphFont"/>
    <w:link w:val="BodyTextIndent2"/>
    <w:uiPriority w:val="99"/>
    <w:semiHidden/>
    <w:rsid w:val="006814E7"/>
    <w:rPr>
      <w:rFonts w:ascii="Times New Roman" w:eastAsia="SimSun" w:hAnsi="Times New Roman" w:cs="Times New Roman"/>
      <w:lang w:val="en-GB"/>
    </w:rPr>
  </w:style>
  <w:style w:type="paragraph" w:styleId="BodyTextIndent3">
    <w:name w:val="Body Text Indent 3"/>
    <w:basedOn w:val="Normal"/>
    <w:link w:val="BodyTextIndent3Char"/>
    <w:uiPriority w:val="99"/>
    <w:semiHidden/>
    <w:unhideWhenUsed/>
    <w:rsid w:val="006814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814E7"/>
    <w:rPr>
      <w:rFonts w:ascii="Times New Roman" w:eastAsia="SimSun" w:hAnsi="Times New Roman" w:cs="Times New Roman"/>
      <w:sz w:val="16"/>
      <w:szCs w:val="16"/>
      <w:lang w:val="en-GB"/>
    </w:rPr>
  </w:style>
  <w:style w:type="character" w:styleId="BookTitle">
    <w:name w:val="Book Title"/>
    <w:basedOn w:val="DefaultParagraphFont"/>
    <w:uiPriority w:val="33"/>
    <w:qFormat/>
    <w:rsid w:val="006814E7"/>
    <w:rPr>
      <w:b/>
      <w:bCs/>
      <w:i/>
      <w:iCs/>
      <w:spacing w:val="5"/>
      <w:lang w:val="en-GB"/>
    </w:rPr>
  </w:style>
  <w:style w:type="paragraph" w:styleId="Closing">
    <w:name w:val="Closing"/>
    <w:basedOn w:val="Normal"/>
    <w:link w:val="ClosingChar"/>
    <w:uiPriority w:val="99"/>
    <w:semiHidden/>
    <w:unhideWhenUsed/>
    <w:rsid w:val="006814E7"/>
    <w:pPr>
      <w:ind w:left="4252"/>
    </w:pPr>
  </w:style>
  <w:style w:type="character" w:customStyle="1" w:styleId="ClosingChar">
    <w:name w:val="Closing Char"/>
    <w:basedOn w:val="DefaultParagraphFont"/>
    <w:link w:val="Closing"/>
    <w:uiPriority w:val="99"/>
    <w:semiHidden/>
    <w:rsid w:val="006814E7"/>
    <w:rPr>
      <w:rFonts w:ascii="Times New Roman" w:eastAsia="SimSun" w:hAnsi="Times New Roman" w:cs="Times New Roman"/>
      <w:lang w:val="en-GB"/>
    </w:rPr>
  </w:style>
  <w:style w:type="table" w:styleId="ColorfulGrid">
    <w:name w:val="Colorful Grid"/>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814E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814E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6814E7"/>
  </w:style>
  <w:style w:type="character" w:customStyle="1" w:styleId="DateChar">
    <w:name w:val="Date Char"/>
    <w:basedOn w:val="DefaultParagraphFont"/>
    <w:link w:val="Date"/>
    <w:uiPriority w:val="99"/>
    <w:semiHidden/>
    <w:rsid w:val="006814E7"/>
    <w:rPr>
      <w:rFonts w:ascii="Times New Roman" w:eastAsia="SimSun" w:hAnsi="Times New Roman" w:cs="Times New Roman"/>
      <w:lang w:val="en-GB"/>
    </w:rPr>
  </w:style>
  <w:style w:type="paragraph" w:styleId="DocumentMap">
    <w:name w:val="Document Map"/>
    <w:basedOn w:val="Normal"/>
    <w:link w:val="DocumentMapChar"/>
    <w:uiPriority w:val="99"/>
    <w:semiHidden/>
    <w:unhideWhenUsed/>
    <w:rsid w:val="006814E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14E7"/>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6814E7"/>
  </w:style>
  <w:style w:type="character" w:customStyle="1" w:styleId="E-mailSignatureChar">
    <w:name w:val="E-mail Signature Char"/>
    <w:basedOn w:val="DefaultParagraphFont"/>
    <w:link w:val="E-mailSignature"/>
    <w:uiPriority w:val="99"/>
    <w:semiHidden/>
    <w:rsid w:val="006814E7"/>
    <w:rPr>
      <w:rFonts w:ascii="Times New Roman" w:eastAsia="SimSun" w:hAnsi="Times New Roman" w:cs="Times New Roman"/>
      <w:lang w:val="en-GB"/>
    </w:rPr>
  </w:style>
  <w:style w:type="character" w:styleId="Emphasis">
    <w:name w:val="Emphasis"/>
    <w:basedOn w:val="DefaultParagraphFont"/>
    <w:uiPriority w:val="20"/>
    <w:qFormat/>
    <w:rsid w:val="006814E7"/>
    <w:rPr>
      <w:i/>
      <w:iCs/>
      <w:lang w:val="en-GB"/>
    </w:rPr>
  </w:style>
  <w:style w:type="paragraph" w:styleId="EnvelopeAddress">
    <w:name w:val="envelope address"/>
    <w:basedOn w:val="Normal"/>
    <w:uiPriority w:val="99"/>
    <w:semiHidden/>
    <w:unhideWhenUsed/>
    <w:rsid w:val="006814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814E7"/>
    <w:rPr>
      <w:rFonts w:asciiTheme="majorHAnsi" w:eastAsiaTheme="majorEastAsia" w:hAnsiTheme="majorHAnsi" w:cstheme="majorBidi"/>
      <w:sz w:val="20"/>
      <w:szCs w:val="20"/>
    </w:rPr>
  </w:style>
  <w:style w:type="table" w:styleId="GridTable1Light">
    <w:name w:val="Grid Table 1 Light"/>
    <w:basedOn w:val="TableNormal"/>
    <w:uiPriority w:val="46"/>
    <w:rsid w:val="006814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814E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814E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814E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814E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814E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814E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814E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814E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814E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814E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814E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814E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814E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6814E7"/>
    <w:rPr>
      <w:color w:val="2B579A"/>
      <w:shd w:val="clear" w:color="auto" w:fill="E1DFDD"/>
      <w:lang w:val="en-GB"/>
    </w:rPr>
  </w:style>
  <w:style w:type="character" w:styleId="HTMLAcronym">
    <w:name w:val="HTML Acronym"/>
    <w:basedOn w:val="DefaultParagraphFont"/>
    <w:uiPriority w:val="99"/>
    <w:semiHidden/>
    <w:unhideWhenUsed/>
    <w:rsid w:val="006814E7"/>
    <w:rPr>
      <w:lang w:val="en-GB"/>
    </w:rPr>
  </w:style>
  <w:style w:type="paragraph" w:styleId="HTMLAddress">
    <w:name w:val="HTML Address"/>
    <w:basedOn w:val="Normal"/>
    <w:link w:val="HTMLAddressChar"/>
    <w:uiPriority w:val="99"/>
    <w:semiHidden/>
    <w:unhideWhenUsed/>
    <w:rsid w:val="006814E7"/>
    <w:rPr>
      <w:i/>
      <w:iCs/>
    </w:rPr>
  </w:style>
  <w:style w:type="character" w:customStyle="1" w:styleId="HTMLAddressChar">
    <w:name w:val="HTML Address Char"/>
    <w:basedOn w:val="DefaultParagraphFont"/>
    <w:link w:val="HTMLAddress"/>
    <w:uiPriority w:val="99"/>
    <w:semiHidden/>
    <w:rsid w:val="006814E7"/>
    <w:rPr>
      <w:rFonts w:ascii="Times New Roman" w:eastAsia="SimSun" w:hAnsi="Times New Roman" w:cs="Times New Roman"/>
      <w:i/>
      <w:iCs/>
      <w:lang w:val="en-GB"/>
    </w:rPr>
  </w:style>
  <w:style w:type="character" w:styleId="HTMLCite">
    <w:name w:val="HTML Cite"/>
    <w:basedOn w:val="DefaultParagraphFont"/>
    <w:uiPriority w:val="99"/>
    <w:semiHidden/>
    <w:unhideWhenUsed/>
    <w:rsid w:val="006814E7"/>
    <w:rPr>
      <w:i/>
      <w:iCs/>
      <w:lang w:val="en-GB"/>
    </w:rPr>
  </w:style>
  <w:style w:type="character" w:styleId="HTMLCode">
    <w:name w:val="HTML Code"/>
    <w:basedOn w:val="DefaultParagraphFont"/>
    <w:uiPriority w:val="99"/>
    <w:semiHidden/>
    <w:unhideWhenUsed/>
    <w:rsid w:val="006814E7"/>
    <w:rPr>
      <w:rFonts w:ascii="Consolas" w:hAnsi="Consolas"/>
      <w:sz w:val="20"/>
      <w:szCs w:val="20"/>
      <w:lang w:val="en-GB"/>
    </w:rPr>
  </w:style>
  <w:style w:type="character" w:styleId="HTMLDefinition">
    <w:name w:val="HTML Definition"/>
    <w:basedOn w:val="DefaultParagraphFont"/>
    <w:uiPriority w:val="99"/>
    <w:semiHidden/>
    <w:unhideWhenUsed/>
    <w:rsid w:val="006814E7"/>
    <w:rPr>
      <w:i/>
      <w:iCs/>
      <w:lang w:val="en-GB"/>
    </w:rPr>
  </w:style>
  <w:style w:type="character" w:styleId="HTMLKeyboard">
    <w:name w:val="HTML Keyboard"/>
    <w:basedOn w:val="DefaultParagraphFont"/>
    <w:uiPriority w:val="99"/>
    <w:semiHidden/>
    <w:unhideWhenUsed/>
    <w:rsid w:val="006814E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814E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14E7"/>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6814E7"/>
    <w:rPr>
      <w:rFonts w:ascii="Consolas" w:hAnsi="Consolas"/>
      <w:sz w:val="24"/>
      <w:szCs w:val="24"/>
      <w:lang w:val="en-GB"/>
    </w:rPr>
  </w:style>
  <w:style w:type="character" w:styleId="HTMLTypewriter">
    <w:name w:val="HTML Typewriter"/>
    <w:basedOn w:val="DefaultParagraphFont"/>
    <w:uiPriority w:val="99"/>
    <w:semiHidden/>
    <w:unhideWhenUsed/>
    <w:rsid w:val="006814E7"/>
    <w:rPr>
      <w:rFonts w:ascii="Consolas" w:hAnsi="Consolas"/>
      <w:sz w:val="20"/>
      <w:szCs w:val="20"/>
      <w:lang w:val="en-GB"/>
    </w:rPr>
  </w:style>
  <w:style w:type="character" w:styleId="HTMLVariable">
    <w:name w:val="HTML Variable"/>
    <w:basedOn w:val="DefaultParagraphFont"/>
    <w:uiPriority w:val="99"/>
    <w:semiHidden/>
    <w:unhideWhenUsed/>
    <w:rsid w:val="006814E7"/>
    <w:rPr>
      <w:i/>
      <w:iCs/>
      <w:lang w:val="en-GB"/>
    </w:rPr>
  </w:style>
  <w:style w:type="paragraph" w:styleId="Index1">
    <w:name w:val="index 1"/>
    <w:basedOn w:val="Normal"/>
    <w:next w:val="Normal"/>
    <w:autoRedefine/>
    <w:uiPriority w:val="99"/>
    <w:semiHidden/>
    <w:unhideWhenUsed/>
    <w:rsid w:val="006814E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814E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814E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814E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814E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814E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814E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814E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814E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814E7"/>
    <w:rPr>
      <w:rFonts w:asciiTheme="majorHAnsi" w:eastAsiaTheme="majorEastAsia" w:hAnsiTheme="majorHAnsi" w:cstheme="majorBidi"/>
      <w:b/>
      <w:bCs/>
    </w:rPr>
  </w:style>
  <w:style w:type="character" w:styleId="IntenseEmphasis">
    <w:name w:val="Intense Emphasis"/>
    <w:basedOn w:val="DefaultParagraphFont"/>
    <w:uiPriority w:val="21"/>
    <w:qFormat/>
    <w:rsid w:val="006814E7"/>
    <w:rPr>
      <w:i/>
      <w:iCs/>
      <w:color w:val="4472C4" w:themeColor="accent1"/>
      <w:lang w:val="en-GB"/>
    </w:rPr>
  </w:style>
  <w:style w:type="character" w:styleId="IntenseReference">
    <w:name w:val="Intense Reference"/>
    <w:basedOn w:val="DefaultParagraphFont"/>
    <w:uiPriority w:val="32"/>
    <w:qFormat/>
    <w:rsid w:val="006814E7"/>
    <w:rPr>
      <w:b/>
      <w:bCs/>
      <w:smallCaps/>
      <w:color w:val="4472C4" w:themeColor="accent1"/>
      <w:spacing w:val="5"/>
      <w:lang w:val="en-GB"/>
    </w:rPr>
  </w:style>
  <w:style w:type="table" w:styleId="LightGrid">
    <w:name w:val="Light Grid"/>
    <w:basedOn w:val="TableNormal"/>
    <w:uiPriority w:val="62"/>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814E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814E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814E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814E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814E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814E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814E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814E7"/>
    <w:rPr>
      <w:lang w:val="en-GB"/>
    </w:rPr>
  </w:style>
  <w:style w:type="paragraph" w:styleId="List2">
    <w:name w:val="List 2"/>
    <w:basedOn w:val="Normal"/>
    <w:uiPriority w:val="99"/>
    <w:semiHidden/>
    <w:unhideWhenUsed/>
    <w:rsid w:val="006814E7"/>
    <w:pPr>
      <w:ind w:left="566" w:hanging="283"/>
      <w:contextualSpacing/>
    </w:pPr>
  </w:style>
  <w:style w:type="paragraph" w:styleId="List3">
    <w:name w:val="List 3"/>
    <w:basedOn w:val="Normal"/>
    <w:uiPriority w:val="99"/>
    <w:semiHidden/>
    <w:unhideWhenUsed/>
    <w:rsid w:val="006814E7"/>
    <w:pPr>
      <w:ind w:left="849" w:hanging="283"/>
      <w:contextualSpacing/>
    </w:pPr>
  </w:style>
  <w:style w:type="paragraph" w:styleId="List4">
    <w:name w:val="List 4"/>
    <w:basedOn w:val="Normal"/>
    <w:uiPriority w:val="99"/>
    <w:semiHidden/>
    <w:unhideWhenUsed/>
    <w:rsid w:val="006814E7"/>
    <w:pPr>
      <w:ind w:left="1132" w:hanging="283"/>
      <w:contextualSpacing/>
    </w:pPr>
  </w:style>
  <w:style w:type="paragraph" w:styleId="List5">
    <w:name w:val="List 5"/>
    <w:basedOn w:val="Normal"/>
    <w:uiPriority w:val="99"/>
    <w:semiHidden/>
    <w:unhideWhenUsed/>
    <w:rsid w:val="006814E7"/>
    <w:pPr>
      <w:ind w:left="1415" w:hanging="283"/>
      <w:contextualSpacing/>
    </w:pPr>
  </w:style>
  <w:style w:type="paragraph" w:styleId="ListBullet">
    <w:name w:val="List Bullet"/>
    <w:basedOn w:val="Normal"/>
    <w:uiPriority w:val="99"/>
    <w:semiHidden/>
    <w:unhideWhenUsed/>
    <w:rsid w:val="006814E7"/>
    <w:pPr>
      <w:numPr>
        <w:numId w:val="38"/>
      </w:numPr>
      <w:contextualSpacing/>
    </w:pPr>
  </w:style>
  <w:style w:type="paragraph" w:styleId="ListBullet2">
    <w:name w:val="List Bullet 2"/>
    <w:basedOn w:val="Normal"/>
    <w:uiPriority w:val="99"/>
    <w:semiHidden/>
    <w:unhideWhenUsed/>
    <w:rsid w:val="006814E7"/>
    <w:pPr>
      <w:numPr>
        <w:numId w:val="39"/>
      </w:numPr>
      <w:contextualSpacing/>
    </w:pPr>
  </w:style>
  <w:style w:type="paragraph" w:styleId="ListBullet3">
    <w:name w:val="List Bullet 3"/>
    <w:basedOn w:val="Normal"/>
    <w:uiPriority w:val="99"/>
    <w:semiHidden/>
    <w:unhideWhenUsed/>
    <w:rsid w:val="006814E7"/>
    <w:pPr>
      <w:numPr>
        <w:numId w:val="40"/>
      </w:numPr>
      <w:contextualSpacing/>
    </w:pPr>
  </w:style>
  <w:style w:type="paragraph" w:styleId="ListBullet4">
    <w:name w:val="List Bullet 4"/>
    <w:basedOn w:val="Normal"/>
    <w:uiPriority w:val="99"/>
    <w:semiHidden/>
    <w:unhideWhenUsed/>
    <w:rsid w:val="006814E7"/>
    <w:pPr>
      <w:numPr>
        <w:numId w:val="41"/>
      </w:numPr>
      <w:contextualSpacing/>
    </w:pPr>
  </w:style>
  <w:style w:type="paragraph" w:styleId="ListBullet5">
    <w:name w:val="List Bullet 5"/>
    <w:basedOn w:val="Normal"/>
    <w:uiPriority w:val="99"/>
    <w:semiHidden/>
    <w:unhideWhenUsed/>
    <w:rsid w:val="006814E7"/>
    <w:pPr>
      <w:numPr>
        <w:numId w:val="42"/>
      </w:numPr>
      <w:contextualSpacing/>
    </w:pPr>
  </w:style>
  <w:style w:type="paragraph" w:styleId="ListContinue">
    <w:name w:val="List Continue"/>
    <w:basedOn w:val="Normal"/>
    <w:uiPriority w:val="99"/>
    <w:semiHidden/>
    <w:unhideWhenUsed/>
    <w:rsid w:val="006814E7"/>
    <w:pPr>
      <w:spacing w:after="120"/>
      <w:ind w:left="283"/>
      <w:contextualSpacing/>
    </w:pPr>
  </w:style>
  <w:style w:type="paragraph" w:styleId="ListContinue2">
    <w:name w:val="List Continue 2"/>
    <w:basedOn w:val="Normal"/>
    <w:uiPriority w:val="99"/>
    <w:semiHidden/>
    <w:unhideWhenUsed/>
    <w:rsid w:val="006814E7"/>
    <w:pPr>
      <w:spacing w:after="120"/>
      <w:ind w:left="566"/>
      <w:contextualSpacing/>
    </w:pPr>
  </w:style>
  <w:style w:type="paragraph" w:styleId="ListContinue3">
    <w:name w:val="List Continue 3"/>
    <w:basedOn w:val="Normal"/>
    <w:uiPriority w:val="99"/>
    <w:semiHidden/>
    <w:unhideWhenUsed/>
    <w:rsid w:val="006814E7"/>
    <w:pPr>
      <w:spacing w:after="120"/>
      <w:ind w:left="849"/>
      <w:contextualSpacing/>
    </w:pPr>
  </w:style>
  <w:style w:type="paragraph" w:styleId="ListContinue4">
    <w:name w:val="List Continue 4"/>
    <w:basedOn w:val="Normal"/>
    <w:uiPriority w:val="99"/>
    <w:semiHidden/>
    <w:unhideWhenUsed/>
    <w:rsid w:val="006814E7"/>
    <w:pPr>
      <w:spacing w:after="120"/>
      <w:ind w:left="1132"/>
      <w:contextualSpacing/>
    </w:pPr>
  </w:style>
  <w:style w:type="paragraph" w:styleId="ListContinue5">
    <w:name w:val="List Continue 5"/>
    <w:basedOn w:val="Normal"/>
    <w:uiPriority w:val="99"/>
    <w:semiHidden/>
    <w:unhideWhenUsed/>
    <w:rsid w:val="006814E7"/>
    <w:pPr>
      <w:spacing w:after="120"/>
      <w:ind w:left="1415"/>
      <w:contextualSpacing/>
    </w:pPr>
  </w:style>
  <w:style w:type="paragraph" w:styleId="ListNumber">
    <w:name w:val="List Number"/>
    <w:basedOn w:val="Normal"/>
    <w:uiPriority w:val="99"/>
    <w:semiHidden/>
    <w:unhideWhenUsed/>
    <w:rsid w:val="006814E7"/>
    <w:pPr>
      <w:numPr>
        <w:numId w:val="86"/>
      </w:numPr>
      <w:contextualSpacing/>
    </w:pPr>
  </w:style>
  <w:style w:type="paragraph" w:styleId="ListNumber2">
    <w:name w:val="List Number 2"/>
    <w:basedOn w:val="Normal"/>
    <w:uiPriority w:val="99"/>
    <w:semiHidden/>
    <w:unhideWhenUsed/>
    <w:rsid w:val="006814E7"/>
    <w:pPr>
      <w:numPr>
        <w:numId w:val="87"/>
      </w:numPr>
      <w:contextualSpacing/>
    </w:pPr>
  </w:style>
  <w:style w:type="paragraph" w:styleId="ListNumber3">
    <w:name w:val="List Number 3"/>
    <w:basedOn w:val="Normal"/>
    <w:uiPriority w:val="99"/>
    <w:semiHidden/>
    <w:unhideWhenUsed/>
    <w:rsid w:val="006814E7"/>
    <w:pPr>
      <w:numPr>
        <w:numId w:val="88"/>
      </w:numPr>
      <w:contextualSpacing/>
    </w:pPr>
  </w:style>
  <w:style w:type="paragraph" w:styleId="ListNumber4">
    <w:name w:val="List Number 4"/>
    <w:basedOn w:val="Normal"/>
    <w:uiPriority w:val="99"/>
    <w:semiHidden/>
    <w:unhideWhenUsed/>
    <w:rsid w:val="006814E7"/>
    <w:pPr>
      <w:numPr>
        <w:numId w:val="89"/>
      </w:numPr>
      <w:contextualSpacing/>
    </w:pPr>
  </w:style>
  <w:style w:type="paragraph" w:styleId="ListNumber5">
    <w:name w:val="List Number 5"/>
    <w:basedOn w:val="Normal"/>
    <w:uiPriority w:val="99"/>
    <w:semiHidden/>
    <w:unhideWhenUsed/>
    <w:rsid w:val="006814E7"/>
    <w:pPr>
      <w:numPr>
        <w:numId w:val="90"/>
      </w:numPr>
      <w:contextualSpacing/>
    </w:pPr>
  </w:style>
  <w:style w:type="table" w:styleId="ListTable1Light">
    <w:name w:val="List Table 1 Light"/>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814E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814E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814E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814E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814E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814E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814E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814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814E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814E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814E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814E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814E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814E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814E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814E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814E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814E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814E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814E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814E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814E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814E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814E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814E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814E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814E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814E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814E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6814E7"/>
    <w:rPr>
      <w:rFonts w:ascii="Consolas" w:eastAsia="SimSun" w:hAnsi="Consolas" w:cs="Times New Roman"/>
      <w:sz w:val="20"/>
      <w:szCs w:val="20"/>
      <w:lang w:val="en-GB"/>
    </w:rPr>
  </w:style>
  <w:style w:type="table" w:styleId="MediumGrid1">
    <w:name w:val="Medium Grid 1"/>
    <w:basedOn w:val="TableNormal"/>
    <w:uiPriority w:val="67"/>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814E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814E7"/>
    <w:rPr>
      <w:color w:val="2B579A"/>
      <w:shd w:val="clear" w:color="auto" w:fill="E1DFDD"/>
      <w:lang w:val="en-GB"/>
    </w:rPr>
  </w:style>
  <w:style w:type="paragraph" w:styleId="MessageHeader">
    <w:name w:val="Message Header"/>
    <w:basedOn w:val="Normal"/>
    <w:link w:val="MessageHeaderChar"/>
    <w:uiPriority w:val="99"/>
    <w:semiHidden/>
    <w:unhideWhenUsed/>
    <w:rsid w:val="006814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814E7"/>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6814E7"/>
    <w:pPr>
      <w:ind w:left="720"/>
    </w:pPr>
  </w:style>
  <w:style w:type="paragraph" w:styleId="NoteHeading">
    <w:name w:val="Note Heading"/>
    <w:basedOn w:val="Normal"/>
    <w:next w:val="Normal"/>
    <w:link w:val="NoteHeadingChar"/>
    <w:uiPriority w:val="99"/>
    <w:semiHidden/>
    <w:unhideWhenUsed/>
    <w:rsid w:val="006814E7"/>
  </w:style>
  <w:style w:type="character" w:customStyle="1" w:styleId="NoteHeadingChar">
    <w:name w:val="Note Heading Char"/>
    <w:basedOn w:val="DefaultParagraphFont"/>
    <w:link w:val="NoteHeading"/>
    <w:uiPriority w:val="99"/>
    <w:semiHidden/>
    <w:rsid w:val="006814E7"/>
    <w:rPr>
      <w:rFonts w:ascii="Times New Roman" w:eastAsia="SimSun" w:hAnsi="Times New Roman" w:cs="Times New Roman"/>
      <w:lang w:val="en-GB"/>
    </w:rPr>
  </w:style>
  <w:style w:type="table" w:styleId="PlainTable1">
    <w:name w:val="Plain Table 1"/>
    <w:basedOn w:val="TableNormal"/>
    <w:uiPriority w:val="41"/>
    <w:rsid w:val="006814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814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814E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814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814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814E7"/>
  </w:style>
  <w:style w:type="character" w:customStyle="1" w:styleId="SalutationChar">
    <w:name w:val="Salutation Char"/>
    <w:basedOn w:val="DefaultParagraphFont"/>
    <w:link w:val="Salutation"/>
    <w:uiPriority w:val="99"/>
    <w:semiHidden/>
    <w:rsid w:val="006814E7"/>
    <w:rPr>
      <w:rFonts w:ascii="Times New Roman" w:eastAsia="SimSun" w:hAnsi="Times New Roman" w:cs="Times New Roman"/>
      <w:lang w:val="en-GB"/>
    </w:rPr>
  </w:style>
  <w:style w:type="paragraph" w:styleId="Signature">
    <w:name w:val="Signature"/>
    <w:basedOn w:val="Normal"/>
    <w:link w:val="SignatureChar"/>
    <w:uiPriority w:val="99"/>
    <w:semiHidden/>
    <w:unhideWhenUsed/>
    <w:rsid w:val="006814E7"/>
    <w:pPr>
      <w:ind w:left="4252"/>
    </w:pPr>
  </w:style>
  <w:style w:type="character" w:customStyle="1" w:styleId="SignatureChar">
    <w:name w:val="Signature Char"/>
    <w:basedOn w:val="DefaultParagraphFont"/>
    <w:link w:val="Signature"/>
    <w:uiPriority w:val="99"/>
    <w:semiHidden/>
    <w:rsid w:val="006814E7"/>
    <w:rPr>
      <w:rFonts w:ascii="Times New Roman" w:eastAsia="SimSun" w:hAnsi="Times New Roman" w:cs="Times New Roman"/>
      <w:lang w:val="en-GB"/>
    </w:rPr>
  </w:style>
  <w:style w:type="character" w:styleId="SmartHyperlink">
    <w:name w:val="Smart Hyperlink"/>
    <w:basedOn w:val="DefaultParagraphFont"/>
    <w:uiPriority w:val="99"/>
    <w:semiHidden/>
    <w:unhideWhenUsed/>
    <w:rsid w:val="006814E7"/>
    <w:rPr>
      <w:u w:val="dotted"/>
      <w:lang w:val="en-GB"/>
    </w:rPr>
  </w:style>
  <w:style w:type="character" w:styleId="SmartLink">
    <w:name w:val="Smart Link"/>
    <w:basedOn w:val="DefaultParagraphFont"/>
    <w:uiPriority w:val="99"/>
    <w:semiHidden/>
    <w:unhideWhenUsed/>
    <w:rsid w:val="006814E7"/>
    <w:rPr>
      <w:color w:val="0000FF"/>
      <w:u w:val="single"/>
      <w:shd w:val="clear" w:color="auto" w:fill="F3F2F1"/>
      <w:lang w:val="en-GB"/>
    </w:rPr>
  </w:style>
  <w:style w:type="character" w:styleId="SubtleEmphasis">
    <w:name w:val="Subtle Emphasis"/>
    <w:basedOn w:val="DefaultParagraphFont"/>
    <w:uiPriority w:val="19"/>
    <w:qFormat/>
    <w:rsid w:val="006814E7"/>
    <w:rPr>
      <w:i/>
      <w:iCs/>
      <w:color w:val="404040" w:themeColor="text1" w:themeTint="BF"/>
      <w:lang w:val="en-GB"/>
    </w:rPr>
  </w:style>
  <w:style w:type="character" w:styleId="SubtleReference">
    <w:name w:val="Subtle Reference"/>
    <w:basedOn w:val="DefaultParagraphFont"/>
    <w:uiPriority w:val="31"/>
    <w:qFormat/>
    <w:rsid w:val="006814E7"/>
    <w:rPr>
      <w:smallCaps/>
      <w:color w:val="5A5A5A" w:themeColor="text1" w:themeTint="A5"/>
      <w:lang w:val="en-GB"/>
    </w:rPr>
  </w:style>
  <w:style w:type="table" w:styleId="Table3Deffects1">
    <w:name w:val="Table 3D effects 1"/>
    <w:basedOn w:val="TableNormal"/>
    <w:uiPriority w:val="99"/>
    <w:semiHidden/>
    <w:unhideWhenUsed/>
    <w:rsid w:val="006814E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814E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814E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814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814E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814E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814E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6814E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31631265">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8460155">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77126805">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formation/adm-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2.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customXml/itemProps3.xml><?xml version="1.0" encoding="utf-8"?>
<ds:datastoreItem xmlns:ds="http://schemas.openxmlformats.org/officeDocument/2006/customXml" ds:itemID="{956DAFB0-82CA-4C5A-99D7-F64F40158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647A16-9062-4D1B-A676-20428592331E}">
  <ds:schemaRefs>
    <ds:schemaRef ds:uri="http://schemas.microsoft.com/office/2006/documentManagement/types"/>
    <ds:schemaRef ds:uri="http://purl.org/dc/elements/1.1/"/>
    <ds:schemaRef ds:uri="http://purl.org/dc/terms/"/>
    <ds:schemaRef ds:uri="13ad741f-c0db-4e29-b5a6-03b4a1bc18ba"/>
    <ds:schemaRef ds:uri="http://purl.org/dc/dcmitype/"/>
    <ds:schemaRef ds:uri="http://www.w3.org/XML/1998/namespace"/>
    <ds:schemaRef ds:uri="http://schemas.openxmlformats.org/package/2006/metadata/core-propertie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4552</Words>
  <Characters>24333</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REPORT OF THE EXECUTIVE SECRETARY ON THE INCOME AND BUDGET PERFORMANCE FOR THE CONVENTION ON BIOLOGICAL DIVERSITY, THE CARTAGENA PROTOCOL ON BIOSAFETY AND THE NAGOYA PROTOCOL ON ACCESS AND BENEFIT-SHARING FOR THE BIENNIUM 2019-2020, 2021 AND 2022</vt:lpstr>
    </vt:vector>
  </TitlesOfParts>
  <Company>SCBD</Company>
  <LinksUpToDate>false</LinksUpToDate>
  <CharactersWithSpaces>28828</CharactersWithSpaces>
  <SharedDoc>false</SharedDoc>
  <HLinks>
    <vt:vector size="6" baseType="variant">
      <vt:variant>
        <vt:i4>1179717</vt:i4>
      </vt:variant>
      <vt:variant>
        <vt:i4>0</vt:i4>
      </vt:variant>
      <vt:variant>
        <vt:i4>0</vt:i4>
      </vt:variant>
      <vt:variant>
        <vt:i4>5</vt:i4>
      </vt:variant>
      <vt:variant>
        <vt:lpwstr>https://www.cbd.int/information/adm-fin/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Convention and its Protocols for the biennium 2023–2024</dc:title>
  <dc:subject>CBD/COP/16/3</dc:subject>
  <dc:creator>Secretariat of the Convention on Biological Diversity</dc:creator>
  <cp:keywords>Conference of the Parties to the Convention on Biologial Diversity, fifteenth meeting</cp:keywords>
  <dc:description/>
  <cp:lastModifiedBy>Veronique Lefebvre</cp:lastModifiedBy>
  <cp:revision>10</cp:revision>
  <cp:lastPrinted>2024-10-06T20:12:00Z</cp:lastPrinted>
  <dcterms:created xsi:type="dcterms:W3CDTF">2024-10-07T18:58:00Z</dcterms:created>
  <dcterms:modified xsi:type="dcterms:W3CDTF">2024-10-07T19:10:00Z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