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4A810" w14:textId="77777777" w:rsidR="00334166" w:rsidRDefault="00334166" w:rsidP="00334166">
      <w:pPr>
        <w:suppressLineNumbers/>
        <w:tabs>
          <w:tab w:val="num" w:pos="720"/>
        </w:tabs>
        <w:suppressAutoHyphens/>
        <w:kinsoku w:val="0"/>
        <w:overflowPunct w:val="0"/>
        <w:autoSpaceDE w:val="0"/>
        <w:autoSpaceDN w:val="0"/>
        <w:adjustRightInd w:val="0"/>
        <w:snapToGrid w:val="0"/>
      </w:pPr>
    </w:p>
    <w:p w14:paraId="55ACCEF7" w14:textId="3145B6B9" w:rsidR="00334166" w:rsidRDefault="00334166" w:rsidP="00334166">
      <w:pPr>
        <w:pStyle w:val="Para1"/>
        <w:numPr>
          <w:ilvl w:val="0"/>
          <w:numId w:val="0"/>
        </w:numPr>
        <w:suppressLineNumbers/>
        <w:suppressAutoHyphens/>
        <w:kinsoku w:val="0"/>
        <w:overflowPunct w:val="0"/>
        <w:autoSpaceDE w:val="0"/>
        <w:autoSpaceDN w:val="0"/>
        <w:adjustRightInd w:val="0"/>
        <w:snapToGrid w:val="0"/>
        <w:rPr>
          <w:spacing w:val="-3"/>
          <w:kern w:val="22"/>
          <w:szCs w:val="22"/>
        </w:rPr>
      </w:pPr>
    </w:p>
    <w:tbl>
      <w:tblPr>
        <w:tblW w:w="10207" w:type="dxa"/>
        <w:tblInd w:w="-106" w:type="dxa"/>
        <w:tblLook w:val="00A0" w:firstRow="1" w:lastRow="0" w:firstColumn="1" w:lastColumn="0" w:noHBand="0" w:noVBand="0"/>
      </w:tblPr>
      <w:tblGrid>
        <w:gridCol w:w="976"/>
        <w:gridCol w:w="5141"/>
        <w:gridCol w:w="4090"/>
      </w:tblGrid>
      <w:tr w:rsidR="00334166" w:rsidRPr="00334166" w14:paraId="16CBDC78" w14:textId="77777777" w:rsidTr="004F7510">
        <w:trPr>
          <w:trHeight w:val="844"/>
        </w:trPr>
        <w:tc>
          <w:tcPr>
            <w:tcW w:w="976" w:type="dxa"/>
            <w:tcBorders>
              <w:bottom w:val="single" w:sz="12" w:space="0" w:color="auto"/>
            </w:tcBorders>
          </w:tcPr>
          <w:p w14:paraId="4CA3518F" w14:textId="77777777" w:rsidR="00334166" w:rsidRPr="00334166" w:rsidRDefault="00334166" w:rsidP="00334166">
            <w:pPr>
              <w:rPr>
                <w:rFonts w:ascii="Cambria" w:eastAsia="SimSun" w:hAnsi="Cambria"/>
                <w:szCs w:val="22"/>
              </w:rPr>
            </w:pPr>
            <w:bookmarkStart w:id="0" w:name="_Hlk505247837"/>
            <w:r w:rsidRPr="00334166">
              <w:rPr>
                <w:noProof/>
                <w:szCs w:val="22"/>
                <w:lang w:eastAsia="ru-RU"/>
              </w:rPr>
              <w:drawing>
                <wp:anchor distT="0" distB="0" distL="114300" distR="114300" simplePos="0" relativeHeight="251659264" behindDoc="0" locked="0" layoutInCell="1" allowOverlap="1" wp14:anchorId="202D0860" wp14:editId="7AA708FD">
                  <wp:simplePos x="0" y="0"/>
                  <wp:positionH relativeFrom="column">
                    <wp:posOffset>635</wp:posOffset>
                  </wp:positionH>
                  <wp:positionV relativeFrom="page">
                    <wp:posOffset>0</wp:posOffset>
                  </wp:positionV>
                  <wp:extent cx="476250" cy="402590"/>
                  <wp:effectExtent l="0" t="0" r="0" b="0"/>
                  <wp:wrapNone/>
                  <wp:docPr id="5"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ilodeau:Desktop:logos:template 2017:un.emf"/>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pic:spPr>
                      </pic:pic>
                    </a:graphicData>
                  </a:graphic>
                  <wp14:sizeRelH relativeFrom="page">
                    <wp14:pctWidth>0</wp14:pctWidth>
                  </wp14:sizeRelH>
                  <wp14:sizeRelV relativeFrom="page">
                    <wp14:pctHeight>0</wp14:pctHeight>
                  </wp14:sizeRelV>
                </wp:anchor>
              </w:drawing>
            </w:r>
          </w:p>
        </w:tc>
        <w:tc>
          <w:tcPr>
            <w:tcW w:w="5141" w:type="dxa"/>
            <w:tcBorders>
              <w:bottom w:val="single" w:sz="12" w:space="0" w:color="auto"/>
            </w:tcBorders>
            <w:tcFitText/>
          </w:tcPr>
          <w:p w14:paraId="307CB4C1" w14:textId="77777777" w:rsidR="00334166" w:rsidRPr="00334166" w:rsidRDefault="00334166" w:rsidP="00334166">
            <w:pPr>
              <w:rPr>
                <w:rFonts w:ascii="Cambria" w:eastAsia="SimSun" w:hAnsi="Cambria"/>
                <w:szCs w:val="22"/>
              </w:rPr>
            </w:pPr>
            <w:r w:rsidRPr="00334166">
              <w:rPr>
                <w:rFonts w:ascii="Cambria" w:eastAsia="SimSun" w:hAnsi="Cambria"/>
                <w:noProof/>
                <w:szCs w:val="22"/>
              </w:rPr>
              <w:drawing>
                <wp:inline distT="0" distB="0" distL="0" distR="0" wp14:anchorId="7510C200" wp14:editId="1EEF7004">
                  <wp:extent cx="857250" cy="355600"/>
                  <wp:effectExtent l="0" t="0" r="0" b="0"/>
                  <wp:docPr id="1"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unep-2017-ru-blk-sm2"/>
                          <pic:cNvPicPr>
                            <a:picLocks noChangeAspect="1" noChangeArrowheads="1"/>
                          </pic:cNvPicPr>
                        </pic:nvPicPr>
                        <pic:blipFill>
                          <a:blip r:embed="rId8" cstate="print">
                            <a:extLst>
                              <a:ext uri="{28A0092B-C50C-407E-A947-70E740481C1C}">
                                <a14:useLocalDpi xmlns:a14="http://schemas.microsoft.com/office/drawing/2010/main" val="0"/>
                              </a:ext>
                            </a:extLst>
                          </a:blip>
                          <a:srcRect b="40970"/>
                          <a:stretch>
                            <a:fillRect/>
                          </a:stretch>
                        </pic:blipFill>
                        <pic:spPr bwMode="auto">
                          <a:xfrm>
                            <a:off x="0" y="0"/>
                            <a:ext cx="857250" cy="355600"/>
                          </a:xfrm>
                          <a:prstGeom prst="rect">
                            <a:avLst/>
                          </a:prstGeom>
                          <a:noFill/>
                          <a:ln>
                            <a:noFill/>
                          </a:ln>
                        </pic:spPr>
                      </pic:pic>
                    </a:graphicData>
                  </a:graphic>
                </wp:inline>
              </w:drawing>
            </w:r>
          </w:p>
        </w:tc>
        <w:tc>
          <w:tcPr>
            <w:tcW w:w="4090" w:type="dxa"/>
            <w:tcBorders>
              <w:bottom w:val="single" w:sz="12" w:space="0" w:color="auto"/>
            </w:tcBorders>
          </w:tcPr>
          <w:p w14:paraId="3B2F0B28" w14:textId="77777777" w:rsidR="00334166" w:rsidRPr="00334166" w:rsidRDefault="00334166" w:rsidP="00334166">
            <w:pPr>
              <w:jc w:val="right"/>
              <w:rPr>
                <w:rFonts w:ascii="Arial" w:eastAsia="SimSun" w:hAnsi="Arial" w:cs="Arial"/>
                <w:b/>
                <w:bCs/>
                <w:szCs w:val="22"/>
              </w:rPr>
            </w:pPr>
            <w:r w:rsidRPr="00334166">
              <w:rPr>
                <w:rFonts w:ascii="Arial" w:eastAsia="SimSun" w:hAnsi="Arial" w:cs="Arial"/>
                <w:b/>
                <w:bCs/>
                <w:szCs w:val="22"/>
              </w:rPr>
              <w:t>CBD</w:t>
            </w:r>
          </w:p>
        </w:tc>
      </w:tr>
      <w:bookmarkEnd w:id="0"/>
    </w:tbl>
    <w:p w14:paraId="25D5A064" w14:textId="77777777" w:rsidR="00334166" w:rsidRPr="00334166" w:rsidRDefault="00334166" w:rsidP="00334166">
      <w:pPr>
        <w:rPr>
          <w:vanish/>
          <w:szCs w:val="22"/>
        </w:rPr>
      </w:pPr>
    </w:p>
    <w:tbl>
      <w:tblPr>
        <w:tblW w:w="10207" w:type="dxa"/>
        <w:tblInd w:w="-106" w:type="dxa"/>
        <w:tblLook w:val="00A0" w:firstRow="1" w:lastRow="0" w:firstColumn="1" w:lastColumn="0" w:noHBand="0" w:noVBand="0"/>
      </w:tblPr>
      <w:tblGrid>
        <w:gridCol w:w="6117"/>
        <w:gridCol w:w="4090"/>
      </w:tblGrid>
      <w:tr w:rsidR="00334166" w:rsidRPr="00334166" w14:paraId="3B6F10AF" w14:textId="77777777" w:rsidTr="004F7510">
        <w:tc>
          <w:tcPr>
            <w:tcW w:w="6117" w:type="dxa"/>
            <w:tcBorders>
              <w:top w:val="single" w:sz="12" w:space="0" w:color="auto"/>
              <w:bottom w:val="single" w:sz="36" w:space="0" w:color="auto"/>
            </w:tcBorders>
            <w:vAlign w:val="center"/>
          </w:tcPr>
          <w:p w14:paraId="0F76EA08" w14:textId="77777777" w:rsidR="00334166" w:rsidRPr="00334166" w:rsidRDefault="00334166" w:rsidP="00334166">
            <w:pPr>
              <w:suppressLineNumbers/>
              <w:suppressAutoHyphens/>
              <w:kinsoku w:val="0"/>
              <w:overflowPunct w:val="0"/>
              <w:autoSpaceDE w:val="0"/>
              <w:autoSpaceDN w:val="0"/>
              <w:rPr>
                <w:rFonts w:ascii="Cambria" w:eastAsia="SimSun" w:hAnsi="Cambria"/>
                <w:szCs w:val="22"/>
              </w:rPr>
            </w:pPr>
            <w:r w:rsidRPr="00334166">
              <w:rPr>
                <w:rFonts w:ascii="Cambria" w:eastAsia="SimSun" w:hAnsi="Cambria"/>
                <w:noProof/>
                <w:szCs w:val="22"/>
              </w:rPr>
              <w:drawing>
                <wp:inline distT="0" distB="0" distL="0" distR="0" wp14:anchorId="62A90039" wp14:editId="087A8272">
                  <wp:extent cx="2597150" cy="1079500"/>
                  <wp:effectExtent l="0" t="0" r="0" b="0"/>
                  <wp:docPr id="2" name="Imag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4" descr="Text&#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97150" cy="10795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5FFCF63E" w14:textId="77777777" w:rsidR="00334166" w:rsidRPr="00334166" w:rsidRDefault="00334166" w:rsidP="00334166">
            <w:pPr>
              <w:suppressLineNumbers/>
              <w:suppressAutoHyphens/>
              <w:kinsoku w:val="0"/>
              <w:overflowPunct w:val="0"/>
              <w:autoSpaceDE w:val="0"/>
              <w:autoSpaceDN w:val="0"/>
              <w:ind w:left="1215"/>
              <w:rPr>
                <w:rFonts w:eastAsia="SimSun"/>
                <w:szCs w:val="22"/>
                <w:lang w:val="en-US"/>
              </w:rPr>
            </w:pPr>
            <w:r w:rsidRPr="00334166">
              <w:rPr>
                <w:rFonts w:eastAsia="SimSun"/>
                <w:szCs w:val="22"/>
                <w:lang w:val="en-US"/>
              </w:rPr>
              <w:t>Distr.</w:t>
            </w:r>
          </w:p>
          <w:p w14:paraId="067F915A" w14:textId="77777777" w:rsidR="00334166" w:rsidRPr="00334166" w:rsidRDefault="00334166" w:rsidP="00334166">
            <w:pPr>
              <w:suppressLineNumbers/>
              <w:suppressAutoHyphens/>
              <w:kinsoku w:val="0"/>
              <w:overflowPunct w:val="0"/>
              <w:autoSpaceDE w:val="0"/>
              <w:autoSpaceDN w:val="0"/>
              <w:ind w:left="1215"/>
              <w:rPr>
                <w:rFonts w:eastAsia="SimSun"/>
                <w:szCs w:val="22"/>
                <w:lang w:val="en-US"/>
              </w:rPr>
            </w:pPr>
            <w:r w:rsidRPr="00334166">
              <w:rPr>
                <w:rFonts w:eastAsia="SimSun"/>
                <w:caps/>
                <w:szCs w:val="22"/>
                <w:lang w:val="en-US"/>
              </w:rPr>
              <w:t>GENERAL</w:t>
            </w:r>
          </w:p>
          <w:p w14:paraId="4F8F0173" w14:textId="77777777" w:rsidR="001A62EA" w:rsidRPr="003D05C2" w:rsidRDefault="001A62EA" w:rsidP="001A62EA">
            <w:pPr>
              <w:suppressLineNumbers/>
              <w:suppressAutoHyphens/>
              <w:kinsoku w:val="0"/>
              <w:overflowPunct w:val="0"/>
              <w:autoSpaceDE w:val="0"/>
              <w:autoSpaceDN w:val="0"/>
              <w:adjustRightInd w:val="0"/>
              <w:snapToGrid w:val="0"/>
              <w:ind w:left="1213"/>
              <w:jc w:val="left"/>
              <w:rPr>
                <w:kern w:val="22"/>
                <w:szCs w:val="22"/>
                <w:lang w:val="en-US"/>
              </w:rPr>
            </w:pPr>
          </w:p>
          <w:p w14:paraId="3C3773D1" w14:textId="31AAA18D" w:rsidR="001A62EA" w:rsidRPr="003D05C2" w:rsidRDefault="000E7AA2" w:rsidP="001A62EA">
            <w:pPr>
              <w:suppressLineNumbers/>
              <w:suppressAutoHyphens/>
              <w:kinsoku w:val="0"/>
              <w:overflowPunct w:val="0"/>
              <w:autoSpaceDE w:val="0"/>
              <w:autoSpaceDN w:val="0"/>
              <w:adjustRightInd w:val="0"/>
              <w:snapToGrid w:val="0"/>
              <w:ind w:left="1213"/>
              <w:jc w:val="left"/>
              <w:rPr>
                <w:kern w:val="22"/>
                <w:szCs w:val="22"/>
                <w:lang w:val="en-US"/>
              </w:rPr>
            </w:pPr>
            <w:sdt>
              <w:sdtPr>
                <w:rPr>
                  <w:kern w:val="22"/>
                  <w:lang w:val="en-US"/>
                </w:rPr>
                <w:alias w:val="Subject"/>
                <w:tag w:val=""/>
                <w:id w:val="2137136483"/>
                <w:placeholder>
                  <w:docPart w:val="3E9BDA19666041B9877ACF14F65A2B08"/>
                </w:placeholder>
                <w:dataBinding w:prefixMappings="xmlns:ns0='http://purl.org/dc/elements/1.1/' xmlns:ns1='http://schemas.openxmlformats.org/package/2006/metadata/core-properties' " w:xpath="/ns1:coreProperties[1]/ns0:subject[1]" w:storeItemID="{6C3C8BC8-F283-45AE-878A-BAB7291924A1}"/>
                <w:text/>
              </w:sdtPr>
              <w:sdtContent>
                <w:r w:rsidRPr="00A2631F">
                  <w:rPr>
                    <w:kern w:val="22"/>
                    <w:lang w:val="en-US"/>
                  </w:rPr>
                  <w:t>CBD/COP/15/9</w:t>
                </w:r>
              </w:sdtContent>
            </w:sdt>
          </w:p>
          <w:p w14:paraId="76C917F8" w14:textId="77777777" w:rsidR="00334166" w:rsidRPr="00334166" w:rsidRDefault="00334166" w:rsidP="00334166">
            <w:pPr>
              <w:suppressLineNumbers/>
              <w:suppressAutoHyphens/>
              <w:kinsoku w:val="0"/>
              <w:overflowPunct w:val="0"/>
              <w:autoSpaceDE w:val="0"/>
              <w:autoSpaceDN w:val="0"/>
              <w:ind w:left="1215"/>
              <w:rPr>
                <w:rFonts w:eastAsia="SimSun"/>
                <w:szCs w:val="22"/>
                <w:lang w:val="en-GB"/>
              </w:rPr>
            </w:pPr>
            <w:r w:rsidRPr="00334166">
              <w:rPr>
                <w:rFonts w:eastAsia="SimSun"/>
                <w:szCs w:val="22"/>
                <w:lang w:val="en-GB"/>
              </w:rPr>
              <w:t>30 October 2022</w:t>
            </w:r>
          </w:p>
          <w:p w14:paraId="1BA9696D" w14:textId="77777777" w:rsidR="00334166" w:rsidRPr="00334166" w:rsidRDefault="00334166" w:rsidP="00334166">
            <w:pPr>
              <w:suppressLineNumbers/>
              <w:suppressAutoHyphens/>
              <w:kinsoku w:val="0"/>
              <w:overflowPunct w:val="0"/>
              <w:autoSpaceDE w:val="0"/>
              <w:autoSpaceDN w:val="0"/>
              <w:ind w:left="1215"/>
              <w:rPr>
                <w:rFonts w:eastAsia="SimSun"/>
                <w:szCs w:val="22"/>
                <w:lang w:val="en-GB"/>
              </w:rPr>
            </w:pPr>
          </w:p>
          <w:p w14:paraId="4D3E3677" w14:textId="77777777" w:rsidR="00334166" w:rsidRPr="00334166" w:rsidRDefault="00334166" w:rsidP="00334166">
            <w:pPr>
              <w:suppressLineNumbers/>
              <w:suppressAutoHyphens/>
              <w:kinsoku w:val="0"/>
              <w:overflowPunct w:val="0"/>
              <w:autoSpaceDE w:val="0"/>
              <w:autoSpaceDN w:val="0"/>
              <w:ind w:left="1215"/>
              <w:rPr>
                <w:rFonts w:eastAsia="SimSun"/>
                <w:szCs w:val="22"/>
                <w:lang w:val="en-GB"/>
              </w:rPr>
            </w:pPr>
            <w:r w:rsidRPr="00334166">
              <w:rPr>
                <w:rFonts w:eastAsia="SimSun"/>
                <w:szCs w:val="22"/>
                <w:lang w:val="en-GB"/>
              </w:rPr>
              <w:t>RUSSIAN</w:t>
            </w:r>
          </w:p>
          <w:p w14:paraId="66BC5216" w14:textId="77777777" w:rsidR="00334166" w:rsidRPr="00334166" w:rsidRDefault="00334166" w:rsidP="00334166">
            <w:pPr>
              <w:suppressLineNumbers/>
              <w:suppressAutoHyphens/>
              <w:kinsoku w:val="0"/>
              <w:overflowPunct w:val="0"/>
              <w:autoSpaceDE w:val="0"/>
              <w:autoSpaceDN w:val="0"/>
              <w:ind w:left="1215"/>
              <w:rPr>
                <w:rFonts w:eastAsia="SimSun"/>
                <w:szCs w:val="22"/>
                <w:lang w:val="en-GB"/>
              </w:rPr>
            </w:pPr>
            <w:r w:rsidRPr="00334166">
              <w:rPr>
                <w:rFonts w:eastAsia="SimSun"/>
                <w:szCs w:val="22"/>
                <w:lang w:val="en-GB"/>
              </w:rPr>
              <w:t>ORIGINAL: ENGLISH</w:t>
            </w:r>
          </w:p>
          <w:p w14:paraId="61A6148B" w14:textId="77777777" w:rsidR="00334166" w:rsidRPr="00334166" w:rsidRDefault="00334166" w:rsidP="00334166">
            <w:pPr>
              <w:suppressLineNumbers/>
              <w:suppressAutoHyphens/>
              <w:kinsoku w:val="0"/>
              <w:overflowPunct w:val="0"/>
              <w:autoSpaceDE w:val="0"/>
              <w:autoSpaceDN w:val="0"/>
              <w:rPr>
                <w:rFonts w:ascii="Cambria" w:eastAsia="SimSun" w:hAnsi="Cambria"/>
                <w:szCs w:val="22"/>
                <w:lang w:val="en-GB"/>
              </w:rPr>
            </w:pPr>
          </w:p>
        </w:tc>
      </w:tr>
    </w:tbl>
    <w:p w14:paraId="2EDFCA8A" w14:textId="77777777" w:rsidR="00334166" w:rsidRPr="00334166" w:rsidRDefault="00334166" w:rsidP="00334166">
      <w:pPr>
        <w:suppressLineNumbers/>
        <w:suppressAutoHyphens/>
        <w:ind w:right="4398"/>
        <w:jc w:val="left"/>
        <w:rPr>
          <w:rFonts w:eastAsia="Malgun Gothic"/>
          <w:caps/>
          <w:kern w:val="22"/>
          <w:szCs w:val="22"/>
        </w:rPr>
      </w:pPr>
      <w:bookmarkStart w:id="1" w:name="Meeting"/>
      <w:r w:rsidRPr="00334166">
        <w:rPr>
          <w:rFonts w:eastAsia="Malgun Gothic"/>
          <w:caps/>
          <w:kern w:val="22"/>
          <w:szCs w:val="22"/>
        </w:rPr>
        <w:t>КОНФЕРЕНЦИЯ СТОРОН КОНВЕНЦИИ О БИОЛОГИЧЕСКОМ РАЗНООБРАЗИИ</w:t>
      </w:r>
      <w:bookmarkEnd w:id="1"/>
    </w:p>
    <w:p w14:paraId="5A69D61D" w14:textId="77777777" w:rsidR="00334166" w:rsidRPr="00334166" w:rsidRDefault="00334166" w:rsidP="00334166">
      <w:pPr>
        <w:suppressLineNumbers/>
        <w:suppressAutoHyphens/>
        <w:rPr>
          <w:snapToGrid w:val="0"/>
          <w:kern w:val="22"/>
          <w:szCs w:val="22"/>
          <w:lang w:eastAsia="nb-NO"/>
        </w:rPr>
      </w:pPr>
      <w:r w:rsidRPr="00334166">
        <w:rPr>
          <w:snapToGrid w:val="0"/>
          <w:kern w:val="22"/>
          <w:szCs w:val="22"/>
          <w:lang w:eastAsia="nb-NO"/>
        </w:rPr>
        <w:t>Пятнадцатое совещание – часть II</w:t>
      </w:r>
    </w:p>
    <w:p w14:paraId="29480967" w14:textId="77777777" w:rsidR="00334166" w:rsidRPr="00334166" w:rsidRDefault="00334166" w:rsidP="00334166">
      <w:pPr>
        <w:suppressLineNumbers/>
        <w:suppressAutoHyphens/>
        <w:rPr>
          <w:snapToGrid w:val="0"/>
          <w:kern w:val="22"/>
          <w:szCs w:val="22"/>
          <w:lang w:eastAsia="nb-NO"/>
        </w:rPr>
      </w:pPr>
      <w:r w:rsidRPr="00334166">
        <w:rPr>
          <w:snapToGrid w:val="0"/>
          <w:kern w:val="22"/>
          <w:szCs w:val="22"/>
          <w:lang w:eastAsia="nb-NO"/>
        </w:rPr>
        <w:t>Монреаль, Канада, 7–19 декабря 2022 года</w:t>
      </w:r>
    </w:p>
    <w:p w14:paraId="4B9D795A" w14:textId="77777777" w:rsidR="00334166" w:rsidRPr="00334166" w:rsidRDefault="00334166" w:rsidP="00334166">
      <w:pPr>
        <w:suppressLineNumbers/>
        <w:tabs>
          <w:tab w:val="left" w:pos="708"/>
          <w:tab w:val="center" w:pos="4320"/>
          <w:tab w:val="right" w:pos="8640"/>
        </w:tabs>
        <w:suppressAutoHyphens/>
        <w:rPr>
          <w:snapToGrid w:val="0"/>
          <w:kern w:val="22"/>
          <w:szCs w:val="22"/>
          <w:lang w:eastAsia="ru-RU"/>
        </w:rPr>
      </w:pPr>
      <w:r w:rsidRPr="00334166">
        <w:rPr>
          <w:snapToGrid w:val="0"/>
          <w:kern w:val="22"/>
          <w:szCs w:val="22"/>
          <w:lang w:eastAsia="ru-RU"/>
        </w:rPr>
        <w:t>Пункт 8 повестки дня</w:t>
      </w:r>
    </w:p>
    <w:p w14:paraId="73454FBA" w14:textId="77777777" w:rsidR="00334166" w:rsidRPr="00334166" w:rsidRDefault="00334166" w:rsidP="00334166">
      <w:pPr>
        <w:keepNext/>
        <w:suppressLineNumbers/>
        <w:suppressAutoHyphens/>
        <w:kinsoku w:val="0"/>
        <w:overflowPunct w:val="0"/>
        <w:autoSpaceDE w:val="0"/>
        <w:autoSpaceDN w:val="0"/>
        <w:adjustRightInd w:val="0"/>
        <w:snapToGrid w:val="0"/>
        <w:spacing w:before="240" w:after="240"/>
        <w:jc w:val="center"/>
        <w:outlineLvl w:val="1"/>
        <w:rPr>
          <w:b/>
          <w:bCs/>
          <w:caps/>
          <w:snapToGrid w:val="0"/>
          <w:kern w:val="22"/>
          <w:szCs w:val="22"/>
        </w:rPr>
      </w:pPr>
      <w:r w:rsidRPr="00334166">
        <w:rPr>
          <w:b/>
          <w:bCs/>
          <w:caps/>
          <w:snapToGrid w:val="0"/>
          <w:kern w:val="22"/>
          <w:szCs w:val="22"/>
        </w:rPr>
        <w:t>ОБЗОР ХОДА ОСУЩЕСТВЛЕНИЯ КОНВЕНЦИИ И СТРАТЕГИЧЕСКОГО ПЛАНА В ОБЛАСТИ СОХРАНЕНИЯ И ИСПОЛЬЗОВАНИЯ БИОРАЗНООБРАЗИЯ НА 2011-2020 ГОДЫ</w:t>
      </w:r>
    </w:p>
    <w:p w14:paraId="45109133" w14:textId="77777777" w:rsidR="00334166" w:rsidRPr="00334166" w:rsidRDefault="00334166" w:rsidP="00334166">
      <w:pPr>
        <w:keepNext/>
        <w:suppressLineNumbers/>
        <w:suppressAutoHyphens/>
        <w:kinsoku w:val="0"/>
        <w:overflowPunct w:val="0"/>
        <w:autoSpaceDE w:val="0"/>
        <w:autoSpaceDN w:val="0"/>
        <w:adjustRightInd w:val="0"/>
        <w:snapToGrid w:val="0"/>
        <w:spacing w:before="120" w:after="240"/>
        <w:jc w:val="center"/>
        <w:outlineLvl w:val="1"/>
        <w:rPr>
          <w:b/>
          <w:bCs/>
          <w:i/>
          <w:iCs/>
          <w:snapToGrid w:val="0"/>
          <w:kern w:val="22"/>
          <w:szCs w:val="22"/>
        </w:rPr>
      </w:pPr>
      <w:r w:rsidRPr="00334166">
        <w:rPr>
          <w:i/>
          <w:iCs/>
          <w:snapToGrid w:val="0"/>
          <w:kern w:val="22"/>
          <w:szCs w:val="22"/>
        </w:rPr>
        <w:t>Записка Исполнительного секретаря</w:t>
      </w:r>
    </w:p>
    <w:p w14:paraId="279F2A78" w14:textId="77777777" w:rsidR="00334166" w:rsidRPr="00334166" w:rsidRDefault="00334166" w:rsidP="00334166">
      <w:pPr>
        <w:keepNext/>
        <w:suppressLineNumbers/>
        <w:suppressAutoHyphens/>
        <w:kinsoku w:val="0"/>
        <w:overflowPunct w:val="0"/>
        <w:autoSpaceDE w:val="0"/>
        <w:autoSpaceDN w:val="0"/>
        <w:adjustRightInd w:val="0"/>
        <w:snapToGrid w:val="0"/>
        <w:spacing w:before="120" w:after="120"/>
        <w:jc w:val="center"/>
        <w:outlineLvl w:val="0"/>
        <w:rPr>
          <w:b/>
          <w:bCs/>
          <w:caps/>
          <w:snapToGrid w:val="0"/>
          <w:kern w:val="22"/>
          <w:szCs w:val="22"/>
          <w:lang w:eastAsia="ru-RU"/>
        </w:rPr>
      </w:pPr>
      <w:r w:rsidRPr="00334166">
        <w:rPr>
          <w:b/>
          <w:bCs/>
          <w:caps/>
          <w:snapToGrid w:val="0"/>
          <w:kern w:val="22"/>
          <w:szCs w:val="22"/>
          <w:lang w:eastAsia="ru-RU"/>
        </w:rPr>
        <w:t>ОБЩИЕ СВЕДЕНИЯ</w:t>
      </w:r>
    </w:p>
    <w:p w14:paraId="6836F88B" w14:textId="02D237A1" w:rsidR="00334166" w:rsidRPr="00456490" w:rsidRDefault="00334166" w:rsidP="00334166">
      <w:pPr>
        <w:pStyle w:val="Para1"/>
        <w:suppressLineNumbers/>
        <w:tabs>
          <w:tab w:val="num" w:pos="720"/>
        </w:tabs>
        <w:suppressAutoHyphens/>
        <w:kinsoku w:val="0"/>
        <w:overflowPunct w:val="0"/>
        <w:autoSpaceDE w:val="0"/>
        <w:autoSpaceDN w:val="0"/>
        <w:adjustRightInd w:val="0"/>
        <w:snapToGrid w:val="0"/>
        <w:ind w:left="0"/>
        <w:rPr>
          <w:spacing w:val="-3"/>
          <w:kern w:val="22"/>
          <w:szCs w:val="22"/>
        </w:rPr>
      </w:pPr>
      <w:r>
        <w:t xml:space="preserve">В </w:t>
      </w:r>
      <w:r w:rsidRPr="00334166">
        <w:rPr>
          <w:szCs w:val="22"/>
        </w:rPr>
        <w:t xml:space="preserve">решении </w:t>
      </w:r>
      <w:hyperlink r:id="rId10" w:history="1">
        <w:r w:rsidRPr="00334166">
          <w:rPr>
            <w:rStyle w:val="Hyperlink"/>
            <w:sz w:val="22"/>
            <w:szCs w:val="22"/>
          </w:rPr>
          <w:t>X/2</w:t>
        </w:r>
      </w:hyperlink>
      <w:r>
        <w:t xml:space="preserve"> Конференция Сторон постановила, что на своих будущих совещаниях она будет проводить обзор результатов </w:t>
      </w:r>
      <w:r w:rsidRPr="00334166">
        <w:rPr>
          <w:szCs w:val="22"/>
        </w:rPr>
        <w:t xml:space="preserve">осуществления </w:t>
      </w:r>
      <w:hyperlink r:id="rId11" w:history="1">
        <w:r w:rsidRPr="00334166">
          <w:rPr>
            <w:rStyle w:val="Hyperlink"/>
            <w:sz w:val="22"/>
            <w:szCs w:val="22"/>
          </w:rPr>
          <w:t>Стратегического плана в области сохранения и устойчивого использования биоразнообразия на 2011-2020 годы</w:t>
        </w:r>
      </w:hyperlink>
      <w:r w:rsidRPr="00334166">
        <w:rPr>
          <w:szCs w:val="22"/>
        </w:rPr>
        <w:t xml:space="preserve"> (пун</w:t>
      </w:r>
      <w:r>
        <w:t>кт 14), и поручила Исполнительному секретарю подготовить анализ/обобщение национальных, региональных и других мер, намеченных в соответствии со Стратегическим планом (пункт 17(b)), включая в соответствующих случаях целевые задачи, с тем чтобы Конференция Сторон смогла провести оценку вклада таких национальных и региональных целевых задач в выполнение глобальных целевых задач. Во исполнение этого решения и соответствующих последующих решений</w:t>
      </w:r>
      <w:r w:rsidRPr="00954A4F">
        <w:rPr>
          <w:rStyle w:val="FootnoteReference"/>
          <w:spacing w:val="-3"/>
          <w:kern w:val="22"/>
          <w:szCs w:val="22"/>
        </w:rPr>
        <w:footnoteReference w:id="1"/>
      </w:r>
      <w:r>
        <w:t xml:space="preserve"> Конференция Сторон на каждом своем совещании, состоявшемся после 10-го совещания, проводила обзор результатов осуществления Стратегического плана в области сохранения и устойчивого использования биоразнообразия на 2011-2020 годы на основе, помимо прочего, национальных докладов и национальных стратегий и планов действий по сохранению биоразнообразия (НСПДСБ)</w:t>
      </w:r>
      <w:r w:rsidRPr="00456490">
        <w:rPr>
          <w:rStyle w:val="FootnoteReference"/>
          <w:spacing w:val="-3"/>
          <w:kern w:val="22"/>
          <w:szCs w:val="22"/>
        </w:rPr>
        <w:footnoteReference w:id="2"/>
      </w:r>
      <w:r>
        <w:t>.</w:t>
      </w:r>
    </w:p>
    <w:p w14:paraId="1FE9DCF8" w14:textId="77777777" w:rsidR="00334166" w:rsidRPr="001D0565" w:rsidRDefault="00334166" w:rsidP="00334166">
      <w:pPr>
        <w:pStyle w:val="Para1"/>
        <w:tabs>
          <w:tab w:val="clear" w:pos="5322"/>
        </w:tabs>
        <w:ind w:left="0"/>
      </w:pPr>
      <w:r>
        <w:t xml:space="preserve">В решении </w:t>
      </w:r>
      <w:hyperlink r:id="rId12" w:history="1">
        <w:r>
          <w:t>14/1</w:t>
        </w:r>
      </w:hyperlink>
      <w:r>
        <w:t xml:space="preserve"> Конференция Сторон призвала Стороны своевременно представить свои шестые национальные доклады и поручила Исполнительному секретарю и далее обновлять анализ хода осуществления Стратегического плана в области сохранения и устойчивого использования </w:t>
      </w:r>
      <w:r>
        <w:lastRenderedPageBreak/>
        <w:t xml:space="preserve">биоразнообразия на 2011-2020 годы на основе информации, приведенной в шестых национальных докладах, которые должны были быть представлены к 31 декабря 2018 года, и предоставить обновленный анализ Вспомогательному органу по осуществлению для рассмотрения на его 3-м совещании. Далее, в решении </w:t>
      </w:r>
      <w:hyperlink r:id="rId13" w:history="1">
        <w:r>
          <w:t>14/18</w:t>
        </w:r>
      </w:hyperlink>
      <w:r>
        <w:t xml:space="preserve"> Конференция Сторон поручила Исполнительному секретарю провести обзор выполнения Плана действий по обеспечению гендерного равенства на 2015-2020 годы в целях выявления пробелов, передового опыта и полезных выводов. Этот анализ был представлен Вспомогательному органу по осуществлению на его 3-м совещании, и на этой основе Вспомогательный орган подготовил свою рекомендацию 3/1. </w:t>
      </w:r>
    </w:p>
    <w:p w14:paraId="69CED2DC" w14:textId="77777777" w:rsidR="00334166" w:rsidRDefault="00334166" w:rsidP="00334166">
      <w:pPr>
        <w:pStyle w:val="Para1"/>
        <w:suppressLineNumbers/>
        <w:tabs>
          <w:tab w:val="num" w:pos="720"/>
        </w:tabs>
        <w:suppressAutoHyphens/>
        <w:kinsoku w:val="0"/>
        <w:overflowPunct w:val="0"/>
        <w:autoSpaceDE w:val="0"/>
        <w:autoSpaceDN w:val="0"/>
        <w:adjustRightInd w:val="0"/>
        <w:snapToGrid w:val="0"/>
        <w:ind w:left="0"/>
        <w:rPr>
          <w:rFonts w:eastAsia="Malgun Gothic"/>
          <w:kern w:val="22"/>
          <w:szCs w:val="22"/>
        </w:rPr>
      </w:pPr>
      <w:r>
        <w:t>В настоящем документе приводится обновленная оценка хода осуществления Стратегического плана в области сохранения и устойчивого использования биоразнообразия на 2011-2020 годы, представленная Вспомогательному органу по осуществлению на его 3-м совещании (документ CBD/SBI/3/2 и четыре дополнения к нему). Она основывается главным образом на информации, приведенной в пересмотренных и обновленных НСПДСБ, а также в шестых национальных докладах, полученных к октябрю 2020 года. К этому анализу прилагаются два дополнения, одно из них содержит обновленную информацию о ходе пересмотра/обновления и осуществления национальных стратегий и планов действий по сохранению биоразнообразия (CBD/COP/15/9/Add.1), а в другом представлен анализ вклада задач, поставленных Сторонами, и хода работы по выполнению Айтинских целевых задач в области биоразнообразия (CBD/COP/15/9/Add.2).</w:t>
      </w:r>
    </w:p>
    <w:p w14:paraId="3E7C27AD" w14:textId="77777777" w:rsidR="00334166" w:rsidRPr="00456490" w:rsidRDefault="00334166" w:rsidP="00334166">
      <w:pPr>
        <w:pStyle w:val="Para1"/>
        <w:tabs>
          <w:tab w:val="clear" w:pos="5322"/>
          <w:tab w:val="num" w:pos="709"/>
        </w:tabs>
        <w:ind w:left="0"/>
        <w:rPr>
          <w:b/>
        </w:rPr>
      </w:pPr>
      <w:r>
        <w:t xml:space="preserve">Кроме того, в настоящем документе содержится обновленная информация об Айтинских целевых задачах 6, 11, 16 и 20 в области биоразнообразия, в отношении которых имеются недавние результаты оценки или обновленная информация, полученная после публикации пятого издания Глобальной перспективы в области биоразнообразия. Тем не менее основная информация, представленная в Глобальной перспективе, не утратила своей актуальности. Также приводится краткое описание хода осуществления Картахенского протокола. Кроме того, в настоящий документ включена подробная информация о ходе выполнения Айтинской целевой задачи 18 в области биоразнообразия и Плана действий по обеспечению гендерного равенства на 2015–2020 годы. Однако применительно к двум последним случаям те же результаты оценок уже были представлены Вспомогательному органу по осуществлению в документе CBD/SBI/3/2 и приводятся здесь без изменений, для удобства пользования. </w:t>
      </w:r>
    </w:p>
    <w:p w14:paraId="3C0AE4F3" w14:textId="77777777" w:rsidR="00334166" w:rsidRPr="00934CAA" w:rsidRDefault="00334166" w:rsidP="007516FF">
      <w:pPr>
        <w:pStyle w:val="Heading1"/>
        <w:numPr>
          <w:ilvl w:val="0"/>
          <w:numId w:val="3"/>
        </w:numPr>
        <w:suppressLineNumbers/>
        <w:tabs>
          <w:tab w:val="clear" w:pos="720"/>
        </w:tabs>
        <w:suppressAutoHyphens/>
        <w:kinsoku w:val="0"/>
        <w:overflowPunct w:val="0"/>
        <w:autoSpaceDE w:val="0"/>
        <w:autoSpaceDN w:val="0"/>
        <w:adjustRightInd w:val="0"/>
        <w:snapToGrid w:val="0"/>
        <w:spacing w:before="120"/>
        <w:ind w:left="993" w:right="282" w:hanging="709"/>
        <w:jc w:val="left"/>
        <w:rPr>
          <w:snapToGrid w:val="0"/>
          <w:kern w:val="22"/>
          <w:szCs w:val="22"/>
        </w:rPr>
      </w:pPr>
      <w:r>
        <w:rPr>
          <w:snapToGrid w:val="0"/>
        </w:rPr>
        <w:t>Обновление национальных стратегий и планов действий по сохранению биоразнообразия и постановка национальных целевых задач</w:t>
      </w:r>
    </w:p>
    <w:p w14:paraId="08FE1499" w14:textId="77777777" w:rsidR="00334166" w:rsidRPr="000472A3" w:rsidRDefault="00334166" w:rsidP="00334166">
      <w:pPr>
        <w:pStyle w:val="Para1"/>
        <w:tabs>
          <w:tab w:val="clear" w:pos="5322"/>
          <w:tab w:val="num" w:pos="709"/>
        </w:tabs>
        <w:ind w:left="0"/>
      </w:pPr>
      <w:bookmarkStart w:id="2" w:name="_Hlk43968816"/>
      <w:r>
        <w:t>НСПДСБ являются основным инструментом осуществления Конвенции на национальном уровне. За период с 1993 года 193 Сторона разработала по крайней мере один НСПДСБ. В решении X/2 Конференция Сторон настоятельно призвала Стороны провести сообразно обстоятельствам обзор, пересмотр и обновление своих НСПДСБ в соответствии со Стратегическим планом в области сохранения и устойчивого использования биоразнообразия на 2011-2020 годы. Стороны также взяли на себя обязательство поставить национальные целевые задачи, используя Стратегический план и его Айтинские целевые задачи в области биоразнообразия в качестве гибкой структуры. Далее, в Айтинской целевой задаче 17 в области биоразнообразия, срок выполнения которой был установлен на 2015 год, содержится призыв к Сторонам разработать и принять в качестве политического инструмента эффективные совместные и обновленные НСПДСБ и приступить к их реализации. К установленному сроку на 2015 год задачу выполнили в общей сложности 69 Сторон, а по состоянию на 17 октября 2022 года свои НСПДСБ представили еще 108 Сторон, что в совокупности составляет 177 Сторон</w:t>
      </w:r>
      <w:r w:rsidRPr="003D05C2">
        <w:rPr>
          <w:vertAlign w:val="superscript"/>
        </w:rPr>
        <w:footnoteReference w:id="3"/>
      </w:r>
      <w:r>
        <w:t xml:space="preserve">. Это соответствует 90 % от общего числа Сторон Конвенции. Поддержка и ресурсы для разработки и пересмотра/обновления НСПДСБ были предоставлены несколькими организациями, </w:t>
      </w:r>
      <w:r>
        <w:lastRenderedPageBreak/>
        <w:t>включая Глобальный экологический фонд, Программу развития Организации Объединенных Наций, Программу Организации Объединенных Наций по окружающей среде, Продовольственную и сельскохозяйственную организацию Объединенных Наций и Межамериканский банк развития. Ряд Сторон, в том числе Япония через Фонд биоразнообразия Японии, также обеспечили поддержку процессов пересмотра и осуществления НСПДСБ и добровольной коллегиальной оценки осуществления НСПДСБ. Ряд неправительственных организаций, в том числе Центр биоразнообразия АСЕАН, Международный совет по охране птиц, Международный союз охраны природы, Институт высших исследований по вопросам устойчивости Университета Организации Объединенных Наций и Всемирный фонд дикой природы (WWF), также предоставили поддержку Сторонам в разработке и пересмотре/обновлении НСПДСБ.</w:t>
      </w:r>
      <w:bookmarkEnd w:id="2"/>
    </w:p>
    <w:p w14:paraId="1668EEA7" w14:textId="77777777" w:rsidR="00334166" w:rsidRPr="000472A3" w:rsidRDefault="00334166" w:rsidP="00334166">
      <w:pPr>
        <w:pStyle w:val="Para1"/>
        <w:tabs>
          <w:tab w:val="clear" w:pos="5322"/>
          <w:tab w:val="num" w:pos="720"/>
        </w:tabs>
        <w:ind w:left="0"/>
      </w:pPr>
      <w:r>
        <w:t xml:space="preserve">В обновленном анализе НСПДСБ, приведенном в документе CBD/COP/15/9/Add.1, обобщаются результаты, достигнутые в подготовке или пересмотре НСПДСБ, и анализируется содержание НСПДСБ, принятых после Нагойского совещания. Этот анализ основан на критериях, приведенных в решении </w:t>
      </w:r>
      <w:hyperlink r:id="rId14" w:history="1">
        <w:r>
          <w:t>IX/8</w:t>
        </w:r>
      </w:hyperlink>
      <w:r>
        <w:t>, в котором излагаются подробные руководящие указания касательно процесса разработки, содержания и компонентов НСПДСБ. В анализе отмечается прогресс, в частности касающийся расширения круга субъектов деятельности, вовлеченных в процесс НСПДСБ, по сравнению с первым поколением НСПДСБ, информация о котором была отражена в глобальной оценке, проведенной в 2010 году</w:t>
      </w:r>
      <w:r w:rsidRPr="003D05C2">
        <w:rPr>
          <w:vertAlign w:val="superscript"/>
        </w:rPr>
        <w:footnoteReference w:id="4"/>
      </w:r>
      <w:r>
        <w:t>. Однако указываются и области, в которых требуется дальнейший прогресс.</w:t>
      </w:r>
    </w:p>
    <w:p w14:paraId="52983191" w14:textId="39762A1C" w:rsidR="00334166" w:rsidRPr="000472A3" w:rsidRDefault="00334166" w:rsidP="00334166">
      <w:pPr>
        <w:pStyle w:val="Para1"/>
        <w:tabs>
          <w:tab w:val="clear" w:pos="5322"/>
          <w:tab w:val="num" w:pos="720"/>
        </w:tabs>
        <w:ind w:left="0"/>
      </w:pPr>
      <w:r>
        <w:t xml:space="preserve">Анализ показал, что 73 пересмотренных НСПДСБ были приняты в качестве «общегосударственных» инструментов и еще 9% НСПДСБ были приняты в качестве инструментов, применимых к сектору окружающей среды. При этом 75 Сторон (38 %) представили недостаточно информации для того, чтобы определить, были ли их НСПДСБ приняты в качестве политического инструмента. Анализ также показал, что лишь в немногих НСПДСБ содержатся стратегии мобилизации ресурсов (25 Сторон), коммуникационные стратегии и стратегии информирования общественности (39 Сторон) или стратегии по развитию потенциала (107 Сторон), включение которых рекомендуется в руководящих указаниях по разработке НСПДСБ. Кроме того, только в нескольких НСПДСБ наглядно показано, что проблематика биоразнообразия в значительной степени учитывается в </w:t>
      </w:r>
      <w:proofErr w:type="spellStart"/>
      <w:r>
        <w:t>межсекторальных</w:t>
      </w:r>
      <w:proofErr w:type="spellEnd"/>
      <w:r>
        <w:t xml:space="preserve"> планах и политике, стратегиях искоренения нищеты или в планах в области устойчивого развития. В НСПДСБ, подготовленных после принятия текущего Стратегического плана в области сохранения и устойчивого использования биоразнообразия, содержится мало фактических сведений об использовании оценочных исследований в целях стимулирования учета проблематики биоразнообразия в странах. Данные выводы существенно расходятся с устремлениями, изложенными в НСПДСБ, которые свидетельствуют о том, что многие Стороны поставили целевые задачи или иным образом обозначили свое намерение принимать меры по мобилизации ресурсов, стоимостной оценке, учреждению национальных механизмов посредничества, коммуникации и повышению информированности общественности, развитию потенциала, разработке субнациональных планов по сохранению и устойчивому использованию биоразнообразия и по другим темам.</w:t>
      </w:r>
    </w:p>
    <w:p w14:paraId="33B26AA8" w14:textId="77777777" w:rsidR="00334166" w:rsidRPr="000472A3" w:rsidRDefault="00334166" w:rsidP="00334166">
      <w:pPr>
        <w:pStyle w:val="Para1"/>
        <w:tabs>
          <w:tab w:val="clear" w:pos="5322"/>
          <w:tab w:val="num" w:pos="720"/>
        </w:tabs>
        <w:ind w:left="0"/>
      </w:pPr>
      <w:r>
        <w:t xml:space="preserve">В большинстве НСПДСБ, подготовленных или пересмотренных в период после 10-го совещания Конференции Сторон, содержатся целевые задачи, связанные с Айтинскими целевыми задачами в области биоразнообразия, хотя некоторые Айтинские целевые задачи, такие как целевые задачи 3, 6, 10 и 14, во многих НСПДСБ (свыше 30 %) не сопровождаются соответствующими национальными целевыми задачами или обязательствами. По Айтинским целевым задачам 1, 9, 16, 17, 19 и 20 в области биоразнообразия принято самое большое число во многом аналогичных национальных целевых задач или обязательств. Однако даже в этих случаях доля НСПДСБ с целевыми задачами, сфера охвата и целевой уровень которых сопоставимы с Айтинскими целевыми задачами в области биоразнообразия, в среднем едва превышает пятую часть (22 %) (от 19 % для </w:t>
      </w:r>
      <w:r>
        <w:lastRenderedPageBreak/>
        <w:t>Айтинских целевых задач 16 и 17 до 28 % для Айтинской целевой задачи 1). В целом уровень большинства национальных целевых задач и/или обязательств, приведенных в НСПДСБ, ниже уровня Айтинских целевых задач или не охватывает всех элементов Айтинской целевой задачи. Эти выводы согласуются с результатами анализа, опубликованными в ходе 1-го, 2-го и 3-го совещаний Вспомогательного органа по осуществлению</w:t>
      </w:r>
      <w:r w:rsidRPr="003D05C2">
        <w:rPr>
          <w:vertAlign w:val="superscript"/>
        </w:rPr>
        <w:footnoteReference w:id="5"/>
      </w:r>
      <w:r>
        <w:t>, а также 14-го и 15-го совещаний Конференции Сторон Конвенции о биологическом разнообразии</w:t>
      </w:r>
      <w:r w:rsidRPr="003D05C2">
        <w:rPr>
          <w:vertAlign w:val="superscript"/>
        </w:rPr>
        <w:footnoteReference w:id="6"/>
      </w:r>
      <w:r>
        <w:t xml:space="preserve">. Они показывают, что принятые национальные или региональные задачи в целом не способствуют повышению уровня национальных устремлений в соответствии с Айтинскими целевыми задачами в области биоразнообразия. </w:t>
      </w:r>
    </w:p>
    <w:p w14:paraId="5EB286D8" w14:textId="77777777" w:rsidR="00334166" w:rsidRPr="003D05C2" w:rsidRDefault="00334166" w:rsidP="00B37AA3">
      <w:pPr>
        <w:pStyle w:val="Heading1"/>
        <w:numPr>
          <w:ilvl w:val="0"/>
          <w:numId w:val="3"/>
        </w:numPr>
        <w:suppressLineNumbers/>
        <w:tabs>
          <w:tab w:val="clear" w:pos="720"/>
        </w:tabs>
        <w:suppressAutoHyphens/>
        <w:kinsoku w:val="0"/>
        <w:overflowPunct w:val="0"/>
        <w:autoSpaceDE w:val="0"/>
        <w:autoSpaceDN w:val="0"/>
        <w:adjustRightInd w:val="0"/>
        <w:snapToGrid w:val="0"/>
        <w:spacing w:before="120"/>
        <w:ind w:left="1134" w:hanging="850"/>
        <w:jc w:val="left"/>
        <w:rPr>
          <w:snapToGrid w:val="0"/>
          <w:kern w:val="22"/>
          <w:szCs w:val="22"/>
        </w:rPr>
      </w:pPr>
      <w:r>
        <w:rPr>
          <w:snapToGrid w:val="0"/>
        </w:rPr>
        <w:t>Результаты осуществления Стратегического плана: информация из национальных докладов</w:t>
      </w:r>
    </w:p>
    <w:p w14:paraId="01EC082E" w14:textId="2A0B337F" w:rsidR="00334166" w:rsidRPr="003660FD" w:rsidRDefault="00334166" w:rsidP="00334166">
      <w:pPr>
        <w:pStyle w:val="Para1"/>
        <w:tabs>
          <w:tab w:val="clear" w:pos="5322"/>
          <w:tab w:val="num" w:pos="720"/>
        </w:tabs>
        <w:ind w:left="0"/>
      </w:pPr>
      <w:r>
        <w:t>Национальные доклады являются основным источником информации для оценки осуществления Стратегического плана в области сохранения и устойчивого использования биоразнообразия.</w:t>
      </w:r>
      <w:r w:rsidR="006672D6">
        <w:t xml:space="preserve"> </w:t>
      </w:r>
      <w:r>
        <w:t>23 % Сторон представили свои шестые национальные доклады к сроку 31 декабря 2018 года, согласованному Конференцией Сторон, или ранее этого срока. 49 % Сторон представили свои доклады в течение шести месяцев после установленного срока. По состоянию на октябрь 2022 года было получено 185 шестых национальных докладов. Оценка информации, представленной в шестых национальных докладах, показывает, что большинство Сторон достигли прогресса в выполнении Айтинских целевых задач, но его темпы недостаточны для их полного выполнения.</w:t>
      </w:r>
    </w:p>
    <w:p w14:paraId="57027BEA" w14:textId="77777777" w:rsidR="00334166" w:rsidRPr="003660FD" w:rsidRDefault="00334166" w:rsidP="00334166">
      <w:pPr>
        <w:pStyle w:val="Para1"/>
        <w:tabs>
          <w:tab w:val="clear" w:pos="5322"/>
          <w:tab w:val="num" w:pos="720"/>
        </w:tabs>
        <w:ind w:left="0"/>
      </w:pPr>
      <w:r>
        <w:t>В отношении трети национальных целевых задач отмечен курс на выполнение (30 %) или перевыполнение (3 %). Однако на пути к выполнению находится менее одной десятой части (9 %) национальных целевых задач, аналогичных Айтинским целевым задачам в области биоразнообразия. В среднем прогресс в выполнении наблюдается в отношении приблизительно половины национальных целевых задач (51 %), но его темпы недостаточны для их выполнения. Далее, в среднем примерно по десятой части национальных целевых задач не отмечается существенного прогресса (10 %) или отмечается движение в неверном направлении (1 %). Наиболее значительный прогресс, по-видимому, был достигнут в выполнении национальных целевых задач, связанных с Айтинскими целевыми задачами 1, 11, 16, 17 и 19 в области биоразнообразия. Судя по всему, значительно меньший прогресс был достигнут в выполнении национальных целевых задач, связанных с Айтинскими целевыми задачами 5, 8, 9, 10, 13, 14 и 20 в области биоразнообразия.</w:t>
      </w:r>
    </w:p>
    <w:p w14:paraId="1558AA7C" w14:textId="77777777" w:rsidR="00334166" w:rsidRPr="000472A3" w:rsidRDefault="00334166" w:rsidP="00334166">
      <w:pPr>
        <w:pStyle w:val="Para1"/>
        <w:tabs>
          <w:tab w:val="clear" w:pos="5322"/>
          <w:tab w:val="num" w:pos="720"/>
        </w:tabs>
        <w:ind w:left="0"/>
      </w:pPr>
      <w:r>
        <w:t xml:space="preserve">Эта оценка согласуется с оценкой, приведенной в четвертом и пятом изданиях Глобальной перспективы в области биоразнообразия, на основании которой был сделан вывод о том, что хотя по всем целевым задачам был достигнут прогресс, его недостаточно для выполнения Айтинских целевых задач в области биоразнообразия. Она также согласуется с Докладом о глобальной оценке биоразнообразия и экосистемных услуг Межправительственной научно-политической платформы по биоразнообразию и экосистемным услугам, в котором отмечалось, что «был достигнут прогресс в реализации политических мер реагирования и действий по сохранению природы и более устойчивому управлению ей, который обеспечил хорошие результаты по сравнению со сценариями невмешательства, однако этот прогресс недостаточен для устранения прямых и косвенных факторов ухудшения состояния природы. Поэтому вероятнее всего, что большинство Айтинских целевых задач в области биоразнообразия на 2020 год не будут выполнены». </w:t>
      </w:r>
    </w:p>
    <w:p w14:paraId="059125CD" w14:textId="02467709" w:rsidR="00334166" w:rsidRPr="003D05C2" w:rsidRDefault="00334166" w:rsidP="00334166">
      <w:pPr>
        <w:pStyle w:val="Heading1"/>
        <w:numPr>
          <w:ilvl w:val="0"/>
          <w:numId w:val="3"/>
        </w:numPr>
        <w:suppressLineNumbers/>
        <w:tabs>
          <w:tab w:val="clear" w:pos="720"/>
          <w:tab w:val="num" w:pos="360"/>
        </w:tabs>
        <w:suppressAutoHyphens/>
        <w:kinsoku w:val="0"/>
        <w:overflowPunct w:val="0"/>
        <w:autoSpaceDE w:val="0"/>
        <w:autoSpaceDN w:val="0"/>
        <w:adjustRightInd w:val="0"/>
        <w:snapToGrid w:val="0"/>
        <w:spacing w:before="120"/>
        <w:ind w:left="0" w:firstLine="0"/>
        <w:rPr>
          <w:snapToGrid w:val="0"/>
          <w:kern w:val="22"/>
          <w:szCs w:val="22"/>
        </w:rPr>
      </w:pPr>
      <w:r>
        <w:rPr>
          <w:snapToGrid w:val="0"/>
        </w:rPr>
        <w:t>Ход выполнения отдельных Айтинских целевых задач</w:t>
      </w:r>
      <w:r w:rsidR="006672D6">
        <w:rPr>
          <w:snapToGrid w:val="0"/>
        </w:rPr>
        <w:t xml:space="preserve"> </w:t>
      </w:r>
    </w:p>
    <w:p w14:paraId="2C63D947" w14:textId="062213B8" w:rsidR="00334166" w:rsidRPr="00C3307D" w:rsidRDefault="00334166" w:rsidP="00334166">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t>Оценка, содержавшаяся в пятом издании Глобальной перспективы в области биоразнообразия</w:t>
      </w:r>
      <w:r w:rsidR="00B37AA3">
        <w:t xml:space="preserve"> </w:t>
      </w:r>
      <w:r>
        <w:t xml:space="preserve">(ГПОБ-5) остается наиболее актуальной оценкой осуществления Стратегического плана в области сохранения и устойчивого использования биоразнообразия на 2011-2020 годы. Общие выводы Глобальной перспективы сохраняют свою актуальность. Однако уже после </w:t>
      </w:r>
      <w:r>
        <w:lastRenderedPageBreak/>
        <w:t xml:space="preserve">публикации ГПОБ-5 появилась более актуальная информация в отношении нескольких Айтинских целевых задач в области биоразнообразия. </w:t>
      </w:r>
    </w:p>
    <w:p w14:paraId="0D934E4A" w14:textId="77777777" w:rsidR="00334166" w:rsidRPr="00FA76C6" w:rsidRDefault="00334166" w:rsidP="00334166">
      <w:pPr>
        <w:keepNext/>
        <w:numPr>
          <w:ilvl w:val="0"/>
          <w:numId w:val="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proofErr w:type="spellStart"/>
      <w:r>
        <w:rPr>
          <w:b/>
        </w:rPr>
        <w:t>Айтинская</w:t>
      </w:r>
      <w:proofErr w:type="spellEnd"/>
      <w:r>
        <w:rPr>
          <w:b/>
        </w:rPr>
        <w:t xml:space="preserve"> целевая задача 6 в области биоразнообразия </w:t>
      </w:r>
    </w:p>
    <w:p w14:paraId="672F2A06" w14:textId="77777777" w:rsidR="00334166" w:rsidRPr="007E411D" w:rsidRDefault="00334166" w:rsidP="00334166">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t xml:space="preserve">В публикации </w:t>
      </w:r>
      <w:proofErr w:type="spellStart"/>
      <w:r>
        <w:rPr>
          <w:i/>
        </w:rPr>
        <w:t>The</w:t>
      </w:r>
      <w:proofErr w:type="spellEnd"/>
      <w:r>
        <w:rPr>
          <w:i/>
        </w:rPr>
        <w:t xml:space="preserve"> </w:t>
      </w:r>
      <w:proofErr w:type="spellStart"/>
      <w:r>
        <w:rPr>
          <w:i/>
        </w:rPr>
        <w:t>State</w:t>
      </w:r>
      <w:proofErr w:type="spellEnd"/>
      <w:r>
        <w:rPr>
          <w:i/>
        </w:rPr>
        <w:t xml:space="preserve"> </w:t>
      </w:r>
      <w:proofErr w:type="spellStart"/>
      <w:r>
        <w:rPr>
          <w:i/>
        </w:rPr>
        <w:t>of</w:t>
      </w:r>
      <w:proofErr w:type="spellEnd"/>
      <w:r>
        <w:rPr>
          <w:i/>
        </w:rPr>
        <w:t xml:space="preserve"> </w:t>
      </w:r>
      <w:proofErr w:type="spellStart"/>
      <w:r>
        <w:rPr>
          <w:i/>
        </w:rPr>
        <w:t>World</w:t>
      </w:r>
      <w:proofErr w:type="spellEnd"/>
      <w:r>
        <w:rPr>
          <w:i/>
        </w:rPr>
        <w:t xml:space="preserve"> </w:t>
      </w:r>
      <w:proofErr w:type="spellStart"/>
      <w:r>
        <w:rPr>
          <w:i/>
        </w:rPr>
        <w:t>Fisheries</w:t>
      </w:r>
      <w:proofErr w:type="spellEnd"/>
      <w:r>
        <w:rPr>
          <w:i/>
        </w:rPr>
        <w:t xml:space="preserve"> </w:t>
      </w:r>
      <w:proofErr w:type="spellStart"/>
      <w:r>
        <w:rPr>
          <w:i/>
        </w:rPr>
        <w:t>and</w:t>
      </w:r>
      <w:proofErr w:type="spellEnd"/>
      <w:r>
        <w:rPr>
          <w:i/>
        </w:rPr>
        <w:t xml:space="preserve"> </w:t>
      </w:r>
      <w:proofErr w:type="spellStart"/>
      <w:r>
        <w:rPr>
          <w:i/>
        </w:rPr>
        <w:t>Aquaculture</w:t>
      </w:r>
      <w:proofErr w:type="spellEnd"/>
      <w:r>
        <w:rPr>
          <w:rStyle w:val="FootnoteReference"/>
          <w:kern w:val="22"/>
          <w:szCs w:val="22"/>
        </w:rPr>
        <w:footnoteReference w:id="7"/>
      </w:r>
      <w:r>
        <w:t xml:space="preserve"> 2022 года, подготовленном Продовольственной и сельскохозяйственной организации Объединенных Наций, содержался вывод о том, в 2019 году доля запасов рыбы в пределах биологически устойчивых уровней составляла 64,6 %, что на 1,2 меньше, чем в 2017 году. Такое ухудшение ситуации является результатом непрерывной чрезмерной эксплуатации рыбных ресурсов, загрязнения, нерационального управления и других факторов. Однако с 2017 по 2019 число выгрузок, поступающих из биологически устойчивых запасов, увеличилось на 3,8 %, и 82,5 % выгрузок поступали именно из таких запасов. В том же докладе прогнозируется, что к 2030 году производство водных животных увеличится на 14 % и достигнет 202 </w:t>
      </w:r>
      <w:proofErr w:type="gramStart"/>
      <w:r>
        <w:t>миллионов</w:t>
      </w:r>
      <w:proofErr w:type="gramEnd"/>
      <w:r>
        <w:t xml:space="preserve"> тонн. Ожидается, что этот рост будет в основном вызван расширением аквакультуры, объем которой, как ожидается, достигнет к 2030 году 106 миллионов тонн (что значимо в том числе с точки зрения Айтинской целевой задачи 7). Кроме того, по прогнозам, благодаря более эффективному управлению ресурсами, увеличению добычи </w:t>
      </w:r>
      <w:proofErr w:type="spellStart"/>
      <w:r>
        <w:t>недоловленных</w:t>
      </w:r>
      <w:proofErr w:type="spellEnd"/>
      <w:r>
        <w:t xml:space="preserve"> ресурсов и сокращению выбросов, отходов и потерь к 2030 году объемы промышленного рыболовства достигнут 96 миллионов тонн. </w:t>
      </w:r>
    </w:p>
    <w:p w14:paraId="176C0A6A" w14:textId="77777777" w:rsidR="00334166" w:rsidRPr="00C3307D" w:rsidRDefault="00334166" w:rsidP="00334166">
      <w:pPr>
        <w:keepNext/>
        <w:numPr>
          <w:ilvl w:val="0"/>
          <w:numId w:val="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proofErr w:type="spellStart"/>
      <w:r>
        <w:rPr>
          <w:b/>
        </w:rPr>
        <w:t>Айтинская</w:t>
      </w:r>
      <w:proofErr w:type="spellEnd"/>
      <w:r>
        <w:rPr>
          <w:b/>
        </w:rPr>
        <w:t xml:space="preserve"> целевая задача 11 в области биоразнообразия </w:t>
      </w:r>
    </w:p>
    <w:p w14:paraId="26D83D01" w14:textId="77777777" w:rsidR="00334166" w:rsidRDefault="00334166" w:rsidP="00334166">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t>По состоянию на октябрь 2022 года доля наземных и внутренних водных площадей, включенных в охват охраняемых районов и других эффективных природоохранных мер на порайонной основе, достигла почти 17% (15,8 % приходится на охраняемые районы и 1,2 % на другие эффективные природоохранные меры на порайонной основе). Что касается морей, охраняемыми районами и другими эффективными природоохранными мерами на порайонной основе охвачено 8,3 % морских районов (18,7 % исключительных экономических зон, 1,4 % акваторий за пределами национальных юрисдикций). Подавляющее большинство из этих 8,3 % охвачено охраняемыми районами (8,2 % в рамках охраняемых районов и 0,1 % в рамках других эффективных природоохранных мер на порайонной основе). Таким образом, охват охраняемыми районами и другими эффективными природоохранными мерами на порайонной основе близок к показателю в 17 %, заданному в Айтинской целевой задаче 11 в отношении районов суши и внутренних вод, и к показателю в 10 %, заданному для прибрежных и морских районов. Если принять во внимание дополнительные обязательства, эти показатели окажутся превышенными.</w:t>
      </w:r>
    </w:p>
    <w:p w14:paraId="50A9278E" w14:textId="77777777" w:rsidR="00334166" w:rsidRPr="00547081" w:rsidRDefault="00334166" w:rsidP="00334166">
      <w:pPr>
        <w:keepNext/>
        <w:numPr>
          <w:ilvl w:val="0"/>
          <w:numId w:val="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proofErr w:type="spellStart"/>
      <w:r>
        <w:rPr>
          <w:b/>
        </w:rPr>
        <w:t>Айтинская</w:t>
      </w:r>
      <w:proofErr w:type="spellEnd"/>
      <w:r>
        <w:rPr>
          <w:b/>
        </w:rPr>
        <w:t xml:space="preserve"> целевая задача 16 в области биоразнообразия и Нагойский протокол регулирования доступа к генетическим ресурсам и совместного использования выгод</w:t>
      </w:r>
    </w:p>
    <w:p w14:paraId="045F4469" w14:textId="77777777" w:rsidR="00334166" w:rsidRPr="00277D40" w:rsidRDefault="00334166" w:rsidP="00334166">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t>В соответствии с Айтинской целевой задачей 16, к 2015 году Нагойский протокол регулирования доступа к генетическим ресурсам и совместного использования на справедливой и равной основе выгод от их применения (ДГРСИВ) вступил в силу и функционирует в соответствии с национальным законодательством. Принятый в 2010 году Нагойский протокол вступил в силу 12 октября 2014 года, что соответствовало выполнению первой части Айтинской целевой задачи 16. На сегодняшний день 138 Сторон</w:t>
      </w:r>
      <w:r w:rsidRPr="00277D40">
        <w:rPr>
          <w:kern w:val="22"/>
          <w:szCs w:val="22"/>
          <w:vertAlign w:val="superscript"/>
        </w:rPr>
        <w:footnoteReference w:id="8"/>
      </w:r>
      <w:r>
        <w:t xml:space="preserve">, то есть более двух третей Сторон Конвенции, ратифицировали, приняли Протокол или присоединилось к нему. Не исключено, что </w:t>
      </w:r>
      <w:proofErr w:type="spellStart"/>
      <w:r>
        <w:t>Айтинская</w:t>
      </w:r>
      <w:proofErr w:type="spellEnd"/>
      <w:r>
        <w:t xml:space="preserve"> целевая задача 16 во многом способствовала ратификации и осуществлению Нагойского протокола</w:t>
      </w:r>
      <w:r w:rsidRPr="003D05C2">
        <w:rPr>
          <w:kern w:val="22"/>
          <w:szCs w:val="22"/>
          <w:vertAlign w:val="superscript"/>
        </w:rPr>
        <w:footnoteReference w:id="9"/>
      </w:r>
      <w:r>
        <w:t xml:space="preserve">. </w:t>
      </w:r>
    </w:p>
    <w:p w14:paraId="55D0311B" w14:textId="763162AE" w:rsidR="00334166" w:rsidRPr="004D29FB" w:rsidRDefault="00334166" w:rsidP="00334166">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lastRenderedPageBreak/>
        <w:t xml:space="preserve">Применительно ко второй части Айтинской целевой задачи 16 потребуются дополнительные усилия для того, чтобы обеспечить функционирование Протокола на национальном уровне, которые заключаются в создании требуемых организационных структур и принятии законодательных, административных и политических мер на национальном уровне, а также в публикации необходимой информации в </w:t>
      </w:r>
      <w:hyperlink r:id="rId15" w:history="1">
        <w:r>
          <w:t>Механизме посредничества для регулирования ДГРСИВ</w:t>
        </w:r>
      </w:hyperlink>
      <w:r>
        <w:t>. Что касается организационных структур, 134 из 138 Сторон Протокола (97 %) назначили национальные координационные центры для регулирования ДГРСИВ, 89 Сторон (65 %) назначили один или несколько компетентных национальных органов, отвечающих за реагирование на запросы о доступе к генетическим ресурсам и/или связанным с ними традиционным знаниям. Однако лишь 43 Стороны (31 %) назначили один или несколько контрольных пунктов для содействия мониторингу использования генетических ресурсов. Что касается нормативных требований, 102 Стороны Протокола (74 %) ввели как минимум одну законодательную, административную или политическую меру для регулирования ДГРСИВ</w:t>
      </w:r>
      <w:r w:rsidRPr="00CD60CD">
        <w:rPr>
          <w:kern w:val="22"/>
          <w:szCs w:val="22"/>
          <w:vertAlign w:val="superscript"/>
        </w:rPr>
        <w:footnoteReference w:id="10"/>
      </w:r>
      <w:r>
        <w:t xml:space="preserve">. Кроме того, многие Стороны еще не предоставили в </w:t>
      </w:r>
      <w:hyperlink r:id="rId16" w:history="1">
        <w:r>
          <w:t>Механизм посредничества для регулирования ДГРСИВ</w:t>
        </w:r>
      </w:hyperlink>
      <w:r>
        <w:t xml:space="preserve"> информацию о своих организационных структурах, мерах по регулированию ДГРСИВ, разрешениях в надлежащих случаях, а также информацию, собранную на контрольных пунктах, в надлежащих случаях, как этого требует Протокол. </w:t>
      </w:r>
    </w:p>
    <w:p w14:paraId="2EF8C528" w14:textId="77777777" w:rsidR="00334166" w:rsidRPr="004D29FB" w:rsidRDefault="00334166" w:rsidP="00334166">
      <w:pPr>
        <w:pStyle w:val="Para1"/>
        <w:suppressLineNumbers/>
        <w:pBdr>
          <w:top w:val="nil"/>
          <w:left w:val="nil"/>
          <w:bottom w:val="nil"/>
          <w:right w:val="nil"/>
          <w:between w:val="nil"/>
          <w:bar w:val="nil"/>
        </w:pBdr>
        <w:tabs>
          <w:tab w:val="num" w:pos="720"/>
        </w:tabs>
        <w:suppressAutoHyphens/>
        <w:kinsoku w:val="0"/>
        <w:overflowPunct w:val="0"/>
        <w:autoSpaceDE w:val="0"/>
        <w:autoSpaceDN w:val="0"/>
        <w:adjustRightInd w:val="0"/>
        <w:snapToGrid w:val="0"/>
        <w:ind w:left="0"/>
        <w:rPr>
          <w:kern w:val="22"/>
          <w:szCs w:val="22"/>
        </w:rPr>
      </w:pPr>
      <w:r>
        <w:t>В ходе первой оценки и обзора эффективности Нагойского протокола был рассмотрен ход осуществления положений Протокола. Отмечая прогресс, достигнутый Сторонами, Конференция Сторон, выступающая в качестве Совещания Сторон Нагойского протокола, пришла к выводу о необходимости в приоритетном порядке продолжать работу по созданию законодательства в области ДГРСИВ или нормативных требований в целях активизации осуществления положений Протокола, касающихся соблюдения, содействовать всемерному и эффективному участию коренных народов и местных общин в осуществлении и повышать осведомленность среди соответствующих субъектов деятельности</w:t>
      </w:r>
      <w:r w:rsidRPr="00842CDD">
        <w:rPr>
          <w:kern w:val="22"/>
          <w:szCs w:val="22"/>
          <w:vertAlign w:val="superscript"/>
        </w:rPr>
        <w:footnoteReference w:id="11"/>
      </w:r>
      <w:r>
        <w:t xml:space="preserve">. </w:t>
      </w:r>
    </w:p>
    <w:p w14:paraId="18B05C09" w14:textId="77777777" w:rsidR="00334166" w:rsidRPr="008525AA" w:rsidRDefault="00334166" w:rsidP="00334166">
      <w:pPr>
        <w:keepNext/>
        <w:numPr>
          <w:ilvl w:val="0"/>
          <w:numId w:val="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proofErr w:type="spellStart"/>
      <w:r>
        <w:rPr>
          <w:b/>
          <w:snapToGrid w:val="0"/>
        </w:rPr>
        <w:t>Айтинская</w:t>
      </w:r>
      <w:proofErr w:type="spellEnd"/>
      <w:r>
        <w:rPr>
          <w:b/>
          <w:snapToGrid w:val="0"/>
        </w:rPr>
        <w:t xml:space="preserve"> целевая задача 18 в области биоразнообразия</w:t>
      </w:r>
      <w:r>
        <w:rPr>
          <w:rStyle w:val="FootnoteReference"/>
          <w:b/>
          <w:bCs/>
          <w:snapToGrid w:val="0"/>
          <w:kern w:val="22"/>
          <w:szCs w:val="22"/>
        </w:rPr>
        <w:footnoteReference w:id="12"/>
      </w:r>
      <w:r>
        <w:rPr>
          <w:b/>
          <w:snapToGrid w:val="0"/>
        </w:rPr>
        <w:t xml:space="preserve"> </w:t>
      </w:r>
    </w:p>
    <w:p w14:paraId="40C78A34" w14:textId="65B052A0" w:rsidR="00334166" w:rsidRPr="00456490" w:rsidRDefault="00334166" w:rsidP="00334166">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t>В решении 14/1 Конференция Сторон приветствовала обновленный анализ прогресса</w:t>
      </w:r>
      <w:r w:rsidRPr="00456490">
        <w:rPr>
          <w:rStyle w:val="FootnoteReference"/>
          <w:kern w:val="22"/>
          <w:szCs w:val="22"/>
        </w:rPr>
        <w:footnoteReference w:id="13"/>
      </w:r>
      <w:r w:rsidR="006672D6">
        <w:t xml:space="preserve"> </w:t>
      </w:r>
      <w:r>
        <w:t>в осуществлении Конвенции и Стратегического плана в области сохранения и устойчивого использования биоразнообразия на 2011-2020 годы и выполнении Айтинских целевых задач в области биоразнообразия. Конкретно в отношении целевой задачи 18 Конференция Сторон настоятельно призвала Стороны с учетом национальных условий и сообразно обстоятельствам наращивать усилия по обеспечению защиты и уважения традиционных знаний. В течение нынешнего двухлетнего периода был достигнут некоторый прогресс в осуществлении статьи 8 j) Конвенции и повышении осведомленности относительно роли традиционных знаний, устойчивого использования на основе обычая и коренных народов и местных общин в контексте Айтинской целевой задачи 18 в области биоразнообразия. Однако повышение осведомленности не воплотилось в действия, и не все аспекты целевой задачи были выполнены (подробный анализ прогресса в выполнении Айтинской целевой задачи 18 в области биоразнообразия приводится в документе CBD/SBI/3/2/Add.4 и в пятом издании Глобальной перспективы в области биоразнообразия).</w:t>
      </w:r>
    </w:p>
    <w:p w14:paraId="420DCAED" w14:textId="24A1D315" w:rsidR="00334166" w:rsidRDefault="00334166" w:rsidP="00334166">
      <w:pPr>
        <w:pStyle w:val="Para1"/>
        <w:suppressLineNumbers/>
        <w:tabs>
          <w:tab w:val="clear" w:pos="5322"/>
          <w:tab w:val="num" w:pos="851"/>
        </w:tabs>
        <w:suppressAutoHyphens/>
        <w:ind w:left="0"/>
        <w:rPr>
          <w:kern w:val="22"/>
          <w:szCs w:val="22"/>
        </w:rPr>
      </w:pPr>
      <w:r>
        <w:t xml:space="preserve">По сравнению с пятыми национальными докладами шестые национальные доклады свидетельствуют о значительном увеличении объема информации о выполнении Айтинской целевой задачи 18 и о вкладе традиционных знаний и коллективных действий коренных народов и местных </w:t>
      </w:r>
      <w:r>
        <w:lastRenderedPageBreak/>
        <w:t>общин в осуществление других целевых задач. Коренные народы и местные общины упоминались лишь в 27 % пятых национальных докладов, тогда как доля шестых национальных докладов с соответствующими упоминаниями составила порядка 60 %</w:t>
      </w:r>
      <w:r w:rsidRPr="00456490">
        <w:rPr>
          <w:rStyle w:val="FootnoteReference"/>
          <w:kern w:val="22"/>
          <w:szCs w:val="22"/>
        </w:rPr>
        <w:footnoteReference w:id="14"/>
      </w:r>
      <w:r>
        <w:t>. Это представляет собой более чем трехкратное увеличение количества сообщений о коллективных действиях коренных народов и местных общин, включая традиционные знания, устойчивое использование на основе обычая и традиционное сельское хозяйство, в национальных докладах. Имеется также достаточно сведений о том, что программы по созданию потенциала с упором на традиционные знания, объединяющие Стороны с коренными народами и местными общинами, способствовали повышению осведомленности о вкладе коренных народов и местных общин и содействовали осуществлению Айтинской целевой задачи 18 на национальном и местном уровнях. Однако только 16 Сторон (10 %) упоминают участие коренных народов и местных общин в процессах НСПДСБ. Еще одна трудность, возникающая при проведении оценки осуществления целевой задачи 18, заключается в том, что очень немногие Стороны учли в своих национальных целевых задачах все элементы этой задачи. Кроме того, Стороны не приняли или не использовали национальные индикаторы, соизмеримые с четырьмя индикаторами традиционных знаний, упомянутыми в решении XIII/28, для оценки прогресса</w:t>
      </w:r>
      <w:r w:rsidRPr="00975397">
        <w:rPr>
          <w:rStyle w:val="FootnoteReference"/>
          <w:kern w:val="22"/>
          <w:szCs w:val="22"/>
        </w:rPr>
        <w:footnoteReference w:id="15"/>
      </w:r>
      <w:r>
        <w:t>.</w:t>
      </w:r>
      <w:r w:rsidR="006672D6">
        <w:t xml:space="preserve"> </w:t>
      </w:r>
    </w:p>
    <w:p w14:paraId="262EBE5D" w14:textId="77777777" w:rsidR="00334166" w:rsidRPr="003D05C2" w:rsidRDefault="00334166" w:rsidP="00334166">
      <w:pPr>
        <w:keepNext/>
        <w:numPr>
          <w:ilvl w:val="0"/>
          <w:numId w:val="2"/>
        </w:numPr>
        <w:suppressLineNumbers/>
        <w:tabs>
          <w:tab w:val="left" w:pos="426"/>
        </w:tabs>
        <w:suppressAutoHyphens/>
        <w:kinsoku w:val="0"/>
        <w:overflowPunct w:val="0"/>
        <w:autoSpaceDE w:val="0"/>
        <w:autoSpaceDN w:val="0"/>
        <w:adjustRightInd w:val="0"/>
        <w:snapToGrid w:val="0"/>
        <w:spacing w:before="120" w:after="120"/>
        <w:ind w:left="0" w:firstLine="0"/>
        <w:jc w:val="center"/>
        <w:outlineLvl w:val="1"/>
        <w:rPr>
          <w:b/>
          <w:bCs/>
          <w:kern w:val="22"/>
          <w:szCs w:val="22"/>
        </w:rPr>
      </w:pPr>
      <w:proofErr w:type="spellStart"/>
      <w:r>
        <w:rPr>
          <w:b/>
        </w:rPr>
        <w:t>Айтинская</w:t>
      </w:r>
      <w:proofErr w:type="spellEnd"/>
      <w:r>
        <w:rPr>
          <w:b/>
        </w:rPr>
        <w:t xml:space="preserve"> целевая задача 20 в области биоразнообразия</w:t>
      </w:r>
    </w:p>
    <w:p w14:paraId="6A49CE93" w14:textId="72E13D59" w:rsidR="00334166" w:rsidRDefault="00334166" w:rsidP="00334166">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t xml:space="preserve">В пятом издании Глобальной перспективы в области биоразнообразия на основе многочисленных наборов фактологических данных сделан вывод о том, что </w:t>
      </w:r>
      <w:proofErr w:type="spellStart"/>
      <w:r>
        <w:t>Айтинская</w:t>
      </w:r>
      <w:proofErr w:type="spellEnd"/>
      <w:r>
        <w:t xml:space="preserve"> целевая задача 20 частично выполнена. В докладе было отмечено, что в некоторых странах наблюдалось увеличение внутренних ресурсов, выделяемых на цели биоразнообразия, тогда как в других странах объем ресурсов в целом оставался неизменным в течение последнего десятилетия.</w:t>
      </w:r>
      <w:r w:rsidR="006672D6">
        <w:t xml:space="preserve"> </w:t>
      </w:r>
      <w:r>
        <w:t xml:space="preserve">Данные, имевшиеся на тот момент (вплоть до 2018 года), свидетельствовали о том, что финансовые ресурсы, выделяемые на цели биоразнообразия посредством международных потоков и официальной помощи в целях развития, увеличились приблизительно вдвое. При этом тенденции в области мобилизации внутренних ресурсов варьировались от страны к стране, </w:t>
      </w:r>
      <w:proofErr w:type="gramStart"/>
      <w:r>
        <w:t>и</w:t>
      </w:r>
      <w:proofErr w:type="gramEnd"/>
      <w:r>
        <w:t xml:space="preserve"> если учесть все источники финансирования в области биоразнообразия в совокупности, увеличение финансирования в области биоразнообразия не представляется достаточным по сравнению с потребностями. </w:t>
      </w:r>
    </w:p>
    <w:p w14:paraId="2C86C09C" w14:textId="77777777" w:rsidR="00334166" w:rsidRDefault="00334166" w:rsidP="00334166">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t xml:space="preserve">По состоянию на 5 сентября 2022 года 97 Сторон, или приблизительно половина Сторон Конвенции, предоставили информацию с помощью пересмотренной структуры представления финансовой отчетности, принятой в решении XII/3. Однако только 51 из этих Сторон представила информацию о дальнейшем прогрессе до 2020 года. </w:t>
      </w:r>
    </w:p>
    <w:p w14:paraId="4897E708" w14:textId="77777777" w:rsidR="00334166" w:rsidRPr="00F905CA" w:rsidRDefault="00334166" w:rsidP="00334166">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t>Согласно информации, представленной Сторонами, за период, охваченный Стратегическим планом в области сохранения и устойчивого использования биоразнообразия, ряд Сторон увеличил совокупный объем международных финансовых ресурсов в области биоразнообразия вдвое или более (в 2014 году увеличения вдвое добилась одна Сторона, в 2015 году десять Сторон, в 2016 году одна Сторона, в 2017 году три Стороны, и одна Сторона в 2018 году), и часть из них в некоторые годы сохранила это увеличение вдвое. Тем не менее, в целом информация, представленная через структуру представления финансовой отчетности, свидетельствует о том, что Стороны в совокупности не выполнили задачу увеличения ресурсов вдвое, хотя в соответствии с Рио-де-</w:t>
      </w:r>
      <w:proofErr w:type="spellStart"/>
      <w:r>
        <w:t>жанейрскими</w:t>
      </w:r>
      <w:proofErr w:type="spellEnd"/>
      <w:r>
        <w:t xml:space="preserve"> маркерами Организации экономического сотрудничества и развития ситуация выглядит более оптимистично. </w:t>
      </w:r>
    </w:p>
    <w:p w14:paraId="0686E6E4" w14:textId="62085F00" w:rsidR="00334166" w:rsidRDefault="00334166" w:rsidP="00334166">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lastRenderedPageBreak/>
        <w:t>Приблизительно половина Сторон, представивших доклады, включила вопросы биоразнообразия в свои национальные приоритеты и планы развития, и более 90 % представили информацию о своих внутренних расходах, связанных с биоразнообразием</w:t>
      </w:r>
      <w:r w:rsidR="006672D6">
        <w:t xml:space="preserve">. </w:t>
      </w:r>
      <w:r>
        <w:t>Почти 60 %</w:t>
      </w:r>
      <w:r w:rsidR="006672D6">
        <w:t xml:space="preserve"> </w:t>
      </w:r>
      <w:r>
        <w:t xml:space="preserve">Сторон, представивших доклады, сообщили о своих потребностях, пробелах и приоритетах, 90 % из них провели оценку различных ценностей биоразнообразия, и более половины (55 %) представили как минимум некоторое количество информации о своих национальных планах финансирования или их элементах. </w:t>
      </w:r>
    </w:p>
    <w:p w14:paraId="00546929" w14:textId="77777777" w:rsidR="00334166" w:rsidRPr="00371432" w:rsidRDefault="00334166" w:rsidP="00334166">
      <w:pPr>
        <w:pStyle w:val="Para1"/>
        <w:suppressLineNumbers/>
        <w:pBdr>
          <w:top w:val="nil"/>
          <w:left w:val="nil"/>
          <w:bottom w:val="nil"/>
          <w:right w:val="nil"/>
          <w:between w:val="nil"/>
          <w:bar w:val="nil"/>
        </w:pBdr>
        <w:tabs>
          <w:tab w:val="clear" w:pos="5322"/>
          <w:tab w:val="num" w:pos="720"/>
          <w:tab w:val="num" w:pos="851"/>
        </w:tabs>
        <w:suppressAutoHyphens/>
        <w:kinsoku w:val="0"/>
        <w:overflowPunct w:val="0"/>
        <w:autoSpaceDE w:val="0"/>
        <w:autoSpaceDN w:val="0"/>
        <w:adjustRightInd w:val="0"/>
        <w:snapToGrid w:val="0"/>
        <w:ind w:left="0"/>
        <w:rPr>
          <w:kern w:val="22"/>
          <w:szCs w:val="22"/>
        </w:rPr>
      </w:pPr>
      <w:r>
        <w:t xml:space="preserve">Что касается внутренних расходов, связанных с биоразнообразием, приблизительно половина Сторон, в отношении которых могут быть выявлены определенные тенденции, сообщила о наличии тенденции к повышению с 2015 года, тогда как остальные Стороны не сообщили ни о росте, ни о снижении расходов. Информация, представленная с помощью структуры представления финансовой отчетности, свидетельствует о том, что несмотря на прогресс, наблюдавшийся в выполнении целей мобилизации ресурсов в рамках Айтинской целевой задачи 20, Стороны в целом не выполнили эту задачу. Более подробная информация об этом анализе, включая использованную методику и ее ограничения, содержится в документе CBD/COP/15/11. </w:t>
      </w:r>
    </w:p>
    <w:p w14:paraId="41530371" w14:textId="77777777" w:rsidR="00334166" w:rsidRPr="003D05C2" w:rsidRDefault="00334166" w:rsidP="00BA2E52">
      <w:pPr>
        <w:pStyle w:val="Heading1"/>
        <w:numPr>
          <w:ilvl w:val="0"/>
          <w:numId w:val="3"/>
        </w:numPr>
        <w:suppressLineNumbers/>
        <w:tabs>
          <w:tab w:val="clear" w:pos="720"/>
          <w:tab w:val="num" w:pos="360"/>
        </w:tabs>
        <w:suppressAutoHyphens/>
        <w:kinsoku w:val="0"/>
        <w:overflowPunct w:val="0"/>
        <w:autoSpaceDE w:val="0"/>
        <w:autoSpaceDN w:val="0"/>
        <w:adjustRightInd w:val="0"/>
        <w:snapToGrid w:val="0"/>
        <w:spacing w:before="120"/>
        <w:ind w:left="1134" w:hanging="850"/>
        <w:rPr>
          <w:snapToGrid w:val="0"/>
          <w:kern w:val="22"/>
          <w:szCs w:val="22"/>
        </w:rPr>
      </w:pPr>
      <w:r>
        <w:rPr>
          <w:snapToGrid w:val="0"/>
        </w:rPr>
        <w:t>Ход осуществления Картахенского протокола по биобезопасности</w:t>
      </w:r>
    </w:p>
    <w:p w14:paraId="28B7CCB6" w14:textId="77777777" w:rsidR="00334166" w:rsidRPr="00684AEA" w:rsidRDefault="00334166" w:rsidP="00334166">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proofErr w:type="spellStart"/>
      <w:r>
        <w:t>Картахенский</w:t>
      </w:r>
      <w:proofErr w:type="spellEnd"/>
      <w:r>
        <w:t xml:space="preserve"> протокол по биобезопасности был принят в соответствии с пунктом 3 статьи 19 Конвенции. Протокол вступил в силу 11 сентября 2003 года. С момента принятия Стратегического плана в области сохранения и устойчивого использования биоразнообразия на 2011-2020 годы число Сторон Картахенского протокола увеличилось с 161 до 173.</w:t>
      </w:r>
    </w:p>
    <w:p w14:paraId="2E352EFF" w14:textId="77777777" w:rsidR="00334166" w:rsidRPr="00684AEA" w:rsidRDefault="00334166" w:rsidP="00334166">
      <w:pPr>
        <w:pStyle w:val="Para1"/>
        <w:suppressLineNumbers/>
        <w:tabs>
          <w:tab w:val="clear" w:pos="5322"/>
          <w:tab w:val="num" w:pos="567"/>
        </w:tabs>
        <w:suppressAutoHyphens/>
        <w:kinsoku w:val="0"/>
        <w:overflowPunct w:val="0"/>
        <w:autoSpaceDE w:val="0"/>
        <w:autoSpaceDN w:val="0"/>
        <w:adjustRightInd w:val="0"/>
        <w:snapToGrid w:val="0"/>
        <w:ind w:left="0"/>
        <w:rPr>
          <w:spacing w:val="-3"/>
          <w:kern w:val="22"/>
          <w:szCs w:val="22"/>
        </w:rPr>
      </w:pPr>
      <w:r>
        <w:t>В 2010 году Конференция Сторон, выступающая в качестве совещания Сторон Картахенского протокола, приняла Стратегический план для Картахенского протокола по биобезопасности на 2011-2020 годы</w:t>
      </w:r>
      <w:r w:rsidRPr="003D05C2">
        <w:rPr>
          <w:spacing w:val="-3"/>
          <w:kern w:val="22"/>
          <w:szCs w:val="22"/>
          <w:vertAlign w:val="superscript"/>
        </w:rPr>
        <w:footnoteReference w:id="16"/>
      </w:r>
      <w:r>
        <w:t>. В 2016 году вместе с третьей оценкой и обзором эффективности Протокола была проведена промежуточная оценка Стратегического плана. Конференция Сторон, выступающая в качестве Совещания Сторон Протокола, на своем десятом совещании проведет окончательную оценку Стратегического плана в отношении Протокола одновременно с четвертой оценкой и обзором эффективности Протокола.</w:t>
      </w:r>
    </w:p>
    <w:p w14:paraId="4958AE0D" w14:textId="77777777" w:rsidR="00334166" w:rsidRDefault="00334166" w:rsidP="00334166">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t>Результаты четвертой оценки и обзора Протокола</w:t>
      </w:r>
      <w:r w:rsidRPr="003D05C2">
        <w:rPr>
          <w:spacing w:val="-3"/>
          <w:kern w:val="22"/>
          <w:szCs w:val="22"/>
          <w:vertAlign w:val="superscript"/>
        </w:rPr>
        <w:footnoteReference w:id="17"/>
      </w:r>
      <w:r>
        <w:t xml:space="preserve"> и окончательной оценки Стратегического плана показывают, что лишь немногим более половины Сторон (55 %) сообщили о том, что приняли все необходимые меры для осуществления Протокола (в соответствии с пунктом 1 статьи 2 Протокола), тогда как 38 % сообщили о частичном выполнении.</w:t>
      </w:r>
    </w:p>
    <w:p w14:paraId="6A19F226" w14:textId="77777777" w:rsidR="00334166" w:rsidRDefault="00334166" w:rsidP="00334166">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t xml:space="preserve">Оценка и обзор выявили позитивную тенденцию, касающуюся публикации информации через Механизм посредничества по биобезопасности (МПБ). С 2010 года число материалов, поступающих в МПБ, включая решения, увеличилось более чем вдвое. </w:t>
      </w:r>
    </w:p>
    <w:p w14:paraId="006B9C50" w14:textId="77777777" w:rsidR="00334166" w:rsidRDefault="00334166" w:rsidP="00334166">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t>Почти две трети Сторон провели оценку рисков в отношении живых измененных организмов (ЖИО) в соответствии с Протоколом. По 96 % решений, опубликованных в МПБ, имеются доклады об оценке рисков, что составляет значительное увеличение по сравнению с 2010 года. Почти все Стороны Протокола сообщили о том, что сотрудники лабораторий прошли обучение для обнаружения ЖИО.</w:t>
      </w:r>
    </w:p>
    <w:p w14:paraId="3B5849E2" w14:textId="77777777" w:rsidR="00334166" w:rsidRPr="007E4547" w:rsidRDefault="00334166" w:rsidP="00334166">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t xml:space="preserve">Выводы четвертой оценки и обзора эффективности Картахенского протокола и заключительной оценки Стратегического плана для Протокола принимаются во внимание при подготовке плана осуществления на период после 2020 года и плана действий по созданию </w:t>
      </w:r>
      <w:r>
        <w:lastRenderedPageBreak/>
        <w:t>потенциала для Протокола, которые, как ожидается, будут приняты Конференцией Сторон, выступающей в качестве совещания Сторон Протоколов, на ее 10-м совещании</w:t>
      </w:r>
      <w:r w:rsidRPr="007E4547">
        <w:rPr>
          <w:spacing w:val="-3"/>
          <w:kern w:val="22"/>
          <w:szCs w:val="22"/>
          <w:vertAlign w:val="superscript"/>
        </w:rPr>
        <w:footnoteReference w:id="18"/>
      </w:r>
      <w:r>
        <w:t xml:space="preserve">. </w:t>
      </w:r>
    </w:p>
    <w:p w14:paraId="45172C02" w14:textId="77777777" w:rsidR="00334166" w:rsidRPr="00867C61" w:rsidRDefault="00334166" w:rsidP="00334166">
      <w:pPr>
        <w:pStyle w:val="Para1"/>
        <w:suppressLineNumbers/>
        <w:tabs>
          <w:tab w:val="clear" w:pos="5322"/>
        </w:tabs>
        <w:suppressAutoHyphens/>
        <w:kinsoku w:val="0"/>
        <w:overflowPunct w:val="0"/>
        <w:autoSpaceDE w:val="0"/>
        <w:autoSpaceDN w:val="0"/>
        <w:adjustRightInd w:val="0"/>
        <w:snapToGrid w:val="0"/>
        <w:ind w:left="0"/>
        <w:rPr>
          <w:spacing w:val="-3"/>
          <w:kern w:val="22"/>
          <w:szCs w:val="22"/>
        </w:rPr>
      </w:pPr>
      <w:r>
        <w:t>Нагойско-Куала-</w:t>
      </w:r>
      <w:proofErr w:type="spellStart"/>
      <w:r>
        <w:t>Лумпурский</w:t>
      </w:r>
      <w:proofErr w:type="spellEnd"/>
      <w:r>
        <w:t xml:space="preserve"> дополнительный протокол об ответственности и возмещении за ущерб был принят 15 октября 2010 года в качестве дополнительного соглашения к Картахенскому протоколу. Он вступил в силу 5 марта 2018 года. На настоящий момент к Дополнительному протоколу присоединилась 51 Сторона. </w:t>
      </w:r>
    </w:p>
    <w:p w14:paraId="250023EB" w14:textId="77777777" w:rsidR="00334166" w:rsidRPr="00E77A11" w:rsidRDefault="00334166" w:rsidP="00334166">
      <w:pPr>
        <w:pStyle w:val="ListParagraph"/>
        <w:keepNext/>
        <w:numPr>
          <w:ilvl w:val="0"/>
          <w:numId w:val="3"/>
        </w:numPr>
        <w:jc w:val="center"/>
        <w:outlineLvl w:val="0"/>
        <w:rPr>
          <w:b/>
          <w:bCs/>
          <w:caps/>
        </w:rPr>
      </w:pPr>
      <w:r>
        <w:rPr>
          <w:b/>
          <w:caps/>
        </w:rPr>
        <w:t>Результаты осуществления Плана действий по обеспечению гендерного равенства</w:t>
      </w:r>
      <w:r w:rsidRPr="003D05C2">
        <w:rPr>
          <w:b/>
          <w:bCs/>
          <w:vertAlign w:val="superscript"/>
        </w:rPr>
        <w:footnoteReference w:id="19"/>
      </w:r>
    </w:p>
    <w:p w14:paraId="116EA406" w14:textId="77777777" w:rsidR="00334166" w:rsidRPr="00034616" w:rsidRDefault="00334166" w:rsidP="00334166">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t xml:space="preserve">В решении </w:t>
      </w:r>
      <w:hyperlink r:id="rId17" w:history="1">
        <w:r>
          <w:t>XII/7</w:t>
        </w:r>
      </w:hyperlink>
      <w:r>
        <w:t xml:space="preserve"> Конференция Сторон приветствовала План действий по обеспечению гендерного равенства на 2015-2020 годы в рамках Конвенции о биологическом разнообразии, поручила Исполнительному секретарю оказывать содействие его осуществлению и предложила Сторонам представить доклад о принятых мерах в этом отношении. Во исполнение решения 14</w:t>
      </w:r>
      <w:hyperlink r:id="rId18" w:history="1">
        <w:r>
          <w:t>/18</w:t>
        </w:r>
      </w:hyperlink>
      <w:r>
        <w:t xml:space="preserve"> был проведен обзор осуществления Плана действий по обеспечению гендерного равенства, представленный в документе CBD/SBI/3/2/Add.3, в котором были оценены меры, принятые Сторонами и секретариатом, и определены передовые методы, извлеченные уроки и существующие пробелы. Обзор основан на оценке шестых национальных докладов</w:t>
      </w:r>
      <w:r w:rsidRPr="003D05C2">
        <w:rPr>
          <w:spacing w:val="-3"/>
          <w:vertAlign w:val="superscript"/>
        </w:rPr>
        <w:footnoteReference w:id="20"/>
      </w:r>
      <w:r>
        <w:t>, полученных секретариатом, и результатах двух глобальных опросов – одного для представителей правительств и одного для других соответствующих организаций</w:t>
      </w:r>
      <w:r w:rsidRPr="003D05C2">
        <w:rPr>
          <w:spacing w:val="-3"/>
          <w:vertAlign w:val="superscript"/>
        </w:rPr>
        <w:footnoteReference w:id="21"/>
      </w:r>
      <w:r>
        <w:t>.</w:t>
      </w:r>
    </w:p>
    <w:p w14:paraId="5C972FC1" w14:textId="77777777" w:rsidR="00334166" w:rsidRPr="00684AEA" w:rsidRDefault="00334166" w:rsidP="00334166">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t>В обзоре отмечается, что Стороны в большей мере осведомлены и понимают взаимосвязи между гендерными вопросами и биоразнообразием, а также понимают, какие соответствующие шаги необходимо предпринять для обеспечения реализации мер по остановке процесса утраты биоразнообразия с более полным учетом гендерной проблематики. Однако необходимо поддерживать и укреплять усилия Сторон, в частности в отношении полноценного и эффективного участия женщин во включении гендерной проблематики в меры по сохранению биоразнообразия, улучшения координации с женскими организациями и министерствами и местными партнерами, а также повышения осведомленности и создания потенциала для различных субъектов деятельности, для обеспечения более прочных и устойчивых результатов в отношении гендерного фактора и биоразнообразия в будущем.</w:t>
      </w:r>
    </w:p>
    <w:p w14:paraId="2F0FD415" w14:textId="50111BA0" w:rsidR="00334166" w:rsidRPr="00684AEA" w:rsidRDefault="00334166" w:rsidP="00334166">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t>Передовая практика, определенная в ходе осуществления Плана действий по обеспечению гендерного равенства, охватывает конкретные меры по более эффективному включению гендерных аспектов в политические рамки в области биоразнообразия, выявление взаимосвязей между информацией и статистическими данными, полученными в результате различных процессов, и использование их для преодоления гендерных пробелов в секторах, связанных с биоразнообразием, и подходы к повышению осведомленности, созданию потенциала и обмену знаниями в целях обеспечения равноправного участия женщин в секторах, связанных с биоразнообразием. Полученный опыт указывает на ценность Плана действий по обеспечению гендерного равенства как политического/правозащитного инструмента, необходимость в четких, практически осуществимых и измеримых целях, связанных с гендерными аспектами и биоразнообразием, в поддержку осуществления, долгосрочных инвестиций и согласованных действий и необходимость опоры на результаты проектов для наращивания мер в более широких масштабах</w:t>
      </w:r>
      <w:r w:rsidR="006672D6">
        <w:t>.</w:t>
      </w:r>
      <w:r>
        <w:t xml:space="preserve"> Обзор выявил ряд пробелов, или областей, требующих дальнейшего внимания, которые связаны с активизацией осуществления </w:t>
      </w:r>
      <w:r>
        <w:lastRenderedPageBreak/>
        <w:t>плана на национальном уровне. Они включают необходимость в дальнейшем развитии потенциала, сбор и анализ данных с разбивкой по полу, а также надлежащее финансирование и отчетность.</w:t>
      </w:r>
    </w:p>
    <w:p w14:paraId="0D4802B9" w14:textId="14F9501C" w:rsidR="00334166" w:rsidRPr="00684AEA" w:rsidRDefault="00334166" w:rsidP="00334166">
      <w:pPr>
        <w:pStyle w:val="Para1"/>
        <w:suppressLineNumbers/>
        <w:tabs>
          <w:tab w:val="clear" w:pos="5322"/>
          <w:tab w:val="num" w:pos="720"/>
        </w:tabs>
        <w:suppressAutoHyphens/>
        <w:kinsoku w:val="0"/>
        <w:overflowPunct w:val="0"/>
        <w:autoSpaceDE w:val="0"/>
        <w:autoSpaceDN w:val="0"/>
        <w:adjustRightInd w:val="0"/>
        <w:snapToGrid w:val="0"/>
        <w:ind w:left="0"/>
        <w:rPr>
          <w:spacing w:val="-3"/>
          <w:kern w:val="22"/>
          <w:szCs w:val="22"/>
        </w:rPr>
      </w:pPr>
      <w:r>
        <w:t>В целом обзор показывает, что будет необходим новый план действий или стратегия по обеспечению гендерного равенства, а также измеримые цели и соответствующие показатели для оказания поддержки в осуществлении глобальной рамочной программы в области биоразнообразия на период после 2020 года, учитывающей гендерные аспекты</w:t>
      </w:r>
      <w:r w:rsidR="006672D6">
        <w:t xml:space="preserve">. </w:t>
      </w:r>
      <w:r>
        <w:t>Выводы также говорят о том, что процесс разработки плана действий или стратегии по обеспечению гендерного равенства на период после 2020 года должен быть основан на консультациях и участии с привлечением Сторон и соответствующих организаций и субъектов деятельности. В ходе обзора было также установлено, что осуществление с учетом гендерных аспектов в период после 2020 года потребует всестороннего учета гендерной проблематики в НСПДСБ, включения ее в процесс обзора в период после 2020 года и ее отражения в национальной отчетности.</w:t>
      </w:r>
    </w:p>
    <w:p w14:paraId="1E9D2590" w14:textId="77777777" w:rsidR="00334166" w:rsidRPr="0087343A" w:rsidRDefault="00334166" w:rsidP="00334166">
      <w:pPr>
        <w:pStyle w:val="Heading1"/>
        <w:numPr>
          <w:ilvl w:val="0"/>
          <w:numId w:val="3"/>
        </w:numPr>
        <w:suppressLineNumbers/>
        <w:tabs>
          <w:tab w:val="clear" w:pos="720"/>
          <w:tab w:val="left" w:pos="360"/>
        </w:tabs>
        <w:suppressAutoHyphens/>
        <w:kinsoku w:val="0"/>
        <w:overflowPunct w:val="0"/>
        <w:autoSpaceDE w:val="0"/>
        <w:autoSpaceDN w:val="0"/>
        <w:adjustRightInd w:val="0"/>
        <w:snapToGrid w:val="0"/>
        <w:spacing w:before="120"/>
        <w:ind w:left="0" w:firstLine="0"/>
        <w:rPr>
          <w:rFonts w:ascii="Times New Roman Bold" w:hAnsi="Times New Roman Bold"/>
          <w:snapToGrid w:val="0"/>
          <w:kern w:val="22"/>
          <w:szCs w:val="22"/>
        </w:rPr>
      </w:pPr>
      <w:r>
        <w:rPr>
          <w:rFonts w:ascii="Times New Roman Bold" w:hAnsi="Times New Roman Bold"/>
          <w:snapToGrid w:val="0"/>
        </w:rPr>
        <w:t>Заключение</w:t>
      </w:r>
    </w:p>
    <w:p w14:paraId="0DB6BB30" w14:textId="77777777" w:rsidR="00334166" w:rsidRPr="001D0565" w:rsidRDefault="00334166" w:rsidP="00334166">
      <w:pPr>
        <w:pStyle w:val="Para1"/>
        <w:suppressLineNumbers/>
        <w:tabs>
          <w:tab w:val="clear" w:pos="5322"/>
        </w:tabs>
        <w:suppressAutoHyphens/>
        <w:kinsoku w:val="0"/>
        <w:overflowPunct w:val="0"/>
        <w:autoSpaceDE w:val="0"/>
        <w:autoSpaceDN w:val="0"/>
        <w:adjustRightInd w:val="0"/>
        <w:snapToGrid w:val="0"/>
        <w:ind w:left="0"/>
        <w:rPr>
          <w:rFonts w:eastAsia="Malgun Gothic"/>
          <w:kern w:val="22"/>
          <w:szCs w:val="22"/>
        </w:rPr>
      </w:pPr>
      <w:r>
        <w:t>Обзор результатов, проведенный в настоящем документе и добавлениях к нему, представляет собой последнюю возможность для Конференции Сторон подвести итоги Стратегического плана в области сохранения и устойчивого использования биоразнообразия на 2011</w:t>
      </w:r>
      <w:r>
        <w:noBreakHyphen/>
        <w:t>2020 годы. Форматы, включаемая информация и сроки представления НСПДСБ сделали их оценку затруднительной. Стороны применяют различные подходы к постановке своих национальных целевых задач и отчетности об их выполнении. Эти различные подходы ограничивают возможность обобщения и сопоставления полученной информации. Кроме того, задержки в представлении национальных докладов и НСПДСБ секретариату сокращают время, имеющееся для их обзора и отражения в соответствующей документации. Стороны, возможно, пожелают дополнительно рассмотреть эти вопросы в ходе обсуждения в рамках пункта 9 (глобальная рамочная программа в области биоразнообразия на период после 2020 года) и пункта 14 повестки дня (механизмы отчетности, оценки и обзора осуществления).</w:t>
      </w:r>
    </w:p>
    <w:p w14:paraId="3637EAEB" w14:textId="77777777" w:rsidR="00334166" w:rsidRPr="001D0565" w:rsidRDefault="00334166" w:rsidP="00334166">
      <w:pPr>
        <w:pStyle w:val="Para1"/>
        <w:suppressLineNumbers/>
        <w:tabs>
          <w:tab w:val="clear" w:pos="5322"/>
          <w:tab w:val="num" w:pos="993"/>
        </w:tabs>
        <w:suppressAutoHyphens/>
        <w:kinsoku w:val="0"/>
        <w:overflowPunct w:val="0"/>
        <w:autoSpaceDE w:val="0"/>
        <w:autoSpaceDN w:val="0"/>
        <w:adjustRightInd w:val="0"/>
        <w:snapToGrid w:val="0"/>
        <w:ind w:left="0"/>
        <w:rPr>
          <w:rFonts w:eastAsia="Malgun Gothic"/>
          <w:kern w:val="22"/>
          <w:szCs w:val="22"/>
        </w:rPr>
      </w:pPr>
      <w:r>
        <w:t xml:space="preserve">НСПДСБ и национальные доклады – два взаимодополняющих источника информации – свидетельствуют о том, что предпринимаются усилия для воплощения Айтинских целевых задач в области биоразнообразия в национальные обязательства и принимаются национальные меры по выполнению Айтинских целевых задач. Однако их оценка показывает, что в целом имеются пробелы в отношении целевого уровня национальных целевых задач, поставленных для выполнения Айтинских целевых задач в области биоразнообразия, а также в усилиях по их выполнению. Эта оценка согласуется с предшествующими оценками, включая четвертое и пятое издания Глобальной перспективы в области биоразнообразия и Доклад о глобальной оценке биоразнообразия и экосистемных услуг МПБЭУ, а также с предшествующими обзорами Конференции Сторон, в которых был сделан вывод о том, что несмотря на достигнутый прогресс в выполнении всех целевых задач, его уровень недостаточен для выполнения Айтинских целевых задач в области биоразнообразия к 2020 году. Недавние оценки и анализ, доступные с момента публикации Глобальной перспективы в области биоразнообразия и Доклада о глобальной оценке биоразнообразия и экосистемных услуг МПБЭУ, подтверждают вывод, согласно которому, несмотря на достигнутый прогресс, биоразнообразие во всем мире продолжает сокращаться. </w:t>
      </w:r>
    </w:p>
    <w:p w14:paraId="1A3C01FB" w14:textId="77777777" w:rsidR="00334166" w:rsidRPr="00BB02E4" w:rsidRDefault="00334166" w:rsidP="00334166">
      <w:pPr>
        <w:suppressLineNumbers/>
        <w:suppressAutoHyphens/>
        <w:kinsoku w:val="0"/>
        <w:overflowPunct w:val="0"/>
        <w:autoSpaceDE w:val="0"/>
        <w:autoSpaceDN w:val="0"/>
        <w:adjustRightInd w:val="0"/>
        <w:snapToGrid w:val="0"/>
        <w:spacing w:before="40" w:after="40"/>
        <w:jc w:val="center"/>
        <w:rPr>
          <w:kern w:val="22"/>
          <w:szCs w:val="22"/>
        </w:rPr>
      </w:pPr>
      <w:r>
        <w:t>__________</w:t>
      </w:r>
    </w:p>
    <w:p w14:paraId="3336A434" w14:textId="77777777" w:rsidR="00915735" w:rsidRDefault="00915735"/>
    <w:sectPr w:rsidR="00915735" w:rsidSect="009279FE">
      <w:headerReference w:type="even" r:id="rId19"/>
      <w:headerReference w:type="default" r:id="rId20"/>
      <w:footerReference w:type="default" r:id="rId21"/>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9CC49" w14:textId="77777777" w:rsidR="00334166" w:rsidRDefault="00334166" w:rsidP="00334166">
      <w:r>
        <w:separator/>
      </w:r>
    </w:p>
  </w:endnote>
  <w:endnote w:type="continuationSeparator" w:id="0">
    <w:p w14:paraId="51DC0FE5" w14:textId="77777777" w:rsidR="00334166" w:rsidRDefault="00334166" w:rsidP="00334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7F99" w14:textId="77777777" w:rsidR="003E67E1" w:rsidRDefault="006672D6" w:rsidP="00456490">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3441AB" w14:textId="77777777" w:rsidR="00334166" w:rsidRDefault="00334166" w:rsidP="00334166">
      <w:r>
        <w:separator/>
      </w:r>
    </w:p>
  </w:footnote>
  <w:footnote w:type="continuationSeparator" w:id="0">
    <w:p w14:paraId="530CBD72" w14:textId="77777777" w:rsidR="00334166" w:rsidRDefault="00334166" w:rsidP="00334166">
      <w:r>
        <w:continuationSeparator/>
      </w:r>
    </w:p>
  </w:footnote>
  <w:footnote w:id="1">
    <w:p w14:paraId="0B24AE0A" w14:textId="77777777" w:rsidR="00334166" w:rsidRPr="00456490" w:rsidRDefault="00334166" w:rsidP="00334166">
      <w:pPr>
        <w:pStyle w:val="FootnoteText"/>
        <w:suppressLineNumbers/>
        <w:suppressAutoHyphens/>
        <w:ind w:firstLine="0"/>
        <w:jc w:val="left"/>
        <w:rPr>
          <w:kern w:val="18"/>
          <w:szCs w:val="18"/>
        </w:rPr>
      </w:pPr>
      <w:r>
        <w:rPr>
          <w:rStyle w:val="FootnoteReference"/>
          <w:kern w:val="18"/>
          <w:szCs w:val="18"/>
        </w:rPr>
        <w:footnoteRef/>
      </w:r>
      <w:r>
        <w:t xml:space="preserve"> Например, в решении </w:t>
      </w:r>
      <w:hyperlink r:id="rId1" w:history="1">
        <w:r>
          <w:rPr>
            <w:rStyle w:val="Hyperlink"/>
          </w:rPr>
          <w:t>XII/31</w:t>
        </w:r>
      </w:hyperlink>
      <w:r>
        <w:t xml:space="preserve"> Конференция Сторон вновь подтвердила, что должна проводить обзор результатов осуществления Стратегического плана в области сохранения и устойчивого использования биоразнообразия на 2011-2020 годы на каждом из своих совещаний в период до 2020 года и что подготовка дальнейших руководящих указаний по разработке политики и в поддержку осуществления должна быть основана на этом обзоре, а также на информации, представленной в национальных докладах, и на другой информации, которая может стать доступной, в том числе в результате проведения научных оценок. Далее, в соответствии со списком вопросов, приведенным в приложении к этому решению, Конференция Сторон на своем 13-м совещании должна была, помимо прочего, провести промежуточный обзор результатов осуществления Стратегического плана в области сохранения и устойчивого использования биоразнообразия на 2011-2020 годы и выполнения Айтинских целевых задач в области биоразнообразия и соответствующих средств осуществления. </w:t>
      </w:r>
    </w:p>
  </w:footnote>
  <w:footnote w:id="2">
    <w:p w14:paraId="19355D6C" w14:textId="77777777" w:rsidR="00334166" w:rsidRPr="00456490" w:rsidRDefault="00334166" w:rsidP="00334166">
      <w:pPr>
        <w:pStyle w:val="FootnoteText"/>
        <w:suppressLineNumbers/>
        <w:suppressAutoHyphens/>
        <w:ind w:firstLine="0"/>
        <w:jc w:val="left"/>
        <w:rPr>
          <w:kern w:val="18"/>
          <w:szCs w:val="18"/>
        </w:rPr>
      </w:pPr>
      <w:r>
        <w:rPr>
          <w:rStyle w:val="FootnoteReference"/>
          <w:kern w:val="18"/>
          <w:szCs w:val="18"/>
        </w:rPr>
        <w:footnoteRef/>
      </w:r>
      <w:r>
        <w:t xml:space="preserve"> См. решения XI/3, XII/1, XIII/1 и 14/1.</w:t>
      </w:r>
    </w:p>
    <w:p w14:paraId="2F4DBD05" w14:textId="77777777" w:rsidR="00334166" w:rsidRPr="00456490" w:rsidRDefault="00334166" w:rsidP="00334166">
      <w:pPr>
        <w:pStyle w:val="FootnoteText"/>
        <w:suppressLineNumbers/>
        <w:suppressAutoHyphens/>
        <w:ind w:firstLine="0"/>
        <w:jc w:val="left"/>
        <w:rPr>
          <w:kern w:val="18"/>
          <w:szCs w:val="18"/>
        </w:rPr>
      </w:pPr>
    </w:p>
  </w:footnote>
  <w:footnote w:id="3">
    <w:p w14:paraId="545938EA" w14:textId="77777777" w:rsidR="00334166" w:rsidRPr="008A4514" w:rsidRDefault="00334166" w:rsidP="00334166">
      <w:pPr>
        <w:pStyle w:val="FootnoteText"/>
        <w:suppressLineNumbers/>
        <w:suppressAutoHyphens/>
        <w:kinsoku w:val="0"/>
        <w:overflowPunct w:val="0"/>
        <w:autoSpaceDE w:val="0"/>
        <w:autoSpaceDN w:val="0"/>
        <w:adjustRightInd w:val="0"/>
        <w:snapToGrid w:val="0"/>
        <w:ind w:firstLine="0"/>
        <w:jc w:val="left"/>
        <w:rPr>
          <w:snapToGrid w:val="0"/>
          <w:kern w:val="18"/>
          <w:szCs w:val="18"/>
        </w:rPr>
      </w:pPr>
      <w:r>
        <w:rPr>
          <w:rStyle w:val="FootnoteReference"/>
          <w:snapToGrid w:val="0"/>
          <w:kern w:val="18"/>
          <w:szCs w:val="18"/>
        </w:rPr>
        <w:footnoteRef/>
      </w:r>
      <w:r>
        <w:rPr>
          <w:snapToGrid w:val="0"/>
        </w:rPr>
        <w:t xml:space="preserve"> Приводимый ниже анализ основывается на 167 НСПДСБ, которые были представлены на одном из официальных языков Организации Объединенных Наций.</w:t>
      </w:r>
    </w:p>
  </w:footnote>
  <w:footnote w:id="4">
    <w:p w14:paraId="7DE94983" w14:textId="26687670" w:rsidR="00334166" w:rsidRPr="001A78A1" w:rsidRDefault="00334166" w:rsidP="00334166">
      <w:pPr>
        <w:pStyle w:val="FootnoteText"/>
        <w:suppressLineNumbers/>
        <w:suppressAutoHyphens/>
        <w:kinsoku w:val="0"/>
        <w:overflowPunct w:val="0"/>
        <w:autoSpaceDE w:val="0"/>
        <w:autoSpaceDN w:val="0"/>
        <w:adjustRightInd w:val="0"/>
        <w:snapToGrid w:val="0"/>
        <w:ind w:firstLine="0"/>
        <w:jc w:val="left"/>
        <w:rPr>
          <w:snapToGrid w:val="0"/>
          <w:kern w:val="18"/>
          <w:szCs w:val="18"/>
          <w:lang w:val="en-GB"/>
        </w:rPr>
      </w:pPr>
      <w:r>
        <w:rPr>
          <w:rStyle w:val="FootnoteReference"/>
          <w:snapToGrid w:val="0"/>
          <w:kern w:val="18"/>
          <w:szCs w:val="18"/>
        </w:rPr>
        <w:footnoteRef/>
      </w:r>
      <w:r w:rsidRPr="001A78A1">
        <w:rPr>
          <w:snapToGrid w:val="0"/>
          <w:lang w:val="en-GB"/>
        </w:rPr>
        <w:t xml:space="preserve"> </w:t>
      </w:r>
      <w:hyperlink r:id="rId2" w:history="1">
        <w:proofErr w:type="spellStart"/>
        <w:r w:rsidRPr="007C0486">
          <w:rPr>
            <w:rStyle w:val="Hyperlink"/>
            <w:snapToGrid w:val="0"/>
            <w:color w:val="auto"/>
            <w:u w:val="none"/>
            <w:lang w:val="en-GB"/>
          </w:rPr>
          <w:t>Prip</w:t>
        </w:r>
        <w:proofErr w:type="spellEnd"/>
        <w:r w:rsidRPr="007C0486">
          <w:rPr>
            <w:rStyle w:val="Hyperlink"/>
            <w:snapToGrid w:val="0"/>
            <w:color w:val="auto"/>
            <w:u w:val="none"/>
            <w:lang w:val="en-GB"/>
          </w:rPr>
          <w:t xml:space="preserve">, C; Gross, T; Johnston, S; </w:t>
        </w:r>
        <w:proofErr w:type="spellStart"/>
        <w:r w:rsidRPr="007C0486">
          <w:rPr>
            <w:rStyle w:val="Hyperlink"/>
            <w:snapToGrid w:val="0"/>
            <w:color w:val="auto"/>
            <w:u w:val="none"/>
            <w:lang w:val="en-GB"/>
          </w:rPr>
          <w:t>Vierros</w:t>
        </w:r>
        <w:proofErr w:type="spellEnd"/>
        <w:r w:rsidRPr="007C0486">
          <w:rPr>
            <w:rStyle w:val="Hyperlink"/>
            <w:snapToGrid w:val="0"/>
            <w:color w:val="auto"/>
            <w:u w:val="none"/>
            <w:lang w:val="en-GB"/>
          </w:rPr>
          <w:t xml:space="preserve">, M (2010). </w:t>
        </w:r>
      </w:hyperlink>
      <w:r w:rsidRPr="007C0486">
        <w:rPr>
          <w:i/>
          <w:snapToGrid w:val="0"/>
          <w:lang w:val="en-GB"/>
        </w:rPr>
        <w:t>Biodiversity Planning:</w:t>
      </w:r>
      <w:hyperlink r:id="rId3" w:history="1">
        <w:r w:rsidRPr="007C0486">
          <w:rPr>
            <w:rStyle w:val="Hyperlink"/>
            <w:i/>
            <w:snapToGrid w:val="0"/>
            <w:color w:val="auto"/>
            <w:u w:val="none"/>
            <w:lang w:val="en-GB"/>
          </w:rPr>
          <w:t xml:space="preserve"> An Assessment of National Biodiversity Strategies and Action Plans</w:t>
        </w:r>
        <w:r w:rsidRPr="007C0486">
          <w:rPr>
            <w:rStyle w:val="Hyperlink"/>
            <w:snapToGrid w:val="0"/>
            <w:color w:val="auto"/>
            <w:u w:val="none"/>
            <w:lang w:val="en-GB"/>
          </w:rPr>
          <w:t>, United Nations University Institute of Advanced Studies, Yokohama, Japan</w:t>
        </w:r>
      </w:hyperlink>
      <w:r w:rsidRPr="007C0486">
        <w:rPr>
          <w:snapToGrid w:val="0"/>
          <w:lang w:val="en-GB"/>
        </w:rPr>
        <w:t>.</w:t>
      </w:r>
    </w:p>
  </w:footnote>
  <w:footnote w:id="5">
    <w:p w14:paraId="79B624FE" w14:textId="77777777" w:rsidR="00334166" w:rsidRPr="00334166" w:rsidRDefault="00334166" w:rsidP="00334166">
      <w:pPr>
        <w:pStyle w:val="FootnoteText"/>
        <w:suppressLineNumbers/>
        <w:suppressAutoHyphens/>
        <w:kinsoku w:val="0"/>
        <w:overflowPunct w:val="0"/>
        <w:autoSpaceDE w:val="0"/>
        <w:autoSpaceDN w:val="0"/>
        <w:ind w:firstLine="0"/>
        <w:jc w:val="left"/>
        <w:rPr>
          <w:kern w:val="18"/>
          <w:szCs w:val="18"/>
          <w:lang w:val="en-GB"/>
        </w:rPr>
      </w:pPr>
      <w:r>
        <w:rPr>
          <w:rStyle w:val="FootnoteReference"/>
          <w:rFonts w:eastAsiaTheme="majorEastAsia"/>
          <w:snapToGrid w:val="0"/>
          <w:kern w:val="18"/>
          <w:szCs w:val="18"/>
        </w:rPr>
        <w:footnoteRef/>
      </w:r>
      <w:r w:rsidRPr="00334166">
        <w:rPr>
          <w:lang w:val="en-GB"/>
        </w:rPr>
        <w:t xml:space="preserve"> </w:t>
      </w:r>
      <w:r>
        <w:t>См</w:t>
      </w:r>
      <w:r w:rsidRPr="00334166">
        <w:rPr>
          <w:lang w:val="en-GB"/>
        </w:rPr>
        <w:t xml:space="preserve">. </w:t>
      </w:r>
      <w:hyperlink r:id="rId4" w:history="1">
        <w:r w:rsidRPr="00334166">
          <w:rPr>
            <w:rStyle w:val="Hyperlink"/>
            <w:lang w:val="en-GB"/>
          </w:rPr>
          <w:t>UNEP/CBD/SBI/1/2/Add.2</w:t>
        </w:r>
      </w:hyperlink>
      <w:r w:rsidRPr="00334166">
        <w:rPr>
          <w:lang w:val="en-GB"/>
        </w:rPr>
        <w:t xml:space="preserve"> </w:t>
      </w:r>
      <w:r>
        <w:t>и</w:t>
      </w:r>
      <w:r w:rsidRPr="00334166">
        <w:rPr>
          <w:lang w:val="en-GB"/>
        </w:rPr>
        <w:t xml:space="preserve"> </w:t>
      </w:r>
      <w:hyperlink r:id="rId5" w:history="1">
        <w:r w:rsidRPr="00334166">
          <w:rPr>
            <w:rStyle w:val="Hyperlink"/>
            <w:lang w:val="en-GB"/>
          </w:rPr>
          <w:t>UNEP/CBD/SBI/2/2/Add.2</w:t>
        </w:r>
      </w:hyperlink>
      <w:r w:rsidRPr="00334166">
        <w:rPr>
          <w:rStyle w:val="Hyperlink"/>
          <w:lang w:val="en-GB"/>
        </w:rPr>
        <w:t>.</w:t>
      </w:r>
    </w:p>
  </w:footnote>
  <w:footnote w:id="6">
    <w:p w14:paraId="5BB60E98" w14:textId="77777777" w:rsidR="00334166" w:rsidRPr="001A78A1" w:rsidRDefault="00334166" w:rsidP="00334166">
      <w:pPr>
        <w:pStyle w:val="FootnoteText"/>
        <w:suppressLineNumbers/>
        <w:suppressAutoHyphens/>
        <w:kinsoku w:val="0"/>
        <w:overflowPunct w:val="0"/>
        <w:autoSpaceDE w:val="0"/>
        <w:autoSpaceDN w:val="0"/>
        <w:ind w:firstLine="0"/>
        <w:jc w:val="left"/>
        <w:rPr>
          <w:snapToGrid w:val="0"/>
          <w:kern w:val="18"/>
          <w:szCs w:val="18"/>
          <w:lang w:val="en-GB"/>
        </w:rPr>
      </w:pPr>
      <w:r>
        <w:rPr>
          <w:rStyle w:val="FootnoteReference"/>
          <w:rFonts w:eastAsiaTheme="majorEastAsia"/>
          <w:snapToGrid w:val="0"/>
          <w:kern w:val="18"/>
          <w:szCs w:val="18"/>
        </w:rPr>
        <w:footnoteRef/>
      </w:r>
      <w:r w:rsidRPr="001A78A1">
        <w:rPr>
          <w:snapToGrid w:val="0"/>
          <w:lang w:val="en-GB"/>
        </w:rPr>
        <w:t xml:space="preserve"> </w:t>
      </w:r>
      <w:hyperlink r:id="rId6" w:history="1">
        <w:r w:rsidRPr="001A78A1">
          <w:rPr>
            <w:rStyle w:val="Hyperlink"/>
            <w:snapToGrid w:val="0"/>
            <w:lang w:val="en-GB"/>
          </w:rPr>
          <w:t>UNEP/CBD/COP/13/8/Add.2/Rev.1</w:t>
        </w:r>
      </w:hyperlink>
      <w:r w:rsidRPr="001A78A1">
        <w:rPr>
          <w:snapToGrid w:val="0"/>
          <w:lang w:val="en-GB"/>
        </w:rPr>
        <w:t xml:space="preserve"> </w:t>
      </w:r>
      <w:r>
        <w:rPr>
          <w:snapToGrid w:val="0"/>
        </w:rPr>
        <w:t>и</w:t>
      </w:r>
      <w:r w:rsidRPr="001A78A1">
        <w:rPr>
          <w:snapToGrid w:val="0"/>
          <w:lang w:val="en-GB"/>
        </w:rPr>
        <w:t xml:space="preserve"> </w:t>
      </w:r>
      <w:hyperlink r:id="rId7" w:history="1">
        <w:r w:rsidRPr="001A78A1">
          <w:rPr>
            <w:rStyle w:val="Hyperlink"/>
            <w:snapToGrid w:val="0"/>
            <w:lang w:val="en-GB"/>
          </w:rPr>
          <w:t>CBD/COP/14/5/Add.2</w:t>
        </w:r>
      </w:hyperlink>
      <w:r w:rsidRPr="001A78A1">
        <w:rPr>
          <w:rStyle w:val="Hyperlink"/>
          <w:snapToGrid w:val="0"/>
          <w:lang w:val="en-GB"/>
        </w:rPr>
        <w:t>.</w:t>
      </w:r>
    </w:p>
  </w:footnote>
  <w:footnote w:id="7">
    <w:p w14:paraId="725AD3D4" w14:textId="77777777" w:rsidR="00334166" w:rsidRPr="009D7D80" w:rsidRDefault="00334166" w:rsidP="00334166">
      <w:pPr>
        <w:pStyle w:val="FootnoteText"/>
        <w:ind w:firstLine="0"/>
        <w:jc w:val="left"/>
        <w:rPr>
          <w:szCs w:val="18"/>
        </w:rPr>
      </w:pPr>
      <w:r>
        <w:rPr>
          <w:rStyle w:val="FootnoteReference"/>
          <w:szCs w:val="18"/>
        </w:rPr>
        <w:footnoteRef/>
      </w:r>
      <w:r w:rsidRPr="00334166">
        <w:rPr>
          <w:lang w:val="en-GB"/>
        </w:rPr>
        <w:t xml:space="preserve"> FAO. 2022. The State of World Fisheries and Aquaculture 2022. </w:t>
      </w:r>
      <w:r w:rsidRPr="001A78A1">
        <w:rPr>
          <w:lang w:val="en-GB"/>
        </w:rPr>
        <w:t xml:space="preserve">Towards Blue Transformation. Rome, FAO. </w:t>
      </w:r>
      <w:hyperlink r:id="rId8" w:history="1">
        <w:r>
          <w:rPr>
            <w:rStyle w:val="Hyperlink"/>
          </w:rPr>
          <w:t>https://doi.org/10.4060/cc0461en</w:t>
        </w:r>
      </w:hyperlink>
      <w:r>
        <w:t>.</w:t>
      </w:r>
    </w:p>
  </w:footnote>
  <w:footnote w:id="8">
    <w:p w14:paraId="217D5A76" w14:textId="77777777" w:rsidR="00334166" w:rsidRPr="009D7D80" w:rsidRDefault="00334166" w:rsidP="00334166">
      <w:pPr>
        <w:pStyle w:val="FootnoteText"/>
        <w:ind w:firstLine="0"/>
        <w:jc w:val="left"/>
        <w:rPr>
          <w:szCs w:val="18"/>
        </w:rPr>
      </w:pPr>
      <w:r>
        <w:rPr>
          <w:rStyle w:val="FootnoteReference"/>
          <w:szCs w:val="18"/>
        </w:rPr>
        <w:footnoteRef/>
      </w:r>
      <w:r>
        <w:t xml:space="preserve"> По состоянию на 01 августа 2022 года.</w:t>
      </w:r>
    </w:p>
  </w:footnote>
  <w:footnote w:id="9">
    <w:p w14:paraId="610430D0" w14:textId="77777777" w:rsidR="00334166" w:rsidRPr="00AA644F" w:rsidRDefault="00334166" w:rsidP="00334166">
      <w:pPr>
        <w:pStyle w:val="FootnoteText"/>
        <w:ind w:firstLine="0"/>
        <w:jc w:val="left"/>
      </w:pPr>
      <w:r>
        <w:rPr>
          <w:rStyle w:val="FootnoteReference"/>
          <w:szCs w:val="18"/>
        </w:rPr>
        <w:footnoteRef/>
      </w:r>
      <w:r>
        <w:t xml:space="preserve"> Доклад Глобальной консультации по глобальной рамочной программе в области биоразнообразия на период после 2020 года в связи с доступом к генетическим ресурсам и совместным использованием выгод и Нагойским протоколом, CBD/POST2020/WS/2019/8/3.</w:t>
      </w:r>
    </w:p>
  </w:footnote>
  <w:footnote w:id="10">
    <w:p w14:paraId="78D1947E" w14:textId="77777777" w:rsidR="00334166" w:rsidRPr="002B16F6" w:rsidRDefault="00334166" w:rsidP="00334166">
      <w:pPr>
        <w:pStyle w:val="FootnoteText"/>
        <w:ind w:firstLine="0"/>
        <w:rPr>
          <w:szCs w:val="18"/>
        </w:rPr>
      </w:pPr>
      <w:r>
        <w:rPr>
          <w:rStyle w:val="FootnoteReference"/>
          <w:szCs w:val="18"/>
        </w:rPr>
        <w:footnoteRef/>
      </w:r>
      <w:r>
        <w:t xml:space="preserve"> По состоянию на 1 августа 2022 года, на основе информации, содержащейся в записях, опубликованных в Механизме посредничества для регулирования ДГРСИВ, промежуточных национальных докладах об осуществлении Нагойского протокола, а также в национальных стратегиях и планах действий по сохранению биоразнообразия (НСПДСБ ) и национальных докладах в рамках Конвенции. </w:t>
      </w:r>
    </w:p>
  </w:footnote>
  <w:footnote w:id="11">
    <w:p w14:paraId="1B3AAC6C" w14:textId="77777777" w:rsidR="00334166" w:rsidRPr="002B16F6" w:rsidRDefault="00334166" w:rsidP="00334166">
      <w:pPr>
        <w:pStyle w:val="FootnoteText"/>
        <w:ind w:firstLine="0"/>
        <w:rPr>
          <w:szCs w:val="18"/>
        </w:rPr>
      </w:pPr>
      <w:r>
        <w:rPr>
          <w:rStyle w:val="FootnoteReference"/>
          <w:szCs w:val="18"/>
        </w:rPr>
        <w:footnoteRef/>
      </w:r>
      <w:r>
        <w:t xml:space="preserve"> Пункты 4-5 решения NP-3/1.</w:t>
      </w:r>
    </w:p>
  </w:footnote>
  <w:footnote w:id="12">
    <w:p w14:paraId="34F56E72" w14:textId="77777777" w:rsidR="00334166" w:rsidRPr="002B16F6" w:rsidRDefault="00334166" w:rsidP="00334166">
      <w:pPr>
        <w:pStyle w:val="FootnoteText"/>
        <w:ind w:firstLine="0"/>
        <w:rPr>
          <w:szCs w:val="18"/>
        </w:rPr>
      </w:pPr>
      <w:r>
        <w:rPr>
          <w:rStyle w:val="FootnoteReference"/>
          <w:szCs w:val="18"/>
        </w:rPr>
        <w:footnoteRef/>
      </w:r>
      <w:r>
        <w:t xml:space="preserve"> Этот текст идентичен тому, который был представлен 3-му совещанию Вспомогательного органа по осуществлению в документе CBD/SBI/3/2 и дополнен документом CBD/SBI/3/2/Add.4.</w:t>
      </w:r>
    </w:p>
  </w:footnote>
  <w:footnote w:id="13">
    <w:p w14:paraId="469AE2A1" w14:textId="77777777" w:rsidR="00334166" w:rsidRPr="001A78A1" w:rsidRDefault="00334166" w:rsidP="00334166">
      <w:pPr>
        <w:keepLines/>
        <w:suppressLineNumbers/>
        <w:suppressAutoHyphens/>
        <w:spacing w:after="60"/>
        <w:jc w:val="left"/>
        <w:rPr>
          <w:kern w:val="18"/>
          <w:sz w:val="18"/>
          <w:szCs w:val="18"/>
          <w:lang w:val="en-GB"/>
        </w:rPr>
      </w:pPr>
      <w:r>
        <w:rPr>
          <w:rStyle w:val="FootnoteReference"/>
          <w:kern w:val="18"/>
          <w:sz w:val="18"/>
          <w:szCs w:val="18"/>
        </w:rPr>
        <w:footnoteRef/>
      </w:r>
      <w:r w:rsidRPr="001A78A1">
        <w:rPr>
          <w:sz w:val="18"/>
          <w:lang w:val="en-GB"/>
        </w:rPr>
        <w:t xml:space="preserve"> CBD/COP/14/5, Add.1 </w:t>
      </w:r>
      <w:r>
        <w:rPr>
          <w:sz w:val="18"/>
        </w:rPr>
        <w:t>и</w:t>
      </w:r>
      <w:r w:rsidRPr="001A78A1">
        <w:rPr>
          <w:sz w:val="18"/>
          <w:lang w:val="en-GB"/>
        </w:rPr>
        <w:t xml:space="preserve"> Add.2.</w:t>
      </w:r>
    </w:p>
  </w:footnote>
  <w:footnote w:id="14">
    <w:p w14:paraId="3EF524D0" w14:textId="77777777" w:rsidR="00334166" w:rsidRPr="002B16F6" w:rsidRDefault="00334166" w:rsidP="00334166">
      <w:pPr>
        <w:pStyle w:val="FootnoteText"/>
        <w:suppressLineNumbers/>
        <w:suppressAutoHyphens/>
        <w:ind w:firstLine="0"/>
        <w:jc w:val="left"/>
        <w:rPr>
          <w:kern w:val="18"/>
          <w:szCs w:val="18"/>
        </w:rPr>
      </w:pPr>
      <w:r>
        <w:rPr>
          <w:rStyle w:val="FootnoteReference"/>
          <w:kern w:val="18"/>
          <w:szCs w:val="18"/>
        </w:rPr>
        <w:footnoteRef/>
      </w:r>
      <w:r>
        <w:t xml:space="preserve"> Этот анализ основан на информации из 150 шестых национальных докладов.</w:t>
      </w:r>
    </w:p>
  </w:footnote>
  <w:footnote w:id="15">
    <w:p w14:paraId="5D920FBC" w14:textId="77777777" w:rsidR="00334166" w:rsidRPr="00EC0742" w:rsidRDefault="00334166" w:rsidP="00334166">
      <w:pPr>
        <w:pStyle w:val="FootnoteText"/>
        <w:suppressLineNumbers/>
        <w:suppressAutoHyphens/>
        <w:ind w:firstLine="0"/>
        <w:jc w:val="left"/>
        <w:rPr>
          <w:kern w:val="18"/>
          <w:szCs w:val="18"/>
        </w:rPr>
      </w:pPr>
      <w:r>
        <w:rPr>
          <w:rStyle w:val="FootnoteReference"/>
          <w:kern w:val="18"/>
          <w:szCs w:val="18"/>
        </w:rPr>
        <w:footnoteRef/>
      </w:r>
      <w:r>
        <w:t xml:space="preserve"> Индикаторы: (f) тенденции в языковом разнообразии и количестве носителей языков коренных народов; (b) тенденции в области изменения характера землепользования и землевладения на традиционных территориях коренных народов и местных общин; (c) тенденции в области осуществления традиционных видов деятельности; и (d) тенденции в отношении уважения традиционных знаний и практики, обеспечиваемого за счет их полного включения в процесс национального осуществления Стратегического плана, их защиты и всемерного и эффективного участия коренных народов и местных общин в этом процессе.</w:t>
      </w:r>
    </w:p>
  </w:footnote>
  <w:footnote w:id="16">
    <w:p w14:paraId="477286C6" w14:textId="77777777" w:rsidR="00334166" w:rsidRPr="002B16F6" w:rsidRDefault="00334166" w:rsidP="00334166">
      <w:pPr>
        <w:pStyle w:val="FootnoteText"/>
        <w:ind w:firstLine="0"/>
        <w:rPr>
          <w:szCs w:val="18"/>
        </w:rPr>
      </w:pPr>
      <w:r>
        <w:rPr>
          <w:rStyle w:val="FootnoteReference"/>
          <w:szCs w:val="18"/>
        </w:rPr>
        <w:footnoteRef/>
      </w:r>
      <w:r>
        <w:t xml:space="preserve"> Решение BS-V/16.</w:t>
      </w:r>
    </w:p>
  </w:footnote>
  <w:footnote w:id="17">
    <w:p w14:paraId="0FA92DDA" w14:textId="77777777" w:rsidR="00334166" w:rsidRDefault="00334166" w:rsidP="00334166">
      <w:pPr>
        <w:pStyle w:val="FootnoteText"/>
        <w:ind w:firstLine="0"/>
      </w:pPr>
      <w:r>
        <w:rPr>
          <w:rStyle w:val="FootnoteReference"/>
          <w:szCs w:val="18"/>
        </w:rPr>
        <w:footnoteRef/>
      </w:r>
      <w:r>
        <w:t xml:space="preserve"> CBD/SBI/3/3.</w:t>
      </w:r>
    </w:p>
  </w:footnote>
  <w:footnote w:id="18">
    <w:p w14:paraId="6850C874" w14:textId="77777777" w:rsidR="00334166" w:rsidRPr="002B16F6" w:rsidRDefault="00334166" w:rsidP="00334166">
      <w:pPr>
        <w:pStyle w:val="FootnoteText"/>
        <w:ind w:firstLine="0"/>
        <w:rPr>
          <w:szCs w:val="18"/>
        </w:rPr>
      </w:pPr>
      <w:r>
        <w:rPr>
          <w:rStyle w:val="FootnoteReference"/>
          <w:szCs w:val="18"/>
        </w:rPr>
        <w:footnoteRef/>
      </w:r>
      <w:r>
        <w:t xml:space="preserve"> Рекомендация SBI-3/4.</w:t>
      </w:r>
    </w:p>
  </w:footnote>
  <w:footnote w:id="19">
    <w:p w14:paraId="7E26F62F" w14:textId="77777777" w:rsidR="00334166" w:rsidRPr="002B16F6" w:rsidRDefault="00334166" w:rsidP="00334166">
      <w:pPr>
        <w:pStyle w:val="FootnoteText"/>
        <w:ind w:firstLine="0"/>
        <w:rPr>
          <w:szCs w:val="18"/>
        </w:rPr>
      </w:pPr>
      <w:r>
        <w:rPr>
          <w:rStyle w:val="FootnoteReference"/>
          <w:szCs w:val="18"/>
        </w:rPr>
        <w:footnoteRef/>
      </w:r>
      <w:r>
        <w:t xml:space="preserve"> Этот текст идентичен тому, который был представлен 3-му совещанию Вспомогательного органа по осуществлению в документе CBD/SBI/3/2 и дополнен документом CBD/SBI/3/2/Add.3.</w:t>
      </w:r>
    </w:p>
  </w:footnote>
  <w:footnote w:id="20">
    <w:p w14:paraId="37BF666E" w14:textId="77777777" w:rsidR="00334166" w:rsidRPr="002B16F6" w:rsidRDefault="00334166" w:rsidP="00334166">
      <w:pPr>
        <w:pStyle w:val="FootnoteText"/>
        <w:suppressLineNumbers/>
        <w:suppressAutoHyphens/>
        <w:ind w:firstLine="0"/>
        <w:jc w:val="left"/>
        <w:rPr>
          <w:kern w:val="18"/>
          <w:szCs w:val="18"/>
        </w:rPr>
      </w:pPr>
      <w:r>
        <w:rPr>
          <w:rStyle w:val="FootnoteReference"/>
          <w:kern w:val="18"/>
          <w:szCs w:val="18"/>
        </w:rPr>
        <w:footnoteRef/>
      </w:r>
      <w:r>
        <w:t xml:space="preserve"> При проведении этой оценки были рассмотрены шестые национальные доклады, полученные секретариатом к 8 ноября 2019 года включительно. Всего было рассмотрено 126 докладов.</w:t>
      </w:r>
    </w:p>
  </w:footnote>
  <w:footnote w:id="21">
    <w:p w14:paraId="44C95F74" w14:textId="77777777" w:rsidR="00334166" w:rsidRPr="00456490" w:rsidRDefault="00334166" w:rsidP="00334166">
      <w:pPr>
        <w:pStyle w:val="FootnoteText"/>
        <w:suppressLineNumbers/>
        <w:suppressAutoHyphens/>
        <w:ind w:firstLine="0"/>
        <w:jc w:val="left"/>
        <w:rPr>
          <w:kern w:val="18"/>
          <w:szCs w:val="18"/>
        </w:rPr>
      </w:pPr>
      <w:r>
        <w:rPr>
          <w:rStyle w:val="FootnoteReference"/>
          <w:kern w:val="18"/>
          <w:szCs w:val="18"/>
        </w:rPr>
        <w:footnoteRef/>
      </w:r>
      <w:r>
        <w:t xml:space="preserve"> «Другие соответствующие организации» включают международные организации, организации гражданского общества и другие соответствующие организации, осуществляющие деятельность по выполнению целей Конвенции на международном, региональном, национальном и местном уровнях.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100910707"/>
      <w:dataBinding w:prefixMappings="xmlns:ns0='http://purl.org/dc/elements/1.1/' xmlns:ns1='http://schemas.openxmlformats.org/package/2006/metadata/core-properties' " w:xpath="/ns1:coreProperties[1]/ns0:subject[1]" w:storeItemID="{6C3C8BC8-F283-45AE-878A-BAB7291924A1}"/>
      <w:text/>
    </w:sdtPr>
    <w:sdtEndPr/>
    <w:sdtContent>
      <w:p w14:paraId="7C5FC8A4" w14:textId="5FF3549B" w:rsidR="007F2356" w:rsidRPr="00456490" w:rsidRDefault="000E7AA2" w:rsidP="00456490">
        <w:pPr>
          <w:pStyle w:val="Header"/>
          <w:keepLines/>
          <w:suppressLineNumbers/>
          <w:tabs>
            <w:tab w:val="clear" w:pos="4320"/>
            <w:tab w:val="clear" w:pos="8640"/>
          </w:tabs>
          <w:suppressAutoHyphens/>
          <w:jc w:val="left"/>
          <w:rPr>
            <w:noProof/>
            <w:kern w:val="22"/>
          </w:rPr>
        </w:pPr>
        <w:r>
          <w:rPr>
            <w:noProof/>
            <w:kern w:val="22"/>
          </w:rPr>
          <w:t>CBD/COP/15/9</w:t>
        </w:r>
      </w:p>
    </w:sdtContent>
  </w:sdt>
  <w:p w14:paraId="01A1442D" w14:textId="53BEC70E" w:rsidR="007F2356" w:rsidRPr="00456490" w:rsidRDefault="00F24F03" w:rsidP="00456490">
    <w:pPr>
      <w:pStyle w:val="Header"/>
      <w:keepLines/>
      <w:suppressLineNumbers/>
      <w:tabs>
        <w:tab w:val="clear" w:pos="4320"/>
        <w:tab w:val="clear" w:pos="8640"/>
      </w:tabs>
      <w:suppressAutoHyphens/>
      <w:jc w:val="left"/>
      <w:rPr>
        <w:noProof/>
        <w:kern w:val="22"/>
      </w:rPr>
    </w:pPr>
    <w:r>
      <w:t>Страница</w:t>
    </w:r>
    <w:r w:rsidR="006672D6">
      <w:t xml:space="preserve"> </w:t>
    </w:r>
    <w:r w:rsidR="006672D6" w:rsidRPr="00456490">
      <w:fldChar w:fldCharType="begin"/>
    </w:r>
    <w:r w:rsidR="006672D6" w:rsidRPr="00456490">
      <w:instrText xml:space="preserve"> PAGE   \* MERGEFORMAT </w:instrText>
    </w:r>
    <w:r w:rsidR="006672D6" w:rsidRPr="00456490">
      <w:fldChar w:fldCharType="separate"/>
    </w:r>
    <w:r w:rsidR="006672D6" w:rsidRPr="00456490">
      <w:t>1</w:t>
    </w:r>
    <w:r w:rsidR="006672D6" w:rsidRPr="00456490">
      <w:fldChar w:fldCharType="end"/>
    </w:r>
  </w:p>
  <w:p w14:paraId="22C12AEC" w14:textId="77777777" w:rsidR="00D60E1B" w:rsidRPr="00456490" w:rsidRDefault="006672D6" w:rsidP="00456490">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rPr>
      <w:alias w:val="Subject"/>
      <w:tag w:val=""/>
      <w:id w:val="1258178573"/>
      <w:dataBinding w:prefixMappings="xmlns:ns0='http://purl.org/dc/elements/1.1/' xmlns:ns1='http://schemas.openxmlformats.org/package/2006/metadata/core-properties' " w:xpath="/ns1:coreProperties[1]/ns0:subject[1]" w:storeItemID="{6C3C8BC8-F283-45AE-878A-BAB7291924A1}"/>
      <w:text/>
    </w:sdtPr>
    <w:sdtEndPr/>
    <w:sdtContent>
      <w:p w14:paraId="5A89329B" w14:textId="1AB03A5B" w:rsidR="008349AF" w:rsidRPr="00456490" w:rsidRDefault="000E7AA2" w:rsidP="00F24F03">
        <w:pPr>
          <w:pStyle w:val="Header"/>
          <w:keepLines/>
          <w:suppressLineNumbers/>
          <w:tabs>
            <w:tab w:val="clear" w:pos="4320"/>
            <w:tab w:val="clear" w:pos="8640"/>
          </w:tabs>
          <w:suppressAutoHyphens/>
          <w:jc w:val="right"/>
          <w:rPr>
            <w:noProof/>
            <w:kern w:val="22"/>
          </w:rPr>
        </w:pPr>
        <w:r>
          <w:rPr>
            <w:noProof/>
            <w:kern w:val="22"/>
          </w:rPr>
          <w:t>CBD/COP/15/9</w:t>
        </w:r>
      </w:p>
    </w:sdtContent>
  </w:sdt>
  <w:p w14:paraId="5C675AB2" w14:textId="0DF4AA34" w:rsidR="008349AF" w:rsidRPr="00456490" w:rsidRDefault="000E7AA2" w:rsidP="00F24F03">
    <w:pPr>
      <w:pStyle w:val="Header"/>
      <w:keepLines/>
      <w:suppressLineNumbers/>
      <w:tabs>
        <w:tab w:val="clear" w:pos="4320"/>
        <w:tab w:val="clear" w:pos="8640"/>
      </w:tabs>
      <w:suppressAutoHyphens/>
      <w:jc w:val="right"/>
      <w:rPr>
        <w:noProof/>
        <w:kern w:val="22"/>
      </w:rPr>
    </w:pPr>
    <w:r>
      <w:t>Страница</w:t>
    </w:r>
    <w:r w:rsidR="006672D6">
      <w:t xml:space="preserve"> </w:t>
    </w:r>
    <w:r w:rsidR="006672D6" w:rsidRPr="00456490">
      <w:fldChar w:fldCharType="begin"/>
    </w:r>
    <w:r w:rsidR="006672D6" w:rsidRPr="00456490">
      <w:instrText xml:space="preserve"> PAGE   \* MERGEFORMAT </w:instrText>
    </w:r>
    <w:r w:rsidR="006672D6" w:rsidRPr="00456490">
      <w:fldChar w:fldCharType="separate"/>
    </w:r>
    <w:r w:rsidR="006672D6" w:rsidRPr="00456490">
      <w:t>7</w:t>
    </w:r>
    <w:r w:rsidR="006672D6" w:rsidRPr="00456490">
      <w:fldChar w:fldCharType="end"/>
    </w:r>
  </w:p>
  <w:p w14:paraId="040F3835" w14:textId="77777777" w:rsidR="008349AF" w:rsidRPr="00456490" w:rsidRDefault="006672D6" w:rsidP="00456490">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442B4"/>
    <w:multiLevelType w:val="multilevel"/>
    <w:tmpl w:val="F21822C0"/>
    <w:lvl w:ilvl="0">
      <w:start w:val="1"/>
      <w:numFmt w:val="decimal"/>
      <w:pStyle w:val="Para1"/>
      <w:lvlText w:val="%1."/>
      <w:lvlJc w:val="left"/>
      <w:pPr>
        <w:tabs>
          <w:tab w:val="num" w:pos="5322"/>
        </w:tabs>
        <w:ind w:left="4962"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61262B99"/>
    <w:multiLevelType w:val="hybridMultilevel"/>
    <w:tmpl w:val="8D8A77FC"/>
    <w:lvl w:ilvl="0" w:tplc="83DE7508">
      <w:start w:val="1"/>
      <w:numFmt w:val="upperLetter"/>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ED26F2"/>
    <w:multiLevelType w:val="hybridMultilevel"/>
    <w:tmpl w:val="ED104178"/>
    <w:lvl w:ilvl="0" w:tplc="DFE4C11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587106822">
    <w:abstractNumId w:val="0"/>
  </w:num>
  <w:num w:numId="2" w16cid:durableId="703209184">
    <w:abstractNumId w:val="1"/>
  </w:num>
  <w:num w:numId="3" w16cid:durableId="9006722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166"/>
    <w:rsid w:val="000E7AA2"/>
    <w:rsid w:val="001A62EA"/>
    <w:rsid w:val="001B751A"/>
    <w:rsid w:val="00334166"/>
    <w:rsid w:val="006672D6"/>
    <w:rsid w:val="007516FF"/>
    <w:rsid w:val="00777830"/>
    <w:rsid w:val="007C0486"/>
    <w:rsid w:val="007D1980"/>
    <w:rsid w:val="008C2097"/>
    <w:rsid w:val="008E526A"/>
    <w:rsid w:val="00915735"/>
    <w:rsid w:val="009279FE"/>
    <w:rsid w:val="00B37AA3"/>
    <w:rsid w:val="00BA2E52"/>
    <w:rsid w:val="00DE1545"/>
    <w:rsid w:val="00F24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F7528"/>
  <w15:chartTrackingRefBased/>
  <w15:docId w15:val="{F8B527CD-A5D1-4DDA-8B1C-44A6163646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166"/>
    <w:pPr>
      <w:spacing w:after="0" w:line="240" w:lineRule="auto"/>
      <w:jc w:val="both"/>
    </w:pPr>
    <w:rPr>
      <w:rFonts w:ascii="Times New Roman" w:eastAsia="Times New Roman" w:hAnsi="Times New Roman" w:cs="Times New Roman"/>
      <w:szCs w:val="24"/>
      <w:lang w:val="ru-RU"/>
    </w:rPr>
  </w:style>
  <w:style w:type="paragraph" w:styleId="Heading1">
    <w:name w:val="heading 1"/>
    <w:basedOn w:val="Normal"/>
    <w:next w:val="Heading2"/>
    <w:link w:val="Heading1Char"/>
    <w:qFormat/>
    <w:rsid w:val="00334166"/>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semiHidden/>
    <w:unhideWhenUsed/>
    <w:qFormat/>
    <w:rsid w:val="00334166"/>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34166"/>
    <w:rPr>
      <w:rFonts w:ascii="Times New Roman" w:eastAsia="Times New Roman" w:hAnsi="Times New Roman" w:cs="Times New Roman"/>
      <w:b/>
      <w:caps/>
      <w:szCs w:val="24"/>
      <w:lang w:val="ru-RU"/>
    </w:rPr>
  </w:style>
  <w:style w:type="paragraph" w:styleId="Header">
    <w:name w:val="header"/>
    <w:basedOn w:val="Normal"/>
    <w:link w:val="HeaderChar"/>
    <w:rsid w:val="00334166"/>
    <w:pPr>
      <w:tabs>
        <w:tab w:val="center" w:pos="4320"/>
        <w:tab w:val="right" w:pos="8640"/>
      </w:tabs>
    </w:pPr>
  </w:style>
  <w:style w:type="character" w:customStyle="1" w:styleId="HeaderChar">
    <w:name w:val="Header Char"/>
    <w:basedOn w:val="DefaultParagraphFont"/>
    <w:link w:val="Header"/>
    <w:rsid w:val="00334166"/>
    <w:rPr>
      <w:rFonts w:ascii="Times New Roman" w:eastAsia="Times New Roman" w:hAnsi="Times New Roman" w:cs="Times New Roman"/>
      <w:szCs w:val="24"/>
      <w:lang w:val="ru-RU"/>
    </w:rPr>
  </w:style>
  <w:style w:type="paragraph" w:styleId="Footer">
    <w:name w:val="footer"/>
    <w:basedOn w:val="Normal"/>
    <w:link w:val="FooterChar"/>
    <w:rsid w:val="00334166"/>
    <w:pPr>
      <w:tabs>
        <w:tab w:val="center" w:pos="4320"/>
        <w:tab w:val="right" w:pos="8640"/>
      </w:tabs>
      <w:ind w:firstLine="720"/>
      <w:jc w:val="right"/>
    </w:pPr>
  </w:style>
  <w:style w:type="character" w:customStyle="1" w:styleId="FooterChar">
    <w:name w:val="Footer Char"/>
    <w:basedOn w:val="DefaultParagraphFont"/>
    <w:link w:val="Footer"/>
    <w:rsid w:val="00334166"/>
    <w:rPr>
      <w:rFonts w:ascii="Times New Roman" w:eastAsia="Times New Roman" w:hAnsi="Times New Roman" w:cs="Times New Roman"/>
      <w:szCs w:val="24"/>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334166"/>
    <w:rPr>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334166"/>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334166"/>
    <w:rPr>
      <w:rFonts w:ascii="Times New Roman" w:eastAsia="Times New Roman" w:hAnsi="Times New Roman" w:cs="Times New Roman"/>
      <w:sz w:val="18"/>
      <w:szCs w:val="24"/>
      <w:lang w:val="ru-RU"/>
    </w:rPr>
  </w:style>
  <w:style w:type="paragraph" w:customStyle="1" w:styleId="Para1">
    <w:name w:val="Para1"/>
    <w:basedOn w:val="Normal"/>
    <w:link w:val="Para1Char"/>
    <w:rsid w:val="00334166"/>
    <w:pPr>
      <w:numPr>
        <w:numId w:val="1"/>
      </w:numPr>
      <w:spacing w:before="120" w:after="120"/>
    </w:pPr>
    <w:rPr>
      <w:snapToGrid w:val="0"/>
      <w:szCs w:val="18"/>
    </w:rPr>
  </w:style>
  <w:style w:type="character" w:styleId="Hyperlink">
    <w:name w:val="Hyperlink"/>
    <w:rsid w:val="00334166"/>
    <w:rPr>
      <w:color w:val="0000FF"/>
      <w:sz w:val="18"/>
      <w:u w:val="single"/>
    </w:rPr>
  </w:style>
  <w:style w:type="character" w:customStyle="1" w:styleId="Para1Char">
    <w:name w:val="Para1 Char"/>
    <w:link w:val="Para1"/>
    <w:locked/>
    <w:rsid w:val="00334166"/>
    <w:rPr>
      <w:rFonts w:ascii="Times New Roman" w:eastAsia="Times New Roman" w:hAnsi="Times New Roman" w:cs="Times New Roman"/>
      <w:snapToGrid w:val="0"/>
      <w:szCs w:val="18"/>
      <w:lang w:val="ru-RU"/>
    </w:rPr>
  </w:style>
  <w:style w:type="paragraph" w:styleId="ListParagraph">
    <w:name w:val="List Paragraph"/>
    <w:basedOn w:val="Normal"/>
    <w:uiPriority w:val="34"/>
    <w:qFormat/>
    <w:rsid w:val="00334166"/>
    <w:pPr>
      <w:ind w:left="720"/>
      <w:contextualSpacing/>
    </w:p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334166"/>
    <w:pPr>
      <w:spacing w:after="160" w:line="240" w:lineRule="exact"/>
      <w:jc w:val="left"/>
    </w:pPr>
    <w:rPr>
      <w:rFonts w:asciiTheme="minorHAnsi" w:eastAsiaTheme="minorHAnsi" w:hAnsiTheme="minorHAnsi" w:cstheme="minorBidi"/>
      <w:szCs w:val="22"/>
      <w:vertAlign w:val="superscript"/>
      <w:lang w:val="en-GB"/>
    </w:rPr>
  </w:style>
  <w:style w:type="character" w:customStyle="1" w:styleId="Heading2Char">
    <w:name w:val="Heading 2 Char"/>
    <w:basedOn w:val="DefaultParagraphFont"/>
    <w:link w:val="Heading2"/>
    <w:uiPriority w:val="9"/>
    <w:semiHidden/>
    <w:rsid w:val="00334166"/>
    <w:rPr>
      <w:rFonts w:asciiTheme="majorHAnsi" w:eastAsiaTheme="majorEastAsia" w:hAnsiTheme="majorHAnsi" w:cstheme="majorBidi"/>
      <w:color w:val="2F5496" w:themeColor="accent1" w:themeShade="BF"/>
      <w:sz w:val="26"/>
      <w:szCs w:val="26"/>
      <w:lang w:val="ru-RU"/>
    </w:rPr>
  </w:style>
  <w:style w:type="character" w:styleId="PlaceholderText">
    <w:name w:val="Placeholder Text"/>
    <w:basedOn w:val="DefaultParagraphFont"/>
    <w:uiPriority w:val="99"/>
    <w:semiHidden/>
    <w:rsid w:val="001A62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cbd.int/doc/decisions/cop-14/cop-14-dec-18-ru.pdf" TargetMode="External"/><Relationship Id="rId18" Type="http://schemas.openxmlformats.org/officeDocument/2006/relationships/hyperlink" Target="https://www.cbd.int/doc/decisions/cop-14/cop-14-dec-18-ru.pdf" TargetMode="Externa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image" Target="media/image1.emf"/><Relationship Id="rId12" Type="http://schemas.openxmlformats.org/officeDocument/2006/relationships/hyperlink" Target="https://www.cbd.int/doc/decisions/cop-14/cop-14-dec-01-ru.pdf" TargetMode="External"/><Relationship Id="rId17" Type="http://schemas.openxmlformats.org/officeDocument/2006/relationships/hyperlink" Target="https://www.cbd.int/doc/decisions/cop-12/cop-12-dec-07-ru.pdf" TargetMode="External"/><Relationship Id="rId2" Type="http://schemas.openxmlformats.org/officeDocument/2006/relationships/styles" Target="styles.xml"/><Relationship Id="rId16" Type="http://schemas.openxmlformats.org/officeDocument/2006/relationships/hyperlink" Target="https://absch.cbd.int/"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bd.int/doc/decisions/cop-10/cop-10-dec-02-ru.pdf"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bsch.cbd.int/" TargetMode="External"/><Relationship Id="rId23" Type="http://schemas.openxmlformats.org/officeDocument/2006/relationships/glossaryDocument" Target="glossary/document.xml"/><Relationship Id="rId10" Type="http://schemas.openxmlformats.org/officeDocument/2006/relationships/hyperlink" Target="https://www.cbd.int/doc/decisions/cop-10/cop-10-dec-02-ru.pdf"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09/cop-09-dec-08-ru.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oi.org/10.4060/cc0461en" TargetMode="External"/><Relationship Id="rId3" Type="http://schemas.openxmlformats.org/officeDocument/2006/relationships/hyperlink" Target="http://archive.ias.unu.edu/resource_centre/UNU-IAS_Biodiversity_Planning_NBSAPs_Assessment_final_web_Oct_2010.pdf" TargetMode="External"/><Relationship Id="rId7" Type="http://schemas.openxmlformats.org/officeDocument/2006/relationships/hyperlink" Target="https://www.cbd.int/doc/c/ddae/72ac/d8ed0d09c03de1ee3104694e/cop-14-05-add2-ru.pdf" TargetMode="External"/><Relationship Id="rId2" Type="http://schemas.openxmlformats.org/officeDocument/2006/relationships/hyperlink" Target="http://archive.ias.unu.edu/resource_centre/UNU-IAS_Biodiversity_Planning_NBSAPs_Assessment_final_web_Oct_2010.pdf" TargetMode="External"/><Relationship Id="rId1" Type="http://schemas.openxmlformats.org/officeDocument/2006/relationships/hyperlink" Target="https://www.cbd.int/doc/decisions/cop-12/cop-12-dec-31-ru.pdf" TargetMode="External"/><Relationship Id="rId6" Type="http://schemas.openxmlformats.org/officeDocument/2006/relationships/hyperlink" Target="https://www.cbd.int/doc/meetings/cop/cop-13/official/cop-13-08-add2-rev1-ru.pdf" TargetMode="External"/><Relationship Id="rId5" Type="http://schemas.openxmlformats.org/officeDocument/2006/relationships/hyperlink" Target="https://www.cbd.int/doc/c/47a7/a501/11badf197f28a3306d6479d3/sbi-02-02-add2-ru.pdf" TargetMode="External"/><Relationship Id="rId4" Type="http://schemas.openxmlformats.org/officeDocument/2006/relationships/hyperlink" Target="https://www.cbd.int/doc/meetings/sbi/sbi-01/official/sbi-01-02-add2-ru.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E9BDA19666041B9877ACF14F65A2B08"/>
        <w:category>
          <w:name w:val="General"/>
          <w:gallery w:val="placeholder"/>
        </w:category>
        <w:types>
          <w:type w:val="bbPlcHdr"/>
        </w:types>
        <w:behaviors>
          <w:behavior w:val="content"/>
        </w:behaviors>
        <w:guid w:val="{95B082D6-4A1C-4DD0-B5B9-2560FF643C27}"/>
      </w:docPartPr>
      <w:docPartBody>
        <w:p w:rsidR="00000000" w:rsidRDefault="00BF34DB" w:rsidP="00BF34DB">
          <w:pPr>
            <w:pStyle w:val="3E9BDA19666041B9877ACF14F65A2B08"/>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Times New Roman Bold">
    <w:altName w:val="Times New Roman"/>
    <w:panose1 w:val="02020803070505020304"/>
    <w:charset w:val="00"/>
    <w:family w:val="roman"/>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4DB"/>
    <w:rsid w:val="00BF34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F34DB"/>
  </w:style>
  <w:style w:type="paragraph" w:customStyle="1" w:styleId="3E9BDA19666041B9877ACF14F65A2B08">
    <w:name w:val="3E9BDA19666041B9877ACF14F65A2B08"/>
    <w:rsid w:val="00BF34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10</Pages>
  <Words>5145</Words>
  <Characters>29333</Characters>
  <Application>Microsoft Office Word</Application>
  <DocSecurity>0</DocSecurity>
  <Lines>244</Lines>
  <Paragraphs>68</Paragraphs>
  <ScaleCrop>false</ScaleCrop>
  <Company/>
  <LinksUpToDate>false</LinksUpToDate>
  <CharactersWithSpaces>34410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CBD/COP/15/9</dc:subject>
  <dc:creator>Natalia Morozova</dc:creator>
  <cp:keywords/>
  <dc:description/>
  <cp:lastModifiedBy>Natalia Morozova</cp:lastModifiedBy>
  <cp:revision>16</cp:revision>
  <dcterms:created xsi:type="dcterms:W3CDTF">2022-11-04T12:40:00Z</dcterms:created>
  <dcterms:modified xsi:type="dcterms:W3CDTF">2022-11-04T12:50:00Z</dcterms:modified>
</cp:coreProperties>
</file>