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065280" w14:paraId="207F35AA" w14:textId="77777777" w:rsidTr="00D9044B">
        <w:trPr>
          <w:trHeight w:val="851"/>
        </w:trPr>
        <w:tc>
          <w:tcPr>
            <w:tcW w:w="465" w:type="pct"/>
            <w:tcBorders>
              <w:bottom w:val="single" w:sz="8" w:space="0" w:color="auto"/>
            </w:tcBorders>
            <w:vAlign w:val="bottom"/>
          </w:tcPr>
          <w:p w14:paraId="3A8C768C" w14:textId="77777777" w:rsidR="00A96B21" w:rsidRPr="00065280" w:rsidRDefault="00A96B21" w:rsidP="00D9044B">
            <w:pPr>
              <w:spacing w:after="120"/>
              <w:jc w:val="left"/>
              <w:rPr>
                <w:lang w:val="es-419"/>
              </w:rPr>
            </w:pPr>
            <w:bookmarkStart w:id="0" w:name="_Hlk137651738"/>
            <w:r w:rsidRPr="00065280">
              <w:rPr>
                <w:noProof/>
                <w:lang w:val="en-US"/>
              </w:rPr>
              <w:drawing>
                <wp:inline distT="0" distB="0" distL="0" distR="0" wp14:anchorId="4B8BC54B" wp14:editId="4C1CB8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39ACA583" w14:textId="5C724CD0" w:rsidR="00A96B21" w:rsidRPr="00065280" w:rsidRDefault="00CF1735" w:rsidP="00D9044B">
            <w:pPr>
              <w:spacing w:after="120"/>
              <w:jc w:val="left"/>
              <w:rPr>
                <w:lang w:val="es-419"/>
              </w:rPr>
            </w:pPr>
            <w:r w:rsidRPr="00065280">
              <w:rPr>
                <w:noProof/>
                <w:lang w:val="en-US"/>
              </w:rPr>
              <w:drawing>
                <wp:inline distT="0" distB="0" distL="0" distR="0" wp14:anchorId="27F9A12E" wp14:editId="2EA929F1">
                  <wp:extent cx="611015" cy="349151"/>
                  <wp:effectExtent l="0" t="0" r="0" b="0"/>
                  <wp:docPr id="1802853899"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853899" name="Imagen 1" descr="Forma&#10;&#10;Descripción generada automáticamente con confianza media"/>
                          <pic:cNvPicPr/>
                        </pic:nvPicPr>
                        <pic:blipFill>
                          <a:blip r:embed="rId12"/>
                          <a:stretch>
                            <a:fillRect/>
                          </a:stretch>
                        </pic:blipFill>
                        <pic:spPr>
                          <a:xfrm>
                            <a:off x="0" y="0"/>
                            <a:ext cx="611015" cy="349151"/>
                          </a:xfrm>
                          <a:prstGeom prst="rect">
                            <a:avLst/>
                          </a:prstGeom>
                        </pic:spPr>
                      </pic:pic>
                    </a:graphicData>
                  </a:graphic>
                </wp:inline>
              </w:drawing>
            </w:r>
          </w:p>
        </w:tc>
        <w:tc>
          <w:tcPr>
            <w:tcW w:w="2703" w:type="pct"/>
            <w:tcBorders>
              <w:bottom w:val="single" w:sz="8" w:space="0" w:color="auto"/>
            </w:tcBorders>
            <w:vAlign w:val="bottom"/>
          </w:tcPr>
          <w:p w14:paraId="2F566576" w14:textId="20C4D736" w:rsidR="00A96B21" w:rsidRPr="00065280" w:rsidRDefault="00A96B21" w:rsidP="00184909">
            <w:pPr>
              <w:spacing w:after="120"/>
              <w:ind w:left="2021"/>
              <w:jc w:val="right"/>
              <w:rPr>
                <w:szCs w:val="22"/>
                <w:lang w:val="es-419"/>
              </w:rPr>
            </w:pPr>
            <w:r w:rsidRPr="00065280">
              <w:rPr>
                <w:sz w:val="40"/>
                <w:szCs w:val="40"/>
                <w:lang w:val="es-419"/>
              </w:rPr>
              <w:t>CBD</w:t>
            </w:r>
            <w:r w:rsidRPr="00065280">
              <w:rPr>
                <w:szCs w:val="22"/>
                <w:lang w:val="es-419"/>
              </w:rPr>
              <w:t>/</w:t>
            </w:r>
            <w:r w:rsidR="00392FF8" w:rsidRPr="00065280">
              <w:rPr>
                <w:szCs w:val="22"/>
                <w:lang w:val="es-419"/>
              </w:rPr>
              <w:t>CP</w:t>
            </w:r>
            <w:r w:rsidR="00435A96" w:rsidRPr="00065280">
              <w:rPr>
                <w:szCs w:val="22"/>
                <w:lang w:val="es-419"/>
              </w:rPr>
              <w:t>/</w:t>
            </w:r>
            <w:r w:rsidR="00392FF8" w:rsidRPr="00065280">
              <w:rPr>
                <w:szCs w:val="22"/>
                <w:lang w:val="es-419"/>
              </w:rPr>
              <w:t>MOP/11</w:t>
            </w:r>
            <w:r w:rsidR="00435A96" w:rsidRPr="00065280">
              <w:rPr>
                <w:szCs w:val="22"/>
                <w:lang w:val="es-419"/>
              </w:rPr>
              <w:t>/</w:t>
            </w:r>
            <w:r w:rsidR="005A2AA0" w:rsidRPr="00065280">
              <w:rPr>
                <w:szCs w:val="22"/>
                <w:lang w:val="es-419"/>
              </w:rPr>
              <w:t>12</w:t>
            </w:r>
          </w:p>
        </w:tc>
      </w:tr>
      <w:tr w:rsidR="00A96B21" w:rsidRPr="00065280" w14:paraId="49604A68" w14:textId="77777777" w:rsidTr="00D9044B">
        <w:tc>
          <w:tcPr>
            <w:tcW w:w="2297" w:type="pct"/>
            <w:gridSpan w:val="2"/>
            <w:tcBorders>
              <w:top w:val="single" w:sz="8" w:space="0" w:color="auto"/>
              <w:bottom w:val="single" w:sz="12" w:space="0" w:color="auto"/>
            </w:tcBorders>
          </w:tcPr>
          <w:p w14:paraId="4B3A6D69" w14:textId="1140DBA0" w:rsidR="00A96B21" w:rsidRPr="00065280" w:rsidRDefault="00CF1735" w:rsidP="00D9044B">
            <w:pPr>
              <w:pStyle w:val="Cornernotation"/>
              <w:suppressLineNumbers/>
              <w:suppressAutoHyphens/>
              <w:spacing w:before="120" w:after="120"/>
              <w:ind w:right="0"/>
              <w:rPr>
                <w:lang w:val="es-419"/>
              </w:rPr>
            </w:pPr>
            <w:r w:rsidRPr="00065280">
              <w:rPr>
                <w:noProof/>
                <w:kern w:val="22"/>
                <w:lang w:val="en-US"/>
              </w:rPr>
              <w:drawing>
                <wp:inline distT="0" distB="0" distL="0" distR="0" wp14:anchorId="00364658" wp14:editId="3D3560CE">
                  <wp:extent cx="2901948" cy="1066892"/>
                  <wp:effectExtent l="0" t="0" r="0" b="0"/>
                  <wp:docPr id="1836661563"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661563" name="Imagen 2" descr="Interfaz de usuario gráfica, Texto, Aplicación&#10;&#10;Descripción generada automáticamente"/>
                          <pic:cNvPicPr/>
                        </pic:nvPicPr>
                        <pic:blipFill>
                          <a:blip r:embed="rId13"/>
                          <a:stretch>
                            <a:fillRect/>
                          </a:stretch>
                        </pic:blipFill>
                        <pic:spPr>
                          <a:xfrm>
                            <a:off x="0" y="0"/>
                            <a:ext cx="2901948" cy="1066892"/>
                          </a:xfrm>
                          <a:prstGeom prst="rect">
                            <a:avLst/>
                          </a:prstGeom>
                        </pic:spPr>
                      </pic:pic>
                    </a:graphicData>
                  </a:graphic>
                </wp:inline>
              </w:drawing>
            </w:r>
          </w:p>
        </w:tc>
        <w:tc>
          <w:tcPr>
            <w:tcW w:w="2703" w:type="pct"/>
            <w:tcBorders>
              <w:top w:val="single" w:sz="8" w:space="0" w:color="auto"/>
              <w:bottom w:val="single" w:sz="12" w:space="0" w:color="auto"/>
            </w:tcBorders>
          </w:tcPr>
          <w:p w14:paraId="1B8426E5" w14:textId="3A80E738" w:rsidR="00A96B21" w:rsidRPr="00065280" w:rsidRDefault="00A96B21" w:rsidP="007F7E8B">
            <w:pPr>
              <w:ind w:left="2584"/>
              <w:jc w:val="left"/>
              <w:rPr>
                <w:sz w:val="22"/>
                <w:szCs w:val="22"/>
                <w:lang w:val="es-419"/>
              </w:rPr>
            </w:pPr>
            <w:r w:rsidRPr="00065280">
              <w:rPr>
                <w:sz w:val="22"/>
                <w:szCs w:val="22"/>
                <w:lang w:val="es-419"/>
              </w:rPr>
              <w:t xml:space="preserve">Distr.: </w:t>
            </w:r>
            <w:r w:rsidR="005A2AA0" w:rsidRPr="00065280">
              <w:rPr>
                <w:sz w:val="22"/>
                <w:szCs w:val="22"/>
                <w:lang w:val="es-419"/>
              </w:rPr>
              <w:t>General</w:t>
            </w:r>
          </w:p>
          <w:p w14:paraId="37D4D930" w14:textId="3B71C511" w:rsidR="00A96B21" w:rsidRPr="00065280" w:rsidRDefault="00195E09" w:rsidP="00A507D4">
            <w:pPr>
              <w:ind w:left="2584"/>
              <w:jc w:val="left"/>
              <w:rPr>
                <w:sz w:val="22"/>
                <w:szCs w:val="22"/>
                <w:lang w:val="es-419"/>
              </w:rPr>
            </w:pPr>
            <w:r w:rsidRPr="00065280">
              <w:rPr>
                <w:sz w:val="22"/>
                <w:szCs w:val="22"/>
                <w:lang w:val="es-419"/>
              </w:rPr>
              <w:t>2</w:t>
            </w:r>
            <w:r w:rsidR="005A2AA0" w:rsidRPr="00065280">
              <w:rPr>
                <w:sz w:val="22"/>
                <w:szCs w:val="22"/>
                <w:lang w:val="es-419"/>
              </w:rPr>
              <w:t>7</w:t>
            </w:r>
            <w:r w:rsidRPr="00065280">
              <w:rPr>
                <w:sz w:val="22"/>
                <w:szCs w:val="22"/>
                <w:lang w:val="es-419"/>
              </w:rPr>
              <w:t xml:space="preserve"> </w:t>
            </w:r>
            <w:r w:rsidR="00CF1735" w:rsidRPr="00065280">
              <w:rPr>
                <w:sz w:val="22"/>
                <w:szCs w:val="22"/>
                <w:lang w:val="es-419"/>
              </w:rPr>
              <w:t>de f</w:t>
            </w:r>
            <w:r w:rsidR="008A325F" w:rsidRPr="00065280">
              <w:rPr>
                <w:sz w:val="22"/>
                <w:szCs w:val="22"/>
                <w:lang w:val="es-419"/>
              </w:rPr>
              <w:t>ebr</w:t>
            </w:r>
            <w:r w:rsidR="00CF1735" w:rsidRPr="00065280">
              <w:rPr>
                <w:sz w:val="22"/>
                <w:szCs w:val="22"/>
                <w:lang w:val="es-419"/>
              </w:rPr>
              <w:t>e</w:t>
            </w:r>
            <w:r w:rsidR="008A325F" w:rsidRPr="00065280">
              <w:rPr>
                <w:sz w:val="22"/>
                <w:szCs w:val="22"/>
                <w:lang w:val="es-419"/>
              </w:rPr>
              <w:t>r</w:t>
            </w:r>
            <w:r w:rsidR="00CF1735" w:rsidRPr="00065280">
              <w:rPr>
                <w:sz w:val="22"/>
                <w:szCs w:val="22"/>
                <w:lang w:val="es-419"/>
              </w:rPr>
              <w:t>o de</w:t>
            </w:r>
            <w:r w:rsidR="002F61C8" w:rsidRPr="00065280">
              <w:rPr>
                <w:sz w:val="22"/>
                <w:szCs w:val="22"/>
                <w:lang w:val="es-419"/>
              </w:rPr>
              <w:t xml:space="preserve"> 202</w:t>
            </w:r>
            <w:r w:rsidR="008A325F" w:rsidRPr="00065280">
              <w:rPr>
                <w:sz w:val="22"/>
                <w:szCs w:val="22"/>
                <w:lang w:val="es-419"/>
              </w:rPr>
              <w:t>5</w:t>
            </w:r>
          </w:p>
          <w:p w14:paraId="7B9CD08A" w14:textId="326EAE7C" w:rsidR="00A96B21" w:rsidRPr="00065280" w:rsidRDefault="00CF1735" w:rsidP="003C6F10">
            <w:pPr>
              <w:ind w:left="2584"/>
              <w:rPr>
                <w:sz w:val="22"/>
                <w:szCs w:val="22"/>
                <w:lang w:val="es-419"/>
              </w:rPr>
            </w:pPr>
            <w:r w:rsidRPr="00065280">
              <w:rPr>
                <w:sz w:val="22"/>
                <w:szCs w:val="22"/>
                <w:lang w:val="es-419"/>
              </w:rPr>
              <w:t>Español</w:t>
            </w:r>
          </w:p>
          <w:p w14:paraId="49F9309F" w14:textId="45637CCE" w:rsidR="00A96B21" w:rsidRPr="00065280" w:rsidRDefault="00A96B21" w:rsidP="003C6F10">
            <w:pPr>
              <w:ind w:left="2584"/>
              <w:rPr>
                <w:sz w:val="22"/>
                <w:szCs w:val="22"/>
                <w:lang w:val="es-419"/>
              </w:rPr>
            </w:pPr>
            <w:r w:rsidRPr="00065280">
              <w:rPr>
                <w:sz w:val="22"/>
                <w:szCs w:val="22"/>
                <w:lang w:val="es-419"/>
              </w:rPr>
              <w:t xml:space="preserve">Original: </w:t>
            </w:r>
            <w:r w:rsidR="00CF1735" w:rsidRPr="00065280">
              <w:rPr>
                <w:sz w:val="22"/>
                <w:szCs w:val="22"/>
                <w:lang w:val="es-419"/>
              </w:rPr>
              <w:t>i</w:t>
            </w:r>
            <w:r w:rsidRPr="00065280">
              <w:rPr>
                <w:sz w:val="22"/>
                <w:szCs w:val="22"/>
                <w:lang w:val="es-419"/>
              </w:rPr>
              <w:t>ngl</w:t>
            </w:r>
            <w:r w:rsidR="00CF1735" w:rsidRPr="00065280">
              <w:rPr>
                <w:sz w:val="22"/>
                <w:szCs w:val="22"/>
                <w:lang w:val="es-419"/>
              </w:rPr>
              <w:t>é</w:t>
            </w:r>
            <w:r w:rsidRPr="00065280">
              <w:rPr>
                <w:sz w:val="22"/>
                <w:szCs w:val="22"/>
                <w:lang w:val="es-419"/>
              </w:rPr>
              <w:t>s</w:t>
            </w:r>
          </w:p>
          <w:p w14:paraId="77CB3294" w14:textId="77777777" w:rsidR="00A96B21" w:rsidRPr="00065280" w:rsidRDefault="00A96B21" w:rsidP="00D9044B">
            <w:pPr>
              <w:rPr>
                <w:lang w:val="es-419"/>
              </w:rPr>
            </w:pPr>
          </w:p>
        </w:tc>
      </w:tr>
    </w:tbl>
    <w:p w14:paraId="15B09820" w14:textId="290FCFC1" w:rsidR="00A96B21" w:rsidRPr="00065280" w:rsidRDefault="00CF1735" w:rsidP="00A96B21">
      <w:pPr>
        <w:pStyle w:val="Cornernotation"/>
        <w:rPr>
          <w:lang w:val="es-419"/>
        </w:rPr>
      </w:pPr>
      <w:r w:rsidRPr="00065280">
        <w:rPr>
          <w:lang w:val="es-419"/>
        </w:rPr>
        <w:t>Conferencia de las Partes en el Convenio sobre</w:t>
      </w:r>
      <w:r w:rsidR="00711AEE" w:rsidRPr="00065280">
        <w:rPr>
          <w:lang w:val="es-419"/>
        </w:rPr>
        <w:t xml:space="preserve"> la</w:t>
      </w:r>
      <w:r w:rsidRPr="00065280">
        <w:rPr>
          <w:lang w:val="es-419"/>
        </w:rPr>
        <w:br/>
        <w:t>Diversidad Biológica que actúa como reunión</w:t>
      </w:r>
      <w:r w:rsidR="00711AEE" w:rsidRPr="00065280">
        <w:rPr>
          <w:lang w:val="es-419"/>
        </w:rPr>
        <w:t xml:space="preserve"> de las</w:t>
      </w:r>
      <w:r w:rsidRPr="00065280">
        <w:rPr>
          <w:lang w:val="es-419"/>
        </w:rPr>
        <w:br/>
        <w:t>Partes en el Protocolo de Cartagena sobre</w:t>
      </w:r>
      <w:r w:rsidR="00711AEE" w:rsidRPr="00065280">
        <w:rPr>
          <w:lang w:val="es-419"/>
        </w:rPr>
        <w:t xml:space="preserve"> Seguridad</w:t>
      </w:r>
      <w:r w:rsidRPr="00065280">
        <w:rPr>
          <w:lang w:val="es-419"/>
        </w:rPr>
        <w:br/>
        <w:t>de la Biotecnología</w:t>
      </w:r>
    </w:p>
    <w:p w14:paraId="5C76A86E" w14:textId="77777777" w:rsidR="00CF1735" w:rsidRPr="00065280" w:rsidRDefault="00CF1735" w:rsidP="00CF1735">
      <w:pPr>
        <w:pStyle w:val="Venuedate"/>
        <w:rPr>
          <w:b/>
          <w:bCs w:val="0"/>
          <w:lang w:val="es-419"/>
        </w:rPr>
      </w:pPr>
      <w:r w:rsidRPr="00065280">
        <w:rPr>
          <w:b/>
          <w:lang w:val="es-419"/>
        </w:rPr>
        <w:t>11ª reunión</w:t>
      </w:r>
    </w:p>
    <w:p w14:paraId="32C8D287" w14:textId="4F285ABA" w:rsidR="00A96B21" w:rsidRPr="00065280" w:rsidRDefault="00CF1735" w:rsidP="00CF1735">
      <w:pPr>
        <w:pStyle w:val="Venuedate"/>
        <w:ind w:right="3125"/>
        <w:rPr>
          <w:lang w:val="es-419"/>
        </w:rPr>
      </w:pPr>
      <w:r w:rsidRPr="00065280">
        <w:rPr>
          <w:lang w:val="es-419"/>
        </w:rPr>
        <w:t>Cali (Colombia), 21 de octubre a 1 de noviembre de 2024</w:t>
      </w:r>
      <w:r w:rsidRPr="00065280">
        <w:rPr>
          <w:lang w:val="es-419"/>
        </w:rPr>
        <w:br/>
        <w:t>En línea, 3</w:t>
      </w:r>
      <w:r w:rsidRPr="00065280">
        <w:rPr>
          <w:color w:val="000000"/>
          <w:lang w:val="es-419"/>
        </w:rPr>
        <w:t xml:space="preserve"> a 6 de diciembre de 2024</w:t>
      </w:r>
      <w:r w:rsidRPr="00065280">
        <w:rPr>
          <w:color w:val="000000"/>
          <w:lang w:val="es-419"/>
        </w:rPr>
        <w:br/>
      </w:r>
      <w:r w:rsidRPr="00065280">
        <w:rPr>
          <w:lang w:val="es-419"/>
        </w:rPr>
        <w:t xml:space="preserve">Roma, </w:t>
      </w:r>
      <w:r w:rsidRPr="00065280">
        <w:rPr>
          <w:color w:val="000000"/>
          <w:lang w:val="es-419"/>
        </w:rPr>
        <w:t>25 a 27 de febrero de 2025</w:t>
      </w:r>
    </w:p>
    <w:bookmarkEnd w:id="0"/>
    <w:p w14:paraId="7CADC951" w14:textId="164C339D" w:rsidR="00A96B21" w:rsidRPr="00065280" w:rsidRDefault="009B5A0D" w:rsidP="00131910">
      <w:pPr>
        <w:pStyle w:val="CBDTitle"/>
        <w:rPr>
          <w:lang w:val="es-419"/>
        </w:rPr>
      </w:pPr>
      <w:sdt>
        <w:sdtPr>
          <w:rPr>
            <w:lang w:val="es-419"/>
          </w:rPr>
          <w:alias w:val="Title"/>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EndPr/>
        <w:sdtContent>
          <w:r w:rsidR="00CF1735" w:rsidRPr="00065280">
            <w:rPr>
              <w:lang w:val="es-419"/>
            </w:rPr>
            <w:t>Informe</w:t>
          </w:r>
          <w:r w:rsidR="00534EFA" w:rsidRPr="00065280">
            <w:rPr>
              <w:lang w:val="es-419"/>
            </w:rPr>
            <w:t xml:space="preserve"> </w:t>
          </w:r>
          <w:r w:rsidR="00CF1735" w:rsidRPr="00065280">
            <w:rPr>
              <w:lang w:val="es-419"/>
            </w:rPr>
            <w:t>d</w:t>
          </w:r>
          <w:r w:rsidR="00534EFA" w:rsidRPr="00065280">
            <w:rPr>
              <w:lang w:val="es-419"/>
            </w:rPr>
            <w:t xml:space="preserve">e </w:t>
          </w:r>
          <w:r w:rsidR="00CF1735" w:rsidRPr="00065280">
            <w:rPr>
              <w:lang w:val="es-419"/>
            </w:rPr>
            <w:t xml:space="preserve">la 11ª reunión de la </w:t>
          </w:r>
          <w:r w:rsidR="00727F9D" w:rsidRPr="00065280">
            <w:rPr>
              <w:lang w:val="es-419"/>
            </w:rPr>
            <w:t>Conferenc</w:t>
          </w:r>
          <w:r w:rsidR="00CF1735" w:rsidRPr="00065280">
            <w:rPr>
              <w:lang w:val="es-419"/>
            </w:rPr>
            <w:t>ia d</w:t>
          </w:r>
          <w:r w:rsidR="00727F9D" w:rsidRPr="00065280">
            <w:rPr>
              <w:lang w:val="es-419"/>
            </w:rPr>
            <w:t xml:space="preserve">e </w:t>
          </w:r>
          <w:r w:rsidR="00CF1735" w:rsidRPr="00065280">
            <w:rPr>
              <w:lang w:val="es-419"/>
            </w:rPr>
            <w:t>las Part</w:t>
          </w:r>
          <w:r w:rsidR="00727F9D" w:rsidRPr="00065280">
            <w:rPr>
              <w:lang w:val="es-419"/>
            </w:rPr>
            <w:t xml:space="preserve">es </w:t>
          </w:r>
          <w:r w:rsidR="00CF1735" w:rsidRPr="00065280">
            <w:rPr>
              <w:lang w:val="es-419"/>
            </w:rPr>
            <w:t>que actúa como reunión d</w:t>
          </w:r>
          <w:r w:rsidR="00727F9D" w:rsidRPr="00065280">
            <w:rPr>
              <w:lang w:val="es-419"/>
            </w:rPr>
            <w:t xml:space="preserve">e </w:t>
          </w:r>
          <w:r w:rsidR="00CF1735" w:rsidRPr="00065280">
            <w:rPr>
              <w:lang w:val="es-419"/>
            </w:rPr>
            <w:t xml:space="preserve">las </w:t>
          </w:r>
          <w:r w:rsidR="00727F9D" w:rsidRPr="00065280">
            <w:rPr>
              <w:lang w:val="es-419"/>
            </w:rPr>
            <w:t>Partes e</w:t>
          </w:r>
          <w:r w:rsidR="00CF1735" w:rsidRPr="00065280">
            <w:rPr>
              <w:lang w:val="es-419"/>
            </w:rPr>
            <w:t>n el Protocolo de</w:t>
          </w:r>
          <w:r w:rsidR="00727F9D" w:rsidRPr="00065280">
            <w:rPr>
              <w:lang w:val="es-419"/>
            </w:rPr>
            <w:t xml:space="preserve"> Cartagena </w:t>
          </w:r>
          <w:r w:rsidR="00CF1735" w:rsidRPr="00065280">
            <w:rPr>
              <w:lang w:val="es-419"/>
            </w:rPr>
            <w:t>sob</w:t>
          </w:r>
          <w:r w:rsidR="00727F9D" w:rsidRPr="00065280">
            <w:rPr>
              <w:lang w:val="es-419"/>
            </w:rPr>
            <w:t>r</w:t>
          </w:r>
          <w:r w:rsidR="00CF1735" w:rsidRPr="00065280">
            <w:rPr>
              <w:lang w:val="es-419"/>
            </w:rPr>
            <w:t>e Seguridad de la</w:t>
          </w:r>
          <w:r w:rsidR="008A0D72" w:rsidRPr="00065280">
            <w:rPr>
              <w:lang w:val="es-419"/>
            </w:rPr>
            <w:t xml:space="preserve"> Biot</w:t>
          </w:r>
          <w:r w:rsidR="00CF1735" w:rsidRPr="00065280">
            <w:rPr>
              <w:lang w:val="es-419"/>
            </w:rPr>
            <w:t>ecnología</w:t>
          </w:r>
        </w:sdtContent>
      </w:sdt>
    </w:p>
    <w:tbl>
      <w:tblPr>
        <w:tblStyle w:val="TableGrid"/>
        <w:tblW w:w="0" w:type="auto"/>
        <w:tblInd w:w="562" w:type="dxa"/>
        <w:tblLook w:val="04A0" w:firstRow="1" w:lastRow="0" w:firstColumn="1" w:lastColumn="0" w:noHBand="0" w:noVBand="1"/>
      </w:tblPr>
      <w:tblGrid>
        <w:gridCol w:w="8788"/>
      </w:tblGrid>
      <w:tr w:rsidR="00534EFA" w:rsidRPr="001D458F" w14:paraId="388501A4" w14:textId="77777777" w:rsidTr="003B3636">
        <w:tc>
          <w:tcPr>
            <w:tcW w:w="8788" w:type="dxa"/>
          </w:tcPr>
          <w:p w14:paraId="4EFE2154" w14:textId="77777777" w:rsidR="00711AEE" w:rsidRPr="00065280" w:rsidRDefault="00711AEE" w:rsidP="00711AEE">
            <w:pPr>
              <w:tabs>
                <w:tab w:val="clear" w:pos="567"/>
                <w:tab w:val="clear" w:pos="1134"/>
                <w:tab w:val="clear" w:pos="1701"/>
                <w:tab w:val="clear" w:pos="2268"/>
              </w:tabs>
              <w:spacing w:after="160" w:line="259" w:lineRule="auto"/>
              <w:jc w:val="left"/>
              <w:rPr>
                <w:i/>
                <w:iCs/>
                <w:lang w:val="es-419"/>
              </w:rPr>
            </w:pPr>
            <w:r w:rsidRPr="00065280">
              <w:rPr>
                <w:i/>
                <w:lang w:val="es-419"/>
              </w:rPr>
              <w:t>Resumen</w:t>
            </w:r>
          </w:p>
          <w:p w14:paraId="3086A56D" w14:textId="5A558487" w:rsidR="00534EFA" w:rsidRPr="00065280" w:rsidRDefault="00711AEE" w:rsidP="00B60F0C">
            <w:pPr>
              <w:tabs>
                <w:tab w:val="clear" w:pos="567"/>
                <w:tab w:val="clear" w:pos="1134"/>
                <w:tab w:val="clear" w:pos="1701"/>
                <w:tab w:val="clear" w:pos="2268"/>
              </w:tabs>
              <w:spacing w:after="160" w:line="259" w:lineRule="auto"/>
              <w:ind w:firstLine="603"/>
              <w:rPr>
                <w:lang w:val="es-419"/>
              </w:rPr>
            </w:pPr>
            <w:r w:rsidRPr="00065280">
              <w:rPr>
                <w:lang w:val="es-419"/>
              </w:rPr>
              <w:t xml:space="preserve">La Conferencia de las Partes que actúa como reunión de las Partes en el Protocolo de </w:t>
            </w:r>
            <w:r w:rsidR="00B60F0C">
              <w:rPr>
                <w:lang w:val="es-419"/>
              </w:rPr>
              <w:t>Cartagena</w:t>
            </w:r>
            <w:r w:rsidRPr="00065280">
              <w:rPr>
                <w:lang w:val="es-419"/>
              </w:rPr>
              <w:t xml:space="preserve"> sobre Seguridad de la Biotecnología celebró su 11ª reunión en Cali (Colombia) del 21 de octubre al 1 de noviembre de 2024, en línea del 3 al </w:t>
            </w:r>
            <w:r w:rsidRPr="00065280">
              <w:rPr>
                <w:color w:val="000000"/>
                <w:lang w:val="es-419"/>
              </w:rPr>
              <w:t>6 de diciembre de 2024</w:t>
            </w:r>
            <w:r w:rsidRPr="00065280">
              <w:rPr>
                <w:lang w:val="es-419"/>
              </w:rPr>
              <w:t xml:space="preserve"> y en Roma del 25 al 27 de febrero de 2025. Adoptó 1</w:t>
            </w:r>
            <w:r w:rsidR="009B5A0D">
              <w:rPr>
                <w:lang w:val="es-419"/>
              </w:rPr>
              <w:t>4</w:t>
            </w:r>
            <w:r w:rsidRPr="00065280">
              <w:rPr>
                <w:lang w:val="es-419"/>
              </w:rPr>
              <w:t> decisiones, que figuran en la sección I, mientras que el resumen de las deliberaciones figura en la sección II</w:t>
            </w:r>
            <w:r w:rsidR="003B3636" w:rsidRPr="00065280">
              <w:rPr>
                <w:lang w:val="es-419"/>
              </w:rPr>
              <w:t>.</w:t>
            </w:r>
          </w:p>
        </w:tc>
      </w:tr>
    </w:tbl>
    <w:p w14:paraId="3D0E5EA7" w14:textId="77777777" w:rsidR="00534EFA" w:rsidRPr="00065280" w:rsidRDefault="00534EFA">
      <w:pPr>
        <w:tabs>
          <w:tab w:val="clear" w:pos="567"/>
          <w:tab w:val="clear" w:pos="1134"/>
          <w:tab w:val="clear" w:pos="1701"/>
          <w:tab w:val="clear" w:pos="2268"/>
        </w:tabs>
        <w:spacing w:after="160" w:line="259" w:lineRule="auto"/>
        <w:jc w:val="left"/>
        <w:rPr>
          <w:lang w:val="es-419"/>
        </w:rPr>
      </w:pPr>
    </w:p>
    <w:p w14:paraId="7C026576" w14:textId="5774F601" w:rsidR="00436778" w:rsidRPr="00065280" w:rsidRDefault="00436778">
      <w:pPr>
        <w:tabs>
          <w:tab w:val="clear" w:pos="567"/>
          <w:tab w:val="clear" w:pos="1134"/>
          <w:tab w:val="clear" w:pos="1701"/>
          <w:tab w:val="clear" w:pos="2268"/>
        </w:tabs>
        <w:spacing w:after="160" w:line="259" w:lineRule="auto"/>
        <w:jc w:val="left"/>
        <w:rPr>
          <w:b/>
          <w:sz w:val="28"/>
          <w:lang w:val="es-419"/>
        </w:rPr>
      </w:pPr>
      <w:r w:rsidRPr="00065280">
        <w:rPr>
          <w:lang w:val="es-419"/>
        </w:rPr>
        <w:br w:type="page"/>
      </w:r>
    </w:p>
    <w:p w14:paraId="5B111B3C" w14:textId="5E58CCCE" w:rsidR="005A2AA0" w:rsidRPr="00065280" w:rsidRDefault="00711AEE" w:rsidP="006B0221">
      <w:pPr>
        <w:pStyle w:val="CBDTitle"/>
        <w:spacing w:before="120" w:after="120"/>
        <w:rPr>
          <w:lang w:val="es-419"/>
        </w:rPr>
      </w:pPr>
      <w:r w:rsidRPr="00065280">
        <w:rPr>
          <w:lang w:val="es-419"/>
        </w:rPr>
        <w:lastRenderedPageBreak/>
        <w:t>Í</w:t>
      </w:r>
      <w:r w:rsidR="005A2AA0" w:rsidRPr="00065280">
        <w:rPr>
          <w:lang w:val="es-419"/>
        </w:rPr>
        <w:t>n</w:t>
      </w:r>
      <w:r w:rsidRPr="00065280">
        <w:rPr>
          <w:lang w:val="es-419"/>
        </w:rPr>
        <w:t>dice</w:t>
      </w:r>
    </w:p>
    <w:tbl>
      <w:tblPr>
        <w:tblStyle w:val="TableGrid"/>
        <w:tblW w:w="9072"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9"/>
        <w:gridCol w:w="4823"/>
      </w:tblGrid>
      <w:tr w:rsidR="00A414DA" w:rsidRPr="00065280" w14:paraId="60376C9E" w14:textId="77777777" w:rsidTr="00E824E6">
        <w:tc>
          <w:tcPr>
            <w:tcW w:w="4249" w:type="dxa"/>
          </w:tcPr>
          <w:p w14:paraId="3A829317" w14:textId="6B937982" w:rsidR="00A414DA" w:rsidRPr="00065280" w:rsidRDefault="00A414DA" w:rsidP="00711AEE">
            <w:pPr>
              <w:pStyle w:val="CBDNormal"/>
              <w:rPr>
                <w:i/>
                <w:iCs/>
                <w:sz w:val="18"/>
                <w:szCs w:val="18"/>
                <w:lang w:val="es-419"/>
              </w:rPr>
            </w:pPr>
            <w:r w:rsidRPr="00065280">
              <w:rPr>
                <w:i/>
                <w:iCs/>
                <w:sz w:val="18"/>
                <w:szCs w:val="18"/>
                <w:lang w:val="es-419"/>
              </w:rPr>
              <w:t>Sec</w:t>
            </w:r>
            <w:r w:rsidR="00711AEE" w:rsidRPr="00065280">
              <w:rPr>
                <w:i/>
                <w:iCs/>
                <w:sz w:val="18"/>
                <w:szCs w:val="18"/>
                <w:lang w:val="es-419"/>
              </w:rPr>
              <w:t>c</w:t>
            </w:r>
            <w:r w:rsidRPr="00065280">
              <w:rPr>
                <w:i/>
                <w:iCs/>
                <w:sz w:val="18"/>
                <w:szCs w:val="18"/>
                <w:lang w:val="es-419"/>
              </w:rPr>
              <w:t>i</w:t>
            </w:r>
            <w:r w:rsidR="00711AEE" w:rsidRPr="00065280">
              <w:rPr>
                <w:i/>
                <w:iCs/>
                <w:sz w:val="18"/>
                <w:szCs w:val="18"/>
                <w:lang w:val="es-419"/>
              </w:rPr>
              <w:t>ó</w:t>
            </w:r>
            <w:r w:rsidRPr="00065280">
              <w:rPr>
                <w:i/>
                <w:iCs/>
                <w:sz w:val="18"/>
                <w:szCs w:val="18"/>
                <w:lang w:val="es-419"/>
              </w:rPr>
              <w:t>n</w:t>
            </w:r>
          </w:p>
        </w:tc>
        <w:tc>
          <w:tcPr>
            <w:tcW w:w="4823" w:type="dxa"/>
          </w:tcPr>
          <w:p w14:paraId="3E51B91D" w14:textId="4231F157" w:rsidR="00A414DA" w:rsidRPr="00065280" w:rsidRDefault="00A414DA" w:rsidP="00B60F0C">
            <w:pPr>
              <w:pStyle w:val="CBDNormal"/>
              <w:jc w:val="right"/>
              <w:rPr>
                <w:i/>
                <w:iCs/>
                <w:sz w:val="18"/>
                <w:szCs w:val="18"/>
                <w:lang w:val="es-419"/>
              </w:rPr>
            </w:pPr>
            <w:r w:rsidRPr="00065280">
              <w:rPr>
                <w:i/>
                <w:iCs/>
                <w:sz w:val="18"/>
                <w:szCs w:val="18"/>
                <w:lang w:val="es-419"/>
              </w:rPr>
              <w:t>P</w:t>
            </w:r>
            <w:r w:rsidR="00B60F0C">
              <w:rPr>
                <w:i/>
                <w:iCs/>
                <w:sz w:val="18"/>
                <w:szCs w:val="18"/>
                <w:lang w:val="es-419"/>
              </w:rPr>
              <w:t>á</w:t>
            </w:r>
            <w:r w:rsidRPr="00065280">
              <w:rPr>
                <w:i/>
                <w:iCs/>
                <w:sz w:val="18"/>
                <w:szCs w:val="18"/>
                <w:lang w:val="es-419"/>
              </w:rPr>
              <w:t>g</w:t>
            </w:r>
            <w:r w:rsidR="00B60F0C">
              <w:rPr>
                <w:i/>
                <w:iCs/>
                <w:sz w:val="18"/>
                <w:szCs w:val="18"/>
                <w:lang w:val="es-419"/>
              </w:rPr>
              <w:t>ina</w:t>
            </w:r>
          </w:p>
        </w:tc>
      </w:tr>
    </w:tbl>
    <w:p w14:paraId="30A27619" w14:textId="1CB4EE88" w:rsidR="003C0CEC" w:rsidRPr="003C0CEC" w:rsidRDefault="009A3350">
      <w:pPr>
        <w:pStyle w:val="TOC1"/>
        <w:rPr>
          <w:rFonts w:asciiTheme="minorHAnsi" w:eastAsiaTheme="minorEastAsia" w:hAnsiTheme="minorHAnsi" w:cstheme="minorBidi"/>
          <w:b w:val="0"/>
          <w:szCs w:val="22"/>
          <w:lang w:val="en-US"/>
        </w:rPr>
      </w:pPr>
      <w:r w:rsidRPr="00065280">
        <w:rPr>
          <w:noProof w:val="0"/>
          <w:lang w:val="es-419"/>
        </w:rPr>
        <w:fldChar w:fldCharType="begin"/>
      </w:r>
      <w:r w:rsidRPr="00065280">
        <w:rPr>
          <w:noProof w:val="0"/>
          <w:lang w:val="es-419"/>
        </w:rPr>
        <w:instrText xml:space="preserve"> TOC \h \z \t "CBD_AgendaItem,2,CBD_H1,1,CBD_H2,2,CBD_sub-decision,3" </w:instrText>
      </w:r>
      <w:r w:rsidRPr="00065280">
        <w:rPr>
          <w:noProof w:val="0"/>
          <w:lang w:val="es-419"/>
        </w:rPr>
        <w:fldChar w:fldCharType="separate"/>
      </w:r>
      <w:hyperlink w:anchor="_Toc199016599" w:history="1">
        <w:r w:rsidR="003C0CEC" w:rsidRPr="003C0CEC">
          <w:rPr>
            <w:rStyle w:val="Hyperlink"/>
            <w:rFonts w:ascii="Times New Roman Bold" w:hAnsi="Times New Roman Bold"/>
            <w:lang w:val="es-419"/>
          </w:rPr>
          <w:t>I.</w:t>
        </w:r>
        <w:r w:rsidR="003C0CEC" w:rsidRPr="003C0CEC">
          <w:rPr>
            <w:rFonts w:ascii="Times New Roman Bold" w:eastAsiaTheme="minorEastAsia" w:hAnsi="Times New Roman Bold" w:cstheme="minorBidi"/>
            <w:szCs w:val="22"/>
            <w:lang w:val="en-US"/>
          </w:rPr>
          <w:tab/>
        </w:r>
        <w:r w:rsidR="003C0CEC" w:rsidRPr="003C0CEC">
          <w:rPr>
            <w:rStyle w:val="Hyperlink"/>
            <w:rFonts w:ascii="Times New Roman Bold" w:hAnsi="Times New Roman Bold"/>
            <w:lang w:val="es-419"/>
          </w:rPr>
          <w:t>Decisiones adoptadas por la Conferencia de las Partes que actúa como reunión de</w:t>
        </w:r>
        <w:r w:rsidR="00B60F0C">
          <w:rPr>
            <w:rStyle w:val="Hyperlink"/>
            <w:rFonts w:ascii="Times New Roman Bold" w:hAnsi="Times New Roman Bold" w:hint="eastAsia"/>
            <w:lang w:val="es-419"/>
          </w:rPr>
          <w:t> </w:t>
        </w:r>
        <w:r w:rsidR="003C0CEC" w:rsidRPr="003C0CEC">
          <w:rPr>
            <w:rStyle w:val="Hyperlink"/>
            <w:rFonts w:ascii="Times New Roman Bold" w:hAnsi="Times New Roman Bold"/>
            <w:lang w:val="es-419"/>
          </w:rPr>
          <w:t>las</w:t>
        </w:r>
        <w:r w:rsidR="003C0CEC">
          <w:rPr>
            <w:rStyle w:val="Hyperlink"/>
            <w:rFonts w:ascii="Times New Roman Bold" w:hAnsi="Times New Roman Bold" w:hint="eastAsia"/>
            <w:lang w:val="es-419"/>
          </w:rPr>
          <w:t> </w:t>
        </w:r>
        <w:r w:rsidR="003C0CEC" w:rsidRPr="003C0CEC">
          <w:rPr>
            <w:rStyle w:val="Hyperlink"/>
            <w:rFonts w:ascii="Times New Roman Bold" w:hAnsi="Times New Roman Bold"/>
            <w:lang w:val="es-419"/>
          </w:rPr>
          <w:t>Partes en el Protocolo de Cartagena sobre Seguridad de la Biotecnología</w:t>
        </w:r>
        <w:r w:rsidR="003C0CEC" w:rsidRPr="003C0CEC">
          <w:rPr>
            <w:b w:val="0"/>
            <w:webHidden/>
          </w:rPr>
          <w:tab/>
        </w:r>
        <w:r w:rsidR="003C0CEC" w:rsidRPr="003C0CEC">
          <w:rPr>
            <w:b w:val="0"/>
            <w:webHidden/>
          </w:rPr>
          <w:fldChar w:fldCharType="begin"/>
        </w:r>
        <w:r w:rsidR="003C0CEC" w:rsidRPr="003C0CEC">
          <w:rPr>
            <w:b w:val="0"/>
            <w:webHidden/>
          </w:rPr>
          <w:instrText xml:space="preserve"> PAGEREF _Toc199016599 \h </w:instrText>
        </w:r>
        <w:r w:rsidR="003C0CEC" w:rsidRPr="003C0CEC">
          <w:rPr>
            <w:b w:val="0"/>
            <w:webHidden/>
          </w:rPr>
        </w:r>
        <w:r w:rsidR="003C0CEC" w:rsidRPr="003C0CEC">
          <w:rPr>
            <w:b w:val="0"/>
            <w:webHidden/>
          </w:rPr>
          <w:fldChar w:fldCharType="separate"/>
        </w:r>
        <w:r w:rsidR="0077454C">
          <w:rPr>
            <w:b w:val="0"/>
            <w:webHidden/>
          </w:rPr>
          <w:t>4</w:t>
        </w:r>
        <w:r w:rsidR="003C0CEC" w:rsidRPr="003C0CEC">
          <w:rPr>
            <w:b w:val="0"/>
            <w:webHidden/>
          </w:rPr>
          <w:fldChar w:fldCharType="end"/>
        </w:r>
      </w:hyperlink>
    </w:p>
    <w:p w14:paraId="63995FC4" w14:textId="28EB0294" w:rsidR="003C0CEC" w:rsidRPr="003C0CEC" w:rsidRDefault="003C0CEC" w:rsidP="003C0CEC">
      <w:pPr>
        <w:pStyle w:val="TOC2"/>
        <w:ind w:left="2250" w:hanging="1080"/>
        <w:rPr>
          <w:rFonts w:asciiTheme="minorHAnsi" w:eastAsiaTheme="minorEastAsia" w:hAnsiTheme="minorHAnsi" w:cstheme="minorBidi"/>
          <w:noProof/>
          <w:szCs w:val="22"/>
          <w:lang w:val="en-US"/>
        </w:rPr>
      </w:pPr>
      <w:hyperlink w:anchor="_Toc199016600" w:history="1">
        <w:r w:rsidRPr="003C0CEC">
          <w:rPr>
            <w:rStyle w:val="Hyperlink"/>
            <w:noProof/>
            <w:lang w:val="es-419"/>
          </w:rPr>
          <w:t>CP-11/1.</w:t>
        </w:r>
        <w:r w:rsidRPr="003C0CEC">
          <w:rPr>
            <w:rFonts w:asciiTheme="minorHAnsi" w:eastAsiaTheme="minorEastAsia" w:hAnsiTheme="minorHAnsi" w:cstheme="minorBidi"/>
            <w:noProof/>
            <w:szCs w:val="22"/>
            <w:lang w:val="en-US"/>
          </w:rPr>
          <w:tab/>
        </w:r>
        <w:r w:rsidRPr="003C0CEC">
          <w:rPr>
            <w:rStyle w:val="Hyperlink"/>
            <w:noProof/>
            <w:lang w:val="es-419"/>
          </w:rPr>
          <w:t>Cumplimiento</w:t>
        </w:r>
        <w:r w:rsidRPr="003C0CEC">
          <w:rPr>
            <w:noProof/>
            <w:webHidden/>
          </w:rPr>
          <w:tab/>
        </w:r>
        <w:r w:rsidRPr="003C0CEC">
          <w:rPr>
            <w:noProof/>
            <w:webHidden/>
          </w:rPr>
          <w:fldChar w:fldCharType="begin"/>
        </w:r>
        <w:r w:rsidRPr="003C0CEC">
          <w:rPr>
            <w:noProof/>
            <w:webHidden/>
          </w:rPr>
          <w:instrText xml:space="preserve"> PAGEREF _Toc199016600 \h </w:instrText>
        </w:r>
        <w:r w:rsidRPr="003C0CEC">
          <w:rPr>
            <w:noProof/>
            <w:webHidden/>
          </w:rPr>
        </w:r>
        <w:r w:rsidRPr="003C0CEC">
          <w:rPr>
            <w:noProof/>
            <w:webHidden/>
          </w:rPr>
          <w:fldChar w:fldCharType="separate"/>
        </w:r>
        <w:r w:rsidR="0077454C">
          <w:rPr>
            <w:noProof/>
            <w:webHidden/>
          </w:rPr>
          <w:t>4</w:t>
        </w:r>
        <w:r w:rsidRPr="003C0CEC">
          <w:rPr>
            <w:noProof/>
            <w:webHidden/>
          </w:rPr>
          <w:fldChar w:fldCharType="end"/>
        </w:r>
      </w:hyperlink>
    </w:p>
    <w:p w14:paraId="0DFBD55F" w14:textId="087F22C3" w:rsidR="003C0CEC" w:rsidRPr="003C0CEC" w:rsidRDefault="003C0CEC" w:rsidP="00FB24DC">
      <w:pPr>
        <w:pStyle w:val="TOC3"/>
        <w:tabs>
          <w:tab w:val="clear" w:pos="2495"/>
        </w:tabs>
        <w:ind w:hanging="982"/>
        <w:rPr>
          <w:rFonts w:asciiTheme="minorHAnsi" w:eastAsiaTheme="minorEastAsia" w:hAnsiTheme="minorHAnsi" w:cstheme="minorBidi"/>
          <w:iCs w:val="0"/>
          <w:noProof/>
          <w:szCs w:val="22"/>
          <w:lang w:val="en-US"/>
        </w:rPr>
      </w:pPr>
      <w:hyperlink w:anchor="_Toc199016601" w:history="1">
        <w:r w:rsidRPr="003C0CEC">
          <w:rPr>
            <w:rStyle w:val="Hyperlink"/>
            <w:noProof/>
            <w:lang w:val="es-419"/>
          </w:rPr>
          <w:t>A</w:t>
        </w:r>
        <w:r w:rsidR="00076B36">
          <w:rPr>
            <w:rStyle w:val="Hyperlink"/>
            <w:noProof/>
            <w:lang w:val="es-419"/>
          </w:rPr>
          <w:t>.</w:t>
        </w:r>
        <w:r w:rsidR="00FB24DC">
          <w:rPr>
            <w:rStyle w:val="Hyperlink"/>
            <w:noProof/>
            <w:lang w:val="es-419"/>
          </w:rPr>
          <w:tab/>
        </w:r>
        <w:r w:rsidRPr="003C0CEC">
          <w:rPr>
            <w:rStyle w:val="Hyperlink"/>
            <w:noProof/>
            <w:lang w:val="es-419"/>
          </w:rPr>
          <w:t>Cumplimiento: cuestiones generales</w:t>
        </w:r>
        <w:r w:rsidRPr="003C0CEC">
          <w:rPr>
            <w:noProof/>
            <w:webHidden/>
          </w:rPr>
          <w:tab/>
        </w:r>
        <w:r w:rsidRPr="003C0CEC">
          <w:rPr>
            <w:noProof/>
            <w:webHidden/>
          </w:rPr>
          <w:fldChar w:fldCharType="begin"/>
        </w:r>
        <w:r w:rsidRPr="003C0CEC">
          <w:rPr>
            <w:noProof/>
            <w:webHidden/>
          </w:rPr>
          <w:instrText xml:space="preserve"> PAGEREF _Toc199016601 \h </w:instrText>
        </w:r>
        <w:r w:rsidRPr="003C0CEC">
          <w:rPr>
            <w:noProof/>
            <w:webHidden/>
          </w:rPr>
        </w:r>
        <w:r w:rsidRPr="003C0CEC">
          <w:rPr>
            <w:noProof/>
            <w:webHidden/>
          </w:rPr>
          <w:fldChar w:fldCharType="separate"/>
        </w:r>
        <w:r w:rsidR="0077454C">
          <w:rPr>
            <w:noProof/>
            <w:webHidden/>
          </w:rPr>
          <w:t>4</w:t>
        </w:r>
        <w:r w:rsidRPr="003C0CEC">
          <w:rPr>
            <w:noProof/>
            <w:webHidden/>
          </w:rPr>
          <w:fldChar w:fldCharType="end"/>
        </w:r>
      </w:hyperlink>
    </w:p>
    <w:p w14:paraId="113557F5" w14:textId="67F30F71" w:rsidR="003C0CEC" w:rsidRPr="003C0CEC" w:rsidRDefault="003C0CEC" w:rsidP="00FB24DC">
      <w:pPr>
        <w:pStyle w:val="TOC3"/>
        <w:tabs>
          <w:tab w:val="clear" w:pos="2495"/>
        </w:tabs>
        <w:ind w:hanging="982"/>
        <w:rPr>
          <w:rFonts w:asciiTheme="minorHAnsi" w:eastAsiaTheme="minorEastAsia" w:hAnsiTheme="minorHAnsi" w:cstheme="minorBidi"/>
          <w:iCs w:val="0"/>
          <w:noProof/>
          <w:szCs w:val="22"/>
          <w:lang w:val="en-US"/>
        </w:rPr>
      </w:pPr>
      <w:hyperlink w:anchor="_Toc199016602" w:history="1">
        <w:r w:rsidRPr="003C0CEC">
          <w:rPr>
            <w:rStyle w:val="Hyperlink"/>
            <w:noProof/>
            <w:lang w:val="es-419"/>
          </w:rPr>
          <w:t>B</w:t>
        </w:r>
        <w:r w:rsidR="00076B36">
          <w:rPr>
            <w:rStyle w:val="Hyperlink"/>
            <w:noProof/>
            <w:lang w:val="es-419"/>
          </w:rPr>
          <w:t>.</w:t>
        </w:r>
        <w:r w:rsidR="00FB24DC">
          <w:rPr>
            <w:rStyle w:val="Hyperlink"/>
            <w:noProof/>
            <w:lang w:val="es-419"/>
          </w:rPr>
          <w:tab/>
        </w:r>
        <w:r w:rsidRPr="003C0CEC">
          <w:rPr>
            <w:rStyle w:val="Hyperlink"/>
            <w:noProof/>
            <w:lang w:val="es-419"/>
          </w:rPr>
          <w:t>Cumplimiento: advertencia</w:t>
        </w:r>
        <w:r w:rsidRPr="003C0CEC">
          <w:rPr>
            <w:noProof/>
            <w:webHidden/>
          </w:rPr>
          <w:tab/>
        </w:r>
        <w:r w:rsidRPr="003C0CEC">
          <w:rPr>
            <w:noProof/>
            <w:webHidden/>
          </w:rPr>
          <w:fldChar w:fldCharType="begin"/>
        </w:r>
        <w:r w:rsidRPr="003C0CEC">
          <w:rPr>
            <w:noProof/>
            <w:webHidden/>
          </w:rPr>
          <w:instrText xml:space="preserve"> PAGEREF _Toc199016602 \h </w:instrText>
        </w:r>
        <w:r w:rsidRPr="003C0CEC">
          <w:rPr>
            <w:noProof/>
            <w:webHidden/>
          </w:rPr>
        </w:r>
        <w:r w:rsidRPr="003C0CEC">
          <w:rPr>
            <w:noProof/>
            <w:webHidden/>
          </w:rPr>
          <w:fldChar w:fldCharType="separate"/>
        </w:r>
        <w:r w:rsidR="0077454C">
          <w:rPr>
            <w:noProof/>
            <w:webHidden/>
          </w:rPr>
          <w:t>5</w:t>
        </w:r>
        <w:r w:rsidRPr="003C0CEC">
          <w:rPr>
            <w:noProof/>
            <w:webHidden/>
          </w:rPr>
          <w:fldChar w:fldCharType="end"/>
        </w:r>
      </w:hyperlink>
    </w:p>
    <w:p w14:paraId="467C1F8E" w14:textId="62C049C6" w:rsidR="003C0CEC" w:rsidRPr="003C0CEC" w:rsidRDefault="003C0CEC" w:rsidP="00FB24DC">
      <w:pPr>
        <w:pStyle w:val="TOC3"/>
        <w:tabs>
          <w:tab w:val="clear" w:pos="2495"/>
        </w:tabs>
        <w:ind w:hanging="982"/>
        <w:rPr>
          <w:rFonts w:asciiTheme="minorHAnsi" w:eastAsiaTheme="minorEastAsia" w:hAnsiTheme="minorHAnsi" w:cstheme="minorBidi"/>
          <w:iCs w:val="0"/>
          <w:noProof/>
          <w:szCs w:val="22"/>
          <w:lang w:val="en-US"/>
        </w:rPr>
      </w:pPr>
      <w:hyperlink w:anchor="_Toc199016603" w:history="1">
        <w:r w:rsidRPr="003C0CEC">
          <w:rPr>
            <w:rStyle w:val="Hyperlink"/>
            <w:noProof/>
            <w:lang w:val="es-419"/>
          </w:rPr>
          <w:t>C</w:t>
        </w:r>
        <w:r w:rsidR="00076B36">
          <w:rPr>
            <w:rStyle w:val="Hyperlink"/>
            <w:noProof/>
            <w:lang w:val="es-419"/>
          </w:rPr>
          <w:t>.</w:t>
        </w:r>
        <w:r w:rsidR="00FB24DC">
          <w:rPr>
            <w:rStyle w:val="Hyperlink"/>
            <w:noProof/>
            <w:lang w:val="es-419"/>
          </w:rPr>
          <w:tab/>
        </w:r>
        <w:r w:rsidRPr="003C0CEC">
          <w:rPr>
            <w:rStyle w:val="Hyperlink"/>
            <w:noProof/>
            <w:lang w:val="es-419"/>
          </w:rPr>
          <w:t>Cumplimiento: otras cuestiones</w:t>
        </w:r>
        <w:r w:rsidRPr="003C0CEC">
          <w:rPr>
            <w:noProof/>
            <w:webHidden/>
          </w:rPr>
          <w:tab/>
        </w:r>
        <w:r w:rsidRPr="003C0CEC">
          <w:rPr>
            <w:noProof/>
            <w:webHidden/>
          </w:rPr>
          <w:fldChar w:fldCharType="begin"/>
        </w:r>
        <w:r w:rsidRPr="003C0CEC">
          <w:rPr>
            <w:noProof/>
            <w:webHidden/>
          </w:rPr>
          <w:instrText xml:space="preserve"> PAGEREF _Toc199016603 \h </w:instrText>
        </w:r>
        <w:r w:rsidRPr="003C0CEC">
          <w:rPr>
            <w:noProof/>
            <w:webHidden/>
          </w:rPr>
        </w:r>
        <w:r w:rsidRPr="003C0CEC">
          <w:rPr>
            <w:noProof/>
            <w:webHidden/>
          </w:rPr>
          <w:fldChar w:fldCharType="separate"/>
        </w:r>
        <w:r w:rsidR="0077454C">
          <w:rPr>
            <w:noProof/>
            <w:webHidden/>
          </w:rPr>
          <w:t>5</w:t>
        </w:r>
        <w:r w:rsidRPr="003C0CEC">
          <w:rPr>
            <w:noProof/>
            <w:webHidden/>
          </w:rPr>
          <w:fldChar w:fldCharType="end"/>
        </w:r>
      </w:hyperlink>
    </w:p>
    <w:p w14:paraId="22D3645A" w14:textId="6D706354" w:rsidR="003C0CEC" w:rsidRPr="003C0CEC" w:rsidRDefault="003C0CEC" w:rsidP="003C0CEC">
      <w:pPr>
        <w:pStyle w:val="TOC2"/>
        <w:ind w:left="2250" w:hanging="1080"/>
        <w:rPr>
          <w:rFonts w:asciiTheme="minorHAnsi" w:eastAsiaTheme="minorEastAsia" w:hAnsiTheme="minorHAnsi" w:cstheme="minorBidi"/>
          <w:noProof/>
          <w:szCs w:val="22"/>
          <w:lang w:val="en-US"/>
        </w:rPr>
      </w:pPr>
      <w:hyperlink w:anchor="_Toc199016604" w:history="1">
        <w:r w:rsidRPr="003C0CEC">
          <w:rPr>
            <w:rStyle w:val="Hyperlink"/>
            <w:noProof/>
            <w:lang w:val="es-419"/>
          </w:rPr>
          <w:t>CP-11/2.</w:t>
        </w:r>
        <w:r w:rsidRPr="003C0CEC">
          <w:rPr>
            <w:rFonts w:asciiTheme="minorHAnsi" w:eastAsiaTheme="minorEastAsia" w:hAnsiTheme="minorHAnsi" w:cstheme="minorBidi"/>
            <w:noProof/>
            <w:szCs w:val="22"/>
            <w:lang w:val="en-US"/>
          </w:rPr>
          <w:tab/>
        </w:r>
        <w:r w:rsidRPr="003C0CEC">
          <w:rPr>
            <w:rStyle w:val="Hyperlink"/>
            <w:noProof/>
            <w:spacing w:val="-2"/>
            <w:lang w:val="es-419"/>
          </w:rPr>
          <w:t>Asuntos relacionados con el mecanismo financiero y los recursos financieros</w:t>
        </w:r>
        <w:r w:rsidRPr="003C0CEC">
          <w:rPr>
            <w:noProof/>
            <w:webHidden/>
          </w:rPr>
          <w:tab/>
        </w:r>
        <w:r w:rsidRPr="003C0CEC">
          <w:rPr>
            <w:noProof/>
            <w:webHidden/>
          </w:rPr>
          <w:fldChar w:fldCharType="begin"/>
        </w:r>
        <w:r w:rsidRPr="003C0CEC">
          <w:rPr>
            <w:noProof/>
            <w:webHidden/>
          </w:rPr>
          <w:instrText xml:space="preserve"> PAGEREF _Toc199016604 \h </w:instrText>
        </w:r>
        <w:r w:rsidRPr="003C0CEC">
          <w:rPr>
            <w:noProof/>
            <w:webHidden/>
          </w:rPr>
        </w:r>
        <w:r w:rsidRPr="003C0CEC">
          <w:rPr>
            <w:noProof/>
            <w:webHidden/>
          </w:rPr>
          <w:fldChar w:fldCharType="separate"/>
        </w:r>
        <w:r w:rsidR="0077454C">
          <w:rPr>
            <w:noProof/>
            <w:webHidden/>
          </w:rPr>
          <w:t>7</w:t>
        </w:r>
        <w:r w:rsidRPr="003C0CEC">
          <w:rPr>
            <w:noProof/>
            <w:webHidden/>
          </w:rPr>
          <w:fldChar w:fldCharType="end"/>
        </w:r>
      </w:hyperlink>
    </w:p>
    <w:p w14:paraId="22BD9B67" w14:textId="1A8F00FC" w:rsidR="003C0CEC" w:rsidRPr="003C0CEC" w:rsidRDefault="003C0CEC" w:rsidP="003C0CEC">
      <w:pPr>
        <w:pStyle w:val="TOC2"/>
        <w:ind w:left="2250" w:hanging="1080"/>
        <w:rPr>
          <w:rFonts w:asciiTheme="minorHAnsi" w:eastAsiaTheme="minorEastAsia" w:hAnsiTheme="minorHAnsi" w:cstheme="minorBidi"/>
          <w:noProof/>
          <w:szCs w:val="22"/>
          <w:lang w:val="en-US"/>
        </w:rPr>
      </w:pPr>
      <w:hyperlink w:anchor="_Toc199016605" w:history="1">
        <w:r w:rsidRPr="003C0CEC">
          <w:rPr>
            <w:rStyle w:val="Hyperlink"/>
            <w:noProof/>
            <w:lang w:val="es-419"/>
          </w:rPr>
          <w:t>CP-11/3.</w:t>
        </w:r>
        <w:r w:rsidRPr="003C0CEC">
          <w:rPr>
            <w:rFonts w:asciiTheme="minorHAnsi" w:eastAsiaTheme="minorEastAsia" w:hAnsiTheme="minorHAnsi" w:cstheme="minorBidi"/>
            <w:noProof/>
            <w:szCs w:val="22"/>
            <w:lang w:val="en-US"/>
          </w:rPr>
          <w:tab/>
        </w:r>
        <w:r w:rsidRPr="009C147A">
          <w:rPr>
            <w:rStyle w:val="Hyperlink"/>
            <w:noProof/>
            <w:spacing w:val="-2"/>
            <w:lang w:val="es-419"/>
          </w:rPr>
          <w:t>Funcionamiento y actividades del Centro de Intercambio de Información sobre</w:t>
        </w:r>
        <w:r w:rsidR="009C147A">
          <w:rPr>
            <w:rStyle w:val="Hyperlink"/>
            <w:noProof/>
            <w:lang w:val="es-419"/>
          </w:rPr>
          <w:t xml:space="preserve"> </w:t>
        </w:r>
        <w:r w:rsidRPr="003C0CEC">
          <w:rPr>
            <w:rStyle w:val="Hyperlink"/>
            <w:noProof/>
            <w:lang w:val="es-419"/>
          </w:rPr>
          <w:t>Seguridad de la Biotecnología</w:t>
        </w:r>
        <w:r w:rsidRPr="003C0CEC">
          <w:rPr>
            <w:noProof/>
            <w:webHidden/>
          </w:rPr>
          <w:tab/>
        </w:r>
        <w:r w:rsidRPr="003C0CEC">
          <w:rPr>
            <w:noProof/>
            <w:webHidden/>
          </w:rPr>
          <w:fldChar w:fldCharType="begin"/>
        </w:r>
        <w:r w:rsidRPr="003C0CEC">
          <w:rPr>
            <w:noProof/>
            <w:webHidden/>
          </w:rPr>
          <w:instrText xml:space="preserve"> PAGEREF _Toc199016605 \h </w:instrText>
        </w:r>
        <w:r w:rsidRPr="003C0CEC">
          <w:rPr>
            <w:noProof/>
            <w:webHidden/>
          </w:rPr>
        </w:r>
        <w:r w:rsidRPr="003C0CEC">
          <w:rPr>
            <w:noProof/>
            <w:webHidden/>
          </w:rPr>
          <w:fldChar w:fldCharType="separate"/>
        </w:r>
        <w:r w:rsidR="0077454C">
          <w:rPr>
            <w:noProof/>
            <w:webHidden/>
          </w:rPr>
          <w:t>9</w:t>
        </w:r>
        <w:r w:rsidRPr="003C0CEC">
          <w:rPr>
            <w:noProof/>
            <w:webHidden/>
          </w:rPr>
          <w:fldChar w:fldCharType="end"/>
        </w:r>
      </w:hyperlink>
    </w:p>
    <w:p w14:paraId="5EFF7590" w14:textId="6ECF039E" w:rsidR="003C0CEC" w:rsidRPr="003C0CEC" w:rsidRDefault="003C0CEC" w:rsidP="009F744B">
      <w:pPr>
        <w:pStyle w:val="TOC2"/>
        <w:ind w:left="2250" w:hanging="1080"/>
        <w:rPr>
          <w:rFonts w:asciiTheme="minorHAnsi" w:eastAsiaTheme="minorEastAsia" w:hAnsiTheme="minorHAnsi" w:cstheme="minorBidi"/>
          <w:noProof/>
          <w:szCs w:val="22"/>
          <w:lang w:val="en-US"/>
        </w:rPr>
      </w:pPr>
      <w:hyperlink w:anchor="_Toc199016606" w:history="1">
        <w:r w:rsidRPr="003C0CEC">
          <w:rPr>
            <w:rStyle w:val="Hyperlink"/>
            <w:noProof/>
            <w:lang w:val="es-419"/>
          </w:rPr>
          <w:t>CP-11/4.</w:t>
        </w:r>
        <w:r w:rsidRPr="003C0CEC">
          <w:rPr>
            <w:rFonts w:asciiTheme="minorHAnsi" w:eastAsiaTheme="minorEastAsia" w:hAnsiTheme="minorHAnsi" w:cstheme="minorBidi"/>
            <w:noProof/>
            <w:szCs w:val="22"/>
            <w:lang w:val="en-US"/>
          </w:rPr>
          <w:tab/>
        </w:r>
        <w:r w:rsidRPr="003C0CEC">
          <w:rPr>
            <w:rStyle w:val="Hyperlink"/>
            <w:noProof/>
            <w:lang w:val="es-419"/>
          </w:rPr>
          <w:t>Procedimientos para convocar reuniones en línea e híbridas</w:t>
        </w:r>
        <w:r w:rsidRPr="003C0CEC">
          <w:rPr>
            <w:noProof/>
            <w:webHidden/>
          </w:rPr>
          <w:tab/>
        </w:r>
        <w:r w:rsidRPr="003C0CEC">
          <w:rPr>
            <w:noProof/>
            <w:webHidden/>
          </w:rPr>
          <w:fldChar w:fldCharType="begin"/>
        </w:r>
        <w:r w:rsidRPr="003C0CEC">
          <w:rPr>
            <w:noProof/>
            <w:webHidden/>
          </w:rPr>
          <w:instrText xml:space="preserve"> PAGEREF _Toc199016606 \h </w:instrText>
        </w:r>
        <w:r w:rsidRPr="003C0CEC">
          <w:rPr>
            <w:noProof/>
            <w:webHidden/>
          </w:rPr>
        </w:r>
        <w:r w:rsidRPr="003C0CEC">
          <w:rPr>
            <w:noProof/>
            <w:webHidden/>
          </w:rPr>
          <w:fldChar w:fldCharType="separate"/>
        </w:r>
        <w:r w:rsidR="0077454C">
          <w:rPr>
            <w:noProof/>
            <w:webHidden/>
          </w:rPr>
          <w:t>11</w:t>
        </w:r>
        <w:r w:rsidRPr="003C0CEC">
          <w:rPr>
            <w:noProof/>
            <w:webHidden/>
          </w:rPr>
          <w:fldChar w:fldCharType="end"/>
        </w:r>
      </w:hyperlink>
    </w:p>
    <w:p w14:paraId="094E0988" w14:textId="7836BE80" w:rsidR="003C0CEC" w:rsidRPr="003C0CEC" w:rsidRDefault="003C0CEC" w:rsidP="009F744B">
      <w:pPr>
        <w:pStyle w:val="TOC2"/>
        <w:ind w:left="2250" w:hanging="1080"/>
        <w:rPr>
          <w:rFonts w:asciiTheme="minorHAnsi" w:eastAsiaTheme="minorEastAsia" w:hAnsiTheme="minorHAnsi" w:cstheme="minorBidi"/>
          <w:noProof/>
          <w:szCs w:val="22"/>
          <w:lang w:val="en-US"/>
        </w:rPr>
      </w:pPr>
      <w:hyperlink w:anchor="_Toc199016607" w:history="1">
        <w:r w:rsidRPr="003C0CEC">
          <w:rPr>
            <w:rStyle w:val="Hyperlink"/>
            <w:noProof/>
            <w:lang w:val="es-419"/>
          </w:rPr>
          <w:t>CP-11/5.</w:t>
        </w:r>
        <w:r w:rsidRPr="003C0CEC">
          <w:rPr>
            <w:rFonts w:asciiTheme="minorHAnsi" w:eastAsiaTheme="minorEastAsia" w:hAnsiTheme="minorHAnsi" w:cstheme="minorBidi"/>
            <w:noProof/>
            <w:szCs w:val="22"/>
            <w:lang w:val="en-US"/>
          </w:rPr>
          <w:tab/>
        </w:r>
        <w:r w:rsidRPr="003C0CEC">
          <w:rPr>
            <w:rStyle w:val="Hyperlink"/>
            <w:noProof/>
            <w:lang w:val="es-419"/>
          </w:rPr>
          <w:t>Opciones para seguir mejorando la eficacia de los procesos del Convenio</w:t>
        </w:r>
        <w:r w:rsidR="00B60F0C">
          <w:rPr>
            <w:rStyle w:val="Hyperlink"/>
            <w:noProof/>
            <w:lang w:val="es-419"/>
          </w:rPr>
          <w:br/>
        </w:r>
        <w:r w:rsidRPr="003C0CEC">
          <w:rPr>
            <w:rStyle w:val="Hyperlink"/>
            <w:noProof/>
            <w:lang w:val="es-419"/>
          </w:rPr>
          <w:t>y sus</w:t>
        </w:r>
        <w:r w:rsidR="00B60F0C">
          <w:rPr>
            <w:rStyle w:val="Hyperlink"/>
            <w:noProof/>
            <w:lang w:val="es-419"/>
          </w:rPr>
          <w:t xml:space="preserve"> </w:t>
        </w:r>
        <w:r w:rsidRPr="003C0CEC">
          <w:rPr>
            <w:rStyle w:val="Hyperlink"/>
            <w:noProof/>
            <w:lang w:val="es-419"/>
          </w:rPr>
          <w:t>Protocolos</w:t>
        </w:r>
        <w:r w:rsidRPr="003C0CEC">
          <w:rPr>
            <w:noProof/>
            <w:webHidden/>
          </w:rPr>
          <w:tab/>
        </w:r>
        <w:r w:rsidRPr="003C0CEC">
          <w:rPr>
            <w:noProof/>
            <w:webHidden/>
          </w:rPr>
          <w:fldChar w:fldCharType="begin"/>
        </w:r>
        <w:r w:rsidRPr="003C0CEC">
          <w:rPr>
            <w:noProof/>
            <w:webHidden/>
          </w:rPr>
          <w:instrText xml:space="preserve"> PAGEREF _Toc199016607 \h </w:instrText>
        </w:r>
        <w:r w:rsidRPr="003C0CEC">
          <w:rPr>
            <w:noProof/>
            <w:webHidden/>
          </w:rPr>
        </w:r>
        <w:r w:rsidRPr="003C0CEC">
          <w:rPr>
            <w:noProof/>
            <w:webHidden/>
          </w:rPr>
          <w:fldChar w:fldCharType="separate"/>
        </w:r>
        <w:r w:rsidR="0077454C">
          <w:rPr>
            <w:noProof/>
            <w:webHidden/>
          </w:rPr>
          <w:t>13</w:t>
        </w:r>
        <w:r w:rsidRPr="003C0CEC">
          <w:rPr>
            <w:noProof/>
            <w:webHidden/>
          </w:rPr>
          <w:fldChar w:fldCharType="end"/>
        </w:r>
      </w:hyperlink>
    </w:p>
    <w:p w14:paraId="11D04F52" w14:textId="12172FC3" w:rsidR="003C0CEC" w:rsidRPr="003C0CEC" w:rsidRDefault="003C0CEC" w:rsidP="009C147A">
      <w:pPr>
        <w:pStyle w:val="TOC2"/>
        <w:tabs>
          <w:tab w:val="clear" w:pos="3402"/>
        </w:tabs>
        <w:ind w:left="2250" w:hanging="1080"/>
        <w:rPr>
          <w:rFonts w:asciiTheme="minorHAnsi" w:eastAsiaTheme="minorEastAsia" w:hAnsiTheme="minorHAnsi" w:cstheme="minorBidi"/>
          <w:noProof/>
          <w:szCs w:val="22"/>
          <w:lang w:val="en-US"/>
        </w:rPr>
      </w:pPr>
      <w:hyperlink w:anchor="_Toc199016608" w:history="1">
        <w:r w:rsidRPr="003C0CEC">
          <w:rPr>
            <w:rStyle w:val="Hyperlink"/>
            <w:noProof/>
            <w:lang w:val="es-419"/>
          </w:rPr>
          <w:t>CP-11/6.</w:t>
        </w:r>
        <w:r w:rsidRPr="003C0CEC">
          <w:rPr>
            <w:rFonts w:asciiTheme="minorHAnsi" w:eastAsiaTheme="minorEastAsia" w:hAnsiTheme="minorHAnsi" w:cstheme="minorBidi"/>
            <w:noProof/>
            <w:szCs w:val="22"/>
            <w:lang w:val="en-US"/>
          </w:rPr>
          <w:tab/>
        </w:r>
        <w:r w:rsidRPr="003C0CEC">
          <w:rPr>
            <w:rStyle w:val="Hyperlink"/>
            <w:noProof/>
            <w:lang w:val="es-419"/>
          </w:rPr>
          <w:t>Procedimiento para evitar o tratar conflictos de intereses en los grupos de expertos</w:t>
        </w:r>
        <w:r w:rsidRPr="003C0CEC">
          <w:rPr>
            <w:noProof/>
            <w:webHidden/>
          </w:rPr>
          <w:tab/>
        </w:r>
        <w:r w:rsidRPr="003C0CEC">
          <w:rPr>
            <w:noProof/>
            <w:webHidden/>
          </w:rPr>
          <w:fldChar w:fldCharType="begin"/>
        </w:r>
        <w:r w:rsidRPr="003C0CEC">
          <w:rPr>
            <w:noProof/>
            <w:webHidden/>
          </w:rPr>
          <w:instrText xml:space="preserve"> PAGEREF _Toc199016608 \h </w:instrText>
        </w:r>
        <w:r w:rsidRPr="003C0CEC">
          <w:rPr>
            <w:noProof/>
            <w:webHidden/>
          </w:rPr>
        </w:r>
        <w:r w:rsidRPr="003C0CEC">
          <w:rPr>
            <w:noProof/>
            <w:webHidden/>
          </w:rPr>
          <w:fldChar w:fldCharType="separate"/>
        </w:r>
        <w:r w:rsidR="0077454C">
          <w:rPr>
            <w:noProof/>
            <w:webHidden/>
          </w:rPr>
          <w:t>16</w:t>
        </w:r>
        <w:r w:rsidRPr="003C0CEC">
          <w:rPr>
            <w:noProof/>
            <w:webHidden/>
          </w:rPr>
          <w:fldChar w:fldCharType="end"/>
        </w:r>
      </w:hyperlink>
    </w:p>
    <w:p w14:paraId="7F7FB701" w14:textId="4E5F2FE1" w:rsidR="003C0CEC" w:rsidRPr="003C0CEC" w:rsidRDefault="003C0CEC" w:rsidP="009F744B">
      <w:pPr>
        <w:pStyle w:val="TOC2"/>
        <w:ind w:left="2250" w:hanging="1080"/>
        <w:rPr>
          <w:rFonts w:asciiTheme="minorHAnsi" w:eastAsiaTheme="minorEastAsia" w:hAnsiTheme="minorHAnsi" w:cstheme="minorBidi"/>
          <w:noProof/>
          <w:szCs w:val="22"/>
          <w:lang w:val="en-US"/>
        </w:rPr>
      </w:pPr>
      <w:hyperlink w:anchor="_Toc199016609" w:history="1">
        <w:r w:rsidRPr="003C0CEC">
          <w:rPr>
            <w:rStyle w:val="Hyperlink"/>
            <w:noProof/>
            <w:lang w:val="es-419"/>
          </w:rPr>
          <w:t>CP-11/7.</w:t>
        </w:r>
        <w:r w:rsidRPr="003C0CEC">
          <w:rPr>
            <w:rFonts w:asciiTheme="minorHAnsi" w:eastAsiaTheme="minorEastAsia" w:hAnsiTheme="minorHAnsi" w:cstheme="minorBidi"/>
            <w:noProof/>
            <w:szCs w:val="22"/>
            <w:lang w:val="en-US"/>
          </w:rPr>
          <w:tab/>
        </w:r>
        <w:r w:rsidRPr="003C0CEC">
          <w:rPr>
            <w:rStyle w:val="Hyperlink"/>
            <w:noProof/>
            <w:lang w:val="es-419"/>
          </w:rPr>
          <w:t>Evaluación del riesgo y gestión del riesgo</w:t>
        </w:r>
        <w:r w:rsidRPr="003C0CEC">
          <w:rPr>
            <w:noProof/>
            <w:webHidden/>
          </w:rPr>
          <w:tab/>
        </w:r>
        <w:r w:rsidRPr="003C0CEC">
          <w:rPr>
            <w:noProof/>
            <w:webHidden/>
          </w:rPr>
          <w:fldChar w:fldCharType="begin"/>
        </w:r>
        <w:r w:rsidRPr="003C0CEC">
          <w:rPr>
            <w:noProof/>
            <w:webHidden/>
          </w:rPr>
          <w:instrText xml:space="preserve"> PAGEREF _Toc199016609 \h </w:instrText>
        </w:r>
        <w:r w:rsidRPr="003C0CEC">
          <w:rPr>
            <w:noProof/>
            <w:webHidden/>
          </w:rPr>
        </w:r>
        <w:r w:rsidRPr="003C0CEC">
          <w:rPr>
            <w:noProof/>
            <w:webHidden/>
          </w:rPr>
          <w:fldChar w:fldCharType="separate"/>
        </w:r>
        <w:r w:rsidR="0077454C">
          <w:rPr>
            <w:noProof/>
            <w:webHidden/>
          </w:rPr>
          <w:t>18</w:t>
        </w:r>
        <w:r w:rsidRPr="003C0CEC">
          <w:rPr>
            <w:noProof/>
            <w:webHidden/>
          </w:rPr>
          <w:fldChar w:fldCharType="end"/>
        </w:r>
      </w:hyperlink>
    </w:p>
    <w:p w14:paraId="619CA6BC" w14:textId="62FFC910" w:rsidR="003C0CEC" w:rsidRPr="003C0CEC" w:rsidRDefault="003C0CEC" w:rsidP="009F744B">
      <w:pPr>
        <w:pStyle w:val="TOC2"/>
        <w:ind w:left="2250" w:hanging="1080"/>
        <w:rPr>
          <w:rFonts w:asciiTheme="minorHAnsi" w:eastAsiaTheme="minorEastAsia" w:hAnsiTheme="minorHAnsi" w:cstheme="minorBidi"/>
          <w:noProof/>
          <w:szCs w:val="22"/>
          <w:lang w:val="en-US"/>
        </w:rPr>
      </w:pPr>
      <w:hyperlink w:anchor="_Toc199016610" w:history="1">
        <w:r w:rsidRPr="003C0CEC">
          <w:rPr>
            <w:rStyle w:val="Hyperlink"/>
            <w:noProof/>
            <w:lang w:val="es-419"/>
          </w:rPr>
          <w:t>CP-11/8.</w:t>
        </w:r>
        <w:r w:rsidRPr="003C0CEC">
          <w:rPr>
            <w:rFonts w:asciiTheme="minorHAnsi" w:eastAsiaTheme="minorEastAsia" w:hAnsiTheme="minorHAnsi" w:cstheme="minorBidi"/>
            <w:noProof/>
            <w:szCs w:val="22"/>
            <w:lang w:val="en-US"/>
          </w:rPr>
          <w:tab/>
        </w:r>
        <w:r w:rsidRPr="003C0CEC">
          <w:rPr>
            <w:rStyle w:val="Hyperlink"/>
            <w:noProof/>
            <w:lang w:val="es-419"/>
          </w:rPr>
          <w:t>Detección e identificación de organismos vivos modificados</w:t>
        </w:r>
        <w:r w:rsidRPr="003C0CEC">
          <w:rPr>
            <w:noProof/>
            <w:webHidden/>
          </w:rPr>
          <w:tab/>
        </w:r>
        <w:r w:rsidRPr="003C0CEC">
          <w:rPr>
            <w:noProof/>
            <w:webHidden/>
          </w:rPr>
          <w:fldChar w:fldCharType="begin"/>
        </w:r>
        <w:r w:rsidRPr="003C0CEC">
          <w:rPr>
            <w:noProof/>
            <w:webHidden/>
          </w:rPr>
          <w:instrText xml:space="preserve"> PAGEREF _Toc199016610 \h </w:instrText>
        </w:r>
        <w:r w:rsidRPr="003C0CEC">
          <w:rPr>
            <w:noProof/>
            <w:webHidden/>
          </w:rPr>
        </w:r>
        <w:r w:rsidRPr="003C0CEC">
          <w:rPr>
            <w:noProof/>
            <w:webHidden/>
          </w:rPr>
          <w:fldChar w:fldCharType="separate"/>
        </w:r>
        <w:r w:rsidR="0077454C">
          <w:rPr>
            <w:noProof/>
            <w:webHidden/>
          </w:rPr>
          <w:t>21</w:t>
        </w:r>
        <w:r w:rsidRPr="003C0CEC">
          <w:rPr>
            <w:noProof/>
            <w:webHidden/>
          </w:rPr>
          <w:fldChar w:fldCharType="end"/>
        </w:r>
      </w:hyperlink>
    </w:p>
    <w:p w14:paraId="51B5606C" w14:textId="376D61E0" w:rsidR="003C0CEC" w:rsidRPr="003C0CEC" w:rsidRDefault="003C0CEC" w:rsidP="009F744B">
      <w:pPr>
        <w:pStyle w:val="TOC2"/>
        <w:ind w:left="2250" w:hanging="1080"/>
        <w:rPr>
          <w:rFonts w:asciiTheme="minorHAnsi" w:eastAsiaTheme="minorEastAsia" w:hAnsiTheme="minorHAnsi" w:cstheme="minorBidi"/>
          <w:noProof/>
          <w:szCs w:val="22"/>
          <w:lang w:val="en-US"/>
        </w:rPr>
      </w:pPr>
      <w:hyperlink w:anchor="_Toc199016611" w:history="1">
        <w:r w:rsidRPr="003C0CEC">
          <w:rPr>
            <w:rStyle w:val="Hyperlink"/>
            <w:noProof/>
            <w:lang w:val="es-419"/>
          </w:rPr>
          <w:t>CP-11/9.</w:t>
        </w:r>
        <w:r w:rsidRPr="003C0CEC">
          <w:rPr>
            <w:rFonts w:asciiTheme="minorHAnsi" w:eastAsiaTheme="minorEastAsia" w:hAnsiTheme="minorHAnsi" w:cstheme="minorBidi"/>
            <w:noProof/>
            <w:szCs w:val="22"/>
            <w:lang w:val="en-US"/>
          </w:rPr>
          <w:tab/>
        </w:r>
        <w:r w:rsidRPr="003C0CEC">
          <w:rPr>
            <w:rStyle w:val="Hyperlink"/>
            <w:noProof/>
            <w:lang w:val="es-419"/>
          </w:rPr>
          <w:t>Consideraciones socioeconómicas</w:t>
        </w:r>
        <w:r w:rsidRPr="003C0CEC">
          <w:rPr>
            <w:noProof/>
            <w:webHidden/>
          </w:rPr>
          <w:tab/>
        </w:r>
        <w:r w:rsidRPr="003C0CEC">
          <w:rPr>
            <w:noProof/>
            <w:webHidden/>
          </w:rPr>
          <w:fldChar w:fldCharType="begin"/>
        </w:r>
        <w:r w:rsidRPr="003C0CEC">
          <w:rPr>
            <w:noProof/>
            <w:webHidden/>
          </w:rPr>
          <w:instrText xml:space="preserve"> PAGEREF _Toc199016611 \h </w:instrText>
        </w:r>
        <w:r w:rsidRPr="003C0CEC">
          <w:rPr>
            <w:noProof/>
            <w:webHidden/>
          </w:rPr>
        </w:r>
        <w:r w:rsidRPr="003C0CEC">
          <w:rPr>
            <w:noProof/>
            <w:webHidden/>
          </w:rPr>
          <w:fldChar w:fldCharType="separate"/>
        </w:r>
        <w:r w:rsidR="0077454C">
          <w:rPr>
            <w:noProof/>
            <w:webHidden/>
          </w:rPr>
          <w:t>23</w:t>
        </w:r>
        <w:r w:rsidRPr="003C0CEC">
          <w:rPr>
            <w:noProof/>
            <w:webHidden/>
          </w:rPr>
          <w:fldChar w:fldCharType="end"/>
        </w:r>
      </w:hyperlink>
    </w:p>
    <w:p w14:paraId="3640FF2E" w14:textId="22F48476" w:rsidR="003C0CEC" w:rsidRPr="003C0CEC" w:rsidRDefault="003C0CEC" w:rsidP="009F744B">
      <w:pPr>
        <w:pStyle w:val="TOC2"/>
        <w:ind w:left="2250" w:hanging="1080"/>
        <w:rPr>
          <w:rFonts w:asciiTheme="minorHAnsi" w:eastAsiaTheme="minorEastAsia" w:hAnsiTheme="minorHAnsi" w:cstheme="minorBidi"/>
          <w:noProof/>
          <w:szCs w:val="22"/>
          <w:lang w:val="en-US"/>
        </w:rPr>
      </w:pPr>
      <w:hyperlink w:anchor="_Toc199016612" w:history="1">
        <w:r w:rsidRPr="003C0CEC">
          <w:rPr>
            <w:rStyle w:val="Hyperlink"/>
            <w:noProof/>
            <w:lang w:val="es-419"/>
          </w:rPr>
          <w:t>CP-11/10.</w:t>
        </w:r>
        <w:r w:rsidRPr="003C0CEC">
          <w:rPr>
            <w:rFonts w:asciiTheme="minorHAnsi" w:eastAsiaTheme="minorEastAsia" w:hAnsiTheme="minorHAnsi" w:cstheme="minorBidi"/>
            <w:noProof/>
            <w:szCs w:val="22"/>
            <w:lang w:val="en-US"/>
          </w:rPr>
          <w:tab/>
        </w:r>
        <w:r w:rsidRPr="003C0CEC">
          <w:rPr>
            <w:rStyle w:val="Hyperlink"/>
            <w:noProof/>
            <w:lang w:val="es-419"/>
          </w:rPr>
          <w:t>Protocolo Suplementario de Nagoya-Kuala Lumpur sobre Responsabilidad y</w:t>
        </w:r>
        <w:r w:rsidR="009C147A">
          <w:rPr>
            <w:rStyle w:val="Hyperlink"/>
            <w:noProof/>
            <w:lang w:val="es-419"/>
          </w:rPr>
          <w:t> </w:t>
        </w:r>
        <w:r w:rsidRPr="003C0CEC">
          <w:rPr>
            <w:rStyle w:val="Hyperlink"/>
            <w:noProof/>
            <w:lang w:val="es-419"/>
          </w:rPr>
          <w:t>Compensación</w:t>
        </w:r>
        <w:r w:rsidRPr="003C0CEC">
          <w:rPr>
            <w:noProof/>
            <w:webHidden/>
          </w:rPr>
          <w:tab/>
        </w:r>
        <w:r w:rsidRPr="003C0CEC">
          <w:rPr>
            <w:noProof/>
            <w:webHidden/>
          </w:rPr>
          <w:fldChar w:fldCharType="begin"/>
        </w:r>
        <w:r w:rsidRPr="003C0CEC">
          <w:rPr>
            <w:noProof/>
            <w:webHidden/>
          </w:rPr>
          <w:instrText xml:space="preserve"> PAGEREF _Toc199016612 \h </w:instrText>
        </w:r>
        <w:r w:rsidRPr="003C0CEC">
          <w:rPr>
            <w:noProof/>
            <w:webHidden/>
          </w:rPr>
        </w:r>
        <w:r w:rsidRPr="003C0CEC">
          <w:rPr>
            <w:noProof/>
            <w:webHidden/>
          </w:rPr>
          <w:fldChar w:fldCharType="separate"/>
        </w:r>
        <w:r w:rsidR="0077454C">
          <w:rPr>
            <w:noProof/>
            <w:webHidden/>
          </w:rPr>
          <w:t>24</w:t>
        </w:r>
        <w:r w:rsidRPr="003C0CEC">
          <w:rPr>
            <w:noProof/>
            <w:webHidden/>
          </w:rPr>
          <w:fldChar w:fldCharType="end"/>
        </w:r>
      </w:hyperlink>
    </w:p>
    <w:p w14:paraId="768A496C" w14:textId="35ED59B1" w:rsidR="003C0CEC" w:rsidRPr="003C0CEC" w:rsidRDefault="003C0CEC" w:rsidP="009C147A">
      <w:pPr>
        <w:pStyle w:val="TOC2"/>
        <w:tabs>
          <w:tab w:val="clear" w:pos="3402"/>
        </w:tabs>
        <w:ind w:left="2250" w:hanging="1080"/>
        <w:rPr>
          <w:rFonts w:asciiTheme="minorHAnsi" w:eastAsiaTheme="minorEastAsia" w:hAnsiTheme="minorHAnsi" w:cstheme="minorBidi"/>
          <w:noProof/>
          <w:szCs w:val="22"/>
          <w:lang w:val="en-US"/>
        </w:rPr>
      </w:pPr>
      <w:hyperlink w:anchor="_Toc199016613" w:history="1">
        <w:r w:rsidRPr="003C0CEC">
          <w:rPr>
            <w:rStyle w:val="Hyperlink"/>
            <w:noProof/>
            <w:lang w:val="es-419"/>
          </w:rPr>
          <w:t>CP-11/11.</w:t>
        </w:r>
        <w:r w:rsidRPr="003C0CEC">
          <w:rPr>
            <w:rFonts w:asciiTheme="minorHAnsi" w:eastAsiaTheme="minorEastAsia" w:hAnsiTheme="minorHAnsi" w:cstheme="minorBidi"/>
            <w:noProof/>
            <w:szCs w:val="22"/>
            <w:lang w:val="en-US"/>
          </w:rPr>
          <w:tab/>
        </w:r>
        <w:r w:rsidRPr="003C0CEC">
          <w:rPr>
            <w:rStyle w:val="Hyperlink"/>
            <w:noProof/>
            <w:lang w:val="es-419"/>
          </w:rPr>
          <w:t>Administración del Protocolo de Cartagena y presupuesto para los fondos fiduciarios</w:t>
        </w:r>
        <w:r w:rsidRPr="003C0CEC">
          <w:rPr>
            <w:noProof/>
            <w:webHidden/>
          </w:rPr>
          <w:tab/>
        </w:r>
        <w:r w:rsidRPr="003C0CEC">
          <w:rPr>
            <w:noProof/>
            <w:webHidden/>
          </w:rPr>
          <w:fldChar w:fldCharType="begin"/>
        </w:r>
        <w:r w:rsidRPr="003C0CEC">
          <w:rPr>
            <w:noProof/>
            <w:webHidden/>
          </w:rPr>
          <w:instrText xml:space="preserve"> PAGEREF _Toc199016613 \h </w:instrText>
        </w:r>
        <w:r w:rsidRPr="003C0CEC">
          <w:rPr>
            <w:noProof/>
            <w:webHidden/>
          </w:rPr>
        </w:r>
        <w:r w:rsidRPr="003C0CEC">
          <w:rPr>
            <w:noProof/>
            <w:webHidden/>
          </w:rPr>
          <w:fldChar w:fldCharType="separate"/>
        </w:r>
        <w:r w:rsidR="0077454C">
          <w:rPr>
            <w:noProof/>
            <w:webHidden/>
          </w:rPr>
          <w:t>26</w:t>
        </w:r>
        <w:r w:rsidRPr="003C0CEC">
          <w:rPr>
            <w:noProof/>
            <w:webHidden/>
          </w:rPr>
          <w:fldChar w:fldCharType="end"/>
        </w:r>
      </w:hyperlink>
    </w:p>
    <w:p w14:paraId="322F998A" w14:textId="08BF430A" w:rsidR="003C0CEC" w:rsidRPr="003C0CEC" w:rsidRDefault="003C0CEC" w:rsidP="009F744B">
      <w:pPr>
        <w:pStyle w:val="TOC2"/>
        <w:ind w:left="2250" w:hanging="1080"/>
        <w:rPr>
          <w:rFonts w:asciiTheme="minorHAnsi" w:eastAsiaTheme="minorEastAsia" w:hAnsiTheme="minorHAnsi" w:cstheme="minorBidi"/>
          <w:noProof/>
          <w:szCs w:val="22"/>
          <w:lang w:val="en-US"/>
        </w:rPr>
      </w:pPr>
      <w:hyperlink w:anchor="_Toc199016614" w:history="1">
        <w:r w:rsidRPr="003C0CEC">
          <w:rPr>
            <w:rStyle w:val="Hyperlink"/>
            <w:noProof/>
            <w:lang w:val="es-419" w:eastAsia="ko-KR"/>
          </w:rPr>
          <w:t>CP-11/12.</w:t>
        </w:r>
        <w:r w:rsidRPr="003C0CEC">
          <w:rPr>
            <w:rFonts w:asciiTheme="minorHAnsi" w:eastAsiaTheme="minorEastAsia" w:hAnsiTheme="minorHAnsi" w:cstheme="minorBidi"/>
            <w:noProof/>
            <w:szCs w:val="22"/>
            <w:lang w:val="en-US"/>
          </w:rPr>
          <w:tab/>
        </w:r>
        <w:r w:rsidRPr="009C147A">
          <w:rPr>
            <w:rStyle w:val="Hyperlink"/>
            <w:noProof/>
            <w:lang w:val="es-419" w:eastAsia="ko-KR"/>
          </w:rPr>
          <w:t>Costos de la celebración de una continuación presencial de la 11ª reunión de</w:t>
        </w:r>
        <w:r w:rsidR="009C147A">
          <w:rPr>
            <w:rStyle w:val="Hyperlink"/>
            <w:noProof/>
            <w:lang w:val="es-419" w:eastAsia="ko-KR"/>
          </w:rPr>
          <w:t> </w:t>
        </w:r>
        <w:r w:rsidRPr="009C147A">
          <w:rPr>
            <w:rStyle w:val="Hyperlink"/>
            <w:noProof/>
            <w:lang w:val="es-419" w:eastAsia="ko-KR"/>
          </w:rPr>
          <w:t>la</w:t>
        </w:r>
        <w:r w:rsidR="009C147A">
          <w:rPr>
            <w:rStyle w:val="Hyperlink"/>
            <w:noProof/>
            <w:lang w:val="es-419" w:eastAsia="ko-KR"/>
          </w:rPr>
          <w:t> </w:t>
        </w:r>
        <w:r w:rsidRPr="009C147A">
          <w:rPr>
            <w:rStyle w:val="Hyperlink"/>
            <w:noProof/>
            <w:lang w:val="es-419" w:eastAsia="ko-KR"/>
          </w:rPr>
          <w:t>Conferencia de las Partes en el Convenio sobre la Diversidad Biológica</w:t>
        </w:r>
        <w:r w:rsidRPr="009C147A">
          <w:rPr>
            <w:rStyle w:val="Hyperlink"/>
            <w:rFonts w:ascii="Times New Roman Bold" w:hAnsi="Times New Roman Bold"/>
            <w:noProof/>
            <w:lang w:val="es-419" w:eastAsia="ko-KR"/>
          </w:rPr>
          <w:t xml:space="preserve"> </w:t>
        </w:r>
        <w:r w:rsidRPr="009C147A">
          <w:rPr>
            <w:rStyle w:val="Hyperlink"/>
            <w:noProof/>
            <w:lang w:val="es-419" w:eastAsia="ko-KR"/>
          </w:rPr>
          <w:t>que actúa</w:t>
        </w:r>
        <w:r w:rsidR="009C147A" w:rsidRPr="009C147A">
          <w:rPr>
            <w:rStyle w:val="Hyperlink"/>
            <w:noProof/>
            <w:lang w:val="es-419" w:eastAsia="ko-KR"/>
          </w:rPr>
          <w:t> </w:t>
        </w:r>
        <w:r w:rsidRPr="009C147A">
          <w:rPr>
            <w:rStyle w:val="Hyperlink"/>
            <w:noProof/>
            <w:lang w:val="es-419" w:eastAsia="ko-KR"/>
          </w:rPr>
          <w:t>como reunión de las Partes en el Protocolo de Cartagena sobre Seguridad</w:t>
        </w:r>
        <w:r w:rsidR="009C147A">
          <w:rPr>
            <w:rStyle w:val="Hyperlink"/>
            <w:noProof/>
            <w:lang w:val="es-419" w:eastAsia="ko-KR"/>
          </w:rPr>
          <w:t> </w:t>
        </w:r>
        <w:r w:rsidRPr="009C147A">
          <w:rPr>
            <w:rStyle w:val="Hyperlink"/>
            <w:noProof/>
            <w:lang w:val="es-419" w:eastAsia="ko-KR"/>
          </w:rPr>
          <w:t>de la Biotecnología</w:t>
        </w:r>
        <w:r w:rsidRPr="003C0CEC">
          <w:rPr>
            <w:noProof/>
            <w:webHidden/>
          </w:rPr>
          <w:tab/>
        </w:r>
        <w:r w:rsidRPr="003C0CEC">
          <w:rPr>
            <w:noProof/>
            <w:webHidden/>
          </w:rPr>
          <w:fldChar w:fldCharType="begin"/>
        </w:r>
        <w:r w:rsidRPr="003C0CEC">
          <w:rPr>
            <w:noProof/>
            <w:webHidden/>
          </w:rPr>
          <w:instrText xml:space="preserve"> PAGEREF _Toc199016614 \h </w:instrText>
        </w:r>
        <w:r w:rsidRPr="003C0CEC">
          <w:rPr>
            <w:noProof/>
            <w:webHidden/>
          </w:rPr>
        </w:r>
        <w:r w:rsidRPr="003C0CEC">
          <w:rPr>
            <w:noProof/>
            <w:webHidden/>
          </w:rPr>
          <w:fldChar w:fldCharType="separate"/>
        </w:r>
        <w:r w:rsidR="0077454C">
          <w:rPr>
            <w:noProof/>
            <w:webHidden/>
          </w:rPr>
          <w:t>32</w:t>
        </w:r>
        <w:r w:rsidRPr="003C0CEC">
          <w:rPr>
            <w:noProof/>
            <w:webHidden/>
          </w:rPr>
          <w:fldChar w:fldCharType="end"/>
        </w:r>
      </w:hyperlink>
    </w:p>
    <w:p w14:paraId="67220CC9" w14:textId="2803CF3A" w:rsidR="003C0CEC" w:rsidRPr="003C0CEC" w:rsidRDefault="003C0CEC">
      <w:pPr>
        <w:pStyle w:val="TOC1"/>
        <w:rPr>
          <w:rFonts w:asciiTheme="minorHAnsi" w:eastAsiaTheme="minorEastAsia" w:hAnsiTheme="minorHAnsi" w:cstheme="minorBidi"/>
          <w:b w:val="0"/>
          <w:szCs w:val="22"/>
          <w:lang w:val="en-US"/>
        </w:rPr>
      </w:pPr>
      <w:hyperlink w:anchor="_Toc199016615" w:history="1">
        <w:r w:rsidRPr="009F744B">
          <w:rPr>
            <w:rStyle w:val="Hyperlink"/>
            <w:rFonts w:ascii="Times New Roman Bold" w:hAnsi="Times New Roman Bold"/>
            <w:lang w:val="es-419"/>
          </w:rPr>
          <w:t>II.</w:t>
        </w:r>
        <w:r w:rsidRPr="009F744B">
          <w:rPr>
            <w:rFonts w:ascii="Times New Roman Bold" w:eastAsiaTheme="minorEastAsia" w:hAnsi="Times New Roman Bold" w:cstheme="minorBidi"/>
            <w:szCs w:val="22"/>
            <w:lang w:val="en-US"/>
          </w:rPr>
          <w:tab/>
        </w:r>
        <w:r w:rsidRPr="009F744B">
          <w:rPr>
            <w:rStyle w:val="Hyperlink"/>
            <w:rFonts w:ascii="Times New Roman Bold" w:hAnsi="Times New Roman Bold"/>
            <w:lang w:val="es-419"/>
          </w:rPr>
          <w:t>Resumen de las deliberaciones de la reunión</w:t>
        </w:r>
        <w:r w:rsidRPr="003C0CEC">
          <w:rPr>
            <w:b w:val="0"/>
            <w:webHidden/>
          </w:rPr>
          <w:tab/>
        </w:r>
        <w:r w:rsidRPr="003C0CEC">
          <w:rPr>
            <w:b w:val="0"/>
            <w:webHidden/>
          </w:rPr>
          <w:fldChar w:fldCharType="begin"/>
        </w:r>
        <w:r w:rsidRPr="003C0CEC">
          <w:rPr>
            <w:b w:val="0"/>
            <w:webHidden/>
          </w:rPr>
          <w:instrText xml:space="preserve"> PAGEREF _Toc199016615 \h </w:instrText>
        </w:r>
        <w:r w:rsidRPr="003C0CEC">
          <w:rPr>
            <w:b w:val="0"/>
            <w:webHidden/>
          </w:rPr>
        </w:r>
        <w:r w:rsidRPr="003C0CEC">
          <w:rPr>
            <w:b w:val="0"/>
            <w:webHidden/>
          </w:rPr>
          <w:fldChar w:fldCharType="separate"/>
        </w:r>
        <w:r w:rsidR="0077454C">
          <w:rPr>
            <w:b w:val="0"/>
            <w:webHidden/>
          </w:rPr>
          <w:t>33</w:t>
        </w:r>
        <w:r w:rsidRPr="003C0CEC">
          <w:rPr>
            <w:b w:val="0"/>
            <w:webHidden/>
          </w:rPr>
          <w:fldChar w:fldCharType="end"/>
        </w:r>
      </w:hyperlink>
    </w:p>
    <w:p w14:paraId="20516A11" w14:textId="314EC08C" w:rsidR="003C0CEC" w:rsidRPr="003C0CEC" w:rsidRDefault="003C0CEC" w:rsidP="009C147A">
      <w:pPr>
        <w:pStyle w:val="TOC2"/>
        <w:tabs>
          <w:tab w:val="clear" w:pos="624"/>
          <w:tab w:val="clear" w:pos="1247"/>
          <w:tab w:val="clear" w:pos="1871"/>
          <w:tab w:val="clear" w:pos="2495"/>
          <w:tab w:val="clear" w:pos="2835"/>
          <w:tab w:val="clear" w:pos="3402"/>
        </w:tabs>
        <w:ind w:left="2250" w:hanging="1080"/>
        <w:rPr>
          <w:rFonts w:asciiTheme="minorHAnsi" w:eastAsiaTheme="minorEastAsia" w:hAnsiTheme="minorHAnsi" w:cstheme="minorBidi"/>
          <w:noProof/>
          <w:szCs w:val="22"/>
          <w:lang w:val="en-US"/>
        </w:rPr>
      </w:pPr>
      <w:hyperlink w:anchor="_Toc199016616" w:history="1">
        <w:r w:rsidRPr="003C0CEC">
          <w:rPr>
            <w:rStyle w:val="Hyperlink"/>
            <w:noProof/>
            <w:lang w:val="es-419"/>
          </w:rPr>
          <w:t>Antecedentes</w:t>
        </w:r>
        <w:r w:rsidRPr="003C0CEC">
          <w:rPr>
            <w:noProof/>
            <w:webHidden/>
          </w:rPr>
          <w:tab/>
        </w:r>
        <w:r w:rsidRPr="003C0CEC">
          <w:rPr>
            <w:noProof/>
            <w:webHidden/>
          </w:rPr>
          <w:fldChar w:fldCharType="begin"/>
        </w:r>
        <w:r w:rsidRPr="003C0CEC">
          <w:rPr>
            <w:noProof/>
            <w:webHidden/>
          </w:rPr>
          <w:instrText xml:space="preserve"> PAGEREF _Toc199016616 \h </w:instrText>
        </w:r>
        <w:r w:rsidRPr="003C0CEC">
          <w:rPr>
            <w:noProof/>
            <w:webHidden/>
          </w:rPr>
        </w:r>
        <w:r w:rsidRPr="003C0CEC">
          <w:rPr>
            <w:noProof/>
            <w:webHidden/>
          </w:rPr>
          <w:fldChar w:fldCharType="separate"/>
        </w:r>
        <w:r w:rsidR="0077454C">
          <w:rPr>
            <w:noProof/>
            <w:webHidden/>
          </w:rPr>
          <w:t>33</w:t>
        </w:r>
        <w:r w:rsidRPr="003C0CEC">
          <w:rPr>
            <w:noProof/>
            <w:webHidden/>
          </w:rPr>
          <w:fldChar w:fldCharType="end"/>
        </w:r>
      </w:hyperlink>
    </w:p>
    <w:p w14:paraId="6E5EC8FE" w14:textId="27E49D20" w:rsidR="003C0CEC" w:rsidRPr="003C0CEC" w:rsidRDefault="003C0CEC" w:rsidP="009C147A">
      <w:pPr>
        <w:pStyle w:val="TOC2"/>
        <w:tabs>
          <w:tab w:val="clear" w:pos="2495"/>
          <w:tab w:val="clear" w:pos="2835"/>
          <w:tab w:val="clear" w:pos="3402"/>
        </w:tabs>
        <w:ind w:left="1890" w:hanging="720"/>
        <w:rPr>
          <w:rFonts w:asciiTheme="minorHAnsi" w:eastAsiaTheme="minorEastAsia" w:hAnsiTheme="minorHAnsi" w:cstheme="minorBidi"/>
          <w:noProof/>
          <w:szCs w:val="22"/>
          <w:lang w:val="en-US"/>
        </w:rPr>
      </w:pPr>
      <w:hyperlink w:anchor="_Toc199016617" w:history="1">
        <w:r w:rsidRPr="003C0CEC">
          <w:rPr>
            <w:rStyle w:val="Hyperlink"/>
            <w:noProof/>
            <w:lang w:val="es-419"/>
          </w:rPr>
          <w:t>Asistencia</w:t>
        </w:r>
        <w:r w:rsidRPr="003C0CEC">
          <w:rPr>
            <w:noProof/>
            <w:webHidden/>
          </w:rPr>
          <w:tab/>
        </w:r>
        <w:r w:rsidRPr="003C0CEC">
          <w:rPr>
            <w:noProof/>
            <w:webHidden/>
          </w:rPr>
          <w:fldChar w:fldCharType="begin"/>
        </w:r>
        <w:r w:rsidRPr="003C0CEC">
          <w:rPr>
            <w:noProof/>
            <w:webHidden/>
          </w:rPr>
          <w:instrText xml:space="preserve"> PAGEREF _Toc199016617 \h </w:instrText>
        </w:r>
        <w:r w:rsidRPr="003C0CEC">
          <w:rPr>
            <w:noProof/>
            <w:webHidden/>
          </w:rPr>
        </w:r>
        <w:r w:rsidRPr="003C0CEC">
          <w:rPr>
            <w:noProof/>
            <w:webHidden/>
          </w:rPr>
          <w:fldChar w:fldCharType="separate"/>
        </w:r>
        <w:r w:rsidR="0077454C">
          <w:rPr>
            <w:noProof/>
            <w:webHidden/>
          </w:rPr>
          <w:t>33</w:t>
        </w:r>
        <w:r w:rsidRPr="003C0CEC">
          <w:rPr>
            <w:noProof/>
            <w:webHidden/>
          </w:rPr>
          <w:fldChar w:fldCharType="end"/>
        </w:r>
      </w:hyperlink>
    </w:p>
    <w:p w14:paraId="4551A8AA" w14:textId="6F3049C4" w:rsidR="003C0CEC" w:rsidRPr="003C0CEC" w:rsidRDefault="003C0CEC" w:rsidP="00E77CAC">
      <w:pPr>
        <w:pStyle w:val="TOC2"/>
        <w:tabs>
          <w:tab w:val="clear" w:pos="1871"/>
          <w:tab w:val="left" w:pos="2160"/>
        </w:tabs>
        <w:ind w:left="2160" w:hanging="990"/>
        <w:rPr>
          <w:rFonts w:asciiTheme="minorHAnsi" w:eastAsiaTheme="minorEastAsia" w:hAnsiTheme="minorHAnsi" w:cstheme="minorBidi"/>
          <w:noProof/>
          <w:szCs w:val="22"/>
          <w:lang w:val="en-US"/>
        </w:rPr>
      </w:pPr>
      <w:hyperlink w:anchor="_Toc199016618" w:history="1">
        <w:r w:rsidRPr="003C0CEC">
          <w:rPr>
            <w:rStyle w:val="Hyperlink"/>
            <w:noProof/>
            <w:lang w:val="es-419"/>
          </w:rPr>
          <w:t>Tema 1</w:t>
        </w:r>
        <w:r w:rsidR="007363C8">
          <w:rPr>
            <w:rStyle w:val="Hyperlink"/>
            <w:noProof/>
            <w:lang w:val="es-419"/>
          </w:rPr>
          <w:t>.</w:t>
        </w:r>
        <w:r w:rsidR="00E77CAC">
          <w:rPr>
            <w:rStyle w:val="Hyperlink"/>
            <w:noProof/>
            <w:lang w:val="es-419"/>
          </w:rPr>
          <w:tab/>
        </w:r>
        <w:r w:rsidRPr="003C0CEC">
          <w:rPr>
            <w:rStyle w:val="Hyperlink"/>
            <w:noProof/>
            <w:lang w:val="es-419"/>
          </w:rPr>
          <w:t>Apertura de la reunión</w:t>
        </w:r>
        <w:r w:rsidRPr="003C0CEC">
          <w:rPr>
            <w:noProof/>
            <w:webHidden/>
          </w:rPr>
          <w:tab/>
        </w:r>
        <w:r w:rsidRPr="003C0CEC">
          <w:rPr>
            <w:noProof/>
            <w:webHidden/>
          </w:rPr>
          <w:fldChar w:fldCharType="begin"/>
        </w:r>
        <w:r w:rsidRPr="003C0CEC">
          <w:rPr>
            <w:noProof/>
            <w:webHidden/>
          </w:rPr>
          <w:instrText xml:space="preserve"> PAGEREF _Toc199016618 \h </w:instrText>
        </w:r>
        <w:r w:rsidRPr="003C0CEC">
          <w:rPr>
            <w:noProof/>
            <w:webHidden/>
          </w:rPr>
        </w:r>
        <w:r w:rsidRPr="003C0CEC">
          <w:rPr>
            <w:noProof/>
            <w:webHidden/>
          </w:rPr>
          <w:fldChar w:fldCharType="separate"/>
        </w:r>
        <w:r w:rsidR="0077454C">
          <w:rPr>
            <w:noProof/>
            <w:webHidden/>
          </w:rPr>
          <w:t>33</w:t>
        </w:r>
        <w:r w:rsidRPr="003C0CEC">
          <w:rPr>
            <w:noProof/>
            <w:webHidden/>
          </w:rPr>
          <w:fldChar w:fldCharType="end"/>
        </w:r>
      </w:hyperlink>
    </w:p>
    <w:p w14:paraId="68C06D47" w14:textId="55555D8E" w:rsidR="003C0CEC" w:rsidRPr="003C0CEC" w:rsidRDefault="003C0CEC" w:rsidP="00E77CAC">
      <w:pPr>
        <w:pStyle w:val="TOC2"/>
        <w:tabs>
          <w:tab w:val="clear" w:pos="1871"/>
          <w:tab w:val="clear" w:pos="2495"/>
          <w:tab w:val="left" w:pos="2160"/>
        </w:tabs>
        <w:ind w:hanging="1438"/>
        <w:rPr>
          <w:rFonts w:asciiTheme="minorHAnsi" w:eastAsiaTheme="minorEastAsia" w:hAnsiTheme="minorHAnsi" w:cstheme="minorBidi"/>
          <w:noProof/>
          <w:szCs w:val="22"/>
          <w:lang w:val="en-US"/>
        </w:rPr>
      </w:pPr>
      <w:hyperlink w:anchor="_Toc199016619" w:history="1">
        <w:r w:rsidRPr="003C0CEC">
          <w:rPr>
            <w:rStyle w:val="Hyperlink"/>
            <w:noProof/>
            <w:lang w:val="es-419"/>
          </w:rPr>
          <w:t>Tema 2</w:t>
        </w:r>
        <w:r w:rsidR="007363C8">
          <w:rPr>
            <w:rStyle w:val="Hyperlink"/>
            <w:noProof/>
            <w:lang w:val="es-419"/>
          </w:rPr>
          <w:t>.</w:t>
        </w:r>
        <w:r w:rsidR="00E77CAC">
          <w:rPr>
            <w:rStyle w:val="Hyperlink"/>
            <w:noProof/>
            <w:lang w:val="es-419"/>
          </w:rPr>
          <w:tab/>
        </w:r>
        <w:r w:rsidRPr="003C0CEC">
          <w:rPr>
            <w:rStyle w:val="Hyperlink"/>
            <w:noProof/>
            <w:lang w:val="es-419"/>
          </w:rPr>
          <w:t>Cuestiones de organización</w:t>
        </w:r>
        <w:r w:rsidRPr="003C0CEC">
          <w:rPr>
            <w:noProof/>
            <w:webHidden/>
          </w:rPr>
          <w:tab/>
        </w:r>
        <w:r w:rsidRPr="003C0CEC">
          <w:rPr>
            <w:noProof/>
            <w:webHidden/>
          </w:rPr>
          <w:fldChar w:fldCharType="begin"/>
        </w:r>
        <w:r w:rsidRPr="003C0CEC">
          <w:rPr>
            <w:noProof/>
            <w:webHidden/>
          </w:rPr>
          <w:instrText xml:space="preserve"> PAGEREF _Toc199016619 \h </w:instrText>
        </w:r>
        <w:r w:rsidRPr="003C0CEC">
          <w:rPr>
            <w:noProof/>
            <w:webHidden/>
          </w:rPr>
        </w:r>
        <w:r w:rsidRPr="003C0CEC">
          <w:rPr>
            <w:noProof/>
            <w:webHidden/>
          </w:rPr>
          <w:fldChar w:fldCharType="separate"/>
        </w:r>
        <w:r w:rsidR="0077454C">
          <w:rPr>
            <w:noProof/>
            <w:webHidden/>
          </w:rPr>
          <w:t>34</w:t>
        </w:r>
        <w:r w:rsidRPr="003C0CEC">
          <w:rPr>
            <w:noProof/>
            <w:webHidden/>
          </w:rPr>
          <w:fldChar w:fldCharType="end"/>
        </w:r>
      </w:hyperlink>
    </w:p>
    <w:p w14:paraId="392D2FBC" w14:textId="036858EE" w:rsidR="003C0CEC" w:rsidRPr="003C0CEC" w:rsidRDefault="003C0CEC" w:rsidP="00E77CAC">
      <w:pPr>
        <w:pStyle w:val="TOC2"/>
        <w:tabs>
          <w:tab w:val="clear" w:pos="1871"/>
          <w:tab w:val="left" w:pos="2160"/>
        </w:tabs>
        <w:ind w:left="2160" w:hanging="990"/>
        <w:rPr>
          <w:rFonts w:asciiTheme="minorHAnsi" w:eastAsiaTheme="minorEastAsia" w:hAnsiTheme="minorHAnsi" w:cstheme="minorBidi"/>
          <w:noProof/>
          <w:szCs w:val="22"/>
          <w:lang w:val="en-US"/>
        </w:rPr>
      </w:pPr>
      <w:hyperlink w:anchor="_Toc199016620" w:history="1">
        <w:r w:rsidRPr="003C0CEC">
          <w:rPr>
            <w:rStyle w:val="Hyperlink"/>
            <w:noProof/>
            <w:lang w:val="es-419"/>
          </w:rPr>
          <w:t>Tema 3</w:t>
        </w:r>
        <w:r w:rsidR="007363C8">
          <w:rPr>
            <w:rStyle w:val="Hyperlink"/>
            <w:noProof/>
            <w:lang w:val="es-419"/>
          </w:rPr>
          <w:t>.</w:t>
        </w:r>
        <w:r w:rsidR="00E77CAC">
          <w:rPr>
            <w:rStyle w:val="Hyperlink"/>
            <w:noProof/>
            <w:lang w:val="es-419"/>
          </w:rPr>
          <w:tab/>
        </w:r>
        <w:r w:rsidRPr="003C0CEC">
          <w:rPr>
            <w:rStyle w:val="Hyperlink"/>
            <w:noProof/>
            <w:lang w:val="es-419"/>
          </w:rPr>
          <w:t>Informe sobre las credenciales de los representantes que participan en la 11</w:t>
        </w:r>
        <w:r w:rsidRPr="003C0CEC">
          <w:rPr>
            <w:rStyle w:val="Hyperlink"/>
            <w:noProof/>
            <w:vertAlign w:val="superscript"/>
            <w:lang w:val="es-419"/>
          </w:rPr>
          <w:t>a</w:t>
        </w:r>
        <w:r w:rsidR="009C147A">
          <w:rPr>
            <w:rStyle w:val="Hyperlink"/>
            <w:noProof/>
            <w:lang w:val="es-419"/>
          </w:rPr>
          <w:t> </w:t>
        </w:r>
        <w:r w:rsidRPr="003C0CEC">
          <w:rPr>
            <w:rStyle w:val="Hyperlink"/>
            <w:noProof/>
            <w:lang w:val="es-419"/>
          </w:rPr>
          <w:t>reunión de la Conferencia de las Partes que actúa como reunión de las Partes</w:t>
        </w:r>
        <w:r w:rsidR="009C147A">
          <w:rPr>
            <w:rStyle w:val="Hyperlink"/>
            <w:noProof/>
            <w:lang w:val="es-419"/>
          </w:rPr>
          <w:t> </w:t>
        </w:r>
        <w:r w:rsidRPr="003C0CEC">
          <w:rPr>
            <w:rStyle w:val="Hyperlink"/>
            <w:noProof/>
            <w:lang w:val="es-419"/>
          </w:rPr>
          <w:t>en el Protocolo de Cartagena</w:t>
        </w:r>
        <w:r w:rsidRPr="003C0CEC">
          <w:rPr>
            <w:noProof/>
            <w:webHidden/>
          </w:rPr>
          <w:tab/>
        </w:r>
        <w:r w:rsidRPr="003C0CEC">
          <w:rPr>
            <w:noProof/>
            <w:webHidden/>
          </w:rPr>
          <w:fldChar w:fldCharType="begin"/>
        </w:r>
        <w:r w:rsidRPr="003C0CEC">
          <w:rPr>
            <w:noProof/>
            <w:webHidden/>
          </w:rPr>
          <w:instrText xml:space="preserve"> PAGEREF _Toc199016620 \h </w:instrText>
        </w:r>
        <w:r w:rsidRPr="003C0CEC">
          <w:rPr>
            <w:noProof/>
            <w:webHidden/>
          </w:rPr>
        </w:r>
        <w:r w:rsidRPr="003C0CEC">
          <w:rPr>
            <w:noProof/>
            <w:webHidden/>
          </w:rPr>
          <w:fldChar w:fldCharType="separate"/>
        </w:r>
        <w:r w:rsidR="0077454C">
          <w:rPr>
            <w:noProof/>
            <w:webHidden/>
          </w:rPr>
          <w:t>37</w:t>
        </w:r>
        <w:r w:rsidRPr="003C0CEC">
          <w:rPr>
            <w:noProof/>
            <w:webHidden/>
          </w:rPr>
          <w:fldChar w:fldCharType="end"/>
        </w:r>
      </w:hyperlink>
    </w:p>
    <w:p w14:paraId="158D0B34" w14:textId="70EBD481" w:rsidR="003C0CEC" w:rsidRPr="003C0CEC" w:rsidRDefault="003C0CEC" w:rsidP="00E77CAC">
      <w:pPr>
        <w:pStyle w:val="TOC2"/>
        <w:tabs>
          <w:tab w:val="clear" w:pos="1871"/>
        </w:tabs>
        <w:ind w:left="2160" w:hanging="990"/>
        <w:rPr>
          <w:rFonts w:asciiTheme="minorHAnsi" w:eastAsiaTheme="minorEastAsia" w:hAnsiTheme="minorHAnsi" w:cstheme="minorBidi"/>
          <w:noProof/>
          <w:szCs w:val="22"/>
          <w:lang w:val="en-US"/>
        </w:rPr>
      </w:pPr>
      <w:hyperlink w:anchor="_Toc199016621" w:history="1">
        <w:r w:rsidRPr="003C0CEC">
          <w:rPr>
            <w:rStyle w:val="Hyperlink"/>
            <w:noProof/>
            <w:lang w:val="es-419"/>
          </w:rPr>
          <w:t>Tema 4</w:t>
        </w:r>
        <w:r w:rsidR="007363C8">
          <w:rPr>
            <w:rStyle w:val="Hyperlink"/>
            <w:noProof/>
            <w:lang w:val="es-419"/>
          </w:rPr>
          <w:t>.</w:t>
        </w:r>
        <w:r w:rsidR="00E77CAC">
          <w:rPr>
            <w:rStyle w:val="Hyperlink"/>
            <w:noProof/>
            <w:lang w:val="es-419"/>
          </w:rPr>
          <w:tab/>
        </w:r>
        <w:r w:rsidRPr="003C0CEC">
          <w:rPr>
            <w:rStyle w:val="Hyperlink"/>
            <w:noProof/>
            <w:lang w:val="es-419"/>
          </w:rPr>
          <w:t>Informes de los órganos subsidiarios</w:t>
        </w:r>
        <w:r w:rsidRPr="003C0CEC">
          <w:rPr>
            <w:noProof/>
            <w:webHidden/>
          </w:rPr>
          <w:tab/>
        </w:r>
        <w:r w:rsidRPr="003C0CEC">
          <w:rPr>
            <w:noProof/>
            <w:webHidden/>
          </w:rPr>
          <w:fldChar w:fldCharType="begin"/>
        </w:r>
        <w:r w:rsidRPr="003C0CEC">
          <w:rPr>
            <w:noProof/>
            <w:webHidden/>
          </w:rPr>
          <w:instrText xml:space="preserve"> PAGEREF _Toc199016621 \h </w:instrText>
        </w:r>
        <w:r w:rsidRPr="003C0CEC">
          <w:rPr>
            <w:noProof/>
            <w:webHidden/>
          </w:rPr>
        </w:r>
        <w:r w:rsidRPr="003C0CEC">
          <w:rPr>
            <w:noProof/>
            <w:webHidden/>
          </w:rPr>
          <w:fldChar w:fldCharType="separate"/>
        </w:r>
        <w:r w:rsidR="0077454C">
          <w:rPr>
            <w:noProof/>
            <w:webHidden/>
          </w:rPr>
          <w:t>38</w:t>
        </w:r>
        <w:r w:rsidRPr="003C0CEC">
          <w:rPr>
            <w:noProof/>
            <w:webHidden/>
          </w:rPr>
          <w:fldChar w:fldCharType="end"/>
        </w:r>
      </w:hyperlink>
    </w:p>
    <w:p w14:paraId="5EF37D71" w14:textId="6A35721C" w:rsidR="003C0CEC" w:rsidRPr="003C0CEC" w:rsidRDefault="00E77CAC" w:rsidP="00E77CAC">
      <w:pPr>
        <w:pStyle w:val="TOC2"/>
        <w:tabs>
          <w:tab w:val="clear" w:pos="1871"/>
        </w:tabs>
        <w:ind w:left="2160" w:hanging="990"/>
        <w:rPr>
          <w:rFonts w:asciiTheme="minorHAnsi" w:eastAsiaTheme="minorEastAsia" w:hAnsiTheme="minorHAnsi" w:cstheme="minorBidi"/>
          <w:noProof/>
          <w:szCs w:val="22"/>
          <w:lang w:val="en-US"/>
        </w:rPr>
      </w:pPr>
      <w:hyperlink w:anchor="_Toc199016622" w:history="1">
        <w:r>
          <w:rPr>
            <w:rStyle w:val="Hyperlink"/>
            <w:noProof/>
            <w:lang w:val="es-419"/>
          </w:rPr>
          <w:t>Tema 5</w:t>
        </w:r>
        <w:r w:rsidR="007363C8">
          <w:rPr>
            <w:rStyle w:val="Hyperlink"/>
            <w:noProof/>
            <w:lang w:val="es-419"/>
          </w:rPr>
          <w:t>.</w:t>
        </w:r>
        <w:r>
          <w:rPr>
            <w:rStyle w:val="Hyperlink"/>
            <w:noProof/>
            <w:lang w:val="es-419"/>
          </w:rPr>
          <w:tab/>
        </w:r>
        <w:r w:rsidR="003C0CEC" w:rsidRPr="003C0CEC">
          <w:rPr>
            <w:rStyle w:val="Hyperlink"/>
            <w:noProof/>
            <w:lang w:val="es-419"/>
          </w:rPr>
          <w:t>Informe del Comité de Cumplimiento</w:t>
        </w:r>
        <w:r w:rsidR="003C0CEC" w:rsidRPr="003C0CEC">
          <w:rPr>
            <w:noProof/>
            <w:webHidden/>
          </w:rPr>
          <w:tab/>
        </w:r>
        <w:r w:rsidR="003C0CEC" w:rsidRPr="003C0CEC">
          <w:rPr>
            <w:noProof/>
            <w:webHidden/>
          </w:rPr>
          <w:fldChar w:fldCharType="begin"/>
        </w:r>
        <w:r w:rsidR="003C0CEC" w:rsidRPr="003C0CEC">
          <w:rPr>
            <w:noProof/>
            <w:webHidden/>
          </w:rPr>
          <w:instrText xml:space="preserve"> PAGEREF _Toc199016622 \h </w:instrText>
        </w:r>
        <w:r w:rsidR="003C0CEC" w:rsidRPr="003C0CEC">
          <w:rPr>
            <w:noProof/>
            <w:webHidden/>
          </w:rPr>
        </w:r>
        <w:r w:rsidR="003C0CEC" w:rsidRPr="003C0CEC">
          <w:rPr>
            <w:noProof/>
            <w:webHidden/>
          </w:rPr>
          <w:fldChar w:fldCharType="separate"/>
        </w:r>
        <w:r w:rsidR="0077454C">
          <w:rPr>
            <w:noProof/>
            <w:webHidden/>
          </w:rPr>
          <w:t>38</w:t>
        </w:r>
        <w:r w:rsidR="003C0CEC" w:rsidRPr="003C0CEC">
          <w:rPr>
            <w:noProof/>
            <w:webHidden/>
          </w:rPr>
          <w:fldChar w:fldCharType="end"/>
        </w:r>
      </w:hyperlink>
    </w:p>
    <w:p w14:paraId="3E2030B1" w14:textId="6AFF28A6" w:rsidR="003C0CEC" w:rsidRPr="003C0CEC" w:rsidRDefault="003C0CEC" w:rsidP="00E77CAC">
      <w:pPr>
        <w:pStyle w:val="TOC2"/>
        <w:tabs>
          <w:tab w:val="clear" w:pos="1871"/>
          <w:tab w:val="left" w:pos="2160"/>
        </w:tabs>
        <w:ind w:left="2160" w:hanging="990"/>
        <w:rPr>
          <w:rFonts w:asciiTheme="minorHAnsi" w:eastAsiaTheme="minorEastAsia" w:hAnsiTheme="minorHAnsi" w:cstheme="minorBidi"/>
          <w:noProof/>
          <w:szCs w:val="22"/>
          <w:lang w:val="en-US"/>
        </w:rPr>
      </w:pPr>
      <w:hyperlink w:anchor="_Toc199016623" w:history="1">
        <w:r w:rsidRPr="003C0CEC">
          <w:rPr>
            <w:rStyle w:val="Hyperlink"/>
            <w:noProof/>
            <w:lang w:val="es-419"/>
          </w:rPr>
          <w:t>Tema 6</w:t>
        </w:r>
        <w:r w:rsidR="007363C8">
          <w:rPr>
            <w:rStyle w:val="Hyperlink"/>
            <w:noProof/>
            <w:lang w:val="es-419"/>
          </w:rPr>
          <w:t>.</w:t>
        </w:r>
        <w:r w:rsidR="00E77CAC">
          <w:rPr>
            <w:rStyle w:val="Hyperlink"/>
            <w:rFonts w:ascii="Times New Roman Bold" w:hAnsi="Times New Roman Bold"/>
            <w:noProof/>
            <w:lang w:val="es-419"/>
          </w:rPr>
          <w:tab/>
        </w:r>
        <w:r w:rsidRPr="003C0CEC">
          <w:rPr>
            <w:rStyle w:val="Hyperlink"/>
            <w:noProof/>
            <w:lang w:val="es-419"/>
          </w:rPr>
          <w:t>Administración del Protocolo y presupuesto para los fondos fiduciarios</w:t>
        </w:r>
        <w:r w:rsidRPr="003C0CEC">
          <w:rPr>
            <w:noProof/>
            <w:webHidden/>
          </w:rPr>
          <w:tab/>
        </w:r>
        <w:r w:rsidRPr="003C0CEC">
          <w:rPr>
            <w:noProof/>
            <w:webHidden/>
          </w:rPr>
          <w:fldChar w:fldCharType="begin"/>
        </w:r>
        <w:r w:rsidRPr="003C0CEC">
          <w:rPr>
            <w:noProof/>
            <w:webHidden/>
          </w:rPr>
          <w:instrText xml:space="preserve"> PAGEREF _Toc199016623 \h </w:instrText>
        </w:r>
        <w:r w:rsidRPr="003C0CEC">
          <w:rPr>
            <w:noProof/>
            <w:webHidden/>
          </w:rPr>
        </w:r>
        <w:r w:rsidRPr="003C0CEC">
          <w:rPr>
            <w:noProof/>
            <w:webHidden/>
          </w:rPr>
          <w:fldChar w:fldCharType="separate"/>
        </w:r>
        <w:r w:rsidR="0077454C">
          <w:rPr>
            <w:noProof/>
            <w:webHidden/>
          </w:rPr>
          <w:t>40</w:t>
        </w:r>
        <w:r w:rsidRPr="003C0CEC">
          <w:rPr>
            <w:noProof/>
            <w:webHidden/>
          </w:rPr>
          <w:fldChar w:fldCharType="end"/>
        </w:r>
      </w:hyperlink>
    </w:p>
    <w:p w14:paraId="73F8CB91" w14:textId="4478C5A8" w:rsidR="003C0CEC" w:rsidRDefault="003C0CEC" w:rsidP="00E77CAC">
      <w:pPr>
        <w:pStyle w:val="TOC2"/>
        <w:tabs>
          <w:tab w:val="clear" w:pos="1871"/>
        </w:tabs>
        <w:ind w:left="2160" w:hanging="990"/>
        <w:rPr>
          <w:rFonts w:asciiTheme="minorHAnsi" w:eastAsiaTheme="minorEastAsia" w:hAnsiTheme="minorHAnsi" w:cstheme="minorBidi"/>
          <w:noProof/>
          <w:szCs w:val="22"/>
          <w:lang w:val="en-US"/>
        </w:rPr>
      </w:pPr>
      <w:hyperlink w:anchor="_Toc199016624" w:history="1">
        <w:r w:rsidRPr="003C0CEC">
          <w:rPr>
            <w:rStyle w:val="Hyperlink"/>
            <w:noProof/>
            <w:lang w:val="es-419"/>
          </w:rPr>
          <w:t>Tema 7</w:t>
        </w:r>
        <w:r w:rsidR="007363C8">
          <w:rPr>
            <w:rStyle w:val="Hyperlink"/>
            <w:noProof/>
            <w:lang w:val="es-419"/>
          </w:rPr>
          <w:t>.</w:t>
        </w:r>
        <w:r w:rsidR="00E77CAC">
          <w:rPr>
            <w:rStyle w:val="Hyperlink"/>
            <w:noProof/>
            <w:lang w:val="es-419"/>
          </w:rPr>
          <w:tab/>
        </w:r>
        <w:r w:rsidRPr="009C147A">
          <w:rPr>
            <w:rStyle w:val="Hyperlink"/>
            <w:noProof/>
            <w:spacing w:val="-2"/>
            <w:lang w:val="es-419"/>
          </w:rPr>
          <w:t>Asuntos relacionados con el mecanismo financiero y los recursos financieros</w:t>
        </w:r>
        <w:r w:rsidRPr="003C0CEC">
          <w:rPr>
            <w:noProof/>
            <w:webHidden/>
          </w:rPr>
          <w:tab/>
        </w:r>
        <w:r w:rsidRPr="003C0CEC">
          <w:rPr>
            <w:noProof/>
            <w:webHidden/>
          </w:rPr>
          <w:fldChar w:fldCharType="begin"/>
        </w:r>
        <w:r w:rsidRPr="003C0CEC">
          <w:rPr>
            <w:noProof/>
            <w:webHidden/>
          </w:rPr>
          <w:instrText xml:space="preserve"> PAGEREF _Toc199016624 \h </w:instrText>
        </w:r>
        <w:r w:rsidRPr="003C0CEC">
          <w:rPr>
            <w:noProof/>
            <w:webHidden/>
          </w:rPr>
        </w:r>
        <w:r w:rsidRPr="003C0CEC">
          <w:rPr>
            <w:noProof/>
            <w:webHidden/>
          </w:rPr>
          <w:fldChar w:fldCharType="separate"/>
        </w:r>
        <w:r w:rsidR="0077454C">
          <w:rPr>
            <w:noProof/>
            <w:webHidden/>
          </w:rPr>
          <w:t>41</w:t>
        </w:r>
        <w:r w:rsidRPr="003C0CEC">
          <w:rPr>
            <w:noProof/>
            <w:webHidden/>
          </w:rPr>
          <w:fldChar w:fldCharType="end"/>
        </w:r>
      </w:hyperlink>
    </w:p>
    <w:p w14:paraId="2AA66EA4" w14:textId="5E5825DD" w:rsidR="003C0CEC" w:rsidRDefault="003C0CEC" w:rsidP="00E77CAC">
      <w:pPr>
        <w:pStyle w:val="TOC2"/>
        <w:tabs>
          <w:tab w:val="clear" w:pos="1871"/>
        </w:tabs>
        <w:ind w:left="2160" w:hanging="990"/>
        <w:rPr>
          <w:rFonts w:asciiTheme="minorHAnsi" w:eastAsiaTheme="minorEastAsia" w:hAnsiTheme="minorHAnsi" w:cstheme="minorBidi"/>
          <w:noProof/>
          <w:szCs w:val="22"/>
          <w:lang w:val="en-US"/>
        </w:rPr>
      </w:pPr>
      <w:hyperlink w:anchor="_Toc199016625" w:history="1">
        <w:r w:rsidRPr="00906844">
          <w:rPr>
            <w:rStyle w:val="Hyperlink"/>
            <w:noProof/>
            <w:lang w:val="es-419"/>
          </w:rPr>
          <w:t>Tema 8</w:t>
        </w:r>
        <w:r w:rsidR="007363C8">
          <w:rPr>
            <w:rStyle w:val="Hyperlink"/>
            <w:noProof/>
            <w:lang w:val="es-419"/>
          </w:rPr>
          <w:t>.</w:t>
        </w:r>
        <w:r w:rsidR="00E77CAC">
          <w:rPr>
            <w:rStyle w:val="Hyperlink"/>
            <w:noProof/>
            <w:lang w:val="es-419"/>
          </w:rPr>
          <w:tab/>
        </w:r>
        <w:r w:rsidRPr="00906844">
          <w:rPr>
            <w:rStyle w:val="Hyperlink"/>
            <w:noProof/>
            <w:lang w:val="es-419"/>
          </w:rPr>
          <w:t>Funcionamiento y actividades del Centro de Intercambio de Información sobre</w:t>
        </w:r>
        <w:r w:rsidR="00E77CAC">
          <w:rPr>
            <w:rStyle w:val="Hyperlink"/>
            <w:noProof/>
            <w:lang w:val="es-419"/>
          </w:rPr>
          <w:t> </w:t>
        </w:r>
        <w:r w:rsidRPr="00906844">
          <w:rPr>
            <w:rStyle w:val="Hyperlink"/>
            <w:noProof/>
            <w:lang w:val="es-419"/>
          </w:rPr>
          <w:t>Seguridad de la Biotecnología</w:t>
        </w:r>
        <w:r>
          <w:rPr>
            <w:noProof/>
            <w:webHidden/>
          </w:rPr>
          <w:tab/>
        </w:r>
        <w:r>
          <w:rPr>
            <w:noProof/>
            <w:webHidden/>
          </w:rPr>
          <w:fldChar w:fldCharType="begin"/>
        </w:r>
        <w:r>
          <w:rPr>
            <w:noProof/>
            <w:webHidden/>
          </w:rPr>
          <w:instrText xml:space="preserve"> PAGEREF _Toc199016625 \h </w:instrText>
        </w:r>
        <w:r>
          <w:rPr>
            <w:noProof/>
            <w:webHidden/>
          </w:rPr>
        </w:r>
        <w:r>
          <w:rPr>
            <w:noProof/>
            <w:webHidden/>
          </w:rPr>
          <w:fldChar w:fldCharType="separate"/>
        </w:r>
        <w:r w:rsidR="0077454C">
          <w:rPr>
            <w:noProof/>
            <w:webHidden/>
          </w:rPr>
          <w:t>42</w:t>
        </w:r>
        <w:r>
          <w:rPr>
            <w:noProof/>
            <w:webHidden/>
          </w:rPr>
          <w:fldChar w:fldCharType="end"/>
        </w:r>
      </w:hyperlink>
    </w:p>
    <w:p w14:paraId="4DEF51E2" w14:textId="6AC839C7" w:rsidR="003C0CEC" w:rsidRDefault="003C0CEC" w:rsidP="00E77CAC">
      <w:pPr>
        <w:pStyle w:val="TOC2"/>
        <w:tabs>
          <w:tab w:val="clear" w:pos="1871"/>
        </w:tabs>
        <w:ind w:left="2160" w:hanging="990"/>
        <w:rPr>
          <w:rFonts w:asciiTheme="minorHAnsi" w:eastAsiaTheme="minorEastAsia" w:hAnsiTheme="minorHAnsi" w:cstheme="minorBidi"/>
          <w:noProof/>
          <w:szCs w:val="22"/>
          <w:lang w:val="en-US"/>
        </w:rPr>
      </w:pPr>
      <w:hyperlink w:anchor="_Toc199016626" w:history="1">
        <w:r w:rsidRPr="00906844">
          <w:rPr>
            <w:rStyle w:val="Hyperlink"/>
            <w:noProof/>
            <w:lang w:val="es-419"/>
          </w:rPr>
          <w:t>Tema 9</w:t>
        </w:r>
        <w:r w:rsidR="007363C8">
          <w:rPr>
            <w:rStyle w:val="Hyperlink"/>
            <w:noProof/>
            <w:lang w:val="es-419"/>
          </w:rPr>
          <w:t>.</w:t>
        </w:r>
        <w:r w:rsidR="00E77CAC">
          <w:rPr>
            <w:rStyle w:val="Hyperlink"/>
            <w:noProof/>
            <w:lang w:val="es-419"/>
          </w:rPr>
          <w:tab/>
        </w:r>
        <w:r w:rsidRPr="00906844">
          <w:rPr>
            <w:rStyle w:val="Hyperlink"/>
            <w:noProof/>
            <w:lang w:val="es-419"/>
          </w:rPr>
          <w:t>Cooperación con organizaciones internacionales, organismos creados en virtud</w:t>
        </w:r>
        <w:r w:rsidR="00E77CAC">
          <w:rPr>
            <w:rStyle w:val="Hyperlink"/>
            <w:noProof/>
            <w:lang w:val="es-419"/>
          </w:rPr>
          <w:t> </w:t>
        </w:r>
        <w:r w:rsidRPr="00906844">
          <w:rPr>
            <w:rStyle w:val="Hyperlink"/>
            <w:noProof/>
            <w:lang w:val="es-419"/>
          </w:rPr>
          <w:t>de otros convenios e iniciativas</w:t>
        </w:r>
        <w:r>
          <w:rPr>
            <w:noProof/>
            <w:webHidden/>
          </w:rPr>
          <w:tab/>
        </w:r>
        <w:r>
          <w:rPr>
            <w:noProof/>
            <w:webHidden/>
          </w:rPr>
          <w:fldChar w:fldCharType="begin"/>
        </w:r>
        <w:r>
          <w:rPr>
            <w:noProof/>
            <w:webHidden/>
          </w:rPr>
          <w:instrText xml:space="preserve"> PAGEREF _Toc199016626 \h </w:instrText>
        </w:r>
        <w:r>
          <w:rPr>
            <w:noProof/>
            <w:webHidden/>
          </w:rPr>
        </w:r>
        <w:r>
          <w:rPr>
            <w:noProof/>
            <w:webHidden/>
          </w:rPr>
          <w:fldChar w:fldCharType="separate"/>
        </w:r>
        <w:r w:rsidR="0077454C">
          <w:rPr>
            <w:noProof/>
            <w:webHidden/>
          </w:rPr>
          <w:t>42</w:t>
        </w:r>
        <w:r>
          <w:rPr>
            <w:noProof/>
            <w:webHidden/>
          </w:rPr>
          <w:fldChar w:fldCharType="end"/>
        </w:r>
      </w:hyperlink>
    </w:p>
    <w:p w14:paraId="71252FCD" w14:textId="7715167C" w:rsidR="003C0CEC" w:rsidRDefault="003C0CEC" w:rsidP="00B86A82">
      <w:pPr>
        <w:pStyle w:val="TOC2"/>
        <w:ind w:left="2160" w:hanging="990"/>
        <w:rPr>
          <w:rFonts w:asciiTheme="minorHAnsi" w:eastAsiaTheme="minorEastAsia" w:hAnsiTheme="minorHAnsi" w:cstheme="minorBidi"/>
          <w:noProof/>
          <w:szCs w:val="22"/>
          <w:lang w:val="en-US"/>
        </w:rPr>
      </w:pPr>
      <w:hyperlink w:anchor="_Toc199016627" w:history="1">
        <w:r w:rsidRPr="00906844">
          <w:rPr>
            <w:rStyle w:val="Hyperlink"/>
            <w:noProof/>
            <w:lang w:val="es-419"/>
          </w:rPr>
          <w:t>Tema 10</w:t>
        </w:r>
        <w:r w:rsidR="007363C8">
          <w:rPr>
            <w:rStyle w:val="Hyperlink"/>
            <w:noProof/>
            <w:lang w:val="es-419"/>
          </w:rPr>
          <w:t>.</w:t>
        </w:r>
        <w:r w:rsidR="00B86A82">
          <w:rPr>
            <w:rStyle w:val="Hyperlink"/>
            <w:noProof/>
            <w:lang w:val="es-419"/>
          </w:rPr>
          <w:tab/>
        </w:r>
        <w:r w:rsidR="00761878">
          <w:rPr>
            <w:rStyle w:val="Hyperlink"/>
            <w:noProof/>
            <w:lang w:val="es-419"/>
          </w:rPr>
          <w:t>Examen</w:t>
        </w:r>
        <w:r w:rsidRPr="00906844">
          <w:rPr>
            <w:rStyle w:val="Hyperlink"/>
            <w:noProof/>
            <w:lang w:val="es-419"/>
          </w:rPr>
          <w:t xml:space="preserve"> de la eficacia de los procesos del Convenio y sus Protocolos</w:t>
        </w:r>
        <w:r>
          <w:rPr>
            <w:noProof/>
            <w:webHidden/>
          </w:rPr>
          <w:tab/>
        </w:r>
        <w:r>
          <w:rPr>
            <w:noProof/>
            <w:webHidden/>
          </w:rPr>
          <w:fldChar w:fldCharType="begin"/>
        </w:r>
        <w:r>
          <w:rPr>
            <w:noProof/>
            <w:webHidden/>
          </w:rPr>
          <w:instrText xml:space="preserve"> PAGEREF _Toc199016627 \h </w:instrText>
        </w:r>
        <w:r>
          <w:rPr>
            <w:noProof/>
            <w:webHidden/>
          </w:rPr>
        </w:r>
        <w:r>
          <w:rPr>
            <w:noProof/>
            <w:webHidden/>
          </w:rPr>
          <w:fldChar w:fldCharType="separate"/>
        </w:r>
        <w:r w:rsidR="0077454C">
          <w:rPr>
            <w:noProof/>
            <w:webHidden/>
          </w:rPr>
          <w:t>42</w:t>
        </w:r>
        <w:r>
          <w:rPr>
            <w:noProof/>
            <w:webHidden/>
          </w:rPr>
          <w:fldChar w:fldCharType="end"/>
        </w:r>
      </w:hyperlink>
    </w:p>
    <w:p w14:paraId="3AA7D079" w14:textId="5C5BADFF" w:rsidR="003C0CEC" w:rsidRDefault="003C0CEC" w:rsidP="00B86A82">
      <w:pPr>
        <w:pStyle w:val="TOC2"/>
        <w:ind w:left="2160" w:hanging="990"/>
        <w:rPr>
          <w:rFonts w:asciiTheme="minorHAnsi" w:eastAsiaTheme="minorEastAsia" w:hAnsiTheme="minorHAnsi" w:cstheme="minorBidi"/>
          <w:noProof/>
          <w:szCs w:val="22"/>
          <w:lang w:val="en-US"/>
        </w:rPr>
      </w:pPr>
      <w:hyperlink w:anchor="_Toc199016628" w:history="1">
        <w:r w:rsidRPr="00906844">
          <w:rPr>
            <w:rStyle w:val="Hyperlink"/>
            <w:noProof/>
            <w:lang w:val="es-419"/>
          </w:rPr>
          <w:t>Tema 11</w:t>
        </w:r>
        <w:r w:rsidR="007363C8">
          <w:rPr>
            <w:rStyle w:val="Hyperlink"/>
            <w:noProof/>
            <w:lang w:val="es-419"/>
          </w:rPr>
          <w:t>.</w:t>
        </w:r>
        <w:r w:rsidR="00B86A82">
          <w:rPr>
            <w:rStyle w:val="Hyperlink"/>
            <w:noProof/>
            <w:lang w:val="es-419"/>
          </w:rPr>
          <w:tab/>
        </w:r>
        <w:r w:rsidRPr="00906844">
          <w:rPr>
            <w:rStyle w:val="Hyperlink"/>
            <w:noProof/>
            <w:lang w:val="es-419"/>
          </w:rPr>
          <w:t>Evaluación del riesgo y gestión del riesgo</w:t>
        </w:r>
        <w:r>
          <w:rPr>
            <w:noProof/>
            <w:webHidden/>
          </w:rPr>
          <w:tab/>
        </w:r>
        <w:r>
          <w:rPr>
            <w:noProof/>
            <w:webHidden/>
          </w:rPr>
          <w:fldChar w:fldCharType="begin"/>
        </w:r>
        <w:r>
          <w:rPr>
            <w:noProof/>
            <w:webHidden/>
          </w:rPr>
          <w:instrText xml:space="preserve"> PAGEREF _Toc199016628 \h </w:instrText>
        </w:r>
        <w:r>
          <w:rPr>
            <w:noProof/>
            <w:webHidden/>
          </w:rPr>
        </w:r>
        <w:r>
          <w:rPr>
            <w:noProof/>
            <w:webHidden/>
          </w:rPr>
          <w:fldChar w:fldCharType="separate"/>
        </w:r>
        <w:r w:rsidR="0077454C">
          <w:rPr>
            <w:noProof/>
            <w:webHidden/>
          </w:rPr>
          <w:t>44</w:t>
        </w:r>
        <w:r>
          <w:rPr>
            <w:noProof/>
            <w:webHidden/>
          </w:rPr>
          <w:fldChar w:fldCharType="end"/>
        </w:r>
      </w:hyperlink>
    </w:p>
    <w:p w14:paraId="52F57551" w14:textId="537FEC18" w:rsidR="003C0CEC" w:rsidRDefault="003C0CEC" w:rsidP="00B86A82">
      <w:pPr>
        <w:pStyle w:val="TOC2"/>
        <w:ind w:left="2160" w:hanging="990"/>
        <w:rPr>
          <w:rFonts w:asciiTheme="minorHAnsi" w:eastAsiaTheme="minorEastAsia" w:hAnsiTheme="minorHAnsi" w:cstheme="minorBidi"/>
          <w:noProof/>
          <w:szCs w:val="22"/>
          <w:lang w:val="en-US"/>
        </w:rPr>
      </w:pPr>
      <w:hyperlink w:anchor="_Toc199016629" w:history="1">
        <w:r w:rsidRPr="00906844">
          <w:rPr>
            <w:rStyle w:val="Hyperlink"/>
            <w:noProof/>
            <w:lang w:val="es-419"/>
          </w:rPr>
          <w:t>Tema 12</w:t>
        </w:r>
        <w:r w:rsidR="007363C8">
          <w:rPr>
            <w:rStyle w:val="Hyperlink"/>
            <w:noProof/>
            <w:lang w:val="es-419"/>
          </w:rPr>
          <w:t>.</w:t>
        </w:r>
        <w:r w:rsidR="00B86A82">
          <w:rPr>
            <w:rStyle w:val="Hyperlink"/>
            <w:noProof/>
            <w:lang w:val="es-419"/>
          </w:rPr>
          <w:tab/>
        </w:r>
        <w:r w:rsidRPr="00906844">
          <w:rPr>
            <w:rStyle w:val="Hyperlink"/>
            <w:noProof/>
            <w:lang w:val="es-419"/>
          </w:rPr>
          <w:t>Detección e identificación de organismos vivos modificados</w:t>
        </w:r>
        <w:r>
          <w:rPr>
            <w:noProof/>
            <w:webHidden/>
          </w:rPr>
          <w:tab/>
        </w:r>
        <w:r>
          <w:rPr>
            <w:noProof/>
            <w:webHidden/>
          </w:rPr>
          <w:fldChar w:fldCharType="begin"/>
        </w:r>
        <w:r>
          <w:rPr>
            <w:noProof/>
            <w:webHidden/>
          </w:rPr>
          <w:instrText xml:space="preserve"> PAGEREF _Toc199016629 \h </w:instrText>
        </w:r>
        <w:r>
          <w:rPr>
            <w:noProof/>
            <w:webHidden/>
          </w:rPr>
        </w:r>
        <w:r>
          <w:rPr>
            <w:noProof/>
            <w:webHidden/>
          </w:rPr>
          <w:fldChar w:fldCharType="separate"/>
        </w:r>
        <w:r w:rsidR="0077454C">
          <w:rPr>
            <w:noProof/>
            <w:webHidden/>
          </w:rPr>
          <w:t>44</w:t>
        </w:r>
        <w:r>
          <w:rPr>
            <w:noProof/>
            <w:webHidden/>
          </w:rPr>
          <w:fldChar w:fldCharType="end"/>
        </w:r>
      </w:hyperlink>
    </w:p>
    <w:p w14:paraId="2DA28995" w14:textId="6DCDEF60" w:rsidR="003C0CEC" w:rsidRDefault="003C0CEC" w:rsidP="009C147A">
      <w:pPr>
        <w:pStyle w:val="TOC2"/>
        <w:ind w:left="2160" w:hanging="990"/>
        <w:rPr>
          <w:rFonts w:asciiTheme="minorHAnsi" w:eastAsiaTheme="minorEastAsia" w:hAnsiTheme="minorHAnsi" w:cstheme="minorBidi"/>
          <w:noProof/>
          <w:szCs w:val="22"/>
          <w:lang w:val="en-US"/>
        </w:rPr>
      </w:pPr>
      <w:hyperlink w:anchor="_Toc199016630" w:history="1">
        <w:r w:rsidRPr="00906844">
          <w:rPr>
            <w:rStyle w:val="Hyperlink"/>
            <w:noProof/>
            <w:lang w:val="es-419"/>
          </w:rPr>
          <w:t>Tema 13</w:t>
        </w:r>
        <w:r w:rsidR="007363C8">
          <w:rPr>
            <w:rStyle w:val="Hyperlink"/>
            <w:noProof/>
            <w:lang w:val="es-419"/>
          </w:rPr>
          <w:t>.</w:t>
        </w:r>
        <w:r w:rsidR="009C147A">
          <w:rPr>
            <w:rStyle w:val="Hyperlink"/>
            <w:noProof/>
            <w:lang w:val="es-419"/>
          </w:rPr>
          <w:tab/>
        </w:r>
        <w:r w:rsidRPr="00906844">
          <w:rPr>
            <w:rStyle w:val="Hyperlink"/>
            <w:noProof/>
            <w:lang w:val="es-419"/>
          </w:rPr>
          <w:t>Consideraciones socioeconómicas</w:t>
        </w:r>
        <w:r>
          <w:rPr>
            <w:noProof/>
            <w:webHidden/>
          </w:rPr>
          <w:tab/>
        </w:r>
        <w:r>
          <w:rPr>
            <w:noProof/>
            <w:webHidden/>
          </w:rPr>
          <w:fldChar w:fldCharType="begin"/>
        </w:r>
        <w:r>
          <w:rPr>
            <w:noProof/>
            <w:webHidden/>
          </w:rPr>
          <w:instrText xml:space="preserve"> PAGEREF _Toc199016630 \h </w:instrText>
        </w:r>
        <w:r>
          <w:rPr>
            <w:noProof/>
            <w:webHidden/>
          </w:rPr>
        </w:r>
        <w:r>
          <w:rPr>
            <w:noProof/>
            <w:webHidden/>
          </w:rPr>
          <w:fldChar w:fldCharType="separate"/>
        </w:r>
        <w:r w:rsidR="0077454C">
          <w:rPr>
            <w:noProof/>
            <w:webHidden/>
          </w:rPr>
          <w:t>45</w:t>
        </w:r>
        <w:r>
          <w:rPr>
            <w:noProof/>
            <w:webHidden/>
          </w:rPr>
          <w:fldChar w:fldCharType="end"/>
        </w:r>
      </w:hyperlink>
    </w:p>
    <w:p w14:paraId="4F84D4D9" w14:textId="023E0841" w:rsidR="003C0CEC" w:rsidRDefault="003C0CEC" w:rsidP="009C147A">
      <w:pPr>
        <w:pStyle w:val="TOC2"/>
        <w:ind w:left="2160" w:hanging="990"/>
        <w:rPr>
          <w:rFonts w:asciiTheme="minorHAnsi" w:eastAsiaTheme="minorEastAsia" w:hAnsiTheme="minorHAnsi" w:cstheme="minorBidi"/>
          <w:noProof/>
          <w:szCs w:val="22"/>
          <w:lang w:val="en-US"/>
        </w:rPr>
      </w:pPr>
      <w:hyperlink w:anchor="_Toc199016631" w:history="1">
        <w:r w:rsidRPr="00906844">
          <w:rPr>
            <w:rStyle w:val="Hyperlink"/>
            <w:noProof/>
            <w:lang w:val="es-419"/>
          </w:rPr>
          <w:t>Tema 14</w:t>
        </w:r>
        <w:r w:rsidR="007363C8">
          <w:rPr>
            <w:rStyle w:val="Hyperlink"/>
            <w:noProof/>
            <w:lang w:val="es-419"/>
          </w:rPr>
          <w:t>.</w:t>
        </w:r>
        <w:r w:rsidR="009C147A">
          <w:rPr>
            <w:rStyle w:val="Hyperlink"/>
            <w:noProof/>
            <w:lang w:val="es-419"/>
          </w:rPr>
          <w:tab/>
        </w:r>
        <w:r w:rsidRPr="00906844">
          <w:rPr>
            <w:rStyle w:val="Hyperlink"/>
            <w:noProof/>
            <w:lang w:val="es-419"/>
          </w:rPr>
          <w:t>Protocolo Suplementario de Nagoya-Kuala Lumpur sobre Responsabilidad y Compensación</w:t>
        </w:r>
        <w:r>
          <w:rPr>
            <w:noProof/>
            <w:webHidden/>
          </w:rPr>
          <w:tab/>
        </w:r>
        <w:r>
          <w:rPr>
            <w:noProof/>
            <w:webHidden/>
          </w:rPr>
          <w:fldChar w:fldCharType="begin"/>
        </w:r>
        <w:r>
          <w:rPr>
            <w:noProof/>
            <w:webHidden/>
          </w:rPr>
          <w:instrText xml:space="preserve"> PAGEREF _Toc199016631 \h </w:instrText>
        </w:r>
        <w:r>
          <w:rPr>
            <w:noProof/>
            <w:webHidden/>
          </w:rPr>
        </w:r>
        <w:r>
          <w:rPr>
            <w:noProof/>
            <w:webHidden/>
          </w:rPr>
          <w:fldChar w:fldCharType="separate"/>
        </w:r>
        <w:r w:rsidR="0077454C">
          <w:rPr>
            <w:noProof/>
            <w:webHidden/>
          </w:rPr>
          <w:t>45</w:t>
        </w:r>
        <w:r>
          <w:rPr>
            <w:noProof/>
            <w:webHidden/>
          </w:rPr>
          <w:fldChar w:fldCharType="end"/>
        </w:r>
      </w:hyperlink>
    </w:p>
    <w:p w14:paraId="35E659C1" w14:textId="7CB8F5F8" w:rsidR="003C0CEC" w:rsidRDefault="003C0CEC" w:rsidP="009C147A">
      <w:pPr>
        <w:pStyle w:val="TOC2"/>
        <w:tabs>
          <w:tab w:val="clear" w:pos="3402"/>
        </w:tabs>
        <w:ind w:left="2160" w:hanging="990"/>
        <w:rPr>
          <w:rFonts w:asciiTheme="minorHAnsi" w:eastAsiaTheme="minorEastAsia" w:hAnsiTheme="minorHAnsi" w:cstheme="minorBidi"/>
          <w:noProof/>
          <w:szCs w:val="22"/>
          <w:lang w:val="en-US"/>
        </w:rPr>
      </w:pPr>
      <w:hyperlink w:anchor="_Toc199016632" w:history="1">
        <w:r w:rsidRPr="00906844">
          <w:rPr>
            <w:rStyle w:val="Hyperlink"/>
            <w:noProof/>
            <w:lang w:val="es-419"/>
          </w:rPr>
          <w:t>Tema 15</w:t>
        </w:r>
        <w:r w:rsidR="007363C8">
          <w:rPr>
            <w:rStyle w:val="Hyperlink"/>
            <w:noProof/>
            <w:lang w:val="es-419"/>
          </w:rPr>
          <w:t>.</w:t>
        </w:r>
        <w:r w:rsidR="009C147A">
          <w:rPr>
            <w:rStyle w:val="Hyperlink"/>
            <w:noProof/>
            <w:lang w:val="es-419"/>
          </w:rPr>
          <w:tab/>
        </w:r>
        <w:r w:rsidRPr="00906844">
          <w:rPr>
            <w:rStyle w:val="Hyperlink"/>
            <w:noProof/>
            <w:lang w:val="es-419"/>
          </w:rPr>
          <w:t>Otros asuntos</w:t>
        </w:r>
        <w:r>
          <w:rPr>
            <w:noProof/>
            <w:webHidden/>
          </w:rPr>
          <w:tab/>
        </w:r>
        <w:r>
          <w:rPr>
            <w:noProof/>
            <w:webHidden/>
          </w:rPr>
          <w:fldChar w:fldCharType="begin"/>
        </w:r>
        <w:r>
          <w:rPr>
            <w:noProof/>
            <w:webHidden/>
          </w:rPr>
          <w:instrText xml:space="preserve"> PAGEREF _Toc199016632 \h </w:instrText>
        </w:r>
        <w:r>
          <w:rPr>
            <w:noProof/>
            <w:webHidden/>
          </w:rPr>
        </w:r>
        <w:r>
          <w:rPr>
            <w:noProof/>
            <w:webHidden/>
          </w:rPr>
          <w:fldChar w:fldCharType="separate"/>
        </w:r>
        <w:r w:rsidR="0077454C">
          <w:rPr>
            <w:noProof/>
            <w:webHidden/>
          </w:rPr>
          <w:t>46</w:t>
        </w:r>
        <w:r>
          <w:rPr>
            <w:noProof/>
            <w:webHidden/>
          </w:rPr>
          <w:fldChar w:fldCharType="end"/>
        </w:r>
      </w:hyperlink>
    </w:p>
    <w:p w14:paraId="610E218B" w14:textId="263989C3" w:rsidR="003C0CEC" w:rsidRDefault="003C0CEC" w:rsidP="009C147A">
      <w:pPr>
        <w:pStyle w:val="TOC2"/>
        <w:ind w:left="2160" w:hanging="990"/>
        <w:rPr>
          <w:rFonts w:asciiTheme="minorHAnsi" w:eastAsiaTheme="minorEastAsia" w:hAnsiTheme="minorHAnsi" w:cstheme="minorBidi"/>
          <w:noProof/>
          <w:szCs w:val="22"/>
          <w:lang w:val="en-US"/>
        </w:rPr>
      </w:pPr>
      <w:hyperlink w:anchor="_Toc199016633" w:history="1">
        <w:r w:rsidRPr="00906844">
          <w:rPr>
            <w:rStyle w:val="Hyperlink"/>
            <w:noProof/>
            <w:lang w:val="es-419"/>
          </w:rPr>
          <w:t>Tema 16</w:t>
        </w:r>
        <w:r w:rsidR="007363C8">
          <w:rPr>
            <w:rStyle w:val="Hyperlink"/>
            <w:noProof/>
            <w:lang w:val="es-419"/>
          </w:rPr>
          <w:t>.</w:t>
        </w:r>
        <w:r w:rsidR="009C147A">
          <w:rPr>
            <w:rStyle w:val="Hyperlink"/>
            <w:noProof/>
            <w:lang w:val="es-419"/>
          </w:rPr>
          <w:tab/>
        </w:r>
        <w:r w:rsidRPr="00906844">
          <w:rPr>
            <w:rStyle w:val="Hyperlink"/>
            <w:noProof/>
            <w:lang w:val="es-419"/>
          </w:rPr>
          <w:t>Adopción del informe</w:t>
        </w:r>
        <w:r>
          <w:rPr>
            <w:noProof/>
            <w:webHidden/>
          </w:rPr>
          <w:tab/>
        </w:r>
        <w:r>
          <w:rPr>
            <w:noProof/>
            <w:webHidden/>
          </w:rPr>
          <w:fldChar w:fldCharType="begin"/>
        </w:r>
        <w:r>
          <w:rPr>
            <w:noProof/>
            <w:webHidden/>
          </w:rPr>
          <w:instrText xml:space="preserve"> PAGEREF _Toc199016633 \h </w:instrText>
        </w:r>
        <w:r>
          <w:rPr>
            <w:noProof/>
            <w:webHidden/>
          </w:rPr>
        </w:r>
        <w:r>
          <w:rPr>
            <w:noProof/>
            <w:webHidden/>
          </w:rPr>
          <w:fldChar w:fldCharType="separate"/>
        </w:r>
        <w:r w:rsidR="0077454C">
          <w:rPr>
            <w:noProof/>
            <w:webHidden/>
          </w:rPr>
          <w:t>46</w:t>
        </w:r>
        <w:r>
          <w:rPr>
            <w:noProof/>
            <w:webHidden/>
          </w:rPr>
          <w:fldChar w:fldCharType="end"/>
        </w:r>
      </w:hyperlink>
    </w:p>
    <w:p w14:paraId="7629C8EE" w14:textId="4B1A8929" w:rsidR="003C0CEC" w:rsidRDefault="003C0CEC" w:rsidP="009C147A">
      <w:pPr>
        <w:pStyle w:val="TOC2"/>
        <w:ind w:left="2160" w:hanging="990"/>
        <w:rPr>
          <w:rFonts w:asciiTheme="minorHAnsi" w:eastAsiaTheme="minorEastAsia" w:hAnsiTheme="minorHAnsi" w:cstheme="minorBidi"/>
          <w:noProof/>
          <w:szCs w:val="22"/>
          <w:lang w:val="en-US"/>
        </w:rPr>
      </w:pPr>
      <w:hyperlink w:anchor="_Toc199016634" w:history="1">
        <w:r w:rsidRPr="00906844">
          <w:rPr>
            <w:rStyle w:val="Hyperlink"/>
            <w:noProof/>
            <w:lang w:val="es-419"/>
          </w:rPr>
          <w:t>Tema 17</w:t>
        </w:r>
        <w:r w:rsidR="007363C8">
          <w:rPr>
            <w:rStyle w:val="Hyperlink"/>
            <w:noProof/>
            <w:lang w:val="es-419"/>
          </w:rPr>
          <w:t>.</w:t>
        </w:r>
        <w:r w:rsidR="009C147A">
          <w:rPr>
            <w:rStyle w:val="Hyperlink"/>
            <w:noProof/>
            <w:lang w:val="es-419"/>
          </w:rPr>
          <w:tab/>
        </w:r>
        <w:r w:rsidRPr="00906844">
          <w:rPr>
            <w:rStyle w:val="Hyperlink"/>
            <w:noProof/>
            <w:lang w:val="es-419"/>
          </w:rPr>
          <w:t>Clausura de la reunión</w:t>
        </w:r>
        <w:r>
          <w:rPr>
            <w:noProof/>
            <w:webHidden/>
          </w:rPr>
          <w:tab/>
        </w:r>
        <w:r>
          <w:rPr>
            <w:noProof/>
            <w:webHidden/>
          </w:rPr>
          <w:fldChar w:fldCharType="begin"/>
        </w:r>
        <w:r>
          <w:rPr>
            <w:noProof/>
            <w:webHidden/>
          </w:rPr>
          <w:instrText xml:space="preserve"> PAGEREF _Toc199016634 \h </w:instrText>
        </w:r>
        <w:r>
          <w:rPr>
            <w:noProof/>
            <w:webHidden/>
          </w:rPr>
        </w:r>
        <w:r>
          <w:rPr>
            <w:noProof/>
            <w:webHidden/>
          </w:rPr>
          <w:fldChar w:fldCharType="separate"/>
        </w:r>
        <w:r w:rsidR="0077454C">
          <w:rPr>
            <w:noProof/>
            <w:webHidden/>
          </w:rPr>
          <w:t>46</w:t>
        </w:r>
        <w:r>
          <w:rPr>
            <w:noProof/>
            <w:webHidden/>
          </w:rPr>
          <w:fldChar w:fldCharType="end"/>
        </w:r>
      </w:hyperlink>
    </w:p>
    <w:p w14:paraId="31782C06" w14:textId="13514A77" w:rsidR="005A2AA0" w:rsidRPr="00065280" w:rsidRDefault="009A3350" w:rsidP="00542C43">
      <w:pPr>
        <w:pStyle w:val="TOC1"/>
        <w:rPr>
          <w:noProof w:val="0"/>
          <w:sz w:val="28"/>
          <w:lang w:val="es-419"/>
        </w:rPr>
      </w:pPr>
      <w:r w:rsidRPr="00065280">
        <w:rPr>
          <w:noProof w:val="0"/>
          <w:lang w:val="es-419"/>
        </w:rPr>
        <w:fldChar w:fldCharType="end"/>
      </w:r>
      <w:r w:rsidR="005A2AA0" w:rsidRPr="00065280">
        <w:rPr>
          <w:noProof w:val="0"/>
          <w:lang w:val="es-419"/>
        </w:rPr>
        <w:br w:type="page"/>
      </w:r>
    </w:p>
    <w:p w14:paraId="78752D1C" w14:textId="0766D4F3" w:rsidR="0065384A" w:rsidRPr="00065280" w:rsidRDefault="005A2AA0" w:rsidP="0065384A">
      <w:pPr>
        <w:pStyle w:val="CBDH1"/>
        <w:rPr>
          <w:lang w:val="es-419"/>
        </w:rPr>
      </w:pPr>
      <w:bookmarkStart w:id="1" w:name="_Toc194399410"/>
      <w:bookmarkStart w:id="2" w:name="_Toc194919549"/>
      <w:bookmarkStart w:id="3" w:name="_Toc199016599"/>
      <w:r w:rsidRPr="00065280">
        <w:rPr>
          <w:lang w:val="es-419"/>
        </w:rPr>
        <w:lastRenderedPageBreak/>
        <w:t>I</w:t>
      </w:r>
      <w:r w:rsidR="0065384A" w:rsidRPr="00065280">
        <w:rPr>
          <w:lang w:val="es-419"/>
        </w:rPr>
        <w:t>.</w:t>
      </w:r>
      <w:r w:rsidR="0065384A" w:rsidRPr="00065280">
        <w:rPr>
          <w:lang w:val="es-419"/>
        </w:rPr>
        <w:tab/>
        <w:t>Decision</w:t>
      </w:r>
      <w:r w:rsidR="00711AEE" w:rsidRPr="00065280">
        <w:rPr>
          <w:lang w:val="es-419"/>
        </w:rPr>
        <w:t>e</w:t>
      </w:r>
      <w:r w:rsidR="0065384A" w:rsidRPr="00065280">
        <w:rPr>
          <w:lang w:val="es-419"/>
        </w:rPr>
        <w:t>s adopt</w:t>
      </w:r>
      <w:r w:rsidR="00711AEE" w:rsidRPr="00065280">
        <w:rPr>
          <w:lang w:val="es-419"/>
        </w:rPr>
        <w:t>a</w:t>
      </w:r>
      <w:r w:rsidR="0065384A" w:rsidRPr="00065280">
        <w:rPr>
          <w:lang w:val="es-419"/>
        </w:rPr>
        <w:t>d</w:t>
      </w:r>
      <w:r w:rsidR="00711AEE" w:rsidRPr="00065280">
        <w:rPr>
          <w:lang w:val="es-419"/>
        </w:rPr>
        <w:t>as por</w:t>
      </w:r>
      <w:r w:rsidR="0065384A" w:rsidRPr="00065280">
        <w:rPr>
          <w:lang w:val="es-419"/>
        </w:rPr>
        <w:t xml:space="preserve"> </w:t>
      </w:r>
      <w:r w:rsidR="00711AEE" w:rsidRPr="00065280">
        <w:rPr>
          <w:lang w:val="es-419"/>
        </w:rPr>
        <w:t xml:space="preserve">la </w:t>
      </w:r>
      <w:r w:rsidR="0065384A" w:rsidRPr="00065280">
        <w:rPr>
          <w:lang w:val="es-419"/>
        </w:rPr>
        <w:t>Conferenc</w:t>
      </w:r>
      <w:r w:rsidR="00711AEE" w:rsidRPr="00065280">
        <w:rPr>
          <w:lang w:val="es-419"/>
        </w:rPr>
        <w:t>ia d</w:t>
      </w:r>
      <w:r w:rsidR="0065384A" w:rsidRPr="00065280">
        <w:rPr>
          <w:lang w:val="es-419"/>
        </w:rPr>
        <w:t xml:space="preserve">e </w:t>
      </w:r>
      <w:r w:rsidR="00711AEE" w:rsidRPr="00065280">
        <w:rPr>
          <w:lang w:val="es-419"/>
        </w:rPr>
        <w:t>las Part</w:t>
      </w:r>
      <w:r w:rsidR="0065384A" w:rsidRPr="00065280">
        <w:rPr>
          <w:lang w:val="es-419"/>
        </w:rPr>
        <w:t xml:space="preserve">es </w:t>
      </w:r>
      <w:r w:rsidR="00711AEE" w:rsidRPr="00065280">
        <w:rPr>
          <w:lang w:val="es-419"/>
        </w:rPr>
        <w:t xml:space="preserve">que actúa como reunión de las </w:t>
      </w:r>
      <w:r w:rsidR="0065384A" w:rsidRPr="00065280">
        <w:rPr>
          <w:lang w:val="es-419"/>
        </w:rPr>
        <w:t>Partes e</w:t>
      </w:r>
      <w:r w:rsidR="00711AEE" w:rsidRPr="00065280">
        <w:rPr>
          <w:lang w:val="es-419"/>
        </w:rPr>
        <w:t>n el</w:t>
      </w:r>
      <w:r w:rsidR="0065384A" w:rsidRPr="00065280">
        <w:rPr>
          <w:lang w:val="es-419"/>
        </w:rPr>
        <w:t xml:space="preserve"> Protocol</w:t>
      </w:r>
      <w:bookmarkEnd w:id="1"/>
      <w:r w:rsidR="008A0D72" w:rsidRPr="00065280">
        <w:rPr>
          <w:lang w:val="es-419"/>
        </w:rPr>
        <w:t>o</w:t>
      </w:r>
      <w:r w:rsidR="00711AEE" w:rsidRPr="00065280">
        <w:rPr>
          <w:lang w:val="es-419"/>
        </w:rPr>
        <w:t xml:space="preserve"> de Cartagena</w:t>
      </w:r>
      <w:r w:rsidR="008A0D72" w:rsidRPr="00065280">
        <w:rPr>
          <w:lang w:val="es-419"/>
        </w:rPr>
        <w:t xml:space="preserve"> </w:t>
      </w:r>
      <w:r w:rsidR="00711AEE" w:rsidRPr="00065280">
        <w:rPr>
          <w:lang w:val="es-419"/>
        </w:rPr>
        <w:t>sobre Seguridad de la</w:t>
      </w:r>
      <w:r w:rsidR="001633D5">
        <w:rPr>
          <w:lang w:val="es-419"/>
        </w:rPr>
        <w:t> </w:t>
      </w:r>
      <w:r w:rsidR="008A0D72" w:rsidRPr="00065280">
        <w:rPr>
          <w:lang w:val="es-419"/>
        </w:rPr>
        <w:t>Biot</w:t>
      </w:r>
      <w:bookmarkEnd w:id="2"/>
      <w:r w:rsidR="00711AEE" w:rsidRPr="00065280">
        <w:rPr>
          <w:lang w:val="es-419"/>
        </w:rPr>
        <w:t>ecnología</w:t>
      </w:r>
      <w:bookmarkEnd w:id="3"/>
    </w:p>
    <w:p w14:paraId="40FD6380" w14:textId="764DF9E0" w:rsidR="00080196" w:rsidRPr="00065280" w:rsidRDefault="00080196" w:rsidP="00F67D43">
      <w:pPr>
        <w:pStyle w:val="CBDH2"/>
        <w:spacing w:before="240"/>
        <w:rPr>
          <w:lang w:val="es-419"/>
        </w:rPr>
      </w:pPr>
      <w:r w:rsidRPr="00065280">
        <w:rPr>
          <w:lang w:val="es-419"/>
        </w:rPr>
        <w:tab/>
      </w:r>
      <w:bookmarkStart w:id="4" w:name="_Toc194399411"/>
      <w:bookmarkStart w:id="5" w:name="_Toc194919550"/>
      <w:bookmarkStart w:id="6" w:name="_Toc199016600"/>
      <w:r w:rsidRPr="00065280">
        <w:rPr>
          <w:lang w:val="es-419"/>
        </w:rPr>
        <w:t>CP-11/1.</w:t>
      </w:r>
      <w:r w:rsidRPr="00065280">
        <w:rPr>
          <w:lang w:val="es-419"/>
        </w:rPr>
        <w:tab/>
        <w:t>C</w:t>
      </w:r>
      <w:r w:rsidR="00711AEE" w:rsidRPr="00065280">
        <w:rPr>
          <w:lang w:val="es-419"/>
        </w:rPr>
        <w:t>u</w:t>
      </w:r>
      <w:r w:rsidRPr="00065280">
        <w:rPr>
          <w:lang w:val="es-419"/>
        </w:rPr>
        <w:t>mpli</w:t>
      </w:r>
      <w:r w:rsidR="00711AEE" w:rsidRPr="00065280">
        <w:rPr>
          <w:lang w:val="es-419"/>
        </w:rPr>
        <w:t>mie</w:t>
      </w:r>
      <w:r w:rsidRPr="00065280">
        <w:rPr>
          <w:lang w:val="es-419"/>
        </w:rPr>
        <w:t>n</w:t>
      </w:r>
      <w:bookmarkEnd w:id="4"/>
      <w:bookmarkEnd w:id="5"/>
      <w:r w:rsidR="00711AEE" w:rsidRPr="00065280">
        <w:rPr>
          <w:lang w:val="es-419"/>
        </w:rPr>
        <w:t>to</w:t>
      </w:r>
      <w:bookmarkEnd w:id="6"/>
    </w:p>
    <w:p w14:paraId="53DF0D6D" w14:textId="7BDF4477" w:rsidR="00080196" w:rsidRPr="00065280" w:rsidRDefault="00080196" w:rsidP="003D31F0">
      <w:pPr>
        <w:pStyle w:val="CBDsub-decision"/>
        <w:rPr>
          <w:rFonts w:hint="eastAsia"/>
          <w:lang w:val="es-419"/>
        </w:rPr>
      </w:pPr>
      <w:bookmarkStart w:id="7" w:name="_Toc199016601"/>
      <w:r w:rsidRPr="00065280">
        <w:rPr>
          <w:lang w:val="es-419"/>
        </w:rPr>
        <w:t xml:space="preserve">A </w:t>
      </w:r>
      <w:r w:rsidRPr="00065280">
        <w:rPr>
          <w:lang w:val="es-419"/>
        </w:rPr>
        <w:br/>
      </w:r>
      <w:r w:rsidR="00711AEE" w:rsidRPr="00065280">
        <w:rPr>
          <w:lang w:val="es-419"/>
        </w:rPr>
        <w:t>Cumplimiento: cuestiones generales</w:t>
      </w:r>
      <w:bookmarkEnd w:id="7"/>
    </w:p>
    <w:p w14:paraId="14F743DF" w14:textId="77777777" w:rsidR="00711AEE" w:rsidRPr="00065280" w:rsidRDefault="00711AEE" w:rsidP="00711AEE">
      <w:pPr>
        <w:pStyle w:val="CBDDesicionText"/>
        <w:rPr>
          <w:i/>
          <w:iCs/>
          <w:snapToGrid w:val="0"/>
          <w:kern w:val="22"/>
          <w:szCs w:val="18"/>
          <w:lang w:val="es-419"/>
          <w14:ligatures w14:val="standardContextual"/>
        </w:rPr>
      </w:pPr>
      <w:r w:rsidRPr="00065280">
        <w:rPr>
          <w:i/>
          <w:lang w:val="es-419"/>
        </w:rPr>
        <w:t>La Conferencia de las Partes que actúa como reunión de las Partes en el Protocolo de Cartagena</w:t>
      </w:r>
    </w:p>
    <w:p w14:paraId="6CF37410" w14:textId="77777777" w:rsidR="00711AEE" w:rsidRPr="00065280" w:rsidRDefault="00711AEE" w:rsidP="00711AEE">
      <w:pPr>
        <w:pStyle w:val="CBDDesicionText"/>
        <w:rPr>
          <w:lang w:val="es-419"/>
        </w:rPr>
      </w:pPr>
      <w:r w:rsidRPr="00065280">
        <w:rPr>
          <w:lang w:val="es-419"/>
        </w:rPr>
        <w:t>1.</w:t>
      </w:r>
      <w:r w:rsidRPr="00065280">
        <w:rPr>
          <w:lang w:val="es-419"/>
        </w:rPr>
        <w:tab/>
      </w:r>
      <w:r w:rsidRPr="00065280">
        <w:rPr>
          <w:i/>
          <w:lang w:val="es-419"/>
        </w:rPr>
        <w:t>Recuerda</w:t>
      </w:r>
      <w:r w:rsidRPr="00065280">
        <w:rPr>
          <w:lang w:val="es-419"/>
        </w:rPr>
        <w:t xml:space="preserve"> a las Partes la importancia de cumplir con sus obligaciones asumidas en virtud del Protocolo de Cartagena sobre Seguridad de la Biotecnología</w:t>
      </w:r>
      <w:r w:rsidRPr="00065280">
        <w:rPr>
          <w:vertAlign w:val="superscript"/>
          <w:lang w:val="es-419"/>
        </w:rPr>
        <w:footnoteReference w:id="2"/>
      </w:r>
      <w:r w:rsidRPr="00065280">
        <w:rPr>
          <w:lang w:val="es-419"/>
        </w:rPr>
        <w:t>;</w:t>
      </w:r>
    </w:p>
    <w:p w14:paraId="52B8708A" w14:textId="77777777" w:rsidR="00711AEE" w:rsidRPr="00065280" w:rsidRDefault="00711AEE" w:rsidP="00711AEE">
      <w:pPr>
        <w:pStyle w:val="CBDDesicionText"/>
        <w:rPr>
          <w:i/>
          <w:iCs/>
          <w:snapToGrid w:val="0"/>
          <w:lang w:val="es-419"/>
        </w:rPr>
      </w:pPr>
      <w:r w:rsidRPr="00065280">
        <w:rPr>
          <w:snapToGrid w:val="0"/>
          <w:lang w:val="es-419"/>
        </w:rPr>
        <w:t>2.</w:t>
      </w:r>
      <w:r w:rsidRPr="00065280">
        <w:rPr>
          <w:snapToGrid w:val="0"/>
          <w:lang w:val="es-419"/>
        </w:rPr>
        <w:tab/>
      </w:r>
      <w:r w:rsidRPr="00065280">
        <w:rPr>
          <w:i/>
          <w:snapToGrid w:val="0"/>
          <w:lang w:val="es-419"/>
        </w:rPr>
        <w:t>Recuerda también</w:t>
      </w:r>
      <w:r w:rsidRPr="00065280">
        <w:rPr>
          <w:snapToGrid w:val="0"/>
          <w:lang w:val="es-419"/>
        </w:rPr>
        <w:t xml:space="preserve"> a las Partes su obligación de designar un centro focal nacional y de mantener actualizada la información sobre sus centros focales nacionales;</w:t>
      </w:r>
    </w:p>
    <w:p w14:paraId="08C2392D" w14:textId="77777777" w:rsidR="00711AEE" w:rsidRPr="00065280" w:rsidRDefault="00711AEE" w:rsidP="00711AEE">
      <w:pPr>
        <w:pStyle w:val="CBDDesicionText"/>
        <w:rPr>
          <w:snapToGrid w:val="0"/>
          <w:lang w:val="es-419"/>
        </w:rPr>
      </w:pPr>
      <w:r w:rsidRPr="00065280">
        <w:rPr>
          <w:snapToGrid w:val="0"/>
          <w:lang w:val="es-419"/>
        </w:rPr>
        <w:t>3.</w:t>
      </w:r>
      <w:r w:rsidRPr="00065280">
        <w:rPr>
          <w:i/>
          <w:snapToGrid w:val="0"/>
          <w:lang w:val="es-419"/>
        </w:rPr>
        <w:tab/>
      </w:r>
      <w:r w:rsidRPr="00065280">
        <w:rPr>
          <w:i/>
          <w:lang w:val="es-419"/>
        </w:rPr>
        <w:t>Pide</w:t>
      </w:r>
      <w:r w:rsidRPr="00065280">
        <w:rPr>
          <w:lang w:val="es-419"/>
        </w:rPr>
        <w:t xml:space="preserve"> a las Partes que colaboren plenamente cuando se les solicite que brinden información relativa al cumplimiento de sus obligaciones asumidas en virtud del Protocolo de Cartagena;</w:t>
      </w:r>
    </w:p>
    <w:p w14:paraId="1E181B10" w14:textId="77777777" w:rsidR="00711AEE" w:rsidRPr="00065280" w:rsidRDefault="00711AEE" w:rsidP="00711AEE">
      <w:pPr>
        <w:pStyle w:val="CBDDesicionText"/>
        <w:rPr>
          <w:snapToGrid w:val="0"/>
          <w:lang w:val="es-419"/>
        </w:rPr>
      </w:pPr>
      <w:r w:rsidRPr="00065280">
        <w:rPr>
          <w:snapToGrid w:val="0"/>
          <w:lang w:val="es-419"/>
        </w:rPr>
        <w:t>4.</w:t>
      </w:r>
      <w:r w:rsidRPr="00065280">
        <w:rPr>
          <w:i/>
          <w:snapToGrid w:val="0"/>
          <w:lang w:val="es-419"/>
        </w:rPr>
        <w:tab/>
      </w:r>
      <w:r w:rsidRPr="00065280">
        <w:rPr>
          <w:i/>
          <w:lang w:val="es-419"/>
        </w:rPr>
        <w:t>Observa con reconocimiento</w:t>
      </w:r>
      <w:r w:rsidRPr="00065280">
        <w:rPr>
          <w:lang w:val="es-419"/>
        </w:rPr>
        <w:t xml:space="preserve"> los esfuerzos realizados por las Partes para cumplir las obligaciones que tienen en virtud del Protocolo de Cartagena de publicar información en el Centro de Intercambio de Información sobre Seguridad de la Biotecnología, e insta a las Partes a velar por que esa información coincida con la información brindada en sus informes nacionales;</w:t>
      </w:r>
    </w:p>
    <w:p w14:paraId="1DD2F2A1" w14:textId="77777777" w:rsidR="00711AEE" w:rsidRPr="00065280" w:rsidRDefault="00711AEE" w:rsidP="00711AEE">
      <w:pPr>
        <w:pStyle w:val="CBDDesicionText"/>
        <w:rPr>
          <w:snapToGrid w:val="0"/>
          <w:lang w:val="es-419"/>
        </w:rPr>
      </w:pPr>
      <w:r w:rsidRPr="00065280">
        <w:rPr>
          <w:snapToGrid w:val="0"/>
          <w:lang w:val="es-419"/>
        </w:rPr>
        <w:t>5.</w:t>
      </w:r>
      <w:r w:rsidRPr="00065280">
        <w:rPr>
          <w:i/>
          <w:snapToGrid w:val="0"/>
          <w:lang w:val="es-419"/>
        </w:rPr>
        <w:tab/>
        <w:t>Alienta</w:t>
      </w:r>
      <w:r w:rsidRPr="00065280">
        <w:rPr>
          <w:snapToGrid w:val="0"/>
          <w:lang w:val="es-419"/>
        </w:rPr>
        <w:t xml:space="preserve"> a las Partes a utilizar los campos de texto libre en el formato de presentación de los quintos informes nacionales para explicar las respuestas brindadas, e invita a las Partes que tienen dificultades para cumplir con ciertas obligaciones a utilizar los campos de texto libre para compartir información sobre esas dificultades;</w:t>
      </w:r>
    </w:p>
    <w:p w14:paraId="40B2DEB5" w14:textId="77777777" w:rsidR="00711AEE" w:rsidRPr="00065280" w:rsidRDefault="00711AEE" w:rsidP="00711AEE">
      <w:pPr>
        <w:pStyle w:val="CBDDesicionText"/>
        <w:rPr>
          <w:i/>
          <w:iCs/>
          <w:snapToGrid w:val="0"/>
          <w:lang w:val="es-419"/>
        </w:rPr>
      </w:pPr>
      <w:r w:rsidRPr="00065280">
        <w:rPr>
          <w:snapToGrid w:val="0"/>
          <w:lang w:val="es-419"/>
        </w:rPr>
        <w:t>6.</w:t>
      </w:r>
      <w:r w:rsidRPr="00065280">
        <w:rPr>
          <w:snapToGrid w:val="0"/>
          <w:lang w:val="es-419"/>
        </w:rPr>
        <w:tab/>
      </w:r>
      <w:r w:rsidRPr="00065280">
        <w:rPr>
          <w:i/>
          <w:lang w:val="es-419"/>
        </w:rPr>
        <w:t>Recuerda</w:t>
      </w:r>
      <w:r w:rsidRPr="00065280">
        <w:rPr>
          <w:lang w:val="es-419"/>
        </w:rPr>
        <w:t xml:space="preserve"> que se insta a aquellas Partes que tengan dificultades para cumplir con una o más de sus obligaciones asumidas en virtud del Protocolo de Cartagena a solicitar asistencia al Comité de Cumplimiento;</w:t>
      </w:r>
    </w:p>
    <w:p w14:paraId="2916A5E3" w14:textId="77777777" w:rsidR="00711AEE" w:rsidRPr="00065280" w:rsidRDefault="00711AEE" w:rsidP="00711AEE">
      <w:pPr>
        <w:pStyle w:val="CBDDesicionText"/>
        <w:rPr>
          <w:snapToGrid w:val="0"/>
          <w:lang w:val="es-419"/>
        </w:rPr>
      </w:pPr>
      <w:r w:rsidRPr="00065280">
        <w:rPr>
          <w:snapToGrid w:val="0"/>
          <w:lang w:val="es-419"/>
        </w:rPr>
        <w:t>7.</w:t>
      </w:r>
      <w:r w:rsidRPr="00065280">
        <w:rPr>
          <w:i/>
          <w:snapToGrid w:val="0"/>
          <w:lang w:val="es-419"/>
        </w:rPr>
        <w:tab/>
      </w:r>
      <w:r w:rsidRPr="00065280">
        <w:rPr>
          <w:i/>
          <w:lang w:val="es-419"/>
        </w:rPr>
        <w:t>Reconoce</w:t>
      </w:r>
      <w:r w:rsidRPr="00065280">
        <w:rPr>
          <w:lang w:val="es-419"/>
        </w:rPr>
        <w:t xml:space="preserve"> la utilidad de los planes de acción en materia de cumplimiento para promover la elaboración de medidas de aplicación del Protocolo de Cartagena, así como el papel que cumple el Comité de Cumplimiento en la facilitación de apoyo a las Partes en este sentido;</w:t>
      </w:r>
    </w:p>
    <w:p w14:paraId="64E6D106" w14:textId="77777777" w:rsidR="00711AEE" w:rsidRPr="00065280" w:rsidRDefault="00711AEE" w:rsidP="00711AEE">
      <w:pPr>
        <w:pStyle w:val="CBDDesicionText"/>
        <w:rPr>
          <w:snapToGrid w:val="0"/>
          <w:lang w:val="es-419"/>
        </w:rPr>
      </w:pPr>
      <w:r w:rsidRPr="00065280">
        <w:rPr>
          <w:snapToGrid w:val="0"/>
          <w:lang w:val="es-419"/>
        </w:rPr>
        <w:t>8.</w:t>
      </w:r>
      <w:r w:rsidRPr="00065280">
        <w:rPr>
          <w:i/>
          <w:snapToGrid w:val="0"/>
          <w:lang w:val="es-419"/>
        </w:rPr>
        <w:tab/>
        <w:t>Acoge con satisfacción</w:t>
      </w:r>
      <w:r w:rsidRPr="00065280">
        <w:rPr>
          <w:snapToGrid w:val="0"/>
          <w:lang w:val="es-419"/>
        </w:rPr>
        <w:t xml:space="preserve"> el apoyo para la formulación de leyes de seguridad de la biotecnología prestado por el Programa de las Naciones Unidas para el Medio Ambiente, por medio de su Plataforma de Asistencia Jurídica y Medioambiental, a las Partes que están considerando activamente planes de acción en materia de cumplimiento;</w:t>
      </w:r>
    </w:p>
    <w:p w14:paraId="05EDD20A" w14:textId="77777777" w:rsidR="00711AEE" w:rsidRPr="00065280" w:rsidRDefault="00711AEE" w:rsidP="00711AEE">
      <w:pPr>
        <w:pStyle w:val="CBDDesicionText"/>
        <w:rPr>
          <w:i/>
          <w:iCs/>
          <w:snapToGrid w:val="0"/>
          <w:lang w:val="es-419"/>
        </w:rPr>
      </w:pPr>
      <w:r w:rsidRPr="00065280">
        <w:rPr>
          <w:snapToGrid w:val="0"/>
          <w:lang w:val="es-419"/>
        </w:rPr>
        <w:t>9.</w:t>
      </w:r>
      <w:r w:rsidRPr="00065280">
        <w:rPr>
          <w:snapToGrid w:val="0"/>
          <w:lang w:val="es-419"/>
        </w:rPr>
        <w:tab/>
      </w:r>
      <w:r w:rsidRPr="00065280">
        <w:rPr>
          <w:i/>
          <w:snapToGrid w:val="0"/>
          <w:lang w:val="es-419"/>
        </w:rPr>
        <w:t>Insta</w:t>
      </w:r>
      <w:r w:rsidRPr="00065280">
        <w:rPr>
          <w:snapToGrid w:val="0"/>
          <w:lang w:val="es-419"/>
        </w:rPr>
        <w:t xml:space="preserve"> a las Partes, e invita a otros Gobiernos, a proporcionar fondos con carácter voluntario para apoyar a las 11 Partes</w:t>
      </w:r>
      <w:r w:rsidRPr="00065280">
        <w:rPr>
          <w:snapToGrid w:val="0"/>
          <w:vertAlign w:val="superscript"/>
          <w:lang w:val="es-419"/>
        </w:rPr>
        <w:footnoteReference w:id="3"/>
      </w:r>
      <w:r w:rsidRPr="00065280">
        <w:rPr>
          <w:snapToGrid w:val="0"/>
          <w:lang w:val="es-419"/>
        </w:rPr>
        <w:t xml:space="preserve"> que han elaborado planes de acción en materia de cumplimiento, así como a toda otra Parte que elabore e implemente tales planes a pedido del Comité de Cumplimiento;</w:t>
      </w:r>
    </w:p>
    <w:p w14:paraId="0F9F6A9B" w14:textId="77777777" w:rsidR="00711AEE" w:rsidRPr="00065280" w:rsidRDefault="00711AEE" w:rsidP="00711AEE">
      <w:pPr>
        <w:pStyle w:val="CBDDesicionText"/>
        <w:rPr>
          <w:i/>
          <w:iCs/>
          <w:snapToGrid w:val="0"/>
          <w:szCs w:val="18"/>
          <w:lang w:val="es-419"/>
        </w:rPr>
      </w:pPr>
      <w:r w:rsidRPr="00065280">
        <w:rPr>
          <w:snapToGrid w:val="0"/>
          <w:lang w:val="es-419"/>
        </w:rPr>
        <w:t>10.</w:t>
      </w:r>
      <w:r w:rsidRPr="00065280">
        <w:rPr>
          <w:i/>
          <w:snapToGrid w:val="0"/>
          <w:lang w:val="es-419"/>
        </w:rPr>
        <w:tab/>
        <w:t>Insta</w:t>
      </w:r>
      <w:r w:rsidRPr="00065280">
        <w:rPr>
          <w:snapToGrid w:val="0"/>
          <w:lang w:val="es-419"/>
        </w:rPr>
        <w:t xml:space="preserve"> a las Partes que reúnan las condiciones a dar prioridad a proyectos de seguridad de la biotecnología en la programación de sus asignaciones nacionales del Sistema para la Asignación Transparente de Recursos;</w:t>
      </w:r>
    </w:p>
    <w:p w14:paraId="4A211F9D" w14:textId="71C96CC9" w:rsidR="00080196" w:rsidRPr="00065280" w:rsidRDefault="00711AEE" w:rsidP="00711AEE">
      <w:pPr>
        <w:pStyle w:val="CBDDesicionText"/>
        <w:keepNext/>
        <w:keepLines/>
        <w:ind w:left="562" w:firstLine="562"/>
        <w:rPr>
          <w:snapToGrid w:val="0"/>
          <w:lang w:val="es-419"/>
        </w:rPr>
      </w:pPr>
      <w:r w:rsidRPr="00065280">
        <w:rPr>
          <w:snapToGrid w:val="0"/>
          <w:lang w:val="es-419"/>
        </w:rPr>
        <w:lastRenderedPageBreak/>
        <w:t>11.</w:t>
      </w:r>
      <w:r w:rsidRPr="00065280">
        <w:rPr>
          <w:i/>
          <w:snapToGrid w:val="0"/>
          <w:lang w:val="es-419"/>
        </w:rPr>
        <w:tab/>
      </w:r>
      <w:r w:rsidRPr="00065280">
        <w:rPr>
          <w:i/>
          <w:lang w:val="es-419"/>
        </w:rPr>
        <w:t>Recuerda</w:t>
      </w:r>
      <w:r w:rsidRPr="00065280">
        <w:rPr>
          <w:lang w:val="es-419"/>
        </w:rPr>
        <w:t xml:space="preserve"> a las Partes el artículo 23 del Protocolo de Cartagena, incluidas sus disposiciones relativas a la concienciación y educación del público, y su potencial para facilitar el cumplimiento del Protocolo, reiterando que la Secretaría ha elaborado materiales y herramientas que están disponibles en el Centro de Intercambio de Información sobre Seguridad de la Biotecnología</w:t>
      </w:r>
      <w:r w:rsidR="00080196" w:rsidRPr="00065280">
        <w:rPr>
          <w:snapToGrid w:val="0"/>
          <w:lang w:val="es-419"/>
        </w:rPr>
        <w:t>.</w:t>
      </w:r>
    </w:p>
    <w:p w14:paraId="73C6B9AD" w14:textId="3A84E0AF" w:rsidR="00080196" w:rsidRPr="00065280" w:rsidRDefault="00080196" w:rsidP="00F364A9">
      <w:pPr>
        <w:pStyle w:val="CBDsub-decision"/>
        <w:rPr>
          <w:rFonts w:hint="eastAsia"/>
          <w:lang w:val="es-419"/>
        </w:rPr>
      </w:pPr>
      <w:bookmarkStart w:id="9" w:name="_Toc199016602"/>
      <w:r w:rsidRPr="00065280">
        <w:rPr>
          <w:b/>
          <w:lang w:val="es-419"/>
        </w:rPr>
        <w:t>B</w:t>
      </w:r>
      <w:r w:rsidRPr="00065280">
        <w:rPr>
          <w:b/>
          <w:bCs w:val="0"/>
          <w:lang w:val="es-419"/>
        </w:rPr>
        <w:t xml:space="preserve"> </w:t>
      </w:r>
      <w:r w:rsidRPr="00065280">
        <w:rPr>
          <w:b/>
          <w:bCs w:val="0"/>
          <w:lang w:val="es-419"/>
        </w:rPr>
        <w:br/>
      </w:r>
      <w:r w:rsidR="00711AEE" w:rsidRPr="00065280">
        <w:rPr>
          <w:b/>
          <w:lang w:val="es-419"/>
        </w:rPr>
        <w:t>Cumplimiento: advertencia</w:t>
      </w:r>
      <w:bookmarkEnd w:id="9"/>
    </w:p>
    <w:p w14:paraId="12811C91" w14:textId="77777777" w:rsidR="00711AEE" w:rsidRPr="00065280" w:rsidRDefault="00711AEE" w:rsidP="00711AEE">
      <w:pPr>
        <w:pStyle w:val="CBDDesicionText"/>
        <w:rPr>
          <w:snapToGrid w:val="0"/>
          <w:kern w:val="22"/>
          <w:szCs w:val="18"/>
          <w:lang w:val="es-419"/>
          <w14:ligatures w14:val="standardContextual"/>
        </w:rPr>
      </w:pPr>
      <w:r w:rsidRPr="00065280">
        <w:rPr>
          <w:i/>
          <w:lang w:val="es-419"/>
        </w:rPr>
        <w:t>La Conferencia de las Partes que actúa como reunión de las Partes en el Protocolo de Cartagena</w:t>
      </w:r>
      <w:r w:rsidRPr="00065280">
        <w:rPr>
          <w:lang w:val="es-419"/>
        </w:rPr>
        <w:t>,</w:t>
      </w:r>
    </w:p>
    <w:p w14:paraId="7E31979A" w14:textId="77777777" w:rsidR="00711AEE" w:rsidRPr="00065280" w:rsidRDefault="00711AEE" w:rsidP="00711AEE">
      <w:pPr>
        <w:pStyle w:val="CBDDesicionText"/>
        <w:rPr>
          <w:lang w:val="es-419"/>
        </w:rPr>
      </w:pPr>
      <w:r w:rsidRPr="00065280">
        <w:rPr>
          <w:i/>
          <w:lang w:val="es-419"/>
        </w:rPr>
        <w:t>Recordando</w:t>
      </w:r>
      <w:r w:rsidRPr="00065280">
        <w:rPr>
          <w:lang w:val="es-419"/>
        </w:rPr>
        <w:t xml:space="preserve"> el artículo 33 del Protocolo de Cartagena sobre Seguridad de la Biotecnología</w:t>
      </w:r>
      <w:r w:rsidRPr="00065280">
        <w:rPr>
          <w:vertAlign w:val="superscript"/>
          <w:lang w:val="es-419"/>
        </w:rPr>
        <w:footnoteReference w:id="4"/>
      </w:r>
      <w:r w:rsidRPr="00065280">
        <w:rPr>
          <w:lang w:val="es-419"/>
        </w:rPr>
        <w:t>,</w:t>
      </w:r>
    </w:p>
    <w:p w14:paraId="4F91E03C" w14:textId="77777777" w:rsidR="00711AEE" w:rsidRPr="00065280" w:rsidRDefault="00711AEE" w:rsidP="00711AEE">
      <w:pPr>
        <w:pStyle w:val="CBDDesicionText"/>
        <w:rPr>
          <w:lang w:val="es-419"/>
        </w:rPr>
      </w:pPr>
      <w:r w:rsidRPr="00065280">
        <w:rPr>
          <w:i/>
          <w:lang w:val="es-419"/>
        </w:rPr>
        <w:t>Recordando también</w:t>
      </w:r>
      <w:r w:rsidRPr="00065280">
        <w:rPr>
          <w:lang w:val="es-419"/>
        </w:rPr>
        <w:t xml:space="preserve"> el párrafo 2 b) de la sección VI de los Procedimientos y Mecanismos relativos al Cumplimiento en el marco del Protocolo de Cartagena, que figuran en el anexo de su decisión </w:t>
      </w:r>
      <w:hyperlink r:id="rId14" w:history="1">
        <w:r w:rsidRPr="00065280">
          <w:rPr>
            <w:rStyle w:val="Hyperlink"/>
            <w:color w:val="0070C0"/>
            <w:lang w:val="es-419"/>
          </w:rPr>
          <w:t>BS-I/7</w:t>
        </w:r>
      </w:hyperlink>
      <w:r w:rsidRPr="00065280">
        <w:rPr>
          <w:lang w:val="es-419"/>
        </w:rPr>
        <w:t>, de 27 de febrero de 2004,</w:t>
      </w:r>
    </w:p>
    <w:p w14:paraId="2A545037" w14:textId="77777777" w:rsidR="00711AEE" w:rsidRPr="00065280" w:rsidRDefault="00711AEE" w:rsidP="00711AEE">
      <w:pPr>
        <w:pStyle w:val="CBDDesicionText"/>
        <w:rPr>
          <w:kern w:val="22"/>
          <w:lang w:val="es-419"/>
        </w:rPr>
      </w:pPr>
      <w:r w:rsidRPr="00065280">
        <w:rPr>
          <w:i/>
          <w:lang w:val="es-419"/>
        </w:rPr>
        <w:t>Observando con pesar</w:t>
      </w:r>
      <w:r w:rsidRPr="00065280">
        <w:rPr>
          <w:lang w:val="es-419"/>
        </w:rPr>
        <w:t xml:space="preserve"> que Belice, Libia y Papua Nueva Guinea no han presentado sus informes nacionales terceros y cuartos,</w:t>
      </w:r>
    </w:p>
    <w:p w14:paraId="7F960F77" w14:textId="77777777" w:rsidR="00711AEE" w:rsidRPr="00065280" w:rsidRDefault="00711AEE" w:rsidP="00711AEE">
      <w:pPr>
        <w:pStyle w:val="CBDDesicionText"/>
        <w:rPr>
          <w:lang w:val="es-419"/>
        </w:rPr>
      </w:pPr>
      <w:r w:rsidRPr="00065280">
        <w:rPr>
          <w:i/>
          <w:lang w:val="es-419"/>
        </w:rPr>
        <w:t>Observando</w:t>
      </w:r>
      <w:r w:rsidRPr="00065280">
        <w:rPr>
          <w:lang w:val="es-419"/>
        </w:rPr>
        <w:t xml:space="preserve"> que el Comité de Cumplimiento y la Secretaria Ejecutiva del Convenio sobre la Diversidad Biológica</w:t>
      </w:r>
      <w:r w:rsidRPr="00065280">
        <w:rPr>
          <w:rStyle w:val="FootnoteReference"/>
          <w:lang w:val="es-419"/>
        </w:rPr>
        <w:footnoteReference w:id="5"/>
      </w:r>
      <w:r w:rsidRPr="00065280">
        <w:rPr>
          <w:lang w:val="es-419"/>
        </w:rPr>
        <w:t xml:space="preserve"> han contactado en numerosas ocasiones a Belice, Libia y Papua Nueva Guinea, de conformidad con la decisión </w:t>
      </w:r>
      <w:hyperlink r:id="rId15" w:history="1">
        <w:r w:rsidRPr="00065280">
          <w:rPr>
            <w:rStyle w:val="Hyperlink"/>
            <w:color w:val="0070C0"/>
            <w:lang w:val="es-419"/>
          </w:rPr>
          <w:t>BS-V/1</w:t>
        </w:r>
      </w:hyperlink>
      <w:r w:rsidRPr="00065280">
        <w:rPr>
          <w:lang w:val="es-419"/>
        </w:rPr>
        <w:t xml:space="preserve"> de la Conferencia de las Partes que actúa como reunión de las Partes en el Protocolo de Cartagena, de 15 de octubre de 2010, que entre otras cosas disponía que se ofreciera apoyo a esas Partes en la preparación de sus informes,</w:t>
      </w:r>
    </w:p>
    <w:p w14:paraId="3ADC3EFE" w14:textId="77777777" w:rsidR="00711AEE" w:rsidRPr="00065280" w:rsidRDefault="00711AEE" w:rsidP="00711AEE">
      <w:pPr>
        <w:pStyle w:val="CBDDesicionText"/>
        <w:rPr>
          <w:kern w:val="22"/>
          <w:lang w:val="es-419"/>
        </w:rPr>
      </w:pPr>
      <w:r w:rsidRPr="00065280">
        <w:rPr>
          <w:lang w:val="es-419"/>
        </w:rPr>
        <w:t>1.</w:t>
      </w:r>
      <w:r w:rsidRPr="00065280">
        <w:rPr>
          <w:lang w:val="es-419"/>
        </w:rPr>
        <w:tab/>
      </w:r>
      <w:r w:rsidRPr="00065280">
        <w:rPr>
          <w:i/>
          <w:lang w:val="es-419"/>
        </w:rPr>
        <w:t>Emite una advertencia</w:t>
      </w:r>
      <w:r w:rsidRPr="00065280">
        <w:rPr>
          <w:lang w:val="es-419"/>
        </w:rPr>
        <w:t xml:space="preserve"> a Belice, Libia y Papua Nueva Guinea;</w:t>
      </w:r>
    </w:p>
    <w:p w14:paraId="2E696C5E" w14:textId="77777777" w:rsidR="00711AEE" w:rsidRPr="00065280" w:rsidRDefault="00711AEE" w:rsidP="00711AEE">
      <w:pPr>
        <w:pStyle w:val="CBDDesicionText"/>
        <w:rPr>
          <w:kern w:val="22"/>
          <w:lang w:val="es-419"/>
        </w:rPr>
      </w:pPr>
      <w:r w:rsidRPr="00065280">
        <w:rPr>
          <w:lang w:val="es-419"/>
        </w:rPr>
        <w:t>2.</w:t>
      </w:r>
      <w:r w:rsidRPr="00065280">
        <w:rPr>
          <w:lang w:val="es-419"/>
        </w:rPr>
        <w:tab/>
      </w:r>
      <w:r w:rsidRPr="00065280">
        <w:rPr>
          <w:i/>
          <w:lang w:val="es-419"/>
        </w:rPr>
        <w:t>Pide</w:t>
      </w:r>
      <w:r w:rsidRPr="00065280">
        <w:rPr>
          <w:lang w:val="es-419"/>
        </w:rPr>
        <w:t xml:space="preserve"> a Belice, Libia y Papua Nueva Guinea que presenten urgentemente sus cuartos informes nacionales;</w:t>
      </w:r>
    </w:p>
    <w:p w14:paraId="7A5A7F58" w14:textId="1D6F20AD" w:rsidR="00080196" w:rsidRPr="00065280" w:rsidRDefault="00711AEE" w:rsidP="00711AEE">
      <w:pPr>
        <w:pStyle w:val="CBDDesicionText"/>
        <w:rPr>
          <w:lang w:val="es-419"/>
        </w:rPr>
      </w:pPr>
      <w:r w:rsidRPr="00065280">
        <w:rPr>
          <w:lang w:val="es-419"/>
        </w:rPr>
        <w:t>3.</w:t>
      </w:r>
      <w:r w:rsidRPr="00065280">
        <w:rPr>
          <w:lang w:val="es-419"/>
        </w:rPr>
        <w:tab/>
      </w:r>
      <w:r w:rsidRPr="00065280">
        <w:rPr>
          <w:i/>
          <w:lang w:val="es-419"/>
        </w:rPr>
        <w:t>Alienta</w:t>
      </w:r>
      <w:r w:rsidRPr="00065280">
        <w:rPr>
          <w:lang w:val="es-419"/>
        </w:rPr>
        <w:t xml:space="preserve"> a Belice, Libia y Papua Nueva Guinea a solicitar asistencia al Comité de Cumplimiento, de conformidad con la decisión </w:t>
      </w:r>
      <w:hyperlink r:id="rId16" w:history="1">
        <w:r w:rsidRPr="00065280">
          <w:rPr>
            <w:rStyle w:val="Hyperlink"/>
            <w:color w:val="0070C0"/>
            <w:lang w:val="es-419"/>
          </w:rPr>
          <w:t>BS-V/1</w:t>
        </w:r>
      </w:hyperlink>
      <w:r w:rsidRPr="00065280">
        <w:rPr>
          <w:lang w:val="es-419"/>
        </w:rPr>
        <w:t>, en el caso de que necesiten apoyo para preparar sus informes</w:t>
      </w:r>
      <w:r w:rsidR="00080196" w:rsidRPr="00065280">
        <w:rPr>
          <w:lang w:val="es-419"/>
        </w:rPr>
        <w:t>.</w:t>
      </w:r>
    </w:p>
    <w:p w14:paraId="7CD45E7B" w14:textId="3AFC13FC" w:rsidR="00080196" w:rsidRPr="00065280" w:rsidRDefault="00080196" w:rsidP="00F364A9">
      <w:pPr>
        <w:pStyle w:val="CBDsub-decision"/>
        <w:rPr>
          <w:rFonts w:hint="eastAsia"/>
          <w:lang w:val="es-419"/>
        </w:rPr>
      </w:pPr>
      <w:bookmarkStart w:id="10" w:name="_Toc199016603"/>
      <w:r w:rsidRPr="00065280">
        <w:rPr>
          <w:b/>
          <w:lang w:val="es-419"/>
        </w:rPr>
        <w:t>C</w:t>
      </w:r>
      <w:r w:rsidRPr="00065280">
        <w:rPr>
          <w:b/>
          <w:bCs w:val="0"/>
          <w:lang w:val="es-419"/>
        </w:rPr>
        <w:t xml:space="preserve"> </w:t>
      </w:r>
      <w:r w:rsidRPr="00065280">
        <w:rPr>
          <w:b/>
          <w:bCs w:val="0"/>
          <w:lang w:val="es-419"/>
        </w:rPr>
        <w:br/>
      </w:r>
      <w:r w:rsidR="00711AEE" w:rsidRPr="00065280">
        <w:rPr>
          <w:b/>
          <w:lang w:val="es-419"/>
        </w:rPr>
        <w:t>Cumplimiento: otras cuestiones</w:t>
      </w:r>
      <w:bookmarkEnd w:id="10"/>
    </w:p>
    <w:p w14:paraId="6D1F6A19" w14:textId="77777777" w:rsidR="00711AEE" w:rsidRPr="00065280" w:rsidRDefault="00711AEE" w:rsidP="00711AEE">
      <w:pPr>
        <w:pStyle w:val="CBDDesicionText"/>
        <w:keepNext/>
        <w:keepLines/>
        <w:rPr>
          <w:snapToGrid w:val="0"/>
          <w:kern w:val="22"/>
          <w:szCs w:val="18"/>
          <w:lang w:val="es-419"/>
          <w14:ligatures w14:val="standardContextual"/>
        </w:rPr>
      </w:pPr>
      <w:r w:rsidRPr="00065280">
        <w:rPr>
          <w:i/>
          <w:lang w:val="es-419"/>
        </w:rPr>
        <w:t>La Conferencia de las Partes que actúa como reunión de las Partes en el Protocolo de Cartagena</w:t>
      </w:r>
      <w:r w:rsidRPr="00065280">
        <w:rPr>
          <w:lang w:val="es-419"/>
        </w:rPr>
        <w:t>,</w:t>
      </w:r>
    </w:p>
    <w:p w14:paraId="693624A9" w14:textId="77777777" w:rsidR="00711AEE" w:rsidRPr="00065280" w:rsidRDefault="00711AEE" w:rsidP="00711AEE">
      <w:pPr>
        <w:pStyle w:val="CBDDesicionText"/>
        <w:rPr>
          <w:lang w:val="es-419"/>
        </w:rPr>
      </w:pPr>
      <w:r w:rsidRPr="00065280">
        <w:rPr>
          <w:i/>
          <w:lang w:val="es-419"/>
        </w:rPr>
        <w:t>Observando</w:t>
      </w:r>
      <w:r w:rsidRPr="00065280">
        <w:rPr>
          <w:lang w:val="es-419"/>
        </w:rPr>
        <w:t xml:space="preserve"> la recomendación del Comité de Cumplimiento que figura en el párrafo 1 del anexo del documento </w:t>
      </w:r>
      <w:hyperlink r:id="rId17" w:history="1">
        <w:r w:rsidRPr="00065280">
          <w:rPr>
            <w:rStyle w:val="Hyperlink"/>
            <w:color w:val="0070C0"/>
            <w:lang w:val="es-419"/>
          </w:rPr>
          <w:t>CBD/CP/MOP/11/3</w:t>
        </w:r>
      </w:hyperlink>
      <w:r w:rsidRPr="00065280">
        <w:rPr>
          <w:lang w:val="es-419"/>
        </w:rPr>
        <w:t>, y en aras de ayudar al Comité de Cumplimiento en el desempeño de su labor,</w:t>
      </w:r>
    </w:p>
    <w:p w14:paraId="5D2950AB" w14:textId="77777777" w:rsidR="00711AEE" w:rsidRPr="00065280" w:rsidRDefault="00711AEE" w:rsidP="00711AEE">
      <w:pPr>
        <w:pStyle w:val="CBDDesicionText"/>
        <w:rPr>
          <w:lang w:val="es-419"/>
        </w:rPr>
      </w:pPr>
      <w:r w:rsidRPr="00065280">
        <w:rPr>
          <w:i/>
          <w:spacing w:val="-2"/>
          <w:lang w:val="es-419"/>
        </w:rPr>
        <w:t>Reconociendo</w:t>
      </w:r>
      <w:r w:rsidRPr="00065280">
        <w:rPr>
          <w:spacing w:val="-2"/>
          <w:lang w:val="es-419"/>
        </w:rPr>
        <w:t xml:space="preserve"> que las definiciones de “organismo vivo modificado” y “biotecnología moderna”</w:t>
      </w:r>
      <w:r w:rsidRPr="00065280">
        <w:rPr>
          <w:lang w:val="es-419"/>
        </w:rPr>
        <w:t xml:space="preserve"> que figuran en el artículo 3 del Protocolo de Cartagena sobre Seguridad de la Biotecnología</w:t>
      </w:r>
      <w:r w:rsidRPr="00065280">
        <w:rPr>
          <w:vertAlign w:val="superscript"/>
          <w:lang w:val="es-419"/>
        </w:rPr>
        <w:footnoteReference w:id="6"/>
      </w:r>
      <w:r w:rsidRPr="00065280">
        <w:rPr>
          <w:lang w:val="es-419"/>
        </w:rPr>
        <w:t xml:space="preserve"> no están en duda,</w:t>
      </w:r>
    </w:p>
    <w:p w14:paraId="150891D5" w14:textId="77777777" w:rsidR="00711AEE" w:rsidRPr="00065280" w:rsidRDefault="00711AEE" w:rsidP="00711AEE">
      <w:pPr>
        <w:pStyle w:val="CBDDesicionText"/>
        <w:rPr>
          <w:lang w:val="es-419"/>
        </w:rPr>
      </w:pPr>
      <w:r w:rsidRPr="00065280">
        <w:rPr>
          <w:i/>
          <w:lang w:val="es-419"/>
        </w:rPr>
        <w:t>Reconociendo</w:t>
      </w:r>
      <w:r w:rsidRPr="00065280">
        <w:rPr>
          <w:lang w:val="es-419"/>
        </w:rPr>
        <w:t xml:space="preserve"> el derecho soberano de las Partes a adoptar legislación para cumplir con sus obligaciones asumidas en virtud del Protocolo de Cartagena,</w:t>
      </w:r>
    </w:p>
    <w:p w14:paraId="04CF4677" w14:textId="77777777" w:rsidR="00711AEE" w:rsidRPr="00065280" w:rsidRDefault="00711AEE" w:rsidP="00711AEE">
      <w:pPr>
        <w:pStyle w:val="CBDDesicionText"/>
        <w:rPr>
          <w:kern w:val="22"/>
          <w:lang w:val="es-419"/>
        </w:rPr>
      </w:pPr>
      <w:r w:rsidRPr="00065280">
        <w:rPr>
          <w:lang w:val="es-419"/>
        </w:rPr>
        <w:t>1.</w:t>
      </w:r>
      <w:r w:rsidRPr="00065280">
        <w:rPr>
          <w:lang w:val="es-419"/>
        </w:rPr>
        <w:tab/>
      </w:r>
      <w:r w:rsidRPr="00065280">
        <w:rPr>
          <w:i/>
          <w:lang w:val="es-419"/>
        </w:rPr>
        <w:t>Alienta</w:t>
      </w:r>
      <w:r w:rsidRPr="00065280">
        <w:rPr>
          <w:lang w:val="es-419"/>
        </w:rPr>
        <w:t xml:space="preserve"> a las Partes a presentar información relativa a leyes, reglamentaciones y directrices nacionales sobre nuevos avances de la biotecnología moderna que sean pertinentes para </w:t>
      </w:r>
      <w:r w:rsidRPr="00065280">
        <w:rPr>
          <w:lang w:val="es-419"/>
        </w:rPr>
        <w:lastRenderedPageBreak/>
        <w:t>el Protocolo de Cartagena sobre Seguridad de la Biotecnología y no estén publicadas en el Centro de Intercambio de Información sobre Seguridad de la Biotecnología;</w:t>
      </w:r>
    </w:p>
    <w:p w14:paraId="1ECEEB8B" w14:textId="77777777" w:rsidR="00711AEE" w:rsidRPr="00065280" w:rsidRDefault="00711AEE" w:rsidP="00711AEE">
      <w:pPr>
        <w:pStyle w:val="CBDDesicionText"/>
        <w:rPr>
          <w:kern w:val="22"/>
          <w:lang w:val="es-419"/>
        </w:rPr>
      </w:pPr>
      <w:r w:rsidRPr="00065280">
        <w:rPr>
          <w:lang w:val="es-419"/>
        </w:rPr>
        <w:t>2.</w:t>
      </w:r>
      <w:r w:rsidRPr="00065280">
        <w:rPr>
          <w:i/>
          <w:lang w:val="es-419"/>
        </w:rPr>
        <w:tab/>
        <w:t>Pide</w:t>
      </w:r>
      <w:r w:rsidRPr="00065280">
        <w:rPr>
          <w:lang w:val="es-419"/>
        </w:rPr>
        <w:t xml:space="preserve"> a la Secretaria Ejecutiva del Convenio sobre la Diversidad Biológica</w:t>
      </w:r>
      <w:r w:rsidRPr="00065280">
        <w:rPr>
          <w:rStyle w:val="FootnoteReference"/>
          <w:lang w:val="es-419"/>
        </w:rPr>
        <w:footnoteReference w:id="7"/>
      </w:r>
      <w:r w:rsidRPr="00065280">
        <w:rPr>
          <w:lang w:val="es-419"/>
        </w:rPr>
        <w:t xml:space="preserve"> que recopile información contenida en el Centro de Intercambio de Información sobre Seguridad de la Biotecnología y otras fuentes referida a leyes, reglamentaciones y directrices nacionales vigentes sobre nuevos avances de la biotecnología moderna;</w:t>
      </w:r>
    </w:p>
    <w:p w14:paraId="4A780DDC" w14:textId="032F02B3" w:rsidR="00080196" w:rsidRPr="00065280" w:rsidRDefault="00711AEE" w:rsidP="00711AEE">
      <w:pPr>
        <w:pStyle w:val="CBDDesicionText"/>
        <w:rPr>
          <w:lang w:val="es-419"/>
        </w:rPr>
      </w:pPr>
      <w:r w:rsidRPr="00065280">
        <w:rPr>
          <w:lang w:val="es-419"/>
        </w:rPr>
        <w:t>3.</w:t>
      </w:r>
      <w:r w:rsidRPr="00065280">
        <w:rPr>
          <w:lang w:val="es-419"/>
        </w:rPr>
        <w:tab/>
      </w:r>
      <w:r w:rsidRPr="00065280">
        <w:rPr>
          <w:i/>
          <w:lang w:val="es-419"/>
        </w:rPr>
        <w:t>Pide también</w:t>
      </w:r>
      <w:r w:rsidRPr="00065280">
        <w:rPr>
          <w:lang w:val="es-419"/>
        </w:rPr>
        <w:t xml:space="preserve"> a la Secretaria Ejecutiva que someta la información recogida en respuesta a los párrafos 1 y 2 anteriores a la consideración de la Conferencia de las Partes que actúa como reunión de las Partes en el Protocolo de Cartagena en su 12ª reunión</w:t>
      </w:r>
      <w:r w:rsidR="00080196" w:rsidRPr="00065280">
        <w:rPr>
          <w:kern w:val="22"/>
          <w:lang w:val="es-419"/>
        </w:rPr>
        <w:t>.</w:t>
      </w:r>
    </w:p>
    <w:p w14:paraId="7AB8855D" w14:textId="77777777" w:rsidR="00080196" w:rsidRPr="00065280" w:rsidRDefault="00080196">
      <w:pPr>
        <w:tabs>
          <w:tab w:val="clear" w:pos="567"/>
          <w:tab w:val="clear" w:pos="1134"/>
          <w:tab w:val="clear" w:pos="1701"/>
          <w:tab w:val="clear" w:pos="2268"/>
        </w:tabs>
        <w:spacing w:after="160" w:line="278" w:lineRule="auto"/>
        <w:jc w:val="left"/>
        <w:rPr>
          <w:lang w:val="es-419"/>
        </w:rPr>
      </w:pPr>
      <w:r w:rsidRPr="00065280">
        <w:rPr>
          <w:lang w:val="es-419"/>
        </w:rPr>
        <w:br w:type="page"/>
      </w:r>
    </w:p>
    <w:p w14:paraId="13E135D4" w14:textId="70EAE217" w:rsidR="00080196" w:rsidRPr="00065280" w:rsidRDefault="00DA55C0" w:rsidP="00E824E6">
      <w:pPr>
        <w:pStyle w:val="CBDH2"/>
        <w:rPr>
          <w:lang w:val="es-419"/>
        </w:rPr>
      </w:pPr>
      <w:r w:rsidRPr="00065280">
        <w:rPr>
          <w:lang w:val="es-419"/>
        </w:rPr>
        <w:lastRenderedPageBreak/>
        <w:tab/>
      </w:r>
      <w:bookmarkStart w:id="11" w:name="_Toc194399412"/>
      <w:bookmarkStart w:id="12" w:name="_Toc194919551"/>
      <w:bookmarkStart w:id="13" w:name="_Toc199016604"/>
      <w:r w:rsidR="00080196" w:rsidRPr="00065280">
        <w:rPr>
          <w:lang w:val="es-419"/>
        </w:rPr>
        <w:t>CP-11/2.</w:t>
      </w:r>
      <w:r w:rsidR="00080196" w:rsidRPr="00065280">
        <w:rPr>
          <w:lang w:val="es-419"/>
        </w:rPr>
        <w:tab/>
      </w:r>
      <w:bookmarkEnd w:id="11"/>
      <w:bookmarkEnd w:id="12"/>
      <w:r w:rsidR="00D61B99" w:rsidRPr="00065280">
        <w:rPr>
          <w:lang w:val="es-419"/>
        </w:rPr>
        <w:t>Asuntos relacionados con el mecanismo financiero y los recursos financieros</w:t>
      </w:r>
      <w:bookmarkEnd w:id="13"/>
    </w:p>
    <w:p w14:paraId="469B7B7C" w14:textId="77777777" w:rsidR="00D61B99" w:rsidRPr="00065280" w:rsidRDefault="00D61B99" w:rsidP="00D61B99">
      <w:pPr>
        <w:pStyle w:val="Para10"/>
        <w:keepNext/>
        <w:ind w:left="567" w:firstLine="567"/>
        <w:rPr>
          <w:szCs w:val="22"/>
          <w:lang w:val="es-419"/>
        </w:rPr>
      </w:pPr>
      <w:r w:rsidRPr="00065280">
        <w:rPr>
          <w:i/>
          <w:lang w:val="es-419"/>
        </w:rPr>
        <w:t>La Conferencia de las Partes que actúa como reunión de las Partes en el Protocolo de Cartagena</w:t>
      </w:r>
      <w:r w:rsidRPr="00065280">
        <w:rPr>
          <w:lang w:val="es-419"/>
        </w:rPr>
        <w:t>,</w:t>
      </w:r>
    </w:p>
    <w:p w14:paraId="55DD1B7D" w14:textId="77777777" w:rsidR="00D61B99" w:rsidRPr="001D458F" w:rsidRDefault="00D61B99" w:rsidP="4C73E587">
      <w:pPr>
        <w:pStyle w:val="CBDDesicionText"/>
        <w:rPr>
          <w:snapToGrid w:val="0"/>
          <w:lang w:val="fr-FR"/>
        </w:rPr>
      </w:pPr>
      <w:r w:rsidRPr="001D458F">
        <w:rPr>
          <w:i/>
          <w:iCs/>
          <w:lang w:val="fr-FR"/>
        </w:rPr>
        <w:t>Tomando nota</w:t>
      </w:r>
      <w:r w:rsidRPr="001D458F">
        <w:rPr>
          <w:lang w:val="fr-FR"/>
        </w:rPr>
        <w:t xml:space="preserve"> del informe del Consejo del Fondo para el Medio Ambiente Mundial a la 16ª reunión de la Conferencia de las Partes en el Convenio</w:t>
      </w:r>
      <w:r w:rsidRPr="001D458F">
        <w:rPr>
          <w:snapToGrid w:val="0"/>
          <w:lang w:val="fr-FR"/>
        </w:rPr>
        <w:t xml:space="preserve"> sobre la Diversidad Biológica</w:t>
      </w:r>
      <w:r w:rsidRPr="4C73E587">
        <w:rPr>
          <w:rStyle w:val="FootnoteReference"/>
          <w:snapToGrid w:val="0"/>
        </w:rPr>
        <w:footnoteReference w:id="8"/>
      </w:r>
      <w:r w:rsidRPr="001D458F">
        <w:rPr>
          <w:snapToGrid w:val="0"/>
          <w:vertAlign w:val="superscript"/>
          <w:lang w:val="fr-FR"/>
        </w:rPr>
        <w:t>,</w:t>
      </w:r>
      <w:r w:rsidRPr="4C73E587">
        <w:rPr>
          <w:rStyle w:val="FootnoteReference"/>
        </w:rPr>
        <w:footnoteReference w:id="9"/>
      </w:r>
      <w:r w:rsidRPr="001D458F">
        <w:rPr>
          <w:lang w:val="fr-FR"/>
        </w:rPr>
        <w:t xml:space="preserve"> y del informe sobre el </w:t>
      </w:r>
      <w:r w:rsidRPr="001D458F">
        <w:rPr>
          <w:snapToGrid w:val="0"/>
          <w:lang w:val="fr-FR"/>
        </w:rPr>
        <w:t>sexto examen de la eficacia del mecanismo financiero para el Convenio y sus Protocolos</w:t>
      </w:r>
      <w:r w:rsidRPr="4C73E587">
        <w:rPr>
          <w:rStyle w:val="FootnoteReference"/>
          <w:snapToGrid w:val="0"/>
        </w:rPr>
        <w:footnoteReference w:id="10"/>
      </w:r>
      <w:r w:rsidRPr="001D458F">
        <w:rPr>
          <w:snapToGrid w:val="0"/>
          <w:lang w:val="fr-FR"/>
        </w:rPr>
        <w:t>,</w:t>
      </w:r>
    </w:p>
    <w:p w14:paraId="1E746347" w14:textId="77777777" w:rsidR="00D61B99" w:rsidRPr="00065280" w:rsidRDefault="00D61B99" w:rsidP="00D61B99">
      <w:pPr>
        <w:pStyle w:val="CBDDesicionText"/>
        <w:rPr>
          <w:bCs/>
          <w:lang w:val="es-419"/>
        </w:rPr>
      </w:pPr>
      <w:r w:rsidRPr="00065280">
        <w:rPr>
          <w:i/>
          <w:snapToGrid w:val="0"/>
          <w:lang w:val="es-419"/>
        </w:rPr>
        <w:t>Observando con preocupación</w:t>
      </w:r>
      <w:r w:rsidRPr="00065280">
        <w:rPr>
          <w:snapToGrid w:val="0"/>
          <w:lang w:val="es-419"/>
        </w:rPr>
        <w:t xml:space="preserve"> que, transcurridos dos años de la ejecución del octavo ciclo de reposición de recursos del </w:t>
      </w:r>
      <w:r w:rsidRPr="00065280">
        <w:rPr>
          <w:lang w:val="es-419"/>
        </w:rPr>
        <w:t>Fondo Fiduciario del Fondo para el Medio Ambiente Mundial, no se ha presentado ningún proyecto dirigido a apoyar la aplicación del Protocolo de Cartagena sobre Seguridad de la Biotecnología</w:t>
      </w:r>
      <w:r w:rsidRPr="00065280">
        <w:rPr>
          <w:rStyle w:val="FootnoteReference"/>
          <w:bCs/>
          <w:lang w:val="es-419"/>
        </w:rPr>
        <w:footnoteReference w:id="11"/>
      </w:r>
      <w:r w:rsidRPr="00065280">
        <w:rPr>
          <w:lang w:val="es-419"/>
        </w:rPr>
        <w:t>,</w:t>
      </w:r>
    </w:p>
    <w:p w14:paraId="72115E9A" w14:textId="77777777" w:rsidR="00D61B99" w:rsidRPr="00065280" w:rsidRDefault="00D61B99" w:rsidP="00D61B99">
      <w:pPr>
        <w:pStyle w:val="CBDDesicionText"/>
        <w:rPr>
          <w:lang w:val="es-419"/>
        </w:rPr>
      </w:pPr>
      <w:bookmarkStart w:id="14" w:name="_Hlk180506288"/>
      <w:r w:rsidRPr="00065280">
        <w:rPr>
          <w:i/>
          <w:lang w:val="es-419"/>
        </w:rPr>
        <w:t>Observando</w:t>
      </w:r>
      <w:r w:rsidRPr="00065280">
        <w:rPr>
          <w:lang w:val="es-419"/>
        </w:rPr>
        <w:t xml:space="preserve"> los resultados del análisis de la eficacia del mecanismo financiero para la aplicación del Protocolo de Cartagena en el sexto examen de la eficacia del mecanismo financiero,</w:t>
      </w:r>
      <w:bookmarkEnd w:id="14"/>
    </w:p>
    <w:p w14:paraId="1F67228C" w14:textId="77777777" w:rsidR="00D61B99" w:rsidRPr="00065280" w:rsidRDefault="00D61B99" w:rsidP="00D61B99">
      <w:pPr>
        <w:pStyle w:val="CBDDesicionText"/>
        <w:rPr>
          <w:lang w:val="es-419"/>
        </w:rPr>
      </w:pPr>
      <w:r w:rsidRPr="00065280">
        <w:rPr>
          <w:i/>
          <w:lang w:val="es-419"/>
        </w:rPr>
        <w:t>Acogiendo con satisfacción</w:t>
      </w:r>
      <w:r w:rsidRPr="00065280">
        <w:rPr>
          <w:lang w:val="es-419"/>
        </w:rPr>
        <w:t xml:space="preserve"> el establecimiento y la puesta en funcionamiento del Fondo para el Marco Mundial de Biodiversidad y sus directrices de programación, que incluyen una esfera de acción para apoyar la aplicación del Protocolo de Cartagena,</w:t>
      </w:r>
    </w:p>
    <w:p w14:paraId="52A51E37" w14:textId="77777777" w:rsidR="00D61B99" w:rsidRPr="00065280" w:rsidRDefault="00D61B99" w:rsidP="00D61B99">
      <w:pPr>
        <w:pStyle w:val="CBDDesicionText"/>
        <w:rPr>
          <w:lang w:val="es-419"/>
        </w:rPr>
      </w:pPr>
      <w:r w:rsidRPr="00065280">
        <w:rPr>
          <w:i/>
          <w:lang w:val="es-419"/>
        </w:rPr>
        <w:t>Recordando</w:t>
      </w:r>
      <w:r w:rsidRPr="00065280">
        <w:rPr>
          <w:lang w:val="es-419"/>
        </w:rPr>
        <w:t xml:space="preserve"> la decisión </w:t>
      </w:r>
      <w:hyperlink r:id="rId18" w:history="1">
        <w:r w:rsidRPr="00065280">
          <w:rPr>
            <w:rStyle w:val="Hyperlink"/>
            <w:lang w:val="es-419"/>
          </w:rPr>
          <w:t>15/15</w:t>
        </w:r>
      </w:hyperlink>
      <w:r w:rsidRPr="00065280">
        <w:rPr>
          <w:lang w:val="es-419"/>
        </w:rPr>
        <w:t>, de 19 de diciembre de 2022, de la Conferencia de las Partes en el Convenio, por la que la Conferencia de las Partes invitó al</w:t>
      </w:r>
      <w:r w:rsidRPr="00065280">
        <w:rPr>
          <w:snapToGrid w:val="0"/>
          <w:lang w:val="es-419"/>
        </w:rPr>
        <w:t xml:space="preserve"> Consejo del Fondo para el Medio Ambiente Mundial a estudiar la posibilidad de crear una ventanilla de financiación específica para el Protocolo de Cartagena,</w:t>
      </w:r>
    </w:p>
    <w:p w14:paraId="2384F727" w14:textId="77777777" w:rsidR="00D61B99" w:rsidRPr="00065280" w:rsidRDefault="00D61B99" w:rsidP="00D61B99">
      <w:pPr>
        <w:pStyle w:val="CBDDesicionText"/>
        <w:rPr>
          <w:lang w:val="es-419"/>
        </w:rPr>
      </w:pPr>
      <w:r w:rsidRPr="00065280">
        <w:rPr>
          <w:lang w:val="es-419"/>
        </w:rPr>
        <w:t>1.</w:t>
      </w:r>
      <w:r w:rsidRPr="00065280">
        <w:rPr>
          <w:lang w:val="es-419"/>
        </w:rPr>
        <w:tab/>
      </w:r>
      <w:r w:rsidRPr="00065280">
        <w:rPr>
          <w:i/>
          <w:lang w:val="es-419"/>
        </w:rPr>
        <w:t>Recomienda</w:t>
      </w:r>
      <w:r w:rsidRPr="00065280">
        <w:rPr>
          <w:lang w:val="es-419"/>
        </w:rPr>
        <w:t xml:space="preserve"> a la Conferencia de las Partes en el Convenio sobre la Diversidad Biológica que, cuando adopte sus orientaciones para el Fondo para el Medio Ambiente Mundial en lo que tiene que ver con el apoyo a la aplicación del Protocolo de Cartagena sobre Seguridad de la Biotecnología incluya las siguientes peticiones al Fondo para el Medio Ambiente Mundial:</w:t>
      </w:r>
    </w:p>
    <w:p w14:paraId="3F0A5E79" w14:textId="77777777" w:rsidR="00D61B99" w:rsidRPr="00065280" w:rsidRDefault="00D61B99" w:rsidP="00D61B99">
      <w:pPr>
        <w:pStyle w:val="CBDDesicionText"/>
        <w:rPr>
          <w:lang w:val="es-419"/>
        </w:rPr>
      </w:pPr>
      <w:r w:rsidRPr="00065280">
        <w:rPr>
          <w:lang w:val="es-419"/>
        </w:rPr>
        <w:t>a)</w:t>
      </w:r>
      <w:r w:rsidRPr="00065280">
        <w:rPr>
          <w:lang w:val="es-419"/>
        </w:rPr>
        <w:tab/>
        <w:t>Que facilite fondos de manera oportuna para apoyar a las Partes que reúnan las condiciones en la preparación y presentación de sus quintos informes nacionales requeridos en virtud del Protocolo de Cartagena;</w:t>
      </w:r>
    </w:p>
    <w:p w14:paraId="0BD7107E" w14:textId="77777777" w:rsidR="00D61B99" w:rsidRPr="00065280" w:rsidRDefault="00D61B99" w:rsidP="00D61B99">
      <w:pPr>
        <w:pStyle w:val="CBDDesicionText"/>
        <w:rPr>
          <w:lang w:val="es-419"/>
        </w:rPr>
      </w:pPr>
      <w:r w:rsidRPr="00065280">
        <w:rPr>
          <w:lang w:val="es-419"/>
        </w:rPr>
        <w:t>b)</w:t>
      </w:r>
      <w:r w:rsidRPr="00065280">
        <w:rPr>
          <w:lang w:val="es-419"/>
        </w:rPr>
        <w:tab/>
        <w:t>Que refuerce su financiación dedicada al Protocolo de Cartagena para apoyar a las Partes que reúnan las condiciones en la aplicación del Protocolo, incluido en la implementación de su plan de aplicación</w:t>
      </w:r>
      <w:r w:rsidRPr="00065280">
        <w:rPr>
          <w:rStyle w:val="FootnoteReference"/>
          <w:lang w:val="es-419" w:eastAsia="en-GB"/>
        </w:rPr>
        <w:footnoteReference w:id="12"/>
      </w:r>
      <w:r w:rsidRPr="00065280">
        <w:rPr>
          <w:lang w:val="es-419"/>
        </w:rPr>
        <w:t xml:space="preserve"> y de su plan de acción para la creación de capacidad</w:t>
      </w:r>
      <w:r w:rsidRPr="00065280">
        <w:rPr>
          <w:rStyle w:val="FootnoteReference"/>
          <w:lang w:val="es-419" w:eastAsia="en-GB"/>
        </w:rPr>
        <w:footnoteReference w:id="13"/>
      </w:r>
      <w:r w:rsidRPr="00065280">
        <w:rPr>
          <w:lang w:val="es-419"/>
        </w:rPr>
        <w:t>;</w:t>
      </w:r>
    </w:p>
    <w:p w14:paraId="54A05EA8" w14:textId="77777777" w:rsidR="00D61B99" w:rsidRPr="00065280" w:rsidRDefault="00D61B99" w:rsidP="00D61B99">
      <w:pPr>
        <w:pStyle w:val="CBDDesicionText"/>
        <w:rPr>
          <w:lang w:val="es-419"/>
        </w:rPr>
      </w:pPr>
      <w:r w:rsidRPr="00065280">
        <w:rPr>
          <w:lang w:val="es-419"/>
        </w:rPr>
        <w:t>c)</w:t>
      </w:r>
      <w:r w:rsidRPr="00065280">
        <w:rPr>
          <w:lang w:val="es-419"/>
        </w:rPr>
        <w:tab/>
        <w:t>Que siga prestando apoyo a las Partes que reúnan las condiciones, cuando estas lo soliciten, para la realización de actividades en las siguientes áreas:</w:t>
      </w:r>
    </w:p>
    <w:p w14:paraId="275C254E" w14:textId="77777777" w:rsidR="00D61B99" w:rsidRPr="00065280" w:rsidRDefault="00D61B99" w:rsidP="00D61B99">
      <w:pPr>
        <w:pStyle w:val="CBDDesicionText"/>
        <w:rPr>
          <w:lang w:val="es-419"/>
        </w:rPr>
      </w:pPr>
      <w:r w:rsidRPr="00065280">
        <w:rPr>
          <w:lang w:val="es-419"/>
        </w:rPr>
        <w:t>i)</w:t>
      </w:r>
      <w:r w:rsidRPr="00065280">
        <w:rPr>
          <w:lang w:val="es-419"/>
        </w:rPr>
        <w:tab/>
        <w:t>Elaboración y aplicación de medidas jurídicas, administrativas y de otro tipo para aplicar el Protocolo de Cartagena;</w:t>
      </w:r>
    </w:p>
    <w:p w14:paraId="150FE5C0" w14:textId="77777777" w:rsidR="00D61B99" w:rsidRPr="00065280" w:rsidRDefault="00D61B99" w:rsidP="00D61B99">
      <w:pPr>
        <w:pStyle w:val="CBDDesicionText"/>
        <w:rPr>
          <w:lang w:val="es-419"/>
        </w:rPr>
      </w:pPr>
      <w:r w:rsidRPr="00065280">
        <w:rPr>
          <w:lang w:val="es-419"/>
        </w:rPr>
        <w:t>ii)</w:t>
      </w:r>
      <w:r w:rsidRPr="00065280">
        <w:rPr>
          <w:lang w:val="es-419"/>
        </w:rPr>
        <w:tab/>
        <w:t>Evaluación del riesgo y gestión del riesgo;</w:t>
      </w:r>
    </w:p>
    <w:p w14:paraId="1DEDA402" w14:textId="77777777" w:rsidR="00D61B99" w:rsidRPr="00065280" w:rsidRDefault="00D61B99" w:rsidP="00D61B99">
      <w:pPr>
        <w:pStyle w:val="CBDDesicionText"/>
        <w:rPr>
          <w:lang w:val="es-419"/>
        </w:rPr>
      </w:pPr>
      <w:r w:rsidRPr="00065280">
        <w:rPr>
          <w:lang w:val="es-419"/>
        </w:rPr>
        <w:t>iii)</w:t>
      </w:r>
      <w:r w:rsidRPr="00065280">
        <w:rPr>
          <w:lang w:val="es-419"/>
        </w:rPr>
        <w:tab/>
        <w:t>Detección e identificación de organismos vivos modificados;</w:t>
      </w:r>
    </w:p>
    <w:p w14:paraId="40B9AF7A" w14:textId="77777777" w:rsidR="00D61B99" w:rsidRPr="00065280" w:rsidRDefault="00D61B99" w:rsidP="00D61B99">
      <w:pPr>
        <w:pStyle w:val="CBDDesicionText"/>
        <w:rPr>
          <w:lang w:val="es-419"/>
        </w:rPr>
      </w:pPr>
      <w:r w:rsidRPr="00065280">
        <w:rPr>
          <w:lang w:val="es-419"/>
        </w:rPr>
        <w:t>iv)</w:t>
      </w:r>
      <w:r w:rsidRPr="00065280">
        <w:rPr>
          <w:lang w:val="es-419"/>
        </w:rPr>
        <w:tab/>
        <w:t>Concienciación, educación y participación del público;</w:t>
      </w:r>
    </w:p>
    <w:p w14:paraId="2E8DB17D" w14:textId="77777777" w:rsidR="00D61B99" w:rsidRPr="00065280" w:rsidRDefault="00D61B99" w:rsidP="00D61B99">
      <w:pPr>
        <w:pStyle w:val="CBDDesicionText"/>
        <w:rPr>
          <w:lang w:val="es-419"/>
        </w:rPr>
      </w:pPr>
      <w:r w:rsidRPr="00065280">
        <w:rPr>
          <w:lang w:val="es-419"/>
        </w:rPr>
        <w:t>v)</w:t>
      </w:r>
      <w:r w:rsidRPr="00065280">
        <w:rPr>
          <w:lang w:val="es-419"/>
        </w:rPr>
        <w:tab/>
        <w:t>Consideraciones socioeconómicas;</w:t>
      </w:r>
    </w:p>
    <w:p w14:paraId="0CDEDDE8" w14:textId="77777777" w:rsidR="00D61B99" w:rsidRPr="00065280" w:rsidRDefault="00D61B99" w:rsidP="00D61B99">
      <w:pPr>
        <w:pStyle w:val="CBDDesicionText"/>
        <w:rPr>
          <w:lang w:val="es-419"/>
        </w:rPr>
      </w:pPr>
      <w:r w:rsidRPr="00065280">
        <w:rPr>
          <w:lang w:val="es-419"/>
        </w:rPr>
        <w:t>vi)</w:t>
      </w:r>
      <w:r w:rsidRPr="00065280">
        <w:rPr>
          <w:lang w:val="es-419"/>
        </w:rPr>
        <w:tab/>
        <w:t xml:space="preserve">Responsabilidad y compensación; </w:t>
      </w:r>
    </w:p>
    <w:p w14:paraId="5CF3CA6C" w14:textId="77777777" w:rsidR="00D61B99" w:rsidRPr="00065280" w:rsidRDefault="00D61B99" w:rsidP="00D61B99">
      <w:pPr>
        <w:pStyle w:val="CBDDesicionText"/>
        <w:rPr>
          <w:lang w:val="es-419"/>
        </w:rPr>
      </w:pPr>
      <w:r w:rsidRPr="00065280">
        <w:rPr>
          <w:lang w:val="es-419"/>
        </w:rPr>
        <w:lastRenderedPageBreak/>
        <w:t>vii)</w:t>
      </w:r>
      <w:r w:rsidRPr="00065280">
        <w:rPr>
          <w:lang w:val="es-419"/>
        </w:rPr>
        <w:tab/>
        <w:t>Informes nacionales, intercambio de información y Centro de Intercambio de Información sobre Seguridad de la Biotecnología;</w:t>
      </w:r>
    </w:p>
    <w:p w14:paraId="0FA97378" w14:textId="77777777" w:rsidR="00D61B99" w:rsidRPr="00065280" w:rsidRDefault="00D61B99" w:rsidP="00D61B99">
      <w:pPr>
        <w:pStyle w:val="CBDDesicionText"/>
        <w:rPr>
          <w:lang w:val="es-419"/>
        </w:rPr>
      </w:pPr>
      <w:r w:rsidRPr="00065280">
        <w:rPr>
          <w:lang w:val="es-419"/>
        </w:rPr>
        <w:t>viii)</w:t>
      </w:r>
      <w:r w:rsidRPr="00065280">
        <w:rPr>
          <w:lang w:val="es-419"/>
        </w:rPr>
        <w:tab/>
        <w:t>Intercambio de conocimientos y transferencia de tecnología;</w:t>
      </w:r>
    </w:p>
    <w:p w14:paraId="72BF7B16" w14:textId="77777777" w:rsidR="00D61B99" w:rsidRPr="00065280" w:rsidRDefault="00D61B99" w:rsidP="00D61B99">
      <w:pPr>
        <w:pStyle w:val="CBDDesicionText"/>
        <w:rPr>
          <w:lang w:val="es-419"/>
        </w:rPr>
      </w:pPr>
      <w:r w:rsidRPr="00065280">
        <w:rPr>
          <w:lang w:val="es-419"/>
        </w:rPr>
        <w:t>ix)</w:t>
      </w:r>
      <w:r w:rsidRPr="00065280">
        <w:rPr>
          <w:lang w:val="es-419"/>
        </w:rPr>
        <w:tab/>
        <w:t>Implementación de planes de acción para lograr el cumplimiento del Protocolo de Cartagena;</w:t>
      </w:r>
    </w:p>
    <w:p w14:paraId="36E1F98C" w14:textId="77777777" w:rsidR="00D61B99" w:rsidRPr="00065280" w:rsidRDefault="00D61B99" w:rsidP="00D61B99">
      <w:pPr>
        <w:pStyle w:val="CBDDesicionText"/>
        <w:rPr>
          <w:lang w:val="es-419"/>
        </w:rPr>
      </w:pPr>
      <w:r w:rsidRPr="00065280">
        <w:rPr>
          <w:lang w:val="es-419"/>
        </w:rPr>
        <w:t>d)</w:t>
      </w:r>
      <w:r w:rsidRPr="00065280">
        <w:rPr>
          <w:lang w:val="es-419"/>
        </w:rPr>
        <w:tab/>
        <w:t>Que siga explorando modalidades para reformar sus operaciones, incluido mediante la consideración de maneras de aumentar los fondos destinados a la aplicación del Protocolo de Cartagena y el uso de proyectos mundiales y regionales, de forma tal que el Fondo para el Medio Ambiente Mundial pueda cumplir eficazmente sus responsabilidades en la administración del mecanismo financiero del Protocolo con carácter provisional y continuo, y que informe sobre estas cuestiones a la Conferencia de las Partes en el Convenio en su 17ª reunión;</w:t>
      </w:r>
    </w:p>
    <w:p w14:paraId="162F41C2" w14:textId="77777777" w:rsidR="00D61B99" w:rsidRPr="00065280" w:rsidRDefault="00D61B99" w:rsidP="00D61B99">
      <w:pPr>
        <w:pStyle w:val="CBDDesicionText"/>
        <w:rPr>
          <w:lang w:val="es-419"/>
        </w:rPr>
      </w:pPr>
      <w:r w:rsidRPr="00065280">
        <w:rPr>
          <w:lang w:val="es-419"/>
        </w:rPr>
        <w:t>e)</w:t>
      </w:r>
      <w:r w:rsidRPr="00065280">
        <w:rPr>
          <w:lang w:val="es-419"/>
        </w:rPr>
        <w:tab/>
        <w:t xml:space="preserve"> Que considere la pertinencia de crear una ventanilla de financiación independiente dedicada a la seguridad de la biotecnología, para su consideración por la Conferencia de las Partes que actúa como reunión de las Partes en el Protocolo de Cartagena en su 12ª reunión;</w:t>
      </w:r>
    </w:p>
    <w:p w14:paraId="2DFA7769" w14:textId="77777777" w:rsidR="00D61B99" w:rsidRPr="00065280" w:rsidRDefault="00D61B99" w:rsidP="00D61B99">
      <w:pPr>
        <w:pStyle w:val="CBDDesicionText"/>
        <w:rPr>
          <w:lang w:val="es-419"/>
        </w:rPr>
      </w:pPr>
      <w:r w:rsidRPr="00065280">
        <w:rPr>
          <w:lang w:val="es-419"/>
        </w:rPr>
        <w:t>f)</w:t>
      </w:r>
      <w:r w:rsidRPr="00065280">
        <w:rPr>
          <w:lang w:val="es-419"/>
        </w:rPr>
        <w:tab/>
        <w:t>Que simplifique el proceso de presentación de propuestas de proyectos de seguridad de la biotecnología;</w:t>
      </w:r>
    </w:p>
    <w:p w14:paraId="7CC3B901" w14:textId="77777777" w:rsidR="00D61B99" w:rsidRPr="00065280" w:rsidRDefault="00D61B99" w:rsidP="00D61B99">
      <w:pPr>
        <w:pStyle w:val="CBDDesicionText"/>
        <w:rPr>
          <w:lang w:val="es-419"/>
        </w:rPr>
      </w:pPr>
      <w:r w:rsidRPr="00065280">
        <w:rPr>
          <w:lang w:val="es-419"/>
        </w:rPr>
        <w:t>g)</w:t>
      </w:r>
      <w:r w:rsidRPr="00065280">
        <w:rPr>
          <w:lang w:val="es-419"/>
        </w:rPr>
        <w:tab/>
        <w:t>Que facilite la realización de actividades de creación de capacidad sobre el diseño de proyectos de seguridad de la biotecnología, entre otras cosas a través de seminarios web;</w:t>
      </w:r>
    </w:p>
    <w:p w14:paraId="7B9D4E9A" w14:textId="77777777" w:rsidR="00D61B99" w:rsidRPr="00065280" w:rsidRDefault="00D61B99" w:rsidP="00D61B99">
      <w:pPr>
        <w:pStyle w:val="CBDDesicionText"/>
        <w:rPr>
          <w:lang w:val="es-419"/>
        </w:rPr>
      </w:pPr>
      <w:r w:rsidRPr="00065280">
        <w:rPr>
          <w:lang w:val="es-419"/>
        </w:rPr>
        <w:t>2.</w:t>
      </w:r>
      <w:r w:rsidRPr="00065280">
        <w:rPr>
          <w:lang w:val="es-419"/>
        </w:rPr>
        <w:tab/>
      </w:r>
      <w:r w:rsidRPr="00065280">
        <w:rPr>
          <w:i/>
          <w:lang w:val="es-419"/>
        </w:rPr>
        <w:t>Recomienda también</w:t>
      </w:r>
      <w:r w:rsidRPr="00065280">
        <w:rPr>
          <w:lang w:val="es-419"/>
        </w:rPr>
        <w:t xml:space="preserve"> a la Conferencia de las Partes en el Convenio que incluya los elementos enumerados en los apartados b) y c) del párrafo 1 anterior en el marco cuatrienal de prioridades programáticas de diversidad biológica orientado a la obtención de resultados para el noveno período de reposición de recursos del Fondo Fiduciario del Fondo para el Medio Ambiente Mundial (julio de 2026-junio de 2030);</w:t>
      </w:r>
    </w:p>
    <w:p w14:paraId="5CDD51DF" w14:textId="77777777" w:rsidR="00D61B99" w:rsidRPr="00065280" w:rsidRDefault="00D61B99" w:rsidP="00D61B99">
      <w:pPr>
        <w:pStyle w:val="CBDDesicionText"/>
        <w:keepNext/>
        <w:rPr>
          <w:lang w:val="es-419"/>
        </w:rPr>
      </w:pPr>
      <w:r w:rsidRPr="00065280">
        <w:rPr>
          <w:rFonts w:asciiTheme="majorBidi" w:hAnsiTheme="majorBidi"/>
          <w:lang w:val="es-419"/>
        </w:rPr>
        <w:t>3.</w:t>
      </w:r>
      <w:r w:rsidRPr="00065280">
        <w:rPr>
          <w:rFonts w:asciiTheme="majorBidi" w:hAnsiTheme="majorBidi"/>
          <w:lang w:val="es-419"/>
        </w:rPr>
        <w:tab/>
      </w:r>
      <w:r w:rsidRPr="00065280">
        <w:rPr>
          <w:rFonts w:asciiTheme="majorBidi" w:hAnsiTheme="majorBidi"/>
          <w:i/>
          <w:lang w:val="es-419"/>
        </w:rPr>
        <w:t>Alienta</w:t>
      </w:r>
      <w:r w:rsidRPr="00065280">
        <w:rPr>
          <w:lang w:val="es-419"/>
        </w:rPr>
        <w:t xml:space="preserve"> a las Partes que reúnan las condiciones a que:</w:t>
      </w:r>
    </w:p>
    <w:p w14:paraId="319AAF74" w14:textId="77777777" w:rsidR="00D61B99" w:rsidRPr="00065280" w:rsidRDefault="00D61B99" w:rsidP="00D61B99">
      <w:pPr>
        <w:pStyle w:val="CBDDesicionText"/>
        <w:rPr>
          <w:lang w:val="es-419"/>
        </w:rPr>
      </w:pPr>
      <w:r w:rsidRPr="00065280">
        <w:rPr>
          <w:lang w:val="es-419"/>
        </w:rPr>
        <w:t>a)</w:t>
      </w:r>
      <w:r w:rsidRPr="00065280">
        <w:rPr>
          <w:lang w:val="es-419"/>
        </w:rPr>
        <w:tab/>
        <w:t>Presenten propuestas de proyectos al Fondo para el Medio Ambiente Mundial en apoyo a la consecución de la meta 17 del Marco Mundial de Biodiversidad de Kunming-Montreal</w:t>
      </w:r>
      <w:r w:rsidRPr="00065280">
        <w:rPr>
          <w:rStyle w:val="FootnoteReference"/>
          <w:lang w:val="es-419"/>
        </w:rPr>
        <w:footnoteReference w:id="14"/>
      </w:r>
      <w:r w:rsidRPr="00065280">
        <w:rPr>
          <w:lang w:val="es-419"/>
        </w:rPr>
        <w:t xml:space="preserve"> y a la implementación del plan de aplicación y del plan de acción para la creación de capacidad para el Protocolo de Cartagena, utilizando en forma proactiva la asignación teórica para apoyar la aplicación del Protocolo disponible en las directrices de programación de la octava reposición de recursos del Fondo para el Medio Ambiente Mundial y las directrices de programación para el Fondo para el Marco Mundial de Biodiversidad, y que, al presentar dichas propuestas, tomen nota de la información pertinente del informe del Consejo del Fondo para el Medio Ambiente Mundial a la 16ª reunión de la Conferencia de las Partes en el Convenio;</w:t>
      </w:r>
    </w:p>
    <w:p w14:paraId="1649CE02" w14:textId="77777777" w:rsidR="00D61B99" w:rsidRPr="00065280" w:rsidRDefault="00D61B99" w:rsidP="00D61B99">
      <w:pPr>
        <w:pStyle w:val="CBDDesicionText"/>
        <w:rPr>
          <w:lang w:val="es-419"/>
        </w:rPr>
      </w:pPr>
      <w:r w:rsidRPr="00065280">
        <w:rPr>
          <w:lang w:val="es-419"/>
        </w:rPr>
        <w:t>b)</w:t>
      </w:r>
      <w:r w:rsidRPr="00065280">
        <w:rPr>
          <w:lang w:val="es-419"/>
        </w:rPr>
        <w:tab/>
        <w:t>Cooperen a nivel regional y subregional, según proceda, para preparar solicitudes de apoyo del Fondo para el Medio Ambiente Mundial a proyectos conjuntos que contribuyan a compartir recursos, información, experiencias y conocimientos especializados de manera eficaz en función de los costos y maximicen las complementariedades y oportunidades al respecto;</w:t>
      </w:r>
    </w:p>
    <w:p w14:paraId="2870E68A" w14:textId="77777777" w:rsidR="00D61B99" w:rsidRPr="009822E4" w:rsidRDefault="00D61B99" w:rsidP="00D61B99">
      <w:pPr>
        <w:pStyle w:val="CBDDesicionText"/>
        <w:rPr>
          <w:rFonts w:asciiTheme="majorBidi" w:hAnsiTheme="majorBidi"/>
          <w:spacing w:val="-2"/>
          <w:lang w:val="es-419"/>
        </w:rPr>
      </w:pPr>
      <w:r w:rsidRPr="009822E4">
        <w:rPr>
          <w:rFonts w:asciiTheme="majorBidi" w:hAnsiTheme="majorBidi"/>
          <w:spacing w:val="-2"/>
          <w:lang w:val="es-419"/>
        </w:rPr>
        <w:t>4.</w:t>
      </w:r>
      <w:r w:rsidRPr="009822E4">
        <w:rPr>
          <w:rFonts w:asciiTheme="majorBidi" w:hAnsiTheme="majorBidi"/>
          <w:spacing w:val="-2"/>
          <w:lang w:val="es-419"/>
        </w:rPr>
        <w:tab/>
      </w:r>
      <w:r w:rsidRPr="009822E4">
        <w:rPr>
          <w:rFonts w:asciiTheme="majorBidi" w:hAnsiTheme="majorBidi"/>
          <w:i/>
          <w:spacing w:val="-2"/>
          <w:lang w:val="es-419"/>
        </w:rPr>
        <w:t>Alienta</w:t>
      </w:r>
      <w:r w:rsidRPr="009822E4">
        <w:rPr>
          <w:rFonts w:asciiTheme="majorBidi" w:hAnsiTheme="majorBidi"/>
          <w:spacing w:val="-2"/>
          <w:lang w:val="es-419"/>
        </w:rPr>
        <w:t xml:space="preserve"> a las Partes a que incluyan necesidades y disposiciones para la consecución de la meta 17 del Marco y la implementación del plan de aplicación y del plan para la creación de capacidad para el Protocolo de Cartagena en sus planes nacionales de financiación de la diversidad biológica y en su implementación nacional de la estrategia para la movilización de recursos para el Marco</w:t>
      </w:r>
      <w:r w:rsidRPr="009822E4">
        <w:rPr>
          <w:rStyle w:val="FootnoteReference"/>
          <w:rFonts w:asciiTheme="majorBidi" w:hAnsiTheme="majorBidi" w:cstheme="majorBidi"/>
          <w:spacing w:val="-2"/>
          <w:lang w:val="es-419"/>
        </w:rPr>
        <w:footnoteReference w:id="15"/>
      </w:r>
      <w:r w:rsidRPr="009822E4">
        <w:rPr>
          <w:rFonts w:asciiTheme="majorBidi" w:hAnsiTheme="majorBidi"/>
          <w:spacing w:val="-2"/>
          <w:lang w:val="es-419"/>
        </w:rPr>
        <w:t>;</w:t>
      </w:r>
    </w:p>
    <w:p w14:paraId="1631CCE5" w14:textId="1DC50753" w:rsidR="00080196" w:rsidRPr="00065280" w:rsidRDefault="00D61B99" w:rsidP="009822E4">
      <w:pPr>
        <w:pStyle w:val="CBDDesicionText"/>
        <w:widowControl w:val="0"/>
        <w:ind w:left="562" w:firstLine="562"/>
        <w:rPr>
          <w:lang w:val="es-419"/>
        </w:rPr>
      </w:pPr>
      <w:r w:rsidRPr="00065280">
        <w:rPr>
          <w:lang w:val="es-419"/>
        </w:rPr>
        <w:t>5.</w:t>
      </w:r>
      <w:r w:rsidRPr="00065280">
        <w:rPr>
          <w:lang w:val="es-419"/>
        </w:rPr>
        <w:tab/>
      </w:r>
      <w:r w:rsidRPr="00065280">
        <w:rPr>
          <w:i/>
          <w:lang w:val="es-419"/>
        </w:rPr>
        <w:t>Pide</w:t>
      </w:r>
      <w:r w:rsidRPr="00065280">
        <w:rPr>
          <w:lang w:val="es-419"/>
        </w:rPr>
        <w:t xml:space="preserve"> a la Secretaria Ejecutiva que siga produciendo y comunicando información sobre fuentes de financiación de la seguridad de la biotecnología para apoyar a las Partes</w:t>
      </w:r>
      <w:r w:rsidR="00080196" w:rsidRPr="00065280">
        <w:rPr>
          <w:lang w:val="es-419"/>
        </w:rPr>
        <w:t>.</w:t>
      </w:r>
      <w:r w:rsidR="00080196" w:rsidRPr="00065280">
        <w:rPr>
          <w:lang w:val="es-419"/>
        </w:rPr>
        <w:br w:type="page"/>
      </w:r>
    </w:p>
    <w:p w14:paraId="0F8E34D4" w14:textId="7FF91C29" w:rsidR="00080196" w:rsidRPr="00065280" w:rsidRDefault="00AC6B37" w:rsidP="00AC6B37">
      <w:pPr>
        <w:pStyle w:val="CBDH2"/>
        <w:rPr>
          <w:lang w:val="es-419"/>
        </w:rPr>
      </w:pPr>
      <w:r w:rsidRPr="00065280">
        <w:rPr>
          <w:lang w:val="es-419"/>
        </w:rPr>
        <w:lastRenderedPageBreak/>
        <w:tab/>
      </w:r>
      <w:bookmarkStart w:id="15" w:name="_Toc194399413"/>
      <w:bookmarkStart w:id="16" w:name="_Toc194919552"/>
      <w:bookmarkStart w:id="17" w:name="_Toc199016605"/>
      <w:r w:rsidR="00080196" w:rsidRPr="00065280">
        <w:rPr>
          <w:lang w:val="es-419"/>
        </w:rPr>
        <w:t>CP-11/3.</w:t>
      </w:r>
      <w:r w:rsidR="00080196" w:rsidRPr="00065280">
        <w:rPr>
          <w:lang w:val="es-419"/>
        </w:rPr>
        <w:tab/>
      </w:r>
      <w:bookmarkEnd w:id="15"/>
      <w:bookmarkEnd w:id="16"/>
      <w:r w:rsidR="00F16397" w:rsidRPr="00065280">
        <w:rPr>
          <w:lang w:val="es-419"/>
        </w:rPr>
        <w:t>Funcionamiento y actividades del Centro de Intercambio de Información sobre Seguridad de la Biotecnología</w:t>
      </w:r>
      <w:bookmarkEnd w:id="17"/>
    </w:p>
    <w:p w14:paraId="56B50EC0" w14:textId="77777777" w:rsidR="00F16397" w:rsidRPr="00065280" w:rsidRDefault="00F16397" w:rsidP="00F16397">
      <w:pPr>
        <w:pStyle w:val="CBDNormalNoNumber"/>
        <w:ind w:firstLine="567"/>
        <w:rPr>
          <w:rStyle w:val="None"/>
          <w:i/>
          <w:iCs/>
          <w:lang w:val="es-419"/>
        </w:rPr>
      </w:pPr>
      <w:r w:rsidRPr="00065280">
        <w:rPr>
          <w:rStyle w:val="None"/>
          <w:i/>
          <w:lang w:val="es-419"/>
        </w:rPr>
        <w:t>La Conferencia de las Partes que actúa como reunión de las Partes en el Protocolo de Cartagena</w:t>
      </w:r>
    </w:p>
    <w:p w14:paraId="7B03BA28" w14:textId="77777777" w:rsidR="00F16397" w:rsidRPr="00065280" w:rsidRDefault="00F16397" w:rsidP="00F16397">
      <w:pPr>
        <w:pStyle w:val="CBDDesicionText"/>
        <w:rPr>
          <w:rStyle w:val="None"/>
          <w:lang w:val="es-419"/>
        </w:rPr>
      </w:pPr>
      <w:r w:rsidRPr="00065280">
        <w:rPr>
          <w:rStyle w:val="None"/>
          <w:lang w:val="es-419"/>
        </w:rPr>
        <w:t>1.</w:t>
      </w:r>
      <w:r w:rsidRPr="00065280">
        <w:rPr>
          <w:rStyle w:val="None"/>
          <w:i/>
          <w:lang w:val="es-419"/>
        </w:rPr>
        <w:tab/>
      </w:r>
      <w:r w:rsidRPr="00065280">
        <w:rPr>
          <w:i/>
          <w:iCs/>
          <w:lang w:val="es-419"/>
        </w:rPr>
        <w:t>Acoge con aprecio</w:t>
      </w:r>
      <w:r w:rsidRPr="00065280">
        <w:rPr>
          <w:lang w:val="es-419"/>
        </w:rPr>
        <w:t xml:space="preserve"> las mejoras realizadas en el portal central del Centro de Intercambio de Información sobre Seguridad de la Biotecnología conforme a las modalidades conjuntas de funcionamiento para el mecanismo de facilitación del Convenio sobre la Diversidad Biológica</w:t>
      </w:r>
      <w:r w:rsidRPr="00065280">
        <w:rPr>
          <w:rStyle w:val="FootnoteReference"/>
          <w:lang w:val="es-419"/>
        </w:rPr>
        <w:footnoteReference w:id="16"/>
      </w:r>
      <w:r w:rsidRPr="00065280">
        <w:rPr>
          <w:lang w:val="es-419"/>
        </w:rPr>
        <w:t>, el Centro de Intercambio de Información sobre Seguridad de la Biotecnología y el Centro de Intercambio de Información sobre Acceso y Participación en los Beneficios</w:t>
      </w:r>
      <w:r w:rsidRPr="00065280">
        <w:rPr>
          <w:rStyle w:val="FootnoteReference"/>
          <w:lang w:val="es-419"/>
        </w:rPr>
        <w:footnoteReference w:id="17"/>
      </w:r>
      <w:r w:rsidRPr="00065280">
        <w:rPr>
          <w:lang w:val="es-419"/>
        </w:rPr>
        <w:t xml:space="preserve">, que hizo suyas en la decisión </w:t>
      </w:r>
      <w:hyperlink r:id="rId19" w:history="1">
        <w:r w:rsidRPr="00065280">
          <w:rPr>
            <w:rStyle w:val="Hyperlink"/>
            <w:color w:val="0000FF"/>
            <w:lang w:val="es-419"/>
          </w:rPr>
          <w:t>CP-9/2</w:t>
        </w:r>
      </w:hyperlink>
      <w:r w:rsidRPr="00065280">
        <w:rPr>
          <w:lang w:val="es-419"/>
        </w:rPr>
        <w:t>, de 28 de noviembre de 2018;</w:t>
      </w:r>
    </w:p>
    <w:p w14:paraId="59098BA3" w14:textId="77777777" w:rsidR="00F16397" w:rsidRPr="00065280" w:rsidRDefault="00F16397" w:rsidP="00F16397">
      <w:pPr>
        <w:pStyle w:val="CBDDesicionText"/>
        <w:rPr>
          <w:rStyle w:val="None"/>
          <w:b/>
          <w:u w:val="single"/>
          <w:lang w:val="es-419"/>
        </w:rPr>
      </w:pPr>
      <w:r w:rsidRPr="00065280">
        <w:rPr>
          <w:rStyle w:val="None"/>
          <w:lang w:val="es-419"/>
        </w:rPr>
        <w:t>2.</w:t>
      </w:r>
      <w:r w:rsidRPr="00065280">
        <w:rPr>
          <w:rStyle w:val="None"/>
          <w:lang w:val="es-419"/>
        </w:rPr>
        <w:tab/>
      </w:r>
      <w:r w:rsidRPr="00065280">
        <w:rPr>
          <w:i/>
          <w:lang w:val="es-419"/>
        </w:rPr>
        <w:t>Observa</w:t>
      </w:r>
      <w:r w:rsidRPr="00065280">
        <w:rPr>
          <w:lang w:val="es-419"/>
        </w:rPr>
        <w:t xml:space="preserve"> el trabajo del Comité Asesor Oficioso sobre el Centro de Intercambio de Información sobre Seguridad de la Biotecnología;</w:t>
      </w:r>
    </w:p>
    <w:p w14:paraId="5E3ED6D6" w14:textId="77777777" w:rsidR="00F16397" w:rsidRPr="00065280" w:rsidRDefault="00F16397" w:rsidP="00F16397">
      <w:pPr>
        <w:pStyle w:val="CBDDesicionText"/>
        <w:rPr>
          <w:lang w:val="es-419"/>
        </w:rPr>
      </w:pPr>
      <w:r w:rsidRPr="00065280">
        <w:rPr>
          <w:lang w:val="es-419"/>
        </w:rPr>
        <w:t>3.</w:t>
      </w:r>
      <w:r w:rsidRPr="00065280">
        <w:rPr>
          <w:i/>
          <w:lang w:val="es-419"/>
        </w:rPr>
        <w:tab/>
        <w:t>Insta</w:t>
      </w:r>
      <w:r w:rsidRPr="00065280">
        <w:rPr>
          <w:lang w:val="es-419"/>
        </w:rPr>
        <w:t xml:space="preserve"> a las Partes a que publiquen sistemáticamente en el Centro de Intercambio de Información sobre Seguridad de la Biotecnología toda la información requerida, incluidas medidas jurídicas para la aplicación del Protocolo de Cartagena sobre Seguridad de la Biotecnología</w:t>
      </w:r>
      <w:r w:rsidRPr="00065280">
        <w:rPr>
          <w:rStyle w:val="FootnoteReference"/>
          <w:lang w:val="es-419"/>
        </w:rPr>
        <w:footnoteReference w:id="18"/>
      </w:r>
      <w:r w:rsidRPr="00065280">
        <w:rPr>
          <w:lang w:val="es-419"/>
        </w:rPr>
        <w:t xml:space="preserve">, decisiones sobre la importación o liberación de organismos vivos modificados y casos de movimientos transfronterizos involuntarios o ilícitos, de manera oportuna, de conformidad con las obligaciones asumidas en virtud del Protocolo y los procedimientos y mecanismos establecidos en la decisión </w:t>
      </w:r>
      <w:hyperlink r:id="rId20" w:history="1">
        <w:r w:rsidRPr="00065280">
          <w:rPr>
            <w:rStyle w:val="Hyperlink"/>
            <w:color w:val="0000FF"/>
            <w:lang w:val="es-419"/>
          </w:rPr>
          <w:t>BS-I/3</w:t>
        </w:r>
      </w:hyperlink>
      <w:r w:rsidRPr="00065280">
        <w:rPr>
          <w:lang w:val="es-419"/>
        </w:rPr>
        <w:t>, de 27 de febrero de 2004;</w:t>
      </w:r>
    </w:p>
    <w:p w14:paraId="2BC4BBCA" w14:textId="77777777" w:rsidR="00F16397" w:rsidRPr="00065280" w:rsidRDefault="00F16397" w:rsidP="00F16397">
      <w:pPr>
        <w:pStyle w:val="CBDDesicionText"/>
        <w:rPr>
          <w:lang w:val="es-419"/>
        </w:rPr>
      </w:pPr>
      <w:r w:rsidRPr="00065280">
        <w:rPr>
          <w:lang w:val="es-419"/>
        </w:rPr>
        <w:t>4.</w:t>
      </w:r>
      <w:r w:rsidRPr="00065280">
        <w:rPr>
          <w:i/>
          <w:lang w:val="es-419"/>
        </w:rPr>
        <w:tab/>
        <w:t>Pide</w:t>
      </w:r>
      <w:r w:rsidRPr="00065280">
        <w:rPr>
          <w:lang w:val="es-419"/>
        </w:rPr>
        <w:t xml:space="preserve"> a las Partes que revisen sus registros nacionales publicados en el Centro de Intercambio de Información sobre Seguridad de la Biotecnología para comprobar que estén correctos, incluido verificando que la información disponible en el Centro de Intercambio de Información sobre Seguridad de la Biotecnología esté actualizada y completa y que los documentos en sí que contienen la información se hayan cargado correctamente o, en los casos en que se proporcionen enlaces a los documentos, que los enlaces funcionen, señalando que el Comité de Cumplimiento establecido en el marco del Protocolo de Cartagena revisará la información publicada en el Centro de Intercambio de Información sobre Seguridad de la Biotecnología en su 20ª reunión, de conformidad con las obligaciones asumidas en virtud del Protocolo y los procedimientos y mecanismos establecidos en la decisión </w:t>
      </w:r>
      <w:hyperlink r:id="rId21" w:history="1">
        <w:r w:rsidRPr="00065280">
          <w:rPr>
            <w:rStyle w:val="Hyperlink"/>
            <w:color w:val="0000FF"/>
            <w:lang w:val="es-419"/>
          </w:rPr>
          <w:t>BS-I/3</w:t>
        </w:r>
      </w:hyperlink>
      <w:r w:rsidRPr="00065280">
        <w:rPr>
          <w:lang w:val="es-419"/>
        </w:rPr>
        <w:t>;</w:t>
      </w:r>
    </w:p>
    <w:p w14:paraId="35650B60" w14:textId="77777777" w:rsidR="00F16397" w:rsidRPr="00065280" w:rsidRDefault="00F16397" w:rsidP="00F16397">
      <w:pPr>
        <w:pStyle w:val="CBDDesicionText"/>
        <w:rPr>
          <w:rStyle w:val="None"/>
          <w:rFonts w:asciiTheme="majorBidi" w:hAnsiTheme="majorBidi" w:cstheme="majorBidi"/>
          <w:lang w:val="es-419"/>
        </w:rPr>
      </w:pPr>
      <w:r w:rsidRPr="00065280">
        <w:rPr>
          <w:lang w:val="es-419"/>
        </w:rPr>
        <w:t>5.</w:t>
      </w:r>
      <w:r w:rsidRPr="00065280">
        <w:rPr>
          <w:lang w:val="es-419"/>
        </w:rPr>
        <w:tab/>
      </w:r>
      <w:r w:rsidRPr="00065280">
        <w:rPr>
          <w:i/>
          <w:lang w:val="es-419"/>
        </w:rPr>
        <w:t>Invita</w:t>
      </w:r>
      <w:r w:rsidRPr="00065280">
        <w:rPr>
          <w:lang w:val="es-419"/>
        </w:rPr>
        <w:t xml:space="preserve"> a las Partes, otros Gobiernos y organizaciones pertinentes a presentar información científica con el fin de mejorar la calidad de la información publicada en el Centro de Intercambio de Información sobre Seguridad de la Biotecnología;</w:t>
      </w:r>
    </w:p>
    <w:p w14:paraId="0072374C" w14:textId="77777777" w:rsidR="00F16397" w:rsidRPr="00065280" w:rsidDel="00EF45A3" w:rsidRDefault="00F16397" w:rsidP="00F16397">
      <w:pPr>
        <w:pStyle w:val="CBDDesicionText"/>
        <w:rPr>
          <w:rStyle w:val="None"/>
          <w:lang w:val="es-419"/>
        </w:rPr>
      </w:pPr>
      <w:r w:rsidRPr="00065280">
        <w:rPr>
          <w:rStyle w:val="None"/>
          <w:lang w:val="es-419"/>
        </w:rPr>
        <w:t>6.</w:t>
      </w:r>
      <w:r w:rsidRPr="00065280">
        <w:rPr>
          <w:rStyle w:val="None"/>
          <w:i/>
          <w:lang w:val="es-419"/>
        </w:rPr>
        <w:tab/>
      </w:r>
      <w:r w:rsidRPr="00065280">
        <w:rPr>
          <w:i/>
          <w:iCs/>
          <w:lang w:val="es-419"/>
        </w:rPr>
        <w:t>Insta</w:t>
      </w:r>
      <w:r w:rsidRPr="00065280">
        <w:rPr>
          <w:lang w:val="es-419"/>
        </w:rPr>
        <w:t xml:space="preserve"> a las Partes a que comiencen a preparar sus quintos informes nacionales sobre la aplicación del Protocolo de Cartagena y se aseguren de que estén publicados oportunamente en el Centro de Intercambio de Información sobre Seguridad de la Biotecnología;</w:t>
      </w:r>
    </w:p>
    <w:p w14:paraId="38C014C9" w14:textId="77777777" w:rsidR="00F16397" w:rsidRPr="00065280" w:rsidRDefault="00F16397" w:rsidP="00F16397">
      <w:pPr>
        <w:pStyle w:val="CBDDesicionText"/>
        <w:rPr>
          <w:rStyle w:val="None"/>
          <w:lang w:val="es-419"/>
        </w:rPr>
      </w:pPr>
      <w:r w:rsidRPr="00065280">
        <w:rPr>
          <w:rStyle w:val="None"/>
          <w:lang w:val="es-419"/>
        </w:rPr>
        <w:t>7.</w:t>
      </w:r>
      <w:r w:rsidRPr="00065280">
        <w:rPr>
          <w:rStyle w:val="None"/>
          <w:i/>
          <w:lang w:val="es-419"/>
        </w:rPr>
        <w:tab/>
      </w:r>
      <w:r w:rsidRPr="00065280">
        <w:rPr>
          <w:i/>
          <w:iCs/>
          <w:lang w:val="es-419"/>
        </w:rPr>
        <w:t>Acoge con satisfacción</w:t>
      </w:r>
      <w:r w:rsidRPr="00065280">
        <w:rPr>
          <w:lang w:val="es-419"/>
        </w:rPr>
        <w:t xml:space="preserve"> la ejecución exitosa del proyecto del Programa de las Naciones Unidas para el Medio Ambiente y el Fondo para el Medio Ambiente Mundial dirigido a la creación de capacidad sostenible para una efectiva participación en el Centro de Intercambio de Información sobre Seguridad de la Biotecnología, e insta a Partes que sean posibles países donantes, otros Gobiernos y organizaciones de financiación a que proporcionen fondos para continuar con el proyecto y otros proyectos de creación de capacidad relacionados con el Centro de Intercambio de Información sobre Seguridad de la Biotecnología y para apoyar a la red de asesores regionales;</w:t>
      </w:r>
    </w:p>
    <w:p w14:paraId="3BEA2303" w14:textId="77777777" w:rsidR="00F16397" w:rsidRPr="00065280" w:rsidRDefault="00F16397" w:rsidP="00F16397">
      <w:pPr>
        <w:pStyle w:val="CBDDesicionText"/>
        <w:rPr>
          <w:rStyle w:val="None"/>
          <w:lang w:val="es-419"/>
        </w:rPr>
      </w:pPr>
      <w:r w:rsidRPr="00065280">
        <w:rPr>
          <w:lang w:val="es-419"/>
        </w:rPr>
        <w:t>8.</w:t>
      </w:r>
      <w:r w:rsidRPr="00065280">
        <w:rPr>
          <w:i/>
          <w:lang w:val="es-419"/>
        </w:rPr>
        <w:tab/>
        <w:t>Pide</w:t>
      </w:r>
      <w:r w:rsidRPr="00065280">
        <w:rPr>
          <w:lang w:val="es-419"/>
        </w:rPr>
        <w:t xml:space="preserve"> al Fondo para el Medio Ambiente Mundial que continúe proporcionando fondos a las Partes, e invita a otros fondos pertinentes a que lo hagan, en apoyo a actividades relacionadas con </w:t>
      </w:r>
      <w:r w:rsidRPr="00065280">
        <w:rPr>
          <w:lang w:val="es-419"/>
        </w:rPr>
        <w:lastRenderedPageBreak/>
        <w:t>el Centro de Intercambio de Información sobre Seguridad de la Biotecnología y sitios web nacionales de seguridad de la biotecnología;</w:t>
      </w:r>
    </w:p>
    <w:p w14:paraId="204DEDAD" w14:textId="77777777" w:rsidR="00F16397" w:rsidRPr="00065280" w:rsidRDefault="00F16397" w:rsidP="00F16397">
      <w:pPr>
        <w:pStyle w:val="CBDDesicionText"/>
        <w:rPr>
          <w:rStyle w:val="None"/>
          <w:spacing w:val="4"/>
          <w:lang w:val="es-419"/>
        </w:rPr>
      </w:pPr>
      <w:r w:rsidRPr="00065280">
        <w:rPr>
          <w:rStyle w:val="None"/>
          <w:spacing w:val="4"/>
          <w:lang w:val="es-419"/>
        </w:rPr>
        <w:t>9.</w:t>
      </w:r>
      <w:r w:rsidRPr="00065280">
        <w:rPr>
          <w:rStyle w:val="None"/>
          <w:i/>
          <w:spacing w:val="4"/>
          <w:lang w:val="es-419"/>
        </w:rPr>
        <w:tab/>
      </w:r>
      <w:r w:rsidRPr="00065280">
        <w:rPr>
          <w:i/>
          <w:iCs/>
          <w:spacing w:val="4"/>
          <w:lang w:val="es-419"/>
        </w:rPr>
        <w:t>Acoge con satisfacción</w:t>
      </w:r>
      <w:r w:rsidRPr="00065280">
        <w:rPr>
          <w:spacing w:val="4"/>
          <w:lang w:val="es-419"/>
        </w:rPr>
        <w:t xml:space="preserve"> las actividades de colaboración de la Secretaría del Convenio con organizaciones relacionadas con la seguridad de la biotecnología y los vínculos entre el Centro de Intercambio de Información sobre Seguridad de la Biotecnología y otras bases de datos;</w:t>
      </w:r>
    </w:p>
    <w:p w14:paraId="68A3D98A" w14:textId="77777777" w:rsidR="00F16397" w:rsidRPr="00065280" w:rsidRDefault="00F16397" w:rsidP="00F16397">
      <w:pPr>
        <w:pStyle w:val="CBDDesicionText"/>
        <w:rPr>
          <w:lang w:val="es-419"/>
        </w:rPr>
      </w:pPr>
      <w:r w:rsidRPr="00065280">
        <w:rPr>
          <w:lang w:val="es-419"/>
        </w:rPr>
        <w:t>10.</w:t>
      </w:r>
      <w:r w:rsidRPr="00065280">
        <w:rPr>
          <w:i/>
          <w:lang w:val="es-419"/>
        </w:rPr>
        <w:tab/>
        <w:t>Pide</w:t>
      </w:r>
      <w:r w:rsidRPr="00065280">
        <w:rPr>
          <w:lang w:val="es-419"/>
        </w:rPr>
        <w:t xml:space="preserve"> a la Secretaria Ejecutiva que:</w:t>
      </w:r>
    </w:p>
    <w:p w14:paraId="70DD7F36" w14:textId="77777777" w:rsidR="00F16397" w:rsidRPr="00065280" w:rsidRDefault="00F16397" w:rsidP="00F16397">
      <w:pPr>
        <w:pStyle w:val="CBDDesicionText"/>
        <w:rPr>
          <w:lang w:val="es-419"/>
        </w:rPr>
      </w:pPr>
      <w:r w:rsidRPr="00065280">
        <w:rPr>
          <w:lang w:val="es-419"/>
        </w:rPr>
        <w:t>a)</w:t>
      </w:r>
      <w:r w:rsidRPr="00065280">
        <w:rPr>
          <w:lang w:val="es-419"/>
        </w:rPr>
        <w:tab/>
        <w:t>Siga manteniendo el Centro de Intercambio de Información sobre Seguridad de la Biotecnología y realice las mejoras que este requiera, incluidas aquellas recomendadas por el Comité Asesor Oficioso y las que solicite la Conferencia de las Partes que actúa como reunión de las Partes en el Protocolo de Cartagena, así como las que requieran las funcionalidades de diversas secciones de la plataforma, de manera de evitar la creación de nuevas páginas temáticas;</w:t>
      </w:r>
    </w:p>
    <w:p w14:paraId="7C663306" w14:textId="77777777" w:rsidR="00F16397" w:rsidRPr="00065280" w:rsidRDefault="00F16397" w:rsidP="00F16397">
      <w:pPr>
        <w:pStyle w:val="CBDDesicionText"/>
        <w:rPr>
          <w:spacing w:val="2"/>
          <w:lang w:val="es-419"/>
        </w:rPr>
      </w:pPr>
      <w:r w:rsidRPr="00065280">
        <w:rPr>
          <w:spacing w:val="2"/>
          <w:lang w:val="es-419"/>
        </w:rPr>
        <w:t>b)</w:t>
      </w:r>
      <w:r w:rsidRPr="00065280">
        <w:rPr>
          <w:spacing w:val="2"/>
          <w:lang w:val="es-419"/>
        </w:rPr>
        <w:tab/>
        <w:t>Siga traduciendo las páginas del Centro de Intercambio de Información sobre Seguridad de la Biotecnología, incluidas las nuevas funcionalidades y contenidos que se vayan desarrollando, para asegurar la disponibilidad de la plataforma en los seis idiomas oficiales de las Naciones Unidas;</w:t>
      </w:r>
    </w:p>
    <w:p w14:paraId="77C0697C" w14:textId="77777777" w:rsidR="00F16397" w:rsidRPr="00065280" w:rsidRDefault="00F16397" w:rsidP="00F16397">
      <w:pPr>
        <w:pStyle w:val="CBDDesicionText"/>
        <w:rPr>
          <w:lang w:val="es-419"/>
        </w:rPr>
      </w:pPr>
      <w:r w:rsidRPr="00065280">
        <w:rPr>
          <w:lang w:val="es-419"/>
        </w:rPr>
        <w:t>c)</w:t>
      </w:r>
      <w:r w:rsidRPr="00065280">
        <w:rPr>
          <w:lang w:val="es-419"/>
        </w:rPr>
        <w:tab/>
        <w:t>Elabore una plantilla especialmente diseñada para sitios web nacionales de seguridad de la biotecnología utilizando la herramienta Bioland y la ponga a disposición de las Partes que deseen crear un sitio web nacional de seguridad de la biotecnología con enlaces al Centro de Intercambio de Información sobre Seguridad de la Biotecnología;</w:t>
      </w:r>
    </w:p>
    <w:p w14:paraId="2B9BA113" w14:textId="77777777" w:rsidR="00F16397" w:rsidRPr="00065280" w:rsidRDefault="00F16397" w:rsidP="00F16397">
      <w:pPr>
        <w:pStyle w:val="CBDDesicionText"/>
        <w:rPr>
          <w:lang w:val="es-419"/>
        </w:rPr>
      </w:pPr>
      <w:r w:rsidRPr="00065280">
        <w:rPr>
          <w:lang w:val="es-419"/>
        </w:rPr>
        <w:t>d)</w:t>
      </w:r>
      <w:r w:rsidRPr="00065280">
        <w:rPr>
          <w:lang w:val="es-419"/>
        </w:rPr>
        <w:tab/>
        <w:t>Siga elaborando materiales de creación de capacidad e impartiendo capacitación sobre las nuevas funcionalidades del Centro de Intercambio de Información sobre Seguridad de la Biotecnología;</w:t>
      </w:r>
    </w:p>
    <w:p w14:paraId="51DA0F0C" w14:textId="0C7F2674" w:rsidR="00080196" w:rsidRPr="00065280" w:rsidRDefault="00F16397" w:rsidP="00F16397">
      <w:pPr>
        <w:pStyle w:val="CBDDesicionText"/>
        <w:rPr>
          <w:lang w:val="es-419"/>
        </w:rPr>
      </w:pPr>
      <w:r w:rsidRPr="00065280">
        <w:rPr>
          <w:lang w:val="es-419"/>
        </w:rPr>
        <w:t>e)</w:t>
      </w:r>
      <w:r w:rsidRPr="00065280">
        <w:rPr>
          <w:lang w:val="es-419"/>
        </w:rPr>
        <w:tab/>
        <w:t>Siga colaborando con otras bases de datos y organizaciones relacionadas con la seguridad de la biotecnología</w:t>
      </w:r>
      <w:r w:rsidR="00080196" w:rsidRPr="00065280">
        <w:rPr>
          <w:lang w:val="es-419"/>
        </w:rPr>
        <w:t>.</w:t>
      </w:r>
    </w:p>
    <w:p w14:paraId="35800FE9" w14:textId="77777777" w:rsidR="00080196" w:rsidRPr="00065280" w:rsidRDefault="00080196" w:rsidP="00E824E6">
      <w:pPr>
        <w:pStyle w:val="CBDNormal"/>
        <w:rPr>
          <w:lang w:val="es-419"/>
        </w:rPr>
      </w:pPr>
    </w:p>
    <w:p w14:paraId="0CEF1B3D" w14:textId="77777777" w:rsidR="00080196" w:rsidRPr="00065280" w:rsidRDefault="00080196">
      <w:pPr>
        <w:tabs>
          <w:tab w:val="clear" w:pos="567"/>
          <w:tab w:val="clear" w:pos="1134"/>
          <w:tab w:val="clear" w:pos="1701"/>
          <w:tab w:val="clear" w:pos="2268"/>
        </w:tabs>
        <w:spacing w:after="160" w:line="278" w:lineRule="auto"/>
        <w:jc w:val="left"/>
        <w:rPr>
          <w:lang w:val="es-419"/>
        </w:rPr>
      </w:pPr>
      <w:r w:rsidRPr="00065280">
        <w:rPr>
          <w:lang w:val="es-419"/>
        </w:rPr>
        <w:br w:type="page"/>
      </w:r>
    </w:p>
    <w:p w14:paraId="4BF4B279" w14:textId="02881267" w:rsidR="00080196" w:rsidRPr="00065280" w:rsidRDefault="00080196" w:rsidP="00E824E6">
      <w:pPr>
        <w:pStyle w:val="CBDH2"/>
        <w:rPr>
          <w:lang w:val="es-419"/>
        </w:rPr>
      </w:pPr>
      <w:r w:rsidRPr="00065280">
        <w:rPr>
          <w:lang w:val="es-419"/>
        </w:rPr>
        <w:lastRenderedPageBreak/>
        <w:tab/>
      </w:r>
      <w:bookmarkStart w:id="18" w:name="_Toc194399414"/>
      <w:bookmarkStart w:id="19" w:name="_Toc194919553"/>
      <w:bookmarkStart w:id="20" w:name="_Toc199016606"/>
      <w:r w:rsidRPr="00065280">
        <w:rPr>
          <w:lang w:val="es-419"/>
        </w:rPr>
        <w:t>CP-11/4.</w:t>
      </w:r>
      <w:r w:rsidRPr="00065280">
        <w:rPr>
          <w:lang w:val="es-419"/>
        </w:rPr>
        <w:tab/>
      </w:r>
      <w:bookmarkEnd w:id="18"/>
      <w:bookmarkEnd w:id="19"/>
      <w:r w:rsidR="005C3955" w:rsidRPr="00065280">
        <w:rPr>
          <w:lang w:val="es-419"/>
        </w:rPr>
        <w:t>Procedimientos para convocar reuniones en línea e híbridas</w:t>
      </w:r>
      <w:bookmarkEnd w:id="20"/>
    </w:p>
    <w:p w14:paraId="2B720D27" w14:textId="77777777" w:rsidR="005C3955" w:rsidRPr="00065280" w:rsidRDefault="005C3955" w:rsidP="005C3955">
      <w:pPr>
        <w:pStyle w:val="CBDDesicionText"/>
        <w:rPr>
          <w:iCs/>
          <w:lang w:val="es-419"/>
        </w:rPr>
      </w:pPr>
      <w:r w:rsidRPr="00065280">
        <w:rPr>
          <w:i/>
          <w:lang w:val="es-419"/>
        </w:rPr>
        <w:t>La Conferencia de las Partes que actúa como reunión de las Partes en el Protocolo de Cartagena</w:t>
      </w:r>
      <w:r w:rsidRPr="00065280">
        <w:rPr>
          <w:lang w:val="es-419"/>
        </w:rPr>
        <w:t>,</w:t>
      </w:r>
    </w:p>
    <w:p w14:paraId="516F4C49" w14:textId="77777777" w:rsidR="005C3955" w:rsidRPr="00065280" w:rsidRDefault="005C3955" w:rsidP="005C3955">
      <w:pPr>
        <w:pStyle w:val="CBDDesicionText"/>
        <w:rPr>
          <w:lang w:val="es-419"/>
        </w:rPr>
      </w:pPr>
      <w:r w:rsidRPr="00065280">
        <w:rPr>
          <w:i/>
          <w:lang w:val="es-419"/>
        </w:rPr>
        <w:t>Reafirmando</w:t>
      </w:r>
      <w:r w:rsidRPr="00065280">
        <w:rPr>
          <w:lang w:val="es-419"/>
        </w:rPr>
        <w:t xml:space="preserve"> que todas sus reuniones, así como las reuniones de los órganos subsidiarios intergubernamentales del Protocolo de Cartagena sobre Seguridad de la Biotecnología</w:t>
      </w:r>
      <w:r w:rsidRPr="00065280">
        <w:rPr>
          <w:vertAlign w:val="superscript"/>
          <w:lang w:val="es-419"/>
        </w:rPr>
        <w:footnoteReference w:id="19"/>
      </w:r>
      <w:r w:rsidRPr="00065280">
        <w:rPr>
          <w:lang w:val="es-419"/>
        </w:rPr>
        <w:t>, deben aplicar sus respectivos reglamentos,</w:t>
      </w:r>
    </w:p>
    <w:p w14:paraId="35CE726C" w14:textId="77777777" w:rsidR="005C3955" w:rsidRPr="00065280" w:rsidRDefault="005C3955" w:rsidP="005C3955">
      <w:pPr>
        <w:pStyle w:val="CBDDesicionText"/>
        <w:rPr>
          <w:lang w:val="es-419"/>
        </w:rPr>
      </w:pPr>
      <w:r w:rsidRPr="00065280">
        <w:rPr>
          <w:lang w:val="es-419"/>
        </w:rPr>
        <w:t>1.</w:t>
      </w:r>
      <w:r w:rsidRPr="00065280">
        <w:rPr>
          <w:lang w:val="es-419"/>
        </w:rPr>
        <w:tab/>
      </w:r>
      <w:r w:rsidRPr="00065280">
        <w:rPr>
          <w:i/>
          <w:lang w:val="es-419"/>
        </w:rPr>
        <w:t>Afirma</w:t>
      </w:r>
      <w:r w:rsidRPr="00065280">
        <w:rPr>
          <w:lang w:val="es-419"/>
        </w:rPr>
        <w:t xml:space="preserve"> que sus reuniones, así como las reuniones de los órganos subsidiarios intergubernamentales del Protocolo de Cartagena sobre Seguridad de la Biotecnología, deben celebrarse en forma presencial, a menos que circunstancias extraordinarias, como las indicadas en el párrafo 2 siguiente, tornen inviable la celebración de reuniones presenciales durante un período prolongado;</w:t>
      </w:r>
    </w:p>
    <w:p w14:paraId="4C087446" w14:textId="77777777" w:rsidR="005C3955" w:rsidRPr="00065280" w:rsidRDefault="005C3955" w:rsidP="005C3955">
      <w:pPr>
        <w:pStyle w:val="CBDDesicionText"/>
        <w:rPr>
          <w:lang w:val="es-419"/>
        </w:rPr>
      </w:pPr>
      <w:r w:rsidRPr="00065280">
        <w:rPr>
          <w:lang w:val="es-419"/>
        </w:rPr>
        <w:t>2.</w:t>
      </w:r>
      <w:r w:rsidRPr="00065280">
        <w:rPr>
          <w:lang w:val="es-419"/>
        </w:rPr>
        <w:tab/>
      </w:r>
      <w:r w:rsidRPr="00065280">
        <w:rPr>
          <w:i/>
          <w:lang w:val="es-419"/>
        </w:rPr>
        <w:t>Reafirma</w:t>
      </w:r>
      <w:r w:rsidRPr="00065280">
        <w:rPr>
          <w:lang w:val="es-419"/>
        </w:rPr>
        <w:t xml:space="preserve"> que, en caso de circunstancias extraordinarias que tornen inviable la celebración de reuniones presenciales, las sesiones de las reuniones indicadas en el párrafo 1 anterior se podrán celebrar en forma virtual mediante modalidades que permitan la participación interactiva en línea, tras consultas entre las Partes y una decisión de la Mesa de la Conferencia de las Partes que actúa como reunión de las Partes en el Protocolo de Cartagena, siempre que no se adopten decisiones sustantivas en línea, a excepción de decisiones sobre cuestiones presupuestarias y de procedimiento para permitir el funcionamiento de la Secretaría del Convenio sobre la Diversidad Biológica</w:t>
      </w:r>
      <w:r w:rsidRPr="00065280">
        <w:rPr>
          <w:rFonts w:eastAsia="Times New Roman"/>
          <w:szCs w:val="24"/>
          <w:vertAlign w:val="superscript"/>
          <w:lang w:val="es-419"/>
        </w:rPr>
        <w:footnoteReference w:id="20"/>
      </w:r>
      <w:r w:rsidRPr="00065280">
        <w:rPr>
          <w:lang w:val="es-419"/>
        </w:rPr>
        <w:t>;</w:t>
      </w:r>
    </w:p>
    <w:p w14:paraId="7B616F80" w14:textId="77777777" w:rsidR="005C3955" w:rsidRPr="00065280" w:rsidRDefault="005C3955" w:rsidP="005C3955">
      <w:pPr>
        <w:pStyle w:val="CBDDesicionText"/>
        <w:rPr>
          <w:lang w:val="es-419"/>
        </w:rPr>
      </w:pPr>
      <w:r w:rsidRPr="00065280">
        <w:rPr>
          <w:lang w:val="es-419"/>
        </w:rPr>
        <w:t>3.</w:t>
      </w:r>
      <w:r w:rsidRPr="00065280">
        <w:rPr>
          <w:lang w:val="es-419"/>
        </w:rPr>
        <w:tab/>
      </w:r>
      <w:r w:rsidRPr="00065280">
        <w:rPr>
          <w:i/>
          <w:lang w:val="es-419"/>
        </w:rPr>
        <w:t>Observa</w:t>
      </w:r>
      <w:r w:rsidRPr="00065280">
        <w:rPr>
          <w:lang w:val="es-419"/>
        </w:rPr>
        <w:t xml:space="preserve"> que, en caso de circunstancias extraordinarias que tornen inviable la celebración de reuniones presenciales, la Conferencia de las Partes que actúa como reunión de las Partes en el Protocolo de Cartagena podrá adoptar decisiones urgentes, tales como decisiones sobre cuestiones presupuestarias, con arreglo a un procedimiento de acuerdo tácito conforme a la práctica de las Naciones Unidas</w:t>
      </w:r>
      <w:r w:rsidRPr="00065280">
        <w:rPr>
          <w:rStyle w:val="FootnoteReference"/>
          <w:lang w:val="es-419"/>
        </w:rPr>
        <w:footnoteReference w:id="21"/>
      </w:r>
      <w:r w:rsidRPr="00065280">
        <w:rPr>
          <w:lang w:val="es-419"/>
        </w:rPr>
        <w:t xml:space="preserve"> y una decisión de la Mesa de la Conferencia de las Partes que actúa como reunión de las Partes en el Protocolo, previa consulta de los miembros de la Mesa con sus respectivas regiones y siguiendo los procedimientos establecidos en el reglamento para la convocatoria de reuniones extraordinarias;</w:t>
      </w:r>
    </w:p>
    <w:p w14:paraId="63FF8C0A" w14:textId="77777777" w:rsidR="005C3955" w:rsidRPr="00065280" w:rsidRDefault="005C3955" w:rsidP="005C3955">
      <w:pPr>
        <w:pStyle w:val="CBDDesicionText"/>
        <w:rPr>
          <w:rFonts w:eastAsia="Times New Roman"/>
          <w:szCs w:val="24"/>
          <w:lang w:val="es-419"/>
        </w:rPr>
      </w:pPr>
      <w:r w:rsidRPr="00065280">
        <w:rPr>
          <w:lang w:val="es-419"/>
        </w:rPr>
        <w:t>4.</w:t>
      </w:r>
      <w:r w:rsidRPr="00065280">
        <w:rPr>
          <w:lang w:val="es-419"/>
        </w:rPr>
        <w:tab/>
      </w:r>
      <w:r w:rsidRPr="00065280">
        <w:rPr>
          <w:i/>
          <w:lang w:val="es-419"/>
        </w:rPr>
        <w:t>Pide</w:t>
      </w:r>
      <w:r w:rsidRPr="00065280">
        <w:rPr>
          <w:lang w:val="es-419"/>
        </w:rPr>
        <w:t xml:space="preserve"> a la Secretaria Ejecutiva que garantice que en los arreglos para las reuniones indicadas en el párrafo 1 anterior se incluya siempre una disposición que habilite la transmisión de las deliberaciones en directo por internet, a fin de que todos los delegados debidamente inscritos puedan seguirlas en tiempo real;</w:t>
      </w:r>
    </w:p>
    <w:p w14:paraId="5DAC564A" w14:textId="77777777" w:rsidR="005C3955" w:rsidRPr="00065280" w:rsidRDefault="005C3955" w:rsidP="005C3955">
      <w:pPr>
        <w:pStyle w:val="CBDDesicionText"/>
        <w:rPr>
          <w:rFonts w:eastAsia="Times New Roman"/>
          <w:szCs w:val="24"/>
          <w:lang w:val="es-419"/>
        </w:rPr>
      </w:pPr>
      <w:r w:rsidRPr="00065280">
        <w:rPr>
          <w:lang w:val="es-419"/>
        </w:rPr>
        <w:t>5.</w:t>
      </w:r>
      <w:r w:rsidRPr="00065280">
        <w:rPr>
          <w:lang w:val="es-419"/>
        </w:rPr>
        <w:tab/>
      </w:r>
      <w:r w:rsidRPr="00065280">
        <w:rPr>
          <w:i/>
          <w:lang w:val="es-419"/>
        </w:rPr>
        <w:t>Observa</w:t>
      </w:r>
      <w:r w:rsidRPr="00065280">
        <w:rPr>
          <w:lang w:val="es-419"/>
        </w:rPr>
        <w:t xml:space="preserve"> que los grupos de expertos, los grupos asesores y otros grupos de composición limitada podrán reunirse presencialmente, en línea o en un formato híbrido, de conformidad con sus respectivos mandatos y, según proceda, con arreglo a sus respectivos reglamentos;</w:t>
      </w:r>
    </w:p>
    <w:p w14:paraId="37773BFC" w14:textId="77777777" w:rsidR="005C3955" w:rsidRPr="00065280" w:rsidRDefault="005C3955" w:rsidP="005C3955">
      <w:pPr>
        <w:pStyle w:val="CBDDesicionText"/>
        <w:rPr>
          <w:rFonts w:eastAsia="Times New Roman"/>
          <w:szCs w:val="24"/>
          <w:lang w:val="es-419"/>
        </w:rPr>
      </w:pPr>
      <w:r w:rsidRPr="00065280">
        <w:rPr>
          <w:lang w:val="es-419"/>
        </w:rPr>
        <w:t>6.</w:t>
      </w:r>
      <w:r w:rsidRPr="00065280">
        <w:rPr>
          <w:lang w:val="es-419"/>
        </w:rPr>
        <w:tab/>
      </w:r>
      <w:r w:rsidRPr="00065280">
        <w:rPr>
          <w:i/>
          <w:lang w:val="es-419"/>
        </w:rPr>
        <w:t>Observa también</w:t>
      </w:r>
      <w:r w:rsidRPr="00065280">
        <w:rPr>
          <w:lang w:val="es-419"/>
        </w:rPr>
        <w:t xml:space="preserve"> que, en los períodos entre reuniones, las Mesas podrán reunirse en línea para seguir orientando a la Secretaría en la preparación y celebración de las reuniones de la Conferencia de las Partes que actúa como reunión de las Partes en el Protocolo de Cartagena y de las reuniones de los órganos subsidiarios pertinentes;</w:t>
      </w:r>
    </w:p>
    <w:p w14:paraId="744509FC" w14:textId="77777777" w:rsidR="005C3955" w:rsidRPr="00065280" w:rsidRDefault="005C3955" w:rsidP="005C3955">
      <w:pPr>
        <w:pStyle w:val="CBDDesicionText"/>
        <w:rPr>
          <w:rFonts w:eastAsia="Times New Roman"/>
          <w:szCs w:val="24"/>
          <w:lang w:val="es-419"/>
        </w:rPr>
      </w:pPr>
      <w:r w:rsidRPr="00065280">
        <w:rPr>
          <w:lang w:val="es-419"/>
        </w:rPr>
        <w:t>7.</w:t>
      </w:r>
      <w:r w:rsidRPr="00065280">
        <w:rPr>
          <w:lang w:val="es-419"/>
        </w:rPr>
        <w:tab/>
      </w:r>
      <w:r w:rsidRPr="00065280">
        <w:rPr>
          <w:i/>
          <w:iCs/>
          <w:lang w:val="es-419"/>
        </w:rPr>
        <w:t>Decide</w:t>
      </w:r>
      <w:r w:rsidRPr="00065280">
        <w:rPr>
          <w:lang w:val="es-419"/>
        </w:rPr>
        <w:t xml:space="preserve"> que:</w:t>
      </w:r>
    </w:p>
    <w:p w14:paraId="179D07C7" w14:textId="77777777" w:rsidR="005C3955" w:rsidRPr="00065280" w:rsidRDefault="005C3955" w:rsidP="005C3955">
      <w:pPr>
        <w:pStyle w:val="CBDDesicionText"/>
        <w:rPr>
          <w:rFonts w:eastAsia="Times New Roman"/>
          <w:szCs w:val="24"/>
          <w:lang w:val="es-419"/>
        </w:rPr>
      </w:pPr>
      <w:r w:rsidRPr="00065280">
        <w:rPr>
          <w:lang w:val="es-419"/>
        </w:rPr>
        <w:t>a)</w:t>
      </w:r>
      <w:r w:rsidRPr="00065280">
        <w:rPr>
          <w:lang w:val="es-419"/>
        </w:rPr>
        <w:tab/>
        <w:t>Las modalidades de funcionamiento de las reuniones que se celebren en línea deben establecerse claramente en una nota con un posible esquema para la reunión preparada por la Secretaría en consulta con la Mesa correspondiente y distribuida a todas las Partes con antelación a la reunión;</w:t>
      </w:r>
    </w:p>
    <w:p w14:paraId="7E402140" w14:textId="77777777" w:rsidR="005C3955" w:rsidRPr="00065280" w:rsidRDefault="005C3955" w:rsidP="005C3955">
      <w:pPr>
        <w:pStyle w:val="CBDDesicionText"/>
        <w:rPr>
          <w:rFonts w:eastAsia="Times New Roman"/>
          <w:szCs w:val="24"/>
          <w:lang w:val="es-419"/>
        </w:rPr>
      </w:pPr>
      <w:r w:rsidRPr="00065280">
        <w:rPr>
          <w:lang w:val="es-419"/>
        </w:rPr>
        <w:t>b)</w:t>
      </w:r>
      <w:r w:rsidRPr="00065280">
        <w:rPr>
          <w:lang w:val="es-419"/>
        </w:rPr>
        <w:tab/>
        <w:t xml:space="preserve">Cuando programe sesiones de reuniones en línea, la Secretaría tendrá en cuenta la carga significativa que suponen para la salud y el bienestar de los participantes las diferencias horarias </w:t>
      </w:r>
      <w:r w:rsidRPr="00065280">
        <w:rPr>
          <w:lang w:val="es-419"/>
        </w:rPr>
        <w:lastRenderedPageBreak/>
        <w:t>entre distintos husos horarios y procurará que haya una participación equitativa de las Partes de todas las regiones, incluido mediante la rotación de husos horarios;</w:t>
      </w:r>
    </w:p>
    <w:p w14:paraId="7D488AC8" w14:textId="77777777" w:rsidR="005C3955" w:rsidRPr="00065280" w:rsidRDefault="005C3955" w:rsidP="005C3955">
      <w:pPr>
        <w:pStyle w:val="CBDDesicionText"/>
        <w:rPr>
          <w:rFonts w:eastAsia="Times New Roman"/>
          <w:szCs w:val="24"/>
          <w:lang w:val="es-419"/>
        </w:rPr>
      </w:pPr>
      <w:r w:rsidRPr="00065280">
        <w:rPr>
          <w:lang w:val="es-419"/>
        </w:rPr>
        <w:t>c)</w:t>
      </w:r>
      <w:r w:rsidRPr="00065280">
        <w:rPr>
          <w:lang w:val="es-419"/>
        </w:rPr>
        <w:tab/>
        <w:t>La duración de las sesiones en línea deberá limitarse preferiblemente a dos horas consecutivas por día;</w:t>
      </w:r>
    </w:p>
    <w:p w14:paraId="041D181E" w14:textId="630128A5" w:rsidR="00080196" w:rsidRPr="00065280" w:rsidRDefault="005C3955" w:rsidP="005C3955">
      <w:pPr>
        <w:pStyle w:val="CBDDesicionText"/>
        <w:rPr>
          <w:lang w:val="es-419"/>
        </w:rPr>
      </w:pPr>
      <w:r w:rsidRPr="00065280">
        <w:rPr>
          <w:lang w:val="es-419"/>
        </w:rPr>
        <w:t>d)</w:t>
      </w:r>
      <w:r w:rsidRPr="00065280">
        <w:rPr>
          <w:lang w:val="es-419"/>
        </w:rPr>
        <w:tab/>
        <w:t>La Secretaría deberá implementar medidas para facilitar la participación efectiva en línea de todos los participantes en las sesiones de reuniones en línea e híbridas, y, en particular, ayudar a las Partes a resolver problemas de red y de conectividad, entre otras cosas, brindando oportunidades previas de capacitación y de prueba convenientes para todos los husos horarios, facilitando el uso de instalaciones de reunión en la oficina de las Naciones Unidas en el país pertinente, cuando sea posible y previa coordinación tras solicitud de la Parte concernida, y proporcionando todas las medidas razonables para ayudar a las Partes que tengan dificultades con la conectividad y el uso de la plataforma interactiva</w:t>
      </w:r>
      <w:r w:rsidR="00080196" w:rsidRPr="00065280">
        <w:rPr>
          <w:rFonts w:eastAsia="Times New Roman"/>
          <w:szCs w:val="24"/>
          <w:lang w:val="es-419"/>
        </w:rPr>
        <w:t>.</w:t>
      </w:r>
    </w:p>
    <w:p w14:paraId="6B32EFFE" w14:textId="77777777" w:rsidR="00080196" w:rsidRPr="00065280" w:rsidRDefault="00080196" w:rsidP="00E824E6">
      <w:pPr>
        <w:pStyle w:val="Para1"/>
        <w:jc w:val="center"/>
        <w:rPr>
          <w:lang w:val="es-419"/>
        </w:rPr>
      </w:pPr>
    </w:p>
    <w:p w14:paraId="1C2DCCDA" w14:textId="77777777" w:rsidR="00080196" w:rsidRPr="00065280" w:rsidRDefault="00080196">
      <w:pPr>
        <w:tabs>
          <w:tab w:val="clear" w:pos="567"/>
          <w:tab w:val="clear" w:pos="1134"/>
          <w:tab w:val="clear" w:pos="1701"/>
          <w:tab w:val="clear" w:pos="2268"/>
        </w:tabs>
        <w:spacing w:after="160" w:line="278" w:lineRule="auto"/>
        <w:jc w:val="left"/>
        <w:rPr>
          <w:lang w:val="es-419"/>
        </w:rPr>
      </w:pPr>
      <w:r w:rsidRPr="00065280">
        <w:rPr>
          <w:lang w:val="es-419"/>
        </w:rPr>
        <w:br w:type="page"/>
      </w:r>
    </w:p>
    <w:p w14:paraId="24187820" w14:textId="1E25D165" w:rsidR="00080196" w:rsidRPr="00065280" w:rsidRDefault="00AC6B37" w:rsidP="00AC6B37">
      <w:pPr>
        <w:pStyle w:val="CBDH2"/>
        <w:jc w:val="left"/>
        <w:rPr>
          <w:lang w:val="es-419"/>
        </w:rPr>
      </w:pPr>
      <w:r w:rsidRPr="00065280">
        <w:rPr>
          <w:lang w:val="es-419"/>
        </w:rPr>
        <w:lastRenderedPageBreak/>
        <w:tab/>
      </w:r>
      <w:bookmarkStart w:id="21" w:name="_Toc194399415"/>
      <w:bookmarkStart w:id="22" w:name="_Toc194919554"/>
      <w:bookmarkStart w:id="23" w:name="_Toc199016607"/>
      <w:r w:rsidR="00080196" w:rsidRPr="00065280">
        <w:rPr>
          <w:lang w:val="es-419"/>
        </w:rPr>
        <w:t>CP-11/5.</w:t>
      </w:r>
      <w:r w:rsidR="00080196" w:rsidRPr="00065280">
        <w:rPr>
          <w:lang w:val="es-419"/>
        </w:rPr>
        <w:tab/>
      </w:r>
      <w:bookmarkEnd w:id="21"/>
      <w:bookmarkEnd w:id="22"/>
      <w:r w:rsidR="00A505F3" w:rsidRPr="00065280">
        <w:rPr>
          <w:lang w:val="es-419"/>
        </w:rPr>
        <w:t>Opciones para seguir mejorando la eficacia de los procesos del Convenio y sus Protocolos</w:t>
      </w:r>
      <w:bookmarkEnd w:id="23"/>
    </w:p>
    <w:p w14:paraId="6E7A043E" w14:textId="77777777" w:rsidR="00A505F3" w:rsidRPr="00065280" w:rsidRDefault="00A505F3" w:rsidP="00A505F3">
      <w:pPr>
        <w:pStyle w:val="CBDDesicionText"/>
        <w:rPr>
          <w:i/>
          <w:kern w:val="22"/>
          <w:lang w:val="es-419"/>
        </w:rPr>
      </w:pPr>
      <w:r w:rsidRPr="00065280">
        <w:rPr>
          <w:i/>
          <w:iCs/>
          <w:lang w:val="es-419"/>
        </w:rPr>
        <w:t>La Conferencia de las Partes que actúa como reunión de las Partes en el Protocolo de Cartagena,</w:t>
      </w:r>
      <w:r w:rsidRPr="00065280">
        <w:rPr>
          <w:lang w:val="es-419"/>
        </w:rPr>
        <w:t xml:space="preserve"> </w:t>
      </w:r>
    </w:p>
    <w:p w14:paraId="5A01BD87" w14:textId="77777777" w:rsidR="00A505F3" w:rsidRPr="00065280" w:rsidRDefault="00A505F3" w:rsidP="00A505F3">
      <w:pPr>
        <w:pStyle w:val="CBDDesicionText"/>
        <w:rPr>
          <w:lang w:val="es-419"/>
        </w:rPr>
      </w:pPr>
      <w:r w:rsidRPr="00065280">
        <w:rPr>
          <w:i/>
          <w:iCs/>
          <w:lang w:val="es-419"/>
        </w:rPr>
        <w:t xml:space="preserve">Recordando </w:t>
      </w:r>
      <w:r w:rsidRPr="00065280">
        <w:rPr>
          <w:lang w:val="es-419"/>
        </w:rPr>
        <w:t xml:space="preserve">la decisión </w:t>
      </w:r>
      <w:hyperlink r:id="rId22" w:history="1">
        <w:r w:rsidRPr="00065280">
          <w:rPr>
            <w:rStyle w:val="Hyperlink"/>
            <w:lang w:val="es-419"/>
          </w:rPr>
          <w:t>CP-10/8</w:t>
        </w:r>
      </w:hyperlink>
      <w:r w:rsidRPr="00065280">
        <w:rPr>
          <w:lang w:val="es-419"/>
        </w:rPr>
        <w:t xml:space="preserve"> de 10 de diciembre de 2022,</w:t>
      </w:r>
    </w:p>
    <w:p w14:paraId="0FD0B964" w14:textId="77777777" w:rsidR="00A505F3" w:rsidRPr="00065280" w:rsidRDefault="00A505F3" w:rsidP="00A505F3">
      <w:pPr>
        <w:pStyle w:val="CBDDesicionText"/>
        <w:rPr>
          <w:lang w:val="es-419"/>
        </w:rPr>
      </w:pPr>
      <w:r w:rsidRPr="00065280">
        <w:rPr>
          <w:i/>
          <w:lang w:val="es-419"/>
        </w:rPr>
        <w:t xml:space="preserve">Reconociendo </w:t>
      </w:r>
      <w:r w:rsidRPr="00065280">
        <w:rPr>
          <w:lang w:val="es-419"/>
        </w:rPr>
        <w:t>la necesidad de seguir mejorando la eficacia de las reuniones celebradas en virtud del Convenio sobre la Diversidad Biológica</w:t>
      </w:r>
      <w:r w:rsidRPr="00065280">
        <w:rPr>
          <w:rStyle w:val="FootnoteReference"/>
          <w:lang w:val="es-419"/>
        </w:rPr>
        <w:footnoteReference w:id="22"/>
      </w:r>
      <w:r w:rsidRPr="00065280">
        <w:rPr>
          <w:lang w:val="es-419"/>
        </w:rPr>
        <w:t xml:space="preserve"> y sus Protocolos,</w:t>
      </w:r>
    </w:p>
    <w:p w14:paraId="5564E088" w14:textId="77777777" w:rsidR="00A505F3" w:rsidRPr="00065280" w:rsidRDefault="00A505F3" w:rsidP="00A505F3">
      <w:pPr>
        <w:pStyle w:val="CBDDesicionText"/>
        <w:rPr>
          <w:lang w:val="es-419"/>
        </w:rPr>
      </w:pPr>
      <w:r w:rsidRPr="00065280">
        <w:rPr>
          <w:lang w:val="es-419"/>
        </w:rPr>
        <w:t>1.</w:t>
      </w:r>
      <w:r w:rsidRPr="00065280">
        <w:rPr>
          <w:i/>
          <w:lang w:val="es-419"/>
        </w:rPr>
        <w:tab/>
        <w:t xml:space="preserve">Toma nota </w:t>
      </w:r>
      <w:r w:rsidRPr="00065280">
        <w:rPr>
          <w:lang w:val="es-419"/>
        </w:rPr>
        <w:t xml:space="preserve">de la experiencia reciente y de las sugerencias adicionales para mejorar la eficacia de los procesos del Convenio y sus Protocolos resumidas en el documento </w:t>
      </w:r>
      <w:hyperlink r:id="rId23" w:history="1">
        <w:r w:rsidRPr="00065280">
          <w:rPr>
            <w:rStyle w:val="Hyperlink"/>
            <w:lang w:val="es-419"/>
          </w:rPr>
          <w:t>CBD/SBI/4/11</w:t>
        </w:r>
      </w:hyperlink>
      <w:r w:rsidRPr="00065280">
        <w:rPr>
          <w:lang w:val="es-419"/>
        </w:rPr>
        <w:t>;</w:t>
      </w:r>
    </w:p>
    <w:p w14:paraId="1A06ABE2" w14:textId="77777777" w:rsidR="00A505F3" w:rsidRPr="00065280" w:rsidRDefault="00A505F3" w:rsidP="00A505F3">
      <w:pPr>
        <w:pStyle w:val="CBDDesicionText"/>
        <w:rPr>
          <w:u w:val="single"/>
          <w:lang w:val="es-419"/>
        </w:rPr>
      </w:pPr>
      <w:r w:rsidRPr="00065280">
        <w:rPr>
          <w:lang w:val="es-419"/>
        </w:rPr>
        <w:t>2.</w:t>
      </w:r>
      <w:r w:rsidRPr="00065280">
        <w:rPr>
          <w:lang w:val="es-419"/>
        </w:rPr>
        <w:tab/>
      </w:r>
      <w:r w:rsidRPr="00065280">
        <w:rPr>
          <w:i/>
          <w:iCs/>
          <w:lang w:val="es-419"/>
        </w:rPr>
        <w:t>Pide</w:t>
      </w:r>
      <w:r w:rsidRPr="00065280">
        <w:rPr>
          <w:lang w:val="es-419"/>
        </w:rPr>
        <w:t xml:space="preserve"> a la Secretaria Ejecutiva y a las Mesas que se valgan de esa experiencia a la hora de preparar las notas de organización de los trabajos y con posibles esquemas para las reuniones futuras, y que pongan esas notas a disposición de todas las Partes con antelación a las reuniones;</w:t>
      </w:r>
    </w:p>
    <w:p w14:paraId="0CFCB4DA" w14:textId="77777777" w:rsidR="00A505F3" w:rsidRPr="00065280" w:rsidRDefault="00A505F3" w:rsidP="00A505F3">
      <w:pPr>
        <w:pStyle w:val="CBDDesicionText"/>
        <w:rPr>
          <w:lang w:val="es-419"/>
        </w:rPr>
      </w:pPr>
      <w:r w:rsidRPr="00065280">
        <w:rPr>
          <w:lang w:val="es-419"/>
        </w:rPr>
        <w:t>3.</w:t>
      </w:r>
      <w:r w:rsidRPr="00065280">
        <w:rPr>
          <w:lang w:val="es-419"/>
        </w:rPr>
        <w:tab/>
      </w:r>
      <w:r w:rsidRPr="00065280">
        <w:rPr>
          <w:i/>
          <w:iCs/>
          <w:lang w:val="es-419"/>
        </w:rPr>
        <w:t>Pide</w:t>
      </w:r>
      <w:r w:rsidRPr="00065280">
        <w:rPr>
          <w:lang w:val="es-419"/>
        </w:rPr>
        <w:t xml:space="preserve"> a la Secretaria Ejecutiva que, junto con las Mesas, continúe estudiando y aplicando, según proceda, formas y medios pertinentes para facilitar la preparación temprana de las reuniones, tales como opciones para la optimización de los programas, la revisión por pares de los documentos con antelación y la presentación temprana de declaraciones;</w:t>
      </w:r>
    </w:p>
    <w:p w14:paraId="55B2C811" w14:textId="77777777" w:rsidR="00A505F3" w:rsidRPr="00065280" w:rsidRDefault="00A505F3" w:rsidP="00A505F3">
      <w:pPr>
        <w:pStyle w:val="CBDDesicionText"/>
        <w:rPr>
          <w:lang w:val="es-419"/>
        </w:rPr>
      </w:pPr>
      <w:r w:rsidRPr="00065280">
        <w:rPr>
          <w:lang w:val="es-419"/>
        </w:rPr>
        <w:t>4.</w:t>
      </w:r>
      <w:r w:rsidRPr="00065280">
        <w:rPr>
          <w:lang w:val="es-419"/>
        </w:rPr>
        <w:tab/>
      </w:r>
      <w:r w:rsidRPr="00065280">
        <w:rPr>
          <w:i/>
          <w:iCs/>
          <w:lang w:val="es-419"/>
        </w:rPr>
        <w:t>Recomienda</w:t>
      </w:r>
      <w:r w:rsidRPr="00065280">
        <w:rPr>
          <w:lang w:val="es-419"/>
        </w:rPr>
        <w:t xml:space="preserve"> que, durante las reuniones de los órganos subsidiarios de composición abierta, el número de sesiones de grupos de contacto y amigos de la Presidencia celebradas en paralelo se limite, lo más posible, al número de delegados de Partes que son países en desarrollo cuya participación haya sido apoyada por la Secretaría;</w:t>
      </w:r>
    </w:p>
    <w:p w14:paraId="46B208D8" w14:textId="77777777" w:rsidR="00A505F3" w:rsidRPr="00065280" w:rsidRDefault="00A505F3" w:rsidP="00A505F3">
      <w:pPr>
        <w:pStyle w:val="CBDDesicionText"/>
        <w:rPr>
          <w:lang w:val="es-419"/>
        </w:rPr>
      </w:pPr>
      <w:r w:rsidRPr="00065280">
        <w:rPr>
          <w:lang w:val="es-419"/>
        </w:rPr>
        <w:t>5.</w:t>
      </w:r>
      <w:r w:rsidRPr="00065280">
        <w:rPr>
          <w:lang w:val="es-419"/>
        </w:rPr>
        <w:tab/>
      </w:r>
      <w:r w:rsidRPr="00065280">
        <w:rPr>
          <w:i/>
          <w:lang w:val="es-419"/>
        </w:rPr>
        <w:t>Pide</w:t>
      </w:r>
      <w:r w:rsidRPr="00065280">
        <w:rPr>
          <w:lang w:val="es-419"/>
        </w:rPr>
        <w:t xml:space="preserve"> a la Secretaria Ejecutiva que facilite la identificación de apoyo financiero adicional para aumentar la participación de las Partes que son países en desarrollo, en particular los países menos adelantados y los pequeños Estados insulares en desarrollo, y las Partes con economías en transición;</w:t>
      </w:r>
    </w:p>
    <w:p w14:paraId="370A2A0D" w14:textId="77777777" w:rsidR="00A505F3" w:rsidRPr="00065280" w:rsidRDefault="00A505F3" w:rsidP="00A505F3">
      <w:pPr>
        <w:pStyle w:val="CBDDesicionText"/>
        <w:rPr>
          <w:lang w:val="es-419"/>
        </w:rPr>
      </w:pPr>
      <w:r w:rsidRPr="00065280">
        <w:rPr>
          <w:lang w:val="es-419"/>
        </w:rPr>
        <w:t>6.</w:t>
      </w:r>
      <w:r w:rsidRPr="00065280">
        <w:rPr>
          <w:lang w:val="es-419"/>
        </w:rPr>
        <w:tab/>
      </w:r>
      <w:r w:rsidRPr="00065280">
        <w:rPr>
          <w:i/>
          <w:iCs/>
          <w:lang w:val="es-419"/>
        </w:rPr>
        <w:t>Decide</w:t>
      </w:r>
      <w:r w:rsidRPr="00065280">
        <w:rPr>
          <w:lang w:val="es-419"/>
        </w:rPr>
        <w:t xml:space="preserve"> que, cuando se celebren reuniones intergubernamentales en forma consecutiva, se fijará preferiblemente un día libre luego de cada semana, sin perjuicio del apoyo brindado a los delegados que reúnen las condiciones;</w:t>
      </w:r>
    </w:p>
    <w:p w14:paraId="1BFBF790" w14:textId="77777777" w:rsidR="00A505F3" w:rsidRPr="00065280" w:rsidRDefault="00A505F3" w:rsidP="00A505F3">
      <w:pPr>
        <w:pStyle w:val="CBDDesicionText"/>
        <w:rPr>
          <w:lang w:val="es-419"/>
        </w:rPr>
      </w:pPr>
      <w:r w:rsidRPr="00065280">
        <w:rPr>
          <w:lang w:val="es-419"/>
        </w:rPr>
        <w:t>7.</w:t>
      </w:r>
      <w:r w:rsidRPr="00065280">
        <w:rPr>
          <w:lang w:val="es-419"/>
        </w:rPr>
        <w:tab/>
      </w:r>
      <w:r w:rsidRPr="00065280">
        <w:rPr>
          <w:i/>
          <w:iCs/>
          <w:lang w:val="es-419"/>
        </w:rPr>
        <w:t>Reconoce</w:t>
      </w:r>
      <w:r w:rsidRPr="00065280">
        <w:rPr>
          <w:lang w:val="es-419"/>
        </w:rPr>
        <w:t xml:space="preserve"> la necesidad de limitar las sesiones de negociación vespertinas a un horario razonable para preservar la salud de los delegados que asisten a las reuniones intergubernamentales, en particular los delegados de delegaciones pequeñas, y recomienda, a menos que se acuerde otra cosa, no programar preferiblemente ninguna sesión después de 13 horas de haberse iniciado la primera reunión de composición abierta del día;</w:t>
      </w:r>
    </w:p>
    <w:p w14:paraId="2C5503B0" w14:textId="77777777" w:rsidR="00A505F3" w:rsidRPr="00065280" w:rsidRDefault="00A505F3" w:rsidP="00A505F3">
      <w:pPr>
        <w:pStyle w:val="CBDDesicionText"/>
        <w:rPr>
          <w:lang w:val="es-419"/>
        </w:rPr>
      </w:pPr>
      <w:r w:rsidRPr="00065280">
        <w:rPr>
          <w:lang w:val="es-419"/>
        </w:rPr>
        <w:t>8.</w:t>
      </w:r>
      <w:r w:rsidRPr="00065280">
        <w:rPr>
          <w:lang w:val="es-419"/>
        </w:rPr>
        <w:tab/>
      </w:r>
      <w:r w:rsidRPr="00065280">
        <w:rPr>
          <w:i/>
          <w:lang w:val="es-419"/>
        </w:rPr>
        <w:t>Pide</w:t>
      </w:r>
      <w:r w:rsidRPr="00065280">
        <w:rPr>
          <w:lang w:val="es-419"/>
        </w:rPr>
        <w:t xml:space="preserve"> a la Mesa de la Conferencia de las Partes que actúa como reunión de las Partes en el Protocolo de Cartagena sobre Seguridad de la Biotecnología</w:t>
      </w:r>
      <w:r w:rsidRPr="00065280">
        <w:rPr>
          <w:rStyle w:val="FootnoteReference"/>
          <w:lang w:val="es-419"/>
        </w:rPr>
        <w:footnoteReference w:id="23"/>
      </w:r>
      <w:r w:rsidRPr="00065280">
        <w:rPr>
          <w:lang w:val="es-419"/>
        </w:rPr>
        <w:t xml:space="preserve"> y a la Mesa del Órgano Subsidiario de Asesoramiento Científico, Técnico y Tecnológico que seleccionen un conjunto de representantes que puedan desempeñar la presidencia de grupos de trabajo o de contacto o la facilitación de grupos de amigos de la Presidencia, sobre la base de sus habilidades para generar confianza y consenso entre quienes tienen opiniones diferentes, así como de sus conocimientos demostrados sobre las cuestiones que han de tratar los grupos, y que lo hagan con suficiente antelación a las reuniones intergubernamentales celebradas en virtud del Protocolo;</w:t>
      </w:r>
    </w:p>
    <w:p w14:paraId="547B4F80" w14:textId="77777777" w:rsidR="00A505F3" w:rsidRPr="00065280" w:rsidRDefault="00A505F3" w:rsidP="00A505F3">
      <w:pPr>
        <w:pStyle w:val="CBDDesicionText"/>
        <w:rPr>
          <w:lang w:val="es-419"/>
        </w:rPr>
      </w:pPr>
      <w:r w:rsidRPr="00065280">
        <w:rPr>
          <w:lang w:val="es-419"/>
        </w:rPr>
        <w:t>9.</w:t>
      </w:r>
      <w:r w:rsidRPr="00065280">
        <w:rPr>
          <w:lang w:val="es-419"/>
        </w:rPr>
        <w:tab/>
      </w:r>
      <w:r w:rsidRPr="00065280">
        <w:rPr>
          <w:i/>
          <w:iCs/>
          <w:lang w:val="es-419"/>
        </w:rPr>
        <w:t xml:space="preserve">Pide </w:t>
      </w:r>
      <w:r w:rsidRPr="00065280">
        <w:rPr>
          <w:lang w:val="es-419"/>
        </w:rPr>
        <w:t xml:space="preserve">a la Secretaria Ejecutiva que, con sujeción a la disponibilidad de recursos, organice una sesión de orientación o capacitación para los representantes seleccionados conforme al párrafo 8 anterior, con antelación a las reuniones, para familiarizarlos con el reglamento y las técnicas, aptitudes y prácticas establecidas en materia de gestión de negociaciones multilaterales y facilitación </w:t>
      </w:r>
      <w:r w:rsidRPr="00065280">
        <w:rPr>
          <w:lang w:val="es-419"/>
        </w:rPr>
        <w:lastRenderedPageBreak/>
        <w:t>de consenso, con miras a garantizar enfoques éticos e imparcialidad, de conformidad con las normas y principios de las Naciones Unidas, incluido mediante módulos de capacitación de las Naciones Unidas;</w:t>
      </w:r>
    </w:p>
    <w:p w14:paraId="19A5D62A" w14:textId="77777777" w:rsidR="00A505F3" w:rsidRPr="00065280" w:rsidRDefault="00A505F3" w:rsidP="00A505F3">
      <w:pPr>
        <w:pStyle w:val="CBDDesicionText"/>
        <w:rPr>
          <w:lang w:val="es-419"/>
        </w:rPr>
      </w:pPr>
      <w:r w:rsidRPr="00065280">
        <w:rPr>
          <w:lang w:val="es-419"/>
        </w:rPr>
        <w:t>10.</w:t>
      </w:r>
      <w:r w:rsidRPr="00065280">
        <w:rPr>
          <w:lang w:val="es-419"/>
        </w:rPr>
        <w:tab/>
      </w:r>
      <w:r w:rsidRPr="00065280">
        <w:rPr>
          <w:i/>
          <w:lang w:val="es-419"/>
        </w:rPr>
        <w:t xml:space="preserve">Pide también </w:t>
      </w:r>
      <w:r w:rsidRPr="00065280">
        <w:rPr>
          <w:lang w:val="es-419"/>
        </w:rPr>
        <w:t>a la Secretaria Ejecutiva que, con sujeción a la disponibilidad de recursos, facilite la asistencia de los representantes de Partes que son países en desarrollo seleccionados conforme al párrafo 8 a las reuniones intergubernamentales celebradas en virtud del Protocolo de Cartagena, sin perjuicio del apoyo brindado para la participación de sus delegaciones, donde sea posible;</w:t>
      </w:r>
    </w:p>
    <w:p w14:paraId="0A15DBFB" w14:textId="77777777" w:rsidR="00A505F3" w:rsidRPr="00065280" w:rsidRDefault="00A505F3" w:rsidP="00A505F3">
      <w:pPr>
        <w:pStyle w:val="CBDDesicionText"/>
        <w:rPr>
          <w:lang w:val="es-419"/>
        </w:rPr>
      </w:pPr>
      <w:r w:rsidRPr="00065280">
        <w:rPr>
          <w:lang w:val="es-419"/>
        </w:rPr>
        <w:t>11.</w:t>
      </w:r>
      <w:r w:rsidRPr="00065280">
        <w:rPr>
          <w:lang w:val="es-419"/>
        </w:rPr>
        <w:tab/>
      </w:r>
      <w:r w:rsidRPr="00065280">
        <w:rPr>
          <w:i/>
          <w:iCs/>
          <w:lang w:val="es-419"/>
        </w:rPr>
        <w:t>Recomienda</w:t>
      </w:r>
      <w:r w:rsidRPr="00065280">
        <w:rPr>
          <w:lang w:val="es-419"/>
        </w:rPr>
        <w:t xml:space="preserve"> que la organización de las reuniones incluya opciones para evitar deliberaciones prolongadas e improductivas, tales como el uso adecuado de pausas estratégicas para permitir deliberaciones en grupos pequeños y grupos de amigos de la Presidencia con el fin de buscar posibles soluciones;</w:t>
      </w:r>
    </w:p>
    <w:p w14:paraId="03A4F40B" w14:textId="77777777" w:rsidR="00A505F3" w:rsidRPr="00065280" w:rsidRDefault="00A505F3" w:rsidP="00A505F3">
      <w:pPr>
        <w:pStyle w:val="CBDDesicionText"/>
        <w:rPr>
          <w:lang w:val="es-419"/>
        </w:rPr>
      </w:pPr>
      <w:r w:rsidRPr="00065280">
        <w:rPr>
          <w:lang w:val="es-419"/>
        </w:rPr>
        <w:t>12.</w:t>
      </w:r>
      <w:r w:rsidRPr="00065280">
        <w:rPr>
          <w:i/>
          <w:lang w:val="es-419"/>
        </w:rPr>
        <w:tab/>
        <w:t>Alienta</w:t>
      </w:r>
      <w:r w:rsidRPr="00065280">
        <w:rPr>
          <w:lang w:val="es-419"/>
        </w:rPr>
        <w:t xml:space="preserve"> a las Partes y a otros Gobiernos a que colaboren con los pueblos indígenas y las comunidades locales, las mujeres, la juventud y otras organizaciones observadoras nacionales, y a que recaben opiniones de una amplia gama de sectores pertinentes durante el proceso nacional de preparación para las reuniones de los órganos rectores y subsidiarios, a fin de obtener insumos para la elaboración de sus posiciones nacionales, según proceda, y teniendo en cuenta las circunstancias nacionales;</w:t>
      </w:r>
    </w:p>
    <w:p w14:paraId="6A3304E3" w14:textId="77777777" w:rsidR="00A505F3" w:rsidRPr="00065280" w:rsidRDefault="00A505F3" w:rsidP="00A505F3">
      <w:pPr>
        <w:pStyle w:val="CBDDesicionText"/>
        <w:rPr>
          <w:lang w:val="es-419"/>
        </w:rPr>
      </w:pPr>
      <w:r w:rsidRPr="00065280">
        <w:rPr>
          <w:lang w:val="es-419"/>
        </w:rPr>
        <w:t>13</w:t>
      </w:r>
      <w:r w:rsidRPr="00065280">
        <w:rPr>
          <w:i/>
          <w:lang w:val="es-419"/>
        </w:rPr>
        <w:t>.</w:t>
      </w:r>
      <w:r w:rsidRPr="00065280">
        <w:rPr>
          <w:i/>
          <w:lang w:val="es-419"/>
        </w:rPr>
        <w:tab/>
        <w:t>Pide</w:t>
      </w:r>
      <w:r w:rsidRPr="00065280">
        <w:rPr>
          <w:lang w:val="es-419"/>
        </w:rPr>
        <w:t xml:space="preserve"> a la Secretaria Ejecutiva que, con la orientación de la Mesa:</w:t>
      </w:r>
    </w:p>
    <w:p w14:paraId="424F6FD3" w14:textId="77777777" w:rsidR="00A505F3" w:rsidRPr="00065280" w:rsidRDefault="00A505F3" w:rsidP="00A505F3">
      <w:pPr>
        <w:pStyle w:val="CBDDesicionText"/>
        <w:rPr>
          <w:lang w:val="es-419"/>
        </w:rPr>
      </w:pPr>
      <w:r w:rsidRPr="00065280">
        <w:rPr>
          <w:lang w:val="es-419"/>
        </w:rPr>
        <w:t>a)</w:t>
      </w:r>
      <w:r w:rsidRPr="00065280">
        <w:rPr>
          <w:lang w:val="es-419"/>
        </w:rPr>
        <w:tab/>
        <w:t>Garantice que los documentos de trabajo para las reuniones de los órganos subsidiarios de composición abierta del Protocolo de Cartagena estén disponibles en todos los idiomas oficiales de las Naciones Unidas, de conformidad con sus respectivos reglamentos o modus operandi y al menos seis semanas antes de la apertura de la reunión correspondiente, y se asegure de que las fechas de publicación, incluidas las de versiones actualizadas, estén claramente indicadas en el sitio web de la reunión en cuestión, y que preste asistencia a las presidencias de las reuniones para solicitar a las Partes que reconsideren los respectivos programas de las reuniones al inicio de estas en el caso de que no se cumplan los procedimientos de publicación de documentos;</w:t>
      </w:r>
    </w:p>
    <w:p w14:paraId="7C81D90D" w14:textId="77777777" w:rsidR="00A505F3" w:rsidRPr="00065280" w:rsidRDefault="00A505F3" w:rsidP="00A505F3">
      <w:pPr>
        <w:pStyle w:val="CBDDesicionText"/>
        <w:rPr>
          <w:lang w:val="es-419"/>
        </w:rPr>
      </w:pPr>
      <w:r w:rsidRPr="00065280">
        <w:rPr>
          <w:lang w:val="es-419"/>
        </w:rPr>
        <w:t>b)</w:t>
      </w:r>
      <w:r w:rsidRPr="00065280">
        <w:rPr>
          <w:lang w:val="es-419"/>
        </w:rPr>
        <w:tab/>
        <w:t>Elabore un calendario claro para la preparación de cada reunión en forma oportuna, comenzando por las reuniones de los órganos subsidiarios que se celebrarán luego de la 11</w:t>
      </w:r>
      <w:r w:rsidRPr="00065280">
        <w:rPr>
          <w:vertAlign w:val="superscript"/>
          <w:lang w:val="es-419"/>
        </w:rPr>
        <w:t>a </w:t>
      </w:r>
      <w:r w:rsidRPr="00065280">
        <w:rPr>
          <w:lang w:val="es-419"/>
        </w:rPr>
        <w:t>reunión de la Conferencia de las Partes que actúa como reunión de las Partes en el Protocolo de Cartagena;</w:t>
      </w:r>
    </w:p>
    <w:p w14:paraId="1C70BB0A" w14:textId="77777777" w:rsidR="00A505F3" w:rsidRPr="00065280" w:rsidRDefault="00A505F3" w:rsidP="00A505F3">
      <w:pPr>
        <w:pStyle w:val="CBDDesicionText"/>
        <w:rPr>
          <w:iCs/>
          <w:lang w:val="es-419"/>
        </w:rPr>
      </w:pPr>
      <w:r w:rsidRPr="00065280">
        <w:rPr>
          <w:lang w:val="es-419"/>
        </w:rPr>
        <w:t>c)</w:t>
      </w:r>
      <w:r w:rsidRPr="00065280">
        <w:rPr>
          <w:rFonts w:ascii="Arial" w:hAnsi="Arial"/>
          <w:i/>
          <w:lang w:val="es-419"/>
        </w:rPr>
        <w:tab/>
      </w:r>
      <w:r w:rsidRPr="00065280">
        <w:rPr>
          <w:lang w:val="es-419"/>
        </w:rPr>
        <w:t>Proporcione a los puntos focales nacionales, al final de cada año a partir de 2024, un calendario de actividades y acciones previstas para el año siguiente, a fin de racionalizar las actividades entre períodos de sesiones y facilitar la gestión de los flujos de trabajo;</w:t>
      </w:r>
    </w:p>
    <w:p w14:paraId="2BC43717" w14:textId="77777777" w:rsidR="00A505F3" w:rsidRPr="00065280" w:rsidRDefault="00A505F3" w:rsidP="00A505F3">
      <w:pPr>
        <w:pStyle w:val="CBDDesicionText"/>
        <w:rPr>
          <w:lang w:val="es-419"/>
        </w:rPr>
      </w:pPr>
      <w:r w:rsidRPr="00065280">
        <w:rPr>
          <w:lang w:val="es-419"/>
        </w:rPr>
        <w:t>d)</w:t>
      </w:r>
      <w:r w:rsidRPr="00065280">
        <w:rPr>
          <w:lang w:val="es-419"/>
        </w:rPr>
        <w:tab/>
        <w:t>Procure limitar la extensión de los proyectos de recomendación de los órganos subsidiarios o los proyectos de decisión de los órganos rectores y evitar la duplicación y la redundancia con respecto a decisiones existentes, sin perjuicio de que la Conferencia de las Partes que actúa como reunión de las Partes en el Protocolo de Cartagena pueda rever decisiones anteriores, a fin de facilitar el posterior cumplimiento de las decisiones;</w:t>
      </w:r>
    </w:p>
    <w:p w14:paraId="218239A2" w14:textId="77777777" w:rsidR="00A505F3" w:rsidRPr="00065280" w:rsidRDefault="00A505F3" w:rsidP="00A505F3">
      <w:pPr>
        <w:pStyle w:val="CBDDesicionText"/>
        <w:rPr>
          <w:lang w:val="es-419"/>
        </w:rPr>
      </w:pPr>
      <w:r w:rsidRPr="00065280">
        <w:rPr>
          <w:lang w:val="es-419"/>
        </w:rPr>
        <w:t>e)</w:t>
      </w:r>
      <w:r w:rsidRPr="00065280">
        <w:rPr>
          <w:lang w:val="es-419"/>
        </w:rPr>
        <w:tab/>
        <w:t>Ayude a las presidencias de reuniones intergubernamentales a limitar la cantidad de temas que no se asignan a grupos de contacto, grupos de amigos de la presidencia o grupos pequeños y que se plasman directamente en documentos de sesión, a aquellos temas en los que hay poco desacuerdo;</w:t>
      </w:r>
    </w:p>
    <w:p w14:paraId="1BE9D23F" w14:textId="77777777" w:rsidR="00A505F3" w:rsidRPr="00065280" w:rsidRDefault="00A505F3" w:rsidP="00A505F3">
      <w:pPr>
        <w:pStyle w:val="CBDDesicionText"/>
        <w:rPr>
          <w:lang w:val="es-419"/>
        </w:rPr>
      </w:pPr>
      <w:r w:rsidRPr="00065280">
        <w:rPr>
          <w:lang w:val="es-419"/>
        </w:rPr>
        <w:t>f)</w:t>
      </w:r>
      <w:r w:rsidRPr="00065280">
        <w:rPr>
          <w:lang w:val="es-419"/>
        </w:rPr>
        <w:tab/>
        <w:t>Revise la estructura del sitio web del Protocolo de Cartagena con miras a hacerlo más fácil de usar;</w:t>
      </w:r>
    </w:p>
    <w:p w14:paraId="74337EEB" w14:textId="77777777" w:rsidR="00A505F3" w:rsidRPr="00065280" w:rsidRDefault="00A505F3" w:rsidP="00A505F3">
      <w:pPr>
        <w:pStyle w:val="CBDDesicionText"/>
        <w:rPr>
          <w:lang w:val="es-419"/>
        </w:rPr>
      </w:pPr>
      <w:r w:rsidRPr="00065280">
        <w:rPr>
          <w:lang w:val="es-419"/>
        </w:rPr>
        <w:t>14.</w:t>
      </w:r>
      <w:r w:rsidRPr="00065280">
        <w:rPr>
          <w:lang w:val="es-419"/>
        </w:rPr>
        <w:tab/>
      </w:r>
      <w:r w:rsidRPr="00065280">
        <w:rPr>
          <w:i/>
          <w:iCs/>
          <w:lang w:val="es-419"/>
        </w:rPr>
        <w:t xml:space="preserve">Pide </w:t>
      </w:r>
      <w:r w:rsidRPr="00065280">
        <w:rPr>
          <w:lang w:val="es-419"/>
        </w:rPr>
        <w:t>a la Mesa de la Conferencia de las Partes que actúa como reunión de las Partes en el Protocolo de Cartagena</w:t>
      </w:r>
      <w:bookmarkStart w:id="24" w:name="_Hlk172542561"/>
      <w:r w:rsidRPr="00065280">
        <w:rPr>
          <w:lang w:val="es-419"/>
        </w:rPr>
        <w:t xml:space="preserve"> </w:t>
      </w:r>
      <w:bookmarkEnd w:id="24"/>
      <w:r w:rsidRPr="00065280">
        <w:rPr>
          <w:lang w:val="es-419"/>
        </w:rPr>
        <w:t xml:space="preserve">y a la Mesa del Órgano Subsidiario de Asesoramiento Científico, Técnico y Tecnológico que publiquen notas con posibles esquemas para cada una de las reuniones </w:t>
      </w:r>
      <w:r w:rsidRPr="00065280">
        <w:rPr>
          <w:lang w:val="es-419"/>
        </w:rPr>
        <w:lastRenderedPageBreak/>
        <w:t>intergubernamentales celebradas en virtud del Protocolo y que fijen reuniones de las Mesas en momentos estratégicos del proceso;</w:t>
      </w:r>
    </w:p>
    <w:p w14:paraId="6B48ADE9" w14:textId="7698FADF" w:rsidR="00080196" w:rsidRPr="00065280" w:rsidRDefault="00A505F3" w:rsidP="00A505F3">
      <w:pPr>
        <w:pStyle w:val="CBDNormalNoNumber"/>
        <w:ind w:firstLine="567"/>
        <w:rPr>
          <w:lang w:val="es-419"/>
        </w:rPr>
      </w:pPr>
      <w:r w:rsidRPr="00065280">
        <w:rPr>
          <w:lang w:val="es-419"/>
        </w:rPr>
        <w:t>15.</w:t>
      </w:r>
      <w:r w:rsidRPr="00065280">
        <w:rPr>
          <w:lang w:val="es-419"/>
        </w:rPr>
        <w:tab/>
      </w:r>
      <w:r w:rsidRPr="00065280">
        <w:rPr>
          <w:i/>
          <w:iCs/>
          <w:lang w:val="es-419"/>
        </w:rPr>
        <w:t xml:space="preserve">Pide </w:t>
      </w:r>
      <w:r w:rsidRPr="00065280">
        <w:rPr>
          <w:lang w:val="es-419"/>
        </w:rPr>
        <w:t>a la Secretaria Ejecutiva que facilite consultas con las Partes, los miembros de la Mesa, asociados e interesados, con el apoyo de expertos externos calificados en la materia, según proceda, a fin de continuar elaborando opciones para mejorar aún más la eficacia de las reuniones celebradas en virtud del Protocolo de Cartagena, y que presente tales propuestas a la consideración del Órgano Subsidiario sobre la Aplicación en su 6ª reunión, con miras a elaborar un proyecto de decisión para que la Conferencia de las Partes que actúa como reunión de las Partes en el Protocolo lo considere en su 12ª reunión, tomando en cuenta la recomendación </w:t>
      </w:r>
      <w:hyperlink r:id="rId24" w:history="1">
        <w:r w:rsidRPr="00065280">
          <w:rPr>
            <w:rStyle w:val="Hyperlink"/>
            <w:lang w:val="es-419"/>
          </w:rPr>
          <w:t>4/12</w:t>
        </w:r>
      </w:hyperlink>
      <w:r w:rsidRPr="00065280">
        <w:rPr>
          <w:lang w:val="es-419"/>
        </w:rPr>
        <w:t xml:space="preserve"> de 29 de mayo de 2024 del Órgano Subsidiario sobre la Aplicación, incluida la recopilación de presentaciones que figura en el anexo II de la recomendación</w:t>
      </w:r>
      <w:r w:rsidR="00080196" w:rsidRPr="00065280">
        <w:rPr>
          <w:lang w:val="es-419"/>
        </w:rPr>
        <w:t>.</w:t>
      </w:r>
      <w:r w:rsidR="00080196" w:rsidRPr="00065280">
        <w:rPr>
          <w:lang w:val="es-419"/>
        </w:rPr>
        <w:br w:type="page"/>
      </w:r>
    </w:p>
    <w:p w14:paraId="5E44A3A0" w14:textId="74C0864A" w:rsidR="00080196" w:rsidRPr="00065280" w:rsidRDefault="00080196" w:rsidP="0037065A">
      <w:pPr>
        <w:pStyle w:val="CBDH2"/>
        <w:rPr>
          <w:lang w:val="es-419"/>
        </w:rPr>
      </w:pPr>
      <w:r w:rsidRPr="00065280">
        <w:rPr>
          <w:lang w:val="es-419"/>
        </w:rPr>
        <w:lastRenderedPageBreak/>
        <w:tab/>
      </w:r>
      <w:bookmarkStart w:id="25" w:name="_Toc194399416"/>
      <w:bookmarkStart w:id="26" w:name="_Toc194919555"/>
      <w:bookmarkStart w:id="27" w:name="_Toc199016608"/>
      <w:r w:rsidRPr="00065280">
        <w:rPr>
          <w:lang w:val="es-419"/>
        </w:rPr>
        <w:t>CP-11/6.</w:t>
      </w:r>
      <w:r w:rsidRPr="00065280">
        <w:rPr>
          <w:lang w:val="es-419"/>
        </w:rPr>
        <w:tab/>
      </w:r>
      <w:bookmarkEnd w:id="25"/>
      <w:bookmarkEnd w:id="26"/>
      <w:r w:rsidR="006630B3" w:rsidRPr="00065280">
        <w:rPr>
          <w:lang w:val="es-419"/>
        </w:rPr>
        <w:t>Procedimiento para evitar o tratar conflictos de intereses en los grupos de expertos</w:t>
      </w:r>
      <w:bookmarkEnd w:id="27"/>
    </w:p>
    <w:p w14:paraId="77B0807A" w14:textId="77777777" w:rsidR="006630B3" w:rsidRPr="00065280" w:rsidRDefault="006630B3" w:rsidP="006630B3">
      <w:pPr>
        <w:pStyle w:val="CBDDesicionText"/>
        <w:rPr>
          <w:iCs/>
          <w:lang w:val="es-419"/>
        </w:rPr>
      </w:pPr>
      <w:r w:rsidRPr="00065280">
        <w:rPr>
          <w:i/>
          <w:iCs/>
          <w:lang w:val="es-419"/>
        </w:rPr>
        <w:t>La Conferencia de las Partes que actúa como reunión de las Partes en el Protocolo de Cartagena sobre Seguridad de la Biotecnología</w:t>
      </w:r>
      <w:r w:rsidRPr="00065280">
        <w:rPr>
          <w:lang w:val="es-419"/>
        </w:rPr>
        <w:t xml:space="preserve">, </w:t>
      </w:r>
    </w:p>
    <w:p w14:paraId="493DBEA2" w14:textId="77777777" w:rsidR="006630B3" w:rsidRPr="00065280" w:rsidRDefault="006630B3" w:rsidP="006630B3">
      <w:pPr>
        <w:pStyle w:val="CBDDesicionText"/>
        <w:rPr>
          <w:iCs/>
          <w:kern w:val="22"/>
          <w:lang w:val="es-419"/>
        </w:rPr>
      </w:pPr>
      <w:r w:rsidRPr="00065280">
        <w:rPr>
          <w:i/>
          <w:lang w:val="es-419"/>
        </w:rPr>
        <w:t>Recordando</w:t>
      </w:r>
      <w:r w:rsidRPr="00065280">
        <w:rPr>
          <w:lang w:val="es-419"/>
        </w:rPr>
        <w:t xml:space="preserve"> la decisión </w:t>
      </w:r>
      <w:hyperlink r:id="rId25" w:history="1">
        <w:r w:rsidRPr="00065280">
          <w:rPr>
            <w:rStyle w:val="Hyperlink"/>
            <w:lang w:val="es-419"/>
          </w:rPr>
          <w:t>CP-9/10</w:t>
        </w:r>
      </w:hyperlink>
      <w:r w:rsidRPr="00065280">
        <w:rPr>
          <w:lang w:val="es-419"/>
        </w:rPr>
        <w:t xml:space="preserve">, de 28 de noviembre de 2018, </w:t>
      </w:r>
    </w:p>
    <w:p w14:paraId="60C71F7F" w14:textId="77777777" w:rsidR="006630B3" w:rsidRPr="00065280" w:rsidRDefault="006630B3" w:rsidP="006630B3">
      <w:pPr>
        <w:pStyle w:val="CBDDesicionText"/>
        <w:rPr>
          <w:iCs/>
          <w:kern w:val="22"/>
          <w:lang w:val="es-419"/>
        </w:rPr>
      </w:pPr>
      <w:r w:rsidRPr="00065280">
        <w:rPr>
          <w:i/>
          <w:lang w:val="es-419"/>
        </w:rPr>
        <w:t xml:space="preserve">Habiendo examinado </w:t>
      </w:r>
      <w:r w:rsidRPr="00065280">
        <w:rPr>
          <w:lang w:val="es-419"/>
        </w:rPr>
        <w:t>el informe de la Secretaría del Convenio sobre la Diversidad Biológica</w:t>
      </w:r>
      <w:r w:rsidRPr="00065280">
        <w:rPr>
          <w:rStyle w:val="FootnoteReference"/>
          <w:iCs/>
          <w:kern w:val="22"/>
          <w:lang w:val="es-419"/>
        </w:rPr>
        <w:footnoteReference w:id="24"/>
      </w:r>
      <w:r w:rsidRPr="00065280">
        <w:rPr>
          <w:lang w:val="es-419"/>
        </w:rPr>
        <w:t xml:space="preserve"> referido a la aplicación del procedimiento para evitar o tratar conflictos de intereses en los grupos de expertos</w:t>
      </w:r>
      <w:r w:rsidRPr="00065280">
        <w:rPr>
          <w:rStyle w:val="FootnoteReference"/>
          <w:iCs/>
          <w:kern w:val="22"/>
          <w:lang w:val="es-419"/>
        </w:rPr>
        <w:footnoteReference w:id="25"/>
      </w:r>
      <w:r w:rsidRPr="00065280">
        <w:rPr>
          <w:lang w:val="es-419"/>
        </w:rPr>
        <w:t>,</w:t>
      </w:r>
    </w:p>
    <w:p w14:paraId="52103263" w14:textId="77777777" w:rsidR="006630B3" w:rsidRPr="00065280" w:rsidRDefault="006630B3" w:rsidP="006630B3">
      <w:pPr>
        <w:pStyle w:val="CBDDesicionText"/>
        <w:rPr>
          <w:kern w:val="22"/>
          <w:lang w:val="es-419"/>
        </w:rPr>
      </w:pPr>
      <w:r w:rsidRPr="00065280">
        <w:rPr>
          <w:i/>
          <w:lang w:val="es-419"/>
        </w:rPr>
        <w:t xml:space="preserve">Teniendo en cuenta </w:t>
      </w:r>
      <w:r w:rsidRPr="00065280">
        <w:rPr>
          <w:lang w:val="es-419"/>
        </w:rPr>
        <w:t>el uso eficaz del procedimiento para evitar o tratar los conflictos de intereses</w:t>
      </w:r>
      <w:r w:rsidRPr="00065280">
        <w:rPr>
          <w:rStyle w:val="FootnoteReference"/>
          <w:iCs/>
          <w:kern w:val="22"/>
          <w:lang w:val="es-419"/>
        </w:rPr>
        <w:footnoteReference w:id="26"/>
      </w:r>
      <w:r w:rsidRPr="00065280">
        <w:rPr>
          <w:lang w:val="es-419"/>
        </w:rPr>
        <w:t xml:space="preserve"> en la selección de expertos para desempeñarse en grupos de expertos técnicos convocados en procesos en el marco del Convenio y sus Protocolos,</w:t>
      </w:r>
    </w:p>
    <w:p w14:paraId="5269E558" w14:textId="77777777" w:rsidR="006630B3" w:rsidRPr="00065280" w:rsidRDefault="006630B3" w:rsidP="006630B3">
      <w:pPr>
        <w:pStyle w:val="CBDDesicionText"/>
        <w:rPr>
          <w:kern w:val="22"/>
          <w:lang w:val="es-419"/>
        </w:rPr>
      </w:pPr>
      <w:r w:rsidRPr="00065280">
        <w:rPr>
          <w:lang w:val="es-419"/>
        </w:rPr>
        <w:t>1.</w:t>
      </w:r>
      <w:r w:rsidRPr="00065280">
        <w:rPr>
          <w:lang w:val="es-419"/>
        </w:rPr>
        <w:tab/>
      </w:r>
      <w:r w:rsidRPr="00065280">
        <w:rPr>
          <w:i/>
          <w:lang w:val="es-419"/>
        </w:rPr>
        <w:t>Aprueba</w:t>
      </w:r>
      <w:r w:rsidRPr="00065280">
        <w:rPr>
          <w:lang w:val="es-419"/>
        </w:rPr>
        <w:t xml:space="preserve"> las siguientes modificaciones del formulario de declaración de intereses que figura en el apéndice del procedimiento:</w:t>
      </w:r>
    </w:p>
    <w:p w14:paraId="43903197" w14:textId="77777777" w:rsidR="006630B3" w:rsidRPr="00065280" w:rsidRDefault="006630B3" w:rsidP="006630B3">
      <w:pPr>
        <w:pStyle w:val="CBDDesicionText"/>
        <w:rPr>
          <w:kern w:val="22"/>
          <w:lang w:val="es-419"/>
        </w:rPr>
      </w:pPr>
      <w:r w:rsidRPr="00065280">
        <w:rPr>
          <w:lang w:val="es-419"/>
        </w:rPr>
        <w:t>a)</w:t>
      </w:r>
      <w:r w:rsidRPr="00065280">
        <w:rPr>
          <w:lang w:val="es-419"/>
        </w:rPr>
        <w:tab/>
        <w:t>En la oración de la declaración, al final del formulario, se inserta el siguiente texto: “En caso de ser seleccionado como miembro del grupo de expertos, me comprometo a desempeñar mis funciones y responsabilidades con total objetividad y, en caso de que se verifique un conflicto de intereses, me comprometo a abstenerme de participar en las deliberaciones o en la adopción de las decisiones pertinentes, según proceda”;</w:t>
      </w:r>
    </w:p>
    <w:p w14:paraId="0DCB58C8" w14:textId="77777777" w:rsidR="006630B3" w:rsidRPr="00065280" w:rsidRDefault="006630B3" w:rsidP="006630B3">
      <w:pPr>
        <w:pStyle w:val="CBDDesicionText"/>
        <w:rPr>
          <w:lang w:val="es-419"/>
        </w:rPr>
      </w:pPr>
      <w:r w:rsidRPr="00065280">
        <w:rPr>
          <w:lang w:val="es-419"/>
        </w:rPr>
        <w:t>b)</w:t>
      </w:r>
      <w:r w:rsidRPr="00065280">
        <w:rPr>
          <w:lang w:val="es-419"/>
        </w:rPr>
        <w:tab/>
        <w:t>Se añade un campo de “Nombre o descripción del grupo de expertos” al principio del formulario de declaración de intereses, arriba del campo de “Nombre”, y un campo de “Cargo” después del campo “Empleador actual”;</w:t>
      </w:r>
    </w:p>
    <w:p w14:paraId="4D19ABD9" w14:textId="77777777" w:rsidR="006630B3" w:rsidRPr="00065280" w:rsidRDefault="006630B3" w:rsidP="006630B3">
      <w:pPr>
        <w:pStyle w:val="CBDDesicionText"/>
        <w:rPr>
          <w:kern w:val="22"/>
          <w:lang w:val="es-419"/>
        </w:rPr>
      </w:pPr>
      <w:r w:rsidRPr="00065280">
        <w:rPr>
          <w:lang w:val="es-419"/>
        </w:rPr>
        <w:t>2.</w:t>
      </w:r>
      <w:r w:rsidRPr="00065280">
        <w:rPr>
          <w:lang w:val="es-419"/>
        </w:rPr>
        <w:tab/>
      </w:r>
      <w:r w:rsidRPr="00065280">
        <w:rPr>
          <w:i/>
          <w:lang w:val="es-419"/>
        </w:rPr>
        <w:t xml:space="preserve">Pide </w:t>
      </w:r>
      <w:r w:rsidRPr="00065280">
        <w:rPr>
          <w:lang w:val="es-419"/>
        </w:rPr>
        <w:t>a la Secretaria Ejecutiva que incorpore las modificaciones indicadas en el párrafo 1 anterior en el formulario de declaración de intereses y que sustituya el formulario original por la versión modificada;</w:t>
      </w:r>
    </w:p>
    <w:p w14:paraId="6CE290B3" w14:textId="77777777" w:rsidR="006630B3" w:rsidRPr="00065280" w:rsidRDefault="006630B3" w:rsidP="006630B3">
      <w:pPr>
        <w:pStyle w:val="CBDDesicionText"/>
        <w:rPr>
          <w:kern w:val="22"/>
          <w:lang w:val="es-419"/>
        </w:rPr>
      </w:pPr>
      <w:r w:rsidRPr="00065280">
        <w:rPr>
          <w:lang w:val="es-419"/>
        </w:rPr>
        <w:t>3.</w:t>
      </w:r>
      <w:r w:rsidRPr="00065280">
        <w:rPr>
          <w:lang w:val="es-419"/>
        </w:rPr>
        <w:tab/>
      </w:r>
      <w:r w:rsidRPr="00065280">
        <w:rPr>
          <w:i/>
          <w:lang w:val="es-419"/>
        </w:rPr>
        <w:t>Pide también</w:t>
      </w:r>
      <w:r w:rsidRPr="00065280">
        <w:rPr>
          <w:lang w:val="es-419"/>
        </w:rPr>
        <w:t xml:space="preserve"> a la Secretaria Ejecutiva que adopte medidas, según proceda, para mejorar la aplicación del procedimiento, en consulta con la Mesa del Órgano Subsidiario de Asesoramiento Científico, Técnico y Tecnológico o de la Conferencia de las Partes que actúa como reunión de las Partes en el Protocolo de Cartagena sobre Seguridad de la Biotecnología</w:t>
      </w:r>
      <w:r w:rsidRPr="00065280">
        <w:rPr>
          <w:rStyle w:val="FootnoteReference"/>
          <w:kern w:val="22"/>
          <w:lang w:val="es-419"/>
        </w:rPr>
        <w:footnoteReference w:id="27"/>
      </w:r>
      <w:r w:rsidRPr="00065280">
        <w:rPr>
          <w:lang w:val="es-419"/>
        </w:rPr>
        <w:t xml:space="preserve">, entre otras cosas, mediante lo siguiente: </w:t>
      </w:r>
    </w:p>
    <w:p w14:paraId="4AD6204F" w14:textId="77777777" w:rsidR="006630B3" w:rsidRPr="00065280" w:rsidRDefault="006630B3" w:rsidP="006630B3">
      <w:pPr>
        <w:pStyle w:val="CBDDesicionText"/>
        <w:rPr>
          <w:kern w:val="22"/>
          <w:lang w:val="es-419"/>
        </w:rPr>
      </w:pPr>
      <w:r w:rsidRPr="00065280">
        <w:rPr>
          <w:lang w:val="es-419"/>
        </w:rPr>
        <w:t>a)</w:t>
      </w:r>
      <w:r w:rsidRPr="00065280">
        <w:rPr>
          <w:lang w:val="es-419"/>
        </w:rPr>
        <w:tab/>
        <w:t>Sin perjuicio de lo dispuesto en el punto b) del apartado 4.4 del procedimiento, revelando a los demás miembros del grupo de expertos y al comienzo de toda reunión de un grupo de expertos los intereses significativos que hayan sido declarados por un miembro particular;</w:t>
      </w:r>
    </w:p>
    <w:p w14:paraId="13A24527" w14:textId="77777777" w:rsidR="006630B3" w:rsidRPr="00065280" w:rsidRDefault="006630B3" w:rsidP="006630B3">
      <w:pPr>
        <w:pStyle w:val="CBDDesicionText"/>
        <w:rPr>
          <w:kern w:val="22"/>
          <w:lang w:val="es-419"/>
        </w:rPr>
      </w:pPr>
      <w:r w:rsidRPr="00065280">
        <w:rPr>
          <w:lang w:val="es-419"/>
        </w:rPr>
        <w:t>b)</w:t>
      </w:r>
      <w:r w:rsidRPr="00065280">
        <w:rPr>
          <w:lang w:val="es-419"/>
        </w:rPr>
        <w:tab/>
        <w:t>Publicando en el informe de una reunión y en cualquier otro resultado del trabajo o en las conclusiones de un grupo de expertos un resumen de todas las declaraciones realizadas y de las medidas adoptadas para tratar cualquier conflicto de intereses real o potencial;</w:t>
      </w:r>
    </w:p>
    <w:p w14:paraId="5343A376" w14:textId="77777777" w:rsidR="006630B3" w:rsidRPr="00065280" w:rsidRDefault="006630B3" w:rsidP="006630B3">
      <w:pPr>
        <w:pStyle w:val="CBDDesicionText"/>
        <w:rPr>
          <w:lang w:val="es-419"/>
        </w:rPr>
      </w:pPr>
      <w:r w:rsidRPr="00065280">
        <w:rPr>
          <w:lang w:val="es-419"/>
        </w:rPr>
        <w:t>4.</w:t>
      </w:r>
      <w:r w:rsidRPr="00065280">
        <w:rPr>
          <w:lang w:val="es-419"/>
        </w:rPr>
        <w:tab/>
      </w:r>
      <w:r w:rsidRPr="00065280">
        <w:rPr>
          <w:i/>
          <w:lang w:val="es-419"/>
        </w:rPr>
        <w:t>Pide además</w:t>
      </w:r>
      <w:r w:rsidRPr="00065280">
        <w:rPr>
          <w:lang w:val="es-419"/>
        </w:rPr>
        <w:t xml:space="preserve"> a la Secretaria Ejecutiva que prepare un informe sobre la aplicación del procedimiento y, en caso necesario, proponga actualizaciones y modificaciones del procedimiento para que sea considerado por el Órgano Subsidiario sobre la Aplicación en una reunión que se celebre antes de la 14ª reunión de la Conferencia de las Partes que actúa como reunión de las Partes en el Protocolo de Cartagena;</w:t>
      </w:r>
    </w:p>
    <w:p w14:paraId="0863455D" w14:textId="64E2CBD8" w:rsidR="00080196" w:rsidRPr="00065280" w:rsidRDefault="006630B3" w:rsidP="006017D1">
      <w:pPr>
        <w:pStyle w:val="CBDDesicionText"/>
        <w:keepNext/>
        <w:keepLines/>
        <w:ind w:left="562" w:firstLine="562"/>
        <w:rPr>
          <w:lang w:val="es-419"/>
        </w:rPr>
      </w:pPr>
      <w:r w:rsidRPr="00065280">
        <w:rPr>
          <w:lang w:val="es-419"/>
        </w:rPr>
        <w:lastRenderedPageBreak/>
        <w:t>5.</w:t>
      </w:r>
      <w:r w:rsidRPr="00065280">
        <w:rPr>
          <w:lang w:val="es-419"/>
        </w:rPr>
        <w:tab/>
      </w:r>
      <w:r w:rsidRPr="00065280">
        <w:rPr>
          <w:i/>
          <w:lang w:val="es-419"/>
        </w:rPr>
        <w:t>Pide</w:t>
      </w:r>
      <w:r w:rsidRPr="00065280">
        <w:rPr>
          <w:lang w:val="es-419"/>
        </w:rPr>
        <w:t xml:space="preserve"> al Órgano Subsidiario sobre la Aplicación que examine el informe y las modificaciones propuestas que se mencionan en el párrafo 4 anterior y que presente una recomendación para que sea considerada por la Conferencia de las Partes que actúa como reunión de las Partes en el Protocolo de Cartagena en su 14ª reunión</w:t>
      </w:r>
      <w:r w:rsidR="00080196" w:rsidRPr="00065280">
        <w:rPr>
          <w:kern w:val="22"/>
          <w:lang w:val="es-419"/>
        </w:rPr>
        <w:t>.</w:t>
      </w:r>
    </w:p>
    <w:p w14:paraId="6368BE00" w14:textId="77777777" w:rsidR="00080196" w:rsidRPr="00065280" w:rsidRDefault="00080196">
      <w:pPr>
        <w:tabs>
          <w:tab w:val="clear" w:pos="567"/>
          <w:tab w:val="clear" w:pos="1134"/>
          <w:tab w:val="clear" w:pos="1701"/>
          <w:tab w:val="clear" w:pos="2268"/>
        </w:tabs>
        <w:spacing w:after="160" w:line="278" w:lineRule="auto"/>
        <w:jc w:val="left"/>
        <w:rPr>
          <w:lang w:val="es-419"/>
        </w:rPr>
      </w:pPr>
      <w:r w:rsidRPr="00065280">
        <w:rPr>
          <w:lang w:val="es-419"/>
        </w:rPr>
        <w:br w:type="page"/>
      </w:r>
    </w:p>
    <w:p w14:paraId="444DEF33" w14:textId="7CBD628A" w:rsidR="00080196" w:rsidRPr="00065280" w:rsidRDefault="0037065A" w:rsidP="0037065A">
      <w:pPr>
        <w:pStyle w:val="CBDH2"/>
        <w:rPr>
          <w:lang w:val="es-419"/>
        </w:rPr>
      </w:pPr>
      <w:r w:rsidRPr="00065280">
        <w:rPr>
          <w:lang w:val="es-419"/>
        </w:rPr>
        <w:lastRenderedPageBreak/>
        <w:tab/>
      </w:r>
      <w:bookmarkStart w:id="28" w:name="_Toc194399417"/>
      <w:bookmarkStart w:id="29" w:name="_Toc194919556"/>
      <w:bookmarkStart w:id="30" w:name="_Toc199016609"/>
      <w:r w:rsidR="00080196" w:rsidRPr="00065280">
        <w:rPr>
          <w:lang w:val="es-419"/>
        </w:rPr>
        <w:t>CP-11/7.</w:t>
      </w:r>
      <w:r w:rsidR="00080196" w:rsidRPr="00065280">
        <w:rPr>
          <w:lang w:val="es-419"/>
        </w:rPr>
        <w:tab/>
      </w:r>
      <w:bookmarkEnd w:id="28"/>
      <w:bookmarkEnd w:id="29"/>
      <w:r w:rsidR="005921BB" w:rsidRPr="00065280">
        <w:rPr>
          <w:lang w:val="es-419"/>
        </w:rPr>
        <w:t>Evaluación del riesgo y gestión del riesgo</w:t>
      </w:r>
      <w:bookmarkEnd w:id="30"/>
    </w:p>
    <w:p w14:paraId="2123F1D5" w14:textId="77777777" w:rsidR="005921BB" w:rsidRPr="00065280" w:rsidRDefault="005921BB" w:rsidP="005921BB">
      <w:pPr>
        <w:pStyle w:val="CBDDesicionText"/>
        <w:rPr>
          <w:lang w:val="es-419"/>
        </w:rPr>
      </w:pPr>
      <w:r w:rsidRPr="00065280">
        <w:rPr>
          <w:i/>
          <w:lang w:val="es-419"/>
        </w:rPr>
        <w:t>La Conferencia de las Partes que actúa como reunión de las Partes en el Protocolo de Cartagena</w:t>
      </w:r>
      <w:r w:rsidRPr="00065280">
        <w:rPr>
          <w:lang w:val="es-419"/>
        </w:rPr>
        <w:t>,</w:t>
      </w:r>
    </w:p>
    <w:p w14:paraId="7B014999" w14:textId="77777777" w:rsidR="005921BB" w:rsidRPr="00065280" w:rsidRDefault="005921BB" w:rsidP="005921BB">
      <w:pPr>
        <w:pStyle w:val="CBDDesicionText"/>
        <w:rPr>
          <w:lang w:val="es-419"/>
        </w:rPr>
      </w:pPr>
      <w:r w:rsidRPr="00065280">
        <w:rPr>
          <w:i/>
          <w:lang w:val="es-419"/>
        </w:rPr>
        <w:t>Recordando</w:t>
      </w:r>
      <w:r w:rsidRPr="00065280">
        <w:rPr>
          <w:lang w:val="es-419"/>
        </w:rPr>
        <w:t xml:space="preserve"> el artículo 1 del Protocolo de Cartagena sobre Seguridad de la Biotecnología</w:t>
      </w:r>
      <w:r w:rsidRPr="00065280">
        <w:rPr>
          <w:rStyle w:val="FootnoteReference"/>
          <w:lang w:val="es-419"/>
        </w:rPr>
        <w:footnoteReference w:id="28"/>
      </w:r>
      <w:r w:rsidRPr="00065280">
        <w:rPr>
          <w:lang w:val="es-419"/>
        </w:rPr>
        <w:t>,</w:t>
      </w:r>
    </w:p>
    <w:p w14:paraId="7B716EE3" w14:textId="77777777" w:rsidR="005921BB" w:rsidRPr="00065280" w:rsidRDefault="005921BB" w:rsidP="005921BB">
      <w:pPr>
        <w:pStyle w:val="CBDDesicionText"/>
        <w:rPr>
          <w:lang w:val="es-419"/>
        </w:rPr>
      </w:pPr>
      <w:r w:rsidRPr="00065280">
        <w:rPr>
          <w:i/>
          <w:lang w:val="es-419"/>
        </w:rPr>
        <w:t xml:space="preserve">Recordando también </w:t>
      </w:r>
      <w:r w:rsidRPr="00065280">
        <w:rPr>
          <w:lang w:val="es-419"/>
        </w:rPr>
        <w:t xml:space="preserve">la decisión </w:t>
      </w:r>
      <w:hyperlink r:id="rId26" w:history="1">
        <w:r w:rsidRPr="00065280">
          <w:rPr>
            <w:rStyle w:val="Hyperlink"/>
            <w:color w:val="0070C0"/>
            <w:lang w:val="es-419"/>
          </w:rPr>
          <w:t>CP-10/10</w:t>
        </w:r>
      </w:hyperlink>
      <w:r w:rsidRPr="00065280">
        <w:rPr>
          <w:lang w:val="es-419"/>
        </w:rPr>
        <w:t>, de 10 de diciembre de 2022,</w:t>
      </w:r>
    </w:p>
    <w:p w14:paraId="49B7E17E" w14:textId="77777777" w:rsidR="005921BB" w:rsidRPr="00065280" w:rsidRDefault="005921BB" w:rsidP="005921BB">
      <w:pPr>
        <w:pStyle w:val="CBDDesicionText"/>
        <w:rPr>
          <w:i/>
          <w:iCs/>
          <w:lang w:val="es-419"/>
        </w:rPr>
      </w:pPr>
      <w:r w:rsidRPr="00065280">
        <w:rPr>
          <w:i/>
          <w:lang w:val="es-419"/>
        </w:rPr>
        <w:t>Recordando además</w:t>
      </w:r>
      <w:r w:rsidRPr="00065280">
        <w:rPr>
          <w:lang w:val="es-419"/>
        </w:rPr>
        <w:t xml:space="preserve"> la decisión </w:t>
      </w:r>
      <w:hyperlink r:id="rId27" w:history="1">
        <w:r w:rsidRPr="00065280">
          <w:rPr>
            <w:rStyle w:val="Hyperlink"/>
            <w:color w:val="0070C0"/>
            <w:lang w:val="es-419"/>
          </w:rPr>
          <w:t>CP-9/13</w:t>
        </w:r>
      </w:hyperlink>
      <w:r w:rsidRPr="00065280">
        <w:rPr>
          <w:lang w:val="es-419"/>
        </w:rPr>
        <w:t>, de 28 de noviembre de 2018, por la cual estableció un proceso para la determinación y priorización de cuestiones específicas de la evaluación del riesgo de los organismos vivos modificados que podrían ameritar consideración,</w:t>
      </w:r>
    </w:p>
    <w:p w14:paraId="2E526F53" w14:textId="77777777" w:rsidR="005921BB" w:rsidRPr="00065280" w:rsidRDefault="005921BB" w:rsidP="005921BB">
      <w:pPr>
        <w:pStyle w:val="CBDDesicionText"/>
        <w:rPr>
          <w:lang w:val="es-419"/>
        </w:rPr>
      </w:pPr>
      <w:r w:rsidRPr="00065280">
        <w:rPr>
          <w:i/>
          <w:lang w:val="es-419"/>
        </w:rPr>
        <w:t>Recordando</w:t>
      </w:r>
      <w:r w:rsidRPr="00065280">
        <w:rPr>
          <w:lang w:val="es-419"/>
        </w:rPr>
        <w:t xml:space="preserve"> el párrafo 7 de la decisión </w:t>
      </w:r>
      <w:hyperlink r:id="rId28" w:history="1">
        <w:r w:rsidRPr="00065280">
          <w:rPr>
            <w:rStyle w:val="Hyperlink"/>
            <w:color w:val="0070C0"/>
            <w:lang w:val="es-419"/>
          </w:rPr>
          <w:t>14/19</w:t>
        </w:r>
      </w:hyperlink>
      <w:r w:rsidRPr="00065280">
        <w:rPr>
          <w:lang w:val="es-419"/>
        </w:rPr>
        <w:t xml:space="preserve"> de la Conferencia de las Partes en el Convenio sobre la Diversidad Biológica</w:t>
      </w:r>
      <w:r w:rsidRPr="00065280">
        <w:rPr>
          <w:rStyle w:val="FootnoteReference"/>
          <w:lang w:val="es-419"/>
        </w:rPr>
        <w:footnoteReference w:id="29"/>
      </w:r>
      <w:r w:rsidRPr="00065280">
        <w:rPr>
          <w:lang w:val="es-419"/>
        </w:rPr>
        <w:t>, de 29 de noviembre de 2018, en el cual la Conferencia de las Partes ponía de relieve la necesidad de contar con un enfoque coordinado, complementario y sin duplicaciones sobre cuestiones relacionadas con la biología sintética en el marco del Convenio y sus Protocolos, y observando las conclusiones, donde proceda, del Grupo Multidisciplinario Especial de Expertos Técnicos sobre Biología Sintética para Apoyar el Proceso de Análisis Prospectivos Amplios y Periódicos, Seguimiento y Evaluación</w:t>
      </w:r>
      <w:r w:rsidRPr="00065280">
        <w:rPr>
          <w:rStyle w:val="FootnoteReference"/>
          <w:lang w:val="es-419"/>
        </w:rPr>
        <w:footnoteReference w:id="30"/>
      </w:r>
      <w:r w:rsidRPr="00065280">
        <w:rPr>
          <w:lang w:val="es-419"/>
        </w:rPr>
        <w:t>,</w:t>
      </w:r>
    </w:p>
    <w:p w14:paraId="2B8580BF" w14:textId="77777777" w:rsidR="005921BB" w:rsidRPr="00065280" w:rsidRDefault="005921BB" w:rsidP="005921BB">
      <w:pPr>
        <w:pStyle w:val="CBDDesicionText"/>
        <w:rPr>
          <w:lang w:val="es-419"/>
        </w:rPr>
      </w:pPr>
      <w:r w:rsidRPr="00065280">
        <w:rPr>
          <w:i/>
          <w:lang w:val="es-419"/>
        </w:rPr>
        <w:t>Tomando nota</w:t>
      </w:r>
      <w:r w:rsidRPr="00065280">
        <w:rPr>
          <w:lang w:val="es-419"/>
        </w:rPr>
        <w:t xml:space="preserve"> de la evaluación realizada por el Grupo Especial de Expertos Técnicos sobre Evaluación del Riesgo con respecto a cuestiones adicionales sobre las que podría ser necesario disponer de materiales de orientación sobre evaluación del riesgo</w:t>
      </w:r>
      <w:r w:rsidRPr="00065280">
        <w:rPr>
          <w:rStyle w:val="FootnoteReference"/>
          <w:kern w:val="22"/>
          <w:lang w:val="es-419"/>
        </w:rPr>
        <w:footnoteReference w:id="31"/>
      </w:r>
      <w:r w:rsidRPr="00065280">
        <w:rPr>
          <w:lang w:val="es-419"/>
        </w:rPr>
        <w:t>,</w:t>
      </w:r>
    </w:p>
    <w:p w14:paraId="3BA8DEB4" w14:textId="77777777" w:rsidR="005921BB" w:rsidRPr="00065280" w:rsidRDefault="005921BB" w:rsidP="005921BB">
      <w:pPr>
        <w:pStyle w:val="CBDDesicionText"/>
        <w:rPr>
          <w:i/>
          <w:iCs/>
          <w:lang w:val="es-419"/>
        </w:rPr>
      </w:pPr>
      <w:r w:rsidRPr="00065280">
        <w:rPr>
          <w:lang w:val="es-419"/>
        </w:rPr>
        <w:t>1.</w:t>
      </w:r>
      <w:r w:rsidRPr="00065280">
        <w:rPr>
          <w:lang w:val="es-419"/>
        </w:rPr>
        <w:tab/>
      </w:r>
      <w:r w:rsidRPr="00065280">
        <w:rPr>
          <w:i/>
          <w:lang w:val="es-419"/>
        </w:rPr>
        <w:t>Acoge con aprecio</w:t>
      </w:r>
      <w:r w:rsidRPr="00065280">
        <w:rPr>
          <w:lang w:val="es-419"/>
        </w:rPr>
        <w:t xml:space="preserve"> las conclusiones de las reuniones del Grupo Especial de Expertos Técnicos sobre Evaluación del Riesgo</w:t>
      </w:r>
      <w:r w:rsidRPr="00065280">
        <w:rPr>
          <w:rStyle w:val="FootnoteReference"/>
          <w:lang w:val="es-419"/>
        </w:rPr>
        <w:footnoteReference w:id="32"/>
      </w:r>
      <w:r w:rsidRPr="00065280">
        <w:rPr>
          <w:lang w:val="es-419"/>
        </w:rPr>
        <w:t>;</w:t>
      </w:r>
    </w:p>
    <w:p w14:paraId="58746586" w14:textId="77777777" w:rsidR="005921BB" w:rsidRPr="00065280" w:rsidRDefault="005921BB" w:rsidP="005921BB">
      <w:pPr>
        <w:pStyle w:val="CBDDesicionText"/>
        <w:rPr>
          <w:i/>
          <w:iCs/>
          <w:lang w:val="es-419"/>
        </w:rPr>
      </w:pPr>
      <w:r w:rsidRPr="00065280">
        <w:rPr>
          <w:lang w:val="es-419"/>
        </w:rPr>
        <w:t>2.</w:t>
      </w:r>
      <w:r w:rsidRPr="00065280">
        <w:rPr>
          <w:lang w:val="es-419"/>
        </w:rPr>
        <w:tab/>
      </w:r>
      <w:r w:rsidRPr="00065280">
        <w:rPr>
          <w:i/>
          <w:iCs/>
          <w:lang w:val="es-419"/>
        </w:rPr>
        <w:t>Acoge con satisfacción</w:t>
      </w:r>
      <w:r w:rsidRPr="00065280">
        <w:rPr>
          <w:lang w:val="es-419"/>
        </w:rPr>
        <w:t xml:space="preserve"> los materiales de orientación voluntaria adicionales para apoyar evaluaciones del riesgo caso por caso de organismos vivos modificados que contengan impulsores genéticos modificados</w:t>
      </w:r>
      <w:r w:rsidRPr="00065280">
        <w:rPr>
          <w:rStyle w:val="FootnoteReference"/>
          <w:lang w:val="es-419"/>
        </w:rPr>
        <w:footnoteReference w:id="33"/>
      </w:r>
      <w:r w:rsidRPr="00065280">
        <w:rPr>
          <w:lang w:val="es-419"/>
        </w:rPr>
        <w:t>;</w:t>
      </w:r>
    </w:p>
    <w:p w14:paraId="0467A01F" w14:textId="77777777" w:rsidR="005921BB" w:rsidRPr="00065280" w:rsidRDefault="005921BB" w:rsidP="005921BB">
      <w:pPr>
        <w:pStyle w:val="CBDDesicionText"/>
        <w:rPr>
          <w:lang w:val="es-419"/>
        </w:rPr>
      </w:pPr>
      <w:r w:rsidRPr="00065280">
        <w:rPr>
          <w:lang w:val="es-419"/>
        </w:rPr>
        <w:t>3.</w:t>
      </w:r>
      <w:r w:rsidRPr="00065280">
        <w:rPr>
          <w:lang w:val="es-419"/>
        </w:rPr>
        <w:tab/>
      </w:r>
      <w:r w:rsidRPr="00065280">
        <w:rPr>
          <w:i/>
          <w:lang w:val="es-419"/>
        </w:rPr>
        <w:t>Invita</w:t>
      </w:r>
      <w:r w:rsidRPr="00065280">
        <w:rPr>
          <w:lang w:val="es-419"/>
        </w:rPr>
        <w:t xml:space="preserve"> a las Partes, otros Gobiernos, pueblos indígenas y comunidades locales, organizaciones de mujeres y de la juventud y organizaciones e interesados pertinentes a utilizar los materiales de orientación voluntaria adicionales cuando realicen evaluaciones del riesgo pertinentes y como herramienta para actividades de creación de capacidad en evaluación del riesgo; </w:t>
      </w:r>
    </w:p>
    <w:p w14:paraId="167681F5" w14:textId="77777777" w:rsidR="005921BB" w:rsidRPr="00065280" w:rsidRDefault="005921BB" w:rsidP="005921BB">
      <w:pPr>
        <w:pStyle w:val="CBDDesicionText"/>
        <w:rPr>
          <w:kern w:val="22"/>
          <w:lang w:val="es-419"/>
        </w:rPr>
      </w:pPr>
      <w:r w:rsidRPr="00065280">
        <w:rPr>
          <w:lang w:val="es-419"/>
        </w:rPr>
        <w:t>4.</w:t>
      </w:r>
      <w:r w:rsidRPr="00065280">
        <w:rPr>
          <w:lang w:val="es-419"/>
        </w:rPr>
        <w:tab/>
      </w:r>
      <w:r w:rsidRPr="00065280">
        <w:rPr>
          <w:i/>
          <w:lang w:val="es-419"/>
        </w:rPr>
        <w:t xml:space="preserve">Pide </w:t>
      </w:r>
      <w:r w:rsidRPr="00065280">
        <w:rPr>
          <w:lang w:val="es-419"/>
        </w:rPr>
        <w:t>que se tengan en cuenta las cuestiones relacionadas planteadas en los materiales de orientación voluntaria adicionales</w:t>
      </w:r>
      <w:r w:rsidRPr="00065280">
        <w:rPr>
          <w:rStyle w:val="FootnoteReference"/>
          <w:kern w:val="22"/>
          <w:lang w:val="es-419"/>
        </w:rPr>
        <w:footnoteReference w:id="34"/>
      </w:r>
      <w:r w:rsidRPr="00065280">
        <w:rPr>
          <w:lang w:val="es-419"/>
        </w:rPr>
        <w:t>, incluidos los conocimientos tradicionales, la innovación y las prácticas de pueblos indígenas y comunidades locales, en el proceso de toma de decisiones;</w:t>
      </w:r>
    </w:p>
    <w:p w14:paraId="5B644C6C" w14:textId="77777777" w:rsidR="005921BB" w:rsidRPr="00065280" w:rsidRDefault="005921BB" w:rsidP="005921BB">
      <w:pPr>
        <w:pStyle w:val="CBDDesicionText"/>
        <w:rPr>
          <w:kern w:val="22"/>
          <w:lang w:val="es-419"/>
        </w:rPr>
      </w:pPr>
      <w:r w:rsidRPr="00065280">
        <w:rPr>
          <w:lang w:val="es-419"/>
        </w:rPr>
        <w:t>5.</w:t>
      </w:r>
      <w:r w:rsidRPr="00065280">
        <w:rPr>
          <w:lang w:val="es-419"/>
        </w:rPr>
        <w:tab/>
      </w:r>
      <w:r w:rsidRPr="00065280">
        <w:rPr>
          <w:i/>
          <w:lang w:val="es-419"/>
        </w:rPr>
        <w:t>Invita</w:t>
      </w:r>
      <w:r w:rsidRPr="00065280">
        <w:rPr>
          <w:lang w:val="es-419"/>
        </w:rPr>
        <w:t xml:space="preserve"> a las Partes, otros Gobiernos, pueblos indígenas y comunidades locales y organizaciones e interesados pertinentes que hayan utilizado los materiales de orientación voluntaria a presentar a la Secretaria Ejecutiva del Convenio sobre la Diversidad Biológica información sobre sus experiencias y evaluaciones de la aplicabilidad y utilidad de esos materiales;</w:t>
      </w:r>
    </w:p>
    <w:p w14:paraId="31D4C2D2" w14:textId="77777777" w:rsidR="005921BB" w:rsidRPr="00065280" w:rsidRDefault="005921BB" w:rsidP="005921BB">
      <w:pPr>
        <w:pStyle w:val="CBDDesicionText"/>
        <w:rPr>
          <w:kern w:val="22"/>
          <w:lang w:val="es-419"/>
        </w:rPr>
      </w:pPr>
      <w:r w:rsidRPr="00065280">
        <w:rPr>
          <w:lang w:val="es-419"/>
        </w:rPr>
        <w:t>6.</w:t>
      </w:r>
      <w:r w:rsidRPr="00065280">
        <w:rPr>
          <w:lang w:val="es-419"/>
        </w:rPr>
        <w:tab/>
      </w:r>
      <w:r w:rsidRPr="00065280">
        <w:rPr>
          <w:i/>
          <w:lang w:val="es-419"/>
        </w:rPr>
        <w:t>Pide</w:t>
      </w:r>
      <w:r w:rsidRPr="00065280">
        <w:rPr>
          <w:lang w:val="es-419"/>
        </w:rPr>
        <w:t xml:space="preserve"> amplia cooperación internacional, intercambio de conocimientos, creación de capacidad y movilización de recursos para apoyar, entre otras cosas, la aplicación de los materiales de orientación voluntaria adicionales;</w:t>
      </w:r>
    </w:p>
    <w:p w14:paraId="4A42C83B" w14:textId="77777777" w:rsidR="005921BB" w:rsidRPr="00065280" w:rsidRDefault="005921BB" w:rsidP="005921BB">
      <w:pPr>
        <w:pStyle w:val="CBDDesicionText"/>
        <w:rPr>
          <w:lang w:val="es-419"/>
        </w:rPr>
      </w:pPr>
      <w:r w:rsidRPr="00065280">
        <w:rPr>
          <w:lang w:val="es-419"/>
        </w:rPr>
        <w:t>7.</w:t>
      </w:r>
      <w:r w:rsidRPr="00065280">
        <w:rPr>
          <w:lang w:val="es-419"/>
        </w:rPr>
        <w:tab/>
      </w:r>
      <w:r w:rsidRPr="00065280">
        <w:rPr>
          <w:i/>
          <w:lang w:val="es-419"/>
        </w:rPr>
        <w:t>Decide</w:t>
      </w:r>
      <w:r w:rsidRPr="00065280">
        <w:rPr>
          <w:lang w:val="es-419"/>
        </w:rPr>
        <w:t xml:space="preserve"> establecer un grupo especial de expertos técnicos sobre evaluación del riesgo, con el mandato que figura en el anexo de la presente decisión, encargado de evaluar las necesidades </w:t>
      </w:r>
      <w:r w:rsidRPr="00065280">
        <w:rPr>
          <w:lang w:val="es-419"/>
        </w:rPr>
        <w:lastRenderedPageBreak/>
        <w:t>y prioridades identificadas por las Partes en la información presentada en respuesta a lo solicitado a continuación en el párrafo 8;</w:t>
      </w:r>
    </w:p>
    <w:p w14:paraId="7F086662" w14:textId="77777777" w:rsidR="005921BB" w:rsidRPr="00065280" w:rsidRDefault="005921BB" w:rsidP="005921BB">
      <w:pPr>
        <w:pStyle w:val="CBDDesicionText"/>
        <w:rPr>
          <w:lang w:val="es-419"/>
        </w:rPr>
      </w:pPr>
      <w:r w:rsidRPr="00065280">
        <w:rPr>
          <w:lang w:val="es-419"/>
        </w:rPr>
        <w:t>8.</w:t>
      </w:r>
      <w:r w:rsidRPr="00065280">
        <w:rPr>
          <w:lang w:val="es-419"/>
        </w:rPr>
        <w:tab/>
      </w:r>
      <w:r w:rsidRPr="00065280">
        <w:rPr>
          <w:i/>
          <w:lang w:val="es-419"/>
        </w:rPr>
        <w:t>Invita</w:t>
      </w:r>
      <w:r w:rsidRPr="00065280">
        <w:rPr>
          <w:lang w:val="es-419"/>
        </w:rPr>
        <w:t xml:space="preserve"> a las Partes a presentar información detallada sobre sus necesidades y prioridades con respecto a más materiales de orientación sobre temas específicos de evaluación del riesgo de organismos vivos modificados, con una justificación basada en los criterios establecidos en el anexo I de la decisión </w:t>
      </w:r>
      <w:hyperlink r:id="rId29" w:history="1">
        <w:r w:rsidRPr="00065280">
          <w:rPr>
            <w:rStyle w:val="Hyperlink"/>
            <w:color w:val="0070C0"/>
            <w:lang w:val="es-419"/>
          </w:rPr>
          <w:t>CP-9/13</w:t>
        </w:r>
      </w:hyperlink>
      <w:r w:rsidRPr="00065280">
        <w:rPr>
          <w:lang w:val="es-419"/>
        </w:rPr>
        <w:t>;</w:t>
      </w:r>
    </w:p>
    <w:p w14:paraId="004CAD79" w14:textId="77777777" w:rsidR="005921BB" w:rsidRPr="00065280" w:rsidRDefault="005921BB" w:rsidP="005921BB">
      <w:pPr>
        <w:pStyle w:val="CBDDesicionText"/>
        <w:rPr>
          <w:kern w:val="22"/>
          <w:lang w:val="es-419"/>
        </w:rPr>
      </w:pPr>
      <w:r w:rsidRPr="00065280">
        <w:rPr>
          <w:lang w:val="es-419"/>
        </w:rPr>
        <w:t>9.</w:t>
      </w:r>
      <w:r w:rsidRPr="00065280">
        <w:rPr>
          <w:lang w:val="es-419"/>
        </w:rPr>
        <w:tab/>
      </w:r>
      <w:r w:rsidRPr="00065280">
        <w:rPr>
          <w:i/>
          <w:lang w:val="es-419"/>
        </w:rPr>
        <w:t>Decide</w:t>
      </w:r>
      <w:r w:rsidRPr="00065280">
        <w:rPr>
          <w:lang w:val="es-419"/>
        </w:rPr>
        <w:t xml:space="preserve"> prorrogar el Foro en Línea de Composición Abierta sobre Evaluación del Riesgo y Gestión del Riesgo a fin de apoyar el análisis de más temas de evaluación del riesgo, conforme a los criterios establecidos en el anexo I de la decisión </w:t>
      </w:r>
      <w:hyperlink r:id="rId30" w:history="1">
        <w:r w:rsidRPr="00065280">
          <w:rPr>
            <w:rStyle w:val="Hyperlink"/>
            <w:color w:val="0070C0"/>
            <w:lang w:val="es-419"/>
          </w:rPr>
          <w:t>CP-9/13</w:t>
        </w:r>
      </w:hyperlink>
      <w:r w:rsidRPr="00065280">
        <w:rPr>
          <w:lang w:val="es-419"/>
        </w:rPr>
        <w:t>;</w:t>
      </w:r>
    </w:p>
    <w:p w14:paraId="18A7B5C7" w14:textId="77777777" w:rsidR="005921BB" w:rsidRPr="00065280" w:rsidRDefault="005921BB" w:rsidP="005921BB">
      <w:pPr>
        <w:pStyle w:val="CBDDesicionText"/>
        <w:rPr>
          <w:lang w:val="es-419"/>
        </w:rPr>
      </w:pPr>
      <w:r w:rsidRPr="00065280">
        <w:rPr>
          <w:lang w:val="es-419"/>
        </w:rPr>
        <w:t>10.</w:t>
      </w:r>
      <w:r w:rsidRPr="00065280">
        <w:rPr>
          <w:lang w:val="es-419"/>
        </w:rPr>
        <w:tab/>
      </w:r>
      <w:r w:rsidRPr="00065280">
        <w:rPr>
          <w:i/>
          <w:lang w:val="es-419"/>
        </w:rPr>
        <w:t>Decide también</w:t>
      </w:r>
      <w:r w:rsidRPr="00065280">
        <w:rPr>
          <w:lang w:val="es-419"/>
        </w:rPr>
        <w:t xml:space="preserve"> que en su 12</w:t>
      </w:r>
      <w:r w:rsidRPr="00065280">
        <w:rPr>
          <w:vertAlign w:val="superscript"/>
          <w:lang w:val="es-419"/>
        </w:rPr>
        <w:t>a</w:t>
      </w:r>
      <w:r w:rsidRPr="00065280">
        <w:rPr>
          <w:lang w:val="es-419"/>
        </w:rPr>
        <w:t xml:space="preserve"> reunión considerará otras cuestiones respecto a las que se pudiera requerir materiales de orientación sobre evaluación del riesgo, que hubieran surgido del proceso de determinación y priorización de cuestiones específicas de la evaluación del riesgo de los organismos vivos modificados establecido en la decisión </w:t>
      </w:r>
      <w:hyperlink r:id="rId31" w:history="1">
        <w:r w:rsidRPr="00065280">
          <w:rPr>
            <w:rStyle w:val="Hyperlink"/>
            <w:color w:val="0070C0"/>
            <w:lang w:val="es-419"/>
          </w:rPr>
          <w:t>CP-9/13</w:t>
        </w:r>
      </w:hyperlink>
      <w:r w:rsidRPr="00065280">
        <w:rPr>
          <w:lang w:val="es-419"/>
        </w:rPr>
        <w:t>, teniendo en cuenta las necesidades y prioridades definidas por las Partes en respuesta al párrafo 8 anterior y la recomendación del Órgano Subsidiario de Asesoramiento Científico, Técnico y Tecnológico formulada conforme al párrafo 1 d) del mandato del Grupo Especial de Expertos Técnicos sobre Evaluación del Riesgo;</w:t>
      </w:r>
    </w:p>
    <w:p w14:paraId="74F55D52" w14:textId="77777777" w:rsidR="005921BB" w:rsidRPr="00065280" w:rsidRDefault="005921BB" w:rsidP="005921BB">
      <w:pPr>
        <w:pStyle w:val="CBDDesicionText"/>
        <w:rPr>
          <w:lang w:val="es-419"/>
        </w:rPr>
      </w:pPr>
      <w:r w:rsidRPr="00065280">
        <w:rPr>
          <w:lang w:val="es-419"/>
        </w:rPr>
        <w:t>11.</w:t>
      </w:r>
      <w:r w:rsidRPr="00065280">
        <w:rPr>
          <w:lang w:val="es-419"/>
        </w:rPr>
        <w:tab/>
      </w:r>
      <w:r w:rsidRPr="00065280">
        <w:rPr>
          <w:i/>
          <w:lang w:val="es-419"/>
        </w:rPr>
        <w:t>Pide</w:t>
      </w:r>
      <w:r w:rsidRPr="00065280">
        <w:rPr>
          <w:lang w:val="es-419"/>
        </w:rPr>
        <w:t xml:space="preserve"> a la Secretaría que, con sujeción a la disponibilidad de recursos:</w:t>
      </w:r>
    </w:p>
    <w:p w14:paraId="040A0CAF" w14:textId="77777777" w:rsidR="005921BB" w:rsidRPr="00065280" w:rsidRDefault="005921BB" w:rsidP="005921BB">
      <w:pPr>
        <w:pStyle w:val="CBDDesicionText"/>
        <w:rPr>
          <w:lang w:val="es-419"/>
        </w:rPr>
      </w:pPr>
      <w:r w:rsidRPr="00065280">
        <w:rPr>
          <w:lang w:val="es-419"/>
        </w:rPr>
        <w:t>a)</w:t>
      </w:r>
      <w:r w:rsidRPr="00065280">
        <w:rPr>
          <w:lang w:val="es-419"/>
        </w:rPr>
        <w:tab/>
        <w:t>Prepare una síntesis de la información presentada en respuesta al párrafo 5 anterior para consideración de la 12ª reunión de la Conferencia de las Partes que actúa como reunión de las Partes en el Protocolo de Cartagena sobre Seguridad de la Biotecnología;</w:t>
      </w:r>
    </w:p>
    <w:p w14:paraId="10953EDD" w14:textId="77777777" w:rsidR="005921BB" w:rsidRPr="00065280" w:rsidRDefault="005921BB" w:rsidP="005921BB">
      <w:pPr>
        <w:pStyle w:val="CBDDesicionText"/>
        <w:rPr>
          <w:lang w:val="es-419"/>
        </w:rPr>
      </w:pPr>
      <w:r w:rsidRPr="00065280">
        <w:rPr>
          <w:lang w:val="es-419"/>
        </w:rPr>
        <w:t>b)</w:t>
      </w:r>
      <w:r w:rsidRPr="00065280">
        <w:rPr>
          <w:lang w:val="es-419"/>
        </w:rPr>
        <w:tab/>
        <w:t>Convoque discusiones en línea del Foro en Línea de Composición Abierta sobre Evaluación del Riesgo y Gestión del Riesgo;</w:t>
      </w:r>
    </w:p>
    <w:p w14:paraId="48995AFC" w14:textId="77777777" w:rsidR="005921BB" w:rsidRPr="00065280" w:rsidRDefault="005921BB" w:rsidP="005921BB">
      <w:pPr>
        <w:pStyle w:val="CBDDesicionText"/>
        <w:rPr>
          <w:lang w:val="es-419"/>
        </w:rPr>
      </w:pPr>
      <w:r w:rsidRPr="00065280">
        <w:rPr>
          <w:lang w:val="es-419"/>
        </w:rPr>
        <w:t>c)</w:t>
      </w:r>
      <w:r w:rsidRPr="00065280">
        <w:rPr>
          <w:lang w:val="es-419"/>
        </w:rPr>
        <w:tab/>
        <w:t>Prepare una síntesis de la información presentada en respuesta a los párrafos 8 y 9 anteriores para apoyar la labor del Grupo Especial de Expertos Técnicos sobre Evaluación del Riesgo;</w:t>
      </w:r>
    </w:p>
    <w:p w14:paraId="3E443FF3" w14:textId="77777777" w:rsidR="005921BB" w:rsidRPr="00065280" w:rsidRDefault="005921BB" w:rsidP="005921BB">
      <w:pPr>
        <w:pStyle w:val="CBDDesicionText"/>
        <w:rPr>
          <w:lang w:val="es-419"/>
        </w:rPr>
      </w:pPr>
      <w:r w:rsidRPr="00065280">
        <w:rPr>
          <w:lang w:val="es-419"/>
        </w:rPr>
        <w:t>d)</w:t>
      </w:r>
      <w:r w:rsidRPr="00065280">
        <w:rPr>
          <w:lang w:val="es-419"/>
        </w:rPr>
        <w:tab/>
        <w:t>Convoque por lo menos una reunión presencial del Grupo Especial de Expertos Técnicos sobre Evaluación del Riesgo con anterioridad la 12ª reunión de la Conferencia de las Partes que actúa como reunión de las Partes en el Protocolo de Cartagena;</w:t>
      </w:r>
    </w:p>
    <w:p w14:paraId="5DB441E2" w14:textId="5B563547" w:rsidR="00080196" w:rsidRPr="00065280" w:rsidRDefault="005921BB" w:rsidP="005921BB">
      <w:pPr>
        <w:pStyle w:val="CBDDesicionText"/>
        <w:rPr>
          <w:i/>
          <w:iCs/>
          <w:lang w:val="es-419"/>
        </w:rPr>
      </w:pPr>
      <w:r w:rsidRPr="00065280">
        <w:rPr>
          <w:lang w:val="es-419"/>
        </w:rPr>
        <w:t>e)</w:t>
      </w:r>
      <w:r w:rsidRPr="00065280">
        <w:rPr>
          <w:lang w:val="es-419"/>
        </w:rPr>
        <w:tab/>
        <w:t>Organice actividades de creación y desarrollo de capacidad en apoyo a la evaluación del riesgo, centrándose en particular en la evaluación del riesgo de organismos vivos modificados que contengan impulsores genéticos modificados</w:t>
      </w:r>
      <w:r w:rsidR="00080196" w:rsidRPr="00065280">
        <w:rPr>
          <w:lang w:val="es-419"/>
        </w:rPr>
        <w:t>.</w:t>
      </w:r>
    </w:p>
    <w:p w14:paraId="675064D3" w14:textId="40CD1F3C" w:rsidR="00080196" w:rsidRPr="00065280" w:rsidRDefault="00381B6F" w:rsidP="00E824E6">
      <w:pPr>
        <w:pStyle w:val="CBDDesicionAnnex"/>
        <w:rPr>
          <w:rFonts w:hint="eastAsia"/>
          <w:lang w:val="es-419"/>
        </w:rPr>
      </w:pPr>
      <w:r w:rsidRPr="00065280">
        <w:rPr>
          <w:b/>
          <w:lang w:val="es-419"/>
        </w:rPr>
        <w:t>An</w:t>
      </w:r>
      <w:r w:rsidR="00080196" w:rsidRPr="00065280">
        <w:rPr>
          <w:b/>
          <w:lang w:val="es-419"/>
        </w:rPr>
        <w:t>ex</w:t>
      </w:r>
      <w:r w:rsidRPr="00065280">
        <w:rPr>
          <w:b/>
          <w:lang w:val="es-419"/>
        </w:rPr>
        <w:t>o</w:t>
      </w:r>
      <w:r w:rsidR="00080196" w:rsidRPr="00065280">
        <w:rPr>
          <w:b/>
          <w:lang w:val="es-419"/>
        </w:rPr>
        <w:t xml:space="preserve"> </w:t>
      </w:r>
      <w:r w:rsidR="00080196" w:rsidRPr="00065280">
        <w:rPr>
          <w:b/>
          <w:lang w:val="es-419"/>
        </w:rPr>
        <w:br/>
      </w:r>
      <w:r w:rsidRPr="00065280">
        <w:rPr>
          <w:lang w:val="es-419"/>
        </w:rPr>
        <w:t>Mandato del Grupo Especial de Expertos Técnicos sobre Evaluación del Riesgo</w:t>
      </w:r>
    </w:p>
    <w:p w14:paraId="58CD6D7B" w14:textId="77777777" w:rsidR="00381B6F" w:rsidRPr="00065280" w:rsidRDefault="00381B6F" w:rsidP="00381B6F">
      <w:pPr>
        <w:pStyle w:val="CBDNormalNoNumber"/>
        <w:rPr>
          <w:lang w:val="es-419"/>
        </w:rPr>
      </w:pPr>
      <w:r w:rsidRPr="00065280">
        <w:rPr>
          <w:lang w:val="es-419"/>
        </w:rPr>
        <w:t>1.</w:t>
      </w:r>
      <w:r w:rsidRPr="00065280">
        <w:rPr>
          <w:lang w:val="es-419"/>
        </w:rPr>
        <w:tab/>
        <w:t>El Grupo Especial de Expertos Técnicos sobre Evaluación del Riesgo:</w:t>
      </w:r>
    </w:p>
    <w:p w14:paraId="5BEDF740" w14:textId="77777777" w:rsidR="00381B6F" w:rsidRPr="00065280" w:rsidRDefault="00381B6F" w:rsidP="00381B6F">
      <w:pPr>
        <w:pStyle w:val="CBDNormalNoNumber"/>
        <w:ind w:firstLine="567"/>
        <w:rPr>
          <w:lang w:val="es-419"/>
        </w:rPr>
      </w:pPr>
      <w:r w:rsidRPr="00065280">
        <w:rPr>
          <w:lang w:val="es-419"/>
        </w:rPr>
        <w:t>a)</w:t>
      </w:r>
      <w:r w:rsidRPr="00065280">
        <w:rPr>
          <w:lang w:val="es-419"/>
        </w:rPr>
        <w:tab/>
        <w:t xml:space="preserve">Estará conformado por expertos, seleccionados con arreglo a la sección H del </w:t>
      </w:r>
      <w:r w:rsidRPr="00065280">
        <w:rPr>
          <w:i/>
          <w:iCs/>
          <w:lang w:val="es-419"/>
        </w:rPr>
        <w:t>modus operandi</w:t>
      </w:r>
      <w:r w:rsidRPr="00065280">
        <w:rPr>
          <w:lang w:val="es-419"/>
        </w:rPr>
        <w:t xml:space="preserve"> refundido del Órgano Subsidiario de Asesoramiento Científico, Técnico y Tecnológico</w:t>
      </w:r>
      <w:r w:rsidRPr="00065280">
        <w:rPr>
          <w:rStyle w:val="FootnoteReference"/>
          <w:lang w:val="es-419"/>
        </w:rPr>
        <w:footnoteReference w:id="35"/>
      </w:r>
      <w:r w:rsidRPr="00065280">
        <w:rPr>
          <w:lang w:val="es-419"/>
        </w:rPr>
        <w:t>, que poseen conocimientos científicos y técnicos específicos pertinentes para el mandato del Grupo de Expertos, e incluirá expertos procedentes de la academia, organizaciones internacionales pertinentes y pueblos indígenas y comunidades locales, conforme a la decisión </w:t>
      </w:r>
      <w:hyperlink r:id="rId32" w:history="1">
        <w:r w:rsidRPr="00065280">
          <w:rPr>
            <w:rStyle w:val="Hyperlink"/>
            <w:color w:val="0070C0"/>
            <w:lang w:val="es-419"/>
          </w:rPr>
          <w:t>14/33</w:t>
        </w:r>
      </w:hyperlink>
      <w:r w:rsidRPr="00065280">
        <w:rPr>
          <w:lang w:val="es-419"/>
        </w:rPr>
        <w:t>, de 29 de noviembre de 2018, sobre el procedimiento para evitar o tratar conflictos de intereses en los grupos de expertos;</w:t>
      </w:r>
    </w:p>
    <w:p w14:paraId="53333DD9" w14:textId="77777777" w:rsidR="00381B6F" w:rsidRPr="00065280" w:rsidRDefault="00381B6F" w:rsidP="00381B6F">
      <w:pPr>
        <w:pStyle w:val="CBDNormalNoNumber"/>
        <w:ind w:firstLine="567"/>
        <w:rPr>
          <w:lang w:val="es-419"/>
        </w:rPr>
      </w:pPr>
      <w:r w:rsidRPr="00065280">
        <w:rPr>
          <w:lang w:val="es-419"/>
        </w:rPr>
        <w:lastRenderedPageBreak/>
        <w:t>b)</w:t>
      </w:r>
      <w:r w:rsidRPr="00065280">
        <w:rPr>
          <w:lang w:val="es-419"/>
        </w:rPr>
        <w:tab/>
        <w:t>Celebrará, con sujeción a la disponibilidad de fondos, al menos una reunión presencial con anterioridad a la 12ª reunión de la Conferencia de las Partes que actúa como reunión de las Partes en el Protocolo de Cartagena sobre Seguridad de la Biotecnología</w:t>
      </w:r>
      <w:r w:rsidRPr="00065280">
        <w:rPr>
          <w:rStyle w:val="FootnoteReference"/>
          <w:lang w:val="es-419"/>
        </w:rPr>
        <w:footnoteReference w:id="36"/>
      </w:r>
      <w:r w:rsidRPr="00065280">
        <w:rPr>
          <w:lang w:val="es-419"/>
        </w:rPr>
        <w:t>;</w:t>
      </w:r>
    </w:p>
    <w:p w14:paraId="6FD88160" w14:textId="77777777" w:rsidR="00381B6F" w:rsidRPr="00065280" w:rsidRDefault="00381B6F" w:rsidP="00381B6F">
      <w:pPr>
        <w:pStyle w:val="CBDNormalNoNumber"/>
        <w:ind w:firstLine="567"/>
        <w:rPr>
          <w:lang w:val="es-419"/>
        </w:rPr>
      </w:pPr>
      <w:r w:rsidRPr="00065280">
        <w:rPr>
          <w:lang w:val="es-419"/>
        </w:rPr>
        <w:t>c)</w:t>
      </w:r>
      <w:r w:rsidRPr="00065280">
        <w:rPr>
          <w:lang w:val="es-419"/>
        </w:rPr>
        <w:tab/>
        <w:t xml:space="preserve">Analizará la información presentada por las Partes en respuesta al párrafo 8 de la presente decisión y las discusiones del Foro en Línea de Composición Abierta sobre Evaluación del Riesgo y Gestión del Riesgo, y a partir de ese análisis preparará una lista de temas priorizados, si los hubiera, para los que se podría necesitar más materiales de orientación sobre evaluación del riesgo conforme a los criterios establecidos en el anexo I de la decisión </w:t>
      </w:r>
      <w:hyperlink r:id="rId33" w:history="1">
        <w:r w:rsidRPr="00065280">
          <w:rPr>
            <w:rStyle w:val="Hyperlink"/>
            <w:color w:val="0070C0"/>
            <w:lang w:val="es-419"/>
          </w:rPr>
          <w:t>CP-9/13</w:t>
        </w:r>
      </w:hyperlink>
      <w:r w:rsidRPr="00065280">
        <w:rPr>
          <w:lang w:val="es-419"/>
        </w:rPr>
        <w:t>;</w:t>
      </w:r>
    </w:p>
    <w:p w14:paraId="5FE82E05" w14:textId="77777777" w:rsidR="00381B6F" w:rsidRPr="00065280" w:rsidRDefault="00381B6F" w:rsidP="00381B6F">
      <w:pPr>
        <w:pStyle w:val="CBDNormalNoNumber"/>
        <w:ind w:firstLine="567"/>
        <w:rPr>
          <w:lang w:val="es-419"/>
        </w:rPr>
      </w:pPr>
      <w:r w:rsidRPr="00065280">
        <w:rPr>
          <w:lang w:val="es-419"/>
        </w:rPr>
        <w:t>d)</w:t>
      </w:r>
      <w:r w:rsidRPr="00065280">
        <w:rPr>
          <w:lang w:val="es-419"/>
        </w:rPr>
        <w:tab/>
        <w:t>Preparará un informe para que sea considerado por el Órgano Subsidiario de Asesoramiento Científico, Técnico y Tecnológico, con miras a que el Órgano Subsidiario formule una recomendación para consideración de la Conferencia de las Partes que actúa como reunión de las Partes en el Protocolo de Cartagena en su 12ª reunión.</w:t>
      </w:r>
    </w:p>
    <w:p w14:paraId="221344AD" w14:textId="693A5041" w:rsidR="00080196" w:rsidRPr="00065280" w:rsidRDefault="00381B6F" w:rsidP="00381B6F">
      <w:pPr>
        <w:pStyle w:val="CBDNormalNoNumber"/>
        <w:rPr>
          <w:lang w:val="es-419"/>
        </w:rPr>
      </w:pPr>
      <w:r w:rsidRPr="00065280">
        <w:rPr>
          <w:lang w:val="es-419"/>
        </w:rPr>
        <w:t>2.</w:t>
      </w:r>
      <w:r w:rsidRPr="00065280">
        <w:rPr>
          <w:lang w:val="es-419"/>
        </w:rPr>
        <w:tab/>
        <w:t>En el desempeño de su labor, el Grupo Especial de Expertos Técnicos sobre Evaluación del Riesgo considerará la síntesis de opiniones preparada por la Secretaría a partir de la información presentada y de las discusiones del Foro en Línea de Composición Abierta sobre Evaluación del Riesgo y Gestión del Riesgo</w:t>
      </w:r>
      <w:r w:rsidR="00080196" w:rsidRPr="00065280">
        <w:rPr>
          <w:lang w:val="es-419"/>
        </w:rPr>
        <w:t>.</w:t>
      </w:r>
    </w:p>
    <w:p w14:paraId="583E779D" w14:textId="77777777" w:rsidR="00080196" w:rsidRPr="00065280" w:rsidRDefault="00080196" w:rsidP="00E824E6">
      <w:pPr>
        <w:pStyle w:val="CBDNormal"/>
        <w:rPr>
          <w:lang w:val="es-419"/>
        </w:rPr>
      </w:pPr>
    </w:p>
    <w:p w14:paraId="6F7FA8E9" w14:textId="77777777" w:rsidR="00080196" w:rsidRPr="00065280" w:rsidRDefault="00080196">
      <w:pPr>
        <w:tabs>
          <w:tab w:val="clear" w:pos="567"/>
          <w:tab w:val="clear" w:pos="1134"/>
          <w:tab w:val="clear" w:pos="1701"/>
          <w:tab w:val="clear" w:pos="2268"/>
        </w:tabs>
        <w:spacing w:after="160" w:line="278" w:lineRule="auto"/>
        <w:jc w:val="left"/>
        <w:rPr>
          <w:lang w:val="es-419"/>
        </w:rPr>
      </w:pPr>
      <w:r w:rsidRPr="00065280">
        <w:rPr>
          <w:lang w:val="es-419"/>
        </w:rPr>
        <w:br w:type="page"/>
      </w:r>
    </w:p>
    <w:p w14:paraId="0F7FDB8C" w14:textId="2B0E4898" w:rsidR="00080196" w:rsidRPr="00065280" w:rsidRDefault="00E41BCC" w:rsidP="00E41BCC">
      <w:pPr>
        <w:pStyle w:val="CBDH2"/>
        <w:rPr>
          <w:lang w:val="es-419"/>
        </w:rPr>
      </w:pPr>
      <w:r w:rsidRPr="00065280">
        <w:rPr>
          <w:lang w:val="es-419"/>
        </w:rPr>
        <w:lastRenderedPageBreak/>
        <w:tab/>
      </w:r>
      <w:bookmarkStart w:id="31" w:name="_Toc194399418"/>
      <w:bookmarkStart w:id="32" w:name="_Toc194919557"/>
      <w:bookmarkStart w:id="33" w:name="_Toc199016610"/>
      <w:r w:rsidR="00080196" w:rsidRPr="00065280">
        <w:rPr>
          <w:lang w:val="es-419"/>
        </w:rPr>
        <w:t>CP-11/8.</w:t>
      </w:r>
      <w:r w:rsidR="00080196" w:rsidRPr="00065280">
        <w:rPr>
          <w:lang w:val="es-419"/>
        </w:rPr>
        <w:tab/>
      </w:r>
      <w:bookmarkEnd w:id="31"/>
      <w:bookmarkEnd w:id="32"/>
      <w:r w:rsidR="004E6869" w:rsidRPr="00065280">
        <w:rPr>
          <w:lang w:val="es-419"/>
        </w:rPr>
        <w:t>Detección e identificación de organismos vivos modificados</w:t>
      </w:r>
      <w:bookmarkEnd w:id="33"/>
    </w:p>
    <w:p w14:paraId="633E5DF4" w14:textId="77777777" w:rsidR="004E6869" w:rsidRPr="00065280" w:rsidRDefault="004E6869" w:rsidP="004E6869">
      <w:pPr>
        <w:pStyle w:val="CBDNormalNoNumber"/>
        <w:ind w:firstLine="567"/>
        <w:rPr>
          <w:lang w:val="es-419"/>
        </w:rPr>
      </w:pPr>
      <w:r w:rsidRPr="00065280">
        <w:rPr>
          <w:i/>
          <w:lang w:val="es-419"/>
        </w:rPr>
        <w:t>La Conferencia de las Partes que actúa como reunión de las Partes en el Protocolo de Cartagena</w:t>
      </w:r>
      <w:r w:rsidRPr="00065280">
        <w:rPr>
          <w:lang w:val="es-419"/>
        </w:rPr>
        <w:t>,</w:t>
      </w:r>
    </w:p>
    <w:p w14:paraId="6AA74C81" w14:textId="77777777" w:rsidR="004E6869" w:rsidRPr="00065280" w:rsidRDefault="004E6869" w:rsidP="004E6869">
      <w:pPr>
        <w:pStyle w:val="CBDDesicionText"/>
        <w:rPr>
          <w:lang w:val="es-419"/>
        </w:rPr>
      </w:pPr>
      <w:r w:rsidRPr="00065280">
        <w:rPr>
          <w:i/>
          <w:lang w:val="es-419"/>
        </w:rPr>
        <w:t>Recordando</w:t>
      </w:r>
      <w:r w:rsidRPr="00065280">
        <w:rPr>
          <w:lang w:val="es-419"/>
        </w:rPr>
        <w:t xml:space="preserve"> sus decisiones </w:t>
      </w:r>
      <w:hyperlink r:id="rId34" w:history="1">
        <w:r w:rsidRPr="00065280">
          <w:rPr>
            <w:rStyle w:val="Hyperlink"/>
            <w:lang w:val="es-419"/>
          </w:rPr>
          <w:t>CP-10/7</w:t>
        </w:r>
      </w:hyperlink>
      <w:r w:rsidRPr="00065280">
        <w:rPr>
          <w:lang w:val="es-419"/>
        </w:rPr>
        <w:t xml:space="preserve"> y </w:t>
      </w:r>
      <w:hyperlink r:id="rId35" w:history="1">
        <w:r w:rsidRPr="00065280">
          <w:rPr>
            <w:rStyle w:val="Hyperlink"/>
            <w:lang w:val="es-419"/>
          </w:rPr>
          <w:t>CP-10/11</w:t>
        </w:r>
      </w:hyperlink>
      <w:r w:rsidRPr="00065280">
        <w:rPr>
          <w:lang w:val="es-419"/>
        </w:rPr>
        <w:t>, de 10 de diciembre de 2022, y la necesidad de contar con actividades de creación de capacidad sobre nuevas técnicas de detección e identificación de organismos vivos modificados y sobre detección e identificación de organismos vivos modificados no autorizados,</w:t>
      </w:r>
    </w:p>
    <w:p w14:paraId="2F2EDC29" w14:textId="77777777" w:rsidR="004E6869" w:rsidRPr="00065280" w:rsidRDefault="004E6869" w:rsidP="004E6869">
      <w:pPr>
        <w:pStyle w:val="CBDDesicionText"/>
        <w:rPr>
          <w:b/>
          <w:bCs/>
          <w:sz w:val="20"/>
          <w:szCs w:val="20"/>
          <w:lang w:val="es-419"/>
        </w:rPr>
      </w:pPr>
      <w:r w:rsidRPr="00065280">
        <w:rPr>
          <w:i/>
          <w:lang w:val="es-419"/>
        </w:rPr>
        <w:t>Recordando también</w:t>
      </w:r>
      <w:r w:rsidRPr="00065280">
        <w:rPr>
          <w:lang w:val="es-419"/>
        </w:rPr>
        <w:t xml:space="preserve"> sus decisiones </w:t>
      </w:r>
      <w:hyperlink r:id="rId36" w:history="1">
        <w:r w:rsidRPr="00065280">
          <w:rPr>
            <w:rStyle w:val="Hyperlink"/>
            <w:lang w:val="es-419"/>
          </w:rPr>
          <w:t>CP-10/3</w:t>
        </w:r>
      </w:hyperlink>
      <w:r w:rsidRPr="00065280">
        <w:rPr>
          <w:lang w:val="es-419"/>
        </w:rPr>
        <w:t xml:space="preserve"> y </w:t>
      </w:r>
      <w:hyperlink r:id="rId37" w:history="1">
        <w:r w:rsidRPr="00065280">
          <w:rPr>
            <w:rStyle w:val="Hyperlink"/>
            <w:lang w:val="es-419"/>
          </w:rPr>
          <w:t>CP-10/4</w:t>
        </w:r>
      </w:hyperlink>
      <w:r w:rsidRPr="00065280">
        <w:rPr>
          <w:lang w:val="es-419"/>
        </w:rPr>
        <w:t>, de 19 de diciembre de 2022, y en particular las metas A.6 a A.8 del Plan de Aplicación y las metas A.6 a A.8 y actividades relacionadas de creación de capacidad del Plan de Acción para la Creación de Capacidad para el Protocolo de Cartagena sobre Seguridad de la Biotecnología</w:t>
      </w:r>
      <w:r w:rsidRPr="00065280">
        <w:rPr>
          <w:rStyle w:val="FootnoteReference"/>
          <w:lang w:val="es-419"/>
        </w:rPr>
        <w:footnoteReference w:id="37"/>
      </w:r>
      <w:r w:rsidRPr="00065280">
        <w:rPr>
          <w:lang w:val="es-419"/>
        </w:rPr>
        <w:t>,</w:t>
      </w:r>
    </w:p>
    <w:p w14:paraId="33C0EEEE" w14:textId="77777777" w:rsidR="004E6869" w:rsidRPr="00065280" w:rsidRDefault="004E6869" w:rsidP="004E6869">
      <w:pPr>
        <w:pStyle w:val="CBDDesicionText"/>
        <w:rPr>
          <w:spacing w:val="-4"/>
          <w:lang w:val="es-419"/>
        </w:rPr>
      </w:pPr>
      <w:r w:rsidRPr="00065280">
        <w:rPr>
          <w:i/>
          <w:spacing w:val="-4"/>
          <w:lang w:val="es-419"/>
        </w:rPr>
        <w:t>Reiterando</w:t>
      </w:r>
      <w:r w:rsidRPr="00065280">
        <w:rPr>
          <w:spacing w:val="-4"/>
          <w:lang w:val="es-419"/>
        </w:rPr>
        <w:t xml:space="preserve"> la importancia que reviste para el Protocolo de Cartagena el campo de la detección e identificación de organismos vivos modificados, así como su pertinencia y aplicabilidad a otros campos,</w:t>
      </w:r>
    </w:p>
    <w:p w14:paraId="0B9AF8BB" w14:textId="77777777" w:rsidR="004E6869" w:rsidRPr="00065280" w:rsidRDefault="004E6869" w:rsidP="004E6869">
      <w:pPr>
        <w:pStyle w:val="CBDDesicionText"/>
        <w:rPr>
          <w:lang w:val="es-419"/>
        </w:rPr>
      </w:pPr>
      <w:r w:rsidRPr="00065280">
        <w:rPr>
          <w:i/>
          <w:lang w:val="es-419"/>
        </w:rPr>
        <w:t>Reconociendo</w:t>
      </w:r>
      <w:r w:rsidRPr="00065280">
        <w:rPr>
          <w:lang w:val="es-419"/>
        </w:rPr>
        <w:t xml:space="preserve"> que la detección e identificación de organismos vivos podría plantear dificultades, en particular para los países en desarrollo,</w:t>
      </w:r>
    </w:p>
    <w:p w14:paraId="5344D05C" w14:textId="77777777" w:rsidR="004E6869" w:rsidRPr="00065280" w:rsidRDefault="004E6869" w:rsidP="004E6869">
      <w:pPr>
        <w:pStyle w:val="CBDDesicionText"/>
        <w:rPr>
          <w:lang w:val="es-419"/>
        </w:rPr>
      </w:pPr>
      <w:r w:rsidRPr="00065280">
        <w:rPr>
          <w:i/>
          <w:lang w:val="es-419"/>
        </w:rPr>
        <w:t>Reconociendo también</w:t>
      </w:r>
      <w:r w:rsidRPr="00065280">
        <w:rPr>
          <w:lang w:val="es-419"/>
        </w:rPr>
        <w:t xml:space="preserve"> la escasa información disponible sobre el uso de nuevas técnicas de detección e identificación de organismos vivos modificados,</w:t>
      </w:r>
    </w:p>
    <w:p w14:paraId="11FA3CA1" w14:textId="77777777" w:rsidR="004E6869" w:rsidRPr="00065280" w:rsidRDefault="004E6869" w:rsidP="004E6869">
      <w:pPr>
        <w:pStyle w:val="CBDDesicionText"/>
        <w:widowControl w:val="0"/>
        <w:ind w:left="562" w:firstLine="562"/>
        <w:rPr>
          <w:lang w:val="es-419"/>
        </w:rPr>
      </w:pPr>
      <w:r w:rsidRPr="00065280">
        <w:rPr>
          <w:i/>
          <w:lang w:val="es-419"/>
        </w:rPr>
        <w:t>Reconociendo además</w:t>
      </w:r>
      <w:r w:rsidRPr="00065280">
        <w:rPr>
          <w:lang w:val="es-419"/>
        </w:rPr>
        <w:t xml:space="preserve"> los avances en materia de nuevas técnicas de detección e identificación de organismos vivos modificados, como la reacción en cadena de la polimerasa digital y la secuenciación de nueva generación,</w:t>
      </w:r>
    </w:p>
    <w:p w14:paraId="47F4B2D9" w14:textId="77777777" w:rsidR="004E6869" w:rsidRPr="00065280" w:rsidRDefault="004E6869" w:rsidP="004E6869">
      <w:pPr>
        <w:pStyle w:val="CBDDesicionText"/>
        <w:rPr>
          <w:lang w:val="es-419"/>
        </w:rPr>
      </w:pPr>
      <w:r w:rsidRPr="00065280">
        <w:rPr>
          <w:i/>
          <w:lang w:val="es-419"/>
        </w:rPr>
        <w:t>Reconociendo con preocupación</w:t>
      </w:r>
      <w:r w:rsidRPr="00065280">
        <w:rPr>
          <w:lang w:val="es-419"/>
        </w:rPr>
        <w:t xml:space="preserve"> el alto costo que supone para algunas Partes que son países en desarrollo la infraestructura de laboratorio y los materiales fungibles requeridos para esas nuevas técnicas, así como su falta de acceso a reactivos,</w:t>
      </w:r>
    </w:p>
    <w:p w14:paraId="117DF7D1" w14:textId="77777777" w:rsidR="004E6869" w:rsidRPr="00065280" w:rsidRDefault="004E6869" w:rsidP="004E6869">
      <w:pPr>
        <w:pStyle w:val="CBDDesicionText"/>
        <w:rPr>
          <w:lang w:val="es-419"/>
        </w:rPr>
      </w:pPr>
      <w:r w:rsidRPr="00065280">
        <w:rPr>
          <w:i/>
          <w:lang w:val="es-419"/>
        </w:rPr>
        <w:t>Confirmando</w:t>
      </w:r>
      <w:r w:rsidRPr="00065280">
        <w:rPr>
          <w:lang w:val="es-419"/>
        </w:rPr>
        <w:t xml:space="preserve"> que el </w:t>
      </w:r>
      <w:r w:rsidRPr="00065280">
        <w:rPr>
          <w:i/>
          <w:lang w:val="es-419"/>
        </w:rPr>
        <w:t>Manual de capacitación sobre la detección e identificación de organismos vivos modificados en el contexto del Protocolo de Cartagena sobre Seguridad de la Biotecnología</w:t>
      </w:r>
      <w:r w:rsidRPr="00065280">
        <w:rPr>
          <w:lang w:val="es-419"/>
        </w:rPr>
        <w:t xml:space="preserve"> (Serie Técnica sobre Seguridad de la Biotecnología núm. 05) sigue siendo pertinente y útil para la detección e identificación de organismos vivos modificados,</w:t>
      </w:r>
    </w:p>
    <w:p w14:paraId="2898BD42" w14:textId="77777777" w:rsidR="004E6869" w:rsidRPr="00065280" w:rsidRDefault="004E6869" w:rsidP="004E6869">
      <w:pPr>
        <w:pStyle w:val="CBDDesicionText"/>
        <w:rPr>
          <w:lang w:val="es-419"/>
        </w:rPr>
      </w:pPr>
      <w:r w:rsidRPr="00065280">
        <w:rPr>
          <w:i/>
          <w:lang w:val="es-419"/>
        </w:rPr>
        <w:t>Reconociendo</w:t>
      </w:r>
      <w:r w:rsidRPr="00065280">
        <w:rPr>
          <w:lang w:val="es-419"/>
        </w:rPr>
        <w:t xml:space="preserve"> la utilidad de la Red de Laboratorios para la Detección e Identificación de Organismos Vivos Modificados en cuanto a facilitar el intercambio de experiencias, compartir información y generar conocimientos especializados,</w:t>
      </w:r>
    </w:p>
    <w:p w14:paraId="06A14686" w14:textId="77777777" w:rsidR="004E6869" w:rsidRPr="00065280" w:rsidRDefault="004E6869" w:rsidP="004E6869">
      <w:pPr>
        <w:pStyle w:val="CBDDesicionText"/>
        <w:rPr>
          <w:lang w:val="es-419"/>
        </w:rPr>
      </w:pPr>
      <w:r w:rsidRPr="00065280">
        <w:rPr>
          <w:lang w:val="es-419"/>
        </w:rPr>
        <w:t>1.</w:t>
      </w:r>
      <w:r w:rsidRPr="00065280">
        <w:rPr>
          <w:lang w:val="es-419"/>
        </w:rPr>
        <w:tab/>
      </w:r>
      <w:r w:rsidRPr="00065280">
        <w:rPr>
          <w:i/>
          <w:lang w:val="es-419"/>
        </w:rPr>
        <w:t>Invita</w:t>
      </w:r>
      <w:r w:rsidRPr="00065280">
        <w:rPr>
          <w:lang w:val="es-419"/>
        </w:rPr>
        <w:t xml:space="preserve"> a las Partes, otros Gobiernos, participantes de la Red de Laboratorios para la Detección e Identificación de Organismos Vivos Modificados, desarrolladores y otras organizaciones pertinentes a proporcionar a la Secretaría del Convenio sobre la Diversidad Biológica</w:t>
      </w:r>
      <w:r w:rsidRPr="00065280">
        <w:rPr>
          <w:rStyle w:val="FootnoteReference"/>
          <w:lang w:val="es-419"/>
        </w:rPr>
        <w:footnoteReference w:id="38"/>
      </w:r>
      <w:r w:rsidRPr="00065280">
        <w:rPr>
          <w:lang w:val="es-419"/>
        </w:rPr>
        <w:t xml:space="preserve"> documentos técnicos de referencia y otros materiales relacionados con las nuevas técnicas cuantitativas de reacción en cadena de la polimerasa, reacción en cadena de la polimerasa digital, secuenciación de nueva generación y técnicas de amplificación isotérmica, con el fin de complementar y actualizar futuras ediciones del </w:t>
      </w:r>
      <w:r w:rsidRPr="00065280">
        <w:rPr>
          <w:i/>
          <w:lang w:val="es-419"/>
        </w:rPr>
        <w:t>Manual de capacitación sobre la detección e identificación de organismos vivos modificados en el contexto del Protocolo de Cartagena sobre Seguridad de la Biotecnología</w:t>
      </w:r>
      <w:r w:rsidRPr="00065280">
        <w:rPr>
          <w:lang w:val="es-419"/>
        </w:rPr>
        <w:t>;</w:t>
      </w:r>
    </w:p>
    <w:p w14:paraId="741B4956" w14:textId="77777777" w:rsidR="004E6869" w:rsidRPr="00065280" w:rsidRDefault="004E6869" w:rsidP="004E6869">
      <w:pPr>
        <w:pStyle w:val="CBDDesicionText"/>
        <w:rPr>
          <w:lang w:val="es-419"/>
        </w:rPr>
      </w:pPr>
      <w:r w:rsidRPr="00065280">
        <w:rPr>
          <w:lang w:val="es-419"/>
        </w:rPr>
        <w:t>2.</w:t>
      </w:r>
      <w:r w:rsidRPr="00065280">
        <w:rPr>
          <w:lang w:val="es-419"/>
        </w:rPr>
        <w:tab/>
      </w:r>
      <w:r w:rsidRPr="00065280">
        <w:rPr>
          <w:i/>
          <w:lang w:val="es-419"/>
        </w:rPr>
        <w:t>Invita</w:t>
      </w:r>
      <w:r w:rsidRPr="00065280">
        <w:rPr>
          <w:lang w:val="es-419"/>
        </w:rPr>
        <w:t xml:space="preserve"> a las Partes a compartir a través del Centro de Intercambio de Información sobre Seguridad de la Biotecnología, de conformidad con decisiones y leyes nacionales, donde proceda, sus experiencias con nuevas técnicas de detección, como las dirigidas a detectar organismos vivos modificados de reciente creación y organismos vivos modificados no autorizados, incluidos aquellos que contengan eventos apilados, así como en la elaboración, utilización y mantenimiento de materiales de referencia;</w:t>
      </w:r>
    </w:p>
    <w:p w14:paraId="55D94D18" w14:textId="77777777" w:rsidR="004E6869" w:rsidRPr="00065280" w:rsidRDefault="004E6869" w:rsidP="004E6869">
      <w:pPr>
        <w:pStyle w:val="CBDDesicionText"/>
        <w:rPr>
          <w:lang w:val="es-419"/>
        </w:rPr>
      </w:pPr>
      <w:r w:rsidRPr="00065280">
        <w:rPr>
          <w:lang w:val="es-419"/>
        </w:rPr>
        <w:lastRenderedPageBreak/>
        <w:t>3.</w:t>
      </w:r>
      <w:r w:rsidRPr="00065280">
        <w:rPr>
          <w:i/>
          <w:lang w:val="es-419"/>
        </w:rPr>
        <w:tab/>
        <w:t>Invita</w:t>
      </w:r>
      <w:r w:rsidRPr="00065280">
        <w:rPr>
          <w:lang w:val="es-419"/>
        </w:rPr>
        <w:t xml:space="preserve"> a las Partes, otros Gobiernos y organizaciones pertinentes a compartir y facilitar materiales de capacitación y publicaciones de referencia a través del Centro de Intercambio de Información sobre Seguridad de la Biotecnología;</w:t>
      </w:r>
    </w:p>
    <w:p w14:paraId="0C6F7E71" w14:textId="77777777" w:rsidR="004E6869" w:rsidRPr="00065280" w:rsidRDefault="004E6869" w:rsidP="004E6869">
      <w:pPr>
        <w:pStyle w:val="CBDDesicionText"/>
        <w:rPr>
          <w:lang w:val="es-419"/>
        </w:rPr>
      </w:pPr>
      <w:r w:rsidRPr="00065280">
        <w:rPr>
          <w:lang w:val="es-419"/>
        </w:rPr>
        <w:t>4.</w:t>
      </w:r>
      <w:r w:rsidRPr="00065280">
        <w:rPr>
          <w:lang w:val="es-419"/>
        </w:rPr>
        <w:tab/>
      </w:r>
      <w:r w:rsidRPr="00065280">
        <w:rPr>
          <w:i/>
          <w:lang w:val="es-419"/>
        </w:rPr>
        <w:t>Alienta</w:t>
      </w:r>
      <w:r w:rsidRPr="00065280">
        <w:rPr>
          <w:lang w:val="es-419"/>
        </w:rPr>
        <w:t xml:space="preserve"> a las Partes a establecer redes regionales de laboratorios y asociaciones para apoyar actividades en el campo de la detección e identificación de organismos vivos modificados, y a promover la creación de capacidad y el intercambio de conocimientos;</w:t>
      </w:r>
    </w:p>
    <w:p w14:paraId="2C527E08" w14:textId="77777777" w:rsidR="004E6869" w:rsidRPr="00065280" w:rsidRDefault="004E6869" w:rsidP="004E6869">
      <w:pPr>
        <w:pStyle w:val="CBDDesicionText"/>
        <w:rPr>
          <w:lang w:val="es-419"/>
        </w:rPr>
      </w:pPr>
      <w:r w:rsidRPr="00065280">
        <w:rPr>
          <w:lang w:val="es-419"/>
        </w:rPr>
        <w:t>5.</w:t>
      </w:r>
      <w:r w:rsidRPr="00065280">
        <w:rPr>
          <w:lang w:val="es-419"/>
        </w:rPr>
        <w:tab/>
      </w:r>
      <w:r w:rsidRPr="00065280">
        <w:rPr>
          <w:i/>
          <w:lang w:val="es-419"/>
        </w:rPr>
        <w:t>Insta</w:t>
      </w:r>
      <w:r w:rsidRPr="00065280">
        <w:rPr>
          <w:lang w:val="es-419"/>
        </w:rPr>
        <w:t xml:space="preserve"> a las Partes, e invita a otros Gobiernos y organizaciones internacionales, a que proporcionen recursos financieros a laboratorios, en particular en países en desarrollo, en especial en los países menos adelantados y los pequeños Estados insulares en desarrollo, y en los países con economías en transición, a fin de promover el fortalecimiento de la infraestructura para la detección e identificación de organismos vivos modificados, la formación de redes regionales de laboratorios, las actividades de creación de capacidad y la elaboración o adquisición de materiales de referencia certificados;</w:t>
      </w:r>
    </w:p>
    <w:p w14:paraId="73B9CF98" w14:textId="77777777" w:rsidR="004E6869" w:rsidRPr="00065280" w:rsidRDefault="004E6869" w:rsidP="004E6869">
      <w:pPr>
        <w:pStyle w:val="CBDDesicionText"/>
        <w:rPr>
          <w:lang w:val="es-419"/>
        </w:rPr>
      </w:pPr>
      <w:r w:rsidRPr="00065280">
        <w:rPr>
          <w:lang w:val="es-419"/>
        </w:rPr>
        <w:t>6.</w:t>
      </w:r>
      <w:r w:rsidRPr="00065280">
        <w:rPr>
          <w:lang w:val="es-419"/>
        </w:rPr>
        <w:tab/>
      </w:r>
      <w:r w:rsidRPr="00065280">
        <w:rPr>
          <w:i/>
          <w:lang w:val="es-419"/>
        </w:rPr>
        <w:t>Recomienda</w:t>
      </w:r>
      <w:r w:rsidRPr="00065280">
        <w:rPr>
          <w:lang w:val="es-419"/>
        </w:rPr>
        <w:t xml:space="preserve"> a la Conferencia de las Partes en el Convenio que, cuando adopte su orientación al Fondo para el Medio Ambiente Mundial referida al apoyo para la aplicación del Protocolo de Cartagena sobre Seguridad de la Biotecnología, invite al Fondo para el Medio Ambiente Mundial a ayudar a aquellas Partes que reúnan las condiciones proporcionándoles acceso rápido a los medios de aplicación en la escala necesaria para cubrir el alcance y la velocidad de la asistencia requerida, entre otras cosas para fortalecer la infraestructura para la detección e identificación de organismos vivos modificados, establecer redes regionales de laboratorios, realizar actividades de creación de capacidad y elaborar o adquirir materiales de referencia certificados, e insta a las Partes a que presenten al Fondo para el Medio Ambiente Mundial propuestas apropiadas en ese contexto a fin de concretar el apoyo a esas actividades;</w:t>
      </w:r>
    </w:p>
    <w:p w14:paraId="3A5E007E" w14:textId="77777777" w:rsidR="004E6869" w:rsidRPr="00065280" w:rsidRDefault="004E6869" w:rsidP="004E6869">
      <w:pPr>
        <w:pStyle w:val="CBDDesicionText"/>
        <w:rPr>
          <w:lang w:val="es-419"/>
        </w:rPr>
      </w:pPr>
      <w:r w:rsidRPr="00065280">
        <w:rPr>
          <w:lang w:val="es-419"/>
        </w:rPr>
        <w:t>7.</w:t>
      </w:r>
      <w:r w:rsidRPr="00065280">
        <w:rPr>
          <w:lang w:val="es-419"/>
        </w:rPr>
        <w:tab/>
      </w:r>
      <w:r w:rsidRPr="00065280">
        <w:rPr>
          <w:i/>
          <w:lang w:val="es-419"/>
        </w:rPr>
        <w:t>Alienta</w:t>
      </w:r>
      <w:r w:rsidRPr="00065280">
        <w:rPr>
          <w:lang w:val="es-419"/>
        </w:rPr>
        <w:t xml:space="preserve"> a los desarrolladores de tecnología a compartir, según proceda, métodos de detección e identificación de organismos vivos modificados de reciente creación a través del Centro de Intercambio de Información sobre Seguridad de la Biotecnología;</w:t>
      </w:r>
    </w:p>
    <w:p w14:paraId="4345A86E" w14:textId="77777777" w:rsidR="004E6869" w:rsidRPr="00065280" w:rsidRDefault="004E6869" w:rsidP="004E6869">
      <w:pPr>
        <w:pStyle w:val="CBDDesicionText"/>
        <w:rPr>
          <w:lang w:val="es-419"/>
        </w:rPr>
      </w:pPr>
      <w:r w:rsidRPr="00065280">
        <w:rPr>
          <w:lang w:val="es-419"/>
        </w:rPr>
        <w:t>8.</w:t>
      </w:r>
      <w:r w:rsidRPr="00065280">
        <w:rPr>
          <w:lang w:val="es-419"/>
        </w:rPr>
        <w:tab/>
      </w:r>
      <w:r w:rsidRPr="00065280">
        <w:rPr>
          <w:i/>
          <w:lang w:val="es-419"/>
        </w:rPr>
        <w:t>Pide</w:t>
      </w:r>
      <w:r w:rsidRPr="00065280">
        <w:rPr>
          <w:lang w:val="es-419"/>
        </w:rPr>
        <w:t xml:space="preserve"> a la Secretaría que, con sujeción a la disponibilidad de recursos:</w:t>
      </w:r>
    </w:p>
    <w:p w14:paraId="625B68D0" w14:textId="77777777" w:rsidR="004E6869" w:rsidRPr="00065280" w:rsidRDefault="004E6869" w:rsidP="004E6869">
      <w:pPr>
        <w:pStyle w:val="CBDDesicionText"/>
        <w:rPr>
          <w:lang w:val="es-419"/>
        </w:rPr>
      </w:pPr>
      <w:r w:rsidRPr="00065280">
        <w:rPr>
          <w:lang w:val="es-419"/>
        </w:rPr>
        <w:t>a)</w:t>
      </w:r>
      <w:r w:rsidRPr="00065280">
        <w:rPr>
          <w:lang w:val="es-419"/>
        </w:rPr>
        <w:tab/>
        <w:t>Siga recopilando publicaciones y materiales de recursos técnicos en diversos idiomas y los publique en el portal del Centro de Intercambio de Información sobre Seguridad de la Biotecnología dedicado al muestreo, la detección y la identificación de organismos vivos modificados;</w:t>
      </w:r>
    </w:p>
    <w:p w14:paraId="67D0E022" w14:textId="77777777" w:rsidR="004E6869" w:rsidRPr="00065280" w:rsidRDefault="004E6869" w:rsidP="004E6869">
      <w:pPr>
        <w:pStyle w:val="CBDDesicionText"/>
        <w:rPr>
          <w:lang w:val="es-419"/>
        </w:rPr>
      </w:pPr>
      <w:r w:rsidRPr="00065280">
        <w:rPr>
          <w:lang w:val="es-419"/>
        </w:rPr>
        <w:t>b)</w:t>
      </w:r>
      <w:r w:rsidRPr="00065280">
        <w:rPr>
          <w:lang w:val="es-419"/>
        </w:rPr>
        <w:tab/>
        <w:t>Prepare una recopilación de los documentos técnicos de referencia y demás materiales presentados en respuesta a la solicitud formulada en el párrafo 1, para que la Conferencia de las Partes que actúa como reunión de las Partes en el Protocolo de Cartagena la considere en su 12ª reunión;</w:t>
      </w:r>
    </w:p>
    <w:p w14:paraId="533359C2" w14:textId="77777777" w:rsidR="004E6869" w:rsidRPr="00065280" w:rsidRDefault="004E6869" w:rsidP="004E6869">
      <w:pPr>
        <w:pStyle w:val="CBDDesicionText"/>
        <w:rPr>
          <w:lang w:val="es-419"/>
        </w:rPr>
      </w:pPr>
      <w:r w:rsidRPr="00065280">
        <w:rPr>
          <w:lang w:val="es-419"/>
        </w:rPr>
        <w:t>c)</w:t>
      </w:r>
      <w:r w:rsidRPr="00065280">
        <w:rPr>
          <w:lang w:val="es-419"/>
        </w:rPr>
        <w:tab/>
        <w:t>Colabore con organizaciones pertinentes y preste apoyo a las Partes en materia de creación de capacidad en el campo de la detección e identificación de organismos vivos modificados, incluida formación práctica para personal de laboratorio tanto en métodos analíticos tradicionales como en nuevas técnicas de detección;</w:t>
      </w:r>
    </w:p>
    <w:p w14:paraId="41471867" w14:textId="74074668" w:rsidR="00080196" w:rsidRPr="00065280" w:rsidRDefault="004E6869" w:rsidP="004E6869">
      <w:pPr>
        <w:pStyle w:val="CBDDesicionText"/>
        <w:rPr>
          <w:lang w:val="es-419"/>
        </w:rPr>
      </w:pPr>
      <w:r w:rsidRPr="00065280">
        <w:rPr>
          <w:lang w:val="es-419"/>
        </w:rPr>
        <w:t>d)</w:t>
      </w:r>
      <w:r w:rsidRPr="00065280">
        <w:rPr>
          <w:lang w:val="es-419"/>
        </w:rPr>
        <w:tab/>
        <w:t>Difunda la utilidad del portal de muestreo, detección e identificación del Centro de Intercambio de Información sobre Seguridad de la Biotecnología y estudie la posibilidad de establecer vínculos y referencias cruzadas con el contenido de bases de datos pertinentes que todavía no se han compartido con el Centro de Intercambio de Información sobre Seguridad de la Biotecnología</w:t>
      </w:r>
      <w:r w:rsidR="00080196" w:rsidRPr="00065280">
        <w:rPr>
          <w:lang w:val="es-419"/>
        </w:rPr>
        <w:t xml:space="preserve">. </w:t>
      </w:r>
    </w:p>
    <w:p w14:paraId="5F800A79" w14:textId="77777777" w:rsidR="00080196" w:rsidRPr="00065280" w:rsidRDefault="00080196" w:rsidP="00E824E6">
      <w:pPr>
        <w:pStyle w:val="CBDNormal"/>
        <w:rPr>
          <w:lang w:val="es-419"/>
        </w:rPr>
      </w:pPr>
    </w:p>
    <w:p w14:paraId="4E1EA2BE" w14:textId="77777777" w:rsidR="00080196" w:rsidRPr="00065280" w:rsidRDefault="00080196">
      <w:pPr>
        <w:tabs>
          <w:tab w:val="clear" w:pos="567"/>
          <w:tab w:val="clear" w:pos="1134"/>
          <w:tab w:val="clear" w:pos="1701"/>
          <w:tab w:val="clear" w:pos="2268"/>
        </w:tabs>
        <w:spacing w:after="160" w:line="278" w:lineRule="auto"/>
        <w:jc w:val="left"/>
        <w:rPr>
          <w:lang w:val="es-419"/>
        </w:rPr>
      </w:pPr>
      <w:r w:rsidRPr="00065280">
        <w:rPr>
          <w:lang w:val="es-419"/>
        </w:rPr>
        <w:br w:type="page"/>
      </w:r>
    </w:p>
    <w:p w14:paraId="08562440" w14:textId="14D07DE0" w:rsidR="00080196" w:rsidRPr="00065280" w:rsidRDefault="00CC5899" w:rsidP="00CC5899">
      <w:pPr>
        <w:pStyle w:val="CBDH2"/>
        <w:rPr>
          <w:lang w:val="es-419"/>
        </w:rPr>
      </w:pPr>
      <w:r w:rsidRPr="00065280">
        <w:rPr>
          <w:lang w:val="es-419"/>
        </w:rPr>
        <w:lastRenderedPageBreak/>
        <w:tab/>
      </w:r>
      <w:bookmarkStart w:id="34" w:name="_Toc194399419"/>
      <w:bookmarkStart w:id="35" w:name="_Toc194919558"/>
      <w:bookmarkStart w:id="36" w:name="_Toc199016611"/>
      <w:r w:rsidR="00080196" w:rsidRPr="00065280">
        <w:rPr>
          <w:lang w:val="es-419"/>
        </w:rPr>
        <w:t>CP-11/9.</w:t>
      </w:r>
      <w:r w:rsidR="00080196" w:rsidRPr="00065280">
        <w:rPr>
          <w:lang w:val="es-419"/>
        </w:rPr>
        <w:tab/>
      </w:r>
      <w:bookmarkEnd w:id="34"/>
      <w:bookmarkEnd w:id="35"/>
      <w:r w:rsidR="003E1FFF" w:rsidRPr="00065280">
        <w:rPr>
          <w:lang w:val="es-419"/>
        </w:rPr>
        <w:t>Consideraciones socioeconómicas</w:t>
      </w:r>
      <w:bookmarkEnd w:id="36"/>
    </w:p>
    <w:p w14:paraId="41E0BCB8" w14:textId="77777777" w:rsidR="003E1FFF" w:rsidRPr="00065280" w:rsidRDefault="003E1FFF" w:rsidP="003E1FFF">
      <w:pPr>
        <w:pStyle w:val="CBDDesicionText"/>
        <w:rPr>
          <w:lang w:val="es-419"/>
        </w:rPr>
      </w:pPr>
      <w:r w:rsidRPr="00065280">
        <w:rPr>
          <w:i/>
          <w:lang w:val="es-419"/>
        </w:rPr>
        <w:t>La Conferencia de las Partes que actúa como reunión de las Partes en el Protocolo de Cartagena</w:t>
      </w:r>
      <w:r w:rsidRPr="00065280">
        <w:rPr>
          <w:lang w:val="es-419"/>
        </w:rPr>
        <w:t>,</w:t>
      </w:r>
    </w:p>
    <w:p w14:paraId="65B4BD07" w14:textId="77777777" w:rsidR="003E1FFF" w:rsidRPr="00065280" w:rsidRDefault="003E1FFF" w:rsidP="003E1FFF">
      <w:pPr>
        <w:pStyle w:val="CBDDesicionText"/>
        <w:rPr>
          <w:lang w:val="es-419"/>
        </w:rPr>
      </w:pPr>
      <w:r w:rsidRPr="00065280">
        <w:rPr>
          <w:i/>
          <w:lang w:val="es-419"/>
        </w:rPr>
        <w:t xml:space="preserve">Recordando </w:t>
      </w:r>
      <w:r w:rsidRPr="00065280">
        <w:rPr>
          <w:lang w:val="es-419"/>
        </w:rPr>
        <w:t>la orientación para la evaluación de consideraciones socioeconómicas en el contexto del artículo 26 del Protocolo de Cartagena sobre Seguridad de la Biotecnología</w:t>
      </w:r>
      <w:r w:rsidRPr="00065280">
        <w:rPr>
          <w:rStyle w:val="FootnoteReference"/>
          <w:lang w:val="es-419"/>
        </w:rPr>
        <w:footnoteReference w:id="39"/>
      </w:r>
      <w:r w:rsidRPr="00065280">
        <w:rPr>
          <w:vertAlign w:val="superscript"/>
          <w:lang w:val="es-419"/>
        </w:rPr>
        <w:t xml:space="preserve">, </w:t>
      </w:r>
      <w:r w:rsidRPr="00065280">
        <w:rPr>
          <w:rStyle w:val="FootnoteReference"/>
          <w:lang w:val="es-419"/>
        </w:rPr>
        <w:footnoteReference w:id="40"/>
      </w:r>
      <w:r w:rsidRPr="00065280">
        <w:rPr>
          <w:lang w:val="es-419"/>
        </w:rPr>
        <w:t xml:space="preserve">, de la que tomó nota en la decisión </w:t>
      </w:r>
      <w:hyperlink r:id="rId38" w:history="1">
        <w:r w:rsidRPr="00065280">
          <w:rPr>
            <w:rStyle w:val="Hyperlink"/>
            <w:lang w:val="es-419"/>
          </w:rPr>
          <w:t>CP-9/14</w:t>
        </w:r>
      </w:hyperlink>
      <w:r w:rsidRPr="00065280">
        <w:rPr>
          <w:lang w:val="es-419"/>
        </w:rPr>
        <w:t>, de 28 de noviembre de 2018,</w:t>
      </w:r>
    </w:p>
    <w:p w14:paraId="61C49BBE" w14:textId="77777777" w:rsidR="003E1FFF" w:rsidRPr="00065280" w:rsidRDefault="003E1FFF" w:rsidP="003E1FFF">
      <w:pPr>
        <w:pStyle w:val="CBDDesicionText"/>
        <w:rPr>
          <w:lang w:val="es-419"/>
        </w:rPr>
      </w:pPr>
      <w:r w:rsidRPr="00065280">
        <w:rPr>
          <w:i/>
          <w:lang w:val="es-419"/>
        </w:rPr>
        <w:t xml:space="preserve">Recordando también </w:t>
      </w:r>
      <w:r w:rsidRPr="00065280">
        <w:rPr>
          <w:lang w:val="es-419"/>
        </w:rPr>
        <w:t xml:space="preserve">la decisión </w:t>
      </w:r>
      <w:hyperlink r:id="rId39" w:history="1">
        <w:r w:rsidRPr="00065280">
          <w:rPr>
            <w:rStyle w:val="Hyperlink"/>
            <w:lang w:val="es-419"/>
          </w:rPr>
          <w:t>CP-10/12</w:t>
        </w:r>
      </w:hyperlink>
      <w:r w:rsidRPr="00065280">
        <w:rPr>
          <w:lang w:val="es-419"/>
        </w:rPr>
        <w:t xml:space="preserve"> de 10 de diciembre de 2022,</w:t>
      </w:r>
    </w:p>
    <w:p w14:paraId="4E97BEEF" w14:textId="77777777" w:rsidR="003E1FFF" w:rsidRPr="00065280" w:rsidRDefault="003E1FFF" w:rsidP="003E1FFF">
      <w:pPr>
        <w:pStyle w:val="CBDDesicionText"/>
        <w:rPr>
          <w:lang w:val="es-419"/>
        </w:rPr>
      </w:pPr>
      <w:r w:rsidRPr="00065280">
        <w:rPr>
          <w:i/>
          <w:lang w:val="es-419"/>
        </w:rPr>
        <w:t xml:space="preserve">Recordando además </w:t>
      </w:r>
      <w:r w:rsidRPr="00065280">
        <w:rPr>
          <w:lang w:val="es-419"/>
        </w:rPr>
        <w:t>la meta A.9 del plan de aplicación</w:t>
      </w:r>
      <w:r w:rsidRPr="00065280">
        <w:rPr>
          <w:rStyle w:val="FootnoteReference"/>
          <w:lang w:val="es-419"/>
        </w:rPr>
        <w:footnoteReference w:id="41"/>
      </w:r>
      <w:r w:rsidRPr="00065280">
        <w:rPr>
          <w:lang w:val="es-419"/>
        </w:rPr>
        <w:t xml:space="preserve"> y el plan de acción para la creación de capacidad para el Protocolo de Cartagena</w:t>
      </w:r>
      <w:r w:rsidRPr="00065280">
        <w:rPr>
          <w:rStyle w:val="FootnoteReference"/>
          <w:lang w:val="es-419"/>
        </w:rPr>
        <w:footnoteReference w:id="42"/>
      </w:r>
      <w:r w:rsidRPr="00065280">
        <w:rPr>
          <w:lang w:val="es-419"/>
        </w:rPr>
        <w:t>,</w:t>
      </w:r>
    </w:p>
    <w:p w14:paraId="2E84BAC8" w14:textId="77777777" w:rsidR="003E1FFF" w:rsidRPr="00065280" w:rsidRDefault="003E1FFF" w:rsidP="003E1FFF">
      <w:pPr>
        <w:pStyle w:val="CBDDesicionText"/>
        <w:rPr>
          <w:lang w:val="es-419"/>
        </w:rPr>
      </w:pPr>
      <w:r w:rsidRPr="00065280">
        <w:rPr>
          <w:lang w:val="es-419"/>
        </w:rPr>
        <w:t>1.</w:t>
      </w:r>
      <w:r w:rsidRPr="00065280">
        <w:rPr>
          <w:i/>
          <w:lang w:val="es-419"/>
        </w:rPr>
        <w:tab/>
        <w:t xml:space="preserve">Acoge con satisfacción </w:t>
      </w:r>
      <w:r w:rsidRPr="00065280">
        <w:rPr>
          <w:lang w:val="es-419"/>
        </w:rPr>
        <w:t>la información compartida sobre experiencias en el empleo de la orientación voluntaria, ejemplos de metodologías y aplicaciones de consideraciones socioeconómicas a la luz de los elementos de la orientación</w:t>
      </w:r>
      <w:r w:rsidRPr="00065280">
        <w:rPr>
          <w:rStyle w:val="FootnoteReference"/>
          <w:lang w:val="es-419"/>
        </w:rPr>
        <w:footnoteReference w:id="43"/>
      </w:r>
      <w:r w:rsidRPr="00065280">
        <w:rPr>
          <w:lang w:val="es-419"/>
        </w:rPr>
        <w:t>, si bien reconoce que la información presentada en este sentido es limitada;</w:t>
      </w:r>
    </w:p>
    <w:p w14:paraId="34FE49F9" w14:textId="77777777" w:rsidR="003E1FFF" w:rsidRPr="00065280" w:rsidRDefault="003E1FFF" w:rsidP="003E1FFF">
      <w:pPr>
        <w:pStyle w:val="CBDDesicionText"/>
        <w:rPr>
          <w:i/>
          <w:iCs/>
          <w:lang w:val="es-419"/>
        </w:rPr>
      </w:pPr>
      <w:r w:rsidRPr="00065280">
        <w:rPr>
          <w:lang w:val="es-419"/>
        </w:rPr>
        <w:t>2.</w:t>
      </w:r>
      <w:r w:rsidRPr="00065280">
        <w:rPr>
          <w:i/>
          <w:lang w:val="es-419"/>
        </w:rPr>
        <w:tab/>
        <w:t>Acoge con satisfacción también</w:t>
      </w:r>
      <w:r w:rsidRPr="00065280">
        <w:rPr>
          <w:lang w:val="es-419"/>
        </w:rPr>
        <w:t xml:space="preserve"> la información sobre enfoques y requisitos para consideraciones socioeconómicas y sobre experiencias en la evaluación de consideraciones socioeconómicas que fue compartida por Partes a raíz de las respuestas brindadas en sus cuartos informes nacionales</w:t>
      </w:r>
      <w:r w:rsidRPr="00065280">
        <w:rPr>
          <w:rStyle w:val="FootnoteReference"/>
          <w:lang w:val="es-419"/>
        </w:rPr>
        <w:footnoteReference w:id="44"/>
      </w:r>
      <w:r w:rsidRPr="00065280">
        <w:rPr>
          <w:lang w:val="es-419"/>
        </w:rPr>
        <w:t>;</w:t>
      </w:r>
    </w:p>
    <w:p w14:paraId="1A689B98" w14:textId="77777777" w:rsidR="003E1FFF" w:rsidRPr="00065280" w:rsidRDefault="003E1FFF" w:rsidP="003E1FFF">
      <w:pPr>
        <w:pStyle w:val="CBDDesicionText"/>
        <w:rPr>
          <w:i/>
          <w:iCs/>
          <w:lang w:val="es-419"/>
        </w:rPr>
      </w:pPr>
      <w:r w:rsidRPr="00065280">
        <w:rPr>
          <w:lang w:val="es-419"/>
        </w:rPr>
        <w:t>3.</w:t>
      </w:r>
      <w:r w:rsidRPr="00065280">
        <w:rPr>
          <w:i/>
          <w:lang w:val="es-419"/>
        </w:rPr>
        <w:tab/>
        <w:t xml:space="preserve">Invita </w:t>
      </w:r>
      <w:r w:rsidRPr="00065280">
        <w:rPr>
          <w:lang w:val="es-419"/>
        </w:rPr>
        <w:t>a las Partes, otros Gobiernos, organizaciones pertinentes y otros interesados, según proceda, a utilizar la orientación voluntaria y compartir sus experiencias al respecto en sus quintos informes nacionales o publicar dichas experiencias en la biblioteca virtual del Centro de Intercambio de Información sobre Seguridad de la Biotecnología;</w:t>
      </w:r>
    </w:p>
    <w:p w14:paraId="3A25CA4B" w14:textId="77777777" w:rsidR="003E1FFF" w:rsidRPr="00065280" w:rsidRDefault="003E1FFF" w:rsidP="003E1FFF">
      <w:pPr>
        <w:pStyle w:val="CBDDesicionText"/>
        <w:rPr>
          <w:i/>
          <w:iCs/>
          <w:lang w:val="es-419"/>
        </w:rPr>
      </w:pPr>
      <w:r w:rsidRPr="00065280">
        <w:rPr>
          <w:lang w:val="es-419"/>
        </w:rPr>
        <w:t>4.</w:t>
      </w:r>
      <w:r w:rsidRPr="00065280">
        <w:rPr>
          <w:i/>
          <w:lang w:val="es-419"/>
        </w:rPr>
        <w:tab/>
        <w:t xml:space="preserve">Pide </w:t>
      </w:r>
      <w:r w:rsidRPr="00065280">
        <w:rPr>
          <w:lang w:val="es-419"/>
        </w:rPr>
        <w:t>a la Secretaria Ejecutiva del Convenio sobre la Diversidad Biológica</w:t>
      </w:r>
      <w:r w:rsidRPr="00065280">
        <w:rPr>
          <w:rStyle w:val="FootnoteReference"/>
          <w:lang w:val="es-419"/>
        </w:rPr>
        <w:footnoteReference w:id="45"/>
      </w:r>
      <w:r w:rsidRPr="00065280">
        <w:rPr>
          <w:lang w:val="es-419"/>
        </w:rPr>
        <w:t xml:space="preserve"> que sintetice la información proporcionada en los quintos informes nacionales en respuesta al párrafo 3 anterior para que la Conferencia de las Partes que actúa como reunión de las Partes en el Protocolo de Cartagena sobre Seguridad de la Biotecnología la considere en su 12</w:t>
      </w:r>
      <w:r w:rsidRPr="00065280">
        <w:rPr>
          <w:vertAlign w:val="superscript"/>
          <w:lang w:val="es-419"/>
        </w:rPr>
        <w:t>a</w:t>
      </w:r>
      <w:r w:rsidRPr="00065280">
        <w:rPr>
          <w:lang w:val="es-419"/>
        </w:rPr>
        <w:t xml:space="preserve"> reunión;</w:t>
      </w:r>
    </w:p>
    <w:p w14:paraId="0D811A3A" w14:textId="56CE824D" w:rsidR="00080196" w:rsidRPr="00065280" w:rsidRDefault="003E1FFF" w:rsidP="003E1FFF">
      <w:pPr>
        <w:pStyle w:val="CBDDesicionText"/>
        <w:rPr>
          <w:i/>
          <w:iCs/>
          <w:lang w:val="es-419"/>
        </w:rPr>
      </w:pPr>
      <w:r w:rsidRPr="00065280">
        <w:rPr>
          <w:lang w:val="es-419"/>
        </w:rPr>
        <w:t>5.</w:t>
      </w:r>
      <w:r w:rsidRPr="00065280">
        <w:rPr>
          <w:i/>
          <w:lang w:val="es-419"/>
        </w:rPr>
        <w:tab/>
        <w:t xml:space="preserve">Invita </w:t>
      </w:r>
      <w:r w:rsidRPr="00065280">
        <w:rPr>
          <w:lang w:val="es-419"/>
        </w:rPr>
        <w:t>a las Partes, otros Gobiernos y organizaciones a llevar a cabo actividades de creación de capacidad y concienciación en apoyo a la meta A.9 del plan de aplicación y al plan de acción para la creación de capacidad para el Protocolo de Cartagena, y alienta a los donantes a que proporcionen los recursos necesarios a este respecto</w:t>
      </w:r>
      <w:r w:rsidR="00080196" w:rsidRPr="00065280">
        <w:rPr>
          <w:lang w:val="es-419"/>
        </w:rPr>
        <w:t>.</w:t>
      </w:r>
    </w:p>
    <w:p w14:paraId="2CD7D69F" w14:textId="77777777" w:rsidR="00080196" w:rsidRPr="00065280" w:rsidRDefault="00080196" w:rsidP="00E824E6">
      <w:pPr>
        <w:pStyle w:val="CBDNormal"/>
        <w:rPr>
          <w:lang w:val="es-419"/>
        </w:rPr>
      </w:pPr>
    </w:p>
    <w:p w14:paraId="6F516A66" w14:textId="77777777" w:rsidR="00080196" w:rsidRPr="00065280" w:rsidRDefault="00080196">
      <w:pPr>
        <w:tabs>
          <w:tab w:val="clear" w:pos="567"/>
          <w:tab w:val="clear" w:pos="1134"/>
          <w:tab w:val="clear" w:pos="1701"/>
          <w:tab w:val="clear" w:pos="2268"/>
        </w:tabs>
        <w:spacing w:after="160" w:line="278" w:lineRule="auto"/>
        <w:jc w:val="left"/>
        <w:rPr>
          <w:lang w:val="es-419"/>
        </w:rPr>
      </w:pPr>
      <w:r w:rsidRPr="00065280">
        <w:rPr>
          <w:lang w:val="es-419"/>
        </w:rPr>
        <w:br w:type="page"/>
      </w:r>
    </w:p>
    <w:p w14:paraId="216BC6B0" w14:textId="34ECB012" w:rsidR="00080196" w:rsidRPr="00065280" w:rsidRDefault="00CC5899" w:rsidP="00820E7D">
      <w:pPr>
        <w:pStyle w:val="CBDH2"/>
        <w:jc w:val="left"/>
        <w:rPr>
          <w:lang w:val="es-419"/>
        </w:rPr>
      </w:pPr>
      <w:r w:rsidRPr="00065280">
        <w:rPr>
          <w:lang w:val="es-419"/>
        </w:rPr>
        <w:lastRenderedPageBreak/>
        <w:tab/>
      </w:r>
      <w:bookmarkStart w:id="37" w:name="_Toc194399420"/>
      <w:bookmarkStart w:id="38" w:name="_Toc194919559"/>
      <w:bookmarkStart w:id="39" w:name="_Toc199016612"/>
      <w:r w:rsidR="00080196" w:rsidRPr="00065280">
        <w:rPr>
          <w:lang w:val="es-419"/>
        </w:rPr>
        <w:t>CP-11/10.</w:t>
      </w:r>
      <w:r w:rsidRPr="00065280">
        <w:rPr>
          <w:lang w:val="es-419"/>
        </w:rPr>
        <w:tab/>
      </w:r>
      <w:bookmarkEnd w:id="37"/>
      <w:bookmarkEnd w:id="38"/>
      <w:r w:rsidR="006B3D44" w:rsidRPr="00065280">
        <w:rPr>
          <w:lang w:val="es-419"/>
        </w:rPr>
        <w:t>Protocolo Suplementario de Nagoya-Kuala Lumpur sobre Responsabilidad y Compensación</w:t>
      </w:r>
      <w:bookmarkEnd w:id="39"/>
    </w:p>
    <w:p w14:paraId="67D6E090" w14:textId="77777777" w:rsidR="006B3D44" w:rsidRPr="00065280" w:rsidRDefault="006B3D44" w:rsidP="006B3D44">
      <w:pPr>
        <w:pStyle w:val="CBDDesicionText"/>
        <w:rPr>
          <w:lang w:val="es-419"/>
        </w:rPr>
      </w:pPr>
      <w:r w:rsidRPr="00065280">
        <w:rPr>
          <w:i/>
          <w:lang w:val="es-419"/>
        </w:rPr>
        <w:t>La Conferencia de las Partes que actúa como reunión de las Partes en el Protocolo de Cartagena y que también actúa como reunión de las Partes en el Protocolo Suplementario de Nagoya-Kuala Lumpur</w:t>
      </w:r>
      <w:r w:rsidRPr="00065280">
        <w:rPr>
          <w:rStyle w:val="FootnoteReference"/>
          <w:lang w:val="es-419"/>
        </w:rPr>
        <w:footnoteReference w:id="46"/>
      </w:r>
      <w:r w:rsidRPr="00065280">
        <w:rPr>
          <w:lang w:val="es-419"/>
        </w:rPr>
        <w:t>,</w:t>
      </w:r>
    </w:p>
    <w:p w14:paraId="3971E36F" w14:textId="77777777" w:rsidR="006B3D44" w:rsidRPr="00065280" w:rsidRDefault="006B3D44" w:rsidP="006B3D44">
      <w:pPr>
        <w:pStyle w:val="CBDDesicionText"/>
        <w:rPr>
          <w:lang w:val="es-419"/>
        </w:rPr>
      </w:pPr>
      <w:r w:rsidRPr="00065280">
        <w:rPr>
          <w:i/>
          <w:lang w:val="es-419"/>
        </w:rPr>
        <w:t>Recordando</w:t>
      </w:r>
      <w:r w:rsidRPr="00065280">
        <w:rPr>
          <w:lang w:val="es-419"/>
        </w:rPr>
        <w:t xml:space="preserve"> la decisión </w:t>
      </w:r>
      <w:hyperlink r:id="rId40" w:history="1">
        <w:r w:rsidRPr="00065280">
          <w:rPr>
            <w:rStyle w:val="Hyperlink"/>
            <w:lang w:val="es-419"/>
          </w:rPr>
          <w:t>CP-10/13</w:t>
        </w:r>
      </w:hyperlink>
      <w:r w:rsidRPr="00065280">
        <w:rPr>
          <w:lang w:val="es-419"/>
        </w:rPr>
        <w:t>, de 10 de diciembre de 2022, en particular su párrafo 8,</w:t>
      </w:r>
    </w:p>
    <w:p w14:paraId="612EDB1C" w14:textId="77777777" w:rsidR="006B3D44" w:rsidRPr="00065280" w:rsidRDefault="006B3D44" w:rsidP="006B3D44">
      <w:pPr>
        <w:pStyle w:val="CBDDesicionText"/>
        <w:rPr>
          <w:lang w:val="es-419"/>
        </w:rPr>
      </w:pPr>
      <w:r w:rsidRPr="00065280">
        <w:rPr>
          <w:i/>
          <w:lang w:val="es-419"/>
        </w:rPr>
        <w:t>Recordando también</w:t>
      </w:r>
      <w:r w:rsidRPr="00065280">
        <w:rPr>
          <w:lang w:val="es-419"/>
        </w:rPr>
        <w:t xml:space="preserve"> la meta A.10 del plan de aplicación</w:t>
      </w:r>
      <w:r w:rsidRPr="00065280">
        <w:rPr>
          <w:rStyle w:val="FootnoteReference"/>
          <w:rFonts w:asciiTheme="majorBidi" w:hAnsiTheme="majorBidi"/>
          <w:lang w:val="es-419"/>
        </w:rPr>
        <w:footnoteReference w:id="47"/>
      </w:r>
      <w:r w:rsidRPr="00065280">
        <w:rPr>
          <w:lang w:val="es-419"/>
        </w:rPr>
        <w:t xml:space="preserve"> y el plan de acción para la creación de capacidad</w:t>
      </w:r>
      <w:r w:rsidRPr="00065280">
        <w:rPr>
          <w:rStyle w:val="FootnoteReference"/>
          <w:rFonts w:asciiTheme="majorBidi" w:eastAsiaTheme="minorEastAsia" w:hAnsiTheme="majorBidi"/>
          <w:lang w:val="es-419"/>
        </w:rPr>
        <w:footnoteReference w:id="48"/>
      </w:r>
      <w:r w:rsidRPr="00065280">
        <w:rPr>
          <w:lang w:val="es-419"/>
        </w:rPr>
        <w:t xml:space="preserve"> para el Protocolo de Cartagena sobre Seguridad de la Biotecnología</w:t>
      </w:r>
      <w:r w:rsidRPr="00065280">
        <w:rPr>
          <w:rStyle w:val="FootnoteReference"/>
          <w:rFonts w:asciiTheme="majorBidi" w:eastAsiaTheme="minorEastAsia" w:hAnsiTheme="majorBidi"/>
          <w:lang w:val="es-419"/>
        </w:rPr>
        <w:footnoteReference w:id="49"/>
      </w:r>
      <w:r w:rsidRPr="00065280">
        <w:rPr>
          <w:lang w:val="es-419"/>
        </w:rPr>
        <w:t>,</w:t>
      </w:r>
    </w:p>
    <w:p w14:paraId="5D98AD71" w14:textId="77777777" w:rsidR="006B3D44" w:rsidRPr="00065280" w:rsidRDefault="006B3D44" w:rsidP="006B3D44">
      <w:pPr>
        <w:pStyle w:val="CBDDesicionText"/>
        <w:rPr>
          <w:lang w:val="es-419"/>
        </w:rPr>
      </w:pPr>
      <w:r w:rsidRPr="00065280">
        <w:rPr>
          <w:lang w:val="es-419"/>
        </w:rPr>
        <w:t>1.</w:t>
      </w:r>
      <w:r w:rsidRPr="00065280">
        <w:rPr>
          <w:i/>
          <w:lang w:val="es-419"/>
        </w:rPr>
        <w:tab/>
        <w:t>Acoge con satisfacción</w:t>
      </w:r>
      <w:r w:rsidRPr="00065280">
        <w:rPr>
          <w:lang w:val="es-419"/>
        </w:rPr>
        <w:t xml:space="preserve"> los instrumentos adicionales de ratificación, aceptación, aprobación o adhesión al Protocolo de Nagoya-Kuala Lumpur sobre Responsabilidad y Compensación Suplementario al Protocolo de Cartagena</w:t>
      </w:r>
      <w:r w:rsidRPr="00065280">
        <w:rPr>
          <w:rStyle w:val="FootnoteReference"/>
          <w:lang w:val="es-419"/>
        </w:rPr>
        <w:footnoteReference w:id="50"/>
      </w:r>
      <w:r w:rsidRPr="00065280">
        <w:rPr>
          <w:lang w:val="es-419"/>
        </w:rPr>
        <w:t xml:space="preserve"> que se han depositado desde la adopción de la decisión </w:t>
      </w:r>
      <w:hyperlink r:id="rId41" w:history="1">
        <w:r w:rsidRPr="00065280">
          <w:rPr>
            <w:rStyle w:val="Hyperlink"/>
            <w:lang w:val="es-419"/>
          </w:rPr>
          <w:t>CP-10/13</w:t>
        </w:r>
      </w:hyperlink>
      <w:r w:rsidRPr="00065280">
        <w:rPr>
          <w:lang w:val="es-419"/>
        </w:rPr>
        <w:t>;</w:t>
      </w:r>
    </w:p>
    <w:p w14:paraId="4542B3F3" w14:textId="77777777" w:rsidR="006B3D44" w:rsidRPr="00065280" w:rsidRDefault="006B3D44" w:rsidP="006B3D44">
      <w:pPr>
        <w:pStyle w:val="CBDDesicionText"/>
        <w:rPr>
          <w:lang w:val="es-419"/>
        </w:rPr>
      </w:pPr>
      <w:r w:rsidRPr="00065280">
        <w:rPr>
          <w:lang w:val="es-419"/>
        </w:rPr>
        <w:t>2.</w:t>
      </w:r>
      <w:r w:rsidRPr="00065280">
        <w:rPr>
          <w:i/>
          <w:lang w:val="es-419"/>
        </w:rPr>
        <w:tab/>
      </w:r>
      <w:r w:rsidRPr="00065280">
        <w:rPr>
          <w:i/>
          <w:color w:val="000000" w:themeColor="text1"/>
          <w:lang w:val="es-419"/>
        </w:rPr>
        <w:t>Observa con pesar</w:t>
      </w:r>
      <w:r w:rsidRPr="00065280">
        <w:rPr>
          <w:color w:val="000000" w:themeColor="text1"/>
          <w:lang w:val="es-419"/>
        </w:rPr>
        <w:t xml:space="preserve"> el reducido número de Partes en el Protocolo de Cartagena que han ratificado el Protocolo Suplementario de Nagoya-Kuala Lumpur, e</w:t>
      </w:r>
      <w:r w:rsidRPr="00065280">
        <w:rPr>
          <w:i/>
          <w:lang w:val="es-419"/>
        </w:rPr>
        <w:t xml:space="preserve"> </w:t>
      </w:r>
      <w:r w:rsidRPr="00065280">
        <w:rPr>
          <w:lang w:val="es-419"/>
        </w:rPr>
        <w:t>invita</w:t>
      </w:r>
      <w:r w:rsidRPr="00065280">
        <w:rPr>
          <w:i/>
          <w:lang w:val="es-419"/>
        </w:rPr>
        <w:t xml:space="preserve"> </w:t>
      </w:r>
      <w:r w:rsidRPr="00065280">
        <w:rPr>
          <w:lang w:val="es-419"/>
        </w:rPr>
        <w:t>a todas las Partes en el Protocolo de Cartagena que aún no lo hayan hecho a depositar un instrumento de ratificación, aceptación, aprobación o adhesión al Protocolo Suplementario lo antes posible;</w:t>
      </w:r>
    </w:p>
    <w:p w14:paraId="2AFE3A56" w14:textId="77777777" w:rsidR="006B3D44" w:rsidRPr="00065280" w:rsidRDefault="006B3D44" w:rsidP="006B3D44">
      <w:pPr>
        <w:pStyle w:val="CBDDesicionText"/>
        <w:rPr>
          <w:b/>
          <w:bCs/>
          <w:caps/>
          <w:lang w:val="es-419"/>
        </w:rPr>
      </w:pPr>
      <w:r w:rsidRPr="00065280">
        <w:rPr>
          <w:lang w:val="es-419"/>
        </w:rPr>
        <w:t>3.</w:t>
      </w:r>
      <w:r w:rsidRPr="00065280">
        <w:rPr>
          <w:i/>
          <w:lang w:val="es-419"/>
        </w:rPr>
        <w:tab/>
        <w:t>Acoge con satisfacción</w:t>
      </w:r>
      <w:r w:rsidRPr="00065280">
        <w:rPr>
          <w:lang w:val="es-419"/>
        </w:rPr>
        <w:t xml:space="preserve"> los registros adicionales publicados en el Centro de Intercambio de Información sobre Seguridad de la Biotecnología que contienen los datos de contacto de las autoridades competentes para desempeñar las funciones establecidas en el artículo 5 del Protocolo Suplementario de Nagoya-Kuala Lumpur;</w:t>
      </w:r>
    </w:p>
    <w:p w14:paraId="7610AC89" w14:textId="77777777" w:rsidR="006B3D44" w:rsidRPr="00065280" w:rsidRDefault="006B3D44" w:rsidP="006B3D44">
      <w:pPr>
        <w:pStyle w:val="CBDDesicionText"/>
        <w:rPr>
          <w:b/>
          <w:bCs/>
          <w:caps/>
          <w:lang w:val="es-419"/>
        </w:rPr>
      </w:pPr>
      <w:r w:rsidRPr="00065280">
        <w:rPr>
          <w:lang w:val="es-419"/>
        </w:rPr>
        <w:t>4.</w:t>
      </w:r>
      <w:r w:rsidRPr="00065280">
        <w:rPr>
          <w:i/>
          <w:lang w:val="es-419"/>
        </w:rPr>
        <w:tab/>
        <w:t>Recuerda</w:t>
      </w:r>
      <w:r w:rsidRPr="00065280">
        <w:rPr>
          <w:lang w:val="es-419"/>
        </w:rPr>
        <w:t xml:space="preserve"> a las Partes en el Protocolo Suplementario de Nagoya-Kuala Lumpur que designen una autoridad competente para desempeñar las funciones establecidas en el artículo 5 del Protocolo Suplementario y que publiquen información sobre las autoridades competentes utilizando el formato común disponible a tales efectos en el Centro de Intercambio de Información sobre Seguridad de la Biotecnología;</w:t>
      </w:r>
    </w:p>
    <w:p w14:paraId="78B805EB" w14:textId="77777777" w:rsidR="006B3D44" w:rsidRPr="00065280" w:rsidRDefault="006B3D44" w:rsidP="006B3D44">
      <w:pPr>
        <w:pStyle w:val="CBDDesicionText"/>
        <w:rPr>
          <w:b/>
          <w:bCs/>
          <w:caps/>
          <w:lang w:val="es-419"/>
        </w:rPr>
      </w:pPr>
      <w:r w:rsidRPr="00065280">
        <w:rPr>
          <w:lang w:val="es-419"/>
        </w:rPr>
        <w:t>5.</w:t>
      </w:r>
      <w:r w:rsidRPr="00065280">
        <w:rPr>
          <w:i/>
          <w:lang w:val="es-419"/>
        </w:rPr>
        <w:tab/>
        <w:t>Acoge con satisfacción</w:t>
      </w:r>
      <w:r w:rsidRPr="00065280">
        <w:rPr>
          <w:lang w:val="es-419"/>
        </w:rPr>
        <w:t xml:space="preserve"> la información proporcionada por las Partes sobre las medidas establecidas para brindar garantías financieras en casos de daños provocados por organismos vivos modificados, si bien observa con pesar que solo unas pocas Partes han facilitado dicha información;</w:t>
      </w:r>
    </w:p>
    <w:p w14:paraId="46C7F5D7" w14:textId="77777777" w:rsidR="006B3D44" w:rsidRPr="00065280" w:rsidRDefault="006B3D44" w:rsidP="006B3D44">
      <w:pPr>
        <w:pStyle w:val="CBDDesicionText"/>
        <w:rPr>
          <w:b/>
          <w:bCs/>
          <w:caps/>
          <w:lang w:val="es-419"/>
        </w:rPr>
      </w:pPr>
      <w:r w:rsidRPr="00065280">
        <w:rPr>
          <w:lang w:val="es-419"/>
        </w:rPr>
        <w:t>6.</w:t>
      </w:r>
      <w:r w:rsidRPr="00065280">
        <w:rPr>
          <w:i/>
          <w:lang w:val="es-419"/>
        </w:rPr>
        <w:tab/>
        <w:t>Invita</w:t>
      </w:r>
      <w:r w:rsidRPr="00065280">
        <w:rPr>
          <w:lang w:val="es-419"/>
        </w:rPr>
        <w:t xml:space="preserve"> a las Partes a compartir, en sus quintos informes nacionales, información sobre mecanismos de garantía financiera, junto con otra información sobre medidas nacionales para la aplicación del Protocolo Suplementario de Nagoya-Kuala Lumpur, y pide a la Secretaria Ejecutiva </w:t>
      </w:r>
      <w:r w:rsidRPr="00065280">
        <w:rPr>
          <w:spacing w:val="-2"/>
          <w:lang w:val="es-419"/>
        </w:rPr>
        <w:t>del Convenio sobre la Diversidad Biológica</w:t>
      </w:r>
      <w:r w:rsidRPr="00065280">
        <w:rPr>
          <w:rStyle w:val="FootnoteReference"/>
          <w:spacing w:val="-2"/>
          <w:lang w:val="es-419"/>
        </w:rPr>
        <w:footnoteReference w:id="51"/>
      </w:r>
      <w:r w:rsidRPr="00065280">
        <w:rPr>
          <w:spacing w:val="-2"/>
          <w:lang w:val="es-419"/>
        </w:rPr>
        <w:t xml:space="preserve"> que utilice esa información cuando prepare la documentación relativa a la primera evaluación y revisión de la eficacia del Protocolo Suplementario</w:t>
      </w:r>
      <w:r w:rsidRPr="00065280">
        <w:rPr>
          <w:rStyle w:val="FootnoteReference"/>
          <w:spacing w:val="-2"/>
          <w:lang w:val="es-419"/>
        </w:rPr>
        <w:footnoteReference w:id="52"/>
      </w:r>
      <w:r w:rsidRPr="00065280">
        <w:rPr>
          <w:spacing w:val="-2"/>
          <w:lang w:val="es-419"/>
        </w:rPr>
        <w:t>;</w:t>
      </w:r>
      <w:r w:rsidRPr="00065280">
        <w:rPr>
          <w:rStyle w:val="FootnoteReference"/>
          <w:lang w:val="es-419"/>
        </w:rPr>
        <w:t xml:space="preserve"> </w:t>
      </w:r>
    </w:p>
    <w:p w14:paraId="002F217C" w14:textId="77777777" w:rsidR="006B3D44" w:rsidRPr="00065280" w:rsidRDefault="006B3D44" w:rsidP="006B3D44">
      <w:pPr>
        <w:pStyle w:val="CBDDesicionText"/>
        <w:rPr>
          <w:lang w:val="es-419"/>
        </w:rPr>
      </w:pPr>
      <w:r w:rsidRPr="00065280">
        <w:rPr>
          <w:lang w:val="es-419"/>
        </w:rPr>
        <w:t>7.</w:t>
      </w:r>
      <w:r w:rsidRPr="00065280">
        <w:rPr>
          <w:i/>
          <w:lang w:val="es-419"/>
        </w:rPr>
        <w:tab/>
        <w:t>Invita</w:t>
      </w:r>
      <w:r w:rsidRPr="00065280">
        <w:rPr>
          <w:lang w:val="es-419"/>
        </w:rPr>
        <w:t xml:space="preserve"> a las Partes, otros Gobiernos y organizaciones a llevar a cabo actividades de concienciación y de creación de capacidad en apoyo a la ratificación y la aplicación efectiva del Protocolo Suplementario de Nagoya-Kuala Lumpur, y alienta a los donantes a que proporcionen los </w:t>
      </w:r>
      <w:r w:rsidRPr="00065280">
        <w:rPr>
          <w:lang w:val="es-419"/>
        </w:rPr>
        <w:lastRenderedPageBreak/>
        <w:t>recursos necesarios a este respecto, de conformidad con la meta A.10 del plan de aplicación y el plan de acción para la creación de capacidad para el Protocolo de Cartagena;</w:t>
      </w:r>
    </w:p>
    <w:p w14:paraId="33EEEEDD" w14:textId="2B244680" w:rsidR="00080196" w:rsidRPr="00065280" w:rsidRDefault="006B3D44" w:rsidP="006B3D44">
      <w:pPr>
        <w:pStyle w:val="CBDDesicionText"/>
        <w:rPr>
          <w:lang w:val="es-419"/>
        </w:rPr>
      </w:pPr>
      <w:r w:rsidRPr="00065280">
        <w:rPr>
          <w:lang w:val="es-419"/>
        </w:rPr>
        <w:t>8.</w:t>
      </w:r>
      <w:r w:rsidRPr="00065280">
        <w:rPr>
          <w:lang w:val="es-419"/>
        </w:rPr>
        <w:tab/>
      </w:r>
      <w:r w:rsidRPr="00065280">
        <w:rPr>
          <w:i/>
          <w:iCs/>
          <w:lang w:val="es-419"/>
        </w:rPr>
        <w:t>Pide</w:t>
      </w:r>
      <w:r w:rsidRPr="00065280">
        <w:rPr>
          <w:lang w:val="es-419"/>
        </w:rPr>
        <w:t xml:space="preserve"> a la Secretaria Ejecutiva que, con sujeción a la disponibilidad de recursos, siga llevando a cabo actividades de concienciación y de creación de capacidad y prestando apoyo a las Partes para la aplicación del Protocolo Suplementario de Nagoya-Kuala Lumpur a nivel nacional</w:t>
      </w:r>
      <w:r w:rsidR="00080196" w:rsidRPr="00065280">
        <w:rPr>
          <w:lang w:val="es-419"/>
        </w:rPr>
        <w:t>.</w:t>
      </w:r>
      <w:r w:rsidR="00080196" w:rsidRPr="00065280">
        <w:rPr>
          <w:lang w:val="es-419"/>
        </w:rPr>
        <w:br w:type="page"/>
      </w:r>
    </w:p>
    <w:p w14:paraId="704E540C" w14:textId="5B9BAEC1" w:rsidR="00080196" w:rsidRPr="00065280" w:rsidRDefault="00820E7D" w:rsidP="00820E7D">
      <w:pPr>
        <w:pStyle w:val="CBDH2"/>
        <w:jc w:val="left"/>
        <w:rPr>
          <w:lang w:val="es-419"/>
        </w:rPr>
      </w:pPr>
      <w:r w:rsidRPr="00065280">
        <w:rPr>
          <w:lang w:val="es-419"/>
        </w:rPr>
        <w:lastRenderedPageBreak/>
        <w:tab/>
      </w:r>
      <w:bookmarkStart w:id="40" w:name="_Toc194399421"/>
      <w:bookmarkStart w:id="41" w:name="_Toc194919560"/>
      <w:bookmarkStart w:id="42" w:name="_Toc199016613"/>
      <w:r w:rsidR="00080196" w:rsidRPr="00065280">
        <w:rPr>
          <w:lang w:val="es-419"/>
        </w:rPr>
        <w:t>CP-11/11.</w:t>
      </w:r>
      <w:r w:rsidR="00080196" w:rsidRPr="00065280">
        <w:rPr>
          <w:lang w:val="es-419"/>
        </w:rPr>
        <w:tab/>
      </w:r>
      <w:bookmarkEnd w:id="40"/>
      <w:bookmarkEnd w:id="41"/>
      <w:r w:rsidR="00ED2A5A" w:rsidRPr="00065280">
        <w:rPr>
          <w:lang w:val="es-419"/>
        </w:rPr>
        <w:t>Administración del Protocolo de Cartagena y presupuesto para los fondos fiduciarios</w:t>
      </w:r>
      <w:bookmarkEnd w:id="42"/>
    </w:p>
    <w:p w14:paraId="44CE69B7" w14:textId="77777777" w:rsidR="00ED2A5A" w:rsidRPr="00065280" w:rsidRDefault="00ED2A5A" w:rsidP="00ED2A5A">
      <w:pPr>
        <w:pStyle w:val="CBDDesicionText"/>
        <w:rPr>
          <w:i/>
          <w:iCs/>
          <w:lang w:val="es-419"/>
        </w:rPr>
      </w:pPr>
      <w:r w:rsidRPr="00065280">
        <w:rPr>
          <w:i/>
          <w:lang w:val="es-419"/>
        </w:rPr>
        <w:t>La Conferencia de las Partes que actúa como reunión de las Partes en el Protocolo de Cartagena</w:t>
      </w:r>
    </w:p>
    <w:p w14:paraId="3DBA72F6" w14:textId="77777777" w:rsidR="00ED2A5A" w:rsidRPr="00065280" w:rsidRDefault="00ED2A5A" w:rsidP="00ED2A5A">
      <w:pPr>
        <w:pStyle w:val="CBDDesicionText"/>
        <w:rPr>
          <w:lang w:val="es-419"/>
        </w:rPr>
      </w:pPr>
      <w:r w:rsidRPr="00065280">
        <w:rPr>
          <w:rFonts w:asciiTheme="majorBidi" w:hAnsiTheme="majorBidi"/>
          <w:lang w:val="es-419"/>
        </w:rPr>
        <w:t>1.</w:t>
      </w:r>
      <w:r w:rsidRPr="00065280">
        <w:rPr>
          <w:rFonts w:asciiTheme="majorBidi" w:hAnsiTheme="majorBidi"/>
          <w:lang w:val="es-419"/>
        </w:rPr>
        <w:tab/>
      </w:r>
      <w:r w:rsidRPr="00065280">
        <w:rPr>
          <w:i/>
          <w:lang w:val="es-419"/>
        </w:rPr>
        <w:t xml:space="preserve">Decide </w:t>
      </w:r>
      <w:r w:rsidRPr="00065280">
        <w:rPr>
          <w:lang w:val="es-419"/>
        </w:rPr>
        <w:t>adoptar un programa integrado de trabajo y presupuesto para el Convenio sobre la Diversidad Biológica</w:t>
      </w:r>
      <w:r w:rsidRPr="00065280">
        <w:rPr>
          <w:rStyle w:val="FootnoteReference"/>
          <w:rFonts w:eastAsia="Malgun Gothic"/>
          <w:iCs/>
          <w:color w:val="000000" w:themeColor="text1"/>
          <w:kern w:val="20"/>
          <w:lang w:val="es-419" w:eastAsia="ko-KR"/>
        </w:rPr>
        <w:footnoteReference w:id="53"/>
      </w:r>
      <w:r w:rsidRPr="00065280">
        <w:rPr>
          <w:lang w:val="es-419"/>
        </w:rPr>
        <w:t>, el Protocolo de Cartagena sobre Seguridad de la Biotecnología</w:t>
      </w:r>
      <w:r w:rsidRPr="00065280">
        <w:rPr>
          <w:rStyle w:val="FootnoteReference"/>
          <w:rFonts w:eastAsia="Malgun Gothic"/>
          <w:iCs/>
          <w:color w:val="000000" w:themeColor="text1"/>
          <w:kern w:val="20"/>
          <w:lang w:val="es-419" w:eastAsia="ko-KR"/>
        </w:rPr>
        <w:footnoteReference w:id="54"/>
      </w:r>
      <w:r w:rsidRPr="00065280">
        <w:rPr>
          <w:lang w:val="es-419"/>
        </w:rPr>
        <w:t xml:space="preserve"> y el Protocolo de Nagoya sobre Acceso a los Recursos Genéticos y Participación Justa y Equitativa en los Beneficios que se Deriven de su Utilización</w:t>
      </w:r>
      <w:r w:rsidRPr="00065280">
        <w:rPr>
          <w:rStyle w:val="FootnoteReference"/>
          <w:rFonts w:eastAsia="Malgun Gothic"/>
          <w:iCs/>
          <w:color w:val="000000" w:themeColor="text1"/>
          <w:kern w:val="20"/>
          <w:lang w:val="es-419" w:eastAsia="ko-KR"/>
        </w:rPr>
        <w:footnoteReference w:id="55"/>
      </w:r>
      <w:r w:rsidRPr="00065280">
        <w:rPr>
          <w:lang w:val="es-419"/>
        </w:rPr>
        <w:t>;</w:t>
      </w:r>
    </w:p>
    <w:p w14:paraId="34D92D45" w14:textId="77777777" w:rsidR="00ED2A5A" w:rsidRPr="00065280" w:rsidRDefault="00ED2A5A" w:rsidP="00ED2A5A">
      <w:pPr>
        <w:pStyle w:val="CBDDesicionText"/>
        <w:rPr>
          <w:lang w:val="es-419"/>
        </w:rPr>
      </w:pPr>
      <w:r w:rsidRPr="00065280">
        <w:rPr>
          <w:rFonts w:asciiTheme="majorBidi" w:hAnsiTheme="majorBidi"/>
          <w:lang w:val="es-419"/>
        </w:rPr>
        <w:t>2.</w:t>
      </w:r>
      <w:r w:rsidRPr="00065280">
        <w:rPr>
          <w:rFonts w:asciiTheme="majorBidi" w:hAnsiTheme="majorBidi"/>
          <w:lang w:val="es-419"/>
        </w:rPr>
        <w:tab/>
      </w:r>
      <w:r w:rsidRPr="00065280">
        <w:rPr>
          <w:i/>
          <w:lang w:val="es-419"/>
        </w:rPr>
        <w:t>Decide asimismo</w:t>
      </w:r>
      <w:r w:rsidRPr="00065280">
        <w:rPr>
          <w:lang w:val="es-419"/>
        </w:rPr>
        <w:t xml:space="preserve"> dividir la totalidad de los costos de los servicios de la Secretaría entre el Convenio, el Protocolo de Cartagena y el Protocolo de Nagoya en una proporción de 72, 15 y 13 %, respectivamente, para el bienio 2025</w:t>
      </w:r>
      <w:r w:rsidRPr="00065280">
        <w:rPr>
          <w:rFonts w:asciiTheme="majorBidi" w:hAnsiTheme="majorBidi"/>
          <w:lang w:val="es-419"/>
        </w:rPr>
        <w:t>-</w:t>
      </w:r>
      <w:r w:rsidRPr="00065280">
        <w:rPr>
          <w:lang w:val="es-419"/>
        </w:rPr>
        <w:t>2026;</w:t>
      </w:r>
    </w:p>
    <w:p w14:paraId="0AAA8B1C" w14:textId="77777777" w:rsidR="00ED2A5A" w:rsidRPr="00065280" w:rsidRDefault="00ED2A5A" w:rsidP="00ED2A5A">
      <w:pPr>
        <w:pStyle w:val="CBDDesicionText"/>
        <w:rPr>
          <w:lang w:val="es-419"/>
        </w:rPr>
      </w:pPr>
      <w:r w:rsidRPr="00065280">
        <w:rPr>
          <w:rFonts w:asciiTheme="majorBidi" w:hAnsiTheme="majorBidi"/>
          <w:lang w:val="es-419"/>
        </w:rPr>
        <w:t>3.</w:t>
      </w:r>
      <w:r w:rsidRPr="00065280">
        <w:rPr>
          <w:rFonts w:asciiTheme="majorBidi" w:hAnsiTheme="majorBidi"/>
          <w:lang w:val="es-419"/>
        </w:rPr>
        <w:tab/>
      </w:r>
      <w:r w:rsidRPr="00065280">
        <w:rPr>
          <w:i/>
          <w:lang w:val="es-419"/>
        </w:rPr>
        <w:t>Aprueba</w:t>
      </w:r>
      <w:r w:rsidRPr="00065280">
        <w:rPr>
          <w:lang w:val="es-419"/>
        </w:rPr>
        <w:t xml:space="preserve"> un presupuesto básico por programas para el Protocolo de Cartagena de 3.252.308 dólares de los Estados Unidos para el año 2025 y de 3.413.007 dólares para el año 2026, lo que representa el 15 % del presupuesto integrado de 21.682.052 dólares para 2025 y 22.753.379</w:t>
      </w:r>
      <w:r w:rsidRPr="00065280">
        <w:rPr>
          <w:rFonts w:asciiTheme="majorBidi" w:hAnsiTheme="majorBidi"/>
          <w:lang w:val="es-419"/>
        </w:rPr>
        <w:t> </w:t>
      </w:r>
      <w:r w:rsidRPr="00065280">
        <w:rPr>
          <w:lang w:val="es-419"/>
        </w:rPr>
        <w:t>dólares para 2026 para el Convenio y los Protocolos, para los fines indicados en los cuadros 1 y 2 que figuran más adelante;</w:t>
      </w:r>
    </w:p>
    <w:p w14:paraId="4BA758E2" w14:textId="77777777" w:rsidR="00ED2A5A" w:rsidRPr="00065280" w:rsidRDefault="00ED2A5A" w:rsidP="00ED2A5A">
      <w:pPr>
        <w:pStyle w:val="CBDDesicionText"/>
        <w:rPr>
          <w:lang w:val="es-419"/>
        </w:rPr>
      </w:pPr>
      <w:bookmarkStart w:id="43" w:name="_Hlk533085716"/>
      <w:r w:rsidRPr="00065280">
        <w:rPr>
          <w:rFonts w:asciiTheme="majorBidi" w:hAnsiTheme="majorBidi"/>
          <w:lang w:val="es-419"/>
        </w:rPr>
        <w:t>4.</w:t>
      </w:r>
      <w:r w:rsidRPr="00065280">
        <w:rPr>
          <w:rFonts w:asciiTheme="majorBidi" w:hAnsiTheme="majorBidi"/>
          <w:lang w:val="es-419"/>
        </w:rPr>
        <w:tab/>
      </w:r>
      <w:r w:rsidRPr="00065280">
        <w:rPr>
          <w:rFonts w:asciiTheme="majorBidi" w:hAnsiTheme="majorBidi"/>
          <w:i/>
          <w:lang w:val="es-419"/>
        </w:rPr>
        <w:t>Aprueba también</w:t>
      </w:r>
      <w:r w:rsidRPr="00065280">
        <w:rPr>
          <w:rFonts w:asciiTheme="majorBidi" w:hAnsiTheme="majorBidi"/>
          <w:lang w:val="es-419"/>
        </w:rPr>
        <w:t>, en caso de que no haya disponibilidad en la sede de la Organización de Aviación Civil Internacional para celebrar las reuniones de los órganos subsidiarios durante el bienio 2025-2026, un presupuesto por programas adicional no superior a 28.975 dólares para 2025 y a 28.975 dólares para 2026, lo que representa el 15 % del presupuesto integrado adicional de 193.168 dólares para 2025 y 193.168 dólares para 2026 para el Convenio y sus Protocolos. El presupuesto por programas adicional se deducirá del saldo no utilizado del Fondo Fiduciario General para el Presupuesto Básico por Programas para el Protocolo de Cartagena;</w:t>
      </w:r>
    </w:p>
    <w:p w14:paraId="6E09BA47" w14:textId="77777777" w:rsidR="00ED2A5A" w:rsidRPr="00065280" w:rsidRDefault="00ED2A5A" w:rsidP="00ED2A5A">
      <w:pPr>
        <w:pStyle w:val="CBDDesicionText"/>
        <w:rPr>
          <w:lang w:val="es-419"/>
        </w:rPr>
      </w:pPr>
      <w:r w:rsidRPr="00065280">
        <w:rPr>
          <w:rFonts w:asciiTheme="majorBidi" w:hAnsiTheme="majorBidi"/>
          <w:lang w:val="es-419"/>
        </w:rPr>
        <w:t>5.</w:t>
      </w:r>
      <w:r w:rsidRPr="00065280">
        <w:rPr>
          <w:rFonts w:asciiTheme="majorBidi" w:hAnsiTheme="majorBidi"/>
          <w:lang w:val="es-419"/>
        </w:rPr>
        <w:tab/>
      </w:r>
      <w:r w:rsidRPr="00065280">
        <w:rPr>
          <w:i/>
          <w:lang w:val="es-419"/>
        </w:rPr>
        <w:t>Adopta</w:t>
      </w:r>
      <w:r w:rsidRPr="00065280">
        <w:rPr>
          <w:lang w:val="es-419"/>
        </w:rPr>
        <w:t xml:space="preserve"> la escala de cuotas para el prorrateo de los gastos de 2025 y 2026, de conformidad con la escala de cuotas de las Naciones Unidas</w:t>
      </w:r>
      <w:r w:rsidRPr="00065280">
        <w:rPr>
          <w:rStyle w:val="FootnoteReference"/>
          <w:rFonts w:eastAsia="Malgun Gothic"/>
          <w:iCs/>
          <w:color w:val="000000" w:themeColor="text1"/>
          <w:kern w:val="20"/>
          <w:lang w:val="es-419" w:eastAsia="x-none"/>
        </w:rPr>
        <w:footnoteReference w:id="56"/>
      </w:r>
      <w:r w:rsidRPr="00065280">
        <w:rPr>
          <w:lang w:val="es-419"/>
        </w:rPr>
        <w:t>, según figura en el anexo a la presente decisión;</w:t>
      </w:r>
    </w:p>
    <w:bookmarkEnd w:id="43"/>
    <w:p w14:paraId="7BD88A9A" w14:textId="063C3061" w:rsidR="00080196" w:rsidRPr="00065280" w:rsidRDefault="00ED2A5A" w:rsidP="00ED2A5A">
      <w:pPr>
        <w:pStyle w:val="CBDDesicionText"/>
        <w:rPr>
          <w:rFonts w:eastAsia="Malgun Gothic"/>
          <w:iCs/>
          <w:color w:val="000000" w:themeColor="text1"/>
          <w:kern w:val="20"/>
          <w:lang w:val="es-419" w:eastAsia="x-none"/>
        </w:rPr>
      </w:pPr>
      <w:r w:rsidRPr="00065280">
        <w:rPr>
          <w:rFonts w:asciiTheme="majorBidi" w:hAnsiTheme="majorBidi"/>
          <w:color w:val="000000" w:themeColor="text1"/>
          <w:lang w:val="es-419"/>
        </w:rPr>
        <w:t>6.</w:t>
      </w:r>
      <w:r w:rsidRPr="00065280">
        <w:rPr>
          <w:rFonts w:asciiTheme="majorBidi" w:hAnsiTheme="majorBidi"/>
          <w:color w:val="000000" w:themeColor="text1"/>
          <w:lang w:val="es-419"/>
        </w:rPr>
        <w:tab/>
      </w:r>
      <w:r w:rsidRPr="00065280">
        <w:rPr>
          <w:rFonts w:ascii="TimesNewRomanPS" w:hAnsi="TimesNewRomanPS"/>
          <w:i/>
          <w:lang w:val="es-419"/>
        </w:rPr>
        <w:t xml:space="preserve">Decide </w:t>
      </w:r>
      <w:r w:rsidRPr="00065280">
        <w:rPr>
          <w:lang w:val="es-419"/>
        </w:rPr>
        <w:t xml:space="preserve">aplicar, </w:t>
      </w:r>
      <w:r w:rsidRPr="00065280">
        <w:rPr>
          <w:i/>
          <w:iCs/>
          <w:lang w:val="es-419"/>
        </w:rPr>
        <w:t>mutatis mutandis,</w:t>
      </w:r>
      <w:r w:rsidRPr="00065280">
        <w:rPr>
          <w:lang w:val="es-419"/>
        </w:rPr>
        <w:t xml:space="preserve"> los párrafos 5 a 7 y 9 a 43 de la decisión 16/28 de 6 de diciembre de 2024 de la Conferencia de las Partes en el Convenio, titulada “Administración del Convenio y presupuesto para los fondos fiduciarios”.</w:t>
      </w:r>
    </w:p>
    <w:p w14:paraId="02D4A6F9" w14:textId="77777777" w:rsidR="00ED2A5A" w:rsidRPr="00065280" w:rsidRDefault="00ED2A5A" w:rsidP="00ED2A5A">
      <w:pPr>
        <w:pStyle w:val="CBDTableTitle"/>
        <w:rPr>
          <w:lang w:val="es-419"/>
        </w:rPr>
      </w:pPr>
      <w:r w:rsidRPr="00065280">
        <w:rPr>
          <w:b w:val="0"/>
          <w:lang w:val="es-419"/>
        </w:rPr>
        <w:t>Cuadro 1</w:t>
      </w:r>
      <w:r w:rsidRPr="00065280">
        <w:rPr>
          <w:b w:val="0"/>
          <w:lang w:val="es-419"/>
        </w:rPr>
        <w:br/>
      </w:r>
      <w:r w:rsidRPr="00065280">
        <w:rPr>
          <w:lang w:val="es-419"/>
        </w:rPr>
        <w:t xml:space="preserve">Presupuesto bienal integrado de los </w:t>
      </w:r>
      <w:bookmarkStart w:id="44" w:name="_Hlk183617486"/>
      <w:r w:rsidRPr="00065280">
        <w:rPr>
          <w:lang w:val="es-419"/>
        </w:rPr>
        <w:t xml:space="preserve">fondos fiduciarios básicos del </w:t>
      </w:r>
      <w:bookmarkEnd w:id="44"/>
      <w:r w:rsidRPr="00065280">
        <w:rPr>
          <w:lang w:val="es-419"/>
        </w:rPr>
        <w:t>Convenio y sus Protocolos, 2025-2026 (por objeto de gastos)</w:t>
      </w:r>
    </w:p>
    <w:p w14:paraId="33166052" w14:textId="77777777" w:rsidR="00ED2A5A" w:rsidRPr="00065280" w:rsidRDefault="00ED2A5A" w:rsidP="00ED2A5A">
      <w:pPr>
        <w:pStyle w:val="CBDNormal"/>
        <w:spacing w:after="60"/>
        <w:ind w:left="567"/>
        <w:rPr>
          <w:sz w:val="18"/>
          <w:szCs w:val="18"/>
          <w:lang w:val="es-419"/>
        </w:rPr>
      </w:pPr>
      <w:r w:rsidRPr="00065280">
        <w:rPr>
          <w:sz w:val="18"/>
          <w:lang w:val="es-419"/>
        </w:rPr>
        <w:t>(miles de dólares de los Estados Unidos)</w:t>
      </w:r>
    </w:p>
    <w:tbl>
      <w:tblPr>
        <w:tblW w:w="4548" w:type="pct"/>
        <w:tblInd w:w="562" w:type="dxa"/>
        <w:tblCellMar>
          <w:left w:w="0" w:type="dxa"/>
          <w:right w:w="0" w:type="dxa"/>
        </w:tblCellMar>
        <w:tblLook w:val="01E0" w:firstRow="1" w:lastRow="1" w:firstColumn="1" w:lastColumn="1" w:noHBand="0" w:noVBand="0"/>
      </w:tblPr>
      <w:tblGrid>
        <w:gridCol w:w="4259"/>
        <w:gridCol w:w="1420"/>
        <w:gridCol w:w="1277"/>
        <w:gridCol w:w="1558"/>
      </w:tblGrid>
      <w:tr w:rsidR="00ED2A5A" w:rsidRPr="00065280" w14:paraId="2DDC8F80" w14:textId="77777777" w:rsidTr="00E824E6">
        <w:trPr>
          <w:tblHeader/>
        </w:trPr>
        <w:tc>
          <w:tcPr>
            <w:tcW w:w="2501" w:type="pct"/>
            <w:tcBorders>
              <w:top w:val="single" w:sz="4" w:space="0" w:color="auto"/>
              <w:bottom w:val="single" w:sz="4" w:space="0" w:color="auto"/>
            </w:tcBorders>
          </w:tcPr>
          <w:p w14:paraId="7C79F6AA" w14:textId="77777777" w:rsidR="00ED2A5A" w:rsidRPr="00065280" w:rsidRDefault="00ED2A5A" w:rsidP="00E824E6">
            <w:pPr>
              <w:spacing w:before="40" w:after="40"/>
              <w:rPr>
                <w:i/>
                <w:iCs/>
                <w:sz w:val="18"/>
                <w:szCs w:val="18"/>
                <w:lang w:val="es-419"/>
              </w:rPr>
            </w:pPr>
            <w:r w:rsidRPr="00065280">
              <w:rPr>
                <w:i/>
                <w:sz w:val="18"/>
                <w:lang w:val="es-419"/>
              </w:rPr>
              <w:t>Objeto de gasto</w:t>
            </w:r>
          </w:p>
        </w:tc>
        <w:tc>
          <w:tcPr>
            <w:tcW w:w="834" w:type="pct"/>
            <w:tcBorders>
              <w:top w:val="single" w:sz="4" w:space="0" w:color="auto"/>
              <w:bottom w:val="single" w:sz="4" w:space="0" w:color="auto"/>
            </w:tcBorders>
          </w:tcPr>
          <w:p w14:paraId="6DF8D689" w14:textId="77777777" w:rsidR="00ED2A5A" w:rsidRPr="00065280" w:rsidRDefault="00ED2A5A" w:rsidP="00E824E6">
            <w:pPr>
              <w:spacing w:before="40" w:after="40"/>
              <w:ind w:right="140"/>
              <w:jc w:val="right"/>
              <w:rPr>
                <w:i/>
                <w:iCs/>
                <w:sz w:val="18"/>
                <w:szCs w:val="18"/>
                <w:lang w:val="es-419"/>
              </w:rPr>
            </w:pPr>
            <w:r w:rsidRPr="00065280">
              <w:rPr>
                <w:i/>
                <w:sz w:val="18"/>
                <w:lang w:val="es-419"/>
              </w:rPr>
              <w:t>2025</w:t>
            </w:r>
          </w:p>
        </w:tc>
        <w:tc>
          <w:tcPr>
            <w:tcW w:w="750" w:type="pct"/>
            <w:tcBorders>
              <w:top w:val="single" w:sz="4" w:space="0" w:color="auto"/>
              <w:bottom w:val="single" w:sz="4" w:space="0" w:color="auto"/>
            </w:tcBorders>
          </w:tcPr>
          <w:p w14:paraId="7E4B2C7E" w14:textId="77777777" w:rsidR="00ED2A5A" w:rsidRPr="00065280" w:rsidRDefault="00ED2A5A" w:rsidP="00E824E6">
            <w:pPr>
              <w:tabs>
                <w:tab w:val="clear" w:pos="1134"/>
              </w:tabs>
              <w:spacing w:before="40" w:after="40"/>
              <w:ind w:right="142"/>
              <w:jc w:val="right"/>
              <w:rPr>
                <w:i/>
                <w:iCs/>
                <w:sz w:val="18"/>
                <w:szCs w:val="18"/>
                <w:lang w:val="es-419"/>
              </w:rPr>
            </w:pPr>
            <w:r w:rsidRPr="00065280">
              <w:rPr>
                <w:i/>
                <w:sz w:val="18"/>
                <w:lang w:val="es-419"/>
              </w:rPr>
              <w:t>2026</w:t>
            </w:r>
          </w:p>
        </w:tc>
        <w:tc>
          <w:tcPr>
            <w:tcW w:w="915" w:type="pct"/>
            <w:tcBorders>
              <w:top w:val="single" w:sz="4" w:space="0" w:color="auto"/>
              <w:bottom w:val="single" w:sz="4" w:space="0" w:color="auto"/>
            </w:tcBorders>
          </w:tcPr>
          <w:p w14:paraId="24F6DF2D" w14:textId="77777777" w:rsidR="00ED2A5A" w:rsidRPr="00065280" w:rsidRDefault="00ED2A5A" w:rsidP="00E824E6">
            <w:pPr>
              <w:spacing w:before="40" w:after="40"/>
              <w:jc w:val="right"/>
              <w:rPr>
                <w:i/>
                <w:iCs/>
                <w:sz w:val="18"/>
                <w:szCs w:val="18"/>
                <w:lang w:val="es-419"/>
              </w:rPr>
            </w:pPr>
            <w:r w:rsidRPr="00065280">
              <w:rPr>
                <w:i/>
                <w:sz w:val="18"/>
                <w:lang w:val="es-419"/>
              </w:rPr>
              <w:t>2025-2026</w:t>
            </w:r>
          </w:p>
        </w:tc>
      </w:tr>
      <w:tr w:rsidR="00ED2A5A" w:rsidRPr="00065280" w14:paraId="6295E740" w14:textId="77777777" w:rsidTr="00E824E6">
        <w:trPr>
          <w:trHeight w:val="258"/>
        </w:trPr>
        <w:tc>
          <w:tcPr>
            <w:tcW w:w="2501" w:type="pct"/>
            <w:tcBorders>
              <w:top w:val="single" w:sz="4" w:space="0" w:color="auto"/>
            </w:tcBorders>
          </w:tcPr>
          <w:p w14:paraId="0179E64A" w14:textId="77777777" w:rsidR="00ED2A5A" w:rsidRPr="00065280" w:rsidRDefault="00ED2A5A" w:rsidP="00E824E6">
            <w:pPr>
              <w:spacing w:before="40" w:after="40"/>
              <w:rPr>
                <w:sz w:val="18"/>
                <w:szCs w:val="18"/>
                <w:lang w:val="es-419"/>
              </w:rPr>
            </w:pPr>
            <w:r w:rsidRPr="00065280">
              <w:rPr>
                <w:sz w:val="18"/>
                <w:lang w:val="es-419"/>
              </w:rPr>
              <w:t>Gastos de personal</w:t>
            </w:r>
          </w:p>
        </w:tc>
        <w:tc>
          <w:tcPr>
            <w:tcW w:w="834" w:type="pct"/>
            <w:tcBorders>
              <w:top w:val="single" w:sz="4" w:space="0" w:color="auto"/>
            </w:tcBorders>
          </w:tcPr>
          <w:p w14:paraId="3C844E9E" w14:textId="77777777" w:rsidR="00ED2A5A" w:rsidRPr="00065280" w:rsidRDefault="00ED2A5A" w:rsidP="00E824E6">
            <w:pPr>
              <w:spacing w:before="40" w:after="40"/>
              <w:ind w:right="140"/>
              <w:jc w:val="right"/>
              <w:rPr>
                <w:sz w:val="18"/>
                <w:szCs w:val="18"/>
                <w:lang w:val="es-419"/>
              </w:rPr>
            </w:pPr>
            <w:r w:rsidRPr="00065280">
              <w:rPr>
                <w:sz w:val="18"/>
                <w:lang w:val="es-419"/>
              </w:rPr>
              <w:t>13 301,0</w:t>
            </w:r>
          </w:p>
        </w:tc>
        <w:tc>
          <w:tcPr>
            <w:tcW w:w="750" w:type="pct"/>
            <w:tcBorders>
              <w:top w:val="single" w:sz="4" w:space="0" w:color="auto"/>
            </w:tcBorders>
          </w:tcPr>
          <w:p w14:paraId="3AC8E3E8" w14:textId="77777777" w:rsidR="00ED2A5A" w:rsidRPr="00065280" w:rsidRDefault="00ED2A5A" w:rsidP="00E824E6">
            <w:pPr>
              <w:tabs>
                <w:tab w:val="clear" w:pos="1134"/>
              </w:tabs>
              <w:spacing w:before="40" w:after="40"/>
              <w:ind w:right="142"/>
              <w:jc w:val="right"/>
              <w:rPr>
                <w:sz w:val="18"/>
                <w:szCs w:val="18"/>
                <w:lang w:val="es-419"/>
              </w:rPr>
            </w:pPr>
            <w:r w:rsidRPr="00065280">
              <w:rPr>
                <w:sz w:val="18"/>
                <w:lang w:val="es-419"/>
              </w:rPr>
              <w:t>13 862,7</w:t>
            </w:r>
          </w:p>
        </w:tc>
        <w:tc>
          <w:tcPr>
            <w:tcW w:w="915" w:type="pct"/>
            <w:tcBorders>
              <w:top w:val="single" w:sz="4" w:space="0" w:color="auto"/>
            </w:tcBorders>
          </w:tcPr>
          <w:p w14:paraId="47DC1EC9" w14:textId="77777777" w:rsidR="00ED2A5A" w:rsidRPr="00065280" w:rsidRDefault="00ED2A5A" w:rsidP="00E824E6">
            <w:pPr>
              <w:spacing w:before="40" w:after="40"/>
              <w:ind w:right="135"/>
              <w:jc w:val="right"/>
              <w:rPr>
                <w:sz w:val="18"/>
                <w:szCs w:val="18"/>
                <w:lang w:val="es-419"/>
              </w:rPr>
            </w:pPr>
            <w:r w:rsidRPr="00065280">
              <w:rPr>
                <w:sz w:val="18"/>
                <w:lang w:val="es-419"/>
              </w:rPr>
              <w:t>27 163,7</w:t>
            </w:r>
          </w:p>
        </w:tc>
      </w:tr>
      <w:tr w:rsidR="00ED2A5A" w:rsidRPr="00065280" w14:paraId="340A1C33" w14:textId="77777777" w:rsidTr="00E824E6">
        <w:trPr>
          <w:trHeight w:val="229"/>
        </w:trPr>
        <w:tc>
          <w:tcPr>
            <w:tcW w:w="2501" w:type="pct"/>
          </w:tcPr>
          <w:p w14:paraId="2BD5611C" w14:textId="77777777" w:rsidR="00ED2A5A" w:rsidRPr="00065280" w:rsidRDefault="00ED2A5A" w:rsidP="00E824E6">
            <w:pPr>
              <w:spacing w:before="40" w:after="40"/>
              <w:rPr>
                <w:sz w:val="18"/>
                <w:szCs w:val="18"/>
                <w:lang w:val="es-419"/>
              </w:rPr>
            </w:pPr>
            <w:r w:rsidRPr="00065280">
              <w:rPr>
                <w:sz w:val="18"/>
                <w:lang w:val="es-419"/>
              </w:rPr>
              <w:t>Personal temporal general</w:t>
            </w:r>
          </w:p>
        </w:tc>
        <w:tc>
          <w:tcPr>
            <w:tcW w:w="834" w:type="pct"/>
          </w:tcPr>
          <w:p w14:paraId="33FB475D" w14:textId="77777777" w:rsidR="00ED2A5A" w:rsidRPr="00065280" w:rsidRDefault="00ED2A5A" w:rsidP="00E824E6">
            <w:pPr>
              <w:spacing w:before="40" w:after="40"/>
              <w:ind w:right="140"/>
              <w:jc w:val="right"/>
              <w:rPr>
                <w:sz w:val="18"/>
                <w:szCs w:val="18"/>
                <w:lang w:val="es-419"/>
              </w:rPr>
            </w:pPr>
            <w:r w:rsidRPr="00065280">
              <w:rPr>
                <w:sz w:val="18"/>
                <w:lang w:val="es-419"/>
              </w:rPr>
              <w:t>100,0</w:t>
            </w:r>
          </w:p>
        </w:tc>
        <w:tc>
          <w:tcPr>
            <w:tcW w:w="750" w:type="pct"/>
          </w:tcPr>
          <w:p w14:paraId="49ED8C9B" w14:textId="77777777" w:rsidR="00ED2A5A" w:rsidRPr="00065280" w:rsidRDefault="00ED2A5A" w:rsidP="00E824E6">
            <w:pPr>
              <w:tabs>
                <w:tab w:val="clear" w:pos="1134"/>
              </w:tabs>
              <w:spacing w:before="40" w:after="40"/>
              <w:ind w:right="142"/>
              <w:jc w:val="right"/>
              <w:rPr>
                <w:sz w:val="18"/>
                <w:szCs w:val="18"/>
                <w:lang w:val="es-419"/>
              </w:rPr>
            </w:pPr>
            <w:r w:rsidRPr="00065280">
              <w:rPr>
                <w:sz w:val="18"/>
                <w:lang w:val="es-419"/>
              </w:rPr>
              <w:t>100,0</w:t>
            </w:r>
          </w:p>
        </w:tc>
        <w:tc>
          <w:tcPr>
            <w:tcW w:w="915" w:type="pct"/>
          </w:tcPr>
          <w:p w14:paraId="3937FDA3" w14:textId="77777777" w:rsidR="00ED2A5A" w:rsidRPr="00065280" w:rsidRDefault="00ED2A5A" w:rsidP="00E824E6">
            <w:pPr>
              <w:spacing w:before="40" w:after="40"/>
              <w:ind w:right="135"/>
              <w:jc w:val="right"/>
              <w:rPr>
                <w:sz w:val="18"/>
                <w:szCs w:val="18"/>
                <w:lang w:val="es-419"/>
              </w:rPr>
            </w:pPr>
            <w:r w:rsidRPr="00065280">
              <w:rPr>
                <w:sz w:val="18"/>
                <w:lang w:val="es-419"/>
              </w:rPr>
              <w:t>200,0</w:t>
            </w:r>
          </w:p>
        </w:tc>
      </w:tr>
      <w:tr w:rsidR="00ED2A5A" w:rsidRPr="00065280" w14:paraId="4F2FF00E" w14:textId="77777777" w:rsidTr="00E824E6">
        <w:trPr>
          <w:trHeight w:val="249"/>
        </w:trPr>
        <w:tc>
          <w:tcPr>
            <w:tcW w:w="2501" w:type="pct"/>
          </w:tcPr>
          <w:p w14:paraId="02E89D08" w14:textId="77777777" w:rsidR="00ED2A5A" w:rsidRPr="00065280" w:rsidRDefault="00ED2A5A" w:rsidP="00E824E6">
            <w:pPr>
              <w:spacing w:before="40" w:after="40"/>
              <w:rPr>
                <w:sz w:val="18"/>
                <w:szCs w:val="18"/>
                <w:lang w:val="es-419"/>
              </w:rPr>
            </w:pPr>
            <w:r w:rsidRPr="00065280">
              <w:rPr>
                <w:sz w:val="18"/>
                <w:lang w:val="es-419"/>
              </w:rPr>
              <w:t>Reuniones de la Mesa</w:t>
            </w:r>
          </w:p>
        </w:tc>
        <w:tc>
          <w:tcPr>
            <w:tcW w:w="834" w:type="pct"/>
          </w:tcPr>
          <w:p w14:paraId="30DD00D7" w14:textId="77777777" w:rsidR="00ED2A5A" w:rsidRPr="00065280" w:rsidRDefault="00ED2A5A" w:rsidP="00E824E6">
            <w:pPr>
              <w:spacing w:before="40" w:after="40"/>
              <w:ind w:right="140"/>
              <w:jc w:val="right"/>
              <w:rPr>
                <w:sz w:val="18"/>
                <w:szCs w:val="18"/>
                <w:lang w:val="es-419"/>
              </w:rPr>
            </w:pPr>
            <w:r w:rsidRPr="00065280">
              <w:rPr>
                <w:sz w:val="18"/>
                <w:lang w:val="es-419"/>
              </w:rPr>
              <w:t>161,5</w:t>
            </w:r>
          </w:p>
        </w:tc>
        <w:tc>
          <w:tcPr>
            <w:tcW w:w="750" w:type="pct"/>
          </w:tcPr>
          <w:p w14:paraId="29761625" w14:textId="77777777" w:rsidR="00ED2A5A" w:rsidRPr="00065280" w:rsidRDefault="00ED2A5A" w:rsidP="00E824E6">
            <w:pPr>
              <w:tabs>
                <w:tab w:val="clear" w:pos="1134"/>
              </w:tabs>
              <w:spacing w:before="40" w:after="40"/>
              <w:ind w:right="142"/>
              <w:jc w:val="right"/>
              <w:rPr>
                <w:sz w:val="18"/>
                <w:szCs w:val="18"/>
                <w:lang w:val="es-419"/>
              </w:rPr>
            </w:pPr>
            <w:r w:rsidRPr="00065280">
              <w:rPr>
                <w:sz w:val="18"/>
                <w:lang w:val="es-419"/>
              </w:rPr>
              <w:t>176,8</w:t>
            </w:r>
          </w:p>
        </w:tc>
        <w:tc>
          <w:tcPr>
            <w:tcW w:w="915" w:type="pct"/>
          </w:tcPr>
          <w:p w14:paraId="323C5259" w14:textId="77777777" w:rsidR="00ED2A5A" w:rsidRPr="00065280" w:rsidRDefault="00ED2A5A" w:rsidP="00E824E6">
            <w:pPr>
              <w:spacing w:before="40" w:after="40"/>
              <w:ind w:right="135"/>
              <w:jc w:val="right"/>
              <w:rPr>
                <w:sz w:val="18"/>
                <w:szCs w:val="18"/>
                <w:lang w:val="es-419"/>
              </w:rPr>
            </w:pPr>
            <w:r w:rsidRPr="00065280">
              <w:rPr>
                <w:sz w:val="18"/>
                <w:lang w:val="es-419"/>
              </w:rPr>
              <w:t>338,3</w:t>
            </w:r>
          </w:p>
        </w:tc>
      </w:tr>
      <w:tr w:rsidR="00ED2A5A" w:rsidRPr="00065280" w14:paraId="4D066B26" w14:textId="77777777" w:rsidTr="00E824E6">
        <w:trPr>
          <w:trHeight w:val="251"/>
        </w:trPr>
        <w:tc>
          <w:tcPr>
            <w:tcW w:w="2501" w:type="pct"/>
          </w:tcPr>
          <w:p w14:paraId="7D192D1D" w14:textId="77777777" w:rsidR="00ED2A5A" w:rsidRPr="00065280" w:rsidRDefault="00ED2A5A" w:rsidP="00E824E6">
            <w:pPr>
              <w:spacing w:before="40" w:after="40"/>
              <w:rPr>
                <w:sz w:val="18"/>
                <w:szCs w:val="18"/>
                <w:lang w:val="es-419"/>
              </w:rPr>
            </w:pPr>
            <w:r w:rsidRPr="00065280">
              <w:rPr>
                <w:sz w:val="18"/>
                <w:lang w:val="es-419"/>
              </w:rPr>
              <w:t>Reuniones de expertos</w:t>
            </w:r>
          </w:p>
        </w:tc>
        <w:tc>
          <w:tcPr>
            <w:tcW w:w="834" w:type="pct"/>
          </w:tcPr>
          <w:p w14:paraId="49E49E2E" w14:textId="77777777" w:rsidR="00ED2A5A" w:rsidRPr="00065280" w:rsidRDefault="00ED2A5A" w:rsidP="00E824E6">
            <w:pPr>
              <w:spacing w:before="40" w:after="40"/>
              <w:ind w:right="140"/>
              <w:jc w:val="right"/>
              <w:rPr>
                <w:sz w:val="18"/>
                <w:szCs w:val="18"/>
                <w:lang w:val="es-419"/>
              </w:rPr>
            </w:pPr>
            <w:r w:rsidRPr="00065280">
              <w:rPr>
                <w:sz w:val="18"/>
                <w:lang w:val="es-419"/>
              </w:rPr>
              <w:t>175,0</w:t>
            </w:r>
          </w:p>
        </w:tc>
        <w:tc>
          <w:tcPr>
            <w:tcW w:w="750" w:type="pct"/>
          </w:tcPr>
          <w:p w14:paraId="6295333C" w14:textId="77777777" w:rsidR="00ED2A5A" w:rsidRPr="00065280" w:rsidRDefault="00ED2A5A" w:rsidP="00E824E6">
            <w:pPr>
              <w:tabs>
                <w:tab w:val="clear" w:pos="1134"/>
              </w:tabs>
              <w:spacing w:before="40" w:after="40"/>
              <w:ind w:right="142"/>
              <w:jc w:val="right"/>
              <w:rPr>
                <w:sz w:val="18"/>
                <w:szCs w:val="18"/>
                <w:lang w:val="es-419"/>
              </w:rPr>
            </w:pPr>
            <w:r w:rsidRPr="00065280">
              <w:rPr>
                <w:sz w:val="18"/>
                <w:lang w:val="es-419"/>
              </w:rPr>
              <w:t>205,0</w:t>
            </w:r>
          </w:p>
        </w:tc>
        <w:tc>
          <w:tcPr>
            <w:tcW w:w="915" w:type="pct"/>
          </w:tcPr>
          <w:p w14:paraId="10DB6D8D" w14:textId="77777777" w:rsidR="00ED2A5A" w:rsidRPr="00065280" w:rsidRDefault="00ED2A5A" w:rsidP="00E824E6">
            <w:pPr>
              <w:spacing w:before="40" w:after="40"/>
              <w:ind w:right="135"/>
              <w:jc w:val="right"/>
              <w:rPr>
                <w:sz w:val="18"/>
                <w:szCs w:val="18"/>
                <w:lang w:val="es-419"/>
              </w:rPr>
            </w:pPr>
            <w:r w:rsidRPr="00065280">
              <w:rPr>
                <w:sz w:val="18"/>
                <w:lang w:val="es-419"/>
              </w:rPr>
              <w:t>380,0</w:t>
            </w:r>
          </w:p>
        </w:tc>
      </w:tr>
      <w:tr w:rsidR="00ED2A5A" w:rsidRPr="00065280" w14:paraId="49F414E6" w14:textId="77777777" w:rsidTr="00E824E6">
        <w:trPr>
          <w:trHeight w:val="229"/>
        </w:trPr>
        <w:tc>
          <w:tcPr>
            <w:tcW w:w="2501" w:type="pct"/>
          </w:tcPr>
          <w:p w14:paraId="0A49821A" w14:textId="77777777" w:rsidR="00ED2A5A" w:rsidRPr="00065280" w:rsidRDefault="00ED2A5A" w:rsidP="00E824E6">
            <w:pPr>
              <w:spacing w:before="40" w:after="40"/>
              <w:rPr>
                <w:sz w:val="18"/>
                <w:szCs w:val="18"/>
                <w:lang w:val="es-419"/>
              </w:rPr>
            </w:pPr>
            <w:r w:rsidRPr="00065280">
              <w:rPr>
                <w:sz w:val="18"/>
                <w:lang w:val="es-419"/>
              </w:rPr>
              <w:t>Reuniones de órganos intergubernamentales</w:t>
            </w:r>
            <w:r w:rsidRPr="00065280">
              <w:rPr>
                <w:i/>
                <w:sz w:val="18"/>
                <w:vertAlign w:val="superscript"/>
                <w:lang w:val="es-419"/>
              </w:rPr>
              <w:t>a</w:t>
            </w:r>
          </w:p>
        </w:tc>
        <w:tc>
          <w:tcPr>
            <w:tcW w:w="834" w:type="pct"/>
          </w:tcPr>
          <w:p w14:paraId="4110C522" w14:textId="77777777" w:rsidR="00ED2A5A" w:rsidRPr="00065280" w:rsidRDefault="00ED2A5A" w:rsidP="00E824E6">
            <w:pPr>
              <w:spacing w:before="40" w:after="40"/>
              <w:ind w:right="140"/>
              <w:jc w:val="right"/>
              <w:rPr>
                <w:sz w:val="18"/>
                <w:szCs w:val="18"/>
                <w:lang w:val="es-419"/>
              </w:rPr>
            </w:pPr>
            <w:r w:rsidRPr="00065280">
              <w:rPr>
                <w:sz w:val="18"/>
                <w:lang w:val="es-419"/>
              </w:rPr>
              <w:t>2 274,6</w:t>
            </w:r>
          </w:p>
        </w:tc>
        <w:tc>
          <w:tcPr>
            <w:tcW w:w="750" w:type="pct"/>
          </w:tcPr>
          <w:p w14:paraId="3B679134" w14:textId="77777777" w:rsidR="00ED2A5A" w:rsidRPr="00065280" w:rsidRDefault="00ED2A5A" w:rsidP="00E824E6">
            <w:pPr>
              <w:tabs>
                <w:tab w:val="clear" w:pos="1134"/>
              </w:tabs>
              <w:spacing w:before="40" w:after="40"/>
              <w:ind w:right="142"/>
              <w:jc w:val="right"/>
              <w:rPr>
                <w:sz w:val="18"/>
                <w:szCs w:val="18"/>
                <w:lang w:val="es-419"/>
              </w:rPr>
            </w:pPr>
            <w:r w:rsidRPr="00065280">
              <w:rPr>
                <w:sz w:val="18"/>
                <w:lang w:val="es-419"/>
              </w:rPr>
              <w:t>2 700,9</w:t>
            </w:r>
          </w:p>
        </w:tc>
        <w:tc>
          <w:tcPr>
            <w:tcW w:w="915" w:type="pct"/>
          </w:tcPr>
          <w:p w14:paraId="0F3A484B" w14:textId="77777777" w:rsidR="00ED2A5A" w:rsidRPr="00065280" w:rsidRDefault="00ED2A5A" w:rsidP="00E824E6">
            <w:pPr>
              <w:spacing w:before="40" w:after="40"/>
              <w:ind w:right="135"/>
              <w:jc w:val="right"/>
              <w:rPr>
                <w:sz w:val="18"/>
                <w:szCs w:val="18"/>
                <w:lang w:val="es-419"/>
              </w:rPr>
            </w:pPr>
            <w:r w:rsidRPr="00065280">
              <w:rPr>
                <w:sz w:val="18"/>
                <w:lang w:val="es-419"/>
              </w:rPr>
              <w:t>4 975,5</w:t>
            </w:r>
          </w:p>
        </w:tc>
      </w:tr>
      <w:tr w:rsidR="00ED2A5A" w:rsidRPr="00065280" w14:paraId="70DD600B" w14:textId="77777777" w:rsidTr="00E824E6">
        <w:trPr>
          <w:trHeight w:val="249"/>
        </w:trPr>
        <w:tc>
          <w:tcPr>
            <w:tcW w:w="2501" w:type="pct"/>
          </w:tcPr>
          <w:p w14:paraId="33D2A97A" w14:textId="77777777" w:rsidR="00ED2A5A" w:rsidRPr="00065280" w:rsidRDefault="00ED2A5A" w:rsidP="00E824E6">
            <w:pPr>
              <w:spacing w:before="40" w:after="40"/>
              <w:rPr>
                <w:sz w:val="18"/>
                <w:szCs w:val="18"/>
                <w:lang w:val="es-419"/>
              </w:rPr>
            </w:pPr>
            <w:r w:rsidRPr="00065280">
              <w:rPr>
                <w:sz w:val="18"/>
                <w:lang w:val="es-419"/>
              </w:rPr>
              <w:t>Consultores</w:t>
            </w:r>
          </w:p>
        </w:tc>
        <w:tc>
          <w:tcPr>
            <w:tcW w:w="834" w:type="pct"/>
          </w:tcPr>
          <w:p w14:paraId="33BC72B4" w14:textId="77777777" w:rsidR="00ED2A5A" w:rsidRPr="00065280" w:rsidRDefault="00ED2A5A" w:rsidP="00E824E6">
            <w:pPr>
              <w:spacing w:before="40" w:after="40"/>
              <w:ind w:right="140"/>
              <w:jc w:val="right"/>
              <w:rPr>
                <w:sz w:val="18"/>
                <w:szCs w:val="18"/>
                <w:lang w:val="es-419"/>
              </w:rPr>
            </w:pPr>
            <w:r w:rsidRPr="00065280">
              <w:rPr>
                <w:sz w:val="18"/>
                <w:lang w:val="es-419"/>
              </w:rPr>
              <w:t>75,0</w:t>
            </w:r>
          </w:p>
        </w:tc>
        <w:tc>
          <w:tcPr>
            <w:tcW w:w="750" w:type="pct"/>
          </w:tcPr>
          <w:p w14:paraId="5F8944DF" w14:textId="77777777" w:rsidR="00ED2A5A" w:rsidRPr="00065280" w:rsidRDefault="00ED2A5A" w:rsidP="00E824E6">
            <w:pPr>
              <w:tabs>
                <w:tab w:val="clear" w:pos="1134"/>
              </w:tabs>
              <w:spacing w:before="40" w:after="40"/>
              <w:ind w:right="142"/>
              <w:jc w:val="right"/>
              <w:rPr>
                <w:sz w:val="18"/>
                <w:szCs w:val="18"/>
                <w:lang w:val="es-419"/>
              </w:rPr>
            </w:pPr>
            <w:r w:rsidRPr="00065280">
              <w:rPr>
                <w:sz w:val="18"/>
                <w:lang w:val="es-419"/>
              </w:rPr>
              <w:t>75,0</w:t>
            </w:r>
          </w:p>
        </w:tc>
        <w:tc>
          <w:tcPr>
            <w:tcW w:w="915" w:type="pct"/>
          </w:tcPr>
          <w:p w14:paraId="302404EA" w14:textId="77777777" w:rsidR="00ED2A5A" w:rsidRPr="00065280" w:rsidRDefault="00ED2A5A" w:rsidP="00E824E6">
            <w:pPr>
              <w:spacing w:before="40" w:after="40"/>
              <w:ind w:right="135"/>
              <w:jc w:val="right"/>
              <w:rPr>
                <w:sz w:val="18"/>
                <w:szCs w:val="18"/>
                <w:lang w:val="es-419"/>
              </w:rPr>
            </w:pPr>
            <w:r w:rsidRPr="00065280">
              <w:rPr>
                <w:sz w:val="18"/>
                <w:lang w:val="es-419"/>
              </w:rPr>
              <w:t>150,0</w:t>
            </w:r>
          </w:p>
        </w:tc>
      </w:tr>
      <w:tr w:rsidR="00ED2A5A" w:rsidRPr="00065280" w14:paraId="77B558B2" w14:textId="77777777" w:rsidTr="00E824E6">
        <w:trPr>
          <w:trHeight w:val="249"/>
        </w:trPr>
        <w:tc>
          <w:tcPr>
            <w:tcW w:w="2501" w:type="pct"/>
          </w:tcPr>
          <w:p w14:paraId="77BA7A6E" w14:textId="77777777" w:rsidR="00ED2A5A" w:rsidRPr="00065280" w:rsidRDefault="00ED2A5A" w:rsidP="00E824E6">
            <w:pPr>
              <w:spacing w:before="40" w:after="40"/>
              <w:rPr>
                <w:sz w:val="18"/>
                <w:szCs w:val="18"/>
                <w:lang w:val="es-419"/>
              </w:rPr>
            </w:pPr>
            <w:r w:rsidRPr="00065280">
              <w:rPr>
                <w:sz w:val="18"/>
                <w:lang w:val="es-419"/>
              </w:rPr>
              <w:t>Revisión funcional</w:t>
            </w:r>
          </w:p>
        </w:tc>
        <w:tc>
          <w:tcPr>
            <w:tcW w:w="834" w:type="pct"/>
          </w:tcPr>
          <w:p w14:paraId="47F7D8A7" w14:textId="77777777" w:rsidR="00ED2A5A" w:rsidRPr="00065280" w:rsidRDefault="00ED2A5A" w:rsidP="00E824E6">
            <w:pPr>
              <w:spacing w:before="40" w:after="40"/>
              <w:ind w:right="140"/>
              <w:jc w:val="right"/>
              <w:rPr>
                <w:sz w:val="18"/>
                <w:szCs w:val="18"/>
                <w:lang w:val="es-419"/>
              </w:rPr>
            </w:pPr>
            <w:r w:rsidRPr="00065280">
              <w:rPr>
                <w:sz w:val="18"/>
                <w:lang w:val="es-419"/>
              </w:rPr>
              <w:t>250,0</w:t>
            </w:r>
          </w:p>
        </w:tc>
        <w:tc>
          <w:tcPr>
            <w:tcW w:w="750" w:type="pct"/>
          </w:tcPr>
          <w:p w14:paraId="0A3F60E7" w14:textId="77777777" w:rsidR="00ED2A5A" w:rsidRPr="00065280" w:rsidRDefault="00ED2A5A" w:rsidP="00E824E6">
            <w:pPr>
              <w:tabs>
                <w:tab w:val="clear" w:pos="1134"/>
              </w:tabs>
              <w:spacing w:before="40" w:after="40"/>
              <w:ind w:right="142"/>
              <w:jc w:val="right"/>
              <w:rPr>
                <w:sz w:val="18"/>
                <w:szCs w:val="18"/>
                <w:lang w:val="es-419"/>
              </w:rPr>
            </w:pPr>
            <w:r w:rsidRPr="00065280">
              <w:rPr>
                <w:sz w:val="18"/>
                <w:lang w:val="es-419"/>
              </w:rPr>
              <w:t>–</w:t>
            </w:r>
          </w:p>
        </w:tc>
        <w:tc>
          <w:tcPr>
            <w:tcW w:w="915" w:type="pct"/>
          </w:tcPr>
          <w:p w14:paraId="3C75366A" w14:textId="77777777" w:rsidR="00ED2A5A" w:rsidRPr="00065280" w:rsidRDefault="00ED2A5A" w:rsidP="00E824E6">
            <w:pPr>
              <w:spacing w:before="40" w:after="40"/>
              <w:ind w:right="135"/>
              <w:jc w:val="right"/>
              <w:rPr>
                <w:sz w:val="18"/>
                <w:szCs w:val="18"/>
                <w:lang w:val="es-419"/>
              </w:rPr>
            </w:pPr>
            <w:r w:rsidRPr="00065280">
              <w:rPr>
                <w:sz w:val="18"/>
                <w:lang w:val="es-419"/>
              </w:rPr>
              <w:t>250,0</w:t>
            </w:r>
          </w:p>
        </w:tc>
      </w:tr>
      <w:tr w:rsidR="00ED2A5A" w:rsidRPr="00065280" w14:paraId="2AC0ADC2" w14:textId="77777777" w:rsidTr="00E824E6">
        <w:trPr>
          <w:trHeight w:val="249"/>
        </w:trPr>
        <w:tc>
          <w:tcPr>
            <w:tcW w:w="2501" w:type="pct"/>
          </w:tcPr>
          <w:p w14:paraId="03189CDA" w14:textId="77777777" w:rsidR="00ED2A5A" w:rsidRPr="00065280" w:rsidRDefault="00ED2A5A" w:rsidP="00E824E6">
            <w:pPr>
              <w:spacing w:before="40" w:after="40"/>
              <w:rPr>
                <w:sz w:val="18"/>
                <w:szCs w:val="18"/>
                <w:lang w:val="es-419"/>
              </w:rPr>
            </w:pPr>
            <w:r w:rsidRPr="00065280">
              <w:rPr>
                <w:sz w:val="18"/>
                <w:lang w:val="es-419"/>
              </w:rPr>
              <w:t>Viajes oficiales</w:t>
            </w:r>
          </w:p>
        </w:tc>
        <w:tc>
          <w:tcPr>
            <w:tcW w:w="834" w:type="pct"/>
          </w:tcPr>
          <w:p w14:paraId="62461828" w14:textId="77777777" w:rsidR="00ED2A5A" w:rsidRPr="00065280" w:rsidRDefault="00ED2A5A" w:rsidP="00E824E6">
            <w:pPr>
              <w:spacing w:before="40" w:after="40"/>
              <w:ind w:right="140"/>
              <w:jc w:val="right"/>
              <w:rPr>
                <w:sz w:val="18"/>
                <w:szCs w:val="18"/>
                <w:lang w:val="es-419"/>
              </w:rPr>
            </w:pPr>
            <w:r w:rsidRPr="00065280">
              <w:rPr>
                <w:sz w:val="18"/>
                <w:lang w:val="es-419"/>
              </w:rPr>
              <w:t>400,0</w:t>
            </w:r>
          </w:p>
        </w:tc>
        <w:tc>
          <w:tcPr>
            <w:tcW w:w="750" w:type="pct"/>
          </w:tcPr>
          <w:p w14:paraId="3619A2E1" w14:textId="77777777" w:rsidR="00ED2A5A" w:rsidRPr="00065280" w:rsidRDefault="00ED2A5A" w:rsidP="00E824E6">
            <w:pPr>
              <w:tabs>
                <w:tab w:val="clear" w:pos="1134"/>
              </w:tabs>
              <w:spacing w:before="40" w:after="40"/>
              <w:ind w:right="142"/>
              <w:jc w:val="right"/>
              <w:rPr>
                <w:sz w:val="18"/>
                <w:szCs w:val="18"/>
                <w:lang w:val="es-419"/>
              </w:rPr>
            </w:pPr>
            <w:r w:rsidRPr="00065280">
              <w:rPr>
                <w:sz w:val="18"/>
                <w:lang w:val="es-419"/>
              </w:rPr>
              <w:t>450,0</w:t>
            </w:r>
          </w:p>
        </w:tc>
        <w:tc>
          <w:tcPr>
            <w:tcW w:w="915" w:type="pct"/>
          </w:tcPr>
          <w:p w14:paraId="108A753F" w14:textId="77777777" w:rsidR="00ED2A5A" w:rsidRPr="00065280" w:rsidRDefault="00ED2A5A" w:rsidP="00E824E6">
            <w:pPr>
              <w:spacing w:before="40" w:after="40"/>
              <w:ind w:right="135"/>
              <w:jc w:val="right"/>
              <w:rPr>
                <w:sz w:val="18"/>
                <w:szCs w:val="18"/>
                <w:lang w:val="es-419"/>
              </w:rPr>
            </w:pPr>
            <w:r w:rsidRPr="00065280">
              <w:rPr>
                <w:sz w:val="18"/>
                <w:lang w:val="es-419"/>
              </w:rPr>
              <w:t>850,0</w:t>
            </w:r>
          </w:p>
        </w:tc>
      </w:tr>
      <w:tr w:rsidR="00ED2A5A" w:rsidRPr="00065280" w14:paraId="1A189DA0" w14:textId="77777777" w:rsidTr="00E824E6">
        <w:trPr>
          <w:trHeight w:val="249"/>
        </w:trPr>
        <w:tc>
          <w:tcPr>
            <w:tcW w:w="2501" w:type="pct"/>
          </w:tcPr>
          <w:p w14:paraId="3CD6A3F9" w14:textId="77777777" w:rsidR="00ED2A5A" w:rsidRPr="00065280" w:rsidRDefault="00ED2A5A" w:rsidP="00E824E6">
            <w:pPr>
              <w:spacing w:before="40" w:after="40"/>
              <w:rPr>
                <w:sz w:val="18"/>
                <w:szCs w:val="18"/>
                <w:lang w:val="es-419"/>
              </w:rPr>
            </w:pPr>
            <w:r w:rsidRPr="00065280">
              <w:rPr>
                <w:sz w:val="18"/>
                <w:lang w:val="es-419"/>
              </w:rPr>
              <w:lastRenderedPageBreak/>
              <w:t>Alquiler y costos asociados</w:t>
            </w:r>
          </w:p>
        </w:tc>
        <w:tc>
          <w:tcPr>
            <w:tcW w:w="834" w:type="pct"/>
          </w:tcPr>
          <w:p w14:paraId="115D5FA7" w14:textId="77777777" w:rsidR="00ED2A5A" w:rsidRPr="00065280" w:rsidRDefault="00ED2A5A" w:rsidP="00E824E6">
            <w:pPr>
              <w:spacing w:before="40" w:after="40"/>
              <w:ind w:right="140"/>
              <w:jc w:val="right"/>
              <w:rPr>
                <w:sz w:val="18"/>
                <w:szCs w:val="18"/>
                <w:lang w:val="es-419"/>
              </w:rPr>
            </w:pPr>
            <w:r w:rsidRPr="00065280">
              <w:rPr>
                <w:sz w:val="18"/>
                <w:lang w:val="es-419"/>
              </w:rPr>
              <w:t>1 462,6</w:t>
            </w:r>
          </w:p>
        </w:tc>
        <w:tc>
          <w:tcPr>
            <w:tcW w:w="750" w:type="pct"/>
          </w:tcPr>
          <w:p w14:paraId="462B3520" w14:textId="77777777" w:rsidR="00ED2A5A" w:rsidRPr="00065280" w:rsidRDefault="00ED2A5A" w:rsidP="00E824E6">
            <w:pPr>
              <w:tabs>
                <w:tab w:val="clear" w:pos="1134"/>
              </w:tabs>
              <w:spacing w:before="40" w:after="40"/>
              <w:ind w:right="142"/>
              <w:jc w:val="right"/>
              <w:rPr>
                <w:sz w:val="18"/>
                <w:szCs w:val="18"/>
                <w:lang w:val="es-419"/>
              </w:rPr>
            </w:pPr>
            <w:r w:rsidRPr="00065280">
              <w:rPr>
                <w:sz w:val="18"/>
                <w:lang w:val="es-419"/>
              </w:rPr>
              <w:t>1 476,6</w:t>
            </w:r>
          </w:p>
        </w:tc>
        <w:tc>
          <w:tcPr>
            <w:tcW w:w="915" w:type="pct"/>
          </w:tcPr>
          <w:p w14:paraId="02A1F3F5" w14:textId="77777777" w:rsidR="00ED2A5A" w:rsidRPr="00065280" w:rsidRDefault="00ED2A5A" w:rsidP="00E824E6">
            <w:pPr>
              <w:spacing w:before="40" w:after="40"/>
              <w:ind w:right="135"/>
              <w:jc w:val="right"/>
              <w:rPr>
                <w:sz w:val="18"/>
                <w:szCs w:val="18"/>
                <w:lang w:val="es-419"/>
              </w:rPr>
            </w:pPr>
            <w:r w:rsidRPr="00065280">
              <w:rPr>
                <w:sz w:val="18"/>
                <w:lang w:val="es-419"/>
              </w:rPr>
              <w:t>2 939,2</w:t>
            </w:r>
          </w:p>
        </w:tc>
      </w:tr>
      <w:tr w:rsidR="00ED2A5A" w:rsidRPr="00065280" w14:paraId="07D183EC" w14:textId="77777777" w:rsidTr="00E824E6">
        <w:trPr>
          <w:trHeight w:val="249"/>
        </w:trPr>
        <w:tc>
          <w:tcPr>
            <w:tcW w:w="2501" w:type="pct"/>
          </w:tcPr>
          <w:p w14:paraId="3D63CFA1" w14:textId="77777777" w:rsidR="00ED2A5A" w:rsidRPr="00065280" w:rsidRDefault="00ED2A5A" w:rsidP="00E824E6">
            <w:pPr>
              <w:spacing w:before="40" w:after="40"/>
              <w:rPr>
                <w:sz w:val="18"/>
                <w:szCs w:val="18"/>
                <w:lang w:val="es-419"/>
              </w:rPr>
            </w:pPr>
            <w:r w:rsidRPr="00065280">
              <w:rPr>
                <w:sz w:val="18"/>
                <w:lang w:val="es-419"/>
              </w:rPr>
              <w:t>Capacitación</w:t>
            </w:r>
          </w:p>
        </w:tc>
        <w:tc>
          <w:tcPr>
            <w:tcW w:w="834" w:type="pct"/>
          </w:tcPr>
          <w:p w14:paraId="39212F6D" w14:textId="77777777" w:rsidR="00ED2A5A" w:rsidRPr="00065280" w:rsidRDefault="00ED2A5A" w:rsidP="00E824E6">
            <w:pPr>
              <w:spacing w:before="40" w:after="40"/>
              <w:ind w:right="140"/>
              <w:jc w:val="right"/>
              <w:rPr>
                <w:sz w:val="18"/>
                <w:szCs w:val="18"/>
                <w:lang w:val="es-419"/>
              </w:rPr>
            </w:pPr>
            <w:r w:rsidRPr="00065280">
              <w:rPr>
                <w:sz w:val="18"/>
                <w:lang w:val="es-419"/>
              </w:rPr>
              <w:t>5,0</w:t>
            </w:r>
          </w:p>
        </w:tc>
        <w:tc>
          <w:tcPr>
            <w:tcW w:w="750" w:type="pct"/>
          </w:tcPr>
          <w:p w14:paraId="49253D91" w14:textId="77777777" w:rsidR="00ED2A5A" w:rsidRPr="00065280" w:rsidRDefault="00ED2A5A" w:rsidP="00E824E6">
            <w:pPr>
              <w:tabs>
                <w:tab w:val="clear" w:pos="1134"/>
              </w:tabs>
              <w:spacing w:before="40" w:after="40"/>
              <w:ind w:right="142"/>
              <w:jc w:val="right"/>
              <w:rPr>
                <w:sz w:val="18"/>
                <w:szCs w:val="18"/>
                <w:lang w:val="es-419"/>
              </w:rPr>
            </w:pPr>
            <w:r w:rsidRPr="00065280">
              <w:rPr>
                <w:sz w:val="18"/>
                <w:lang w:val="es-419"/>
              </w:rPr>
              <w:t>5,0</w:t>
            </w:r>
          </w:p>
        </w:tc>
        <w:tc>
          <w:tcPr>
            <w:tcW w:w="915" w:type="pct"/>
          </w:tcPr>
          <w:p w14:paraId="34B7BCC4" w14:textId="77777777" w:rsidR="00ED2A5A" w:rsidRPr="00065280" w:rsidRDefault="00ED2A5A" w:rsidP="00E824E6">
            <w:pPr>
              <w:spacing w:before="40" w:after="40"/>
              <w:ind w:right="135"/>
              <w:jc w:val="right"/>
              <w:rPr>
                <w:sz w:val="18"/>
                <w:szCs w:val="18"/>
                <w:lang w:val="es-419"/>
              </w:rPr>
            </w:pPr>
            <w:r w:rsidRPr="00065280">
              <w:rPr>
                <w:sz w:val="18"/>
                <w:lang w:val="es-419"/>
              </w:rPr>
              <w:t>10,0</w:t>
            </w:r>
          </w:p>
        </w:tc>
      </w:tr>
      <w:tr w:rsidR="00ED2A5A" w:rsidRPr="00065280" w14:paraId="72844897" w14:textId="77777777" w:rsidTr="00E824E6">
        <w:trPr>
          <w:trHeight w:val="249"/>
        </w:trPr>
        <w:tc>
          <w:tcPr>
            <w:tcW w:w="2501" w:type="pct"/>
          </w:tcPr>
          <w:p w14:paraId="0BBEAA9D" w14:textId="77777777" w:rsidR="00ED2A5A" w:rsidRPr="00065280" w:rsidRDefault="00ED2A5A" w:rsidP="00E824E6">
            <w:pPr>
              <w:spacing w:before="40" w:after="40"/>
              <w:rPr>
                <w:sz w:val="18"/>
                <w:szCs w:val="18"/>
                <w:lang w:val="es-419"/>
              </w:rPr>
            </w:pPr>
            <w:r w:rsidRPr="00065280">
              <w:rPr>
                <w:sz w:val="18"/>
                <w:lang w:val="es-419"/>
              </w:rPr>
              <w:t>Tecnología de la información</w:t>
            </w:r>
          </w:p>
        </w:tc>
        <w:tc>
          <w:tcPr>
            <w:tcW w:w="834" w:type="pct"/>
          </w:tcPr>
          <w:p w14:paraId="2CA3ED27" w14:textId="77777777" w:rsidR="00ED2A5A" w:rsidRPr="00065280" w:rsidRDefault="00ED2A5A" w:rsidP="00E824E6">
            <w:pPr>
              <w:spacing w:before="40" w:after="40"/>
              <w:ind w:right="140"/>
              <w:jc w:val="right"/>
              <w:rPr>
                <w:sz w:val="18"/>
                <w:szCs w:val="18"/>
                <w:lang w:val="es-419"/>
              </w:rPr>
            </w:pPr>
            <w:r w:rsidRPr="00065280">
              <w:rPr>
                <w:sz w:val="18"/>
                <w:lang w:val="es-419"/>
              </w:rPr>
              <w:t>65,0</w:t>
            </w:r>
          </w:p>
        </w:tc>
        <w:tc>
          <w:tcPr>
            <w:tcW w:w="750" w:type="pct"/>
          </w:tcPr>
          <w:p w14:paraId="27CDB9C6" w14:textId="77777777" w:rsidR="00ED2A5A" w:rsidRPr="00065280" w:rsidRDefault="00ED2A5A" w:rsidP="00E824E6">
            <w:pPr>
              <w:tabs>
                <w:tab w:val="clear" w:pos="1134"/>
              </w:tabs>
              <w:spacing w:before="40" w:after="40"/>
              <w:ind w:right="142"/>
              <w:jc w:val="right"/>
              <w:rPr>
                <w:sz w:val="18"/>
                <w:szCs w:val="18"/>
                <w:lang w:val="es-419"/>
              </w:rPr>
            </w:pPr>
            <w:r w:rsidRPr="00065280">
              <w:rPr>
                <w:sz w:val="18"/>
                <w:lang w:val="es-419"/>
              </w:rPr>
              <w:t>65,0</w:t>
            </w:r>
          </w:p>
        </w:tc>
        <w:tc>
          <w:tcPr>
            <w:tcW w:w="915" w:type="pct"/>
          </w:tcPr>
          <w:p w14:paraId="1A5CBB25" w14:textId="77777777" w:rsidR="00ED2A5A" w:rsidRPr="00065280" w:rsidRDefault="00ED2A5A" w:rsidP="00E824E6">
            <w:pPr>
              <w:spacing w:before="40" w:after="40"/>
              <w:ind w:right="135"/>
              <w:jc w:val="right"/>
              <w:rPr>
                <w:sz w:val="18"/>
                <w:szCs w:val="18"/>
                <w:lang w:val="es-419"/>
              </w:rPr>
            </w:pPr>
            <w:r w:rsidRPr="00065280">
              <w:rPr>
                <w:sz w:val="18"/>
                <w:lang w:val="es-419"/>
              </w:rPr>
              <w:t>130,0</w:t>
            </w:r>
          </w:p>
        </w:tc>
      </w:tr>
      <w:tr w:rsidR="00ED2A5A" w:rsidRPr="00065280" w14:paraId="08FAB6AA" w14:textId="77777777" w:rsidTr="00E824E6">
        <w:trPr>
          <w:trHeight w:val="249"/>
        </w:trPr>
        <w:tc>
          <w:tcPr>
            <w:tcW w:w="2501" w:type="pct"/>
          </w:tcPr>
          <w:p w14:paraId="57E1B400" w14:textId="77777777" w:rsidR="00ED2A5A" w:rsidRPr="00065280" w:rsidRDefault="00ED2A5A" w:rsidP="00E824E6">
            <w:pPr>
              <w:spacing w:before="40" w:after="40"/>
              <w:rPr>
                <w:sz w:val="18"/>
                <w:szCs w:val="18"/>
                <w:lang w:val="es-419"/>
              </w:rPr>
            </w:pPr>
            <w:r w:rsidRPr="00065280">
              <w:rPr>
                <w:sz w:val="18"/>
                <w:lang w:val="es-419"/>
              </w:rPr>
              <w:t>Gastos generales de funcionamiento</w:t>
            </w:r>
          </w:p>
        </w:tc>
        <w:tc>
          <w:tcPr>
            <w:tcW w:w="834" w:type="pct"/>
          </w:tcPr>
          <w:p w14:paraId="08C35A9D" w14:textId="77777777" w:rsidR="00ED2A5A" w:rsidRPr="00065280" w:rsidRDefault="00ED2A5A" w:rsidP="00E824E6">
            <w:pPr>
              <w:spacing w:before="40" w:after="40"/>
              <w:ind w:right="140"/>
              <w:jc w:val="right"/>
              <w:rPr>
                <w:sz w:val="18"/>
                <w:szCs w:val="18"/>
                <w:lang w:val="es-419"/>
              </w:rPr>
            </w:pPr>
            <w:r w:rsidRPr="00065280">
              <w:rPr>
                <w:sz w:val="18"/>
                <w:lang w:val="es-419"/>
              </w:rPr>
              <w:t>726,6</w:t>
            </w:r>
          </w:p>
        </w:tc>
        <w:tc>
          <w:tcPr>
            <w:tcW w:w="750" w:type="pct"/>
          </w:tcPr>
          <w:p w14:paraId="4978011E" w14:textId="77777777" w:rsidR="00ED2A5A" w:rsidRPr="00065280" w:rsidRDefault="00ED2A5A" w:rsidP="00E824E6">
            <w:pPr>
              <w:tabs>
                <w:tab w:val="clear" w:pos="1134"/>
              </w:tabs>
              <w:spacing w:before="40" w:after="40"/>
              <w:ind w:right="142"/>
              <w:jc w:val="right"/>
              <w:rPr>
                <w:sz w:val="18"/>
                <w:szCs w:val="18"/>
                <w:lang w:val="es-419"/>
              </w:rPr>
            </w:pPr>
            <w:r w:rsidRPr="00065280">
              <w:rPr>
                <w:sz w:val="18"/>
                <w:lang w:val="es-419"/>
              </w:rPr>
              <w:t>726,6</w:t>
            </w:r>
          </w:p>
        </w:tc>
        <w:tc>
          <w:tcPr>
            <w:tcW w:w="915" w:type="pct"/>
          </w:tcPr>
          <w:p w14:paraId="1BCFABB3" w14:textId="77777777" w:rsidR="00ED2A5A" w:rsidRPr="00065280" w:rsidRDefault="00ED2A5A" w:rsidP="00E824E6">
            <w:pPr>
              <w:spacing w:before="40" w:after="40"/>
              <w:ind w:right="135"/>
              <w:jc w:val="right"/>
              <w:rPr>
                <w:sz w:val="18"/>
                <w:szCs w:val="18"/>
                <w:lang w:val="es-419"/>
              </w:rPr>
            </w:pPr>
            <w:r w:rsidRPr="00065280">
              <w:rPr>
                <w:sz w:val="18"/>
                <w:lang w:val="es-419"/>
              </w:rPr>
              <w:t>1 453,2</w:t>
            </w:r>
          </w:p>
        </w:tc>
      </w:tr>
      <w:tr w:rsidR="00ED2A5A" w:rsidRPr="00065280" w14:paraId="4119C301" w14:textId="77777777" w:rsidTr="00E824E6">
        <w:trPr>
          <w:trHeight w:val="251"/>
        </w:trPr>
        <w:tc>
          <w:tcPr>
            <w:tcW w:w="2501" w:type="pct"/>
          </w:tcPr>
          <w:p w14:paraId="153E59EC" w14:textId="77777777" w:rsidR="00ED2A5A" w:rsidRPr="00065280" w:rsidRDefault="00ED2A5A" w:rsidP="00E824E6">
            <w:pPr>
              <w:spacing w:before="40" w:after="40"/>
              <w:rPr>
                <w:sz w:val="18"/>
                <w:szCs w:val="18"/>
                <w:lang w:val="es-419"/>
              </w:rPr>
            </w:pPr>
            <w:r w:rsidRPr="00065280">
              <w:rPr>
                <w:sz w:val="18"/>
                <w:lang w:val="es-419"/>
              </w:rPr>
              <w:t>Materiales de sensibilización del público</w:t>
            </w:r>
          </w:p>
        </w:tc>
        <w:tc>
          <w:tcPr>
            <w:tcW w:w="834" w:type="pct"/>
          </w:tcPr>
          <w:p w14:paraId="140C7520" w14:textId="77777777" w:rsidR="00ED2A5A" w:rsidRPr="00065280" w:rsidRDefault="00ED2A5A" w:rsidP="00E824E6">
            <w:pPr>
              <w:spacing w:before="40" w:after="40"/>
              <w:ind w:right="140"/>
              <w:jc w:val="right"/>
              <w:rPr>
                <w:sz w:val="18"/>
                <w:szCs w:val="18"/>
                <w:lang w:val="es-419"/>
              </w:rPr>
            </w:pPr>
            <w:r w:rsidRPr="00065280">
              <w:rPr>
                <w:sz w:val="18"/>
                <w:lang w:val="es-419"/>
              </w:rPr>
              <w:t>100,0</w:t>
            </w:r>
          </w:p>
        </w:tc>
        <w:tc>
          <w:tcPr>
            <w:tcW w:w="750" w:type="pct"/>
          </w:tcPr>
          <w:p w14:paraId="3CF5FD8E" w14:textId="77777777" w:rsidR="00ED2A5A" w:rsidRPr="00065280" w:rsidRDefault="00ED2A5A" w:rsidP="00E824E6">
            <w:pPr>
              <w:tabs>
                <w:tab w:val="clear" w:pos="1134"/>
              </w:tabs>
              <w:spacing w:before="40" w:after="40"/>
              <w:ind w:right="142"/>
              <w:jc w:val="right"/>
              <w:rPr>
                <w:sz w:val="18"/>
                <w:szCs w:val="18"/>
                <w:lang w:val="es-419"/>
              </w:rPr>
            </w:pPr>
            <w:r w:rsidRPr="00065280">
              <w:rPr>
                <w:sz w:val="18"/>
                <w:lang w:val="es-419"/>
              </w:rPr>
              <w:t>100,0</w:t>
            </w:r>
          </w:p>
        </w:tc>
        <w:tc>
          <w:tcPr>
            <w:tcW w:w="915" w:type="pct"/>
          </w:tcPr>
          <w:p w14:paraId="440CFB84" w14:textId="77777777" w:rsidR="00ED2A5A" w:rsidRPr="00065280" w:rsidRDefault="00ED2A5A" w:rsidP="00E824E6">
            <w:pPr>
              <w:spacing w:before="40" w:after="40"/>
              <w:ind w:right="135"/>
              <w:jc w:val="right"/>
              <w:rPr>
                <w:sz w:val="18"/>
                <w:szCs w:val="18"/>
                <w:lang w:val="es-419"/>
              </w:rPr>
            </w:pPr>
            <w:r w:rsidRPr="00065280">
              <w:rPr>
                <w:sz w:val="18"/>
                <w:lang w:val="es-419"/>
              </w:rPr>
              <w:t>200,0</w:t>
            </w:r>
          </w:p>
        </w:tc>
      </w:tr>
      <w:tr w:rsidR="00ED2A5A" w:rsidRPr="00065280" w14:paraId="03113E29" w14:textId="77777777" w:rsidTr="00E824E6">
        <w:trPr>
          <w:trHeight w:val="60"/>
        </w:trPr>
        <w:tc>
          <w:tcPr>
            <w:tcW w:w="2501" w:type="pct"/>
            <w:tcBorders>
              <w:bottom w:val="single" w:sz="4" w:space="0" w:color="auto"/>
            </w:tcBorders>
          </w:tcPr>
          <w:p w14:paraId="145AE538" w14:textId="77777777" w:rsidR="00ED2A5A" w:rsidRPr="00065280" w:rsidRDefault="00ED2A5A" w:rsidP="00E824E6">
            <w:pPr>
              <w:spacing w:before="40" w:after="40"/>
              <w:jc w:val="left"/>
              <w:rPr>
                <w:sz w:val="18"/>
                <w:szCs w:val="18"/>
                <w:lang w:val="es-419"/>
              </w:rPr>
            </w:pPr>
            <w:r w:rsidRPr="00065280">
              <w:rPr>
                <w:sz w:val="18"/>
                <w:lang w:val="es-419"/>
              </w:rPr>
              <w:t>Traducción de los sitios web del mecanismo de facilitación</w:t>
            </w:r>
          </w:p>
        </w:tc>
        <w:tc>
          <w:tcPr>
            <w:tcW w:w="834" w:type="pct"/>
            <w:tcBorders>
              <w:bottom w:val="single" w:sz="4" w:space="0" w:color="auto"/>
            </w:tcBorders>
          </w:tcPr>
          <w:p w14:paraId="7E183F60" w14:textId="77777777" w:rsidR="00ED2A5A" w:rsidRPr="00065280" w:rsidRDefault="00ED2A5A" w:rsidP="00E824E6">
            <w:pPr>
              <w:spacing w:before="40" w:after="40"/>
              <w:ind w:right="140"/>
              <w:jc w:val="right"/>
              <w:rPr>
                <w:sz w:val="18"/>
                <w:szCs w:val="18"/>
                <w:lang w:val="es-419"/>
              </w:rPr>
            </w:pPr>
            <w:r w:rsidRPr="00065280">
              <w:rPr>
                <w:sz w:val="18"/>
                <w:lang w:val="es-419"/>
              </w:rPr>
              <w:t>65,0</w:t>
            </w:r>
          </w:p>
        </w:tc>
        <w:tc>
          <w:tcPr>
            <w:tcW w:w="750" w:type="pct"/>
            <w:tcBorders>
              <w:bottom w:val="single" w:sz="4" w:space="0" w:color="auto"/>
            </w:tcBorders>
          </w:tcPr>
          <w:p w14:paraId="03444243" w14:textId="77777777" w:rsidR="00ED2A5A" w:rsidRPr="00065280" w:rsidRDefault="00ED2A5A" w:rsidP="00E824E6">
            <w:pPr>
              <w:tabs>
                <w:tab w:val="clear" w:pos="1134"/>
              </w:tabs>
              <w:spacing w:before="40" w:after="40"/>
              <w:ind w:right="142"/>
              <w:jc w:val="right"/>
              <w:rPr>
                <w:sz w:val="18"/>
                <w:szCs w:val="18"/>
                <w:lang w:val="es-419"/>
              </w:rPr>
            </w:pPr>
            <w:r w:rsidRPr="00065280">
              <w:rPr>
                <w:sz w:val="18"/>
                <w:lang w:val="es-419"/>
              </w:rPr>
              <w:t>65,0</w:t>
            </w:r>
          </w:p>
        </w:tc>
        <w:tc>
          <w:tcPr>
            <w:tcW w:w="915" w:type="pct"/>
            <w:tcBorders>
              <w:bottom w:val="single" w:sz="4" w:space="0" w:color="auto"/>
            </w:tcBorders>
          </w:tcPr>
          <w:p w14:paraId="6CAEA588" w14:textId="77777777" w:rsidR="00ED2A5A" w:rsidRPr="00065280" w:rsidRDefault="00ED2A5A" w:rsidP="00E824E6">
            <w:pPr>
              <w:spacing w:before="40" w:after="40"/>
              <w:ind w:right="135"/>
              <w:jc w:val="right"/>
              <w:rPr>
                <w:sz w:val="18"/>
                <w:szCs w:val="18"/>
                <w:lang w:val="es-419"/>
              </w:rPr>
            </w:pPr>
            <w:r w:rsidRPr="00065280">
              <w:rPr>
                <w:sz w:val="18"/>
                <w:lang w:val="es-419"/>
              </w:rPr>
              <w:t>130,0</w:t>
            </w:r>
          </w:p>
        </w:tc>
      </w:tr>
      <w:tr w:rsidR="00ED2A5A" w:rsidRPr="00065280" w14:paraId="31FEC021" w14:textId="77777777" w:rsidTr="00E824E6">
        <w:trPr>
          <w:trHeight w:val="211"/>
        </w:trPr>
        <w:tc>
          <w:tcPr>
            <w:tcW w:w="2501" w:type="pct"/>
            <w:tcBorders>
              <w:top w:val="single" w:sz="4" w:space="0" w:color="auto"/>
              <w:bottom w:val="single" w:sz="4" w:space="0" w:color="auto"/>
            </w:tcBorders>
          </w:tcPr>
          <w:p w14:paraId="478A56BA" w14:textId="77777777" w:rsidR="00ED2A5A" w:rsidRPr="00065280" w:rsidRDefault="00ED2A5A" w:rsidP="00E824E6">
            <w:pPr>
              <w:tabs>
                <w:tab w:val="clear" w:pos="1134"/>
              </w:tabs>
              <w:spacing w:before="40" w:after="40"/>
              <w:ind w:left="284"/>
              <w:rPr>
                <w:b/>
                <w:bCs/>
                <w:sz w:val="18"/>
                <w:szCs w:val="18"/>
                <w:lang w:val="es-419"/>
              </w:rPr>
            </w:pPr>
            <w:r w:rsidRPr="00065280">
              <w:rPr>
                <w:b/>
                <w:sz w:val="18"/>
                <w:lang w:val="es-419"/>
              </w:rPr>
              <w:t>Subtotal</w:t>
            </w:r>
          </w:p>
        </w:tc>
        <w:tc>
          <w:tcPr>
            <w:tcW w:w="834" w:type="pct"/>
            <w:tcBorders>
              <w:top w:val="single" w:sz="4" w:space="0" w:color="auto"/>
              <w:bottom w:val="single" w:sz="4" w:space="0" w:color="auto"/>
            </w:tcBorders>
          </w:tcPr>
          <w:p w14:paraId="212E0161" w14:textId="77777777" w:rsidR="00ED2A5A" w:rsidRPr="00065280" w:rsidRDefault="00ED2A5A" w:rsidP="00E824E6">
            <w:pPr>
              <w:spacing w:before="40" w:after="40"/>
              <w:ind w:right="140"/>
              <w:jc w:val="right"/>
              <w:rPr>
                <w:b/>
                <w:bCs/>
                <w:sz w:val="18"/>
                <w:szCs w:val="18"/>
                <w:lang w:val="es-419"/>
              </w:rPr>
            </w:pPr>
            <w:r w:rsidRPr="00065280">
              <w:rPr>
                <w:b/>
                <w:sz w:val="18"/>
                <w:lang w:val="es-419"/>
              </w:rPr>
              <w:t>19 161,3</w:t>
            </w:r>
          </w:p>
        </w:tc>
        <w:tc>
          <w:tcPr>
            <w:tcW w:w="750" w:type="pct"/>
            <w:tcBorders>
              <w:top w:val="single" w:sz="4" w:space="0" w:color="auto"/>
              <w:bottom w:val="single" w:sz="4" w:space="0" w:color="auto"/>
            </w:tcBorders>
          </w:tcPr>
          <w:p w14:paraId="7CF7AE9E" w14:textId="77777777" w:rsidR="00ED2A5A" w:rsidRPr="00065280" w:rsidRDefault="00ED2A5A" w:rsidP="00E824E6">
            <w:pPr>
              <w:tabs>
                <w:tab w:val="clear" w:pos="1134"/>
              </w:tabs>
              <w:spacing w:before="40" w:after="40"/>
              <w:ind w:right="142"/>
              <w:jc w:val="right"/>
              <w:rPr>
                <w:b/>
                <w:bCs/>
                <w:sz w:val="18"/>
                <w:szCs w:val="18"/>
                <w:lang w:val="es-419"/>
              </w:rPr>
            </w:pPr>
            <w:r w:rsidRPr="00065280">
              <w:rPr>
                <w:b/>
                <w:sz w:val="18"/>
                <w:lang w:val="es-419"/>
              </w:rPr>
              <w:t>20 008,6</w:t>
            </w:r>
          </w:p>
        </w:tc>
        <w:tc>
          <w:tcPr>
            <w:tcW w:w="915" w:type="pct"/>
            <w:tcBorders>
              <w:top w:val="single" w:sz="4" w:space="0" w:color="auto"/>
              <w:bottom w:val="single" w:sz="4" w:space="0" w:color="auto"/>
            </w:tcBorders>
          </w:tcPr>
          <w:p w14:paraId="44F2CF12" w14:textId="77777777" w:rsidR="00ED2A5A" w:rsidRPr="00065280" w:rsidRDefault="00ED2A5A" w:rsidP="00E824E6">
            <w:pPr>
              <w:spacing w:before="40" w:after="40"/>
              <w:ind w:right="135"/>
              <w:jc w:val="right"/>
              <w:rPr>
                <w:b/>
                <w:bCs/>
                <w:sz w:val="18"/>
                <w:szCs w:val="18"/>
                <w:lang w:val="es-419"/>
              </w:rPr>
            </w:pPr>
            <w:r w:rsidRPr="00065280">
              <w:rPr>
                <w:b/>
                <w:sz w:val="18"/>
                <w:lang w:val="es-419"/>
              </w:rPr>
              <w:t>39 170,9</w:t>
            </w:r>
          </w:p>
        </w:tc>
      </w:tr>
      <w:tr w:rsidR="00ED2A5A" w:rsidRPr="00065280" w14:paraId="43AAFADF" w14:textId="77777777" w:rsidTr="00E824E6">
        <w:trPr>
          <w:trHeight w:val="211"/>
        </w:trPr>
        <w:tc>
          <w:tcPr>
            <w:tcW w:w="2501" w:type="pct"/>
            <w:tcBorders>
              <w:top w:val="single" w:sz="4" w:space="0" w:color="auto"/>
              <w:bottom w:val="single" w:sz="4" w:space="0" w:color="auto"/>
            </w:tcBorders>
          </w:tcPr>
          <w:p w14:paraId="151D7C9F" w14:textId="77777777" w:rsidR="00ED2A5A" w:rsidRPr="00065280" w:rsidRDefault="00ED2A5A" w:rsidP="00E824E6">
            <w:pPr>
              <w:spacing w:before="40" w:after="40"/>
              <w:rPr>
                <w:sz w:val="18"/>
                <w:szCs w:val="18"/>
                <w:lang w:val="es-419"/>
              </w:rPr>
            </w:pPr>
            <w:r w:rsidRPr="00065280">
              <w:rPr>
                <w:sz w:val="18"/>
                <w:lang w:val="es-419"/>
              </w:rPr>
              <w:t>Apoyo a los programas (13 %)</w:t>
            </w:r>
          </w:p>
        </w:tc>
        <w:tc>
          <w:tcPr>
            <w:tcW w:w="834" w:type="pct"/>
            <w:tcBorders>
              <w:top w:val="single" w:sz="4" w:space="0" w:color="auto"/>
              <w:bottom w:val="single" w:sz="4" w:space="0" w:color="auto"/>
            </w:tcBorders>
          </w:tcPr>
          <w:p w14:paraId="27428FF1" w14:textId="77777777" w:rsidR="00ED2A5A" w:rsidRPr="00065280" w:rsidRDefault="00ED2A5A" w:rsidP="00E824E6">
            <w:pPr>
              <w:spacing w:before="40" w:after="40"/>
              <w:ind w:right="140"/>
              <w:jc w:val="right"/>
              <w:rPr>
                <w:sz w:val="18"/>
                <w:szCs w:val="18"/>
                <w:lang w:val="es-419"/>
              </w:rPr>
            </w:pPr>
            <w:r w:rsidRPr="00065280">
              <w:rPr>
                <w:sz w:val="18"/>
                <w:lang w:val="es-419"/>
              </w:rPr>
              <w:t>2 491,0</w:t>
            </w:r>
          </w:p>
        </w:tc>
        <w:tc>
          <w:tcPr>
            <w:tcW w:w="750" w:type="pct"/>
            <w:tcBorders>
              <w:top w:val="single" w:sz="4" w:space="0" w:color="auto"/>
              <w:bottom w:val="single" w:sz="4" w:space="0" w:color="auto"/>
            </w:tcBorders>
          </w:tcPr>
          <w:p w14:paraId="3F98E286" w14:textId="77777777" w:rsidR="00ED2A5A" w:rsidRPr="00065280" w:rsidRDefault="00ED2A5A" w:rsidP="00E824E6">
            <w:pPr>
              <w:tabs>
                <w:tab w:val="clear" w:pos="1134"/>
              </w:tabs>
              <w:spacing w:before="40" w:after="40"/>
              <w:ind w:right="142"/>
              <w:jc w:val="right"/>
              <w:rPr>
                <w:sz w:val="18"/>
                <w:szCs w:val="18"/>
                <w:lang w:val="es-419"/>
              </w:rPr>
            </w:pPr>
            <w:r w:rsidRPr="00065280">
              <w:rPr>
                <w:sz w:val="18"/>
                <w:lang w:val="es-419"/>
              </w:rPr>
              <w:t>2 601,1</w:t>
            </w:r>
          </w:p>
        </w:tc>
        <w:tc>
          <w:tcPr>
            <w:tcW w:w="915" w:type="pct"/>
            <w:tcBorders>
              <w:top w:val="single" w:sz="4" w:space="0" w:color="auto"/>
              <w:bottom w:val="single" w:sz="4" w:space="0" w:color="auto"/>
            </w:tcBorders>
          </w:tcPr>
          <w:p w14:paraId="6736FD94" w14:textId="77777777" w:rsidR="00ED2A5A" w:rsidRPr="00065280" w:rsidRDefault="00ED2A5A" w:rsidP="00E824E6">
            <w:pPr>
              <w:spacing w:before="40" w:after="40"/>
              <w:ind w:right="135"/>
              <w:jc w:val="right"/>
              <w:rPr>
                <w:sz w:val="18"/>
                <w:szCs w:val="18"/>
                <w:lang w:val="es-419"/>
              </w:rPr>
            </w:pPr>
            <w:r w:rsidRPr="00065280">
              <w:rPr>
                <w:sz w:val="18"/>
                <w:lang w:val="es-419"/>
              </w:rPr>
              <w:t>5 092,1</w:t>
            </w:r>
          </w:p>
        </w:tc>
      </w:tr>
      <w:tr w:rsidR="00ED2A5A" w:rsidRPr="00065280" w14:paraId="2E6256AF" w14:textId="77777777" w:rsidTr="00E824E6">
        <w:trPr>
          <w:trHeight w:val="211"/>
        </w:trPr>
        <w:tc>
          <w:tcPr>
            <w:tcW w:w="2501" w:type="pct"/>
            <w:tcBorders>
              <w:top w:val="single" w:sz="4" w:space="0" w:color="auto"/>
              <w:bottom w:val="single" w:sz="4" w:space="0" w:color="auto"/>
            </w:tcBorders>
          </w:tcPr>
          <w:p w14:paraId="11670A44" w14:textId="77777777" w:rsidR="00ED2A5A" w:rsidRPr="00065280" w:rsidRDefault="00ED2A5A" w:rsidP="00E824E6">
            <w:pPr>
              <w:spacing w:before="40" w:after="40"/>
              <w:ind w:left="284"/>
              <w:rPr>
                <w:b/>
                <w:bCs/>
                <w:sz w:val="18"/>
                <w:szCs w:val="18"/>
                <w:lang w:val="es-419"/>
              </w:rPr>
            </w:pPr>
            <w:r w:rsidRPr="00065280">
              <w:rPr>
                <w:b/>
                <w:sz w:val="18"/>
                <w:lang w:val="es-419"/>
              </w:rPr>
              <w:t>Subtotal</w:t>
            </w:r>
          </w:p>
        </w:tc>
        <w:tc>
          <w:tcPr>
            <w:tcW w:w="834" w:type="pct"/>
            <w:tcBorders>
              <w:top w:val="single" w:sz="4" w:space="0" w:color="auto"/>
              <w:bottom w:val="single" w:sz="4" w:space="0" w:color="auto"/>
            </w:tcBorders>
          </w:tcPr>
          <w:p w14:paraId="39019098" w14:textId="77777777" w:rsidR="00ED2A5A" w:rsidRPr="00065280" w:rsidRDefault="00ED2A5A" w:rsidP="00E824E6">
            <w:pPr>
              <w:spacing w:before="40" w:after="40"/>
              <w:ind w:right="140"/>
              <w:jc w:val="right"/>
              <w:rPr>
                <w:b/>
                <w:bCs/>
                <w:sz w:val="18"/>
                <w:szCs w:val="18"/>
                <w:lang w:val="es-419"/>
              </w:rPr>
            </w:pPr>
            <w:r w:rsidRPr="00065280">
              <w:rPr>
                <w:b/>
                <w:sz w:val="18"/>
                <w:lang w:val="es-419"/>
              </w:rPr>
              <w:t>21 652,3</w:t>
            </w:r>
          </w:p>
        </w:tc>
        <w:tc>
          <w:tcPr>
            <w:tcW w:w="750" w:type="pct"/>
            <w:tcBorders>
              <w:top w:val="single" w:sz="4" w:space="0" w:color="auto"/>
              <w:bottom w:val="single" w:sz="4" w:space="0" w:color="auto"/>
            </w:tcBorders>
          </w:tcPr>
          <w:p w14:paraId="0C14F269" w14:textId="77777777" w:rsidR="00ED2A5A" w:rsidRPr="00065280" w:rsidRDefault="00ED2A5A" w:rsidP="00E824E6">
            <w:pPr>
              <w:tabs>
                <w:tab w:val="clear" w:pos="1134"/>
              </w:tabs>
              <w:spacing w:before="40" w:after="40"/>
              <w:ind w:right="142"/>
              <w:jc w:val="right"/>
              <w:rPr>
                <w:b/>
                <w:bCs/>
                <w:sz w:val="18"/>
                <w:szCs w:val="18"/>
                <w:lang w:val="es-419"/>
              </w:rPr>
            </w:pPr>
            <w:r w:rsidRPr="00065280">
              <w:rPr>
                <w:b/>
                <w:sz w:val="18"/>
                <w:lang w:val="es-419"/>
              </w:rPr>
              <w:t>22 609,8</w:t>
            </w:r>
          </w:p>
        </w:tc>
        <w:tc>
          <w:tcPr>
            <w:tcW w:w="915" w:type="pct"/>
            <w:tcBorders>
              <w:top w:val="single" w:sz="4" w:space="0" w:color="auto"/>
              <w:bottom w:val="single" w:sz="4" w:space="0" w:color="auto"/>
            </w:tcBorders>
          </w:tcPr>
          <w:p w14:paraId="1AA45BCC" w14:textId="77777777" w:rsidR="00ED2A5A" w:rsidRPr="00065280" w:rsidRDefault="00ED2A5A" w:rsidP="00E824E6">
            <w:pPr>
              <w:spacing w:before="40" w:after="40"/>
              <w:ind w:right="135"/>
              <w:jc w:val="right"/>
              <w:rPr>
                <w:b/>
                <w:bCs/>
                <w:sz w:val="18"/>
                <w:szCs w:val="18"/>
                <w:lang w:val="es-419"/>
              </w:rPr>
            </w:pPr>
            <w:r w:rsidRPr="00065280">
              <w:rPr>
                <w:b/>
                <w:sz w:val="18"/>
                <w:lang w:val="es-419"/>
              </w:rPr>
              <w:t>44 262,1</w:t>
            </w:r>
          </w:p>
        </w:tc>
      </w:tr>
      <w:tr w:rsidR="00ED2A5A" w:rsidRPr="00065280" w14:paraId="03A5BD42" w14:textId="77777777" w:rsidTr="00E824E6">
        <w:trPr>
          <w:trHeight w:val="211"/>
        </w:trPr>
        <w:tc>
          <w:tcPr>
            <w:tcW w:w="2501" w:type="pct"/>
            <w:tcBorders>
              <w:top w:val="single" w:sz="4" w:space="0" w:color="auto"/>
              <w:bottom w:val="single" w:sz="4" w:space="0" w:color="auto"/>
            </w:tcBorders>
          </w:tcPr>
          <w:p w14:paraId="0DA44C8C" w14:textId="77777777" w:rsidR="00ED2A5A" w:rsidRPr="00065280" w:rsidRDefault="00ED2A5A" w:rsidP="00E824E6">
            <w:pPr>
              <w:spacing w:before="40" w:after="40"/>
              <w:rPr>
                <w:sz w:val="18"/>
                <w:szCs w:val="18"/>
                <w:lang w:val="es-419"/>
              </w:rPr>
            </w:pPr>
            <w:r w:rsidRPr="00065280">
              <w:rPr>
                <w:sz w:val="18"/>
                <w:lang w:val="es-419"/>
              </w:rPr>
              <w:t>Reserva operacional</w:t>
            </w:r>
          </w:p>
        </w:tc>
        <w:tc>
          <w:tcPr>
            <w:tcW w:w="834" w:type="pct"/>
            <w:tcBorders>
              <w:top w:val="single" w:sz="4" w:space="0" w:color="auto"/>
              <w:bottom w:val="single" w:sz="4" w:space="0" w:color="auto"/>
            </w:tcBorders>
          </w:tcPr>
          <w:p w14:paraId="73194995" w14:textId="77777777" w:rsidR="00ED2A5A" w:rsidRPr="00065280" w:rsidRDefault="00ED2A5A" w:rsidP="00E824E6">
            <w:pPr>
              <w:spacing w:before="40" w:after="40"/>
              <w:ind w:right="140"/>
              <w:jc w:val="right"/>
              <w:rPr>
                <w:sz w:val="18"/>
                <w:szCs w:val="18"/>
                <w:lang w:val="es-419"/>
              </w:rPr>
            </w:pPr>
            <w:r w:rsidRPr="00065280">
              <w:rPr>
                <w:sz w:val="18"/>
                <w:lang w:val="es-419"/>
              </w:rPr>
              <w:t>29,8</w:t>
            </w:r>
          </w:p>
        </w:tc>
        <w:tc>
          <w:tcPr>
            <w:tcW w:w="750" w:type="pct"/>
            <w:tcBorders>
              <w:top w:val="single" w:sz="4" w:space="0" w:color="auto"/>
              <w:bottom w:val="single" w:sz="4" w:space="0" w:color="auto"/>
            </w:tcBorders>
          </w:tcPr>
          <w:p w14:paraId="2C28D835" w14:textId="77777777" w:rsidR="00ED2A5A" w:rsidRPr="00065280" w:rsidRDefault="00ED2A5A" w:rsidP="00E824E6">
            <w:pPr>
              <w:tabs>
                <w:tab w:val="clear" w:pos="1134"/>
              </w:tabs>
              <w:spacing w:before="40" w:after="40"/>
              <w:ind w:right="142"/>
              <w:jc w:val="right"/>
              <w:rPr>
                <w:sz w:val="18"/>
                <w:szCs w:val="18"/>
                <w:lang w:val="es-419"/>
              </w:rPr>
            </w:pPr>
            <w:r w:rsidRPr="00065280">
              <w:rPr>
                <w:sz w:val="18"/>
                <w:lang w:val="es-419"/>
              </w:rPr>
              <w:t>143,6</w:t>
            </w:r>
          </w:p>
        </w:tc>
        <w:tc>
          <w:tcPr>
            <w:tcW w:w="915" w:type="pct"/>
            <w:tcBorders>
              <w:top w:val="single" w:sz="4" w:space="0" w:color="auto"/>
              <w:bottom w:val="single" w:sz="4" w:space="0" w:color="auto"/>
            </w:tcBorders>
          </w:tcPr>
          <w:p w14:paraId="35FB457E" w14:textId="77777777" w:rsidR="00ED2A5A" w:rsidRPr="00065280" w:rsidRDefault="00ED2A5A" w:rsidP="00E824E6">
            <w:pPr>
              <w:spacing w:before="40" w:after="40"/>
              <w:ind w:right="135"/>
              <w:jc w:val="right"/>
              <w:rPr>
                <w:sz w:val="18"/>
                <w:szCs w:val="18"/>
                <w:lang w:val="es-419"/>
              </w:rPr>
            </w:pPr>
            <w:r w:rsidRPr="00065280">
              <w:rPr>
                <w:sz w:val="18"/>
                <w:lang w:val="es-419"/>
              </w:rPr>
              <w:t>173,4</w:t>
            </w:r>
          </w:p>
        </w:tc>
      </w:tr>
      <w:tr w:rsidR="00ED2A5A" w:rsidRPr="00065280" w14:paraId="75F01A87" w14:textId="77777777" w:rsidTr="00E824E6">
        <w:trPr>
          <w:trHeight w:val="211"/>
        </w:trPr>
        <w:tc>
          <w:tcPr>
            <w:tcW w:w="2501" w:type="pct"/>
            <w:tcBorders>
              <w:top w:val="single" w:sz="4" w:space="0" w:color="auto"/>
              <w:bottom w:val="single" w:sz="4" w:space="0" w:color="auto"/>
            </w:tcBorders>
          </w:tcPr>
          <w:p w14:paraId="085A2F39" w14:textId="77777777" w:rsidR="00ED2A5A" w:rsidRPr="00065280" w:rsidRDefault="00ED2A5A" w:rsidP="00E824E6">
            <w:pPr>
              <w:spacing w:before="40" w:after="40"/>
              <w:ind w:left="284"/>
              <w:rPr>
                <w:b/>
                <w:bCs/>
                <w:sz w:val="18"/>
                <w:szCs w:val="18"/>
                <w:lang w:val="es-419"/>
              </w:rPr>
            </w:pPr>
            <w:r w:rsidRPr="00065280">
              <w:rPr>
                <w:b/>
                <w:sz w:val="18"/>
                <w:lang w:val="es-419"/>
              </w:rPr>
              <w:t>Total</w:t>
            </w:r>
          </w:p>
        </w:tc>
        <w:tc>
          <w:tcPr>
            <w:tcW w:w="834" w:type="pct"/>
            <w:tcBorders>
              <w:top w:val="single" w:sz="4" w:space="0" w:color="auto"/>
              <w:bottom w:val="single" w:sz="4" w:space="0" w:color="auto"/>
            </w:tcBorders>
          </w:tcPr>
          <w:p w14:paraId="06D25190" w14:textId="77777777" w:rsidR="00ED2A5A" w:rsidRPr="00065280" w:rsidRDefault="00ED2A5A" w:rsidP="00E824E6">
            <w:pPr>
              <w:spacing w:before="40" w:after="40"/>
              <w:ind w:right="140"/>
              <w:jc w:val="right"/>
              <w:rPr>
                <w:b/>
                <w:bCs/>
                <w:sz w:val="18"/>
                <w:szCs w:val="18"/>
                <w:lang w:val="es-419"/>
              </w:rPr>
            </w:pPr>
            <w:r w:rsidRPr="00065280">
              <w:rPr>
                <w:b/>
                <w:sz w:val="18"/>
                <w:lang w:val="es-419"/>
              </w:rPr>
              <w:t>21 682,1</w:t>
            </w:r>
          </w:p>
        </w:tc>
        <w:tc>
          <w:tcPr>
            <w:tcW w:w="750" w:type="pct"/>
            <w:tcBorders>
              <w:top w:val="single" w:sz="4" w:space="0" w:color="auto"/>
              <w:bottom w:val="single" w:sz="4" w:space="0" w:color="auto"/>
            </w:tcBorders>
          </w:tcPr>
          <w:p w14:paraId="4D8FA919" w14:textId="77777777" w:rsidR="00ED2A5A" w:rsidRPr="00065280" w:rsidRDefault="00ED2A5A" w:rsidP="00E824E6">
            <w:pPr>
              <w:tabs>
                <w:tab w:val="clear" w:pos="1134"/>
              </w:tabs>
              <w:spacing w:before="40" w:after="40"/>
              <w:ind w:right="142"/>
              <w:jc w:val="right"/>
              <w:rPr>
                <w:b/>
                <w:bCs/>
                <w:sz w:val="18"/>
                <w:szCs w:val="18"/>
                <w:lang w:val="es-419"/>
              </w:rPr>
            </w:pPr>
            <w:r w:rsidRPr="00065280">
              <w:rPr>
                <w:b/>
                <w:sz w:val="18"/>
                <w:lang w:val="es-419"/>
              </w:rPr>
              <w:t>22 753,4</w:t>
            </w:r>
          </w:p>
        </w:tc>
        <w:tc>
          <w:tcPr>
            <w:tcW w:w="915" w:type="pct"/>
            <w:tcBorders>
              <w:top w:val="single" w:sz="4" w:space="0" w:color="auto"/>
              <w:bottom w:val="single" w:sz="4" w:space="0" w:color="auto"/>
            </w:tcBorders>
          </w:tcPr>
          <w:p w14:paraId="1B570F3B" w14:textId="77777777" w:rsidR="00ED2A5A" w:rsidRPr="00065280" w:rsidRDefault="00ED2A5A" w:rsidP="00E824E6">
            <w:pPr>
              <w:spacing w:before="40" w:after="40"/>
              <w:ind w:right="135"/>
              <w:jc w:val="right"/>
              <w:rPr>
                <w:b/>
                <w:bCs/>
                <w:sz w:val="18"/>
                <w:szCs w:val="18"/>
                <w:lang w:val="es-419"/>
              </w:rPr>
            </w:pPr>
            <w:r w:rsidRPr="00065280">
              <w:rPr>
                <w:b/>
                <w:sz w:val="18"/>
                <w:lang w:val="es-419"/>
              </w:rPr>
              <w:t>44 435,5</w:t>
            </w:r>
          </w:p>
        </w:tc>
      </w:tr>
      <w:tr w:rsidR="00ED2A5A" w:rsidRPr="00065280" w14:paraId="10F6F7FA" w14:textId="77777777" w:rsidTr="00E824E6">
        <w:trPr>
          <w:trHeight w:val="211"/>
        </w:trPr>
        <w:tc>
          <w:tcPr>
            <w:tcW w:w="2501" w:type="pct"/>
            <w:tcBorders>
              <w:top w:val="single" w:sz="4" w:space="0" w:color="auto"/>
            </w:tcBorders>
          </w:tcPr>
          <w:p w14:paraId="1736B3EB" w14:textId="77777777" w:rsidR="00ED2A5A" w:rsidRPr="00065280" w:rsidRDefault="00ED2A5A" w:rsidP="00E824E6">
            <w:pPr>
              <w:spacing w:before="40" w:after="40"/>
              <w:jc w:val="left"/>
              <w:rPr>
                <w:sz w:val="18"/>
                <w:szCs w:val="18"/>
                <w:lang w:val="es-419"/>
              </w:rPr>
            </w:pPr>
            <w:r w:rsidRPr="00065280">
              <w:rPr>
                <w:sz w:val="18"/>
                <w:lang w:val="es-419"/>
              </w:rPr>
              <w:t>Proporción del presupuesto integrado correspondiente al Protocolo de Cartagena (15 %).</w:t>
            </w:r>
          </w:p>
        </w:tc>
        <w:tc>
          <w:tcPr>
            <w:tcW w:w="834" w:type="pct"/>
            <w:tcBorders>
              <w:top w:val="single" w:sz="4" w:space="0" w:color="auto"/>
            </w:tcBorders>
          </w:tcPr>
          <w:p w14:paraId="28A0F00D" w14:textId="77777777" w:rsidR="00ED2A5A" w:rsidRPr="00065280" w:rsidRDefault="00ED2A5A" w:rsidP="00E824E6">
            <w:pPr>
              <w:spacing w:before="40" w:after="40"/>
              <w:ind w:right="140"/>
              <w:jc w:val="right"/>
              <w:rPr>
                <w:sz w:val="18"/>
                <w:szCs w:val="18"/>
                <w:lang w:val="es-419"/>
              </w:rPr>
            </w:pPr>
            <w:r w:rsidRPr="00065280">
              <w:rPr>
                <w:sz w:val="18"/>
                <w:lang w:val="es-419"/>
              </w:rPr>
              <w:t>3 252,3</w:t>
            </w:r>
          </w:p>
        </w:tc>
        <w:tc>
          <w:tcPr>
            <w:tcW w:w="750" w:type="pct"/>
            <w:tcBorders>
              <w:top w:val="single" w:sz="4" w:space="0" w:color="auto"/>
            </w:tcBorders>
          </w:tcPr>
          <w:p w14:paraId="4125E69C" w14:textId="77777777" w:rsidR="00ED2A5A" w:rsidRPr="00065280" w:rsidRDefault="00ED2A5A" w:rsidP="00E824E6">
            <w:pPr>
              <w:tabs>
                <w:tab w:val="clear" w:pos="1134"/>
              </w:tabs>
              <w:spacing w:before="40" w:after="40"/>
              <w:ind w:right="142"/>
              <w:jc w:val="right"/>
              <w:rPr>
                <w:sz w:val="18"/>
                <w:szCs w:val="18"/>
                <w:lang w:val="es-419"/>
              </w:rPr>
            </w:pPr>
            <w:r w:rsidRPr="00065280">
              <w:rPr>
                <w:sz w:val="18"/>
                <w:lang w:val="es-419"/>
              </w:rPr>
              <w:t>3 413,0</w:t>
            </w:r>
          </w:p>
        </w:tc>
        <w:tc>
          <w:tcPr>
            <w:tcW w:w="915" w:type="pct"/>
            <w:tcBorders>
              <w:top w:val="single" w:sz="4" w:space="0" w:color="auto"/>
            </w:tcBorders>
          </w:tcPr>
          <w:p w14:paraId="660CB7E0" w14:textId="77777777" w:rsidR="00ED2A5A" w:rsidRPr="00065280" w:rsidRDefault="00ED2A5A" w:rsidP="00E824E6">
            <w:pPr>
              <w:spacing w:before="40" w:after="40"/>
              <w:ind w:right="135"/>
              <w:jc w:val="right"/>
              <w:rPr>
                <w:sz w:val="18"/>
                <w:szCs w:val="18"/>
                <w:lang w:val="es-419"/>
              </w:rPr>
            </w:pPr>
            <w:r w:rsidRPr="00065280">
              <w:rPr>
                <w:sz w:val="18"/>
                <w:lang w:val="es-419"/>
              </w:rPr>
              <w:t>6 665,3</w:t>
            </w:r>
          </w:p>
        </w:tc>
      </w:tr>
      <w:tr w:rsidR="00ED2A5A" w:rsidRPr="00065280" w14:paraId="369A3EAE" w14:textId="77777777" w:rsidTr="00E824E6">
        <w:trPr>
          <w:trHeight w:val="211"/>
        </w:trPr>
        <w:tc>
          <w:tcPr>
            <w:tcW w:w="2501" w:type="pct"/>
          </w:tcPr>
          <w:p w14:paraId="6D93DF00" w14:textId="77777777" w:rsidR="00ED2A5A" w:rsidRPr="00065280" w:rsidRDefault="00ED2A5A" w:rsidP="00E824E6">
            <w:pPr>
              <w:spacing w:before="40" w:after="40"/>
              <w:rPr>
                <w:sz w:val="18"/>
                <w:szCs w:val="18"/>
                <w:lang w:val="es-419"/>
              </w:rPr>
            </w:pPr>
            <w:r w:rsidRPr="00065280">
              <w:rPr>
                <w:sz w:val="18"/>
                <w:lang w:val="es-419"/>
              </w:rPr>
              <w:t>Contribuciones del país anfitrión</w:t>
            </w:r>
          </w:p>
        </w:tc>
        <w:tc>
          <w:tcPr>
            <w:tcW w:w="834" w:type="pct"/>
          </w:tcPr>
          <w:p w14:paraId="5CDEF125" w14:textId="77777777" w:rsidR="00ED2A5A" w:rsidRPr="00065280" w:rsidRDefault="00ED2A5A" w:rsidP="00E824E6">
            <w:pPr>
              <w:spacing w:before="40" w:after="40"/>
              <w:ind w:right="140"/>
              <w:jc w:val="right"/>
              <w:rPr>
                <w:sz w:val="18"/>
                <w:szCs w:val="18"/>
                <w:lang w:val="es-419"/>
              </w:rPr>
            </w:pPr>
            <w:r w:rsidRPr="00065280">
              <w:rPr>
                <w:sz w:val="18"/>
                <w:lang w:val="es-419"/>
              </w:rPr>
              <w:t>(247,9)</w:t>
            </w:r>
          </w:p>
        </w:tc>
        <w:tc>
          <w:tcPr>
            <w:tcW w:w="750" w:type="pct"/>
          </w:tcPr>
          <w:p w14:paraId="6FD5F2E1" w14:textId="77777777" w:rsidR="00ED2A5A" w:rsidRPr="00065280" w:rsidRDefault="00ED2A5A" w:rsidP="00E824E6">
            <w:pPr>
              <w:tabs>
                <w:tab w:val="clear" w:pos="1134"/>
              </w:tabs>
              <w:spacing w:before="40" w:after="40"/>
              <w:ind w:right="142"/>
              <w:jc w:val="right"/>
              <w:rPr>
                <w:sz w:val="18"/>
                <w:szCs w:val="18"/>
                <w:lang w:val="es-419"/>
              </w:rPr>
            </w:pPr>
            <w:r w:rsidRPr="00065280">
              <w:rPr>
                <w:sz w:val="18"/>
                <w:lang w:val="es-419"/>
              </w:rPr>
              <w:t>(250,3)</w:t>
            </w:r>
          </w:p>
        </w:tc>
        <w:tc>
          <w:tcPr>
            <w:tcW w:w="915" w:type="pct"/>
          </w:tcPr>
          <w:p w14:paraId="7DD384CA" w14:textId="77777777" w:rsidR="00ED2A5A" w:rsidRPr="00065280" w:rsidRDefault="00ED2A5A" w:rsidP="00E824E6">
            <w:pPr>
              <w:spacing w:before="40" w:after="40"/>
              <w:ind w:right="135"/>
              <w:jc w:val="right"/>
              <w:rPr>
                <w:sz w:val="18"/>
                <w:szCs w:val="18"/>
                <w:lang w:val="es-419"/>
              </w:rPr>
            </w:pPr>
            <w:r w:rsidRPr="00065280">
              <w:rPr>
                <w:sz w:val="18"/>
                <w:lang w:val="es-419"/>
              </w:rPr>
              <w:t>(498,2)</w:t>
            </w:r>
          </w:p>
        </w:tc>
      </w:tr>
      <w:tr w:rsidR="00ED2A5A" w:rsidRPr="00065280" w14:paraId="282C09E1" w14:textId="77777777" w:rsidTr="00E824E6">
        <w:trPr>
          <w:trHeight w:val="211"/>
        </w:trPr>
        <w:tc>
          <w:tcPr>
            <w:tcW w:w="2501" w:type="pct"/>
            <w:tcBorders>
              <w:bottom w:val="single" w:sz="4" w:space="0" w:color="auto"/>
            </w:tcBorders>
          </w:tcPr>
          <w:p w14:paraId="56637872" w14:textId="77777777" w:rsidR="00ED2A5A" w:rsidRPr="00065280" w:rsidRDefault="00ED2A5A" w:rsidP="00E824E6">
            <w:pPr>
              <w:spacing w:before="40" w:after="40"/>
              <w:rPr>
                <w:sz w:val="18"/>
                <w:szCs w:val="18"/>
                <w:lang w:val="es-419"/>
              </w:rPr>
            </w:pPr>
            <w:r w:rsidRPr="00065280">
              <w:rPr>
                <w:sz w:val="18"/>
                <w:lang w:val="es-419"/>
              </w:rPr>
              <w:t>Empleo de reservas</w:t>
            </w:r>
          </w:p>
        </w:tc>
        <w:tc>
          <w:tcPr>
            <w:tcW w:w="834" w:type="pct"/>
            <w:tcBorders>
              <w:bottom w:val="single" w:sz="4" w:space="0" w:color="auto"/>
            </w:tcBorders>
          </w:tcPr>
          <w:p w14:paraId="41108215" w14:textId="77777777" w:rsidR="00ED2A5A" w:rsidRPr="00065280" w:rsidRDefault="00ED2A5A" w:rsidP="00E824E6">
            <w:pPr>
              <w:spacing w:before="40" w:after="40"/>
              <w:ind w:right="140"/>
              <w:jc w:val="right"/>
              <w:rPr>
                <w:sz w:val="18"/>
                <w:szCs w:val="18"/>
                <w:lang w:val="es-419"/>
              </w:rPr>
            </w:pPr>
            <w:r w:rsidRPr="00065280">
              <w:rPr>
                <w:sz w:val="18"/>
                <w:lang w:val="es-419"/>
              </w:rPr>
              <w:t>(71,3)</w:t>
            </w:r>
          </w:p>
        </w:tc>
        <w:tc>
          <w:tcPr>
            <w:tcW w:w="750" w:type="pct"/>
            <w:tcBorders>
              <w:bottom w:val="single" w:sz="4" w:space="0" w:color="auto"/>
            </w:tcBorders>
          </w:tcPr>
          <w:p w14:paraId="315B4336" w14:textId="77777777" w:rsidR="00ED2A5A" w:rsidRPr="00065280" w:rsidRDefault="00ED2A5A" w:rsidP="00E824E6">
            <w:pPr>
              <w:tabs>
                <w:tab w:val="clear" w:pos="1134"/>
              </w:tabs>
              <w:spacing w:before="40" w:after="40"/>
              <w:ind w:right="142"/>
              <w:jc w:val="right"/>
              <w:rPr>
                <w:sz w:val="18"/>
                <w:szCs w:val="18"/>
                <w:lang w:val="es-419"/>
              </w:rPr>
            </w:pPr>
            <w:r w:rsidRPr="00065280">
              <w:rPr>
                <w:sz w:val="18"/>
                <w:lang w:val="es-419"/>
              </w:rPr>
              <w:t>(29,0)</w:t>
            </w:r>
          </w:p>
        </w:tc>
        <w:tc>
          <w:tcPr>
            <w:tcW w:w="915" w:type="pct"/>
            <w:tcBorders>
              <w:bottom w:val="single" w:sz="4" w:space="0" w:color="auto"/>
            </w:tcBorders>
          </w:tcPr>
          <w:p w14:paraId="152E3175" w14:textId="77777777" w:rsidR="00ED2A5A" w:rsidRPr="00065280" w:rsidRDefault="00ED2A5A" w:rsidP="00E824E6">
            <w:pPr>
              <w:spacing w:before="40" w:after="40"/>
              <w:ind w:right="135"/>
              <w:jc w:val="right"/>
              <w:rPr>
                <w:sz w:val="18"/>
                <w:szCs w:val="18"/>
                <w:lang w:val="es-419"/>
              </w:rPr>
            </w:pPr>
            <w:r w:rsidRPr="00065280">
              <w:rPr>
                <w:sz w:val="18"/>
                <w:lang w:val="es-419"/>
              </w:rPr>
              <w:t>(100,3)</w:t>
            </w:r>
          </w:p>
        </w:tc>
      </w:tr>
      <w:tr w:rsidR="00ED2A5A" w:rsidRPr="00065280" w14:paraId="1F1DBC41" w14:textId="77777777" w:rsidTr="00E824E6">
        <w:trPr>
          <w:trHeight w:val="211"/>
        </w:trPr>
        <w:tc>
          <w:tcPr>
            <w:tcW w:w="2501" w:type="pct"/>
            <w:tcBorders>
              <w:top w:val="single" w:sz="4" w:space="0" w:color="auto"/>
              <w:bottom w:val="single" w:sz="4" w:space="0" w:color="auto"/>
            </w:tcBorders>
          </w:tcPr>
          <w:p w14:paraId="3C83D54E" w14:textId="77777777" w:rsidR="00ED2A5A" w:rsidRPr="00065280" w:rsidRDefault="00ED2A5A" w:rsidP="00E824E6">
            <w:pPr>
              <w:spacing w:before="40" w:after="40"/>
              <w:ind w:left="284"/>
              <w:rPr>
                <w:b/>
                <w:bCs/>
                <w:sz w:val="18"/>
                <w:szCs w:val="18"/>
                <w:lang w:val="es-419"/>
              </w:rPr>
            </w:pPr>
            <w:r w:rsidRPr="00065280">
              <w:rPr>
                <w:b/>
                <w:sz w:val="18"/>
                <w:lang w:val="es-419"/>
              </w:rPr>
              <w:t>Total neto a dividir entre las Partes</w:t>
            </w:r>
          </w:p>
        </w:tc>
        <w:tc>
          <w:tcPr>
            <w:tcW w:w="834" w:type="pct"/>
            <w:tcBorders>
              <w:top w:val="single" w:sz="4" w:space="0" w:color="auto"/>
              <w:bottom w:val="single" w:sz="4" w:space="0" w:color="auto"/>
            </w:tcBorders>
          </w:tcPr>
          <w:p w14:paraId="289ADFA3" w14:textId="77777777" w:rsidR="00ED2A5A" w:rsidRPr="00065280" w:rsidRDefault="00ED2A5A" w:rsidP="00E824E6">
            <w:pPr>
              <w:spacing w:before="40" w:after="40"/>
              <w:ind w:right="140"/>
              <w:jc w:val="right"/>
              <w:rPr>
                <w:b/>
                <w:bCs/>
                <w:sz w:val="18"/>
                <w:szCs w:val="18"/>
                <w:lang w:val="es-419"/>
              </w:rPr>
            </w:pPr>
            <w:r w:rsidRPr="00065280">
              <w:rPr>
                <w:b/>
                <w:sz w:val="18"/>
                <w:lang w:val="es-419"/>
              </w:rPr>
              <w:t>2 933,1</w:t>
            </w:r>
          </w:p>
        </w:tc>
        <w:tc>
          <w:tcPr>
            <w:tcW w:w="750" w:type="pct"/>
            <w:tcBorders>
              <w:top w:val="single" w:sz="4" w:space="0" w:color="auto"/>
              <w:bottom w:val="single" w:sz="4" w:space="0" w:color="auto"/>
            </w:tcBorders>
          </w:tcPr>
          <w:p w14:paraId="588242EF" w14:textId="77777777" w:rsidR="00ED2A5A" w:rsidRPr="00065280" w:rsidRDefault="00ED2A5A" w:rsidP="00E824E6">
            <w:pPr>
              <w:tabs>
                <w:tab w:val="clear" w:pos="1134"/>
              </w:tabs>
              <w:spacing w:before="40" w:after="40"/>
              <w:ind w:right="142"/>
              <w:jc w:val="right"/>
              <w:rPr>
                <w:b/>
                <w:bCs/>
                <w:sz w:val="18"/>
                <w:szCs w:val="18"/>
                <w:lang w:val="es-419"/>
              </w:rPr>
            </w:pPr>
            <w:r w:rsidRPr="00065280">
              <w:rPr>
                <w:b/>
                <w:sz w:val="18"/>
                <w:lang w:val="es-419"/>
              </w:rPr>
              <w:t>3 133,7</w:t>
            </w:r>
          </w:p>
        </w:tc>
        <w:tc>
          <w:tcPr>
            <w:tcW w:w="915" w:type="pct"/>
            <w:tcBorders>
              <w:top w:val="single" w:sz="4" w:space="0" w:color="auto"/>
              <w:bottom w:val="single" w:sz="4" w:space="0" w:color="auto"/>
            </w:tcBorders>
          </w:tcPr>
          <w:p w14:paraId="184EB90C" w14:textId="77777777" w:rsidR="00ED2A5A" w:rsidRPr="00065280" w:rsidRDefault="00ED2A5A" w:rsidP="00E824E6">
            <w:pPr>
              <w:spacing w:before="40" w:after="40"/>
              <w:ind w:right="135"/>
              <w:jc w:val="right"/>
              <w:rPr>
                <w:b/>
                <w:bCs/>
                <w:sz w:val="18"/>
                <w:szCs w:val="18"/>
                <w:lang w:val="es-419"/>
              </w:rPr>
            </w:pPr>
            <w:r w:rsidRPr="00065280">
              <w:rPr>
                <w:b/>
                <w:sz w:val="18"/>
                <w:lang w:val="es-419"/>
              </w:rPr>
              <w:t>6 066,8</w:t>
            </w:r>
          </w:p>
        </w:tc>
      </w:tr>
    </w:tbl>
    <w:p w14:paraId="52CBDA9C" w14:textId="6F20C70B" w:rsidR="00ED2A5A" w:rsidRPr="00065280" w:rsidRDefault="00ED2A5A" w:rsidP="00ED2A5A">
      <w:pPr>
        <w:pStyle w:val="ListParagraph"/>
        <w:tabs>
          <w:tab w:val="clear" w:pos="567"/>
          <w:tab w:val="clear" w:pos="1134"/>
          <w:tab w:val="clear" w:pos="1701"/>
          <w:tab w:val="clear" w:pos="2268"/>
        </w:tabs>
        <w:snapToGrid w:val="0"/>
        <w:spacing w:before="40" w:after="40"/>
        <w:ind w:left="567"/>
        <w:contextualSpacing w:val="0"/>
        <w:jc w:val="left"/>
        <w:rPr>
          <w:sz w:val="18"/>
          <w:szCs w:val="18"/>
          <w:lang w:val="es-419"/>
        </w:rPr>
      </w:pPr>
      <w:bookmarkStart w:id="45" w:name="_Hlk183617566"/>
      <w:r w:rsidRPr="00065280">
        <w:rPr>
          <w:i/>
          <w:sz w:val="18"/>
          <w:vertAlign w:val="superscript"/>
          <w:lang w:val="es-419"/>
        </w:rPr>
        <w:t>a</w:t>
      </w:r>
      <w:bookmarkEnd w:id="45"/>
      <w:r w:rsidR="00E3329F">
        <w:rPr>
          <w:i/>
          <w:sz w:val="18"/>
          <w:vertAlign w:val="superscript"/>
          <w:lang w:val="es-419"/>
        </w:rPr>
        <w:t> </w:t>
      </w:r>
      <w:r w:rsidRPr="00065280">
        <w:rPr>
          <w:rFonts w:asciiTheme="majorBidi" w:hAnsiTheme="majorBidi"/>
          <w:sz w:val="18"/>
          <w:lang w:val="es-419"/>
        </w:rPr>
        <w:t xml:space="preserve">1ª reunión del </w:t>
      </w:r>
      <w:r w:rsidRPr="00065280">
        <w:rPr>
          <w:sz w:val="18"/>
          <w:lang w:val="es-419"/>
        </w:rPr>
        <w:t>Órgano Subsidiario sobre el Artículo 8 j) y Otras Disposiciones del Convenio sobre la Diversidad Biológica Relativas a los Pueblos Indígenas y las Comunidades Locales; reuniones 27ª y 28ª del Órgano Subsidiario de Asesoramiento Científico, Técnico y Tecnológico; 6ª reunión del  Órgano Subsidiario sobre la Aplicación, y, celebradas en forma concurrente, 17ª reunión de la Conferencia de las Partes en el Convenio, 12ª reunión de la Conferencia de las Partes que actúa como reunión de las Partes en el Protocolo de Cartagena y 6ª reunión de la Conferencia de las Partes que actúa como reunión de las Partes en el Protocolo de Nagoya.</w:t>
      </w:r>
    </w:p>
    <w:p w14:paraId="718E7A12" w14:textId="77777777" w:rsidR="00ED2A5A" w:rsidRPr="00065280" w:rsidRDefault="00ED2A5A" w:rsidP="00ED2A5A">
      <w:pPr>
        <w:pStyle w:val="CBDTableTitle"/>
        <w:rPr>
          <w:lang w:val="es-419"/>
        </w:rPr>
      </w:pPr>
      <w:r w:rsidRPr="00065280">
        <w:rPr>
          <w:b w:val="0"/>
          <w:lang w:val="es-419"/>
        </w:rPr>
        <w:t>Cuadro 2</w:t>
      </w:r>
      <w:r w:rsidRPr="00065280">
        <w:rPr>
          <w:b w:val="0"/>
          <w:lang w:val="es-419"/>
        </w:rPr>
        <w:br/>
      </w:r>
      <w:r w:rsidRPr="00065280">
        <w:rPr>
          <w:lang w:val="es-419"/>
        </w:rPr>
        <w:t xml:space="preserve">Presupuesto bienal integrado de los fondos fiduciarios básicos del </w:t>
      </w:r>
      <w:bookmarkStart w:id="46" w:name="_Hlk183617687"/>
      <w:r w:rsidRPr="00065280">
        <w:rPr>
          <w:lang w:val="es-419"/>
        </w:rPr>
        <w:t>Convenio y sus Protocolos,</w:t>
      </w:r>
      <w:bookmarkEnd w:id="46"/>
      <w:r w:rsidRPr="00065280">
        <w:rPr>
          <w:lang w:val="es-419"/>
        </w:rPr>
        <w:t xml:space="preserve"> 2025-2026 (por componente)</w:t>
      </w:r>
    </w:p>
    <w:p w14:paraId="01EDF7DC" w14:textId="77777777" w:rsidR="00ED2A5A" w:rsidRPr="00065280" w:rsidRDefault="00ED2A5A" w:rsidP="00ED2A5A">
      <w:pPr>
        <w:pStyle w:val="CBDTableTitle"/>
        <w:rPr>
          <w:bCs/>
          <w:lang w:val="es-419"/>
        </w:rPr>
      </w:pPr>
      <w:r w:rsidRPr="00065280">
        <w:rPr>
          <w:b w:val="0"/>
          <w:color w:val="000000" w:themeColor="text1"/>
          <w:sz w:val="17"/>
          <w:lang w:val="es-419"/>
        </w:rPr>
        <w:t>(miles de dólares de los EE. UU.)</w:t>
      </w:r>
    </w:p>
    <w:tbl>
      <w:tblPr>
        <w:tblW w:w="8133" w:type="dxa"/>
        <w:tblInd w:w="567" w:type="dxa"/>
        <w:tblLook w:val="04A0" w:firstRow="1" w:lastRow="0" w:firstColumn="1" w:lastColumn="0" w:noHBand="0" w:noVBand="1"/>
      </w:tblPr>
      <w:tblGrid>
        <w:gridCol w:w="4593"/>
        <w:gridCol w:w="1180"/>
        <w:gridCol w:w="1180"/>
        <w:gridCol w:w="1180"/>
      </w:tblGrid>
      <w:tr w:rsidR="00ED2A5A" w:rsidRPr="00065280" w14:paraId="09B2C0CD" w14:textId="77777777" w:rsidTr="00E824E6">
        <w:trPr>
          <w:trHeight w:val="290"/>
        </w:trPr>
        <w:tc>
          <w:tcPr>
            <w:tcW w:w="4593" w:type="dxa"/>
            <w:tcBorders>
              <w:top w:val="nil"/>
              <w:left w:val="nil"/>
              <w:bottom w:val="nil"/>
              <w:right w:val="nil"/>
            </w:tcBorders>
            <w:shd w:val="clear" w:color="auto" w:fill="auto"/>
            <w:vAlign w:val="bottom"/>
          </w:tcPr>
          <w:p w14:paraId="214A5504" w14:textId="77777777" w:rsidR="00ED2A5A" w:rsidRPr="00065280" w:rsidRDefault="00ED2A5A" w:rsidP="00E824E6">
            <w:pPr>
              <w:keepNext/>
              <w:keepLines/>
              <w:tabs>
                <w:tab w:val="clear" w:pos="567"/>
                <w:tab w:val="clear" w:pos="1134"/>
                <w:tab w:val="clear" w:pos="1701"/>
                <w:tab w:val="clear" w:pos="2268"/>
              </w:tabs>
              <w:jc w:val="left"/>
              <w:rPr>
                <w:rFonts w:eastAsia="Times New Roman"/>
                <w:i/>
                <w:iCs/>
                <w:color w:val="000000"/>
                <w:sz w:val="18"/>
                <w:szCs w:val="18"/>
                <w:lang w:val="es-419"/>
              </w:rPr>
            </w:pPr>
            <w:r w:rsidRPr="00065280">
              <w:rPr>
                <w:i/>
                <w:color w:val="000000"/>
                <w:sz w:val="18"/>
                <w:lang w:val="es-419"/>
              </w:rPr>
              <w:t>Componente</w:t>
            </w:r>
          </w:p>
        </w:tc>
        <w:tc>
          <w:tcPr>
            <w:tcW w:w="1180" w:type="dxa"/>
            <w:tcBorders>
              <w:top w:val="nil"/>
              <w:left w:val="nil"/>
              <w:bottom w:val="nil"/>
              <w:right w:val="nil"/>
            </w:tcBorders>
            <w:shd w:val="clear" w:color="auto" w:fill="auto"/>
            <w:vAlign w:val="bottom"/>
          </w:tcPr>
          <w:p w14:paraId="3BAC46BC" w14:textId="77777777" w:rsidR="00ED2A5A" w:rsidRPr="00065280" w:rsidRDefault="00ED2A5A" w:rsidP="00E824E6">
            <w:pPr>
              <w:keepNext/>
              <w:keepLines/>
              <w:tabs>
                <w:tab w:val="clear" w:pos="567"/>
                <w:tab w:val="clear" w:pos="1134"/>
                <w:tab w:val="clear" w:pos="1701"/>
                <w:tab w:val="clear" w:pos="2268"/>
              </w:tabs>
              <w:jc w:val="right"/>
              <w:rPr>
                <w:rFonts w:eastAsia="Times New Roman"/>
                <w:color w:val="000000"/>
                <w:sz w:val="18"/>
                <w:szCs w:val="18"/>
                <w:lang w:val="es-419"/>
              </w:rPr>
            </w:pPr>
            <w:r w:rsidRPr="00065280">
              <w:rPr>
                <w:i/>
                <w:color w:val="000000"/>
                <w:sz w:val="18"/>
                <w:lang w:val="es-419"/>
              </w:rPr>
              <w:t>2025</w:t>
            </w:r>
          </w:p>
        </w:tc>
        <w:tc>
          <w:tcPr>
            <w:tcW w:w="1180" w:type="dxa"/>
            <w:tcBorders>
              <w:top w:val="nil"/>
              <w:left w:val="nil"/>
              <w:bottom w:val="nil"/>
              <w:right w:val="nil"/>
            </w:tcBorders>
            <w:shd w:val="clear" w:color="auto" w:fill="auto"/>
            <w:vAlign w:val="bottom"/>
          </w:tcPr>
          <w:p w14:paraId="5B226154" w14:textId="77777777" w:rsidR="00ED2A5A" w:rsidRPr="00065280" w:rsidRDefault="00ED2A5A" w:rsidP="00E824E6">
            <w:pPr>
              <w:keepNext/>
              <w:keepLines/>
              <w:tabs>
                <w:tab w:val="clear" w:pos="567"/>
                <w:tab w:val="clear" w:pos="1134"/>
                <w:tab w:val="clear" w:pos="1701"/>
                <w:tab w:val="clear" w:pos="2268"/>
              </w:tabs>
              <w:jc w:val="right"/>
              <w:rPr>
                <w:rFonts w:eastAsia="Times New Roman"/>
                <w:color w:val="000000"/>
                <w:sz w:val="18"/>
                <w:szCs w:val="18"/>
                <w:lang w:val="es-419"/>
              </w:rPr>
            </w:pPr>
            <w:r w:rsidRPr="00065280">
              <w:rPr>
                <w:i/>
                <w:color w:val="000000"/>
                <w:sz w:val="18"/>
                <w:lang w:val="es-419"/>
              </w:rPr>
              <w:t>2026</w:t>
            </w:r>
          </w:p>
        </w:tc>
        <w:tc>
          <w:tcPr>
            <w:tcW w:w="1180" w:type="dxa"/>
            <w:tcBorders>
              <w:top w:val="nil"/>
              <w:left w:val="nil"/>
              <w:bottom w:val="nil"/>
              <w:right w:val="nil"/>
            </w:tcBorders>
            <w:shd w:val="clear" w:color="auto" w:fill="auto"/>
            <w:vAlign w:val="bottom"/>
          </w:tcPr>
          <w:p w14:paraId="50FCB4D9" w14:textId="77777777" w:rsidR="00ED2A5A" w:rsidRPr="00065280" w:rsidRDefault="00ED2A5A" w:rsidP="00E824E6">
            <w:pPr>
              <w:keepNext/>
              <w:keepLines/>
              <w:tabs>
                <w:tab w:val="clear" w:pos="567"/>
                <w:tab w:val="clear" w:pos="1134"/>
                <w:tab w:val="clear" w:pos="1701"/>
                <w:tab w:val="clear" w:pos="2268"/>
              </w:tabs>
              <w:jc w:val="right"/>
              <w:rPr>
                <w:rFonts w:eastAsia="Times New Roman"/>
                <w:b/>
                <w:bCs/>
                <w:color w:val="000000"/>
                <w:sz w:val="18"/>
                <w:szCs w:val="18"/>
                <w:lang w:val="es-419"/>
              </w:rPr>
            </w:pPr>
            <w:r w:rsidRPr="00065280">
              <w:rPr>
                <w:i/>
                <w:color w:val="000000"/>
                <w:sz w:val="18"/>
                <w:lang w:val="es-419"/>
              </w:rPr>
              <w:t>2025</w:t>
            </w:r>
            <w:r w:rsidRPr="00065280">
              <w:rPr>
                <w:i/>
                <w:sz w:val="18"/>
                <w:lang w:val="es-419"/>
              </w:rPr>
              <w:t>-</w:t>
            </w:r>
            <w:r w:rsidRPr="00065280">
              <w:rPr>
                <w:i/>
                <w:color w:val="000000"/>
                <w:sz w:val="18"/>
                <w:lang w:val="es-419"/>
              </w:rPr>
              <w:t>2026</w:t>
            </w:r>
          </w:p>
        </w:tc>
      </w:tr>
      <w:tr w:rsidR="00ED2A5A" w:rsidRPr="00065280" w14:paraId="09BBF595" w14:textId="77777777" w:rsidTr="00E824E6">
        <w:trPr>
          <w:trHeight w:val="290"/>
        </w:trPr>
        <w:tc>
          <w:tcPr>
            <w:tcW w:w="4593" w:type="dxa"/>
            <w:tcBorders>
              <w:top w:val="single" w:sz="4" w:space="0" w:color="auto"/>
              <w:left w:val="nil"/>
              <w:bottom w:val="nil"/>
              <w:right w:val="nil"/>
            </w:tcBorders>
            <w:shd w:val="clear" w:color="auto" w:fill="auto"/>
            <w:vAlign w:val="center"/>
            <w:hideMark/>
          </w:tcPr>
          <w:p w14:paraId="299B3564" w14:textId="77777777" w:rsidR="00ED2A5A" w:rsidRPr="00065280" w:rsidRDefault="00ED2A5A" w:rsidP="00E824E6">
            <w:pPr>
              <w:keepNext/>
              <w:keepLines/>
              <w:tabs>
                <w:tab w:val="clear" w:pos="567"/>
                <w:tab w:val="clear" w:pos="1134"/>
                <w:tab w:val="clear" w:pos="1701"/>
                <w:tab w:val="clear" w:pos="2268"/>
              </w:tabs>
              <w:jc w:val="left"/>
              <w:rPr>
                <w:rFonts w:eastAsia="Times New Roman"/>
                <w:color w:val="000000"/>
                <w:sz w:val="18"/>
                <w:szCs w:val="18"/>
                <w:lang w:val="es-419"/>
              </w:rPr>
            </w:pPr>
            <w:r w:rsidRPr="00065280">
              <w:rPr>
                <w:color w:val="000000"/>
                <w:sz w:val="18"/>
                <w:lang w:val="es-419"/>
              </w:rPr>
              <w:t>A. Órganos rectores y subsidiarios</w:t>
            </w:r>
          </w:p>
        </w:tc>
        <w:tc>
          <w:tcPr>
            <w:tcW w:w="1180" w:type="dxa"/>
            <w:tcBorders>
              <w:top w:val="single" w:sz="4" w:space="0" w:color="auto"/>
              <w:left w:val="nil"/>
              <w:bottom w:val="nil"/>
              <w:right w:val="nil"/>
            </w:tcBorders>
            <w:shd w:val="clear" w:color="auto" w:fill="auto"/>
            <w:vAlign w:val="center"/>
            <w:hideMark/>
          </w:tcPr>
          <w:p w14:paraId="425C0AA8" w14:textId="77777777" w:rsidR="00ED2A5A" w:rsidRPr="00065280" w:rsidRDefault="00ED2A5A" w:rsidP="00E824E6">
            <w:pPr>
              <w:keepNext/>
              <w:keepLines/>
              <w:tabs>
                <w:tab w:val="clear" w:pos="567"/>
                <w:tab w:val="clear" w:pos="1134"/>
                <w:tab w:val="clear" w:pos="1701"/>
                <w:tab w:val="clear" w:pos="2268"/>
              </w:tabs>
              <w:jc w:val="right"/>
              <w:rPr>
                <w:rFonts w:eastAsia="Times New Roman"/>
                <w:color w:val="000000"/>
                <w:sz w:val="18"/>
                <w:szCs w:val="18"/>
                <w:lang w:val="es-419"/>
              </w:rPr>
            </w:pPr>
            <w:r w:rsidRPr="00065280">
              <w:rPr>
                <w:color w:val="000000"/>
                <w:sz w:val="18"/>
                <w:lang w:val="es-419"/>
              </w:rPr>
              <w:t>2 611,2</w:t>
            </w:r>
          </w:p>
        </w:tc>
        <w:tc>
          <w:tcPr>
            <w:tcW w:w="1180" w:type="dxa"/>
            <w:tcBorders>
              <w:top w:val="single" w:sz="4" w:space="0" w:color="auto"/>
              <w:left w:val="nil"/>
              <w:bottom w:val="nil"/>
              <w:right w:val="nil"/>
            </w:tcBorders>
            <w:shd w:val="clear" w:color="auto" w:fill="auto"/>
            <w:vAlign w:val="center"/>
            <w:hideMark/>
          </w:tcPr>
          <w:p w14:paraId="601193E4" w14:textId="77777777" w:rsidR="00ED2A5A" w:rsidRPr="00065280" w:rsidRDefault="00ED2A5A" w:rsidP="00E824E6">
            <w:pPr>
              <w:keepNext/>
              <w:keepLines/>
              <w:tabs>
                <w:tab w:val="clear" w:pos="567"/>
                <w:tab w:val="clear" w:pos="1134"/>
                <w:tab w:val="clear" w:pos="1701"/>
                <w:tab w:val="clear" w:pos="2268"/>
              </w:tabs>
              <w:jc w:val="right"/>
              <w:rPr>
                <w:rFonts w:eastAsia="Times New Roman"/>
                <w:color w:val="000000"/>
                <w:sz w:val="18"/>
                <w:szCs w:val="18"/>
                <w:lang w:val="es-419"/>
              </w:rPr>
            </w:pPr>
            <w:r w:rsidRPr="00065280">
              <w:rPr>
                <w:color w:val="000000"/>
                <w:sz w:val="18"/>
                <w:lang w:val="es-419"/>
              </w:rPr>
              <w:t>3 082,7</w:t>
            </w:r>
          </w:p>
        </w:tc>
        <w:tc>
          <w:tcPr>
            <w:tcW w:w="1180" w:type="dxa"/>
            <w:tcBorders>
              <w:top w:val="single" w:sz="4" w:space="0" w:color="auto"/>
              <w:left w:val="nil"/>
              <w:bottom w:val="nil"/>
              <w:right w:val="nil"/>
            </w:tcBorders>
            <w:shd w:val="clear" w:color="auto" w:fill="auto"/>
            <w:vAlign w:val="center"/>
            <w:hideMark/>
          </w:tcPr>
          <w:p w14:paraId="1D6368E6" w14:textId="77777777" w:rsidR="00ED2A5A" w:rsidRPr="00065280" w:rsidRDefault="00ED2A5A" w:rsidP="00E824E6">
            <w:pPr>
              <w:keepNext/>
              <w:keepLines/>
              <w:tabs>
                <w:tab w:val="clear" w:pos="567"/>
                <w:tab w:val="clear" w:pos="1134"/>
                <w:tab w:val="clear" w:pos="1701"/>
                <w:tab w:val="clear" w:pos="2268"/>
              </w:tabs>
              <w:jc w:val="right"/>
              <w:rPr>
                <w:rFonts w:eastAsia="Times New Roman"/>
                <w:color w:val="000000"/>
                <w:sz w:val="18"/>
                <w:szCs w:val="18"/>
                <w:lang w:val="es-419"/>
              </w:rPr>
            </w:pPr>
            <w:r w:rsidRPr="00065280">
              <w:rPr>
                <w:color w:val="000000"/>
                <w:sz w:val="18"/>
                <w:lang w:val="es-419"/>
              </w:rPr>
              <w:t>5 693,9</w:t>
            </w:r>
          </w:p>
        </w:tc>
      </w:tr>
      <w:tr w:rsidR="00ED2A5A" w:rsidRPr="00065280" w14:paraId="3BDAB64E" w14:textId="77777777" w:rsidTr="00E824E6">
        <w:trPr>
          <w:trHeight w:val="290"/>
        </w:trPr>
        <w:tc>
          <w:tcPr>
            <w:tcW w:w="4593" w:type="dxa"/>
            <w:tcBorders>
              <w:top w:val="nil"/>
              <w:left w:val="nil"/>
              <w:bottom w:val="nil"/>
              <w:right w:val="nil"/>
            </w:tcBorders>
            <w:shd w:val="clear" w:color="auto" w:fill="auto"/>
            <w:vAlign w:val="center"/>
            <w:hideMark/>
          </w:tcPr>
          <w:p w14:paraId="0AC9072F" w14:textId="77777777" w:rsidR="00ED2A5A" w:rsidRPr="00065280" w:rsidRDefault="00ED2A5A" w:rsidP="00E824E6">
            <w:pPr>
              <w:keepNext/>
              <w:keepLines/>
              <w:tabs>
                <w:tab w:val="clear" w:pos="567"/>
                <w:tab w:val="clear" w:pos="1134"/>
                <w:tab w:val="clear" w:pos="1701"/>
                <w:tab w:val="clear" w:pos="2268"/>
              </w:tabs>
              <w:jc w:val="left"/>
              <w:rPr>
                <w:rFonts w:eastAsia="Times New Roman"/>
                <w:color w:val="000000"/>
                <w:sz w:val="18"/>
                <w:szCs w:val="18"/>
                <w:lang w:val="es-419"/>
              </w:rPr>
            </w:pPr>
            <w:r w:rsidRPr="00065280">
              <w:rPr>
                <w:color w:val="000000"/>
                <w:sz w:val="18"/>
                <w:lang w:val="es-419"/>
              </w:rPr>
              <w:t>B. Dirección ejecutiva y administración</w:t>
            </w:r>
          </w:p>
        </w:tc>
        <w:tc>
          <w:tcPr>
            <w:tcW w:w="1180" w:type="dxa"/>
            <w:tcBorders>
              <w:top w:val="nil"/>
              <w:left w:val="nil"/>
              <w:bottom w:val="nil"/>
              <w:right w:val="nil"/>
            </w:tcBorders>
            <w:shd w:val="clear" w:color="auto" w:fill="auto"/>
            <w:vAlign w:val="center"/>
            <w:hideMark/>
          </w:tcPr>
          <w:p w14:paraId="5D255670" w14:textId="77777777" w:rsidR="00ED2A5A" w:rsidRPr="00065280" w:rsidRDefault="00ED2A5A" w:rsidP="00E824E6">
            <w:pPr>
              <w:keepNext/>
              <w:keepLines/>
              <w:tabs>
                <w:tab w:val="clear" w:pos="567"/>
                <w:tab w:val="clear" w:pos="1134"/>
                <w:tab w:val="clear" w:pos="1701"/>
                <w:tab w:val="clear" w:pos="2268"/>
              </w:tabs>
              <w:jc w:val="right"/>
              <w:rPr>
                <w:rFonts w:eastAsia="Times New Roman"/>
                <w:color w:val="000000"/>
                <w:sz w:val="18"/>
                <w:szCs w:val="18"/>
                <w:lang w:val="es-419"/>
              </w:rPr>
            </w:pPr>
            <w:r w:rsidRPr="00065280">
              <w:rPr>
                <w:color w:val="000000"/>
                <w:sz w:val="18"/>
                <w:lang w:val="es-419"/>
              </w:rPr>
              <w:t>2 946,8</w:t>
            </w:r>
          </w:p>
        </w:tc>
        <w:tc>
          <w:tcPr>
            <w:tcW w:w="1180" w:type="dxa"/>
            <w:tcBorders>
              <w:top w:val="nil"/>
              <w:left w:val="nil"/>
              <w:bottom w:val="nil"/>
              <w:right w:val="nil"/>
            </w:tcBorders>
            <w:shd w:val="clear" w:color="auto" w:fill="auto"/>
            <w:vAlign w:val="center"/>
            <w:hideMark/>
          </w:tcPr>
          <w:p w14:paraId="7C71E1A6" w14:textId="77777777" w:rsidR="00ED2A5A" w:rsidRPr="00065280" w:rsidRDefault="00ED2A5A" w:rsidP="00E824E6">
            <w:pPr>
              <w:keepNext/>
              <w:keepLines/>
              <w:tabs>
                <w:tab w:val="clear" w:pos="567"/>
                <w:tab w:val="clear" w:pos="1134"/>
                <w:tab w:val="clear" w:pos="1701"/>
                <w:tab w:val="clear" w:pos="2268"/>
              </w:tabs>
              <w:jc w:val="right"/>
              <w:rPr>
                <w:rFonts w:eastAsia="Times New Roman"/>
                <w:color w:val="000000"/>
                <w:sz w:val="18"/>
                <w:szCs w:val="18"/>
                <w:lang w:val="es-419"/>
              </w:rPr>
            </w:pPr>
            <w:r w:rsidRPr="00065280">
              <w:rPr>
                <w:color w:val="000000"/>
                <w:sz w:val="18"/>
                <w:lang w:val="es-419"/>
              </w:rPr>
              <w:t>3 098,4</w:t>
            </w:r>
          </w:p>
        </w:tc>
        <w:tc>
          <w:tcPr>
            <w:tcW w:w="1180" w:type="dxa"/>
            <w:tcBorders>
              <w:top w:val="nil"/>
              <w:left w:val="nil"/>
              <w:bottom w:val="nil"/>
              <w:right w:val="nil"/>
            </w:tcBorders>
            <w:shd w:val="clear" w:color="auto" w:fill="auto"/>
            <w:vAlign w:val="center"/>
            <w:hideMark/>
          </w:tcPr>
          <w:p w14:paraId="37EA8AC7" w14:textId="77777777" w:rsidR="00ED2A5A" w:rsidRPr="00065280" w:rsidRDefault="00ED2A5A" w:rsidP="00E824E6">
            <w:pPr>
              <w:keepNext/>
              <w:keepLines/>
              <w:tabs>
                <w:tab w:val="clear" w:pos="567"/>
                <w:tab w:val="clear" w:pos="1134"/>
                <w:tab w:val="clear" w:pos="1701"/>
                <w:tab w:val="clear" w:pos="2268"/>
              </w:tabs>
              <w:jc w:val="right"/>
              <w:rPr>
                <w:rFonts w:eastAsia="Times New Roman"/>
                <w:color w:val="000000"/>
                <w:sz w:val="18"/>
                <w:szCs w:val="18"/>
                <w:lang w:val="es-419"/>
              </w:rPr>
            </w:pPr>
            <w:r w:rsidRPr="00065280">
              <w:rPr>
                <w:color w:val="000000"/>
                <w:sz w:val="18"/>
                <w:lang w:val="es-419"/>
              </w:rPr>
              <w:t>6 045,1</w:t>
            </w:r>
          </w:p>
        </w:tc>
      </w:tr>
      <w:tr w:rsidR="00ED2A5A" w:rsidRPr="00065280" w14:paraId="4462A63C" w14:textId="77777777" w:rsidTr="00E824E6">
        <w:trPr>
          <w:trHeight w:val="290"/>
        </w:trPr>
        <w:tc>
          <w:tcPr>
            <w:tcW w:w="4593" w:type="dxa"/>
            <w:tcBorders>
              <w:top w:val="nil"/>
              <w:left w:val="nil"/>
              <w:bottom w:val="nil"/>
              <w:right w:val="nil"/>
            </w:tcBorders>
            <w:shd w:val="clear" w:color="auto" w:fill="auto"/>
            <w:vAlign w:val="center"/>
            <w:hideMark/>
          </w:tcPr>
          <w:p w14:paraId="5090A926" w14:textId="77777777" w:rsidR="00ED2A5A" w:rsidRPr="00065280" w:rsidRDefault="00ED2A5A" w:rsidP="00E824E6">
            <w:pPr>
              <w:keepNext/>
              <w:keepLines/>
              <w:tabs>
                <w:tab w:val="clear" w:pos="567"/>
                <w:tab w:val="clear" w:pos="1134"/>
                <w:tab w:val="clear" w:pos="1701"/>
                <w:tab w:val="clear" w:pos="2268"/>
              </w:tabs>
              <w:jc w:val="left"/>
              <w:rPr>
                <w:rFonts w:eastAsia="Times New Roman"/>
                <w:color w:val="000000"/>
                <w:sz w:val="18"/>
                <w:szCs w:val="18"/>
                <w:lang w:val="es-419"/>
              </w:rPr>
            </w:pPr>
            <w:r w:rsidRPr="00065280">
              <w:rPr>
                <w:color w:val="000000"/>
                <w:sz w:val="18"/>
                <w:lang w:val="es-419"/>
              </w:rPr>
              <w:t>C. Programa de trabajo</w:t>
            </w:r>
          </w:p>
        </w:tc>
        <w:tc>
          <w:tcPr>
            <w:tcW w:w="1180" w:type="dxa"/>
            <w:tcBorders>
              <w:top w:val="nil"/>
              <w:left w:val="nil"/>
              <w:bottom w:val="nil"/>
              <w:right w:val="nil"/>
            </w:tcBorders>
            <w:shd w:val="clear" w:color="auto" w:fill="auto"/>
            <w:vAlign w:val="center"/>
            <w:hideMark/>
          </w:tcPr>
          <w:p w14:paraId="58B5F656" w14:textId="77777777" w:rsidR="00ED2A5A" w:rsidRPr="00065280" w:rsidRDefault="00ED2A5A" w:rsidP="00E824E6">
            <w:pPr>
              <w:keepNext/>
              <w:keepLines/>
              <w:tabs>
                <w:tab w:val="clear" w:pos="567"/>
                <w:tab w:val="clear" w:pos="1134"/>
                <w:tab w:val="clear" w:pos="1701"/>
                <w:tab w:val="clear" w:pos="2268"/>
              </w:tabs>
              <w:jc w:val="right"/>
              <w:rPr>
                <w:rFonts w:eastAsia="Times New Roman"/>
                <w:color w:val="000000"/>
                <w:sz w:val="18"/>
                <w:szCs w:val="18"/>
                <w:lang w:val="es-419"/>
              </w:rPr>
            </w:pPr>
            <w:r w:rsidRPr="00065280">
              <w:rPr>
                <w:color w:val="000000"/>
                <w:sz w:val="18"/>
                <w:lang w:val="es-419"/>
              </w:rPr>
              <w:t>10 013,3</w:t>
            </w:r>
          </w:p>
        </w:tc>
        <w:tc>
          <w:tcPr>
            <w:tcW w:w="1180" w:type="dxa"/>
            <w:tcBorders>
              <w:top w:val="nil"/>
              <w:left w:val="nil"/>
              <w:bottom w:val="nil"/>
              <w:right w:val="nil"/>
            </w:tcBorders>
            <w:shd w:val="clear" w:color="auto" w:fill="auto"/>
            <w:vAlign w:val="center"/>
            <w:hideMark/>
          </w:tcPr>
          <w:p w14:paraId="57B831C9" w14:textId="77777777" w:rsidR="00ED2A5A" w:rsidRPr="00065280" w:rsidRDefault="00ED2A5A" w:rsidP="00E824E6">
            <w:pPr>
              <w:keepNext/>
              <w:keepLines/>
              <w:tabs>
                <w:tab w:val="clear" w:pos="567"/>
                <w:tab w:val="clear" w:pos="1134"/>
                <w:tab w:val="clear" w:pos="1701"/>
                <w:tab w:val="clear" w:pos="2268"/>
              </w:tabs>
              <w:jc w:val="right"/>
              <w:rPr>
                <w:rFonts w:eastAsia="Times New Roman"/>
                <w:color w:val="000000"/>
                <w:sz w:val="18"/>
                <w:szCs w:val="18"/>
                <w:lang w:val="es-419"/>
              </w:rPr>
            </w:pPr>
            <w:r w:rsidRPr="00065280">
              <w:rPr>
                <w:color w:val="000000"/>
                <w:sz w:val="18"/>
                <w:lang w:val="es-419"/>
              </w:rPr>
              <w:t>10 384,3</w:t>
            </w:r>
          </w:p>
        </w:tc>
        <w:tc>
          <w:tcPr>
            <w:tcW w:w="1180" w:type="dxa"/>
            <w:tcBorders>
              <w:top w:val="nil"/>
              <w:left w:val="nil"/>
              <w:bottom w:val="nil"/>
              <w:right w:val="nil"/>
            </w:tcBorders>
            <w:shd w:val="clear" w:color="auto" w:fill="auto"/>
            <w:vAlign w:val="center"/>
            <w:hideMark/>
          </w:tcPr>
          <w:p w14:paraId="505ABF1D" w14:textId="77777777" w:rsidR="00ED2A5A" w:rsidRPr="00065280" w:rsidRDefault="00ED2A5A" w:rsidP="00E824E6">
            <w:pPr>
              <w:keepNext/>
              <w:keepLines/>
              <w:tabs>
                <w:tab w:val="clear" w:pos="567"/>
                <w:tab w:val="clear" w:pos="1134"/>
                <w:tab w:val="clear" w:pos="1701"/>
                <w:tab w:val="clear" w:pos="2268"/>
              </w:tabs>
              <w:jc w:val="right"/>
              <w:rPr>
                <w:rFonts w:eastAsia="Times New Roman"/>
                <w:color w:val="000000"/>
                <w:sz w:val="18"/>
                <w:szCs w:val="18"/>
                <w:lang w:val="es-419"/>
              </w:rPr>
            </w:pPr>
            <w:r w:rsidRPr="00065280">
              <w:rPr>
                <w:color w:val="000000"/>
                <w:sz w:val="18"/>
                <w:lang w:val="es-419"/>
              </w:rPr>
              <w:t>20 397,6</w:t>
            </w:r>
          </w:p>
        </w:tc>
      </w:tr>
      <w:tr w:rsidR="00ED2A5A" w:rsidRPr="00065280" w14:paraId="1B738CD5" w14:textId="77777777" w:rsidTr="00E824E6">
        <w:trPr>
          <w:trHeight w:val="300"/>
        </w:trPr>
        <w:tc>
          <w:tcPr>
            <w:tcW w:w="4593" w:type="dxa"/>
            <w:tcBorders>
              <w:top w:val="nil"/>
              <w:left w:val="nil"/>
              <w:bottom w:val="nil"/>
              <w:right w:val="nil"/>
            </w:tcBorders>
            <w:shd w:val="clear" w:color="auto" w:fill="auto"/>
            <w:vAlign w:val="center"/>
            <w:hideMark/>
          </w:tcPr>
          <w:p w14:paraId="17901874" w14:textId="77777777" w:rsidR="00ED2A5A" w:rsidRPr="00065280" w:rsidRDefault="00ED2A5A" w:rsidP="00E824E6">
            <w:pPr>
              <w:keepNext/>
              <w:keepLines/>
              <w:tabs>
                <w:tab w:val="clear" w:pos="567"/>
                <w:tab w:val="clear" w:pos="1134"/>
                <w:tab w:val="clear" w:pos="1701"/>
                <w:tab w:val="clear" w:pos="2268"/>
              </w:tabs>
              <w:jc w:val="left"/>
              <w:rPr>
                <w:rFonts w:eastAsia="Times New Roman"/>
                <w:color w:val="000000"/>
                <w:sz w:val="18"/>
                <w:szCs w:val="18"/>
                <w:lang w:val="es-419"/>
              </w:rPr>
            </w:pPr>
            <w:r w:rsidRPr="00065280">
              <w:rPr>
                <w:color w:val="000000"/>
                <w:sz w:val="18"/>
                <w:lang w:val="es-419"/>
              </w:rPr>
              <w:t>D. Apoyo administrativo</w:t>
            </w:r>
          </w:p>
        </w:tc>
        <w:tc>
          <w:tcPr>
            <w:tcW w:w="1180" w:type="dxa"/>
            <w:tcBorders>
              <w:top w:val="nil"/>
              <w:left w:val="nil"/>
              <w:bottom w:val="nil"/>
              <w:right w:val="nil"/>
            </w:tcBorders>
            <w:shd w:val="clear" w:color="auto" w:fill="auto"/>
            <w:vAlign w:val="center"/>
            <w:hideMark/>
          </w:tcPr>
          <w:p w14:paraId="0E06C6A7" w14:textId="77777777" w:rsidR="00ED2A5A" w:rsidRPr="00065280" w:rsidRDefault="00ED2A5A" w:rsidP="00E824E6">
            <w:pPr>
              <w:keepNext/>
              <w:keepLines/>
              <w:tabs>
                <w:tab w:val="clear" w:pos="567"/>
                <w:tab w:val="clear" w:pos="1134"/>
                <w:tab w:val="clear" w:pos="1701"/>
                <w:tab w:val="clear" w:pos="2268"/>
              </w:tabs>
              <w:jc w:val="right"/>
              <w:rPr>
                <w:rFonts w:eastAsia="Times New Roman"/>
                <w:color w:val="000000"/>
                <w:sz w:val="18"/>
                <w:szCs w:val="18"/>
                <w:lang w:val="es-419"/>
              </w:rPr>
            </w:pPr>
            <w:r w:rsidRPr="00065280">
              <w:rPr>
                <w:color w:val="000000"/>
                <w:sz w:val="18"/>
                <w:lang w:val="es-419"/>
              </w:rPr>
              <w:t>3 590,2</w:t>
            </w:r>
          </w:p>
        </w:tc>
        <w:tc>
          <w:tcPr>
            <w:tcW w:w="1180" w:type="dxa"/>
            <w:tcBorders>
              <w:top w:val="nil"/>
              <w:left w:val="nil"/>
              <w:bottom w:val="nil"/>
              <w:right w:val="nil"/>
            </w:tcBorders>
            <w:shd w:val="clear" w:color="auto" w:fill="auto"/>
            <w:vAlign w:val="center"/>
            <w:hideMark/>
          </w:tcPr>
          <w:p w14:paraId="34FFA419" w14:textId="77777777" w:rsidR="00ED2A5A" w:rsidRPr="00065280" w:rsidRDefault="00ED2A5A" w:rsidP="00E824E6">
            <w:pPr>
              <w:keepNext/>
              <w:keepLines/>
              <w:tabs>
                <w:tab w:val="clear" w:pos="567"/>
                <w:tab w:val="clear" w:pos="1134"/>
                <w:tab w:val="clear" w:pos="1701"/>
                <w:tab w:val="clear" w:pos="2268"/>
              </w:tabs>
              <w:jc w:val="right"/>
              <w:rPr>
                <w:rFonts w:eastAsia="Times New Roman"/>
                <w:color w:val="000000"/>
                <w:sz w:val="18"/>
                <w:szCs w:val="18"/>
                <w:lang w:val="es-419"/>
              </w:rPr>
            </w:pPr>
            <w:r w:rsidRPr="00065280">
              <w:rPr>
                <w:color w:val="000000"/>
                <w:sz w:val="18"/>
                <w:lang w:val="es-419"/>
              </w:rPr>
              <w:t>3 443,2</w:t>
            </w:r>
          </w:p>
        </w:tc>
        <w:tc>
          <w:tcPr>
            <w:tcW w:w="1180" w:type="dxa"/>
            <w:tcBorders>
              <w:top w:val="nil"/>
              <w:left w:val="nil"/>
              <w:bottom w:val="nil"/>
              <w:right w:val="nil"/>
            </w:tcBorders>
            <w:shd w:val="clear" w:color="auto" w:fill="auto"/>
            <w:vAlign w:val="center"/>
            <w:hideMark/>
          </w:tcPr>
          <w:p w14:paraId="4E472C19" w14:textId="77777777" w:rsidR="00ED2A5A" w:rsidRPr="00065280" w:rsidRDefault="00ED2A5A" w:rsidP="00E824E6">
            <w:pPr>
              <w:keepNext/>
              <w:keepLines/>
              <w:tabs>
                <w:tab w:val="clear" w:pos="567"/>
                <w:tab w:val="clear" w:pos="1134"/>
                <w:tab w:val="clear" w:pos="1701"/>
                <w:tab w:val="clear" w:pos="2268"/>
              </w:tabs>
              <w:jc w:val="right"/>
              <w:rPr>
                <w:rFonts w:eastAsia="Times New Roman"/>
                <w:color w:val="000000"/>
                <w:sz w:val="18"/>
                <w:szCs w:val="18"/>
                <w:lang w:val="es-419"/>
              </w:rPr>
            </w:pPr>
            <w:r w:rsidRPr="00065280">
              <w:rPr>
                <w:color w:val="000000"/>
                <w:sz w:val="18"/>
                <w:lang w:val="es-419"/>
              </w:rPr>
              <w:t>7 033,4</w:t>
            </w:r>
          </w:p>
        </w:tc>
      </w:tr>
      <w:tr w:rsidR="00ED2A5A" w:rsidRPr="00065280" w14:paraId="41FDE998" w14:textId="77777777" w:rsidTr="00E824E6">
        <w:trPr>
          <w:trHeight w:val="400"/>
        </w:trPr>
        <w:tc>
          <w:tcPr>
            <w:tcW w:w="4593" w:type="dxa"/>
            <w:tcBorders>
              <w:top w:val="single" w:sz="8" w:space="0" w:color="auto"/>
              <w:left w:val="nil"/>
              <w:bottom w:val="single" w:sz="8" w:space="0" w:color="auto"/>
              <w:right w:val="nil"/>
            </w:tcBorders>
            <w:shd w:val="clear" w:color="auto" w:fill="auto"/>
            <w:vAlign w:val="center"/>
            <w:hideMark/>
          </w:tcPr>
          <w:p w14:paraId="3AEE8160" w14:textId="77777777" w:rsidR="00ED2A5A" w:rsidRPr="00065280" w:rsidRDefault="00ED2A5A" w:rsidP="00E824E6">
            <w:pPr>
              <w:tabs>
                <w:tab w:val="clear" w:pos="567"/>
                <w:tab w:val="clear" w:pos="1134"/>
                <w:tab w:val="clear" w:pos="1701"/>
                <w:tab w:val="clear" w:pos="2268"/>
              </w:tabs>
              <w:ind w:left="317"/>
              <w:jc w:val="left"/>
              <w:rPr>
                <w:rFonts w:eastAsia="Times New Roman"/>
                <w:b/>
                <w:bCs/>
                <w:color w:val="000000"/>
                <w:sz w:val="18"/>
                <w:szCs w:val="18"/>
                <w:lang w:val="es-419"/>
              </w:rPr>
            </w:pPr>
            <w:r w:rsidRPr="00065280">
              <w:rPr>
                <w:b/>
                <w:color w:val="000000"/>
                <w:sz w:val="18"/>
                <w:lang w:val="es-419"/>
              </w:rPr>
              <w:t>Subtotal</w:t>
            </w:r>
          </w:p>
        </w:tc>
        <w:tc>
          <w:tcPr>
            <w:tcW w:w="1180" w:type="dxa"/>
            <w:tcBorders>
              <w:top w:val="single" w:sz="8" w:space="0" w:color="auto"/>
              <w:left w:val="nil"/>
              <w:bottom w:val="single" w:sz="8" w:space="0" w:color="auto"/>
              <w:right w:val="nil"/>
            </w:tcBorders>
            <w:shd w:val="clear" w:color="auto" w:fill="auto"/>
            <w:vAlign w:val="center"/>
            <w:hideMark/>
          </w:tcPr>
          <w:p w14:paraId="6AE609FA" w14:textId="77777777" w:rsidR="00ED2A5A" w:rsidRPr="00065280" w:rsidRDefault="00ED2A5A" w:rsidP="00E824E6">
            <w:pPr>
              <w:tabs>
                <w:tab w:val="clear" w:pos="567"/>
                <w:tab w:val="clear" w:pos="1134"/>
                <w:tab w:val="clear" w:pos="1701"/>
                <w:tab w:val="clear" w:pos="2268"/>
              </w:tabs>
              <w:jc w:val="right"/>
              <w:rPr>
                <w:rFonts w:eastAsia="Times New Roman"/>
                <w:b/>
                <w:bCs/>
                <w:color w:val="000000"/>
                <w:sz w:val="18"/>
                <w:szCs w:val="18"/>
                <w:lang w:val="es-419"/>
              </w:rPr>
            </w:pPr>
            <w:r w:rsidRPr="00065280">
              <w:rPr>
                <w:b/>
                <w:color w:val="000000"/>
                <w:sz w:val="18"/>
                <w:lang w:val="es-419"/>
              </w:rPr>
              <w:t>19 161,3</w:t>
            </w:r>
          </w:p>
        </w:tc>
        <w:tc>
          <w:tcPr>
            <w:tcW w:w="1180" w:type="dxa"/>
            <w:tcBorders>
              <w:top w:val="single" w:sz="8" w:space="0" w:color="auto"/>
              <w:left w:val="nil"/>
              <w:bottom w:val="single" w:sz="8" w:space="0" w:color="auto"/>
              <w:right w:val="nil"/>
            </w:tcBorders>
            <w:shd w:val="clear" w:color="auto" w:fill="auto"/>
            <w:vAlign w:val="center"/>
            <w:hideMark/>
          </w:tcPr>
          <w:p w14:paraId="1619AE50" w14:textId="77777777" w:rsidR="00ED2A5A" w:rsidRPr="00065280" w:rsidRDefault="00ED2A5A" w:rsidP="00E824E6">
            <w:pPr>
              <w:tabs>
                <w:tab w:val="clear" w:pos="567"/>
                <w:tab w:val="clear" w:pos="1134"/>
                <w:tab w:val="clear" w:pos="1701"/>
                <w:tab w:val="clear" w:pos="2268"/>
              </w:tabs>
              <w:jc w:val="right"/>
              <w:rPr>
                <w:rFonts w:eastAsia="Times New Roman"/>
                <w:b/>
                <w:bCs/>
                <w:color w:val="000000"/>
                <w:sz w:val="18"/>
                <w:szCs w:val="18"/>
                <w:lang w:val="es-419"/>
              </w:rPr>
            </w:pPr>
            <w:r w:rsidRPr="00065280">
              <w:rPr>
                <w:b/>
                <w:color w:val="000000"/>
                <w:sz w:val="18"/>
                <w:lang w:val="es-419"/>
              </w:rPr>
              <w:t>20 008,6</w:t>
            </w:r>
          </w:p>
        </w:tc>
        <w:tc>
          <w:tcPr>
            <w:tcW w:w="1180" w:type="dxa"/>
            <w:tcBorders>
              <w:top w:val="single" w:sz="8" w:space="0" w:color="auto"/>
              <w:left w:val="nil"/>
              <w:bottom w:val="single" w:sz="8" w:space="0" w:color="auto"/>
              <w:right w:val="nil"/>
            </w:tcBorders>
            <w:shd w:val="clear" w:color="auto" w:fill="auto"/>
            <w:vAlign w:val="center"/>
            <w:hideMark/>
          </w:tcPr>
          <w:p w14:paraId="7240FB84" w14:textId="77777777" w:rsidR="00ED2A5A" w:rsidRPr="00065280" w:rsidRDefault="00ED2A5A" w:rsidP="00E824E6">
            <w:pPr>
              <w:tabs>
                <w:tab w:val="clear" w:pos="567"/>
                <w:tab w:val="clear" w:pos="1134"/>
                <w:tab w:val="clear" w:pos="1701"/>
                <w:tab w:val="clear" w:pos="2268"/>
              </w:tabs>
              <w:jc w:val="right"/>
              <w:rPr>
                <w:rFonts w:eastAsia="Times New Roman"/>
                <w:b/>
                <w:bCs/>
                <w:color w:val="000000"/>
                <w:sz w:val="18"/>
                <w:szCs w:val="18"/>
                <w:lang w:val="es-419"/>
              </w:rPr>
            </w:pPr>
            <w:r w:rsidRPr="00065280">
              <w:rPr>
                <w:b/>
                <w:color w:val="000000"/>
                <w:sz w:val="18"/>
                <w:lang w:val="es-419"/>
              </w:rPr>
              <w:t>39 170,0</w:t>
            </w:r>
          </w:p>
        </w:tc>
      </w:tr>
      <w:tr w:rsidR="00ED2A5A" w:rsidRPr="00065280" w14:paraId="791F85B4" w14:textId="77777777" w:rsidTr="00E824E6">
        <w:trPr>
          <w:trHeight w:val="290"/>
        </w:trPr>
        <w:tc>
          <w:tcPr>
            <w:tcW w:w="4593" w:type="dxa"/>
            <w:tcBorders>
              <w:top w:val="nil"/>
              <w:left w:val="nil"/>
              <w:bottom w:val="nil"/>
              <w:right w:val="nil"/>
            </w:tcBorders>
            <w:shd w:val="clear" w:color="auto" w:fill="auto"/>
            <w:vAlign w:val="center"/>
            <w:hideMark/>
          </w:tcPr>
          <w:p w14:paraId="44F742C3" w14:textId="77777777" w:rsidR="00ED2A5A" w:rsidRPr="00065280" w:rsidRDefault="00ED2A5A" w:rsidP="00E824E6">
            <w:pPr>
              <w:tabs>
                <w:tab w:val="clear" w:pos="567"/>
                <w:tab w:val="clear" w:pos="1134"/>
                <w:tab w:val="clear" w:pos="1701"/>
                <w:tab w:val="clear" w:pos="2268"/>
              </w:tabs>
              <w:jc w:val="left"/>
              <w:rPr>
                <w:rFonts w:eastAsia="Times New Roman"/>
                <w:color w:val="000000"/>
                <w:sz w:val="18"/>
                <w:szCs w:val="18"/>
                <w:lang w:val="es-419"/>
              </w:rPr>
            </w:pPr>
            <w:r w:rsidRPr="00065280">
              <w:rPr>
                <w:color w:val="000000"/>
                <w:sz w:val="18"/>
                <w:lang w:val="es-419"/>
              </w:rPr>
              <w:t>Gastos de apoyo a los programas</w:t>
            </w:r>
          </w:p>
        </w:tc>
        <w:tc>
          <w:tcPr>
            <w:tcW w:w="1180" w:type="dxa"/>
            <w:tcBorders>
              <w:top w:val="nil"/>
              <w:left w:val="nil"/>
              <w:bottom w:val="nil"/>
              <w:right w:val="nil"/>
            </w:tcBorders>
            <w:shd w:val="clear" w:color="auto" w:fill="auto"/>
            <w:vAlign w:val="center"/>
            <w:hideMark/>
          </w:tcPr>
          <w:p w14:paraId="5CC904CF" w14:textId="77777777" w:rsidR="00ED2A5A" w:rsidRPr="00065280" w:rsidRDefault="00ED2A5A" w:rsidP="00E824E6">
            <w:pPr>
              <w:tabs>
                <w:tab w:val="clear" w:pos="567"/>
                <w:tab w:val="clear" w:pos="1134"/>
                <w:tab w:val="clear" w:pos="1701"/>
                <w:tab w:val="clear" w:pos="2268"/>
              </w:tabs>
              <w:jc w:val="right"/>
              <w:rPr>
                <w:rFonts w:eastAsia="Times New Roman"/>
                <w:color w:val="000000"/>
                <w:sz w:val="18"/>
                <w:szCs w:val="18"/>
                <w:lang w:val="es-419"/>
              </w:rPr>
            </w:pPr>
            <w:r w:rsidRPr="00065280">
              <w:rPr>
                <w:color w:val="000000"/>
                <w:sz w:val="18"/>
                <w:lang w:val="es-419"/>
              </w:rPr>
              <w:t>2 491,0</w:t>
            </w:r>
          </w:p>
        </w:tc>
        <w:tc>
          <w:tcPr>
            <w:tcW w:w="1180" w:type="dxa"/>
            <w:tcBorders>
              <w:top w:val="nil"/>
              <w:left w:val="nil"/>
              <w:bottom w:val="nil"/>
              <w:right w:val="nil"/>
            </w:tcBorders>
            <w:shd w:val="clear" w:color="auto" w:fill="auto"/>
            <w:vAlign w:val="center"/>
            <w:hideMark/>
          </w:tcPr>
          <w:p w14:paraId="26CA6E77" w14:textId="77777777" w:rsidR="00ED2A5A" w:rsidRPr="00065280" w:rsidRDefault="00ED2A5A" w:rsidP="00E824E6">
            <w:pPr>
              <w:tabs>
                <w:tab w:val="clear" w:pos="567"/>
                <w:tab w:val="clear" w:pos="1134"/>
                <w:tab w:val="clear" w:pos="1701"/>
                <w:tab w:val="clear" w:pos="2268"/>
              </w:tabs>
              <w:jc w:val="right"/>
              <w:rPr>
                <w:rFonts w:eastAsia="Times New Roman"/>
                <w:color w:val="000000"/>
                <w:sz w:val="18"/>
                <w:szCs w:val="18"/>
                <w:lang w:val="es-419"/>
              </w:rPr>
            </w:pPr>
            <w:r w:rsidRPr="00065280">
              <w:rPr>
                <w:color w:val="000000"/>
                <w:sz w:val="18"/>
                <w:lang w:val="es-419"/>
              </w:rPr>
              <w:t>2 601,1</w:t>
            </w:r>
          </w:p>
        </w:tc>
        <w:tc>
          <w:tcPr>
            <w:tcW w:w="1180" w:type="dxa"/>
            <w:tcBorders>
              <w:top w:val="nil"/>
              <w:left w:val="nil"/>
              <w:bottom w:val="nil"/>
              <w:right w:val="nil"/>
            </w:tcBorders>
            <w:shd w:val="clear" w:color="auto" w:fill="auto"/>
            <w:vAlign w:val="center"/>
            <w:hideMark/>
          </w:tcPr>
          <w:p w14:paraId="3EFC88F9" w14:textId="77777777" w:rsidR="00ED2A5A" w:rsidRPr="00065280" w:rsidRDefault="00ED2A5A" w:rsidP="00E824E6">
            <w:pPr>
              <w:tabs>
                <w:tab w:val="clear" w:pos="567"/>
                <w:tab w:val="clear" w:pos="1134"/>
                <w:tab w:val="clear" w:pos="1701"/>
                <w:tab w:val="clear" w:pos="2268"/>
              </w:tabs>
              <w:jc w:val="right"/>
              <w:rPr>
                <w:rFonts w:eastAsia="Times New Roman"/>
                <w:color w:val="000000"/>
                <w:sz w:val="18"/>
                <w:szCs w:val="18"/>
                <w:lang w:val="es-419"/>
              </w:rPr>
            </w:pPr>
            <w:r w:rsidRPr="00065280">
              <w:rPr>
                <w:color w:val="000000"/>
                <w:sz w:val="18"/>
                <w:lang w:val="es-419"/>
              </w:rPr>
              <w:t>5 092,1</w:t>
            </w:r>
          </w:p>
        </w:tc>
      </w:tr>
      <w:tr w:rsidR="00ED2A5A" w:rsidRPr="00065280" w14:paraId="6E2B047D" w14:textId="77777777" w:rsidTr="00E824E6">
        <w:trPr>
          <w:trHeight w:val="300"/>
        </w:trPr>
        <w:tc>
          <w:tcPr>
            <w:tcW w:w="4593" w:type="dxa"/>
            <w:tcBorders>
              <w:top w:val="nil"/>
              <w:left w:val="nil"/>
              <w:bottom w:val="nil"/>
              <w:right w:val="nil"/>
            </w:tcBorders>
            <w:shd w:val="clear" w:color="auto" w:fill="auto"/>
            <w:vAlign w:val="center"/>
            <w:hideMark/>
          </w:tcPr>
          <w:p w14:paraId="49595502" w14:textId="77777777" w:rsidR="00ED2A5A" w:rsidRPr="00065280" w:rsidRDefault="00ED2A5A" w:rsidP="00E824E6">
            <w:pPr>
              <w:tabs>
                <w:tab w:val="clear" w:pos="567"/>
                <w:tab w:val="clear" w:pos="1134"/>
                <w:tab w:val="clear" w:pos="1701"/>
                <w:tab w:val="clear" w:pos="2268"/>
              </w:tabs>
              <w:jc w:val="left"/>
              <w:rPr>
                <w:rFonts w:eastAsia="Times New Roman"/>
                <w:color w:val="000000"/>
                <w:sz w:val="18"/>
                <w:szCs w:val="18"/>
                <w:lang w:val="es-419"/>
              </w:rPr>
            </w:pPr>
            <w:r w:rsidRPr="00065280">
              <w:rPr>
                <w:color w:val="000000"/>
                <w:sz w:val="18"/>
                <w:lang w:val="es-419"/>
              </w:rPr>
              <w:t>Reserva operacional</w:t>
            </w:r>
          </w:p>
        </w:tc>
        <w:tc>
          <w:tcPr>
            <w:tcW w:w="1180" w:type="dxa"/>
            <w:tcBorders>
              <w:top w:val="nil"/>
              <w:left w:val="nil"/>
              <w:bottom w:val="nil"/>
              <w:right w:val="nil"/>
            </w:tcBorders>
            <w:shd w:val="clear" w:color="auto" w:fill="auto"/>
            <w:vAlign w:val="center"/>
            <w:hideMark/>
          </w:tcPr>
          <w:p w14:paraId="031F0911" w14:textId="77777777" w:rsidR="00ED2A5A" w:rsidRPr="00065280" w:rsidRDefault="00ED2A5A" w:rsidP="00E824E6">
            <w:pPr>
              <w:tabs>
                <w:tab w:val="clear" w:pos="567"/>
                <w:tab w:val="clear" w:pos="1134"/>
                <w:tab w:val="clear" w:pos="1701"/>
                <w:tab w:val="clear" w:pos="2268"/>
              </w:tabs>
              <w:jc w:val="right"/>
              <w:rPr>
                <w:rFonts w:eastAsia="Times New Roman"/>
                <w:color w:val="000000"/>
                <w:sz w:val="18"/>
                <w:szCs w:val="18"/>
                <w:lang w:val="es-419"/>
              </w:rPr>
            </w:pPr>
            <w:r w:rsidRPr="00065280">
              <w:rPr>
                <w:color w:val="000000"/>
                <w:sz w:val="18"/>
                <w:lang w:val="es-419"/>
              </w:rPr>
              <w:t>29,8</w:t>
            </w:r>
          </w:p>
        </w:tc>
        <w:tc>
          <w:tcPr>
            <w:tcW w:w="1180" w:type="dxa"/>
            <w:tcBorders>
              <w:top w:val="nil"/>
              <w:left w:val="nil"/>
              <w:bottom w:val="nil"/>
              <w:right w:val="nil"/>
            </w:tcBorders>
            <w:shd w:val="clear" w:color="auto" w:fill="auto"/>
            <w:vAlign w:val="center"/>
            <w:hideMark/>
          </w:tcPr>
          <w:p w14:paraId="58AB94C3" w14:textId="77777777" w:rsidR="00ED2A5A" w:rsidRPr="00065280" w:rsidRDefault="00ED2A5A" w:rsidP="00E824E6">
            <w:pPr>
              <w:tabs>
                <w:tab w:val="clear" w:pos="567"/>
                <w:tab w:val="clear" w:pos="1134"/>
                <w:tab w:val="clear" w:pos="1701"/>
                <w:tab w:val="clear" w:pos="2268"/>
              </w:tabs>
              <w:jc w:val="right"/>
              <w:rPr>
                <w:rFonts w:eastAsia="Times New Roman"/>
                <w:color w:val="000000"/>
                <w:sz w:val="18"/>
                <w:szCs w:val="18"/>
                <w:lang w:val="es-419"/>
              </w:rPr>
            </w:pPr>
            <w:r w:rsidRPr="00065280">
              <w:rPr>
                <w:color w:val="000000"/>
                <w:sz w:val="18"/>
                <w:lang w:val="es-419"/>
              </w:rPr>
              <w:t>143,6</w:t>
            </w:r>
          </w:p>
        </w:tc>
        <w:tc>
          <w:tcPr>
            <w:tcW w:w="1180" w:type="dxa"/>
            <w:tcBorders>
              <w:top w:val="nil"/>
              <w:left w:val="nil"/>
              <w:bottom w:val="nil"/>
              <w:right w:val="nil"/>
            </w:tcBorders>
            <w:shd w:val="clear" w:color="auto" w:fill="auto"/>
            <w:noWrap/>
            <w:vAlign w:val="center"/>
            <w:hideMark/>
          </w:tcPr>
          <w:p w14:paraId="4976D089" w14:textId="77777777" w:rsidR="00ED2A5A" w:rsidRPr="00065280" w:rsidRDefault="00ED2A5A" w:rsidP="00E824E6">
            <w:pPr>
              <w:tabs>
                <w:tab w:val="clear" w:pos="567"/>
                <w:tab w:val="clear" w:pos="1134"/>
                <w:tab w:val="clear" w:pos="1701"/>
                <w:tab w:val="clear" w:pos="2268"/>
              </w:tabs>
              <w:jc w:val="right"/>
              <w:rPr>
                <w:rFonts w:eastAsia="Times New Roman"/>
                <w:color w:val="000000"/>
                <w:sz w:val="18"/>
                <w:szCs w:val="18"/>
                <w:lang w:val="es-419"/>
              </w:rPr>
            </w:pPr>
            <w:r w:rsidRPr="00065280">
              <w:rPr>
                <w:color w:val="000000"/>
                <w:sz w:val="18"/>
                <w:lang w:val="es-419"/>
              </w:rPr>
              <w:t>173,4</w:t>
            </w:r>
          </w:p>
        </w:tc>
      </w:tr>
      <w:tr w:rsidR="00ED2A5A" w:rsidRPr="00065280" w14:paraId="03D6AF42" w14:textId="77777777" w:rsidTr="00E824E6">
        <w:trPr>
          <w:trHeight w:val="400"/>
        </w:trPr>
        <w:tc>
          <w:tcPr>
            <w:tcW w:w="4593" w:type="dxa"/>
            <w:tcBorders>
              <w:top w:val="single" w:sz="8" w:space="0" w:color="auto"/>
              <w:left w:val="nil"/>
              <w:bottom w:val="single" w:sz="8" w:space="0" w:color="auto"/>
              <w:right w:val="nil"/>
            </w:tcBorders>
            <w:shd w:val="clear" w:color="auto" w:fill="auto"/>
            <w:vAlign w:val="center"/>
            <w:hideMark/>
          </w:tcPr>
          <w:p w14:paraId="03581EC2" w14:textId="77777777" w:rsidR="00ED2A5A" w:rsidRPr="00065280" w:rsidRDefault="00ED2A5A" w:rsidP="00E824E6">
            <w:pPr>
              <w:tabs>
                <w:tab w:val="clear" w:pos="567"/>
                <w:tab w:val="clear" w:pos="1134"/>
                <w:tab w:val="clear" w:pos="1701"/>
                <w:tab w:val="clear" w:pos="2268"/>
              </w:tabs>
              <w:ind w:left="317"/>
              <w:jc w:val="left"/>
              <w:rPr>
                <w:rFonts w:eastAsia="Times New Roman"/>
                <w:b/>
                <w:bCs/>
                <w:color w:val="000000"/>
                <w:sz w:val="18"/>
                <w:szCs w:val="18"/>
                <w:lang w:val="es-419"/>
              </w:rPr>
            </w:pPr>
            <w:r w:rsidRPr="00065280">
              <w:rPr>
                <w:b/>
                <w:color w:val="000000"/>
                <w:sz w:val="18"/>
                <w:lang w:val="es-419"/>
              </w:rPr>
              <w:t>Total de necesidades</w:t>
            </w:r>
          </w:p>
        </w:tc>
        <w:tc>
          <w:tcPr>
            <w:tcW w:w="1180" w:type="dxa"/>
            <w:tcBorders>
              <w:top w:val="single" w:sz="8" w:space="0" w:color="auto"/>
              <w:left w:val="nil"/>
              <w:bottom w:val="single" w:sz="8" w:space="0" w:color="auto"/>
              <w:right w:val="nil"/>
            </w:tcBorders>
            <w:shd w:val="clear" w:color="auto" w:fill="auto"/>
            <w:vAlign w:val="center"/>
            <w:hideMark/>
          </w:tcPr>
          <w:p w14:paraId="66A0A8F4" w14:textId="77777777" w:rsidR="00ED2A5A" w:rsidRPr="00065280" w:rsidRDefault="00ED2A5A" w:rsidP="00E824E6">
            <w:pPr>
              <w:tabs>
                <w:tab w:val="clear" w:pos="567"/>
                <w:tab w:val="clear" w:pos="1134"/>
                <w:tab w:val="clear" w:pos="1701"/>
                <w:tab w:val="clear" w:pos="2268"/>
              </w:tabs>
              <w:jc w:val="right"/>
              <w:rPr>
                <w:rFonts w:eastAsia="Times New Roman"/>
                <w:b/>
                <w:bCs/>
                <w:color w:val="000000"/>
                <w:sz w:val="18"/>
                <w:szCs w:val="18"/>
                <w:lang w:val="es-419"/>
              </w:rPr>
            </w:pPr>
            <w:r w:rsidRPr="00065280">
              <w:rPr>
                <w:b/>
                <w:color w:val="000000"/>
                <w:sz w:val="18"/>
                <w:lang w:val="es-419"/>
              </w:rPr>
              <w:t>21 682,1</w:t>
            </w:r>
          </w:p>
        </w:tc>
        <w:tc>
          <w:tcPr>
            <w:tcW w:w="1180" w:type="dxa"/>
            <w:tcBorders>
              <w:top w:val="single" w:sz="8" w:space="0" w:color="auto"/>
              <w:left w:val="nil"/>
              <w:bottom w:val="single" w:sz="8" w:space="0" w:color="auto"/>
              <w:right w:val="nil"/>
            </w:tcBorders>
            <w:shd w:val="clear" w:color="auto" w:fill="auto"/>
            <w:vAlign w:val="center"/>
            <w:hideMark/>
          </w:tcPr>
          <w:p w14:paraId="3C7E867C" w14:textId="77777777" w:rsidR="00ED2A5A" w:rsidRPr="00065280" w:rsidRDefault="00ED2A5A" w:rsidP="00E824E6">
            <w:pPr>
              <w:tabs>
                <w:tab w:val="clear" w:pos="567"/>
                <w:tab w:val="clear" w:pos="1134"/>
                <w:tab w:val="clear" w:pos="1701"/>
                <w:tab w:val="clear" w:pos="2268"/>
              </w:tabs>
              <w:jc w:val="right"/>
              <w:rPr>
                <w:rFonts w:eastAsia="Times New Roman"/>
                <w:b/>
                <w:bCs/>
                <w:color w:val="000000"/>
                <w:sz w:val="18"/>
                <w:szCs w:val="18"/>
                <w:lang w:val="es-419"/>
              </w:rPr>
            </w:pPr>
            <w:r w:rsidRPr="00065280">
              <w:rPr>
                <w:b/>
                <w:color w:val="000000"/>
                <w:sz w:val="18"/>
                <w:lang w:val="es-419"/>
              </w:rPr>
              <w:t>22 753,4</w:t>
            </w:r>
          </w:p>
        </w:tc>
        <w:tc>
          <w:tcPr>
            <w:tcW w:w="1180" w:type="dxa"/>
            <w:tcBorders>
              <w:top w:val="single" w:sz="8" w:space="0" w:color="auto"/>
              <w:left w:val="nil"/>
              <w:bottom w:val="single" w:sz="8" w:space="0" w:color="auto"/>
              <w:right w:val="nil"/>
            </w:tcBorders>
            <w:shd w:val="clear" w:color="auto" w:fill="auto"/>
            <w:vAlign w:val="center"/>
            <w:hideMark/>
          </w:tcPr>
          <w:p w14:paraId="5CFA27D3" w14:textId="77777777" w:rsidR="00ED2A5A" w:rsidRPr="00065280" w:rsidRDefault="00ED2A5A" w:rsidP="00E824E6">
            <w:pPr>
              <w:tabs>
                <w:tab w:val="clear" w:pos="567"/>
                <w:tab w:val="clear" w:pos="1134"/>
                <w:tab w:val="clear" w:pos="1701"/>
                <w:tab w:val="clear" w:pos="2268"/>
              </w:tabs>
              <w:jc w:val="right"/>
              <w:rPr>
                <w:rFonts w:eastAsia="Times New Roman"/>
                <w:b/>
                <w:bCs/>
                <w:color w:val="000000"/>
                <w:sz w:val="18"/>
                <w:szCs w:val="18"/>
                <w:lang w:val="es-419"/>
              </w:rPr>
            </w:pPr>
            <w:r w:rsidRPr="00065280">
              <w:rPr>
                <w:b/>
                <w:color w:val="000000"/>
                <w:sz w:val="18"/>
                <w:lang w:val="es-419"/>
              </w:rPr>
              <w:t>44 435,4</w:t>
            </w:r>
          </w:p>
        </w:tc>
      </w:tr>
      <w:tr w:rsidR="00ED2A5A" w:rsidRPr="00065280" w14:paraId="0F7CE0F8" w14:textId="77777777" w:rsidTr="00E824E6">
        <w:trPr>
          <w:trHeight w:val="470"/>
        </w:trPr>
        <w:tc>
          <w:tcPr>
            <w:tcW w:w="4593" w:type="dxa"/>
            <w:tcBorders>
              <w:top w:val="nil"/>
              <w:left w:val="nil"/>
              <w:bottom w:val="single" w:sz="8" w:space="0" w:color="auto"/>
              <w:right w:val="nil"/>
            </w:tcBorders>
            <w:shd w:val="clear" w:color="auto" w:fill="auto"/>
            <w:vAlign w:val="center"/>
            <w:hideMark/>
          </w:tcPr>
          <w:p w14:paraId="5E0E3624" w14:textId="77777777" w:rsidR="00ED2A5A" w:rsidRPr="00065280" w:rsidRDefault="00ED2A5A" w:rsidP="00E824E6">
            <w:pPr>
              <w:tabs>
                <w:tab w:val="clear" w:pos="567"/>
                <w:tab w:val="clear" w:pos="1134"/>
                <w:tab w:val="clear" w:pos="1701"/>
                <w:tab w:val="clear" w:pos="2268"/>
              </w:tabs>
              <w:jc w:val="left"/>
              <w:rPr>
                <w:rFonts w:eastAsia="Times New Roman"/>
                <w:color w:val="000000"/>
                <w:sz w:val="18"/>
                <w:szCs w:val="18"/>
                <w:lang w:val="es-419"/>
              </w:rPr>
            </w:pPr>
            <w:r w:rsidRPr="00065280">
              <w:rPr>
                <w:color w:val="000000"/>
                <w:sz w:val="18"/>
                <w:lang w:val="es-419"/>
              </w:rPr>
              <w:t>Proporción del presupuesto integrado correspondiente al Protocolo de Cartagena (15 %)</w:t>
            </w:r>
          </w:p>
        </w:tc>
        <w:tc>
          <w:tcPr>
            <w:tcW w:w="1180" w:type="dxa"/>
            <w:tcBorders>
              <w:top w:val="nil"/>
              <w:left w:val="nil"/>
              <w:bottom w:val="single" w:sz="8" w:space="0" w:color="auto"/>
              <w:right w:val="nil"/>
            </w:tcBorders>
            <w:shd w:val="clear" w:color="auto" w:fill="auto"/>
            <w:vAlign w:val="center"/>
          </w:tcPr>
          <w:p w14:paraId="623FE1A3" w14:textId="77777777" w:rsidR="00ED2A5A" w:rsidRPr="00065280" w:rsidRDefault="00ED2A5A" w:rsidP="00E824E6">
            <w:pPr>
              <w:tabs>
                <w:tab w:val="clear" w:pos="567"/>
                <w:tab w:val="clear" w:pos="1134"/>
                <w:tab w:val="clear" w:pos="1701"/>
                <w:tab w:val="clear" w:pos="2268"/>
              </w:tabs>
              <w:jc w:val="right"/>
              <w:rPr>
                <w:rFonts w:eastAsia="Times New Roman"/>
                <w:color w:val="000000"/>
                <w:sz w:val="18"/>
                <w:szCs w:val="18"/>
                <w:lang w:val="es-419"/>
              </w:rPr>
            </w:pPr>
            <w:r w:rsidRPr="00065280">
              <w:rPr>
                <w:color w:val="000000"/>
                <w:sz w:val="18"/>
                <w:lang w:val="es-419"/>
              </w:rPr>
              <w:t>3 252,3</w:t>
            </w:r>
          </w:p>
        </w:tc>
        <w:tc>
          <w:tcPr>
            <w:tcW w:w="1180" w:type="dxa"/>
            <w:tcBorders>
              <w:top w:val="nil"/>
              <w:left w:val="nil"/>
              <w:bottom w:val="single" w:sz="8" w:space="0" w:color="auto"/>
              <w:right w:val="nil"/>
            </w:tcBorders>
            <w:shd w:val="clear" w:color="auto" w:fill="auto"/>
            <w:vAlign w:val="center"/>
          </w:tcPr>
          <w:p w14:paraId="47C00CE5" w14:textId="77777777" w:rsidR="00ED2A5A" w:rsidRPr="00065280" w:rsidRDefault="00ED2A5A" w:rsidP="00E824E6">
            <w:pPr>
              <w:tabs>
                <w:tab w:val="clear" w:pos="567"/>
                <w:tab w:val="clear" w:pos="1134"/>
                <w:tab w:val="clear" w:pos="1701"/>
                <w:tab w:val="clear" w:pos="2268"/>
              </w:tabs>
              <w:jc w:val="right"/>
              <w:rPr>
                <w:rFonts w:eastAsia="Times New Roman"/>
                <w:color w:val="000000"/>
                <w:sz w:val="18"/>
                <w:szCs w:val="18"/>
                <w:lang w:val="es-419"/>
              </w:rPr>
            </w:pPr>
            <w:r w:rsidRPr="00065280">
              <w:rPr>
                <w:color w:val="000000"/>
                <w:sz w:val="18"/>
                <w:lang w:val="es-419"/>
              </w:rPr>
              <w:t>3 413,0</w:t>
            </w:r>
          </w:p>
        </w:tc>
        <w:tc>
          <w:tcPr>
            <w:tcW w:w="1180" w:type="dxa"/>
            <w:tcBorders>
              <w:top w:val="nil"/>
              <w:left w:val="nil"/>
              <w:bottom w:val="single" w:sz="8" w:space="0" w:color="auto"/>
              <w:right w:val="nil"/>
            </w:tcBorders>
            <w:shd w:val="clear" w:color="auto" w:fill="auto"/>
            <w:vAlign w:val="center"/>
          </w:tcPr>
          <w:p w14:paraId="2DBB8F80" w14:textId="77777777" w:rsidR="00ED2A5A" w:rsidRPr="00065280" w:rsidRDefault="00ED2A5A" w:rsidP="00E824E6">
            <w:pPr>
              <w:tabs>
                <w:tab w:val="clear" w:pos="567"/>
                <w:tab w:val="clear" w:pos="1134"/>
                <w:tab w:val="clear" w:pos="1701"/>
                <w:tab w:val="clear" w:pos="2268"/>
              </w:tabs>
              <w:jc w:val="right"/>
              <w:rPr>
                <w:rFonts w:eastAsia="Times New Roman"/>
                <w:color w:val="000000"/>
                <w:sz w:val="18"/>
                <w:szCs w:val="18"/>
                <w:lang w:val="es-419"/>
              </w:rPr>
            </w:pPr>
            <w:r w:rsidRPr="00065280">
              <w:rPr>
                <w:color w:val="000000"/>
                <w:sz w:val="18"/>
                <w:lang w:val="es-419"/>
              </w:rPr>
              <w:t>6 665,3</w:t>
            </w:r>
          </w:p>
        </w:tc>
      </w:tr>
      <w:tr w:rsidR="00ED2A5A" w:rsidRPr="00065280" w14:paraId="5C2A898E" w14:textId="77777777" w:rsidTr="00E824E6">
        <w:trPr>
          <w:trHeight w:val="290"/>
        </w:trPr>
        <w:tc>
          <w:tcPr>
            <w:tcW w:w="4593" w:type="dxa"/>
            <w:tcBorders>
              <w:top w:val="nil"/>
              <w:left w:val="nil"/>
              <w:bottom w:val="nil"/>
              <w:right w:val="nil"/>
            </w:tcBorders>
            <w:shd w:val="clear" w:color="auto" w:fill="auto"/>
            <w:vAlign w:val="center"/>
            <w:hideMark/>
          </w:tcPr>
          <w:p w14:paraId="44CF37CD" w14:textId="77777777" w:rsidR="00ED2A5A" w:rsidRPr="00065280" w:rsidRDefault="00ED2A5A" w:rsidP="00E824E6">
            <w:pPr>
              <w:tabs>
                <w:tab w:val="clear" w:pos="567"/>
                <w:tab w:val="clear" w:pos="1134"/>
                <w:tab w:val="clear" w:pos="1701"/>
                <w:tab w:val="clear" w:pos="2268"/>
              </w:tabs>
              <w:jc w:val="left"/>
              <w:rPr>
                <w:rFonts w:eastAsia="Times New Roman"/>
                <w:color w:val="000000"/>
                <w:sz w:val="18"/>
                <w:szCs w:val="18"/>
                <w:lang w:val="es-419"/>
              </w:rPr>
            </w:pPr>
            <w:r w:rsidRPr="00065280">
              <w:rPr>
                <w:color w:val="000000"/>
                <w:sz w:val="18"/>
                <w:lang w:val="es-419"/>
              </w:rPr>
              <w:t>Contribuciones del país anfitrión</w:t>
            </w:r>
          </w:p>
        </w:tc>
        <w:tc>
          <w:tcPr>
            <w:tcW w:w="1180" w:type="dxa"/>
            <w:tcBorders>
              <w:top w:val="nil"/>
              <w:left w:val="nil"/>
              <w:bottom w:val="nil"/>
              <w:right w:val="nil"/>
            </w:tcBorders>
            <w:shd w:val="clear" w:color="auto" w:fill="auto"/>
            <w:vAlign w:val="center"/>
          </w:tcPr>
          <w:p w14:paraId="5C9C85AB" w14:textId="77777777" w:rsidR="00ED2A5A" w:rsidRPr="00065280" w:rsidRDefault="00ED2A5A" w:rsidP="00E824E6">
            <w:pPr>
              <w:tabs>
                <w:tab w:val="clear" w:pos="567"/>
                <w:tab w:val="clear" w:pos="1134"/>
                <w:tab w:val="clear" w:pos="1701"/>
                <w:tab w:val="clear" w:pos="2268"/>
              </w:tabs>
              <w:jc w:val="right"/>
              <w:rPr>
                <w:rFonts w:eastAsia="Times New Roman"/>
                <w:color w:val="000000"/>
                <w:sz w:val="18"/>
                <w:szCs w:val="18"/>
                <w:lang w:val="es-419"/>
              </w:rPr>
            </w:pPr>
            <w:r w:rsidRPr="00065280">
              <w:rPr>
                <w:color w:val="000000"/>
                <w:sz w:val="18"/>
                <w:lang w:val="es-419"/>
              </w:rPr>
              <w:t>(247,9)</w:t>
            </w:r>
          </w:p>
        </w:tc>
        <w:tc>
          <w:tcPr>
            <w:tcW w:w="1180" w:type="dxa"/>
            <w:tcBorders>
              <w:top w:val="nil"/>
              <w:left w:val="nil"/>
              <w:bottom w:val="nil"/>
              <w:right w:val="nil"/>
            </w:tcBorders>
            <w:shd w:val="clear" w:color="auto" w:fill="auto"/>
            <w:vAlign w:val="center"/>
          </w:tcPr>
          <w:p w14:paraId="7BC0D4EC" w14:textId="77777777" w:rsidR="00ED2A5A" w:rsidRPr="00065280" w:rsidRDefault="00ED2A5A" w:rsidP="00E824E6">
            <w:pPr>
              <w:tabs>
                <w:tab w:val="clear" w:pos="567"/>
                <w:tab w:val="clear" w:pos="1134"/>
                <w:tab w:val="clear" w:pos="1701"/>
                <w:tab w:val="clear" w:pos="2268"/>
              </w:tabs>
              <w:jc w:val="right"/>
              <w:rPr>
                <w:rFonts w:eastAsia="Times New Roman"/>
                <w:color w:val="000000"/>
                <w:sz w:val="18"/>
                <w:szCs w:val="18"/>
                <w:lang w:val="es-419"/>
              </w:rPr>
            </w:pPr>
            <w:r w:rsidRPr="00065280">
              <w:rPr>
                <w:color w:val="000000"/>
                <w:sz w:val="18"/>
                <w:lang w:val="es-419"/>
              </w:rPr>
              <w:t>(250,3)</w:t>
            </w:r>
          </w:p>
        </w:tc>
        <w:tc>
          <w:tcPr>
            <w:tcW w:w="1180" w:type="dxa"/>
            <w:tcBorders>
              <w:top w:val="nil"/>
              <w:left w:val="nil"/>
              <w:bottom w:val="nil"/>
              <w:right w:val="nil"/>
            </w:tcBorders>
            <w:shd w:val="clear" w:color="auto" w:fill="auto"/>
            <w:vAlign w:val="center"/>
          </w:tcPr>
          <w:p w14:paraId="2FB55FD7" w14:textId="77777777" w:rsidR="00ED2A5A" w:rsidRPr="00065280" w:rsidRDefault="00ED2A5A" w:rsidP="00E824E6">
            <w:pPr>
              <w:tabs>
                <w:tab w:val="clear" w:pos="567"/>
                <w:tab w:val="clear" w:pos="1134"/>
                <w:tab w:val="clear" w:pos="1701"/>
                <w:tab w:val="clear" w:pos="2268"/>
              </w:tabs>
              <w:jc w:val="right"/>
              <w:rPr>
                <w:rFonts w:eastAsia="Times New Roman"/>
                <w:color w:val="000000"/>
                <w:sz w:val="18"/>
                <w:szCs w:val="18"/>
                <w:lang w:val="es-419"/>
              </w:rPr>
            </w:pPr>
            <w:r w:rsidRPr="00065280">
              <w:rPr>
                <w:color w:val="000000"/>
                <w:sz w:val="18"/>
                <w:lang w:val="es-419"/>
              </w:rPr>
              <w:t>(498,2)</w:t>
            </w:r>
          </w:p>
        </w:tc>
      </w:tr>
      <w:tr w:rsidR="00ED2A5A" w:rsidRPr="00065280" w14:paraId="27EDD744" w14:textId="77777777" w:rsidTr="00E824E6">
        <w:trPr>
          <w:trHeight w:val="300"/>
        </w:trPr>
        <w:tc>
          <w:tcPr>
            <w:tcW w:w="4593" w:type="dxa"/>
            <w:tcBorders>
              <w:top w:val="nil"/>
              <w:left w:val="nil"/>
              <w:bottom w:val="single" w:sz="8" w:space="0" w:color="auto"/>
              <w:right w:val="nil"/>
            </w:tcBorders>
            <w:shd w:val="clear" w:color="auto" w:fill="auto"/>
            <w:vAlign w:val="center"/>
            <w:hideMark/>
          </w:tcPr>
          <w:p w14:paraId="66EBED3E" w14:textId="77777777" w:rsidR="00ED2A5A" w:rsidRPr="00065280" w:rsidRDefault="00ED2A5A" w:rsidP="00E824E6">
            <w:pPr>
              <w:tabs>
                <w:tab w:val="clear" w:pos="567"/>
                <w:tab w:val="clear" w:pos="1134"/>
                <w:tab w:val="clear" w:pos="1701"/>
                <w:tab w:val="clear" w:pos="2268"/>
              </w:tabs>
              <w:jc w:val="left"/>
              <w:rPr>
                <w:rFonts w:eastAsia="Times New Roman"/>
                <w:color w:val="000000"/>
                <w:sz w:val="18"/>
                <w:szCs w:val="18"/>
                <w:lang w:val="es-419"/>
              </w:rPr>
            </w:pPr>
            <w:r w:rsidRPr="00065280">
              <w:rPr>
                <w:color w:val="000000"/>
                <w:sz w:val="18"/>
                <w:lang w:val="es-419"/>
              </w:rPr>
              <w:t xml:space="preserve">Reserva </w:t>
            </w:r>
          </w:p>
        </w:tc>
        <w:tc>
          <w:tcPr>
            <w:tcW w:w="1180" w:type="dxa"/>
            <w:tcBorders>
              <w:top w:val="nil"/>
              <w:left w:val="nil"/>
              <w:bottom w:val="single" w:sz="8" w:space="0" w:color="auto"/>
              <w:right w:val="nil"/>
            </w:tcBorders>
            <w:shd w:val="clear" w:color="auto" w:fill="auto"/>
            <w:vAlign w:val="center"/>
          </w:tcPr>
          <w:p w14:paraId="03F94981" w14:textId="77777777" w:rsidR="00ED2A5A" w:rsidRPr="00065280" w:rsidRDefault="00ED2A5A" w:rsidP="00E824E6">
            <w:pPr>
              <w:tabs>
                <w:tab w:val="clear" w:pos="567"/>
                <w:tab w:val="clear" w:pos="1134"/>
                <w:tab w:val="clear" w:pos="1701"/>
                <w:tab w:val="clear" w:pos="2268"/>
              </w:tabs>
              <w:jc w:val="right"/>
              <w:rPr>
                <w:rFonts w:eastAsia="Times New Roman"/>
                <w:color w:val="000000"/>
                <w:sz w:val="18"/>
                <w:szCs w:val="18"/>
                <w:lang w:val="es-419"/>
              </w:rPr>
            </w:pPr>
            <w:r w:rsidRPr="00065280">
              <w:rPr>
                <w:color w:val="000000"/>
                <w:sz w:val="18"/>
                <w:lang w:val="es-419"/>
              </w:rPr>
              <w:t>(71,3)</w:t>
            </w:r>
          </w:p>
        </w:tc>
        <w:tc>
          <w:tcPr>
            <w:tcW w:w="1180" w:type="dxa"/>
            <w:tcBorders>
              <w:top w:val="nil"/>
              <w:left w:val="nil"/>
              <w:bottom w:val="single" w:sz="8" w:space="0" w:color="auto"/>
              <w:right w:val="nil"/>
            </w:tcBorders>
            <w:shd w:val="clear" w:color="auto" w:fill="auto"/>
            <w:vAlign w:val="center"/>
          </w:tcPr>
          <w:p w14:paraId="0D859582" w14:textId="77777777" w:rsidR="00ED2A5A" w:rsidRPr="00065280" w:rsidRDefault="00ED2A5A" w:rsidP="00E824E6">
            <w:pPr>
              <w:tabs>
                <w:tab w:val="clear" w:pos="567"/>
                <w:tab w:val="clear" w:pos="1134"/>
                <w:tab w:val="clear" w:pos="1701"/>
                <w:tab w:val="clear" w:pos="2268"/>
              </w:tabs>
              <w:jc w:val="right"/>
              <w:rPr>
                <w:rFonts w:eastAsia="Times New Roman"/>
                <w:color w:val="000000"/>
                <w:sz w:val="18"/>
                <w:szCs w:val="18"/>
                <w:lang w:val="es-419"/>
              </w:rPr>
            </w:pPr>
            <w:r w:rsidRPr="00065280">
              <w:rPr>
                <w:color w:val="000000"/>
                <w:sz w:val="18"/>
                <w:lang w:val="es-419"/>
              </w:rPr>
              <w:t>(29,0)</w:t>
            </w:r>
          </w:p>
        </w:tc>
        <w:tc>
          <w:tcPr>
            <w:tcW w:w="1180" w:type="dxa"/>
            <w:tcBorders>
              <w:top w:val="nil"/>
              <w:left w:val="nil"/>
              <w:bottom w:val="nil"/>
              <w:right w:val="nil"/>
            </w:tcBorders>
            <w:shd w:val="clear" w:color="auto" w:fill="auto"/>
            <w:vAlign w:val="center"/>
          </w:tcPr>
          <w:p w14:paraId="58C5662E" w14:textId="77777777" w:rsidR="00ED2A5A" w:rsidRPr="00065280" w:rsidRDefault="00ED2A5A" w:rsidP="00E824E6">
            <w:pPr>
              <w:tabs>
                <w:tab w:val="clear" w:pos="567"/>
                <w:tab w:val="clear" w:pos="1134"/>
                <w:tab w:val="clear" w:pos="1701"/>
                <w:tab w:val="clear" w:pos="2268"/>
              </w:tabs>
              <w:jc w:val="right"/>
              <w:rPr>
                <w:rFonts w:eastAsia="Times New Roman"/>
                <w:color w:val="000000"/>
                <w:sz w:val="18"/>
                <w:szCs w:val="18"/>
                <w:lang w:val="es-419"/>
              </w:rPr>
            </w:pPr>
            <w:r w:rsidRPr="00065280">
              <w:rPr>
                <w:color w:val="000000"/>
                <w:sz w:val="18"/>
                <w:lang w:val="es-419"/>
              </w:rPr>
              <w:t>(100,3)</w:t>
            </w:r>
          </w:p>
        </w:tc>
      </w:tr>
      <w:tr w:rsidR="00ED2A5A" w:rsidRPr="00065280" w14:paraId="3CAF3F50" w14:textId="77777777" w:rsidTr="00E824E6">
        <w:trPr>
          <w:trHeight w:val="470"/>
        </w:trPr>
        <w:tc>
          <w:tcPr>
            <w:tcW w:w="4593" w:type="dxa"/>
            <w:tcBorders>
              <w:top w:val="nil"/>
              <w:left w:val="nil"/>
              <w:bottom w:val="single" w:sz="8" w:space="0" w:color="auto"/>
              <w:right w:val="nil"/>
            </w:tcBorders>
            <w:shd w:val="clear" w:color="auto" w:fill="auto"/>
            <w:vAlign w:val="center"/>
            <w:hideMark/>
          </w:tcPr>
          <w:p w14:paraId="6A681C66" w14:textId="77777777" w:rsidR="00ED2A5A" w:rsidRPr="00065280" w:rsidRDefault="00ED2A5A" w:rsidP="00E824E6">
            <w:pPr>
              <w:tabs>
                <w:tab w:val="clear" w:pos="567"/>
                <w:tab w:val="clear" w:pos="1134"/>
                <w:tab w:val="clear" w:pos="1701"/>
                <w:tab w:val="clear" w:pos="2268"/>
              </w:tabs>
              <w:ind w:left="317"/>
              <w:jc w:val="left"/>
              <w:rPr>
                <w:rFonts w:eastAsia="Times New Roman"/>
                <w:b/>
                <w:bCs/>
                <w:color w:val="000000"/>
                <w:sz w:val="18"/>
                <w:szCs w:val="18"/>
                <w:lang w:val="es-419"/>
              </w:rPr>
            </w:pPr>
            <w:r w:rsidRPr="00065280">
              <w:rPr>
                <w:b/>
                <w:color w:val="000000"/>
                <w:sz w:val="18"/>
                <w:lang w:val="es-419"/>
              </w:rPr>
              <w:t>Total neto (cantidad a dividir entre las Partes)</w:t>
            </w:r>
          </w:p>
        </w:tc>
        <w:tc>
          <w:tcPr>
            <w:tcW w:w="1180" w:type="dxa"/>
            <w:tcBorders>
              <w:top w:val="nil"/>
              <w:left w:val="nil"/>
              <w:bottom w:val="single" w:sz="8" w:space="0" w:color="auto"/>
              <w:right w:val="nil"/>
            </w:tcBorders>
            <w:shd w:val="clear" w:color="auto" w:fill="auto"/>
            <w:vAlign w:val="center"/>
          </w:tcPr>
          <w:p w14:paraId="371666F2" w14:textId="77777777" w:rsidR="00ED2A5A" w:rsidRPr="00065280" w:rsidRDefault="00ED2A5A" w:rsidP="00E824E6">
            <w:pPr>
              <w:tabs>
                <w:tab w:val="clear" w:pos="567"/>
                <w:tab w:val="clear" w:pos="1134"/>
                <w:tab w:val="clear" w:pos="1701"/>
                <w:tab w:val="clear" w:pos="2268"/>
              </w:tabs>
              <w:jc w:val="right"/>
              <w:rPr>
                <w:rFonts w:eastAsia="Times New Roman"/>
                <w:b/>
                <w:bCs/>
                <w:color w:val="000000"/>
                <w:sz w:val="18"/>
                <w:szCs w:val="18"/>
                <w:lang w:val="es-419"/>
              </w:rPr>
            </w:pPr>
            <w:r w:rsidRPr="00065280">
              <w:rPr>
                <w:b/>
                <w:color w:val="000000"/>
                <w:sz w:val="18"/>
                <w:lang w:val="es-419"/>
              </w:rPr>
              <w:t>2 933,1</w:t>
            </w:r>
          </w:p>
        </w:tc>
        <w:tc>
          <w:tcPr>
            <w:tcW w:w="1180" w:type="dxa"/>
            <w:tcBorders>
              <w:top w:val="nil"/>
              <w:left w:val="nil"/>
              <w:bottom w:val="single" w:sz="8" w:space="0" w:color="auto"/>
              <w:right w:val="nil"/>
            </w:tcBorders>
            <w:shd w:val="clear" w:color="auto" w:fill="auto"/>
            <w:vAlign w:val="center"/>
          </w:tcPr>
          <w:p w14:paraId="71782F59" w14:textId="77777777" w:rsidR="00ED2A5A" w:rsidRPr="00065280" w:rsidRDefault="00ED2A5A" w:rsidP="00E824E6">
            <w:pPr>
              <w:tabs>
                <w:tab w:val="clear" w:pos="567"/>
                <w:tab w:val="clear" w:pos="1134"/>
                <w:tab w:val="clear" w:pos="1701"/>
                <w:tab w:val="clear" w:pos="2268"/>
              </w:tabs>
              <w:jc w:val="right"/>
              <w:rPr>
                <w:rFonts w:eastAsia="Times New Roman"/>
                <w:b/>
                <w:bCs/>
                <w:color w:val="000000"/>
                <w:sz w:val="18"/>
                <w:szCs w:val="18"/>
                <w:lang w:val="es-419"/>
              </w:rPr>
            </w:pPr>
            <w:r w:rsidRPr="00065280">
              <w:rPr>
                <w:b/>
                <w:color w:val="000000"/>
                <w:sz w:val="18"/>
                <w:lang w:val="es-419"/>
              </w:rPr>
              <w:t>3 133,7</w:t>
            </w:r>
          </w:p>
        </w:tc>
        <w:tc>
          <w:tcPr>
            <w:tcW w:w="1180" w:type="dxa"/>
            <w:tcBorders>
              <w:top w:val="single" w:sz="8" w:space="0" w:color="auto"/>
              <w:left w:val="nil"/>
              <w:bottom w:val="single" w:sz="8" w:space="0" w:color="auto"/>
              <w:right w:val="nil"/>
            </w:tcBorders>
            <w:shd w:val="clear" w:color="auto" w:fill="auto"/>
            <w:vAlign w:val="center"/>
          </w:tcPr>
          <w:p w14:paraId="2ABD5694" w14:textId="77777777" w:rsidR="00ED2A5A" w:rsidRPr="00065280" w:rsidRDefault="00ED2A5A" w:rsidP="00E824E6">
            <w:pPr>
              <w:tabs>
                <w:tab w:val="clear" w:pos="567"/>
                <w:tab w:val="clear" w:pos="1134"/>
                <w:tab w:val="clear" w:pos="1701"/>
                <w:tab w:val="clear" w:pos="2268"/>
              </w:tabs>
              <w:jc w:val="right"/>
              <w:rPr>
                <w:rFonts w:eastAsia="Times New Roman"/>
                <w:b/>
                <w:bCs/>
                <w:color w:val="000000"/>
                <w:sz w:val="18"/>
                <w:szCs w:val="18"/>
                <w:lang w:val="es-419"/>
              </w:rPr>
            </w:pPr>
            <w:r w:rsidRPr="00065280">
              <w:rPr>
                <w:b/>
                <w:color w:val="000000"/>
                <w:sz w:val="18"/>
                <w:lang w:val="es-419"/>
              </w:rPr>
              <w:t>6 066,8</w:t>
            </w:r>
          </w:p>
        </w:tc>
      </w:tr>
    </w:tbl>
    <w:p w14:paraId="2A1CA7D8" w14:textId="77777777" w:rsidR="00ED2A5A" w:rsidRPr="00065280" w:rsidRDefault="00ED2A5A" w:rsidP="00ED2A5A">
      <w:pPr>
        <w:tabs>
          <w:tab w:val="clear" w:pos="567"/>
          <w:tab w:val="clear" w:pos="1134"/>
          <w:tab w:val="clear" w:pos="1701"/>
          <w:tab w:val="clear" w:pos="2268"/>
        </w:tabs>
        <w:spacing w:after="160" w:line="259" w:lineRule="auto"/>
        <w:jc w:val="left"/>
        <w:rPr>
          <w:lang w:val="es-419"/>
        </w:rPr>
      </w:pPr>
    </w:p>
    <w:p w14:paraId="186DB535" w14:textId="77777777" w:rsidR="00080196" w:rsidRPr="00065280" w:rsidRDefault="00080196">
      <w:pPr>
        <w:tabs>
          <w:tab w:val="clear" w:pos="567"/>
          <w:tab w:val="clear" w:pos="1134"/>
          <w:tab w:val="clear" w:pos="1701"/>
          <w:tab w:val="clear" w:pos="2268"/>
        </w:tabs>
        <w:spacing w:after="160" w:line="259" w:lineRule="auto"/>
        <w:jc w:val="left"/>
        <w:rPr>
          <w:rFonts w:ascii="Times New Roman Bold" w:hAnsi="Times New Roman Bold" w:cs="Times New Roman Bold" w:hint="eastAsia"/>
          <w:bCs/>
          <w:sz w:val="24"/>
          <w:lang w:val="es-419"/>
        </w:rPr>
      </w:pPr>
      <w:r w:rsidRPr="00065280">
        <w:rPr>
          <w:lang w:val="es-419"/>
        </w:rPr>
        <w:br w:type="page"/>
      </w:r>
    </w:p>
    <w:p w14:paraId="43CD716B" w14:textId="17DD1240" w:rsidR="00080196" w:rsidRPr="00065280" w:rsidRDefault="004547FC" w:rsidP="00E824E6">
      <w:pPr>
        <w:pStyle w:val="CBDDesicionAnnex"/>
        <w:rPr>
          <w:rFonts w:hint="eastAsia"/>
          <w:lang w:val="es-419"/>
        </w:rPr>
      </w:pPr>
      <w:r w:rsidRPr="00065280">
        <w:rPr>
          <w:lang w:val="es-419"/>
        </w:rPr>
        <w:lastRenderedPageBreak/>
        <w:t>An</w:t>
      </w:r>
      <w:r w:rsidR="00080196" w:rsidRPr="00065280">
        <w:rPr>
          <w:lang w:val="es-419"/>
        </w:rPr>
        <w:t>ex</w:t>
      </w:r>
      <w:r w:rsidRPr="00065280">
        <w:rPr>
          <w:lang w:val="es-419"/>
        </w:rPr>
        <w:t>o</w:t>
      </w:r>
      <w:r w:rsidR="00080196" w:rsidRPr="00065280">
        <w:rPr>
          <w:lang w:val="es-419"/>
        </w:rPr>
        <w:t xml:space="preserve"> </w:t>
      </w:r>
    </w:p>
    <w:p w14:paraId="3B84F46E" w14:textId="4F442D90" w:rsidR="00080196" w:rsidRPr="00065280" w:rsidRDefault="00E12D19" w:rsidP="00E824E6">
      <w:pPr>
        <w:pStyle w:val="CBDDesicionAnnex"/>
        <w:rPr>
          <w:rFonts w:hint="eastAsia"/>
          <w:lang w:val="es-419"/>
        </w:rPr>
      </w:pPr>
      <w:r w:rsidRPr="00065280">
        <w:rPr>
          <w:lang w:val="es-419"/>
        </w:rPr>
        <w:t>Cuadro de contribuciones al Fondo Fiduciario General para el Presupuesto Básico por Programas del Protocolo de Cartagena, 2025-2026</w:t>
      </w:r>
    </w:p>
    <w:tbl>
      <w:tblPr>
        <w:tblW w:w="9450" w:type="dxa"/>
        <w:tblInd w:w="-95" w:type="dxa"/>
        <w:tblLayout w:type="fixed"/>
        <w:tblLook w:val="04A0" w:firstRow="1" w:lastRow="0" w:firstColumn="1" w:lastColumn="0" w:noHBand="0" w:noVBand="1"/>
      </w:tblPr>
      <w:tblGrid>
        <w:gridCol w:w="2070"/>
        <w:gridCol w:w="1138"/>
        <w:gridCol w:w="2552"/>
        <w:gridCol w:w="1217"/>
        <w:gridCol w:w="1213"/>
        <w:gridCol w:w="1260"/>
      </w:tblGrid>
      <w:tr w:rsidR="00E12D19" w:rsidRPr="009B5A0D" w14:paraId="3F39352D" w14:textId="77777777" w:rsidTr="00E824E6">
        <w:trPr>
          <w:trHeight w:val="404"/>
          <w:tblHeader/>
        </w:trPr>
        <w:tc>
          <w:tcPr>
            <w:tcW w:w="2070" w:type="dxa"/>
            <w:vMerge w:val="restart"/>
            <w:tcBorders>
              <w:top w:val="single" w:sz="4" w:space="0" w:color="auto"/>
              <w:left w:val="single" w:sz="4" w:space="0" w:color="auto"/>
              <w:right w:val="single" w:sz="4" w:space="0" w:color="auto"/>
            </w:tcBorders>
            <w:shd w:val="clear" w:color="auto" w:fill="auto"/>
            <w:noWrap/>
            <w:vAlign w:val="bottom"/>
          </w:tcPr>
          <w:p w14:paraId="70703BEA" w14:textId="77777777" w:rsidR="00E12D19" w:rsidRPr="00065280" w:rsidDel="002E11FA" w:rsidRDefault="00E12D19" w:rsidP="00E824E6">
            <w:pPr>
              <w:jc w:val="left"/>
              <w:rPr>
                <w:rFonts w:eastAsia="Times New Roman"/>
                <w:i/>
                <w:iCs/>
                <w:color w:val="000000" w:themeColor="text1"/>
                <w:sz w:val="18"/>
                <w:szCs w:val="18"/>
                <w:lang w:val="es-419" w:eastAsia="en-CA"/>
              </w:rPr>
            </w:pPr>
            <w:r w:rsidRPr="00065280">
              <w:rPr>
                <w:rFonts w:eastAsia="Times New Roman"/>
                <w:i/>
                <w:iCs/>
                <w:color w:val="000000" w:themeColor="text1"/>
                <w:sz w:val="18"/>
                <w:szCs w:val="18"/>
                <w:lang w:val="es-419" w:eastAsia="en-CA"/>
              </w:rPr>
              <w:t>Parte</w:t>
            </w:r>
          </w:p>
        </w:tc>
        <w:tc>
          <w:tcPr>
            <w:tcW w:w="3690" w:type="dxa"/>
            <w:gridSpan w:val="2"/>
            <w:tcBorders>
              <w:top w:val="single" w:sz="4" w:space="0" w:color="auto"/>
              <w:left w:val="nil"/>
              <w:bottom w:val="single" w:sz="4" w:space="0" w:color="auto"/>
              <w:right w:val="single" w:sz="4" w:space="0" w:color="auto"/>
            </w:tcBorders>
            <w:shd w:val="clear" w:color="auto" w:fill="auto"/>
            <w:vAlign w:val="bottom"/>
          </w:tcPr>
          <w:p w14:paraId="1CB760D1" w14:textId="77777777" w:rsidR="00E12D19" w:rsidRPr="00065280" w:rsidRDefault="00E12D19" w:rsidP="00E824E6">
            <w:pPr>
              <w:tabs>
                <w:tab w:val="left" w:pos="2835"/>
                <w:tab w:val="left" w:pos="3402"/>
              </w:tabs>
              <w:jc w:val="center"/>
              <w:rPr>
                <w:i/>
                <w:iCs/>
                <w:color w:val="000000" w:themeColor="text1"/>
                <w:sz w:val="18"/>
                <w:szCs w:val="18"/>
                <w:lang w:val="es-419" w:eastAsia="en-CA"/>
              </w:rPr>
            </w:pPr>
            <w:r w:rsidRPr="00065280">
              <w:rPr>
                <w:i/>
                <w:iCs/>
                <w:color w:val="000000" w:themeColor="text1"/>
                <w:sz w:val="18"/>
                <w:szCs w:val="18"/>
                <w:lang w:val="es-419" w:eastAsia="en-CA"/>
              </w:rPr>
              <w:t>Escala de cuotas</w:t>
            </w:r>
          </w:p>
          <w:p w14:paraId="4209FF7A" w14:textId="77777777" w:rsidR="00E12D19" w:rsidRPr="00065280" w:rsidRDefault="00E12D19" w:rsidP="00E824E6">
            <w:pPr>
              <w:jc w:val="center"/>
              <w:rPr>
                <w:rFonts w:eastAsia="Times New Roman"/>
                <w:i/>
                <w:iCs/>
                <w:color w:val="000000" w:themeColor="text1"/>
                <w:sz w:val="18"/>
                <w:szCs w:val="18"/>
                <w:lang w:val="es-419" w:eastAsia="en-CA"/>
              </w:rPr>
            </w:pPr>
            <w:r w:rsidRPr="00065280">
              <w:rPr>
                <w:i/>
                <w:iCs/>
                <w:color w:val="000000" w:themeColor="text1"/>
                <w:sz w:val="18"/>
                <w:szCs w:val="18"/>
                <w:lang w:val="es-419" w:eastAsia="en-CA"/>
              </w:rPr>
              <w:t>(porcentaje)</w:t>
            </w:r>
          </w:p>
        </w:tc>
        <w:tc>
          <w:tcPr>
            <w:tcW w:w="3690" w:type="dxa"/>
            <w:gridSpan w:val="3"/>
            <w:tcBorders>
              <w:top w:val="single" w:sz="4" w:space="0" w:color="auto"/>
              <w:left w:val="nil"/>
              <w:bottom w:val="single" w:sz="4" w:space="0" w:color="auto"/>
              <w:right w:val="single" w:sz="4" w:space="0" w:color="auto"/>
            </w:tcBorders>
            <w:shd w:val="clear" w:color="auto" w:fill="auto"/>
            <w:vAlign w:val="bottom"/>
          </w:tcPr>
          <w:p w14:paraId="149AC516" w14:textId="77777777" w:rsidR="00E12D19" w:rsidRPr="00065280" w:rsidRDefault="00E12D19" w:rsidP="00E824E6">
            <w:pPr>
              <w:tabs>
                <w:tab w:val="left" w:pos="2835"/>
                <w:tab w:val="left" w:pos="3402"/>
              </w:tabs>
              <w:jc w:val="center"/>
              <w:rPr>
                <w:i/>
                <w:iCs/>
                <w:color w:val="000000" w:themeColor="text1"/>
                <w:sz w:val="18"/>
                <w:szCs w:val="18"/>
                <w:lang w:val="es-419" w:eastAsia="en-CA"/>
              </w:rPr>
            </w:pPr>
            <w:r w:rsidRPr="00065280">
              <w:rPr>
                <w:i/>
                <w:iCs/>
                <w:color w:val="000000" w:themeColor="text1"/>
                <w:sz w:val="18"/>
                <w:szCs w:val="18"/>
                <w:lang w:val="es-419" w:eastAsia="en-CA"/>
              </w:rPr>
              <w:t>Contribuciones</w:t>
            </w:r>
          </w:p>
          <w:p w14:paraId="1087A7B3" w14:textId="77777777" w:rsidR="00E12D19" w:rsidRPr="00065280" w:rsidRDefault="00E12D19" w:rsidP="00E824E6">
            <w:pPr>
              <w:jc w:val="center"/>
              <w:rPr>
                <w:rFonts w:eastAsia="Times New Roman"/>
                <w:i/>
                <w:iCs/>
                <w:color w:val="000000" w:themeColor="text1"/>
                <w:sz w:val="18"/>
                <w:szCs w:val="18"/>
                <w:lang w:val="es-419" w:eastAsia="en-CA"/>
              </w:rPr>
            </w:pPr>
            <w:r w:rsidRPr="00065280">
              <w:rPr>
                <w:i/>
                <w:iCs/>
                <w:color w:val="000000" w:themeColor="text1"/>
                <w:sz w:val="18"/>
                <w:szCs w:val="18"/>
                <w:lang w:val="es-419" w:eastAsia="en-CA"/>
              </w:rPr>
              <w:t>(dólares de los EE. UU.)</w:t>
            </w:r>
          </w:p>
        </w:tc>
      </w:tr>
      <w:tr w:rsidR="00E12D19" w:rsidRPr="00065280" w14:paraId="77682538" w14:textId="77777777" w:rsidTr="00E824E6">
        <w:trPr>
          <w:trHeight w:val="701"/>
          <w:tblHeader/>
        </w:trPr>
        <w:tc>
          <w:tcPr>
            <w:tcW w:w="2070" w:type="dxa"/>
            <w:vMerge/>
            <w:tcBorders>
              <w:left w:val="single" w:sz="4" w:space="0" w:color="auto"/>
              <w:bottom w:val="single" w:sz="4" w:space="0" w:color="auto"/>
              <w:right w:val="single" w:sz="4" w:space="0" w:color="auto"/>
            </w:tcBorders>
            <w:shd w:val="clear" w:color="auto" w:fill="auto"/>
            <w:noWrap/>
            <w:vAlign w:val="bottom"/>
            <w:hideMark/>
          </w:tcPr>
          <w:p w14:paraId="10B9CD34" w14:textId="77777777" w:rsidR="00E12D19" w:rsidRPr="00065280" w:rsidRDefault="00E12D19" w:rsidP="00E824E6">
            <w:pPr>
              <w:jc w:val="left"/>
              <w:rPr>
                <w:rFonts w:eastAsia="Times New Roman"/>
                <w:i/>
                <w:iCs/>
                <w:color w:val="000000" w:themeColor="text1"/>
                <w:sz w:val="18"/>
                <w:szCs w:val="18"/>
                <w:lang w:val="es-419" w:eastAsia="en-CA"/>
              </w:rPr>
            </w:pPr>
          </w:p>
        </w:tc>
        <w:tc>
          <w:tcPr>
            <w:tcW w:w="1138" w:type="dxa"/>
            <w:tcBorders>
              <w:top w:val="single" w:sz="4" w:space="0" w:color="auto"/>
              <w:left w:val="nil"/>
              <w:bottom w:val="single" w:sz="4" w:space="0" w:color="auto"/>
              <w:right w:val="single" w:sz="4" w:space="0" w:color="auto"/>
            </w:tcBorders>
            <w:shd w:val="clear" w:color="auto" w:fill="auto"/>
            <w:vAlign w:val="bottom"/>
            <w:hideMark/>
          </w:tcPr>
          <w:p w14:paraId="4301ECCD" w14:textId="77777777" w:rsidR="00E12D19" w:rsidRPr="00065280" w:rsidRDefault="00E12D19" w:rsidP="00E824E6">
            <w:pPr>
              <w:jc w:val="right"/>
              <w:rPr>
                <w:rFonts w:eastAsia="Times New Roman"/>
                <w:i/>
                <w:iCs/>
                <w:color w:val="000000" w:themeColor="text1"/>
                <w:sz w:val="18"/>
                <w:szCs w:val="18"/>
                <w:lang w:val="es-419" w:eastAsia="en-CA"/>
              </w:rPr>
            </w:pPr>
            <w:r w:rsidRPr="00065280">
              <w:rPr>
                <w:rFonts w:eastAsia="Times New Roman"/>
                <w:i/>
                <w:iCs/>
                <w:color w:val="000000" w:themeColor="text1"/>
                <w:sz w:val="18"/>
                <w:szCs w:val="18"/>
                <w:lang w:val="es-419" w:eastAsia="en-CA"/>
              </w:rPr>
              <w:t>2022</w:t>
            </w:r>
            <w:r w:rsidRPr="00065280">
              <w:rPr>
                <w:i/>
                <w:iCs/>
                <w:color w:val="000000" w:themeColor="text1"/>
                <w:sz w:val="18"/>
                <w:szCs w:val="18"/>
                <w:lang w:val="es-419" w:bidi="ar-SY"/>
              </w:rPr>
              <w:t>-</w:t>
            </w:r>
            <w:r w:rsidRPr="00065280">
              <w:rPr>
                <w:rFonts w:eastAsia="Times New Roman"/>
                <w:i/>
                <w:iCs/>
                <w:color w:val="000000" w:themeColor="text1"/>
                <w:sz w:val="18"/>
                <w:szCs w:val="18"/>
                <w:lang w:val="es-419" w:eastAsia="en-CA"/>
              </w:rPr>
              <w:t>2024</w:t>
            </w:r>
          </w:p>
        </w:tc>
        <w:tc>
          <w:tcPr>
            <w:tcW w:w="2552" w:type="dxa"/>
            <w:tcBorders>
              <w:top w:val="single" w:sz="4" w:space="0" w:color="auto"/>
              <w:left w:val="nil"/>
              <w:bottom w:val="single" w:sz="4" w:space="0" w:color="auto"/>
              <w:right w:val="single" w:sz="4" w:space="0" w:color="auto"/>
            </w:tcBorders>
            <w:shd w:val="clear" w:color="auto" w:fill="auto"/>
            <w:vAlign w:val="bottom"/>
            <w:hideMark/>
          </w:tcPr>
          <w:p w14:paraId="3BE6550E" w14:textId="77777777" w:rsidR="00E12D19" w:rsidRPr="00065280" w:rsidRDefault="00E12D19" w:rsidP="00E824E6">
            <w:pPr>
              <w:jc w:val="right"/>
              <w:rPr>
                <w:rFonts w:eastAsia="Times New Roman"/>
                <w:i/>
                <w:iCs/>
                <w:color w:val="000000" w:themeColor="text1"/>
                <w:sz w:val="18"/>
                <w:szCs w:val="18"/>
                <w:lang w:val="es-419" w:eastAsia="en-CA"/>
              </w:rPr>
            </w:pPr>
            <w:r w:rsidRPr="00065280">
              <w:rPr>
                <w:i/>
                <w:color w:val="000000" w:themeColor="text1"/>
                <w:sz w:val="18"/>
                <w:lang w:val="es-419"/>
              </w:rPr>
              <w:t>Escala con tope del 22 %, ningún  país menos adelantado paga más del 0,01 %</w:t>
            </w:r>
          </w:p>
        </w:tc>
        <w:tc>
          <w:tcPr>
            <w:tcW w:w="1217" w:type="dxa"/>
            <w:tcBorders>
              <w:top w:val="single" w:sz="4" w:space="0" w:color="auto"/>
              <w:left w:val="nil"/>
              <w:bottom w:val="single" w:sz="4" w:space="0" w:color="auto"/>
              <w:right w:val="single" w:sz="4" w:space="0" w:color="auto"/>
            </w:tcBorders>
            <w:shd w:val="clear" w:color="auto" w:fill="auto"/>
            <w:vAlign w:val="bottom"/>
            <w:hideMark/>
          </w:tcPr>
          <w:p w14:paraId="0E59D919" w14:textId="77777777" w:rsidR="00E12D19" w:rsidRPr="00065280" w:rsidRDefault="00E12D19" w:rsidP="00E824E6">
            <w:pPr>
              <w:jc w:val="right"/>
              <w:rPr>
                <w:rFonts w:eastAsia="Times New Roman"/>
                <w:i/>
                <w:iCs/>
                <w:color w:val="000000" w:themeColor="text1"/>
                <w:sz w:val="18"/>
                <w:szCs w:val="18"/>
                <w:lang w:val="es-419" w:eastAsia="en-CA"/>
              </w:rPr>
            </w:pPr>
            <w:r w:rsidRPr="00065280">
              <w:rPr>
                <w:rFonts w:eastAsia="Times New Roman"/>
                <w:i/>
                <w:iCs/>
                <w:color w:val="000000" w:themeColor="text1"/>
                <w:sz w:val="18"/>
                <w:szCs w:val="18"/>
                <w:lang w:val="es-419" w:eastAsia="en-CA"/>
              </w:rPr>
              <w:t>2025</w:t>
            </w:r>
          </w:p>
        </w:tc>
        <w:tc>
          <w:tcPr>
            <w:tcW w:w="1213" w:type="dxa"/>
            <w:tcBorders>
              <w:top w:val="single" w:sz="4" w:space="0" w:color="auto"/>
              <w:left w:val="nil"/>
              <w:bottom w:val="single" w:sz="4" w:space="0" w:color="auto"/>
              <w:right w:val="single" w:sz="4" w:space="0" w:color="auto"/>
            </w:tcBorders>
            <w:shd w:val="clear" w:color="auto" w:fill="auto"/>
            <w:vAlign w:val="bottom"/>
            <w:hideMark/>
          </w:tcPr>
          <w:p w14:paraId="27EA53D9" w14:textId="77777777" w:rsidR="00E12D19" w:rsidRPr="00065280" w:rsidRDefault="00E12D19" w:rsidP="00E824E6">
            <w:pPr>
              <w:jc w:val="right"/>
              <w:rPr>
                <w:rFonts w:eastAsia="Times New Roman"/>
                <w:i/>
                <w:iCs/>
                <w:color w:val="000000" w:themeColor="text1"/>
                <w:sz w:val="18"/>
                <w:szCs w:val="18"/>
                <w:lang w:val="es-419" w:eastAsia="en-CA"/>
              </w:rPr>
            </w:pPr>
            <w:r w:rsidRPr="00065280">
              <w:rPr>
                <w:rFonts w:eastAsia="Times New Roman"/>
                <w:i/>
                <w:iCs/>
                <w:color w:val="000000" w:themeColor="text1"/>
                <w:sz w:val="18"/>
                <w:szCs w:val="18"/>
                <w:lang w:val="es-419" w:eastAsia="en-CA"/>
              </w:rPr>
              <w:t>2026</w:t>
            </w:r>
          </w:p>
        </w:tc>
        <w:tc>
          <w:tcPr>
            <w:tcW w:w="1260" w:type="dxa"/>
            <w:tcBorders>
              <w:left w:val="nil"/>
              <w:bottom w:val="single" w:sz="4" w:space="0" w:color="auto"/>
              <w:right w:val="single" w:sz="4" w:space="0" w:color="auto"/>
            </w:tcBorders>
            <w:shd w:val="clear" w:color="auto" w:fill="auto"/>
            <w:vAlign w:val="bottom"/>
            <w:hideMark/>
          </w:tcPr>
          <w:p w14:paraId="639F7569" w14:textId="77777777" w:rsidR="00E12D19" w:rsidRPr="00065280" w:rsidRDefault="00E12D19" w:rsidP="00E824E6">
            <w:pPr>
              <w:jc w:val="right"/>
              <w:rPr>
                <w:rFonts w:eastAsia="Times New Roman"/>
                <w:i/>
                <w:iCs/>
                <w:color w:val="000000" w:themeColor="text1"/>
                <w:sz w:val="18"/>
                <w:szCs w:val="18"/>
                <w:lang w:val="es-419" w:eastAsia="en-CA"/>
              </w:rPr>
            </w:pPr>
            <w:r w:rsidRPr="00065280">
              <w:rPr>
                <w:rFonts w:eastAsia="Times New Roman"/>
                <w:i/>
                <w:iCs/>
                <w:color w:val="000000" w:themeColor="text1"/>
                <w:sz w:val="18"/>
                <w:szCs w:val="18"/>
                <w:lang w:val="es-419" w:eastAsia="en-CA"/>
              </w:rPr>
              <w:t>2025-2026</w:t>
            </w:r>
          </w:p>
        </w:tc>
      </w:tr>
      <w:tr w:rsidR="00E12D19" w:rsidRPr="00065280" w14:paraId="5AD502D6"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168BAA5"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Afganistán</w:t>
            </w:r>
          </w:p>
        </w:tc>
        <w:tc>
          <w:tcPr>
            <w:tcW w:w="1138" w:type="dxa"/>
            <w:tcBorders>
              <w:top w:val="nil"/>
              <w:left w:val="nil"/>
              <w:bottom w:val="single" w:sz="4" w:space="0" w:color="auto"/>
              <w:right w:val="single" w:sz="4" w:space="0" w:color="auto"/>
            </w:tcBorders>
            <w:shd w:val="clear" w:color="auto" w:fill="auto"/>
            <w:vAlign w:val="bottom"/>
            <w:hideMark/>
          </w:tcPr>
          <w:p w14:paraId="59CD3BF5"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0,006</w:t>
            </w:r>
          </w:p>
        </w:tc>
        <w:tc>
          <w:tcPr>
            <w:tcW w:w="2552" w:type="dxa"/>
            <w:tcBorders>
              <w:top w:val="nil"/>
              <w:left w:val="nil"/>
              <w:bottom w:val="single" w:sz="4" w:space="0" w:color="auto"/>
              <w:right w:val="single" w:sz="4" w:space="0" w:color="auto"/>
            </w:tcBorders>
            <w:shd w:val="clear" w:color="auto" w:fill="auto"/>
            <w:noWrap/>
            <w:vAlign w:val="bottom"/>
            <w:hideMark/>
          </w:tcPr>
          <w:p w14:paraId="31821520"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0,008</w:t>
            </w:r>
          </w:p>
        </w:tc>
        <w:tc>
          <w:tcPr>
            <w:tcW w:w="1217" w:type="dxa"/>
            <w:tcBorders>
              <w:top w:val="nil"/>
              <w:left w:val="nil"/>
              <w:bottom w:val="single" w:sz="4" w:space="0" w:color="auto"/>
              <w:right w:val="single" w:sz="4" w:space="0" w:color="auto"/>
            </w:tcBorders>
            <w:shd w:val="clear" w:color="auto" w:fill="auto"/>
            <w:noWrap/>
            <w:vAlign w:val="bottom"/>
            <w:hideMark/>
          </w:tcPr>
          <w:p w14:paraId="66712E69"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248</w:t>
            </w:r>
          </w:p>
        </w:tc>
        <w:tc>
          <w:tcPr>
            <w:tcW w:w="1213" w:type="dxa"/>
            <w:tcBorders>
              <w:top w:val="nil"/>
              <w:left w:val="nil"/>
              <w:bottom w:val="single" w:sz="4" w:space="0" w:color="auto"/>
              <w:right w:val="single" w:sz="4" w:space="0" w:color="auto"/>
            </w:tcBorders>
            <w:shd w:val="clear" w:color="auto" w:fill="auto"/>
            <w:noWrap/>
            <w:vAlign w:val="bottom"/>
            <w:hideMark/>
          </w:tcPr>
          <w:p w14:paraId="1F0E5E6B"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265</w:t>
            </w:r>
          </w:p>
        </w:tc>
        <w:tc>
          <w:tcPr>
            <w:tcW w:w="1260" w:type="dxa"/>
            <w:tcBorders>
              <w:top w:val="nil"/>
              <w:left w:val="nil"/>
              <w:bottom w:val="single" w:sz="4" w:space="0" w:color="auto"/>
              <w:right w:val="single" w:sz="4" w:space="0" w:color="auto"/>
            </w:tcBorders>
            <w:shd w:val="clear" w:color="auto" w:fill="auto"/>
            <w:noWrap/>
            <w:vAlign w:val="bottom"/>
            <w:hideMark/>
          </w:tcPr>
          <w:p w14:paraId="0548F469"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514</w:t>
            </w:r>
          </w:p>
        </w:tc>
      </w:tr>
      <w:tr w:rsidR="00E12D19" w:rsidRPr="00065280" w14:paraId="27418BAD"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8DAA967"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 xml:space="preserve">Albania </w:t>
            </w:r>
          </w:p>
        </w:tc>
        <w:tc>
          <w:tcPr>
            <w:tcW w:w="1138" w:type="dxa"/>
            <w:tcBorders>
              <w:top w:val="nil"/>
              <w:left w:val="nil"/>
              <w:bottom w:val="single" w:sz="4" w:space="0" w:color="auto"/>
              <w:right w:val="single" w:sz="4" w:space="0" w:color="auto"/>
            </w:tcBorders>
            <w:shd w:val="clear" w:color="auto" w:fill="auto"/>
            <w:vAlign w:val="bottom"/>
            <w:hideMark/>
          </w:tcPr>
          <w:p w14:paraId="37A1B035"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0,008</w:t>
            </w:r>
          </w:p>
        </w:tc>
        <w:tc>
          <w:tcPr>
            <w:tcW w:w="2552" w:type="dxa"/>
            <w:tcBorders>
              <w:top w:val="nil"/>
              <w:left w:val="nil"/>
              <w:bottom w:val="single" w:sz="4" w:space="0" w:color="auto"/>
              <w:right w:val="single" w:sz="4" w:space="0" w:color="auto"/>
            </w:tcBorders>
            <w:shd w:val="clear" w:color="auto" w:fill="auto"/>
            <w:noWrap/>
            <w:vAlign w:val="bottom"/>
            <w:hideMark/>
          </w:tcPr>
          <w:p w14:paraId="50F1A849"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0,011</w:t>
            </w:r>
          </w:p>
        </w:tc>
        <w:tc>
          <w:tcPr>
            <w:tcW w:w="1217" w:type="dxa"/>
            <w:tcBorders>
              <w:top w:val="nil"/>
              <w:left w:val="nil"/>
              <w:bottom w:val="single" w:sz="4" w:space="0" w:color="auto"/>
              <w:right w:val="single" w:sz="4" w:space="0" w:color="auto"/>
            </w:tcBorders>
            <w:shd w:val="clear" w:color="auto" w:fill="auto"/>
            <w:noWrap/>
            <w:vAlign w:val="bottom"/>
            <w:hideMark/>
          </w:tcPr>
          <w:p w14:paraId="61D1D9DA"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331</w:t>
            </w:r>
          </w:p>
        </w:tc>
        <w:tc>
          <w:tcPr>
            <w:tcW w:w="1213" w:type="dxa"/>
            <w:tcBorders>
              <w:top w:val="nil"/>
              <w:left w:val="nil"/>
              <w:bottom w:val="single" w:sz="4" w:space="0" w:color="auto"/>
              <w:right w:val="single" w:sz="4" w:space="0" w:color="auto"/>
            </w:tcBorders>
            <w:shd w:val="clear" w:color="auto" w:fill="auto"/>
            <w:noWrap/>
            <w:vAlign w:val="bottom"/>
            <w:hideMark/>
          </w:tcPr>
          <w:p w14:paraId="4A9F5829"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354</w:t>
            </w:r>
          </w:p>
        </w:tc>
        <w:tc>
          <w:tcPr>
            <w:tcW w:w="1260" w:type="dxa"/>
            <w:tcBorders>
              <w:top w:val="nil"/>
              <w:left w:val="nil"/>
              <w:bottom w:val="single" w:sz="4" w:space="0" w:color="auto"/>
              <w:right w:val="single" w:sz="4" w:space="0" w:color="auto"/>
            </w:tcBorders>
            <w:shd w:val="clear" w:color="auto" w:fill="auto"/>
            <w:noWrap/>
            <w:vAlign w:val="bottom"/>
            <w:hideMark/>
          </w:tcPr>
          <w:p w14:paraId="5E06002C"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685</w:t>
            </w:r>
          </w:p>
        </w:tc>
      </w:tr>
      <w:tr w:rsidR="00E12D19" w:rsidRPr="00065280" w14:paraId="210EAB30"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189830B6"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Alemania</w:t>
            </w:r>
          </w:p>
        </w:tc>
        <w:tc>
          <w:tcPr>
            <w:tcW w:w="1138" w:type="dxa"/>
            <w:tcBorders>
              <w:top w:val="nil"/>
              <w:left w:val="nil"/>
              <w:bottom w:val="single" w:sz="4" w:space="0" w:color="auto"/>
              <w:right w:val="single" w:sz="4" w:space="0" w:color="auto"/>
            </w:tcBorders>
            <w:shd w:val="clear" w:color="auto" w:fill="auto"/>
            <w:vAlign w:val="bottom"/>
          </w:tcPr>
          <w:p w14:paraId="219166D3"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6,111</w:t>
            </w:r>
          </w:p>
        </w:tc>
        <w:tc>
          <w:tcPr>
            <w:tcW w:w="2552" w:type="dxa"/>
            <w:tcBorders>
              <w:top w:val="nil"/>
              <w:left w:val="nil"/>
              <w:bottom w:val="single" w:sz="4" w:space="0" w:color="auto"/>
              <w:right w:val="single" w:sz="4" w:space="0" w:color="auto"/>
            </w:tcBorders>
            <w:shd w:val="clear" w:color="auto" w:fill="auto"/>
            <w:noWrap/>
            <w:vAlign w:val="bottom"/>
          </w:tcPr>
          <w:p w14:paraId="622262AD"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8,627</w:t>
            </w:r>
          </w:p>
        </w:tc>
        <w:tc>
          <w:tcPr>
            <w:tcW w:w="1217" w:type="dxa"/>
            <w:tcBorders>
              <w:top w:val="nil"/>
              <w:left w:val="nil"/>
              <w:bottom w:val="single" w:sz="4" w:space="0" w:color="auto"/>
              <w:right w:val="single" w:sz="4" w:space="0" w:color="auto"/>
            </w:tcBorders>
            <w:shd w:val="clear" w:color="auto" w:fill="auto"/>
            <w:noWrap/>
            <w:vAlign w:val="bottom"/>
          </w:tcPr>
          <w:p w14:paraId="5C305F43"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253 038</w:t>
            </w:r>
          </w:p>
        </w:tc>
        <w:tc>
          <w:tcPr>
            <w:tcW w:w="1213" w:type="dxa"/>
            <w:tcBorders>
              <w:top w:val="nil"/>
              <w:left w:val="nil"/>
              <w:bottom w:val="single" w:sz="4" w:space="0" w:color="auto"/>
              <w:right w:val="single" w:sz="4" w:space="0" w:color="auto"/>
            </w:tcBorders>
            <w:shd w:val="clear" w:color="auto" w:fill="auto"/>
            <w:noWrap/>
            <w:vAlign w:val="bottom"/>
          </w:tcPr>
          <w:p w14:paraId="46C37411"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270 351</w:t>
            </w:r>
          </w:p>
        </w:tc>
        <w:tc>
          <w:tcPr>
            <w:tcW w:w="1260" w:type="dxa"/>
            <w:tcBorders>
              <w:top w:val="nil"/>
              <w:left w:val="nil"/>
              <w:bottom w:val="single" w:sz="4" w:space="0" w:color="auto"/>
              <w:right w:val="single" w:sz="4" w:space="0" w:color="auto"/>
            </w:tcBorders>
            <w:shd w:val="clear" w:color="auto" w:fill="auto"/>
            <w:noWrap/>
            <w:vAlign w:val="bottom"/>
          </w:tcPr>
          <w:p w14:paraId="53488B23"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523 389</w:t>
            </w:r>
          </w:p>
        </w:tc>
      </w:tr>
      <w:tr w:rsidR="00E12D19" w:rsidRPr="00065280" w14:paraId="67F267E8"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4ACA1260"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Angola</w:t>
            </w:r>
          </w:p>
        </w:tc>
        <w:tc>
          <w:tcPr>
            <w:tcW w:w="1138" w:type="dxa"/>
            <w:tcBorders>
              <w:top w:val="nil"/>
              <w:left w:val="nil"/>
              <w:bottom w:val="single" w:sz="4" w:space="0" w:color="auto"/>
              <w:right w:val="single" w:sz="4" w:space="0" w:color="auto"/>
            </w:tcBorders>
            <w:shd w:val="clear" w:color="auto" w:fill="auto"/>
            <w:vAlign w:val="bottom"/>
          </w:tcPr>
          <w:p w14:paraId="452FC0B8"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0,010</w:t>
            </w:r>
          </w:p>
        </w:tc>
        <w:tc>
          <w:tcPr>
            <w:tcW w:w="2552" w:type="dxa"/>
            <w:tcBorders>
              <w:top w:val="nil"/>
              <w:left w:val="nil"/>
              <w:bottom w:val="single" w:sz="4" w:space="0" w:color="auto"/>
              <w:right w:val="single" w:sz="4" w:space="0" w:color="auto"/>
            </w:tcBorders>
            <w:shd w:val="clear" w:color="auto" w:fill="auto"/>
            <w:noWrap/>
            <w:vAlign w:val="bottom"/>
          </w:tcPr>
          <w:p w14:paraId="5401367F"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0,010</w:t>
            </w:r>
          </w:p>
        </w:tc>
        <w:tc>
          <w:tcPr>
            <w:tcW w:w="1217" w:type="dxa"/>
            <w:tcBorders>
              <w:top w:val="nil"/>
              <w:left w:val="nil"/>
              <w:bottom w:val="single" w:sz="4" w:space="0" w:color="auto"/>
              <w:right w:val="single" w:sz="4" w:space="0" w:color="auto"/>
            </w:tcBorders>
            <w:shd w:val="clear" w:color="auto" w:fill="auto"/>
            <w:noWrap/>
            <w:vAlign w:val="bottom"/>
          </w:tcPr>
          <w:p w14:paraId="4D94964E"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293</w:t>
            </w:r>
          </w:p>
        </w:tc>
        <w:tc>
          <w:tcPr>
            <w:tcW w:w="1213" w:type="dxa"/>
            <w:tcBorders>
              <w:top w:val="nil"/>
              <w:left w:val="nil"/>
              <w:bottom w:val="single" w:sz="4" w:space="0" w:color="auto"/>
              <w:right w:val="single" w:sz="4" w:space="0" w:color="auto"/>
            </w:tcBorders>
            <w:shd w:val="clear" w:color="auto" w:fill="auto"/>
            <w:noWrap/>
            <w:vAlign w:val="bottom"/>
          </w:tcPr>
          <w:p w14:paraId="585704F4"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313</w:t>
            </w:r>
          </w:p>
        </w:tc>
        <w:tc>
          <w:tcPr>
            <w:tcW w:w="1260" w:type="dxa"/>
            <w:tcBorders>
              <w:top w:val="nil"/>
              <w:left w:val="nil"/>
              <w:bottom w:val="single" w:sz="4" w:space="0" w:color="auto"/>
              <w:right w:val="single" w:sz="4" w:space="0" w:color="auto"/>
            </w:tcBorders>
            <w:shd w:val="clear" w:color="auto" w:fill="auto"/>
            <w:noWrap/>
            <w:vAlign w:val="bottom"/>
          </w:tcPr>
          <w:p w14:paraId="1D65DD95"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607</w:t>
            </w:r>
          </w:p>
        </w:tc>
      </w:tr>
      <w:tr w:rsidR="00E12D19" w:rsidRPr="00065280" w14:paraId="7B8DC226"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598913C2"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Antigua y Barbuda</w:t>
            </w:r>
          </w:p>
        </w:tc>
        <w:tc>
          <w:tcPr>
            <w:tcW w:w="1138" w:type="dxa"/>
            <w:tcBorders>
              <w:top w:val="nil"/>
              <w:left w:val="nil"/>
              <w:bottom w:val="single" w:sz="4" w:space="0" w:color="auto"/>
              <w:right w:val="single" w:sz="4" w:space="0" w:color="auto"/>
            </w:tcBorders>
            <w:shd w:val="clear" w:color="auto" w:fill="auto"/>
            <w:vAlign w:val="bottom"/>
          </w:tcPr>
          <w:p w14:paraId="7AC7E991"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0,002</w:t>
            </w:r>
          </w:p>
        </w:tc>
        <w:tc>
          <w:tcPr>
            <w:tcW w:w="2552" w:type="dxa"/>
            <w:tcBorders>
              <w:top w:val="nil"/>
              <w:left w:val="nil"/>
              <w:bottom w:val="single" w:sz="4" w:space="0" w:color="auto"/>
              <w:right w:val="single" w:sz="4" w:space="0" w:color="auto"/>
            </w:tcBorders>
            <w:shd w:val="clear" w:color="auto" w:fill="auto"/>
            <w:noWrap/>
            <w:vAlign w:val="bottom"/>
          </w:tcPr>
          <w:p w14:paraId="625855B0"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0,003</w:t>
            </w:r>
          </w:p>
        </w:tc>
        <w:tc>
          <w:tcPr>
            <w:tcW w:w="1217" w:type="dxa"/>
            <w:tcBorders>
              <w:top w:val="nil"/>
              <w:left w:val="nil"/>
              <w:bottom w:val="single" w:sz="4" w:space="0" w:color="auto"/>
              <w:right w:val="single" w:sz="4" w:space="0" w:color="auto"/>
            </w:tcBorders>
            <w:shd w:val="clear" w:color="auto" w:fill="auto"/>
            <w:noWrap/>
            <w:vAlign w:val="bottom"/>
          </w:tcPr>
          <w:p w14:paraId="71DC1E12"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 xml:space="preserve"> 83</w:t>
            </w:r>
          </w:p>
        </w:tc>
        <w:tc>
          <w:tcPr>
            <w:tcW w:w="1213" w:type="dxa"/>
            <w:tcBorders>
              <w:top w:val="nil"/>
              <w:left w:val="nil"/>
              <w:bottom w:val="single" w:sz="4" w:space="0" w:color="auto"/>
              <w:right w:val="single" w:sz="4" w:space="0" w:color="auto"/>
            </w:tcBorders>
            <w:shd w:val="clear" w:color="auto" w:fill="auto"/>
            <w:noWrap/>
            <w:vAlign w:val="bottom"/>
          </w:tcPr>
          <w:p w14:paraId="247A9047"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 xml:space="preserve"> 88</w:t>
            </w:r>
          </w:p>
        </w:tc>
        <w:tc>
          <w:tcPr>
            <w:tcW w:w="1260" w:type="dxa"/>
            <w:tcBorders>
              <w:top w:val="nil"/>
              <w:left w:val="nil"/>
              <w:bottom w:val="single" w:sz="4" w:space="0" w:color="auto"/>
              <w:right w:val="single" w:sz="4" w:space="0" w:color="auto"/>
            </w:tcBorders>
            <w:shd w:val="clear" w:color="auto" w:fill="auto"/>
            <w:noWrap/>
            <w:vAlign w:val="bottom"/>
          </w:tcPr>
          <w:p w14:paraId="0CFDB176"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171</w:t>
            </w:r>
          </w:p>
        </w:tc>
      </w:tr>
      <w:tr w:rsidR="00E12D19" w:rsidRPr="00065280" w14:paraId="5A70863B"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085E142F"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Arabia Saudita</w:t>
            </w:r>
          </w:p>
        </w:tc>
        <w:tc>
          <w:tcPr>
            <w:tcW w:w="1138" w:type="dxa"/>
            <w:tcBorders>
              <w:top w:val="nil"/>
              <w:left w:val="nil"/>
              <w:bottom w:val="single" w:sz="4" w:space="0" w:color="auto"/>
              <w:right w:val="single" w:sz="4" w:space="0" w:color="auto"/>
            </w:tcBorders>
            <w:shd w:val="clear" w:color="auto" w:fill="auto"/>
            <w:vAlign w:val="bottom"/>
          </w:tcPr>
          <w:p w14:paraId="1C39039A"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1,184</w:t>
            </w:r>
          </w:p>
        </w:tc>
        <w:tc>
          <w:tcPr>
            <w:tcW w:w="2552" w:type="dxa"/>
            <w:tcBorders>
              <w:top w:val="nil"/>
              <w:left w:val="nil"/>
              <w:bottom w:val="single" w:sz="4" w:space="0" w:color="auto"/>
              <w:right w:val="single" w:sz="4" w:space="0" w:color="auto"/>
            </w:tcBorders>
            <w:shd w:val="clear" w:color="auto" w:fill="auto"/>
            <w:noWrap/>
            <w:vAlign w:val="bottom"/>
          </w:tcPr>
          <w:p w14:paraId="524BEB15"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1,671</w:t>
            </w:r>
          </w:p>
        </w:tc>
        <w:tc>
          <w:tcPr>
            <w:tcW w:w="1217" w:type="dxa"/>
            <w:tcBorders>
              <w:top w:val="nil"/>
              <w:left w:val="nil"/>
              <w:bottom w:val="single" w:sz="4" w:space="0" w:color="auto"/>
              <w:right w:val="single" w:sz="4" w:space="0" w:color="auto"/>
            </w:tcBorders>
            <w:shd w:val="clear" w:color="auto" w:fill="auto"/>
            <w:noWrap/>
            <w:vAlign w:val="bottom"/>
          </w:tcPr>
          <w:p w14:paraId="4586710D"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49 026</w:t>
            </w:r>
          </w:p>
        </w:tc>
        <w:tc>
          <w:tcPr>
            <w:tcW w:w="1213" w:type="dxa"/>
            <w:tcBorders>
              <w:top w:val="nil"/>
              <w:left w:val="nil"/>
              <w:bottom w:val="single" w:sz="4" w:space="0" w:color="auto"/>
              <w:right w:val="single" w:sz="4" w:space="0" w:color="auto"/>
            </w:tcBorders>
            <w:shd w:val="clear" w:color="auto" w:fill="auto"/>
            <w:noWrap/>
            <w:vAlign w:val="bottom"/>
          </w:tcPr>
          <w:p w14:paraId="51ABD331"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52 380</w:t>
            </w:r>
          </w:p>
        </w:tc>
        <w:tc>
          <w:tcPr>
            <w:tcW w:w="1260" w:type="dxa"/>
            <w:tcBorders>
              <w:top w:val="nil"/>
              <w:left w:val="nil"/>
              <w:bottom w:val="single" w:sz="4" w:space="0" w:color="auto"/>
              <w:right w:val="single" w:sz="4" w:space="0" w:color="auto"/>
            </w:tcBorders>
            <w:shd w:val="clear" w:color="auto" w:fill="auto"/>
            <w:noWrap/>
            <w:vAlign w:val="bottom"/>
          </w:tcPr>
          <w:p w14:paraId="47D1E5FA"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101 406</w:t>
            </w:r>
          </w:p>
        </w:tc>
      </w:tr>
      <w:tr w:rsidR="00E12D19" w:rsidRPr="00065280" w14:paraId="456A2B94"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9DA5A2E"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 xml:space="preserve">Argelia </w:t>
            </w:r>
          </w:p>
        </w:tc>
        <w:tc>
          <w:tcPr>
            <w:tcW w:w="1138" w:type="dxa"/>
            <w:tcBorders>
              <w:top w:val="nil"/>
              <w:left w:val="nil"/>
              <w:bottom w:val="single" w:sz="4" w:space="0" w:color="auto"/>
              <w:right w:val="single" w:sz="4" w:space="0" w:color="auto"/>
            </w:tcBorders>
            <w:shd w:val="clear" w:color="auto" w:fill="auto"/>
            <w:vAlign w:val="bottom"/>
            <w:hideMark/>
          </w:tcPr>
          <w:p w14:paraId="38C25AE5"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0,109</w:t>
            </w:r>
          </w:p>
        </w:tc>
        <w:tc>
          <w:tcPr>
            <w:tcW w:w="2552" w:type="dxa"/>
            <w:tcBorders>
              <w:top w:val="nil"/>
              <w:left w:val="nil"/>
              <w:bottom w:val="single" w:sz="4" w:space="0" w:color="auto"/>
              <w:right w:val="single" w:sz="4" w:space="0" w:color="auto"/>
            </w:tcBorders>
            <w:shd w:val="clear" w:color="auto" w:fill="auto"/>
            <w:noWrap/>
            <w:vAlign w:val="bottom"/>
            <w:hideMark/>
          </w:tcPr>
          <w:p w14:paraId="1325E846"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0,154</w:t>
            </w:r>
          </w:p>
        </w:tc>
        <w:tc>
          <w:tcPr>
            <w:tcW w:w="1217" w:type="dxa"/>
            <w:tcBorders>
              <w:top w:val="nil"/>
              <w:left w:val="nil"/>
              <w:bottom w:val="single" w:sz="4" w:space="0" w:color="auto"/>
              <w:right w:val="single" w:sz="4" w:space="0" w:color="auto"/>
            </w:tcBorders>
            <w:shd w:val="clear" w:color="auto" w:fill="auto"/>
            <w:noWrap/>
            <w:vAlign w:val="bottom"/>
            <w:hideMark/>
          </w:tcPr>
          <w:p w14:paraId="304C7A2E"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4 513</w:t>
            </w:r>
          </w:p>
        </w:tc>
        <w:tc>
          <w:tcPr>
            <w:tcW w:w="1213" w:type="dxa"/>
            <w:tcBorders>
              <w:top w:val="nil"/>
              <w:left w:val="nil"/>
              <w:bottom w:val="single" w:sz="4" w:space="0" w:color="auto"/>
              <w:right w:val="single" w:sz="4" w:space="0" w:color="auto"/>
            </w:tcBorders>
            <w:shd w:val="clear" w:color="auto" w:fill="auto"/>
            <w:noWrap/>
            <w:vAlign w:val="bottom"/>
            <w:hideMark/>
          </w:tcPr>
          <w:p w14:paraId="00F80BC2"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4 822</w:t>
            </w:r>
          </w:p>
        </w:tc>
        <w:tc>
          <w:tcPr>
            <w:tcW w:w="1260" w:type="dxa"/>
            <w:tcBorders>
              <w:top w:val="nil"/>
              <w:left w:val="nil"/>
              <w:bottom w:val="single" w:sz="4" w:space="0" w:color="auto"/>
              <w:right w:val="single" w:sz="4" w:space="0" w:color="auto"/>
            </w:tcBorders>
            <w:shd w:val="clear" w:color="auto" w:fill="auto"/>
            <w:noWrap/>
            <w:vAlign w:val="bottom"/>
            <w:hideMark/>
          </w:tcPr>
          <w:p w14:paraId="46E7CB2C"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9 336</w:t>
            </w:r>
          </w:p>
        </w:tc>
      </w:tr>
      <w:tr w:rsidR="00E12D19" w:rsidRPr="00065280" w14:paraId="0E57BA9A"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516B4D8"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Armenia</w:t>
            </w:r>
          </w:p>
        </w:tc>
        <w:tc>
          <w:tcPr>
            <w:tcW w:w="1138" w:type="dxa"/>
            <w:tcBorders>
              <w:top w:val="nil"/>
              <w:left w:val="nil"/>
              <w:bottom w:val="single" w:sz="4" w:space="0" w:color="auto"/>
              <w:right w:val="single" w:sz="4" w:space="0" w:color="auto"/>
            </w:tcBorders>
            <w:shd w:val="clear" w:color="auto" w:fill="auto"/>
            <w:vAlign w:val="bottom"/>
            <w:hideMark/>
          </w:tcPr>
          <w:p w14:paraId="23248169"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0,007</w:t>
            </w:r>
          </w:p>
        </w:tc>
        <w:tc>
          <w:tcPr>
            <w:tcW w:w="2552" w:type="dxa"/>
            <w:tcBorders>
              <w:top w:val="nil"/>
              <w:left w:val="nil"/>
              <w:bottom w:val="single" w:sz="4" w:space="0" w:color="auto"/>
              <w:right w:val="single" w:sz="4" w:space="0" w:color="auto"/>
            </w:tcBorders>
            <w:shd w:val="clear" w:color="auto" w:fill="auto"/>
            <w:noWrap/>
            <w:vAlign w:val="bottom"/>
            <w:hideMark/>
          </w:tcPr>
          <w:p w14:paraId="4A8562CC"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7A2C1B26"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290</w:t>
            </w:r>
          </w:p>
        </w:tc>
        <w:tc>
          <w:tcPr>
            <w:tcW w:w="1213" w:type="dxa"/>
            <w:tcBorders>
              <w:top w:val="nil"/>
              <w:left w:val="nil"/>
              <w:bottom w:val="single" w:sz="4" w:space="0" w:color="auto"/>
              <w:right w:val="single" w:sz="4" w:space="0" w:color="auto"/>
            </w:tcBorders>
            <w:shd w:val="clear" w:color="auto" w:fill="auto"/>
            <w:noWrap/>
            <w:vAlign w:val="bottom"/>
            <w:hideMark/>
          </w:tcPr>
          <w:p w14:paraId="091A885B"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310</w:t>
            </w:r>
          </w:p>
        </w:tc>
        <w:tc>
          <w:tcPr>
            <w:tcW w:w="1260" w:type="dxa"/>
            <w:tcBorders>
              <w:top w:val="nil"/>
              <w:left w:val="nil"/>
              <w:bottom w:val="single" w:sz="4" w:space="0" w:color="auto"/>
              <w:right w:val="single" w:sz="4" w:space="0" w:color="auto"/>
            </w:tcBorders>
            <w:shd w:val="clear" w:color="auto" w:fill="auto"/>
            <w:noWrap/>
            <w:vAlign w:val="bottom"/>
            <w:hideMark/>
          </w:tcPr>
          <w:p w14:paraId="59EDAECC"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600</w:t>
            </w:r>
          </w:p>
        </w:tc>
      </w:tr>
      <w:tr w:rsidR="00E12D19" w:rsidRPr="00065280" w14:paraId="6DBFAF0A"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69E6E66"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Austria</w:t>
            </w:r>
          </w:p>
        </w:tc>
        <w:tc>
          <w:tcPr>
            <w:tcW w:w="1138" w:type="dxa"/>
            <w:tcBorders>
              <w:top w:val="nil"/>
              <w:left w:val="nil"/>
              <w:bottom w:val="single" w:sz="4" w:space="0" w:color="auto"/>
              <w:right w:val="single" w:sz="4" w:space="0" w:color="auto"/>
            </w:tcBorders>
            <w:shd w:val="clear" w:color="auto" w:fill="auto"/>
            <w:vAlign w:val="bottom"/>
            <w:hideMark/>
          </w:tcPr>
          <w:p w14:paraId="16FE31B3"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0,679</w:t>
            </w:r>
          </w:p>
        </w:tc>
        <w:tc>
          <w:tcPr>
            <w:tcW w:w="2552" w:type="dxa"/>
            <w:tcBorders>
              <w:top w:val="nil"/>
              <w:left w:val="nil"/>
              <w:bottom w:val="single" w:sz="4" w:space="0" w:color="auto"/>
              <w:right w:val="single" w:sz="4" w:space="0" w:color="auto"/>
            </w:tcBorders>
            <w:shd w:val="clear" w:color="auto" w:fill="auto"/>
            <w:noWrap/>
            <w:vAlign w:val="bottom"/>
            <w:hideMark/>
          </w:tcPr>
          <w:p w14:paraId="30C5500F"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0,959</w:t>
            </w:r>
          </w:p>
        </w:tc>
        <w:tc>
          <w:tcPr>
            <w:tcW w:w="1217" w:type="dxa"/>
            <w:tcBorders>
              <w:top w:val="nil"/>
              <w:left w:val="nil"/>
              <w:bottom w:val="single" w:sz="4" w:space="0" w:color="auto"/>
              <w:right w:val="single" w:sz="4" w:space="0" w:color="auto"/>
            </w:tcBorders>
            <w:shd w:val="clear" w:color="auto" w:fill="auto"/>
            <w:noWrap/>
            <w:vAlign w:val="bottom"/>
            <w:hideMark/>
          </w:tcPr>
          <w:p w14:paraId="1C9D137D"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28 115</w:t>
            </w:r>
          </w:p>
        </w:tc>
        <w:tc>
          <w:tcPr>
            <w:tcW w:w="1213" w:type="dxa"/>
            <w:tcBorders>
              <w:top w:val="nil"/>
              <w:left w:val="nil"/>
              <w:bottom w:val="single" w:sz="4" w:space="0" w:color="auto"/>
              <w:right w:val="single" w:sz="4" w:space="0" w:color="auto"/>
            </w:tcBorders>
            <w:shd w:val="clear" w:color="auto" w:fill="auto"/>
            <w:noWrap/>
            <w:vAlign w:val="bottom"/>
            <w:hideMark/>
          </w:tcPr>
          <w:p w14:paraId="51015330"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30 039</w:t>
            </w:r>
          </w:p>
        </w:tc>
        <w:tc>
          <w:tcPr>
            <w:tcW w:w="1260" w:type="dxa"/>
            <w:tcBorders>
              <w:top w:val="nil"/>
              <w:left w:val="nil"/>
              <w:bottom w:val="single" w:sz="4" w:space="0" w:color="auto"/>
              <w:right w:val="single" w:sz="4" w:space="0" w:color="auto"/>
            </w:tcBorders>
            <w:shd w:val="clear" w:color="auto" w:fill="auto"/>
            <w:noWrap/>
            <w:vAlign w:val="bottom"/>
            <w:hideMark/>
          </w:tcPr>
          <w:p w14:paraId="3AE13BCB"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58 154</w:t>
            </w:r>
          </w:p>
        </w:tc>
      </w:tr>
      <w:tr w:rsidR="00E12D19" w:rsidRPr="00065280" w14:paraId="287D22C6"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DAAF9BB"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Azerbaiyán</w:t>
            </w:r>
          </w:p>
        </w:tc>
        <w:tc>
          <w:tcPr>
            <w:tcW w:w="1138" w:type="dxa"/>
            <w:tcBorders>
              <w:top w:val="nil"/>
              <w:left w:val="nil"/>
              <w:bottom w:val="single" w:sz="4" w:space="0" w:color="auto"/>
              <w:right w:val="single" w:sz="4" w:space="0" w:color="auto"/>
            </w:tcBorders>
            <w:shd w:val="clear" w:color="auto" w:fill="auto"/>
            <w:vAlign w:val="bottom"/>
            <w:hideMark/>
          </w:tcPr>
          <w:p w14:paraId="533B78BD"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0,030</w:t>
            </w:r>
          </w:p>
        </w:tc>
        <w:tc>
          <w:tcPr>
            <w:tcW w:w="2552" w:type="dxa"/>
            <w:tcBorders>
              <w:top w:val="nil"/>
              <w:left w:val="nil"/>
              <w:bottom w:val="single" w:sz="4" w:space="0" w:color="auto"/>
              <w:right w:val="single" w:sz="4" w:space="0" w:color="auto"/>
            </w:tcBorders>
            <w:shd w:val="clear" w:color="auto" w:fill="auto"/>
            <w:noWrap/>
            <w:vAlign w:val="bottom"/>
            <w:hideMark/>
          </w:tcPr>
          <w:p w14:paraId="2B93C39A"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0,042</w:t>
            </w:r>
          </w:p>
        </w:tc>
        <w:tc>
          <w:tcPr>
            <w:tcW w:w="1217" w:type="dxa"/>
            <w:tcBorders>
              <w:top w:val="nil"/>
              <w:left w:val="nil"/>
              <w:bottom w:val="single" w:sz="4" w:space="0" w:color="auto"/>
              <w:right w:val="single" w:sz="4" w:space="0" w:color="auto"/>
            </w:tcBorders>
            <w:shd w:val="clear" w:color="auto" w:fill="auto"/>
            <w:noWrap/>
            <w:vAlign w:val="bottom"/>
            <w:hideMark/>
          </w:tcPr>
          <w:p w14:paraId="5EC3B5B9"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1 242</w:t>
            </w:r>
          </w:p>
        </w:tc>
        <w:tc>
          <w:tcPr>
            <w:tcW w:w="1213" w:type="dxa"/>
            <w:tcBorders>
              <w:top w:val="nil"/>
              <w:left w:val="nil"/>
              <w:bottom w:val="single" w:sz="4" w:space="0" w:color="auto"/>
              <w:right w:val="single" w:sz="4" w:space="0" w:color="auto"/>
            </w:tcBorders>
            <w:shd w:val="clear" w:color="auto" w:fill="auto"/>
            <w:noWrap/>
            <w:vAlign w:val="bottom"/>
            <w:hideMark/>
          </w:tcPr>
          <w:p w14:paraId="151F5EB0"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1 327</w:t>
            </w:r>
          </w:p>
        </w:tc>
        <w:tc>
          <w:tcPr>
            <w:tcW w:w="1260" w:type="dxa"/>
            <w:tcBorders>
              <w:top w:val="nil"/>
              <w:left w:val="nil"/>
              <w:bottom w:val="single" w:sz="4" w:space="0" w:color="auto"/>
              <w:right w:val="single" w:sz="4" w:space="0" w:color="auto"/>
            </w:tcBorders>
            <w:shd w:val="clear" w:color="auto" w:fill="auto"/>
            <w:noWrap/>
            <w:vAlign w:val="bottom"/>
            <w:hideMark/>
          </w:tcPr>
          <w:p w14:paraId="6F804FAA"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2 569</w:t>
            </w:r>
          </w:p>
        </w:tc>
      </w:tr>
      <w:tr w:rsidR="00E12D19" w:rsidRPr="00065280" w14:paraId="48D5AA33"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3ABBCB3"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Bahamas</w:t>
            </w:r>
          </w:p>
        </w:tc>
        <w:tc>
          <w:tcPr>
            <w:tcW w:w="1138" w:type="dxa"/>
            <w:tcBorders>
              <w:top w:val="nil"/>
              <w:left w:val="nil"/>
              <w:bottom w:val="single" w:sz="4" w:space="0" w:color="auto"/>
              <w:right w:val="single" w:sz="4" w:space="0" w:color="auto"/>
            </w:tcBorders>
            <w:shd w:val="clear" w:color="auto" w:fill="auto"/>
            <w:vAlign w:val="bottom"/>
            <w:hideMark/>
          </w:tcPr>
          <w:p w14:paraId="4E7316C3"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0,019</w:t>
            </w:r>
          </w:p>
        </w:tc>
        <w:tc>
          <w:tcPr>
            <w:tcW w:w="2552" w:type="dxa"/>
            <w:tcBorders>
              <w:top w:val="nil"/>
              <w:left w:val="nil"/>
              <w:bottom w:val="single" w:sz="4" w:space="0" w:color="auto"/>
              <w:right w:val="single" w:sz="4" w:space="0" w:color="auto"/>
            </w:tcBorders>
            <w:shd w:val="clear" w:color="auto" w:fill="auto"/>
            <w:noWrap/>
            <w:vAlign w:val="bottom"/>
            <w:hideMark/>
          </w:tcPr>
          <w:p w14:paraId="303D1AB8"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0,027</w:t>
            </w:r>
          </w:p>
        </w:tc>
        <w:tc>
          <w:tcPr>
            <w:tcW w:w="1217" w:type="dxa"/>
            <w:tcBorders>
              <w:top w:val="nil"/>
              <w:left w:val="nil"/>
              <w:bottom w:val="single" w:sz="4" w:space="0" w:color="auto"/>
              <w:right w:val="single" w:sz="4" w:space="0" w:color="auto"/>
            </w:tcBorders>
            <w:shd w:val="clear" w:color="auto" w:fill="auto"/>
            <w:noWrap/>
            <w:vAlign w:val="bottom"/>
            <w:hideMark/>
          </w:tcPr>
          <w:p w14:paraId="3336E38E"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787</w:t>
            </w:r>
          </w:p>
        </w:tc>
        <w:tc>
          <w:tcPr>
            <w:tcW w:w="1213" w:type="dxa"/>
            <w:tcBorders>
              <w:top w:val="nil"/>
              <w:left w:val="nil"/>
              <w:bottom w:val="single" w:sz="4" w:space="0" w:color="auto"/>
              <w:right w:val="single" w:sz="4" w:space="0" w:color="auto"/>
            </w:tcBorders>
            <w:shd w:val="clear" w:color="auto" w:fill="auto"/>
            <w:noWrap/>
            <w:vAlign w:val="bottom"/>
            <w:hideMark/>
          </w:tcPr>
          <w:p w14:paraId="5BC488D7"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841</w:t>
            </w:r>
          </w:p>
        </w:tc>
        <w:tc>
          <w:tcPr>
            <w:tcW w:w="1260" w:type="dxa"/>
            <w:tcBorders>
              <w:top w:val="nil"/>
              <w:left w:val="nil"/>
              <w:bottom w:val="single" w:sz="4" w:space="0" w:color="auto"/>
              <w:right w:val="single" w:sz="4" w:space="0" w:color="auto"/>
            </w:tcBorders>
            <w:shd w:val="clear" w:color="auto" w:fill="auto"/>
            <w:noWrap/>
            <w:vAlign w:val="bottom"/>
            <w:hideMark/>
          </w:tcPr>
          <w:p w14:paraId="1DC27A2C"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1 627</w:t>
            </w:r>
          </w:p>
        </w:tc>
      </w:tr>
      <w:tr w:rsidR="00E12D19" w:rsidRPr="00065280" w14:paraId="38765704"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7EF338E"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Bahrein</w:t>
            </w:r>
          </w:p>
        </w:tc>
        <w:tc>
          <w:tcPr>
            <w:tcW w:w="1138" w:type="dxa"/>
            <w:tcBorders>
              <w:top w:val="nil"/>
              <w:left w:val="nil"/>
              <w:bottom w:val="single" w:sz="4" w:space="0" w:color="auto"/>
              <w:right w:val="single" w:sz="4" w:space="0" w:color="auto"/>
            </w:tcBorders>
            <w:shd w:val="clear" w:color="auto" w:fill="auto"/>
            <w:vAlign w:val="bottom"/>
            <w:hideMark/>
          </w:tcPr>
          <w:p w14:paraId="3E999DEF"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0,054</w:t>
            </w:r>
          </w:p>
        </w:tc>
        <w:tc>
          <w:tcPr>
            <w:tcW w:w="2552" w:type="dxa"/>
            <w:tcBorders>
              <w:top w:val="nil"/>
              <w:left w:val="nil"/>
              <w:bottom w:val="single" w:sz="4" w:space="0" w:color="auto"/>
              <w:right w:val="single" w:sz="4" w:space="0" w:color="auto"/>
            </w:tcBorders>
            <w:shd w:val="clear" w:color="auto" w:fill="auto"/>
            <w:noWrap/>
            <w:vAlign w:val="bottom"/>
            <w:hideMark/>
          </w:tcPr>
          <w:p w14:paraId="264CC161"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0,076</w:t>
            </w:r>
          </w:p>
        </w:tc>
        <w:tc>
          <w:tcPr>
            <w:tcW w:w="1217" w:type="dxa"/>
            <w:tcBorders>
              <w:top w:val="nil"/>
              <w:left w:val="nil"/>
              <w:bottom w:val="single" w:sz="4" w:space="0" w:color="auto"/>
              <w:right w:val="single" w:sz="4" w:space="0" w:color="auto"/>
            </w:tcBorders>
            <w:shd w:val="clear" w:color="auto" w:fill="auto"/>
            <w:noWrap/>
            <w:vAlign w:val="bottom"/>
            <w:hideMark/>
          </w:tcPr>
          <w:p w14:paraId="69A35AC3"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2 236</w:t>
            </w:r>
          </w:p>
        </w:tc>
        <w:tc>
          <w:tcPr>
            <w:tcW w:w="1213" w:type="dxa"/>
            <w:tcBorders>
              <w:top w:val="nil"/>
              <w:left w:val="nil"/>
              <w:bottom w:val="single" w:sz="4" w:space="0" w:color="auto"/>
              <w:right w:val="single" w:sz="4" w:space="0" w:color="auto"/>
            </w:tcBorders>
            <w:shd w:val="clear" w:color="auto" w:fill="auto"/>
            <w:noWrap/>
            <w:vAlign w:val="bottom"/>
            <w:hideMark/>
          </w:tcPr>
          <w:p w14:paraId="3ADDD158"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2 389</w:t>
            </w:r>
          </w:p>
        </w:tc>
        <w:tc>
          <w:tcPr>
            <w:tcW w:w="1260" w:type="dxa"/>
            <w:tcBorders>
              <w:top w:val="nil"/>
              <w:left w:val="nil"/>
              <w:bottom w:val="single" w:sz="4" w:space="0" w:color="auto"/>
              <w:right w:val="single" w:sz="4" w:space="0" w:color="auto"/>
            </w:tcBorders>
            <w:shd w:val="clear" w:color="auto" w:fill="auto"/>
            <w:noWrap/>
            <w:vAlign w:val="bottom"/>
            <w:hideMark/>
          </w:tcPr>
          <w:p w14:paraId="6AB4E306"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4 625</w:t>
            </w:r>
          </w:p>
        </w:tc>
      </w:tr>
      <w:tr w:rsidR="00E12D19" w:rsidRPr="00065280" w14:paraId="7942A9FA"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EF4F544"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Bangladesh</w:t>
            </w:r>
          </w:p>
        </w:tc>
        <w:tc>
          <w:tcPr>
            <w:tcW w:w="1138" w:type="dxa"/>
            <w:tcBorders>
              <w:top w:val="nil"/>
              <w:left w:val="nil"/>
              <w:bottom w:val="single" w:sz="4" w:space="0" w:color="auto"/>
              <w:right w:val="single" w:sz="4" w:space="0" w:color="auto"/>
            </w:tcBorders>
            <w:shd w:val="clear" w:color="auto" w:fill="auto"/>
            <w:vAlign w:val="bottom"/>
            <w:hideMark/>
          </w:tcPr>
          <w:p w14:paraId="0672101E"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0,010</w:t>
            </w:r>
          </w:p>
        </w:tc>
        <w:tc>
          <w:tcPr>
            <w:tcW w:w="2552" w:type="dxa"/>
            <w:tcBorders>
              <w:top w:val="nil"/>
              <w:left w:val="nil"/>
              <w:bottom w:val="single" w:sz="4" w:space="0" w:color="auto"/>
              <w:right w:val="single" w:sz="4" w:space="0" w:color="auto"/>
            </w:tcBorders>
            <w:shd w:val="clear" w:color="auto" w:fill="auto"/>
            <w:noWrap/>
            <w:vAlign w:val="bottom"/>
            <w:hideMark/>
          </w:tcPr>
          <w:p w14:paraId="60E0FD47"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32617758"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602C29AF"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1947F9B1"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607</w:t>
            </w:r>
          </w:p>
        </w:tc>
      </w:tr>
      <w:tr w:rsidR="00E12D19" w:rsidRPr="00065280" w14:paraId="7651D7DE"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D7FE23F"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Barbados</w:t>
            </w:r>
          </w:p>
        </w:tc>
        <w:tc>
          <w:tcPr>
            <w:tcW w:w="1138" w:type="dxa"/>
            <w:tcBorders>
              <w:top w:val="nil"/>
              <w:left w:val="nil"/>
              <w:bottom w:val="single" w:sz="4" w:space="0" w:color="auto"/>
              <w:right w:val="single" w:sz="4" w:space="0" w:color="auto"/>
            </w:tcBorders>
            <w:shd w:val="clear" w:color="auto" w:fill="auto"/>
            <w:vAlign w:val="bottom"/>
            <w:hideMark/>
          </w:tcPr>
          <w:p w14:paraId="7E173944"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0,008</w:t>
            </w:r>
          </w:p>
        </w:tc>
        <w:tc>
          <w:tcPr>
            <w:tcW w:w="2552" w:type="dxa"/>
            <w:tcBorders>
              <w:top w:val="nil"/>
              <w:left w:val="nil"/>
              <w:bottom w:val="single" w:sz="4" w:space="0" w:color="auto"/>
              <w:right w:val="single" w:sz="4" w:space="0" w:color="auto"/>
            </w:tcBorders>
            <w:shd w:val="clear" w:color="auto" w:fill="auto"/>
            <w:noWrap/>
            <w:vAlign w:val="bottom"/>
            <w:hideMark/>
          </w:tcPr>
          <w:p w14:paraId="5BFCD040"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0,011</w:t>
            </w:r>
          </w:p>
        </w:tc>
        <w:tc>
          <w:tcPr>
            <w:tcW w:w="1217" w:type="dxa"/>
            <w:tcBorders>
              <w:top w:val="nil"/>
              <w:left w:val="nil"/>
              <w:bottom w:val="single" w:sz="4" w:space="0" w:color="auto"/>
              <w:right w:val="single" w:sz="4" w:space="0" w:color="auto"/>
            </w:tcBorders>
            <w:shd w:val="clear" w:color="auto" w:fill="auto"/>
            <w:noWrap/>
            <w:vAlign w:val="bottom"/>
            <w:hideMark/>
          </w:tcPr>
          <w:p w14:paraId="0CCE0C7B"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331</w:t>
            </w:r>
          </w:p>
        </w:tc>
        <w:tc>
          <w:tcPr>
            <w:tcW w:w="1213" w:type="dxa"/>
            <w:tcBorders>
              <w:top w:val="nil"/>
              <w:left w:val="nil"/>
              <w:bottom w:val="single" w:sz="4" w:space="0" w:color="auto"/>
              <w:right w:val="single" w:sz="4" w:space="0" w:color="auto"/>
            </w:tcBorders>
            <w:shd w:val="clear" w:color="auto" w:fill="auto"/>
            <w:noWrap/>
            <w:vAlign w:val="bottom"/>
            <w:hideMark/>
          </w:tcPr>
          <w:p w14:paraId="57C18D5E"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354</w:t>
            </w:r>
          </w:p>
        </w:tc>
        <w:tc>
          <w:tcPr>
            <w:tcW w:w="1260" w:type="dxa"/>
            <w:tcBorders>
              <w:top w:val="nil"/>
              <w:left w:val="nil"/>
              <w:bottom w:val="single" w:sz="4" w:space="0" w:color="auto"/>
              <w:right w:val="single" w:sz="4" w:space="0" w:color="auto"/>
            </w:tcBorders>
            <w:shd w:val="clear" w:color="auto" w:fill="auto"/>
            <w:noWrap/>
            <w:vAlign w:val="bottom"/>
            <w:hideMark/>
          </w:tcPr>
          <w:p w14:paraId="37594250"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685</w:t>
            </w:r>
          </w:p>
        </w:tc>
      </w:tr>
      <w:tr w:rsidR="00E12D19" w:rsidRPr="00065280" w14:paraId="4DB5AE2F"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CD35390"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Belarús</w:t>
            </w:r>
          </w:p>
        </w:tc>
        <w:tc>
          <w:tcPr>
            <w:tcW w:w="1138" w:type="dxa"/>
            <w:tcBorders>
              <w:top w:val="nil"/>
              <w:left w:val="nil"/>
              <w:bottom w:val="single" w:sz="4" w:space="0" w:color="auto"/>
              <w:right w:val="single" w:sz="4" w:space="0" w:color="auto"/>
            </w:tcBorders>
            <w:shd w:val="clear" w:color="auto" w:fill="auto"/>
            <w:vAlign w:val="bottom"/>
            <w:hideMark/>
          </w:tcPr>
          <w:p w14:paraId="12399528"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0,041</w:t>
            </w:r>
          </w:p>
        </w:tc>
        <w:tc>
          <w:tcPr>
            <w:tcW w:w="2552" w:type="dxa"/>
            <w:tcBorders>
              <w:top w:val="nil"/>
              <w:left w:val="nil"/>
              <w:bottom w:val="single" w:sz="4" w:space="0" w:color="auto"/>
              <w:right w:val="single" w:sz="4" w:space="0" w:color="auto"/>
            </w:tcBorders>
            <w:shd w:val="clear" w:color="auto" w:fill="auto"/>
            <w:noWrap/>
            <w:vAlign w:val="bottom"/>
            <w:hideMark/>
          </w:tcPr>
          <w:p w14:paraId="461BCAD7"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0,058</w:t>
            </w:r>
          </w:p>
        </w:tc>
        <w:tc>
          <w:tcPr>
            <w:tcW w:w="1217" w:type="dxa"/>
            <w:tcBorders>
              <w:top w:val="nil"/>
              <w:left w:val="nil"/>
              <w:bottom w:val="single" w:sz="4" w:space="0" w:color="auto"/>
              <w:right w:val="single" w:sz="4" w:space="0" w:color="auto"/>
            </w:tcBorders>
            <w:shd w:val="clear" w:color="auto" w:fill="auto"/>
            <w:noWrap/>
            <w:vAlign w:val="bottom"/>
            <w:hideMark/>
          </w:tcPr>
          <w:p w14:paraId="3341737F"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1 698</w:t>
            </w:r>
          </w:p>
        </w:tc>
        <w:tc>
          <w:tcPr>
            <w:tcW w:w="1213" w:type="dxa"/>
            <w:tcBorders>
              <w:top w:val="nil"/>
              <w:left w:val="nil"/>
              <w:bottom w:val="single" w:sz="4" w:space="0" w:color="auto"/>
              <w:right w:val="single" w:sz="4" w:space="0" w:color="auto"/>
            </w:tcBorders>
            <w:shd w:val="clear" w:color="auto" w:fill="auto"/>
            <w:noWrap/>
            <w:vAlign w:val="bottom"/>
            <w:hideMark/>
          </w:tcPr>
          <w:p w14:paraId="70F89D5C"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1 814</w:t>
            </w:r>
          </w:p>
        </w:tc>
        <w:tc>
          <w:tcPr>
            <w:tcW w:w="1260" w:type="dxa"/>
            <w:tcBorders>
              <w:top w:val="nil"/>
              <w:left w:val="nil"/>
              <w:bottom w:val="single" w:sz="4" w:space="0" w:color="auto"/>
              <w:right w:val="single" w:sz="4" w:space="0" w:color="auto"/>
            </w:tcBorders>
            <w:shd w:val="clear" w:color="auto" w:fill="auto"/>
            <w:noWrap/>
            <w:vAlign w:val="bottom"/>
            <w:hideMark/>
          </w:tcPr>
          <w:p w14:paraId="0CB9C48B"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3 512</w:t>
            </w:r>
          </w:p>
        </w:tc>
      </w:tr>
      <w:tr w:rsidR="00E12D19" w:rsidRPr="00065280" w14:paraId="391625FB"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DE828ED"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Bélgica</w:t>
            </w:r>
          </w:p>
        </w:tc>
        <w:tc>
          <w:tcPr>
            <w:tcW w:w="1138" w:type="dxa"/>
            <w:tcBorders>
              <w:top w:val="nil"/>
              <w:left w:val="nil"/>
              <w:bottom w:val="single" w:sz="4" w:space="0" w:color="auto"/>
              <w:right w:val="single" w:sz="4" w:space="0" w:color="auto"/>
            </w:tcBorders>
            <w:shd w:val="clear" w:color="auto" w:fill="auto"/>
            <w:vAlign w:val="bottom"/>
            <w:hideMark/>
          </w:tcPr>
          <w:p w14:paraId="5E76DC7F"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0,828</w:t>
            </w:r>
          </w:p>
        </w:tc>
        <w:tc>
          <w:tcPr>
            <w:tcW w:w="2552" w:type="dxa"/>
            <w:tcBorders>
              <w:top w:val="nil"/>
              <w:left w:val="nil"/>
              <w:bottom w:val="single" w:sz="4" w:space="0" w:color="auto"/>
              <w:right w:val="single" w:sz="4" w:space="0" w:color="auto"/>
            </w:tcBorders>
            <w:shd w:val="clear" w:color="auto" w:fill="auto"/>
            <w:noWrap/>
            <w:vAlign w:val="bottom"/>
            <w:hideMark/>
          </w:tcPr>
          <w:p w14:paraId="10F5CA28"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1,169</w:t>
            </w:r>
          </w:p>
        </w:tc>
        <w:tc>
          <w:tcPr>
            <w:tcW w:w="1217" w:type="dxa"/>
            <w:tcBorders>
              <w:top w:val="nil"/>
              <w:left w:val="nil"/>
              <w:bottom w:val="single" w:sz="4" w:space="0" w:color="auto"/>
              <w:right w:val="single" w:sz="4" w:space="0" w:color="auto"/>
            </w:tcBorders>
            <w:shd w:val="clear" w:color="auto" w:fill="auto"/>
            <w:noWrap/>
            <w:vAlign w:val="bottom"/>
            <w:hideMark/>
          </w:tcPr>
          <w:p w14:paraId="40592817"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34 285</w:t>
            </w:r>
          </w:p>
        </w:tc>
        <w:tc>
          <w:tcPr>
            <w:tcW w:w="1213" w:type="dxa"/>
            <w:tcBorders>
              <w:top w:val="nil"/>
              <w:left w:val="nil"/>
              <w:bottom w:val="single" w:sz="4" w:space="0" w:color="auto"/>
              <w:right w:val="single" w:sz="4" w:space="0" w:color="auto"/>
            </w:tcBorders>
            <w:shd w:val="clear" w:color="auto" w:fill="auto"/>
            <w:noWrap/>
            <w:vAlign w:val="bottom"/>
            <w:hideMark/>
          </w:tcPr>
          <w:p w14:paraId="3763BFBD"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36 631</w:t>
            </w:r>
          </w:p>
        </w:tc>
        <w:tc>
          <w:tcPr>
            <w:tcW w:w="1260" w:type="dxa"/>
            <w:tcBorders>
              <w:top w:val="nil"/>
              <w:left w:val="nil"/>
              <w:bottom w:val="single" w:sz="4" w:space="0" w:color="auto"/>
              <w:right w:val="single" w:sz="4" w:space="0" w:color="auto"/>
            </w:tcBorders>
            <w:shd w:val="clear" w:color="auto" w:fill="auto"/>
            <w:noWrap/>
            <w:vAlign w:val="bottom"/>
            <w:hideMark/>
          </w:tcPr>
          <w:p w14:paraId="08BF9725"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70 916</w:t>
            </w:r>
          </w:p>
        </w:tc>
      </w:tr>
      <w:tr w:rsidR="00E12D19" w:rsidRPr="00065280" w14:paraId="281B934E"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1BBE939"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Belice</w:t>
            </w:r>
          </w:p>
        </w:tc>
        <w:tc>
          <w:tcPr>
            <w:tcW w:w="1138" w:type="dxa"/>
            <w:tcBorders>
              <w:top w:val="nil"/>
              <w:left w:val="nil"/>
              <w:bottom w:val="single" w:sz="4" w:space="0" w:color="auto"/>
              <w:right w:val="single" w:sz="4" w:space="0" w:color="auto"/>
            </w:tcBorders>
            <w:shd w:val="clear" w:color="auto" w:fill="auto"/>
            <w:vAlign w:val="bottom"/>
            <w:hideMark/>
          </w:tcPr>
          <w:p w14:paraId="40EEFDC8"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2B8AC5D6"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05D476F7"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 xml:space="preserve"> 41</w:t>
            </w:r>
          </w:p>
        </w:tc>
        <w:tc>
          <w:tcPr>
            <w:tcW w:w="1213" w:type="dxa"/>
            <w:tcBorders>
              <w:top w:val="nil"/>
              <w:left w:val="nil"/>
              <w:bottom w:val="single" w:sz="4" w:space="0" w:color="auto"/>
              <w:right w:val="single" w:sz="4" w:space="0" w:color="auto"/>
            </w:tcBorders>
            <w:shd w:val="clear" w:color="auto" w:fill="auto"/>
            <w:noWrap/>
            <w:vAlign w:val="bottom"/>
            <w:hideMark/>
          </w:tcPr>
          <w:p w14:paraId="42E49B80"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 xml:space="preserve"> 44</w:t>
            </w:r>
          </w:p>
        </w:tc>
        <w:tc>
          <w:tcPr>
            <w:tcW w:w="1260" w:type="dxa"/>
            <w:tcBorders>
              <w:top w:val="nil"/>
              <w:left w:val="nil"/>
              <w:bottom w:val="single" w:sz="4" w:space="0" w:color="auto"/>
              <w:right w:val="single" w:sz="4" w:space="0" w:color="auto"/>
            </w:tcBorders>
            <w:shd w:val="clear" w:color="auto" w:fill="auto"/>
            <w:noWrap/>
            <w:vAlign w:val="bottom"/>
            <w:hideMark/>
          </w:tcPr>
          <w:p w14:paraId="572E5910"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86</w:t>
            </w:r>
          </w:p>
        </w:tc>
      </w:tr>
      <w:tr w:rsidR="00E12D19" w:rsidRPr="00065280" w14:paraId="7278BF7D"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4EEDEAB"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Benin</w:t>
            </w:r>
          </w:p>
        </w:tc>
        <w:tc>
          <w:tcPr>
            <w:tcW w:w="1138" w:type="dxa"/>
            <w:tcBorders>
              <w:top w:val="nil"/>
              <w:left w:val="nil"/>
              <w:bottom w:val="single" w:sz="4" w:space="0" w:color="auto"/>
              <w:right w:val="single" w:sz="4" w:space="0" w:color="auto"/>
            </w:tcBorders>
            <w:shd w:val="clear" w:color="auto" w:fill="auto"/>
            <w:vAlign w:val="bottom"/>
            <w:hideMark/>
          </w:tcPr>
          <w:p w14:paraId="1AE11CF7"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0,005</w:t>
            </w:r>
          </w:p>
        </w:tc>
        <w:tc>
          <w:tcPr>
            <w:tcW w:w="2552" w:type="dxa"/>
            <w:tcBorders>
              <w:top w:val="nil"/>
              <w:left w:val="nil"/>
              <w:bottom w:val="single" w:sz="4" w:space="0" w:color="auto"/>
              <w:right w:val="single" w:sz="4" w:space="0" w:color="auto"/>
            </w:tcBorders>
            <w:shd w:val="clear" w:color="auto" w:fill="auto"/>
            <w:noWrap/>
            <w:vAlign w:val="bottom"/>
            <w:hideMark/>
          </w:tcPr>
          <w:p w14:paraId="4920F736"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0,007</w:t>
            </w:r>
          </w:p>
        </w:tc>
        <w:tc>
          <w:tcPr>
            <w:tcW w:w="1217" w:type="dxa"/>
            <w:tcBorders>
              <w:top w:val="nil"/>
              <w:left w:val="nil"/>
              <w:bottom w:val="single" w:sz="4" w:space="0" w:color="auto"/>
              <w:right w:val="single" w:sz="4" w:space="0" w:color="auto"/>
            </w:tcBorders>
            <w:shd w:val="clear" w:color="auto" w:fill="auto"/>
            <w:noWrap/>
            <w:vAlign w:val="bottom"/>
            <w:hideMark/>
          </w:tcPr>
          <w:p w14:paraId="10B8B766"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207</w:t>
            </w:r>
          </w:p>
        </w:tc>
        <w:tc>
          <w:tcPr>
            <w:tcW w:w="1213" w:type="dxa"/>
            <w:tcBorders>
              <w:top w:val="nil"/>
              <w:left w:val="nil"/>
              <w:bottom w:val="single" w:sz="4" w:space="0" w:color="auto"/>
              <w:right w:val="single" w:sz="4" w:space="0" w:color="auto"/>
            </w:tcBorders>
            <w:shd w:val="clear" w:color="auto" w:fill="auto"/>
            <w:noWrap/>
            <w:vAlign w:val="bottom"/>
            <w:hideMark/>
          </w:tcPr>
          <w:p w14:paraId="1960834C"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221</w:t>
            </w:r>
          </w:p>
        </w:tc>
        <w:tc>
          <w:tcPr>
            <w:tcW w:w="1260" w:type="dxa"/>
            <w:tcBorders>
              <w:top w:val="nil"/>
              <w:left w:val="nil"/>
              <w:bottom w:val="single" w:sz="4" w:space="0" w:color="auto"/>
              <w:right w:val="single" w:sz="4" w:space="0" w:color="auto"/>
            </w:tcBorders>
            <w:shd w:val="clear" w:color="auto" w:fill="auto"/>
            <w:noWrap/>
            <w:vAlign w:val="bottom"/>
            <w:hideMark/>
          </w:tcPr>
          <w:p w14:paraId="2699B9C7"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428</w:t>
            </w:r>
          </w:p>
        </w:tc>
      </w:tr>
      <w:tr w:rsidR="00E12D19" w:rsidRPr="00065280" w14:paraId="3041DB5F"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D570118"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Bhután</w:t>
            </w:r>
          </w:p>
        </w:tc>
        <w:tc>
          <w:tcPr>
            <w:tcW w:w="1138" w:type="dxa"/>
            <w:tcBorders>
              <w:top w:val="nil"/>
              <w:left w:val="nil"/>
              <w:bottom w:val="single" w:sz="4" w:space="0" w:color="auto"/>
              <w:right w:val="single" w:sz="4" w:space="0" w:color="auto"/>
            </w:tcBorders>
            <w:shd w:val="clear" w:color="auto" w:fill="auto"/>
            <w:vAlign w:val="bottom"/>
            <w:hideMark/>
          </w:tcPr>
          <w:p w14:paraId="2DD1B1BD"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609C6617"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6B0576AA"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4BA650B1"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467276BC"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86</w:t>
            </w:r>
          </w:p>
        </w:tc>
      </w:tr>
      <w:tr w:rsidR="00E12D19" w:rsidRPr="00065280" w14:paraId="5FA17D0E" w14:textId="77777777" w:rsidTr="00E824E6">
        <w:trPr>
          <w:trHeight w:val="456"/>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9899384" w14:textId="77777777" w:rsidR="00E12D19" w:rsidRPr="00065280" w:rsidRDefault="00E12D19" w:rsidP="00E824E6">
            <w:pPr>
              <w:tabs>
                <w:tab w:val="clear" w:pos="567"/>
                <w:tab w:val="left" w:pos="178"/>
                <w:tab w:val="left" w:pos="2835"/>
                <w:tab w:val="left" w:pos="3402"/>
              </w:tabs>
              <w:ind w:left="144" w:hanging="144"/>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Bolivia (Estado Plurinacional de)</w:t>
            </w:r>
          </w:p>
        </w:tc>
        <w:tc>
          <w:tcPr>
            <w:tcW w:w="1138" w:type="dxa"/>
            <w:tcBorders>
              <w:top w:val="nil"/>
              <w:left w:val="nil"/>
              <w:bottom w:val="single" w:sz="4" w:space="0" w:color="auto"/>
              <w:right w:val="single" w:sz="4" w:space="0" w:color="auto"/>
            </w:tcBorders>
            <w:shd w:val="clear" w:color="auto" w:fill="auto"/>
            <w:vAlign w:val="bottom"/>
            <w:hideMark/>
          </w:tcPr>
          <w:p w14:paraId="5DED1E25"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0,019</w:t>
            </w:r>
          </w:p>
        </w:tc>
        <w:tc>
          <w:tcPr>
            <w:tcW w:w="2552" w:type="dxa"/>
            <w:tcBorders>
              <w:top w:val="nil"/>
              <w:left w:val="nil"/>
              <w:bottom w:val="single" w:sz="4" w:space="0" w:color="auto"/>
              <w:right w:val="single" w:sz="4" w:space="0" w:color="auto"/>
            </w:tcBorders>
            <w:shd w:val="clear" w:color="auto" w:fill="auto"/>
            <w:noWrap/>
            <w:vAlign w:val="bottom"/>
            <w:hideMark/>
          </w:tcPr>
          <w:p w14:paraId="6CAA608F"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0,027</w:t>
            </w:r>
          </w:p>
        </w:tc>
        <w:tc>
          <w:tcPr>
            <w:tcW w:w="1217" w:type="dxa"/>
            <w:tcBorders>
              <w:top w:val="nil"/>
              <w:left w:val="nil"/>
              <w:bottom w:val="single" w:sz="4" w:space="0" w:color="auto"/>
              <w:right w:val="single" w:sz="4" w:space="0" w:color="auto"/>
            </w:tcBorders>
            <w:shd w:val="clear" w:color="auto" w:fill="auto"/>
            <w:noWrap/>
            <w:vAlign w:val="bottom"/>
            <w:hideMark/>
          </w:tcPr>
          <w:p w14:paraId="5F473619"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787</w:t>
            </w:r>
          </w:p>
        </w:tc>
        <w:tc>
          <w:tcPr>
            <w:tcW w:w="1213" w:type="dxa"/>
            <w:tcBorders>
              <w:top w:val="nil"/>
              <w:left w:val="nil"/>
              <w:bottom w:val="single" w:sz="4" w:space="0" w:color="auto"/>
              <w:right w:val="single" w:sz="4" w:space="0" w:color="auto"/>
            </w:tcBorders>
            <w:shd w:val="clear" w:color="auto" w:fill="auto"/>
            <w:noWrap/>
            <w:vAlign w:val="bottom"/>
            <w:hideMark/>
          </w:tcPr>
          <w:p w14:paraId="49F34981"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841</w:t>
            </w:r>
          </w:p>
        </w:tc>
        <w:tc>
          <w:tcPr>
            <w:tcW w:w="1260" w:type="dxa"/>
            <w:tcBorders>
              <w:top w:val="nil"/>
              <w:left w:val="nil"/>
              <w:bottom w:val="single" w:sz="4" w:space="0" w:color="auto"/>
              <w:right w:val="single" w:sz="4" w:space="0" w:color="auto"/>
            </w:tcBorders>
            <w:shd w:val="clear" w:color="auto" w:fill="auto"/>
            <w:noWrap/>
            <w:vAlign w:val="bottom"/>
            <w:hideMark/>
          </w:tcPr>
          <w:p w14:paraId="1557AD56"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1 627</w:t>
            </w:r>
          </w:p>
        </w:tc>
      </w:tr>
      <w:tr w:rsidR="00E12D19" w:rsidRPr="00065280" w14:paraId="088E5BE4"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147607F"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Bosnia y Herzegovina</w:t>
            </w:r>
          </w:p>
        </w:tc>
        <w:tc>
          <w:tcPr>
            <w:tcW w:w="1138" w:type="dxa"/>
            <w:tcBorders>
              <w:top w:val="nil"/>
              <w:left w:val="nil"/>
              <w:bottom w:val="single" w:sz="4" w:space="0" w:color="auto"/>
              <w:right w:val="single" w:sz="4" w:space="0" w:color="auto"/>
            </w:tcBorders>
            <w:shd w:val="clear" w:color="auto" w:fill="auto"/>
            <w:vAlign w:val="bottom"/>
            <w:hideMark/>
          </w:tcPr>
          <w:p w14:paraId="3A4DBCE2"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0,012</w:t>
            </w:r>
          </w:p>
        </w:tc>
        <w:tc>
          <w:tcPr>
            <w:tcW w:w="2552" w:type="dxa"/>
            <w:tcBorders>
              <w:top w:val="nil"/>
              <w:left w:val="nil"/>
              <w:bottom w:val="single" w:sz="4" w:space="0" w:color="auto"/>
              <w:right w:val="single" w:sz="4" w:space="0" w:color="auto"/>
            </w:tcBorders>
            <w:shd w:val="clear" w:color="auto" w:fill="auto"/>
            <w:noWrap/>
            <w:vAlign w:val="bottom"/>
            <w:hideMark/>
          </w:tcPr>
          <w:p w14:paraId="5353EE49"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0,017</w:t>
            </w:r>
          </w:p>
        </w:tc>
        <w:tc>
          <w:tcPr>
            <w:tcW w:w="1217" w:type="dxa"/>
            <w:tcBorders>
              <w:top w:val="nil"/>
              <w:left w:val="nil"/>
              <w:bottom w:val="single" w:sz="4" w:space="0" w:color="auto"/>
              <w:right w:val="single" w:sz="4" w:space="0" w:color="auto"/>
            </w:tcBorders>
            <w:shd w:val="clear" w:color="auto" w:fill="auto"/>
            <w:noWrap/>
            <w:vAlign w:val="bottom"/>
            <w:hideMark/>
          </w:tcPr>
          <w:p w14:paraId="55E94B99"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497</w:t>
            </w:r>
          </w:p>
        </w:tc>
        <w:tc>
          <w:tcPr>
            <w:tcW w:w="1213" w:type="dxa"/>
            <w:tcBorders>
              <w:top w:val="nil"/>
              <w:left w:val="nil"/>
              <w:bottom w:val="single" w:sz="4" w:space="0" w:color="auto"/>
              <w:right w:val="single" w:sz="4" w:space="0" w:color="auto"/>
            </w:tcBorders>
            <w:shd w:val="clear" w:color="auto" w:fill="auto"/>
            <w:noWrap/>
            <w:vAlign w:val="bottom"/>
            <w:hideMark/>
          </w:tcPr>
          <w:p w14:paraId="720607B1"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531</w:t>
            </w:r>
          </w:p>
        </w:tc>
        <w:tc>
          <w:tcPr>
            <w:tcW w:w="1260" w:type="dxa"/>
            <w:tcBorders>
              <w:top w:val="nil"/>
              <w:left w:val="nil"/>
              <w:bottom w:val="single" w:sz="4" w:space="0" w:color="auto"/>
              <w:right w:val="single" w:sz="4" w:space="0" w:color="auto"/>
            </w:tcBorders>
            <w:shd w:val="clear" w:color="auto" w:fill="auto"/>
            <w:noWrap/>
            <w:vAlign w:val="bottom"/>
            <w:hideMark/>
          </w:tcPr>
          <w:p w14:paraId="6C620CB5"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1 028</w:t>
            </w:r>
          </w:p>
        </w:tc>
      </w:tr>
      <w:tr w:rsidR="00E12D19" w:rsidRPr="00065280" w14:paraId="3A409892"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867EF1A"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Botswana</w:t>
            </w:r>
          </w:p>
        </w:tc>
        <w:tc>
          <w:tcPr>
            <w:tcW w:w="1138" w:type="dxa"/>
            <w:tcBorders>
              <w:top w:val="nil"/>
              <w:left w:val="nil"/>
              <w:bottom w:val="single" w:sz="4" w:space="0" w:color="auto"/>
              <w:right w:val="single" w:sz="4" w:space="0" w:color="auto"/>
            </w:tcBorders>
            <w:shd w:val="clear" w:color="auto" w:fill="auto"/>
            <w:vAlign w:val="bottom"/>
            <w:hideMark/>
          </w:tcPr>
          <w:p w14:paraId="264C97E8"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0,015</w:t>
            </w:r>
          </w:p>
        </w:tc>
        <w:tc>
          <w:tcPr>
            <w:tcW w:w="2552" w:type="dxa"/>
            <w:tcBorders>
              <w:top w:val="nil"/>
              <w:left w:val="nil"/>
              <w:bottom w:val="single" w:sz="4" w:space="0" w:color="auto"/>
              <w:right w:val="single" w:sz="4" w:space="0" w:color="auto"/>
            </w:tcBorders>
            <w:shd w:val="clear" w:color="auto" w:fill="auto"/>
            <w:noWrap/>
            <w:vAlign w:val="bottom"/>
            <w:hideMark/>
          </w:tcPr>
          <w:p w14:paraId="636C627D"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0,021</w:t>
            </w:r>
          </w:p>
        </w:tc>
        <w:tc>
          <w:tcPr>
            <w:tcW w:w="1217" w:type="dxa"/>
            <w:tcBorders>
              <w:top w:val="nil"/>
              <w:left w:val="nil"/>
              <w:bottom w:val="single" w:sz="4" w:space="0" w:color="auto"/>
              <w:right w:val="single" w:sz="4" w:space="0" w:color="auto"/>
            </w:tcBorders>
            <w:shd w:val="clear" w:color="auto" w:fill="auto"/>
            <w:noWrap/>
            <w:vAlign w:val="bottom"/>
            <w:hideMark/>
          </w:tcPr>
          <w:p w14:paraId="500B52FD"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621</w:t>
            </w:r>
          </w:p>
        </w:tc>
        <w:tc>
          <w:tcPr>
            <w:tcW w:w="1213" w:type="dxa"/>
            <w:tcBorders>
              <w:top w:val="nil"/>
              <w:left w:val="nil"/>
              <w:bottom w:val="single" w:sz="4" w:space="0" w:color="auto"/>
              <w:right w:val="single" w:sz="4" w:space="0" w:color="auto"/>
            </w:tcBorders>
            <w:shd w:val="clear" w:color="auto" w:fill="auto"/>
            <w:noWrap/>
            <w:vAlign w:val="bottom"/>
            <w:hideMark/>
          </w:tcPr>
          <w:p w14:paraId="5D7B9E3B"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664</w:t>
            </w:r>
          </w:p>
        </w:tc>
        <w:tc>
          <w:tcPr>
            <w:tcW w:w="1260" w:type="dxa"/>
            <w:tcBorders>
              <w:top w:val="nil"/>
              <w:left w:val="nil"/>
              <w:bottom w:val="single" w:sz="4" w:space="0" w:color="auto"/>
              <w:right w:val="single" w:sz="4" w:space="0" w:color="auto"/>
            </w:tcBorders>
            <w:shd w:val="clear" w:color="auto" w:fill="auto"/>
            <w:noWrap/>
            <w:vAlign w:val="bottom"/>
            <w:hideMark/>
          </w:tcPr>
          <w:p w14:paraId="6A7233F8"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1 285</w:t>
            </w:r>
          </w:p>
        </w:tc>
      </w:tr>
      <w:tr w:rsidR="00E12D19" w:rsidRPr="00065280" w14:paraId="1C9F4E51"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B29ECF5"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Brasil</w:t>
            </w:r>
          </w:p>
        </w:tc>
        <w:tc>
          <w:tcPr>
            <w:tcW w:w="1138" w:type="dxa"/>
            <w:tcBorders>
              <w:top w:val="nil"/>
              <w:left w:val="nil"/>
              <w:bottom w:val="single" w:sz="4" w:space="0" w:color="auto"/>
              <w:right w:val="single" w:sz="4" w:space="0" w:color="auto"/>
            </w:tcBorders>
            <w:shd w:val="clear" w:color="auto" w:fill="auto"/>
            <w:vAlign w:val="bottom"/>
            <w:hideMark/>
          </w:tcPr>
          <w:p w14:paraId="72745DA0"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2,013</w:t>
            </w:r>
          </w:p>
        </w:tc>
        <w:tc>
          <w:tcPr>
            <w:tcW w:w="2552" w:type="dxa"/>
            <w:tcBorders>
              <w:top w:val="nil"/>
              <w:left w:val="nil"/>
              <w:bottom w:val="single" w:sz="4" w:space="0" w:color="auto"/>
              <w:right w:val="single" w:sz="4" w:space="0" w:color="auto"/>
            </w:tcBorders>
            <w:shd w:val="clear" w:color="auto" w:fill="auto"/>
            <w:noWrap/>
            <w:vAlign w:val="bottom"/>
            <w:hideMark/>
          </w:tcPr>
          <w:p w14:paraId="7538AF2B"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2,842</w:t>
            </w:r>
          </w:p>
        </w:tc>
        <w:tc>
          <w:tcPr>
            <w:tcW w:w="1217" w:type="dxa"/>
            <w:tcBorders>
              <w:top w:val="nil"/>
              <w:left w:val="nil"/>
              <w:bottom w:val="single" w:sz="4" w:space="0" w:color="auto"/>
              <w:right w:val="single" w:sz="4" w:space="0" w:color="auto"/>
            </w:tcBorders>
            <w:shd w:val="clear" w:color="auto" w:fill="auto"/>
            <w:noWrap/>
            <w:vAlign w:val="bottom"/>
            <w:hideMark/>
          </w:tcPr>
          <w:p w14:paraId="1AA50221"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83 352</w:t>
            </w:r>
          </w:p>
        </w:tc>
        <w:tc>
          <w:tcPr>
            <w:tcW w:w="1213" w:type="dxa"/>
            <w:tcBorders>
              <w:top w:val="nil"/>
              <w:left w:val="nil"/>
              <w:bottom w:val="single" w:sz="4" w:space="0" w:color="auto"/>
              <w:right w:val="single" w:sz="4" w:space="0" w:color="auto"/>
            </w:tcBorders>
            <w:shd w:val="clear" w:color="auto" w:fill="auto"/>
            <w:noWrap/>
            <w:vAlign w:val="bottom"/>
            <w:hideMark/>
          </w:tcPr>
          <w:p w14:paraId="474F690E"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89 055</w:t>
            </w:r>
          </w:p>
        </w:tc>
        <w:tc>
          <w:tcPr>
            <w:tcW w:w="1260" w:type="dxa"/>
            <w:tcBorders>
              <w:top w:val="nil"/>
              <w:left w:val="nil"/>
              <w:bottom w:val="single" w:sz="4" w:space="0" w:color="auto"/>
              <w:right w:val="single" w:sz="4" w:space="0" w:color="auto"/>
            </w:tcBorders>
            <w:shd w:val="clear" w:color="auto" w:fill="auto"/>
            <w:noWrap/>
            <w:vAlign w:val="bottom"/>
            <w:hideMark/>
          </w:tcPr>
          <w:p w14:paraId="4C7E1959"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172 408</w:t>
            </w:r>
          </w:p>
        </w:tc>
      </w:tr>
      <w:tr w:rsidR="00E12D19" w:rsidRPr="00065280" w14:paraId="2F184087"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68C2AE1"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Bulgaria</w:t>
            </w:r>
          </w:p>
        </w:tc>
        <w:tc>
          <w:tcPr>
            <w:tcW w:w="1138" w:type="dxa"/>
            <w:tcBorders>
              <w:top w:val="nil"/>
              <w:left w:val="nil"/>
              <w:bottom w:val="single" w:sz="4" w:space="0" w:color="auto"/>
              <w:right w:val="single" w:sz="4" w:space="0" w:color="auto"/>
            </w:tcBorders>
            <w:shd w:val="clear" w:color="auto" w:fill="auto"/>
            <w:vAlign w:val="bottom"/>
            <w:hideMark/>
          </w:tcPr>
          <w:p w14:paraId="6A55CF14"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0,056</w:t>
            </w:r>
          </w:p>
        </w:tc>
        <w:tc>
          <w:tcPr>
            <w:tcW w:w="2552" w:type="dxa"/>
            <w:tcBorders>
              <w:top w:val="nil"/>
              <w:left w:val="nil"/>
              <w:bottom w:val="single" w:sz="4" w:space="0" w:color="auto"/>
              <w:right w:val="single" w:sz="4" w:space="0" w:color="auto"/>
            </w:tcBorders>
            <w:shd w:val="clear" w:color="auto" w:fill="auto"/>
            <w:noWrap/>
            <w:vAlign w:val="bottom"/>
            <w:hideMark/>
          </w:tcPr>
          <w:p w14:paraId="78F62E32"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0,079</w:t>
            </w:r>
          </w:p>
        </w:tc>
        <w:tc>
          <w:tcPr>
            <w:tcW w:w="1217" w:type="dxa"/>
            <w:tcBorders>
              <w:top w:val="nil"/>
              <w:left w:val="nil"/>
              <w:bottom w:val="single" w:sz="4" w:space="0" w:color="auto"/>
              <w:right w:val="single" w:sz="4" w:space="0" w:color="auto"/>
            </w:tcBorders>
            <w:shd w:val="clear" w:color="auto" w:fill="auto"/>
            <w:noWrap/>
            <w:vAlign w:val="bottom"/>
            <w:hideMark/>
          </w:tcPr>
          <w:p w14:paraId="17571EA4"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2 319</w:t>
            </w:r>
          </w:p>
        </w:tc>
        <w:tc>
          <w:tcPr>
            <w:tcW w:w="1213" w:type="dxa"/>
            <w:tcBorders>
              <w:top w:val="nil"/>
              <w:left w:val="nil"/>
              <w:bottom w:val="single" w:sz="4" w:space="0" w:color="auto"/>
              <w:right w:val="single" w:sz="4" w:space="0" w:color="auto"/>
            </w:tcBorders>
            <w:shd w:val="clear" w:color="auto" w:fill="auto"/>
            <w:noWrap/>
            <w:vAlign w:val="bottom"/>
            <w:hideMark/>
          </w:tcPr>
          <w:p w14:paraId="043F3167"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2 477</w:t>
            </w:r>
          </w:p>
        </w:tc>
        <w:tc>
          <w:tcPr>
            <w:tcW w:w="1260" w:type="dxa"/>
            <w:tcBorders>
              <w:top w:val="nil"/>
              <w:left w:val="nil"/>
              <w:bottom w:val="single" w:sz="4" w:space="0" w:color="auto"/>
              <w:right w:val="single" w:sz="4" w:space="0" w:color="auto"/>
            </w:tcBorders>
            <w:shd w:val="clear" w:color="auto" w:fill="auto"/>
            <w:noWrap/>
            <w:vAlign w:val="bottom"/>
            <w:hideMark/>
          </w:tcPr>
          <w:p w14:paraId="0756FC43"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4 796</w:t>
            </w:r>
          </w:p>
        </w:tc>
      </w:tr>
      <w:tr w:rsidR="00E12D19" w:rsidRPr="00065280" w14:paraId="3B9DF829"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07038A2"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Burkina Faso</w:t>
            </w:r>
          </w:p>
        </w:tc>
        <w:tc>
          <w:tcPr>
            <w:tcW w:w="1138" w:type="dxa"/>
            <w:tcBorders>
              <w:top w:val="nil"/>
              <w:left w:val="nil"/>
              <w:bottom w:val="single" w:sz="4" w:space="0" w:color="auto"/>
              <w:right w:val="single" w:sz="4" w:space="0" w:color="auto"/>
            </w:tcBorders>
            <w:shd w:val="clear" w:color="auto" w:fill="auto"/>
            <w:vAlign w:val="bottom"/>
            <w:hideMark/>
          </w:tcPr>
          <w:p w14:paraId="7C398487"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0,004</w:t>
            </w:r>
          </w:p>
        </w:tc>
        <w:tc>
          <w:tcPr>
            <w:tcW w:w="2552" w:type="dxa"/>
            <w:tcBorders>
              <w:top w:val="nil"/>
              <w:left w:val="nil"/>
              <w:bottom w:val="single" w:sz="4" w:space="0" w:color="auto"/>
              <w:right w:val="single" w:sz="4" w:space="0" w:color="auto"/>
            </w:tcBorders>
            <w:shd w:val="clear" w:color="auto" w:fill="auto"/>
            <w:noWrap/>
            <w:vAlign w:val="bottom"/>
            <w:hideMark/>
          </w:tcPr>
          <w:p w14:paraId="459E1B8A"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0,006</w:t>
            </w:r>
          </w:p>
        </w:tc>
        <w:tc>
          <w:tcPr>
            <w:tcW w:w="1217" w:type="dxa"/>
            <w:tcBorders>
              <w:top w:val="nil"/>
              <w:left w:val="nil"/>
              <w:bottom w:val="single" w:sz="4" w:space="0" w:color="auto"/>
              <w:right w:val="single" w:sz="4" w:space="0" w:color="auto"/>
            </w:tcBorders>
            <w:shd w:val="clear" w:color="auto" w:fill="auto"/>
            <w:noWrap/>
            <w:vAlign w:val="bottom"/>
            <w:hideMark/>
          </w:tcPr>
          <w:p w14:paraId="5D935792"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166</w:t>
            </w:r>
          </w:p>
        </w:tc>
        <w:tc>
          <w:tcPr>
            <w:tcW w:w="1213" w:type="dxa"/>
            <w:tcBorders>
              <w:top w:val="nil"/>
              <w:left w:val="nil"/>
              <w:bottom w:val="single" w:sz="4" w:space="0" w:color="auto"/>
              <w:right w:val="single" w:sz="4" w:space="0" w:color="auto"/>
            </w:tcBorders>
            <w:shd w:val="clear" w:color="auto" w:fill="auto"/>
            <w:noWrap/>
            <w:vAlign w:val="bottom"/>
            <w:hideMark/>
          </w:tcPr>
          <w:p w14:paraId="78935F17"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177</w:t>
            </w:r>
          </w:p>
        </w:tc>
        <w:tc>
          <w:tcPr>
            <w:tcW w:w="1260" w:type="dxa"/>
            <w:tcBorders>
              <w:top w:val="nil"/>
              <w:left w:val="nil"/>
              <w:bottom w:val="single" w:sz="4" w:space="0" w:color="auto"/>
              <w:right w:val="single" w:sz="4" w:space="0" w:color="auto"/>
            </w:tcBorders>
            <w:shd w:val="clear" w:color="auto" w:fill="auto"/>
            <w:noWrap/>
            <w:vAlign w:val="bottom"/>
            <w:hideMark/>
          </w:tcPr>
          <w:p w14:paraId="48B3FA81"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343</w:t>
            </w:r>
          </w:p>
        </w:tc>
      </w:tr>
      <w:tr w:rsidR="00E12D19" w:rsidRPr="00065280" w14:paraId="2F6930D4"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64619CE"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Burundi</w:t>
            </w:r>
          </w:p>
        </w:tc>
        <w:tc>
          <w:tcPr>
            <w:tcW w:w="1138" w:type="dxa"/>
            <w:tcBorders>
              <w:top w:val="nil"/>
              <w:left w:val="nil"/>
              <w:bottom w:val="single" w:sz="4" w:space="0" w:color="auto"/>
              <w:right w:val="single" w:sz="4" w:space="0" w:color="auto"/>
            </w:tcBorders>
            <w:shd w:val="clear" w:color="auto" w:fill="auto"/>
            <w:vAlign w:val="bottom"/>
            <w:hideMark/>
          </w:tcPr>
          <w:p w14:paraId="3A58D6AB"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7D3027FF"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3B7B6596"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07F50064"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5D1CA816"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86</w:t>
            </w:r>
          </w:p>
        </w:tc>
      </w:tr>
      <w:tr w:rsidR="00E12D19" w:rsidRPr="00065280" w14:paraId="7B498751"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18310E0"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Cabo Verde</w:t>
            </w:r>
          </w:p>
        </w:tc>
        <w:tc>
          <w:tcPr>
            <w:tcW w:w="1138" w:type="dxa"/>
            <w:tcBorders>
              <w:top w:val="nil"/>
              <w:left w:val="nil"/>
              <w:bottom w:val="single" w:sz="4" w:space="0" w:color="auto"/>
              <w:right w:val="single" w:sz="4" w:space="0" w:color="auto"/>
            </w:tcBorders>
            <w:shd w:val="clear" w:color="auto" w:fill="auto"/>
            <w:vAlign w:val="bottom"/>
            <w:hideMark/>
          </w:tcPr>
          <w:p w14:paraId="4C2B55BD"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358510F2"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4CE7F339"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796AAD57"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0C88E86E"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86</w:t>
            </w:r>
          </w:p>
        </w:tc>
      </w:tr>
      <w:tr w:rsidR="00E12D19" w:rsidRPr="00065280" w14:paraId="0B32E383"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ED939F1"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Camboya</w:t>
            </w:r>
          </w:p>
        </w:tc>
        <w:tc>
          <w:tcPr>
            <w:tcW w:w="1138" w:type="dxa"/>
            <w:tcBorders>
              <w:top w:val="nil"/>
              <w:left w:val="nil"/>
              <w:bottom w:val="single" w:sz="4" w:space="0" w:color="auto"/>
              <w:right w:val="single" w:sz="4" w:space="0" w:color="auto"/>
            </w:tcBorders>
            <w:shd w:val="clear" w:color="auto" w:fill="auto"/>
            <w:vAlign w:val="bottom"/>
            <w:hideMark/>
          </w:tcPr>
          <w:p w14:paraId="7E90B4C7"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0,007</w:t>
            </w:r>
          </w:p>
        </w:tc>
        <w:tc>
          <w:tcPr>
            <w:tcW w:w="2552" w:type="dxa"/>
            <w:tcBorders>
              <w:top w:val="nil"/>
              <w:left w:val="nil"/>
              <w:bottom w:val="single" w:sz="4" w:space="0" w:color="auto"/>
              <w:right w:val="single" w:sz="4" w:space="0" w:color="auto"/>
            </w:tcBorders>
            <w:shd w:val="clear" w:color="auto" w:fill="auto"/>
            <w:noWrap/>
            <w:vAlign w:val="bottom"/>
            <w:hideMark/>
          </w:tcPr>
          <w:p w14:paraId="10743B85"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561C0F4B"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290</w:t>
            </w:r>
          </w:p>
        </w:tc>
        <w:tc>
          <w:tcPr>
            <w:tcW w:w="1213" w:type="dxa"/>
            <w:tcBorders>
              <w:top w:val="nil"/>
              <w:left w:val="nil"/>
              <w:bottom w:val="single" w:sz="4" w:space="0" w:color="auto"/>
              <w:right w:val="single" w:sz="4" w:space="0" w:color="auto"/>
            </w:tcBorders>
            <w:shd w:val="clear" w:color="auto" w:fill="auto"/>
            <w:noWrap/>
            <w:vAlign w:val="bottom"/>
            <w:hideMark/>
          </w:tcPr>
          <w:p w14:paraId="0D839002"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310</w:t>
            </w:r>
          </w:p>
        </w:tc>
        <w:tc>
          <w:tcPr>
            <w:tcW w:w="1260" w:type="dxa"/>
            <w:tcBorders>
              <w:top w:val="nil"/>
              <w:left w:val="nil"/>
              <w:bottom w:val="single" w:sz="4" w:space="0" w:color="auto"/>
              <w:right w:val="single" w:sz="4" w:space="0" w:color="auto"/>
            </w:tcBorders>
            <w:shd w:val="clear" w:color="auto" w:fill="auto"/>
            <w:noWrap/>
            <w:vAlign w:val="bottom"/>
            <w:hideMark/>
          </w:tcPr>
          <w:p w14:paraId="0B385573"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600</w:t>
            </w:r>
          </w:p>
        </w:tc>
      </w:tr>
      <w:tr w:rsidR="00E12D19" w:rsidRPr="00065280" w14:paraId="5AE83B2D"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A4EDE0D"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Camerún</w:t>
            </w:r>
          </w:p>
        </w:tc>
        <w:tc>
          <w:tcPr>
            <w:tcW w:w="1138" w:type="dxa"/>
            <w:tcBorders>
              <w:top w:val="nil"/>
              <w:left w:val="nil"/>
              <w:bottom w:val="single" w:sz="4" w:space="0" w:color="auto"/>
              <w:right w:val="single" w:sz="4" w:space="0" w:color="auto"/>
            </w:tcBorders>
            <w:shd w:val="clear" w:color="auto" w:fill="auto"/>
            <w:vAlign w:val="bottom"/>
            <w:hideMark/>
          </w:tcPr>
          <w:p w14:paraId="7EA95ACE"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0,013</w:t>
            </w:r>
          </w:p>
        </w:tc>
        <w:tc>
          <w:tcPr>
            <w:tcW w:w="2552" w:type="dxa"/>
            <w:tcBorders>
              <w:top w:val="nil"/>
              <w:left w:val="nil"/>
              <w:bottom w:val="single" w:sz="4" w:space="0" w:color="auto"/>
              <w:right w:val="single" w:sz="4" w:space="0" w:color="auto"/>
            </w:tcBorders>
            <w:shd w:val="clear" w:color="auto" w:fill="auto"/>
            <w:noWrap/>
            <w:vAlign w:val="bottom"/>
            <w:hideMark/>
          </w:tcPr>
          <w:p w14:paraId="420D98FB"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0,018</w:t>
            </w:r>
          </w:p>
        </w:tc>
        <w:tc>
          <w:tcPr>
            <w:tcW w:w="1217" w:type="dxa"/>
            <w:tcBorders>
              <w:top w:val="nil"/>
              <w:left w:val="nil"/>
              <w:bottom w:val="single" w:sz="4" w:space="0" w:color="auto"/>
              <w:right w:val="single" w:sz="4" w:space="0" w:color="auto"/>
            </w:tcBorders>
            <w:shd w:val="clear" w:color="auto" w:fill="auto"/>
            <w:noWrap/>
            <w:vAlign w:val="bottom"/>
            <w:hideMark/>
          </w:tcPr>
          <w:p w14:paraId="1EB2B0AC"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538</w:t>
            </w:r>
          </w:p>
        </w:tc>
        <w:tc>
          <w:tcPr>
            <w:tcW w:w="1213" w:type="dxa"/>
            <w:tcBorders>
              <w:top w:val="nil"/>
              <w:left w:val="nil"/>
              <w:bottom w:val="single" w:sz="4" w:space="0" w:color="auto"/>
              <w:right w:val="single" w:sz="4" w:space="0" w:color="auto"/>
            </w:tcBorders>
            <w:shd w:val="clear" w:color="auto" w:fill="auto"/>
            <w:noWrap/>
            <w:vAlign w:val="bottom"/>
            <w:hideMark/>
          </w:tcPr>
          <w:p w14:paraId="48308802"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575</w:t>
            </w:r>
          </w:p>
        </w:tc>
        <w:tc>
          <w:tcPr>
            <w:tcW w:w="1260" w:type="dxa"/>
            <w:tcBorders>
              <w:top w:val="nil"/>
              <w:left w:val="nil"/>
              <w:bottom w:val="single" w:sz="4" w:space="0" w:color="auto"/>
              <w:right w:val="single" w:sz="4" w:space="0" w:color="auto"/>
            </w:tcBorders>
            <w:shd w:val="clear" w:color="auto" w:fill="auto"/>
            <w:noWrap/>
            <w:vAlign w:val="bottom"/>
            <w:hideMark/>
          </w:tcPr>
          <w:p w14:paraId="08DE802F"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1 113</w:t>
            </w:r>
          </w:p>
        </w:tc>
      </w:tr>
      <w:tr w:rsidR="00E12D19" w:rsidRPr="00065280" w14:paraId="240C4C4E"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A331EB7"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Chad</w:t>
            </w:r>
          </w:p>
        </w:tc>
        <w:tc>
          <w:tcPr>
            <w:tcW w:w="1138" w:type="dxa"/>
            <w:tcBorders>
              <w:top w:val="nil"/>
              <w:left w:val="nil"/>
              <w:bottom w:val="single" w:sz="4" w:space="0" w:color="auto"/>
              <w:right w:val="single" w:sz="4" w:space="0" w:color="auto"/>
            </w:tcBorders>
            <w:shd w:val="clear" w:color="auto" w:fill="auto"/>
            <w:vAlign w:val="bottom"/>
            <w:hideMark/>
          </w:tcPr>
          <w:p w14:paraId="362E2580"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0,003</w:t>
            </w:r>
          </w:p>
        </w:tc>
        <w:tc>
          <w:tcPr>
            <w:tcW w:w="2552" w:type="dxa"/>
            <w:tcBorders>
              <w:top w:val="nil"/>
              <w:left w:val="nil"/>
              <w:bottom w:val="single" w:sz="4" w:space="0" w:color="auto"/>
              <w:right w:val="single" w:sz="4" w:space="0" w:color="auto"/>
            </w:tcBorders>
            <w:shd w:val="clear" w:color="auto" w:fill="auto"/>
            <w:noWrap/>
            <w:vAlign w:val="bottom"/>
            <w:hideMark/>
          </w:tcPr>
          <w:p w14:paraId="2361833B"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0,004</w:t>
            </w:r>
          </w:p>
        </w:tc>
        <w:tc>
          <w:tcPr>
            <w:tcW w:w="1217" w:type="dxa"/>
            <w:tcBorders>
              <w:top w:val="nil"/>
              <w:left w:val="nil"/>
              <w:bottom w:val="single" w:sz="4" w:space="0" w:color="auto"/>
              <w:right w:val="single" w:sz="4" w:space="0" w:color="auto"/>
            </w:tcBorders>
            <w:shd w:val="clear" w:color="auto" w:fill="auto"/>
            <w:noWrap/>
            <w:vAlign w:val="bottom"/>
            <w:hideMark/>
          </w:tcPr>
          <w:p w14:paraId="6EF43F34"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124</w:t>
            </w:r>
          </w:p>
        </w:tc>
        <w:tc>
          <w:tcPr>
            <w:tcW w:w="1213" w:type="dxa"/>
            <w:tcBorders>
              <w:top w:val="nil"/>
              <w:left w:val="nil"/>
              <w:bottom w:val="single" w:sz="4" w:space="0" w:color="auto"/>
              <w:right w:val="single" w:sz="4" w:space="0" w:color="auto"/>
            </w:tcBorders>
            <w:shd w:val="clear" w:color="auto" w:fill="auto"/>
            <w:noWrap/>
            <w:vAlign w:val="bottom"/>
            <w:hideMark/>
          </w:tcPr>
          <w:p w14:paraId="2B29A6C0"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133</w:t>
            </w:r>
          </w:p>
        </w:tc>
        <w:tc>
          <w:tcPr>
            <w:tcW w:w="1260" w:type="dxa"/>
            <w:tcBorders>
              <w:top w:val="nil"/>
              <w:left w:val="nil"/>
              <w:bottom w:val="single" w:sz="4" w:space="0" w:color="auto"/>
              <w:right w:val="single" w:sz="4" w:space="0" w:color="auto"/>
            </w:tcBorders>
            <w:shd w:val="clear" w:color="auto" w:fill="auto"/>
            <w:noWrap/>
            <w:vAlign w:val="bottom"/>
            <w:hideMark/>
          </w:tcPr>
          <w:p w14:paraId="77EEED23"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257</w:t>
            </w:r>
          </w:p>
        </w:tc>
      </w:tr>
      <w:tr w:rsidR="00E12D19" w:rsidRPr="00065280" w14:paraId="441A1579"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06D81818"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Chequia</w:t>
            </w:r>
          </w:p>
        </w:tc>
        <w:tc>
          <w:tcPr>
            <w:tcW w:w="1138" w:type="dxa"/>
            <w:tcBorders>
              <w:top w:val="nil"/>
              <w:left w:val="nil"/>
              <w:bottom w:val="single" w:sz="4" w:space="0" w:color="auto"/>
              <w:right w:val="single" w:sz="4" w:space="0" w:color="auto"/>
            </w:tcBorders>
            <w:shd w:val="clear" w:color="auto" w:fill="auto"/>
            <w:vAlign w:val="bottom"/>
          </w:tcPr>
          <w:p w14:paraId="2B20F656"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0,340</w:t>
            </w:r>
          </w:p>
        </w:tc>
        <w:tc>
          <w:tcPr>
            <w:tcW w:w="2552" w:type="dxa"/>
            <w:tcBorders>
              <w:top w:val="nil"/>
              <w:left w:val="nil"/>
              <w:bottom w:val="single" w:sz="4" w:space="0" w:color="auto"/>
              <w:right w:val="single" w:sz="4" w:space="0" w:color="auto"/>
            </w:tcBorders>
            <w:shd w:val="clear" w:color="auto" w:fill="auto"/>
            <w:noWrap/>
            <w:vAlign w:val="bottom"/>
          </w:tcPr>
          <w:p w14:paraId="2A96FBC3"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0,480</w:t>
            </w:r>
          </w:p>
        </w:tc>
        <w:tc>
          <w:tcPr>
            <w:tcW w:w="1217" w:type="dxa"/>
            <w:tcBorders>
              <w:top w:val="nil"/>
              <w:left w:val="nil"/>
              <w:bottom w:val="single" w:sz="4" w:space="0" w:color="auto"/>
              <w:right w:val="single" w:sz="4" w:space="0" w:color="auto"/>
            </w:tcBorders>
            <w:shd w:val="clear" w:color="auto" w:fill="auto"/>
            <w:noWrap/>
            <w:vAlign w:val="bottom"/>
          </w:tcPr>
          <w:p w14:paraId="7D453C5B"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14 078</w:t>
            </w:r>
          </w:p>
        </w:tc>
        <w:tc>
          <w:tcPr>
            <w:tcW w:w="1213" w:type="dxa"/>
            <w:tcBorders>
              <w:top w:val="nil"/>
              <w:left w:val="nil"/>
              <w:bottom w:val="single" w:sz="4" w:space="0" w:color="auto"/>
              <w:right w:val="single" w:sz="4" w:space="0" w:color="auto"/>
            </w:tcBorders>
            <w:shd w:val="clear" w:color="auto" w:fill="auto"/>
            <w:noWrap/>
            <w:vAlign w:val="bottom"/>
          </w:tcPr>
          <w:p w14:paraId="64296B10"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15 042</w:t>
            </w:r>
          </w:p>
        </w:tc>
        <w:tc>
          <w:tcPr>
            <w:tcW w:w="1260" w:type="dxa"/>
            <w:tcBorders>
              <w:top w:val="nil"/>
              <w:left w:val="nil"/>
              <w:bottom w:val="single" w:sz="4" w:space="0" w:color="auto"/>
              <w:right w:val="single" w:sz="4" w:space="0" w:color="auto"/>
            </w:tcBorders>
            <w:shd w:val="clear" w:color="auto" w:fill="auto"/>
            <w:noWrap/>
            <w:vAlign w:val="bottom"/>
          </w:tcPr>
          <w:p w14:paraId="23FD3655"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29 120</w:t>
            </w:r>
          </w:p>
        </w:tc>
      </w:tr>
      <w:tr w:rsidR="00E12D19" w:rsidRPr="00065280" w14:paraId="191EEBC5"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7B69E72"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China</w:t>
            </w:r>
          </w:p>
        </w:tc>
        <w:tc>
          <w:tcPr>
            <w:tcW w:w="1138" w:type="dxa"/>
            <w:tcBorders>
              <w:top w:val="nil"/>
              <w:left w:val="nil"/>
              <w:bottom w:val="single" w:sz="4" w:space="0" w:color="auto"/>
              <w:right w:val="single" w:sz="4" w:space="0" w:color="auto"/>
            </w:tcBorders>
            <w:shd w:val="clear" w:color="auto" w:fill="auto"/>
            <w:vAlign w:val="bottom"/>
            <w:hideMark/>
          </w:tcPr>
          <w:p w14:paraId="73E94CEF"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15,254</w:t>
            </w:r>
          </w:p>
        </w:tc>
        <w:tc>
          <w:tcPr>
            <w:tcW w:w="2552" w:type="dxa"/>
            <w:tcBorders>
              <w:top w:val="nil"/>
              <w:left w:val="nil"/>
              <w:bottom w:val="single" w:sz="4" w:space="0" w:color="auto"/>
              <w:right w:val="single" w:sz="4" w:space="0" w:color="auto"/>
            </w:tcBorders>
            <w:shd w:val="clear" w:color="auto" w:fill="auto"/>
            <w:noWrap/>
            <w:vAlign w:val="bottom"/>
            <w:hideMark/>
          </w:tcPr>
          <w:p w14:paraId="58395EA4"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21,535</w:t>
            </w:r>
          </w:p>
        </w:tc>
        <w:tc>
          <w:tcPr>
            <w:tcW w:w="1217" w:type="dxa"/>
            <w:tcBorders>
              <w:top w:val="nil"/>
              <w:left w:val="nil"/>
              <w:bottom w:val="single" w:sz="4" w:space="0" w:color="auto"/>
              <w:right w:val="single" w:sz="4" w:space="0" w:color="auto"/>
            </w:tcBorders>
            <w:shd w:val="clear" w:color="auto" w:fill="auto"/>
            <w:noWrap/>
            <w:vAlign w:val="bottom"/>
            <w:hideMark/>
          </w:tcPr>
          <w:p w14:paraId="2BF0901F"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631 622</w:t>
            </w:r>
          </w:p>
        </w:tc>
        <w:tc>
          <w:tcPr>
            <w:tcW w:w="1213" w:type="dxa"/>
            <w:tcBorders>
              <w:top w:val="nil"/>
              <w:left w:val="nil"/>
              <w:bottom w:val="single" w:sz="4" w:space="0" w:color="auto"/>
              <w:right w:val="single" w:sz="4" w:space="0" w:color="auto"/>
            </w:tcBorders>
            <w:shd w:val="clear" w:color="auto" w:fill="auto"/>
            <w:noWrap/>
            <w:vAlign w:val="bottom"/>
            <w:hideMark/>
          </w:tcPr>
          <w:p w14:paraId="46D5C73C"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674 839</w:t>
            </w:r>
          </w:p>
        </w:tc>
        <w:tc>
          <w:tcPr>
            <w:tcW w:w="1260" w:type="dxa"/>
            <w:tcBorders>
              <w:top w:val="nil"/>
              <w:left w:val="nil"/>
              <w:bottom w:val="single" w:sz="4" w:space="0" w:color="auto"/>
              <w:right w:val="single" w:sz="4" w:space="0" w:color="auto"/>
            </w:tcBorders>
            <w:shd w:val="clear" w:color="auto" w:fill="auto"/>
            <w:noWrap/>
            <w:vAlign w:val="bottom"/>
            <w:hideMark/>
          </w:tcPr>
          <w:p w14:paraId="124917B3"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1 306 461</w:t>
            </w:r>
          </w:p>
        </w:tc>
      </w:tr>
      <w:tr w:rsidR="00E12D19" w:rsidRPr="00065280" w14:paraId="05F30675"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5247B1D1"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Chipre</w:t>
            </w:r>
          </w:p>
        </w:tc>
        <w:tc>
          <w:tcPr>
            <w:tcW w:w="1138" w:type="dxa"/>
            <w:tcBorders>
              <w:top w:val="nil"/>
              <w:left w:val="nil"/>
              <w:bottom w:val="single" w:sz="4" w:space="0" w:color="auto"/>
              <w:right w:val="single" w:sz="4" w:space="0" w:color="auto"/>
            </w:tcBorders>
            <w:shd w:val="clear" w:color="auto" w:fill="auto"/>
            <w:vAlign w:val="bottom"/>
          </w:tcPr>
          <w:p w14:paraId="237D832F"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0,036</w:t>
            </w:r>
          </w:p>
        </w:tc>
        <w:tc>
          <w:tcPr>
            <w:tcW w:w="2552" w:type="dxa"/>
            <w:tcBorders>
              <w:top w:val="nil"/>
              <w:left w:val="nil"/>
              <w:bottom w:val="single" w:sz="4" w:space="0" w:color="auto"/>
              <w:right w:val="single" w:sz="4" w:space="0" w:color="auto"/>
            </w:tcBorders>
            <w:shd w:val="clear" w:color="auto" w:fill="auto"/>
            <w:noWrap/>
            <w:vAlign w:val="bottom"/>
          </w:tcPr>
          <w:p w14:paraId="211E56E7"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0,051</w:t>
            </w:r>
          </w:p>
        </w:tc>
        <w:tc>
          <w:tcPr>
            <w:tcW w:w="1217" w:type="dxa"/>
            <w:tcBorders>
              <w:top w:val="nil"/>
              <w:left w:val="nil"/>
              <w:bottom w:val="single" w:sz="4" w:space="0" w:color="auto"/>
              <w:right w:val="single" w:sz="4" w:space="0" w:color="auto"/>
            </w:tcBorders>
            <w:shd w:val="clear" w:color="auto" w:fill="auto"/>
            <w:noWrap/>
            <w:vAlign w:val="bottom"/>
          </w:tcPr>
          <w:p w14:paraId="23F89192"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1 491</w:t>
            </w:r>
          </w:p>
        </w:tc>
        <w:tc>
          <w:tcPr>
            <w:tcW w:w="1213" w:type="dxa"/>
            <w:tcBorders>
              <w:top w:val="nil"/>
              <w:left w:val="nil"/>
              <w:bottom w:val="single" w:sz="4" w:space="0" w:color="auto"/>
              <w:right w:val="single" w:sz="4" w:space="0" w:color="auto"/>
            </w:tcBorders>
            <w:shd w:val="clear" w:color="auto" w:fill="auto"/>
            <w:noWrap/>
            <w:vAlign w:val="bottom"/>
          </w:tcPr>
          <w:p w14:paraId="11F5439E"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1 593</w:t>
            </w:r>
          </w:p>
        </w:tc>
        <w:tc>
          <w:tcPr>
            <w:tcW w:w="1260" w:type="dxa"/>
            <w:tcBorders>
              <w:top w:val="nil"/>
              <w:left w:val="nil"/>
              <w:bottom w:val="single" w:sz="4" w:space="0" w:color="auto"/>
              <w:right w:val="single" w:sz="4" w:space="0" w:color="auto"/>
            </w:tcBorders>
            <w:shd w:val="clear" w:color="auto" w:fill="auto"/>
            <w:noWrap/>
            <w:vAlign w:val="bottom"/>
          </w:tcPr>
          <w:p w14:paraId="092FB302"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3 083</w:t>
            </w:r>
          </w:p>
        </w:tc>
      </w:tr>
      <w:tr w:rsidR="00E12D19" w:rsidRPr="00065280" w14:paraId="13ED0BE1"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74B68DB"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Colombia</w:t>
            </w:r>
          </w:p>
        </w:tc>
        <w:tc>
          <w:tcPr>
            <w:tcW w:w="1138" w:type="dxa"/>
            <w:tcBorders>
              <w:top w:val="nil"/>
              <w:left w:val="nil"/>
              <w:bottom w:val="single" w:sz="4" w:space="0" w:color="auto"/>
              <w:right w:val="single" w:sz="4" w:space="0" w:color="auto"/>
            </w:tcBorders>
            <w:shd w:val="clear" w:color="auto" w:fill="auto"/>
            <w:vAlign w:val="bottom"/>
            <w:hideMark/>
          </w:tcPr>
          <w:p w14:paraId="030275CD"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0,246</w:t>
            </w:r>
          </w:p>
        </w:tc>
        <w:tc>
          <w:tcPr>
            <w:tcW w:w="2552" w:type="dxa"/>
            <w:tcBorders>
              <w:top w:val="nil"/>
              <w:left w:val="nil"/>
              <w:bottom w:val="single" w:sz="4" w:space="0" w:color="auto"/>
              <w:right w:val="single" w:sz="4" w:space="0" w:color="auto"/>
            </w:tcBorders>
            <w:shd w:val="clear" w:color="auto" w:fill="auto"/>
            <w:noWrap/>
            <w:vAlign w:val="bottom"/>
            <w:hideMark/>
          </w:tcPr>
          <w:p w14:paraId="106DDD97"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0,347</w:t>
            </w:r>
          </w:p>
        </w:tc>
        <w:tc>
          <w:tcPr>
            <w:tcW w:w="1217" w:type="dxa"/>
            <w:tcBorders>
              <w:top w:val="nil"/>
              <w:left w:val="nil"/>
              <w:bottom w:val="single" w:sz="4" w:space="0" w:color="auto"/>
              <w:right w:val="single" w:sz="4" w:space="0" w:color="auto"/>
            </w:tcBorders>
            <w:shd w:val="clear" w:color="auto" w:fill="auto"/>
            <w:noWrap/>
            <w:vAlign w:val="bottom"/>
            <w:hideMark/>
          </w:tcPr>
          <w:p w14:paraId="61DAB276"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10 186</w:t>
            </w:r>
          </w:p>
        </w:tc>
        <w:tc>
          <w:tcPr>
            <w:tcW w:w="1213" w:type="dxa"/>
            <w:tcBorders>
              <w:top w:val="nil"/>
              <w:left w:val="nil"/>
              <w:bottom w:val="single" w:sz="4" w:space="0" w:color="auto"/>
              <w:right w:val="single" w:sz="4" w:space="0" w:color="auto"/>
            </w:tcBorders>
            <w:shd w:val="clear" w:color="auto" w:fill="auto"/>
            <w:noWrap/>
            <w:vAlign w:val="bottom"/>
            <w:hideMark/>
          </w:tcPr>
          <w:p w14:paraId="1DFD4A16"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10 883</w:t>
            </w:r>
          </w:p>
        </w:tc>
        <w:tc>
          <w:tcPr>
            <w:tcW w:w="1260" w:type="dxa"/>
            <w:tcBorders>
              <w:top w:val="nil"/>
              <w:left w:val="nil"/>
              <w:bottom w:val="single" w:sz="4" w:space="0" w:color="auto"/>
              <w:right w:val="single" w:sz="4" w:space="0" w:color="auto"/>
            </w:tcBorders>
            <w:shd w:val="clear" w:color="auto" w:fill="auto"/>
            <w:noWrap/>
            <w:vAlign w:val="bottom"/>
            <w:hideMark/>
          </w:tcPr>
          <w:p w14:paraId="190FF314"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21 069</w:t>
            </w:r>
          </w:p>
        </w:tc>
      </w:tr>
      <w:tr w:rsidR="00E12D19" w:rsidRPr="00065280" w14:paraId="5F43C362"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7ED6067"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Comoras</w:t>
            </w:r>
          </w:p>
        </w:tc>
        <w:tc>
          <w:tcPr>
            <w:tcW w:w="1138" w:type="dxa"/>
            <w:tcBorders>
              <w:top w:val="nil"/>
              <w:left w:val="nil"/>
              <w:bottom w:val="single" w:sz="4" w:space="0" w:color="auto"/>
              <w:right w:val="single" w:sz="4" w:space="0" w:color="auto"/>
            </w:tcBorders>
            <w:shd w:val="clear" w:color="auto" w:fill="auto"/>
            <w:vAlign w:val="bottom"/>
            <w:hideMark/>
          </w:tcPr>
          <w:p w14:paraId="38980298"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3AA85D62"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68133C1C"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44F5F143"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2A35712E"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86</w:t>
            </w:r>
          </w:p>
        </w:tc>
      </w:tr>
      <w:tr w:rsidR="00E12D19" w:rsidRPr="00065280" w14:paraId="7C23C25A"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5AB5FFE"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Congo</w:t>
            </w:r>
          </w:p>
        </w:tc>
        <w:tc>
          <w:tcPr>
            <w:tcW w:w="1138" w:type="dxa"/>
            <w:tcBorders>
              <w:top w:val="nil"/>
              <w:left w:val="nil"/>
              <w:bottom w:val="single" w:sz="4" w:space="0" w:color="auto"/>
              <w:right w:val="single" w:sz="4" w:space="0" w:color="auto"/>
            </w:tcBorders>
            <w:shd w:val="clear" w:color="auto" w:fill="auto"/>
            <w:vAlign w:val="bottom"/>
            <w:hideMark/>
          </w:tcPr>
          <w:p w14:paraId="5A8E617F"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0,005</w:t>
            </w:r>
          </w:p>
        </w:tc>
        <w:tc>
          <w:tcPr>
            <w:tcW w:w="2552" w:type="dxa"/>
            <w:tcBorders>
              <w:top w:val="nil"/>
              <w:left w:val="nil"/>
              <w:bottom w:val="single" w:sz="4" w:space="0" w:color="auto"/>
              <w:right w:val="single" w:sz="4" w:space="0" w:color="auto"/>
            </w:tcBorders>
            <w:shd w:val="clear" w:color="auto" w:fill="auto"/>
            <w:noWrap/>
            <w:vAlign w:val="bottom"/>
            <w:hideMark/>
          </w:tcPr>
          <w:p w14:paraId="233F3741"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0,007</w:t>
            </w:r>
          </w:p>
        </w:tc>
        <w:tc>
          <w:tcPr>
            <w:tcW w:w="1217" w:type="dxa"/>
            <w:tcBorders>
              <w:top w:val="nil"/>
              <w:left w:val="nil"/>
              <w:bottom w:val="single" w:sz="4" w:space="0" w:color="auto"/>
              <w:right w:val="single" w:sz="4" w:space="0" w:color="auto"/>
            </w:tcBorders>
            <w:shd w:val="clear" w:color="auto" w:fill="auto"/>
            <w:noWrap/>
            <w:vAlign w:val="bottom"/>
            <w:hideMark/>
          </w:tcPr>
          <w:p w14:paraId="4B378497"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207</w:t>
            </w:r>
          </w:p>
        </w:tc>
        <w:tc>
          <w:tcPr>
            <w:tcW w:w="1213" w:type="dxa"/>
            <w:tcBorders>
              <w:top w:val="nil"/>
              <w:left w:val="nil"/>
              <w:bottom w:val="single" w:sz="4" w:space="0" w:color="auto"/>
              <w:right w:val="single" w:sz="4" w:space="0" w:color="auto"/>
            </w:tcBorders>
            <w:shd w:val="clear" w:color="auto" w:fill="auto"/>
            <w:noWrap/>
            <w:vAlign w:val="bottom"/>
            <w:hideMark/>
          </w:tcPr>
          <w:p w14:paraId="2BE675BD"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221</w:t>
            </w:r>
          </w:p>
        </w:tc>
        <w:tc>
          <w:tcPr>
            <w:tcW w:w="1260" w:type="dxa"/>
            <w:tcBorders>
              <w:top w:val="nil"/>
              <w:left w:val="nil"/>
              <w:bottom w:val="single" w:sz="4" w:space="0" w:color="auto"/>
              <w:right w:val="single" w:sz="4" w:space="0" w:color="auto"/>
            </w:tcBorders>
            <w:shd w:val="clear" w:color="auto" w:fill="auto"/>
            <w:noWrap/>
            <w:vAlign w:val="bottom"/>
            <w:hideMark/>
          </w:tcPr>
          <w:p w14:paraId="433FA82E"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428</w:t>
            </w:r>
          </w:p>
        </w:tc>
      </w:tr>
      <w:tr w:rsidR="00E12D19" w:rsidRPr="00065280" w14:paraId="0BD42A8C"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2E3E824"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Costa Rica</w:t>
            </w:r>
          </w:p>
        </w:tc>
        <w:tc>
          <w:tcPr>
            <w:tcW w:w="1138" w:type="dxa"/>
            <w:tcBorders>
              <w:top w:val="nil"/>
              <w:left w:val="nil"/>
              <w:bottom w:val="single" w:sz="4" w:space="0" w:color="auto"/>
              <w:right w:val="single" w:sz="4" w:space="0" w:color="auto"/>
            </w:tcBorders>
            <w:shd w:val="clear" w:color="auto" w:fill="auto"/>
            <w:vAlign w:val="bottom"/>
            <w:hideMark/>
          </w:tcPr>
          <w:p w14:paraId="7C4D60DA"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0,069</w:t>
            </w:r>
          </w:p>
        </w:tc>
        <w:tc>
          <w:tcPr>
            <w:tcW w:w="2552" w:type="dxa"/>
            <w:tcBorders>
              <w:top w:val="nil"/>
              <w:left w:val="nil"/>
              <w:bottom w:val="single" w:sz="4" w:space="0" w:color="auto"/>
              <w:right w:val="single" w:sz="4" w:space="0" w:color="auto"/>
            </w:tcBorders>
            <w:shd w:val="clear" w:color="auto" w:fill="auto"/>
            <w:noWrap/>
            <w:vAlign w:val="bottom"/>
            <w:hideMark/>
          </w:tcPr>
          <w:p w14:paraId="3F8978BE"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0,097</w:t>
            </w:r>
          </w:p>
        </w:tc>
        <w:tc>
          <w:tcPr>
            <w:tcW w:w="1217" w:type="dxa"/>
            <w:tcBorders>
              <w:top w:val="nil"/>
              <w:left w:val="nil"/>
              <w:bottom w:val="single" w:sz="4" w:space="0" w:color="auto"/>
              <w:right w:val="single" w:sz="4" w:space="0" w:color="auto"/>
            </w:tcBorders>
            <w:shd w:val="clear" w:color="auto" w:fill="auto"/>
            <w:noWrap/>
            <w:vAlign w:val="bottom"/>
            <w:hideMark/>
          </w:tcPr>
          <w:p w14:paraId="17E9F102"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2 857</w:t>
            </w:r>
          </w:p>
        </w:tc>
        <w:tc>
          <w:tcPr>
            <w:tcW w:w="1213" w:type="dxa"/>
            <w:tcBorders>
              <w:top w:val="nil"/>
              <w:left w:val="nil"/>
              <w:bottom w:val="single" w:sz="4" w:space="0" w:color="auto"/>
              <w:right w:val="single" w:sz="4" w:space="0" w:color="auto"/>
            </w:tcBorders>
            <w:shd w:val="clear" w:color="auto" w:fill="auto"/>
            <w:noWrap/>
            <w:vAlign w:val="bottom"/>
            <w:hideMark/>
          </w:tcPr>
          <w:p w14:paraId="04CFA75B"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3 053</w:t>
            </w:r>
          </w:p>
        </w:tc>
        <w:tc>
          <w:tcPr>
            <w:tcW w:w="1260" w:type="dxa"/>
            <w:tcBorders>
              <w:top w:val="nil"/>
              <w:left w:val="nil"/>
              <w:bottom w:val="single" w:sz="4" w:space="0" w:color="auto"/>
              <w:right w:val="single" w:sz="4" w:space="0" w:color="auto"/>
            </w:tcBorders>
            <w:shd w:val="clear" w:color="auto" w:fill="auto"/>
            <w:noWrap/>
            <w:vAlign w:val="bottom"/>
            <w:hideMark/>
          </w:tcPr>
          <w:p w14:paraId="2D54086E"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5 910</w:t>
            </w:r>
          </w:p>
        </w:tc>
      </w:tr>
      <w:tr w:rsidR="00E12D19" w:rsidRPr="00065280" w14:paraId="322EE8FC"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570F461"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Côte d’Ivoire</w:t>
            </w:r>
          </w:p>
        </w:tc>
        <w:tc>
          <w:tcPr>
            <w:tcW w:w="1138" w:type="dxa"/>
            <w:tcBorders>
              <w:top w:val="nil"/>
              <w:left w:val="nil"/>
              <w:bottom w:val="single" w:sz="4" w:space="0" w:color="auto"/>
              <w:right w:val="single" w:sz="4" w:space="0" w:color="auto"/>
            </w:tcBorders>
            <w:shd w:val="clear" w:color="auto" w:fill="auto"/>
            <w:vAlign w:val="bottom"/>
            <w:hideMark/>
          </w:tcPr>
          <w:p w14:paraId="395C1DEE"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0,022</w:t>
            </w:r>
          </w:p>
        </w:tc>
        <w:tc>
          <w:tcPr>
            <w:tcW w:w="2552" w:type="dxa"/>
            <w:tcBorders>
              <w:top w:val="nil"/>
              <w:left w:val="nil"/>
              <w:bottom w:val="single" w:sz="4" w:space="0" w:color="auto"/>
              <w:right w:val="single" w:sz="4" w:space="0" w:color="auto"/>
            </w:tcBorders>
            <w:shd w:val="clear" w:color="auto" w:fill="auto"/>
            <w:noWrap/>
            <w:vAlign w:val="bottom"/>
            <w:hideMark/>
          </w:tcPr>
          <w:p w14:paraId="1DF5147F"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0,031</w:t>
            </w:r>
          </w:p>
        </w:tc>
        <w:tc>
          <w:tcPr>
            <w:tcW w:w="1217" w:type="dxa"/>
            <w:tcBorders>
              <w:top w:val="nil"/>
              <w:left w:val="nil"/>
              <w:bottom w:val="single" w:sz="4" w:space="0" w:color="auto"/>
              <w:right w:val="single" w:sz="4" w:space="0" w:color="auto"/>
            </w:tcBorders>
            <w:shd w:val="clear" w:color="auto" w:fill="auto"/>
            <w:noWrap/>
            <w:vAlign w:val="bottom"/>
            <w:hideMark/>
          </w:tcPr>
          <w:p w14:paraId="5E20083A"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911</w:t>
            </w:r>
          </w:p>
        </w:tc>
        <w:tc>
          <w:tcPr>
            <w:tcW w:w="1213" w:type="dxa"/>
            <w:tcBorders>
              <w:top w:val="nil"/>
              <w:left w:val="nil"/>
              <w:bottom w:val="single" w:sz="4" w:space="0" w:color="auto"/>
              <w:right w:val="single" w:sz="4" w:space="0" w:color="auto"/>
            </w:tcBorders>
            <w:shd w:val="clear" w:color="auto" w:fill="auto"/>
            <w:noWrap/>
            <w:vAlign w:val="bottom"/>
            <w:hideMark/>
          </w:tcPr>
          <w:p w14:paraId="0DE88CD7"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973</w:t>
            </w:r>
          </w:p>
        </w:tc>
        <w:tc>
          <w:tcPr>
            <w:tcW w:w="1260" w:type="dxa"/>
            <w:tcBorders>
              <w:top w:val="nil"/>
              <w:left w:val="nil"/>
              <w:bottom w:val="single" w:sz="4" w:space="0" w:color="auto"/>
              <w:right w:val="single" w:sz="4" w:space="0" w:color="auto"/>
            </w:tcBorders>
            <w:shd w:val="clear" w:color="auto" w:fill="auto"/>
            <w:noWrap/>
            <w:vAlign w:val="bottom"/>
            <w:hideMark/>
          </w:tcPr>
          <w:p w14:paraId="2D6FB992"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1 884</w:t>
            </w:r>
          </w:p>
        </w:tc>
      </w:tr>
      <w:tr w:rsidR="00E12D19" w:rsidRPr="00065280" w14:paraId="73AE2502"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CACE84F"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Croacia</w:t>
            </w:r>
          </w:p>
        </w:tc>
        <w:tc>
          <w:tcPr>
            <w:tcW w:w="1138" w:type="dxa"/>
            <w:tcBorders>
              <w:top w:val="nil"/>
              <w:left w:val="nil"/>
              <w:bottom w:val="single" w:sz="4" w:space="0" w:color="auto"/>
              <w:right w:val="single" w:sz="4" w:space="0" w:color="auto"/>
            </w:tcBorders>
            <w:shd w:val="clear" w:color="auto" w:fill="auto"/>
            <w:vAlign w:val="bottom"/>
            <w:hideMark/>
          </w:tcPr>
          <w:p w14:paraId="2058F398"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0,091</w:t>
            </w:r>
          </w:p>
        </w:tc>
        <w:tc>
          <w:tcPr>
            <w:tcW w:w="2552" w:type="dxa"/>
            <w:tcBorders>
              <w:top w:val="nil"/>
              <w:left w:val="nil"/>
              <w:bottom w:val="single" w:sz="4" w:space="0" w:color="auto"/>
              <w:right w:val="single" w:sz="4" w:space="0" w:color="auto"/>
            </w:tcBorders>
            <w:shd w:val="clear" w:color="auto" w:fill="auto"/>
            <w:noWrap/>
            <w:vAlign w:val="bottom"/>
            <w:hideMark/>
          </w:tcPr>
          <w:p w14:paraId="0F85E058"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0,128</w:t>
            </w:r>
          </w:p>
        </w:tc>
        <w:tc>
          <w:tcPr>
            <w:tcW w:w="1217" w:type="dxa"/>
            <w:tcBorders>
              <w:top w:val="nil"/>
              <w:left w:val="nil"/>
              <w:bottom w:val="single" w:sz="4" w:space="0" w:color="auto"/>
              <w:right w:val="single" w:sz="4" w:space="0" w:color="auto"/>
            </w:tcBorders>
            <w:shd w:val="clear" w:color="auto" w:fill="auto"/>
            <w:noWrap/>
            <w:vAlign w:val="bottom"/>
            <w:hideMark/>
          </w:tcPr>
          <w:p w14:paraId="1DFC4672"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3 768</w:t>
            </w:r>
          </w:p>
        </w:tc>
        <w:tc>
          <w:tcPr>
            <w:tcW w:w="1213" w:type="dxa"/>
            <w:tcBorders>
              <w:top w:val="nil"/>
              <w:left w:val="nil"/>
              <w:bottom w:val="single" w:sz="4" w:space="0" w:color="auto"/>
              <w:right w:val="single" w:sz="4" w:space="0" w:color="auto"/>
            </w:tcBorders>
            <w:shd w:val="clear" w:color="auto" w:fill="auto"/>
            <w:noWrap/>
            <w:vAlign w:val="bottom"/>
            <w:hideMark/>
          </w:tcPr>
          <w:p w14:paraId="722738E9"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4 026</w:t>
            </w:r>
          </w:p>
        </w:tc>
        <w:tc>
          <w:tcPr>
            <w:tcW w:w="1260" w:type="dxa"/>
            <w:tcBorders>
              <w:top w:val="nil"/>
              <w:left w:val="nil"/>
              <w:bottom w:val="single" w:sz="4" w:space="0" w:color="auto"/>
              <w:right w:val="single" w:sz="4" w:space="0" w:color="auto"/>
            </w:tcBorders>
            <w:shd w:val="clear" w:color="auto" w:fill="auto"/>
            <w:noWrap/>
            <w:vAlign w:val="bottom"/>
            <w:hideMark/>
          </w:tcPr>
          <w:p w14:paraId="65BF3702"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7 794</w:t>
            </w:r>
          </w:p>
        </w:tc>
      </w:tr>
      <w:tr w:rsidR="00E12D19" w:rsidRPr="00065280" w14:paraId="18869723"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ACEC365"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Cuba</w:t>
            </w:r>
          </w:p>
        </w:tc>
        <w:tc>
          <w:tcPr>
            <w:tcW w:w="1138" w:type="dxa"/>
            <w:tcBorders>
              <w:top w:val="nil"/>
              <w:left w:val="nil"/>
              <w:bottom w:val="single" w:sz="4" w:space="0" w:color="auto"/>
              <w:right w:val="single" w:sz="4" w:space="0" w:color="auto"/>
            </w:tcBorders>
            <w:shd w:val="clear" w:color="auto" w:fill="auto"/>
            <w:vAlign w:val="bottom"/>
            <w:hideMark/>
          </w:tcPr>
          <w:p w14:paraId="692AFBB1"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0,095</w:t>
            </w:r>
          </w:p>
        </w:tc>
        <w:tc>
          <w:tcPr>
            <w:tcW w:w="2552" w:type="dxa"/>
            <w:tcBorders>
              <w:top w:val="nil"/>
              <w:left w:val="nil"/>
              <w:bottom w:val="single" w:sz="4" w:space="0" w:color="auto"/>
              <w:right w:val="single" w:sz="4" w:space="0" w:color="auto"/>
            </w:tcBorders>
            <w:shd w:val="clear" w:color="auto" w:fill="auto"/>
            <w:noWrap/>
            <w:vAlign w:val="bottom"/>
            <w:hideMark/>
          </w:tcPr>
          <w:p w14:paraId="310694D6"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0,134</w:t>
            </w:r>
          </w:p>
        </w:tc>
        <w:tc>
          <w:tcPr>
            <w:tcW w:w="1217" w:type="dxa"/>
            <w:tcBorders>
              <w:top w:val="nil"/>
              <w:left w:val="nil"/>
              <w:bottom w:val="single" w:sz="4" w:space="0" w:color="auto"/>
              <w:right w:val="single" w:sz="4" w:space="0" w:color="auto"/>
            </w:tcBorders>
            <w:shd w:val="clear" w:color="auto" w:fill="auto"/>
            <w:noWrap/>
            <w:vAlign w:val="bottom"/>
            <w:hideMark/>
          </w:tcPr>
          <w:p w14:paraId="64889FEB"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3 934</w:t>
            </w:r>
          </w:p>
        </w:tc>
        <w:tc>
          <w:tcPr>
            <w:tcW w:w="1213" w:type="dxa"/>
            <w:tcBorders>
              <w:top w:val="nil"/>
              <w:left w:val="nil"/>
              <w:bottom w:val="single" w:sz="4" w:space="0" w:color="auto"/>
              <w:right w:val="single" w:sz="4" w:space="0" w:color="auto"/>
            </w:tcBorders>
            <w:shd w:val="clear" w:color="auto" w:fill="auto"/>
            <w:noWrap/>
            <w:vAlign w:val="bottom"/>
            <w:hideMark/>
          </w:tcPr>
          <w:p w14:paraId="686BF3D4"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4 203</w:t>
            </w:r>
          </w:p>
        </w:tc>
        <w:tc>
          <w:tcPr>
            <w:tcW w:w="1260" w:type="dxa"/>
            <w:tcBorders>
              <w:top w:val="nil"/>
              <w:left w:val="nil"/>
              <w:bottom w:val="single" w:sz="4" w:space="0" w:color="auto"/>
              <w:right w:val="single" w:sz="4" w:space="0" w:color="auto"/>
            </w:tcBorders>
            <w:shd w:val="clear" w:color="auto" w:fill="auto"/>
            <w:noWrap/>
            <w:vAlign w:val="bottom"/>
            <w:hideMark/>
          </w:tcPr>
          <w:p w14:paraId="1075F6B7"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8 136</w:t>
            </w:r>
          </w:p>
        </w:tc>
      </w:tr>
      <w:tr w:rsidR="00E12D19" w:rsidRPr="00065280" w14:paraId="208AEB0A"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E60C638"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Dinamarca</w:t>
            </w:r>
          </w:p>
        </w:tc>
        <w:tc>
          <w:tcPr>
            <w:tcW w:w="1138" w:type="dxa"/>
            <w:tcBorders>
              <w:top w:val="nil"/>
              <w:left w:val="nil"/>
              <w:bottom w:val="single" w:sz="4" w:space="0" w:color="auto"/>
              <w:right w:val="single" w:sz="4" w:space="0" w:color="auto"/>
            </w:tcBorders>
            <w:shd w:val="clear" w:color="auto" w:fill="auto"/>
            <w:vAlign w:val="bottom"/>
            <w:hideMark/>
          </w:tcPr>
          <w:p w14:paraId="61A14E80"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0,553</w:t>
            </w:r>
          </w:p>
        </w:tc>
        <w:tc>
          <w:tcPr>
            <w:tcW w:w="2552" w:type="dxa"/>
            <w:tcBorders>
              <w:top w:val="nil"/>
              <w:left w:val="nil"/>
              <w:bottom w:val="single" w:sz="4" w:space="0" w:color="auto"/>
              <w:right w:val="single" w:sz="4" w:space="0" w:color="auto"/>
            </w:tcBorders>
            <w:shd w:val="clear" w:color="auto" w:fill="auto"/>
            <w:noWrap/>
            <w:vAlign w:val="bottom"/>
            <w:hideMark/>
          </w:tcPr>
          <w:p w14:paraId="044D5D98"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0,781</w:t>
            </w:r>
          </w:p>
        </w:tc>
        <w:tc>
          <w:tcPr>
            <w:tcW w:w="1217" w:type="dxa"/>
            <w:tcBorders>
              <w:top w:val="nil"/>
              <w:left w:val="nil"/>
              <w:bottom w:val="single" w:sz="4" w:space="0" w:color="auto"/>
              <w:right w:val="single" w:sz="4" w:space="0" w:color="auto"/>
            </w:tcBorders>
            <w:shd w:val="clear" w:color="auto" w:fill="auto"/>
            <w:noWrap/>
            <w:vAlign w:val="bottom"/>
            <w:hideMark/>
          </w:tcPr>
          <w:p w14:paraId="270C4293"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22 898</w:t>
            </w:r>
          </w:p>
        </w:tc>
        <w:tc>
          <w:tcPr>
            <w:tcW w:w="1213" w:type="dxa"/>
            <w:tcBorders>
              <w:top w:val="nil"/>
              <w:left w:val="nil"/>
              <w:bottom w:val="single" w:sz="4" w:space="0" w:color="auto"/>
              <w:right w:val="single" w:sz="4" w:space="0" w:color="auto"/>
            </w:tcBorders>
            <w:shd w:val="clear" w:color="auto" w:fill="auto"/>
            <w:noWrap/>
            <w:vAlign w:val="bottom"/>
            <w:hideMark/>
          </w:tcPr>
          <w:p w14:paraId="1C62B747"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24 465</w:t>
            </w:r>
          </w:p>
        </w:tc>
        <w:tc>
          <w:tcPr>
            <w:tcW w:w="1260" w:type="dxa"/>
            <w:tcBorders>
              <w:top w:val="nil"/>
              <w:left w:val="nil"/>
              <w:bottom w:val="single" w:sz="4" w:space="0" w:color="auto"/>
              <w:right w:val="single" w:sz="4" w:space="0" w:color="auto"/>
            </w:tcBorders>
            <w:shd w:val="clear" w:color="auto" w:fill="auto"/>
            <w:noWrap/>
            <w:vAlign w:val="bottom"/>
            <w:hideMark/>
          </w:tcPr>
          <w:p w14:paraId="121DE946"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47 363</w:t>
            </w:r>
          </w:p>
        </w:tc>
      </w:tr>
      <w:tr w:rsidR="00E12D19" w:rsidRPr="00065280" w14:paraId="2F336E3C"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C67927D"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Djibouti</w:t>
            </w:r>
          </w:p>
        </w:tc>
        <w:tc>
          <w:tcPr>
            <w:tcW w:w="1138" w:type="dxa"/>
            <w:tcBorders>
              <w:top w:val="nil"/>
              <w:left w:val="nil"/>
              <w:bottom w:val="single" w:sz="4" w:space="0" w:color="auto"/>
              <w:right w:val="single" w:sz="4" w:space="0" w:color="auto"/>
            </w:tcBorders>
            <w:shd w:val="clear" w:color="auto" w:fill="auto"/>
            <w:vAlign w:val="bottom"/>
            <w:hideMark/>
          </w:tcPr>
          <w:p w14:paraId="7C6B6D32"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40490250"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4BEA874F"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7F55D024"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1A1EEB3E"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86</w:t>
            </w:r>
          </w:p>
        </w:tc>
      </w:tr>
      <w:tr w:rsidR="00E12D19" w:rsidRPr="00065280" w14:paraId="051711E5"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318BCED"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Dominica</w:t>
            </w:r>
          </w:p>
        </w:tc>
        <w:tc>
          <w:tcPr>
            <w:tcW w:w="1138" w:type="dxa"/>
            <w:tcBorders>
              <w:top w:val="nil"/>
              <w:left w:val="nil"/>
              <w:bottom w:val="single" w:sz="4" w:space="0" w:color="auto"/>
              <w:right w:val="single" w:sz="4" w:space="0" w:color="auto"/>
            </w:tcBorders>
            <w:shd w:val="clear" w:color="auto" w:fill="auto"/>
            <w:vAlign w:val="bottom"/>
            <w:hideMark/>
          </w:tcPr>
          <w:p w14:paraId="4714B4BA"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00661B3E"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682FBA91"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0A152A7E"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690BCF28"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86</w:t>
            </w:r>
          </w:p>
        </w:tc>
      </w:tr>
      <w:tr w:rsidR="00E12D19" w:rsidRPr="00065280" w14:paraId="4A2A3182"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11621EE"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Ecuador</w:t>
            </w:r>
          </w:p>
        </w:tc>
        <w:tc>
          <w:tcPr>
            <w:tcW w:w="1138" w:type="dxa"/>
            <w:tcBorders>
              <w:top w:val="nil"/>
              <w:left w:val="nil"/>
              <w:bottom w:val="single" w:sz="4" w:space="0" w:color="auto"/>
              <w:right w:val="single" w:sz="4" w:space="0" w:color="auto"/>
            </w:tcBorders>
            <w:shd w:val="clear" w:color="auto" w:fill="auto"/>
            <w:vAlign w:val="bottom"/>
            <w:hideMark/>
          </w:tcPr>
          <w:p w14:paraId="292099F4"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0,077</w:t>
            </w:r>
          </w:p>
        </w:tc>
        <w:tc>
          <w:tcPr>
            <w:tcW w:w="2552" w:type="dxa"/>
            <w:tcBorders>
              <w:top w:val="nil"/>
              <w:left w:val="nil"/>
              <w:bottom w:val="single" w:sz="4" w:space="0" w:color="auto"/>
              <w:right w:val="single" w:sz="4" w:space="0" w:color="auto"/>
            </w:tcBorders>
            <w:shd w:val="clear" w:color="auto" w:fill="auto"/>
            <w:noWrap/>
            <w:vAlign w:val="bottom"/>
            <w:hideMark/>
          </w:tcPr>
          <w:p w14:paraId="62BEEE18"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0,109</w:t>
            </w:r>
          </w:p>
        </w:tc>
        <w:tc>
          <w:tcPr>
            <w:tcW w:w="1217" w:type="dxa"/>
            <w:tcBorders>
              <w:top w:val="nil"/>
              <w:left w:val="nil"/>
              <w:bottom w:val="single" w:sz="4" w:space="0" w:color="auto"/>
              <w:right w:val="single" w:sz="4" w:space="0" w:color="auto"/>
            </w:tcBorders>
            <w:shd w:val="clear" w:color="auto" w:fill="auto"/>
            <w:noWrap/>
            <w:vAlign w:val="bottom"/>
            <w:hideMark/>
          </w:tcPr>
          <w:p w14:paraId="51C1015C"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3 188</w:t>
            </w:r>
          </w:p>
        </w:tc>
        <w:tc>
          <w:tcPr>
            <w:tcW w:w="1213" w:type="dxa"/>
            <w:tcBorders>
              <w:top w:val="nil"/>
              <w:left w:val="nil"/>
              <w:bottom w:val="single" w:sz="4" w:space="0" w:color="auto"/>
              <w:right w:val="single" w:sz="4" w:space="0" w:color="auto"/>
            </w:tcBorders>
            <w:shd w:val="clear" w:color="auto" w:fill="auto"/>
            <w:noWrap/>
            <w:vAlign w:val="bottom"/>
            <w:hideMark/>
          </w:tcPr>
          <w:p w14:paraId="745DFCD0"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3 406</w:t>
            </w:r>
          </w:p>
        </w:tc>
        <w:tc>
          <w:tcPr>
            <w:tcW w:w="1260" w:type="dxa"/>
            <w:tcBorders>
              <w:top w:val="nil"/>
              <w:left w:val="nil"/>
              <w:bottom w:val="single" w:sz="4" w:space="0" w:color="auto"/>
              <w:right w:val="single" w:sz="4" w:space="0" w:color="auto"/>
            </w:tcBorders>
            <w:shd w:val="clear" w:color="auto" w:fill="auto"/>
            <w:noWrap/>
            <w:vAlign w:val="bottom"/>
            <w:hideMark/>
          </w:tcPr>
          <w:p w14:paraId="54B8A1F6"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6 595</w:t>
            </w:r>
          </w:p>
        </w:tc>
      </w:tr>
      <w:tr w:rsidR="00E12D19" w:rsidRPr="00065280" w14:paraId="7ECE7F85"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FBA2B95"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lastRenderedPageBreak/>
              <w:t>Egipto</w:t>
            </w:r>
          </w:p>
        </w:tc>
        <w:tc>
          <w:tcPr>
            <w:tcW w:w="1138" w:type="dxa"/>
            <w:tcBorders>
              <w:top w:val="nil"/>
              <w:left w:val="nil"/>
              <w:bottom w:val="single" w:sz="4" w:space="0" w:color="auto"/>
              <w:right w:val="single" w:sz="4" w:space="0" w:color="auto"/>
            </w:tcBorders>
            <w:shd w:val="clear" w:color="auto" w:fill="auto"/>
            <w:vAlign w:val="bottom"/>
            <w:hideMark/>
          </w:tcPr>
          <w:p w14:paraId="3426C76D"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0,139</w:t>
            </w:r>
          </w:p>
        </w:tc>
        <w:tc>
          <w:tcPr>
            <w:tcW w:w="2552" w:type="dxa"/>
            <w:tcBorders>
              <w:top w:val="nil"/>
              <w:left w:val="nil"/>
              <w:bottom w:val="single" w:sz="4" w:space="0" w:color="auto"/>
              <w:right w:val="single" w:sz="4" w:space="0" w:color="auto"/>
            </w:tcBorders>
            <w:shd w:val="clear" w:color="auto" w:fill="auto"/>
            <w:noWrap/>
            <w:vAlign w:val="bottom"/>
            <w:hideMark/>
          </w:tcPr>
          <w:p w14:paraId="4EBD6156"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0,196</w:t>
            </w:r>
          </w:p>
        </w:tc>
        <w:tc>
          <w:tcPr>
            <w:tcW w:w="1217" w:type="dxa"/>
            <w:tcBorders>
              <w:top w:val="nil"/>
              <w:left w:val="nil"/>
              <w:bottom w:val="single" w:sz="4" w:space="0" w:color="auto"/>
              <w:right w:val="single" w:sz="4" w:space="0" w:color="auto"/>
            </w:tcBorders>
            <w:shd w:val="clear" w:color="auto" w:fill="auto"/>
            <w:noWrap/>
            <w:vAlign w:val="bottom"/>
            <w:hideMark/>
          </w:tcPr>
          <w:p w14:paraId="524BF7AF"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5 756</w:t>
            </w:r>
          </w:p>
        </w:tc>
        <w:tc>
          <w:tcPr>
            <w:tcW w:w="1213" w:type="dxa"/>
            <w:tcBorders>
              <w:top w:val="nil"/>
              <w:left w:val="nil"/>
              <w:bottom w:val="single" w:sz="4" w:space="0" w:color="auto"/>
              <w:right w:val="single" w:sz="4" w:space="0" w:color="auto"/>
            </w:tcBorders>
            <w:shd w:val="clear" w:color="auto" w:fill="auto"/>
            <w:noWrap/>
            <w:vAlign w:val="bottom"/>
            <w:hideMark/>
          </w:tcPr>
          <w:p w14:paraId="4769CD70"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6 149</w:t>
            </w:r>
          </w:p>
        </w:tc>
        <w:tc>
          <w:tcPr>
            <w:tcW w:w="1260" w:type="dxa"/>
            <w:tcBorders>
              <w:top w:val="nil"/>
              <w:left w:val="nil"/>
              <w:bottom w:val="single" w:sz="4" w:space="0" w:color="auto"/>
              <w:right w:val="single" w:sz="4" w:space="0" w:color="auto"/>
            </w:tcBorders>
            <w:shd w:val="clear" w:color="auto" w:fill="auto"/>
            <w:noWrap/>
            <w:vAlign w:val="bottom"/>
            <w:hideMark/>
          </w:tcPr>
          <w:p w14:paraId="40FB2BDC"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11 905</w:t>
            </w:r>
          </w:p>
        </w:tc>
      </w:tr>
      <w:tr w:rsidR="00E12D19" w:rsidRPr="00065280" w14:paraId="1DA1FD8C"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2FF0109"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El Salvador</w:t>
            </w:r>
          </w:p>
        </w:tc>
        <w:tc>
          <w:tcPr>
            <w:tcW w:w="1138" w:type="dxa"/>
            <w:tcBorders>
              <w:top w:val="nil"/>
              <w:left w:val="nil"/>
              <w:bottom w:val="single" w:sz="4" w:space="0" w:color="auto"/>
              <w:right w:val="single" w:sz="4" w:space="0" w:color="auto"/>
            </w:tcBorders>
            <w:shd w:val="clear" w:color="auto" w:fill="auto"/>
            <w:vAlign w:val="bottom"/>
            <w:hideMark/>
          </w:tcPr>
          <w:p w14:paraId="1BD78984"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0,013</w:t>
            </w:r>
          </w:p>
        </w:tc>
        <w:tc>
          <w:tcPr>
            <w:tcW w:w="2552" w:type="dxa"/>
            <w:tcBorders>
              <w:top w:val="nil"/>
              <w:left w:val="nil"/>
              <w:bottom w:val="single" w:sz="4" w:space="0" w:color="auto"/>
              <w:right w:val="single" w:sz="4" w:space="0" w:color="auto"/>
            </w:tcBorders>
            <w:shd w:val="clear" w:color="auto" w:fill="auto"/>
            <w:noWrap/>
            <w:vAlign w:val="bottom"/>
            <w:hideMark/>
          </w:tcPr>
          <w:p w14:paraId="36C35F3A"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0,018</w:t>
            </w:r>
          </w:p>
        </w:tc>
        <w:tc>
          <w:tcPr>
            <w:tcW w:w="1217" w:type="dxa"/>
            <w:tcBorders>
              <w:top w:val="nil"/>
              <w:left w:val="nil"/>
              <w:bottom w:val="single" w:sz="4" w:space="0" w:color="auto"/>
              <w:right w:val="single" w:sz="4" w:space="0" w:color="auto"/>
            </w:tcBorders>
            <w:shd w:val="clear" w:color="auto" w:fill="auto"/>
            <w:noWrap/>
            <w:vAlign w:val="bottom"/>
            <w:hideMark/>
          </w:tcPr>
          <w:p w14:paraId="0028F87C"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538</w:t>
            </w:r>
          </w:p>
        </w:tc>
        <w:tc>
          <w:tcPr>
            <w:tcW w:w="1213" w:type="dxa"/>
            <w:tcBorders>
              <w:top w:val="nil"/>
              <w:left w:val="nil"/>
              <w:bottom w:val="single" w:sz="4" w:space="0" w:color="auto"/>
              <w:right w:val="single" w:sz="4" w:space="0" w:color="auto"/>
            </w:tcBorders>
            <w:shd w:val="clear" w:color="auto" w:fill="auto"/>
            <w:noWrap/>
            <w:vAlign w:val="bottom"/>
            <w:hideMark/>
          </w:tcPr>
          <w:p w14:paraId="3ED15A4E"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575</w:t>
            </w:r>
          </w:p>
        </w:tc>
        <w:tc>
          <w:tcPr>
            <w:tcW w:w="1260" w:type="dxa"/>
            <w:tcBorders>
              <w:top w:val="nil"/>
              <w:left w:val="nil"/>
              <w:bottom w:val="single" w:sz="4" w:space="0" w:color="auto"/>
              <w:right w:val="single" w:sz="4" w:space="0" w:color="auto"/>
            </w:tcBorders>
            <w:shd w:val="clear" w:color="auto" w:fill="auto"/>
            <w:noWrap/>
            <w:vAlign w:val="bottom"/>
            <w:hideMark/>
          </w:tcPr>
          <w:p w14:paraId="00823117"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1 113</w:t>
            </w:r>
          </w:p>
        </w:tc>
      </w:tr>
      <w:tr w:rsidR="00E12D19" w:rsidRPr="00065280" w14:paraId="0BB1883B"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6A88B48E"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Emiratos Árabes Unidos</w:t>
            </w:r>
          </w:p>
        </w:tc>
        <w:tc>
          <w:tcPr>
            <w:tcW w:w="1138" w:type="dxa"/>
            <w:tcBorders>
              <w:top w:val="nil"/>
              <w:left w:val="nil"/>
              <w:bottom w:val="single" w:sz="4" w:space="0" w:color="auto"/>
              <w:right w:val="single" w:sz="4" w:space="0" w:color="auto"/>
            </w:tcBorders>
            <w:shd w:val="clear" w:color="auto" w:fill="auto"/>
            <w:vAlign w:val="bottom"/>
          </w:tcPr>
          <w:p w14:paraId="1983A8FB"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0,635</w:t>
            </w:r>
          </w:p>
        </w:tc>
        <w:tc>
          <w:tcPr>
            <w:tcW w:w="2552" w:type="dxa"/>
            <w:tcBorders>
              <w:top w:val="nil"/>
              <w:left w:val="nil"/>
              <w:bottom w:val="single" w:sz="4" w:space="0" w:color="auto"/>
              <w:right w:val="single" w:sz="4" w:space="0" w:color="auto"/>
            </w:tcBorders>
            <w:shd w:val="clear" w:color="auto" w:fill="auto"/>
            <w:noWrap/>
            <w:vAlign w:val="bottom"/>
          </w:tcPr>
          <w:p w14:paraId="6AF66ADD"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0,896</w:t>
            </w:r>
          </w:p>
        </w:tc>
        <w:tc>
          <w:tcPr>
            <w:tcW w:w="1217" w:type="dxa"/>
            <w:tcBorders>
              <w:top w:val="nil"/>
              <w:left w:val="nil"/>
              <w:bottom w:val="single" w:sz="4" w:space="0" w:color="auto"/>
              <w:right w:val="single" w:sz="4" w:space="0" w:color="auto"/>
            </w:tcBorders>
            <w:shd w:val="clear" w:color="auto" w:fill="auto"/>
            <w:noWrap/>
            <w:vAlign w:val="bottom"/>
          </w:tcPr>
          <w:p w14:paraId="0A6E9DA5"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26 293</w:t>
            </w:r>
          </w:p>
        </w:tc>
        <w:tc>
          <w:tcPr>
            <w:tcW w:w="1213" w:type="dxa"/>
            <w:tcBorders>
              <w:top w:val="nil"/>
              <w:left w:val="nil"/>
              <w:bottom w:val="single" w:sz="4" w:space="0" w:color="auto"/>
              <w:right w:val="single" w:sz="4" w:space="0" w:color="auto"/>
            </w:tcBorders>
            <w:shd w:val="clear" w:color="auto" w:fill="auto"/>
            <w:noWrap/>
            <w:vAlign w:val="bottom"/>
          </w:tcPr>
          <w:p w14:paraId="50A27212"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28 092</w:t>
            </w:r>
          </w:p>
        </w:tc>
        <w:tc>
          <w:tcPr>
            <w:tcW w:w="1260" w:type="dxa"/>
            <w:tcBorders>
              <w:top w:val="nil"/>
              <w:left w:val="nil"/>
              <w:bottom w:val="single" w:sz="4" w:space="0" w:color="auto"/>
              <w:right w:val="single" w:sz="4" w:space="0" w:color="auto"/>
            </w:tcBorders>
            <w:shd w:val="clear" w:color="auto" w:fill="auto"/>
            <w:noWrap/>
            <w:vAlign w:val="bottom"/>
          </w:tcPr>
          <w:p w14:paraId="02FF000C"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54 386</w:t>
            </w:r>
          </w:p>
        </w:tc>
      </w:tr>
      <w:tr w:rsidR="00E12D19" w:rsidRPr="00065280" w14:paraId="6691C214"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4C3F7EF"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Eritrea</w:t>
            </w:r>
          </w:p>
        </w:tc>
        <w:tc>
          <w:tcPr>
            <w:tcW w:w="1138" w:type="dxa"/>
            <w:tcBorders>
              <w:top w:val="nil"/>
              <w:left w:val="nil"/>
              <w:bottom w:val="single" w:sz="4" w:space="0" w:color="auto"/>
              <w:right w:val="single" w:sz="4" w:space="0" w:color="auto"/>
            </w:tcBorders>
            <w:shd w:val="clear" w:color="auto" w:fill="auto"/>
            <w:vAlign w:val="bottom"/>
            <w:hideMark/>
          </w:tcPr>
          <w:p w14:paraId="5D0B54A5"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16BB1DD1"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23738AE2"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22A3BD2C"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7E9CF5E1"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86</w:t>
            </w:r>
          </w:p>
        </w:tc>
      </w:tr>
      <w:tr w:rsidR="00E12D19" w:rsidRPr="00065280" w14:paraId="7F692D04"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00CF7786"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Eslovaquia</w:t>
            </w:r>
          </w:p>
        </w:tc>
        <w:tc>
          <w:tcPr>
            <w:tcW w:w="1138" w:type="dxa"/>
            <w:tcBorders>
              <w:top w:val="nil"/>
              <w:left w:val="nil"/>
              <w:bottom w:val="single" w:sz="4" w:space="0" w:color="auto"/>
              <w:right w:val="single" w:sz="4" w:space="0" w:color="auto"/>
            </w:tcBorders>
            <w:shd w:val="clear" w:color="auto" w:fill="auto"/>
            <w:vAlign w:val="bottom"/>
          </w:tcPr>
          <w:p w14:paraId="322905A1"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0,155</w:t>
            </w:r>
          </w:p>
        </w:tc>
        <w:tc>
          <w:tcPr>
            <w:tcW w:w="2552" w:type="dxa"/>
            <w:tcBorders>
              <w:top w:val="nil"/>
              <w:left w:val="nil"/>
              <w:bottom w:val="single" w:sz="4" w:space="0" w:color="auto"/>
              <w:right w:val="single" w:sz="4" w:space="0" w:color="auto"/>
            </w:tcBorders>
            <w:shd w:val="clear" w:color="auto" w:fill="auto"/>
            <w:noWrap/>
            <w:vAlign w:val="bottom"/>
          </w:tcPr>
          <w:p w14:paraId="6AC9C2EF"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0,219</w:t>
            </w:r>
          </w:p>
        </w:tc>
        <w:tc>
          <w:tcPr>
            <w:tcW w:w="1217" w:type="dxa"/>
            <w:tcBorders>
              <w:top w:val="nil"/>
              <w:left w:val="nil"/>
              <w:bottom w:val="single" w:sz="4" w:space="0" w:color="auto"/>
              <w:right w:val="single" w:sz="4" w:space="0" w:color="auto"/>
            </w:tcBorders>
            <w:shd w:val="clear" w:color="auto" w:fill="auto"/>
            <w:noWrap/>
            <w:vAlign w:val="bottom"/>
          </w:tcPr>
          <w:p w14:paraId="5948412C"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6 418</w:t>
            </w:r>
          </w:p>
        </w:tc>
        <w:tc>
          <w:tcPr>
            <w:tcW w:w="1213" w:type="dxa"/>
            <w:tcBorders>
              <w:top w:val="nil"/>
              <w:left w:val="nil"/>
              <w:bottom w:val="single" w:sz="4" w:space="0" w:color="auto"/>
              <w:right w:val="single" w:sz="4" w:space="0" w:color="auto"/>
            </w:tcBorders>
            <w:shd w:val="clear" w:color="auto" w:fill="auto"/>
            <w:noWrap/>
            <w:vAlign w:val="bottom"/>
          </w:tcPr>
          <w:p w14:paraId="43F91E42"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6 857</w:t>
            </w:r>
          </w:p>
        </w:tc>
        <w:tc>
          <w:tcPr>
            <w:tcW w:w="1260" w:type="dxa"/>
            <w:tcBorders>
              <w:top w:val="nil"/>
              <w:left w:val="nil"/>
              <w:bottom w:val="single" w:sz="4" w:space="0" w:color="auto"/>
              <w:right w:val="single" w:sz="4" w:space="0" w:color="auto"/>
            </w:tcBorders>
            <w:shd w:val="clear" w:color="auto" w:fill="auto"/>
            <w:noWrap/>
            <w:vAlign w:val="bottom"/>
          </w:tcPr>
          <w:p w14:paraId="470AABAF"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13 275</w:t>
            </w:r>
          </w:p>
        </w:tc>
      </w:tr>
      <w:tr w:rsidR="00E12D19" w:rsidRPr="00065280" w14:paraId="21C490A4"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00F0E77F"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Eslovenia</w:t>
            </w:r>
          </w:p>
        </w:tc>
        <w:tc>
          <w:tcPr>
            <w:tcW w:w="1138" w:type="dxa"/>
            <w:tcBorders>
              <w:top w:val="nil"/>
              <w:left w:val="nil"/>
              <w:bottom w:val="single" w:sz="4" w:space="0" w:color="auto"/>
              <w:right w:val="single" w:sz="4" w:space="0" w:color="auto"/>
            </w:tcBorders>
            <w:shd w:val="clear" w:color="auto" w:fill="auto"/>
            <w:vAlign w:val="bottom"/>
          </w:tcPr>
          <w:p w14:paraId="34ED9C20"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0,079</w:t>
            </w:r>
          </w:p>
        </w:tc>
        <w:tc>
          <w:tcPr>
            <w:tcW w:w="2552" w:type="dxa"/>
            <w:tcBorders>
              <w:top w:val="nil"/>
              <w:left w:val="nil"/>
              <w:bottom w:val="single" w:sz="4" w:space="0" w:color="auto"/>
              <w:right w:val="single" w:sz="4" w:space="0" w:color="auto"/>
            </w:tcBorders>
            <w:shd w:val="clear" w:color="auto" w:fill="auto"/>
            <w:noWrap/>
            <w:vAlign w:val="bottom"/>
          </w:tcPr>
          <w:p w14:paraId="1A8B38D1"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0,112</w:t>
            </w:r>
          </w:p>
        </w:tc>
        <w:tc>
          <w:tcPr>
            <w:tcW w:w="1217" w:type="dxa"/>
            <w:tcBorders>
              <w:top w:val="nil"/>
              <w:left w:val="nil"/>
              <w:bottom w:val="single" w:sz="4" w:space="0" w:color="auto"/>
              <w:right w:val="single" w:sz="4" w:space="0" w:color="auto"/>
            </w:tcBorders>
            <w:shd w:val="clear" w:color="auto" w:fill="auto"/>
            <w:noWrap/>
            <w:vAlign w:val="bottom"/>
          </w:tcPr>
          <w:p w14:paraId="6A0F69F3"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3 271</w:t>
            </w:r>
          </w:p>
        </w:tc>
        <w:tc>
          <w:tcPr>
            <w:tcW w:w="1213" w:type="dxa"/>
            <w:tcBorders>
              <w:top w:val="nil"/>
              <w:left w:val="nil"/>
              <w:bottom w:val="single" w:sz="4" w:space="0" w:color="auto"/>
              <w:right w:val="single" w:sz="4" w:space="0" w:color="auto"/>
            </w:tcBorders>
            <w:shd w:val="clear" w:color="auto" w:fill="auto"/>
            <w:noWrap/>
            <w:vAlign w:val="bottom"/>
          </w:tcPr>
          <w:p w14:paraId="6C60846D"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3 495</w:t>
            </w:r>
          </w:p>
        </w:tc>
        <w:tc>
          <w:tcPr>
            <w:tcW w:w="1260" w:type="dxa"/>
            <w:tcBorders>
              <w:top w:val="nil"/>
              <w:left w:val="nil"/>
              <w:bottom w:val="single" w:sz="4" w:space="0" w:color="auto"/>
              <w:right w:val="single" w:sz="4" w:space="0" w:color="auto"/>
            </w:tcBorders>
            <w:shd w:val="clear" w:color="auto" w:fill="auto"/>
            <w:noWrap/>
            <w:vAlign w:val="bottom"/>
          </w:tcPr>
          <w:p w14:paraId="4DC53665"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6 766</w:t>
            </w:r>
          </w:p>
        </w:tc>
      </w:tr>
      <w:tr w:rsidR="00E12D19" w:rsidRPr="00065280" w14:paraId="22ABA8B7"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0CEDB627"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España</w:t>
            </w:r>
          </w:p>
        </w:tc>
        <w:tc>
          <w:tcPr>
            <w:tcW w:w="1138" w:type="dxa"/>
            <w:tcBorders>
              <w:top w:val="nil"/>
              <w:left w:val="nil"/>
              <w:bottom w:val="single" w:sz="4" w:space="0" w:color="auto"/>
              <w:right w:val="single" w:sz="4" w:space="0" w:color="auto"/>
            </w:tcBorders>
            <w:shd w:val="clear" w:color="auto" w:fill="auto"/>
            <w:vAlign w:val="bottom"/>
          </w:tcPr>
          <w:p w14:paraId="1671B017"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2,134</w:t>
            </w:r>
          </w:p>
        </w:tc>
        <w:tc>
          <w:tcPr>
            <w:tcW w:w="2552" w:type="dxa"/>
            <w:tcBorders>
              <w:top w:val="nil"/>
              <w:left w:val="nil"/>
              <w:bottom w:val="single" w:sz="4" w:space="0" w:color="auto"/>
              <w:right w:val="single" w:sz="4" w:space="0" w:color="auto"/>
            </w:tcBorders>
            <w:shd w:val="clear" w:color="auto" w:fill="auto"/>
            <w:noWrap/>
            <w:vAlign w:val="bottom"/>
          </w:tcPr>
          <w:p w14:paraId="227D257E"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3,013</w:t>
            </w:r>
          </w:p>
        </w:tc>
        <w:tc>
          <w:tcPr>
            <w:tcW w:w="1217" w:type="dxa"/>
            <w:tcBorders>
              <w:top w:val="nil"/>
              <w:left w:val="nil"/>
              <w:bottom w:val="single" w:sz="4" w:space="0" w:color="auto"/>
              <w:right w:val="single" w:sz="4" w:space="0" w:color="auto"/>
            </w:tcBorders>
            <w:shd w:val="clear" w:color="auto" w:fill="auto"/>
            <w:noWrap/>
            <w:vAlign w:val="bottom"/>
          </w:tcPr>
          <w:p w14:paraId="36142306"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88 362</w:t>
            </w:r>
          </w:p>
        </w:tc>
        <w:tc>
          <w:tcPr>
            <w:tcW w:w="1213" w:type="dxa"/>
            <w:tcBorders>
              <w:top w:val="nil"/>
              <w:left w:val="nil"/>
              <w:bottom w:val="single" w:sz="4" w:space="0" w:color="auto"/>
              <w:right w:val="single" w:sz="4" w:space="0" w:color="auto"/>
            </w:tcBorders>
            <w:shd w:val="clear" w:color="auto" w:fill="auto"/>
            <w:noWrap/>
            <w:vAlign w:val="bottom"/>
          </w:tcPr>
          <w:p w14:paraId="3D906543"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94 408</w:t>
            </w:r>
          </w:p>
        </w:tc>
        <w:tc>
          <w:tcPr>
            <w:tcW w:w="1260" w:type="dxa"/>
            <w:tcBorders>
              <w:top w:val="nil"/>
              <w:left w:val="nil"/>
              <w:bottom w:val="single" w:sz="4" w:space="0" w:color="auto"/>
              <w:right w:val="single" w:sz="4" w:space="0" w:color="auto"/>
            </w:tcBorders>
            <w:shd w:val="clear" w:color="auto" w:fill="auto"/>
            <w:noWrap/>
            <w:vAlign w:val="bottom"/>
          </w:tcPr>
          <w:p w14:paraId="67898B23"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182 771</w:t>
            </w:r>
          </w:p>
        </w:tc>
      </w:tr>
      <w:tr w:rsidR="00E12D19" w:rsidRPr="00065280" w14:paraId="4FD0FD51"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2E7436A5"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Estado de Palestina</w:t>
            </w:r>
          </w:p>
        </w:tc>
        <w:tc>
          <w:tcPr>
            <w:tcW w:w="1138" w:type="dxa"/>
            <w:tcBorders>
              <w:top w:val="nil"/>
              <w:left w:val="nil"/>
              <w:bottom w:val="single" w:sz="4" w:space="0" w:color="auto"/>
              <w:right w:val="single" w:sz="4" w:space="0" w:color="auto"/>
            </w:tcBorders>
            <w:shd w:val="clear" w:color="auto" w:fill="auto"/>
            <w:vAlign w:val="bottom"/>
          </w:tcPr>
          <w:p w14:paraId="3B611A54"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0,011</w:t>
            </w:r>
          </w:p>
        </w:tc>
        <w:tc>
          <w:tcPr>
            <w:tcW w:w="2552" w:type="dxa"/>
            <w:tcBorders>
              <w:top w:val="nil"/>
              <w:left w:val="nil"/>
              <w:bottom w:val="single" w:sz="4" w:space="0" w:color="auto"/>
              <w:right w:val="single" w:sz="4" w:space="0" w:color="auto"/>
            </w:tcBorders>
            <w:shd w:val="clear" w:color="auto" w:fill="auto"/>
            <w:noWrap/>
            <w:vAlign w:val="bottom"/>
          </w:tcPr>
          <w:p w14:paraId="173BDFCF"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0,016</w:t>
            </w:r>
          </w:p>
        </w:tc>
        <w:tc>
          <w:tcPr>
            <w:tcW w:w="1217" w:type="dxa"/>
            <w:tcBorders>
              <w:top w:val="nil"/>
              <w:left w:val="nil"/>
              <w:bottom w:val="single" w:sz="4" w:space="0" w:color="auto"/>
              <w:right w:val="single" w:sz="4" w:space="0" w:color="auto"/>
            </w:tcBorders>
            <w:shd w:val="clear" w:color="auto" w:fill="auto"/>
            <w:noWrap/>
            <w:vAlign w:val="bottom"/>
          </w:tcPr>
          <w:p w14:paraId="6F05D320"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455</w:t>
            </w:r>
          </w:p>
        </w:tc>
        <w:tc>
          <w:tcPr>
            <w:tcW w:w="1213" w:type="dxa"/>
            <w:tcBorders>
              <w:top w:val="nil"/>
              <w:left w:val="nil"/>
              <w:bottom w:val="single" w:sz="4" w:space="0" w:color="auto"/>
              <w:right w:val="single" w:sz="4" w:space="0" w:color="auto"/>
            </w:tcBorders>
            <w:shd w:val="clear" w:color="auto" w:fill="auto"/>
            <w:noWrap/>
            <w:vAlign w:val="bottom"/>
          </w:tcPr>
          <w:p w14:paraId="4D81650A"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487</w:t>
            </w:r>
          </w:p>
        </w:tc>
        <w:tc>
          <w:tcPr>
            <w:tcW w:w="1260" w:type="dxa"/>
            <w:tcBorders>
              <w:top w:val="nil"/>
              <w:left w:val="nil"/>
              <w:bottom w:val="single" w:sz="4" w:space="0" w:color="auto"/>
              <w:right w:val="single" w:sz="4" w:space="0" w:color="auto"/>
            </w:tcBorders>
            <w:shd w:val="clear" w:color="auto" w:fill="auto"/>
            <w:noWrap/>
            <w:vAlign w:val="bottom"/>
          </w:tcPr>
          <w:p w14:paraId="780E188E"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942</w:t>
            </w:r>
          </w:p>
        </w:tc>
      </w:tr>
      <w:tr w:rsidR="00E12D19" w:rsidRPr="00065280" w14:paraId="6D28B4D2"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F92DE79"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Estonia</w:t>
            </w:r>
          </w:p>
        </w:tc>
        <w:tc>
          <w:tcPr>
            <w:tcW w:w="1138" w:type="dxa"/>
            <w:tcBorders>
              <w:top w:val="nil"/>
              <w:left w:val="nil"/>
              <w:bottom w:val="single" w:sz="4" w:space="0" w:color="auto"/>
              <w:right w:val="single" w:sz="4" w:space="0" w:color="auto"/>
            </w:tcBorders>
            <w:shd w:val="clear" w:color="auto" w:fill="auto"/>
            <w:vAlign w:val="bottom"/>
            <w:hideMark/>
          </w:tcPr>
          <w:p w14:paraId="606D9DD3"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0,044</w:t>
            </w:r>
          </w:p>
        </w:tc>
        <w:tc>
          <w:tcPr>
            <w:tcW w:w="2552" w:type="dxa"/>
            <w:tcBorders>
              <w:top w:val="nil"/>
              <w:left w:val="nil"/>
              <w:bottom w:val="single" w:sz="4" w:space="0" w:color="auto"/>
              <w:right w:val="single" w:sz="4" w:space="0" w:color="auto"/>
            </w:tcBorders>
            <w:shd w:val="clear" w:color="auto" w:fill="auto"/>
            <w:noWrap/>
            <w:vAlign w:val="bottom"/>
            <w:hideMark/>
          </w:tcPr>
          <w:p w14:paraId="684C87A2"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0,062</w:t>
            </w:r>
          </w:p>
        </w:tc>
        <w:tc>
          <w:tcPr>
            <w:tcW w:w="1217" w:type="dxa"/>
            <w:tcBorders>
              <w:top w:val="nil"/>
              <w:left w:val="nil"/>
              <w:bottom w:val="single" w:sz="4" w:space="0" w:color="auto"/>
              <w:right w:val="single" w:sz="4" w:space="0" w:color="auto"/>
            </w:tcBorders>
            <w:shd w:val="clear" w:color="auto" w:fill="auto"/>
            <w:noWrap/>
            <w:vAlign w:val="bottom"/>
            <w:hideMark/>
          </w:tcPr>
          <w:p w14:paraId="5AFC45D7"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1 822</w:t>
            </w:r>
          </w:p>
        </w:tc>
        <w:tc>
          <w:tcPr>
            <w:tcW w:w="1213" w:type="dxa"/>
            <w:tcBorders>
              <w:top w:val="nil"/>
              <w:left w:val="nil"/>
              <w:bottom w:val="single" w:sz="4" w:space="0" w:color="auto"/>
              <w:right w:val="single" w:sz="4" w:space="0" w:color="auto"/>
            </w:tcBorders>
            <w:shd w:val="clear" w:color="auto" w:fill="auto"/>
            <w:noWrap/>
            <w:vAlign w:val="bottom"/>
            <w:hideMark/>
          </w:tcPr>
          <w:p w14:paraId="1B1029D7"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1 947</w:t>
            </w:r>
          </w:p>
        </w:tc>
        <w:tc>
          <w:tcPr>
            <w:tcW w:w="1260" w:type="dxa"/>
            <w:tcBorders>
              <w:top w:val="nil"/>
              <w:left w:val="nil"/>
              <w:bottom w:val="single" w:sz="4" w:space="0" w:color="auto"/>
              <w:right w:val="single" w:sz="4" w:space="0" w:color="auto"/>
            </w:tcBorders>
            <w:shd w:val="clear" w:color="auto" w:fill="auto"/>
            <w:noWrap/>
            <w:vAlign w:val="bottom"/>
            <w:hideMark/>
          </w:tcPr>
          <w:p w14:paraId="5621E3B0"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3 768</w:t>
            </w:r>
          </w:p>
        </w:tc>
      </w:tr>
      <w:tr w:rsidR="00E12D19" w:rsidRPr="00065280" w14:paraId="62E8FA77"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DADCCFB"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Eswatini</w:t>
            </w:r>
          </w:p>
        </w:tc>
        <w:tc>
          <w:tcPr>
            <w:tcW w:w="1138" w:type="dxa"/>
            <w:tcBorders>
              <w:top w:val="nil"/>
              <w:left w:val="nil"/>
              <w:bottom w:val="single" w:sz="4" w:space="0" w:color="auto"/>
              <w:right w:val="single" w:sz="4" w:space="0" w:color="auto"/>
            </w:tcBorders>
            <w:shd w:val="clear" w:color="auto" w:fill="auto"/>
            <w:vAlign w:val="bottom"/>
            <w:hideMark/>
          </w:tcPr>
          <w:p w14:paraId="1F9D9A38"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0,002</w:t>
            </w:r>
          </w:p>
        </w:tc>
        <w:tc>
          <w:tcPr>
            <w:tcW w:w="2552" w:type="dxa"/>
            <w:tcBorders>
              <w:top w:val="nil"/>
              <w:left w:val="nil"/>
              <w:bottom w:val="single" w:sz="4" w:space="0" w:color="auto"/>
              <w:right w:val="single" w:sz="4" w:space="0" w:color="auto"/>
            </w:tcBorders>
            <w:shd w:val="clear" w:color="auto" w:fill="auto"/>
            <w:noWrap/>
            <w:vAlign w:val="bottom"/>
            <w:hideMark/>
          </w:tcPr>
          <w:p w14:paraId="7C32126F"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0,003</w:t>
            </w:r>
          </w:p>
        </w:tc>
        <w:tc>
          <w:tcPr>
            <w:tcW w:w="1217" w:type="dxa"/>
            <w:tcBorders>
              <w:top w:val="nil"/>
              <w:left w:val="nil"/>
              <w:bottom w:val="single" w:sz="4" w:space="0" w:color="auto"/>
              <w:right w:val="single" w:sz="4" w:space="0" w:color="auto"/>
            </w:tcBorders>
            <w:shd w:val="clear" w:color="auto" w:fill="auto"/>
            <w:noWrap/>
            <w:vAlign w:val="bottom"/>
            <w:hideMark/>
          </w:tcPr>
          <w:p w14:paraId="27FA2017"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83</w:t>
            </w:r>
          </w:p>
        </w:tc>
        <w:tc>
          <w:tcPr>
            <w:tcW w:w="1213" w:type="dxa"/>
            <w:tcBorders>
              <w:top w:val="nil"/>
              <w:left w:val="nil"/>
              <w:bottom w:val="single" w:sz="4" w:space="0" w:color="auto"/>
              <w:right w:val="single" w:sz="4" w:space="0" w:color="auto"/>
            </w:tcBorders>
            <w:shd w:val="clear" w:color="auto" w:fill="auto"/>
            <w:noWrap/>
            <w:vAlign w:val="bottom"/>
            <w:hideMark/>
          </w:tcPr>
          <w:p w14:paraId="41ADDE42"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88</w:t>
            </w:r>
          </w:p>
        </w:tc>
        <w:tc>
          <w:tcPr>
            <w:tcW w:w="1260" w:type="dxa"/>
            <w:tcBorders>
              <w:top w:val="nil"/>
              <w:left w:val="nil"/>
              <w:bottom w:val="single" w:sz="4" w:space="0" w:color="auto"/>
              <w:right w:val="single" w:sz="4" w:space="0" w:color="auto"/>
            </w:tcBorders>
            <w:shd w:val="clear" w:color="auto" w:fill="auto"/>
            <w:noWrap/>
            <w:vAlign w:val="bottom"/>
            <w:hideMark/>
          </w:tcPr>
          <w:p w14:paraId="463463E4"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171</w:t>
            </w:r>
          </w:p>
        </w:tc>
      </w:tr>
      <w:tr w:rsidR="00E12D19" w:rsidRPr="00065280" w14:paraId="643BC8BD"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EDDA2DD"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Etiopía</w:t>
            </w:r>
          </w:p>
        </w:tc>
        <w:tc>
          <w:tcPr>
            <w:tcW w:w="1138" w:type="dxa"/>
            <w:tcBorders>
              <w:top w:val="nil"/>
              <w:left w:val="nil"/>
              <w:bottom w:val="single" w:sz="4" w:space="0" w:color="auto"/>
              <w:right w:val="single" w:sz="4" w:space="0" w:color="auto"/>
            </w:tcBorders>
            <w:shd w:val="clear" w:color="auto" w:fill="auto"/>
            <w:vAlign w:val="bottom"/>
            <w:hideMark/>
          </w:tcPr>
          <w:p w14:paraId="37BDC6E3"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0,010</w:t>
            </w:r>
          </w:p>
        </w:tc>
        <w:tc>
          <w:tcPr>
            <w:tcW w:w="2552" w:type="dxa"/>
            <w:tcBorders>
              <w:top w:val="nil"/>
              <w:left w:val="nil"/>
              <w:bottom w:val="single" w:sz="4" w:space="0" w:color="auto"/>
              <w:right w:val="single" w:sz="4" w:space="0" w:color="auto"/>
            </w:tcBorders>
            <w:shd w:val="clear" w:color="auto" w:fill="auto"/>
            <w:noWrap/>
            <w:vAlign w:val="bottom"/>
            <w:hideMark/>
          </w:tcPr>
          <w:p w14:paraId="0683BAB3"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069E1C67"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7AB457CF"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73998978"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607</w:t>
            </w:r>
          </w:p>
        </w:tc>
      </w:tr>
      <w:tr w:rsidR="00E12D19" w:rsidRPr="00065280" w14:paraId="24E84C25"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490D625"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Fiji</w:t>
            </w:r>
          </w:p>
        </w:tc>
        <w:tc>
          <w:tcPr>
            <w:tcW w:w="1138" w:type="dxa"/>
            <w:tcBorders>
              <w:top w:val="nil"/>
              <w:left w:val="nil"/>
              <w:bottom w:val="single" w:sz="4" w:space="0" w:color="auto"/>
              <w:right w:val="single" w:sz="4" w:space="0" w:color="auto"/>
            </w:tcBorders>
            <w:shd w:val="clear" w:color="auto" w:fill="auto"/>
            <w:vAlign w:val="bottom"/>
            <w:hideMark/>
          </w:tcPr>
          <w:p w14:paraId="23744154"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0,004</w:t>
            </w:r>
          </w:p>
        </w:tc>
        <w:tc>
          <w:tcPr>
            <w:tcW w:w="2552" w:type="dxa"/>
            <w:tcBorders>
              <w:top w:val="nil"/>
              <w:left w:val="nil"/>
              <w:bottom w:val="single" w:sz="4" w:space="0" w:color="auto"/>
              <w:right w:val="single" w:sz="4" w:space="0" w:color="auto"/>
            </w:tcBorders>
            <w:shd w:val="clear" w:color="auto" w:fill="auto"/>
            <w:noWrap/>
            <w:vAlign w:val="bottom"/>
            <w:hideMark/>
          </w:tcPr>
          <w:p w14:paraId="3DFAFEF8"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0,006</w:t>
            </w:r>
          </w:p>
        </w:tc>
        <w:tc>
          <w:tcPr>
            <w:tcW w:w="1217" w:type="dxa"/>
            <w:tcBorders>
              <w:top w:val="nil"/>
              <w:left w:val="nil"/>
              <w:bottom w:val="single" w:sz="4" w:space="0" w:color="auto"/>
              <w:right w:val="single" w:sz="4" w:space="0" w:color="auto"/>
            </w:tcBorders>
            <w:shd w:val="clear" w:color="auto" w:fill="auto"/>
            <w:noWrap/>
            <w:vAlign w:val="bottom"/>
            <w:hideMark/>
          </w:tcPr>
          <w:p w14:paraId="6114468F"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166</w:t>
            </w:r>
          </w:p>
        </w:tc>
        <w:tc>
          <w:tcPr>
            <w:tcW w:w="1213" w:type="dxa"/>
            <w:tcBorders>
              <w:top w:val="nil"/>
              <w:left w:val="nil"/>
              <w:bottom w:val="single" w:sz="4" w:space="0" w:color="auto"/>
              <w:right w:val="single" w:sz="4" w:space="0" w:color="auto"/>
            </w:tcBorders>
            <w:shd w:val="clear" w:color="auto" w:fill="auto"/>
            <w:noWrap/>
            <w:vAlign w:val="bottom"/>
            <w:hideMark/>
          </w:tcPr>
          <w:p w14:paraId="61E3CD50"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177</w:t>
            </w:r>
          </w:p>
        </w:tc>
        <w:tc>
          <w:tcPr>
            <w:tcW w:w="1260" w:type="dxa"/>
            <w:tcBorders>
              <w:top w:val="nil"/>
              <w:left w:val="nil"/>
              <w:bottom w:val="single" w:sz="4" w:space="0" w:color="auto"/>
              <w:right w:val="single" w:sz="4" w:space="0" w:color="auto"/>
            </w:tcBorders>
            <w:shd w:val="clear" w:color="auto" w:fill="auto"/>
            <w:noWrap/>
            <w:vAlign w:val="bottom"/>
            <w:hideMark/>
          </w:tcPr>
          <w:p w14:paraId="7B486F71"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343</w:t>
            </w:r>
          </w:p>
        </w:tc>
      </w:tr>
      <w:tr w:rsidR="00E12D19" w:rsidRPr="00065280" w14:paraId="535B447B"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7EBDF849"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Filipinas</w:t>
            </w:r>
          </w:p>
        </w:tc>
        <w:tc>
          <w:tcPr>
            <w:tcW w:w="1138" w:type="dxa"/>
            <w:tcBorders>
              <w:top w:val="nil"/>
              <w:left w:val="nil"/>
              <w:bottom w:val="single" w:sz="4" w:space="0" w:color="auto"/>
              <w:right w:val="single" w:sz="4" w:space="0" w:color="auto"/>
            </w:tcBorders>
            <w:shd w:val="clear" w:color="auto" w:fill="auto"/>
            <w:vAlign w:val="bottom"/>
          </w:tcPr>
          <w:p w14:paraId="58EB0859"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0,212</w:t>
            </w:r>
          </w:p>
        </w:tc>
        <w:tc>
          <w:tcPr>
            <w:tcW w:w="2552" w:type="dxa"/>
            <w:tcBorders>
              <w:top w:val="nil"/>
              <w:left w:val="nil"/>
              <w:bottom w:val="single" w:sz="4" w:space="0" w:color="auto"/>
              <w:right w:val="single" w:sz="4" w:space="0" w:color="auto"/>
            </w:tcBorders>
            <w:shd w:val="clear" w:color="auto" w:fill="auto"/>
            <w:noWrap/>
            <w:vAlign w:val="bottom"/>
          </w:tcPr>
          <w:p w14:paraId="4BAC13AD"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0,299</w:t>
            </w:r>
          </w:p>
        </w:tc>
        <w:tc>
          <w:tcPr>
            <w:tcW w:w="1217" w:type="dxa"/>
            <w:tcBorders>
              <w:top w:val="nil"/>
              <w:left w:val="nil"/>
              <w:bottom w:val="single" w:sz="4" w:space="0" w:color="auto"/>
              <w:right w:val="single" w:sz="4" w:space="0" w:color="auto"/>
            </w:tcBorders>
            <w:shd w:val="clear" w:color="auto" w:fill="auto"/>
            <w:noWrap/>
            <w:vAlign w:val="bottom"/>
          </w:tcPr>
          <w:p w14:paraId="237BA96B"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8 778</w:t>
            </w:r>
          </w:p>
        </w:tc>
        <w:tc>
          <w:tcPr>
            <w:tcW w:w="1213" w:type="dxa"/>
            <w:tcBorders>
              <w:top w:val="nil"/>
              <w:left w:val="nil"/>
              <w:bottom w:val="single" w:sz="4" w:space="0" w:color="auto"/>
              <w:right w:val="single" w:sz="4" w:space="0" w:color="auto"/>
            </w:tcBorders>
            <w:shd w:val="clear" w:color="auto" w:fill="auto"/>
            <w:noWrap/>
            <w:vAlign w:val="bottom"/>
          </w:tcPr>
          <w:p w14:paraId="5A1F31FB"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9 379</w:t>
            </w:r>
          </w:p>
        </w:tc>
        <w:tc>
          <w:tcPr>
            <w:tcW w:w="1260" w:type="dxa"/>
            <w:tcBorders>
              <w:top w:val="nil"/>
              <w:left w:val="nil"/>
              <w:bottom w:val="single" w:sz="4" w:space="0" w:color="auto"/>
              <w:right w:val="single" w:sz="4" w:space="0" w:color="auto"/>
            </w:tcBorders>
            <w:shd w:val="clear" w:color="auto" w:fill="auto"/>
            <w:noWrap/>
            <w:vAlign w:val="bottom"/>
          </w:tcPr>
          <w:p w14:paraId="79CD484A"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18 157</w:t>
            </w:r>
          </w:p>
        </w:tc>
      </w:tr>
      <w:tr w:rsidR="00E12D19" w:rsidRPr="00065280" w14:paraId="0EA33592"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F5EF76D"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Finlandia</w:t>
            </w:r>
          </w:p>
        </w:tc>
        <w:tc>
          <w:tcPr>
            <w:tcW w:w="1138" w:type="dxa"/>
            <w:tcBorders>
              <w:top w:val="nil"/>
              <w:left w:val="nil"/>
              <w:bottom w:val="single" w:sz="4" w:space="0" w:color="auto"/>
              <w:right w:val="single" w:sz="4" w:space="0" w:color="auto"/>
            </w:tcBorders>
            <w:shd w:val="clear" w:color="auto" w:fill="auto"/>
            <w:vAlign w:val="bottom"/>
            <w:hideMark/>
          </w:tcPr>
          <w:p w14:paraId="2946FB26"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0,417</w:t>
            </w:r>
          </w:p>
        </w:tc>
        <w:tc>
          <w:tcPr>
            <w:tcW w:w="2552" w:type="dxa"/>
            <w:tcBorders>
              <w:top w:val="nil"/>
              <w:left w:val="nil"/>
              <w:bottom w:val="single" w:sz="4" w:space="0" w:color="auto"/>
              <w:right w:val="single" w:sz="4" w:space="0" w:color="auto"/>
            </w:tcBorders>
            <w:shd w:val="clear" w:color="auto" w:fill="auto"/>
            <w:noWrap/>
            <w:vAlign w:val="bottom"/>
            <w:hideMark/>
          </w:tcPr>
          <w:p w14:paraId="231D9FAC"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0,589</w:t>
            </w:r>
          </w:p>
        </w:tc>
        <w:tc>
          <w:tcPr>
            <w:tcW w:w="1217" w:type="dxa"/>
            <w:tcBorders>
              <w:top w:val="nil"/>
              <w:left w:val="nil"/>
              <w:bottom w:val="single" w:sz="4" w:space="0" w:color="auto"/>
              <w:right w:val="single" w:sz="4" w:space="0" w:color="auto"/>
            </w:tcBorders>
            <w:shd w:val="clear" w:color="auto" w:fill="auto"/>
            <w:noWrap/>
            <w:vAlign w:val="bottom"/>
            <w:hideMark/>
          </w:tcPr>
          <w:p w14:paraId="42834C2C"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17 267</w:t>
            </w:r>
          </w:p>
        </w:tc>
        <w:tc>
          <w:tcPr>
            <w:tcW w:w="1213" w:type="dxa"/>
            <w:tcBorders>
              <w:top w:val="nil"/>
              <w:left w:val="nil"/>
              <w:bottom w:val="single" w:sz="4" w:space="0" w:color="auto"/>
              <w:right w:val="single" w:sz="4" w:space="0" w:color="auto"/>
            </w:tcBorders>
            <w:shd w:val="clear" w:color="auto" w:fill="auto"/>
            <w:noWrap/>
            <w:vAlign w:val="bottom"/>
            <w:hideMark/>
          </w:tcPr>
          <w:p w14:paraId="420E00C9"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18 448</w:t>
            </w:r>
          </w:p>
        </w:tc>
        <w:tc>
          <w:tcPr>
            <w:tcW w:w="1260" w:type="dxa"/>
            <w:tcBorders>
              <w:top w:val="nil"/>
              <w:left w:val="nil"/>
              <w:bottom w:val="single" w:sz="4" w:space="0" w:color="auto"/>
              <w:right w:val="single" w:sz="4" w:space="0" w:color="auto"/>
            </w:tcBorders>
            <w:shd w:val="clear" w:color="auto" w:fill="auto"/>
            <w:noWrap/>
            <w:vAlign w:val="bottom"/>
            <w:hideMark/>
          </w:tcPr>
          <w:p w14:paraId="2E40FFD4"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35 715</w:t>
            </w:r>
          </w:p>
        </w:tc>
      </w:tr>
      <w:tr w:rsidR="00E12D19" w:rsidRPr="00065280" w14:paraId="591C61FB"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64AD571"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Francia</w:t>
            </w:r>
          </w:p>
        </w:tc>
        <w:tc>
          <w:tcPr>
            <w:tcW w:w="1138" w:type="dxa"/>
            <w:tcBorders>
              <w:top w:val="nil"/>
              <w:left w:val="nil"/>
              <w:bottom w:val="single" w:sz="4" w:space="0" w:color="auto"/>
              <w:right w:val="single" w:sz="4" w:space="0" w:color="auto"/>
            </w:tcBorders>
            <w:shd w:val="clear" w:color="auto" w:fill="auto"/>
            <w:vAlign w:val="bottom"/>
            <w:hideMark/>
          </w:tcPr>
          <w:p w14:paraId="1FEB1AC2"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4,318</w:t>
            </w:r>
          </w:p>
        </w:tc>
        <w:tc>
          <w:tcPr>
            <w:tcW w:w="2552" w:type="dxa"/>
            <w:tcBorders>
              <w:top w:val="nil"/>
              <w:left w:val="nil"/>
              <w:bottom w:val="single" w:sz="4" w:space="0" w:color="auto"/>
              <w:right w:val="single" w:sz="4" w:space="0" w:color="auto"/>
            </w:tcBorders>
            <w:shd w:val="clear" w:color="auto" w:fill="auto"/>
            <w:noWrap/>
            <w:vAlign w:val="bottom"/>
            <w:hideMark/>
          </w:tcPr>
          <w:p w14:paraId="196E3BA0"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6,096</w:t>
            </w:r>
          </w:p>
        </w:tc>
        <w:tc>
          <w:tcPr>
            <w:tcW w:w="1217" w:type="dxa"/>
            <w:tcBorders>
              <w:top w:val="nil"/>
              <w:left w:val="nil"/>
              <w:bottom w:val="single" w:sz="4" w:space="0" w:color="auto"/>
              <w:right w:val="single" w:sz="4" w:space="0" w:color="auto"/>
            </w:tcBorders>
            <w:shd w:val="clear" w:color="auto" w:fill="auto"/>
            <w:noWrap/>
            <w:vAlign w:val="bottom"/>
            <w:hideMark/>
          </w:tcPr>
          <w:p w14:paraId="34F236FA"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178 795</w:t>
            </w:r>
          </w:p>
        </w:tc>
        <w:tc>
          <w:tcPr>
            <w:tcW w:w="1213" w:type="dxa"/>
            <w:tcBorders>
              <w:top w:val="nil"/>
              <w:left w:val="nil"/>
              <w:bottom w:val="single" w:sz="4" w:space="0" w:color="auto"/>
              <w:right w:val="single" w:sz="4" w:space="0" w:color="auto"/>
            </w:tcBorders>
            <w:shd w:val="clear" w:color="auto" w:fill="auto"/>
            <w:noWrap/>
            <w:vAlign w:val="bottom"/>
            <w:hideMark/>
          </w:tcPr>
          <w:p w14:paraId="4B33E418"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191 029</w:t>
            </w:r>
          </w:p>
        </w:tc>
        <w:tc>
          <w:tcPr>
            <w:tcW w:w="1260" w:type="dxa"/>
            <w:tcBorders>
              <w:top w:val="nil"/>
              <w:left w:val="nil"/>
              <w:bottom w:val="single" w:sz="4" w:space="0" w:color="auto"/>
              <w:right w:val="single" w:sz="4" w:space="0" w:color="auto"/>
            </w:tcBorders>
            <w:shd w:val="clear" w:color="auto" w:fill="auto"/>
            <w:noWrap/>
            <w:vAlign w:val="bottom"/>
            <w:hideMark/>
          </w:tcPr>
          <w:p w14:paraId="20C24D4E"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369 824</w:t>
            </w:r>
          </w:p>
        </w:tc>
      </w:tr>
      <w:tr w:rsidR="00E12D19" w:rsidRPr="00065280" w14:paraId="5D219629"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0E7C050"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Gabón</w:t>
            </w:r>
          </w:p>
        </w:tc>
        <w:tc>
          <w:tcPr>
            <w:tcW w:w="1138" w:type="dxa"/>
            <w:tcBorders>
              <w:top w:val="nil"/>
              <w:left w:val="nil"/>
              <w:bottom w:val="single" w:sz="4" w:space="0" w:color="auto"/>
              <w:right w:val="single" w:sz="4" w:space="0" w:color="auto"/>
            </w:tcBorders>
            <w:shd w:val="clear" w:color="auto" w:fill="auto"/>
            <w:vAlign w:val="bottom"/>
            <w:hideMark/>
          </w:tcPr>
          <w:p w14:paraId="45C986A4"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0,013</w:t>
            </w:r>
          </w:p>
        </w:tc>
        <w:tc>
          <w:tcPr>
            <w:tcW w:w="2552" w:type="dxa"/>
            <w:tcBorders>
              <w:top w:val="nil"/>
              <w:left w:val="nil"/>
              <w:bottom w:val="single" w:sz="4" w:space="0" w:color="auto"/>
              <w:right w:val="single" w:sz="4" w:space="0" w:color="auto"/>
            </w:tcBorders>
            <w:shd w:val="clear" w:color="auto" w:fill="auto"/>
            <w:noWrap/>
            <w:vAlign w:val="bottom"/>
            <w:hideMark/>
          </w:tcPr>
          <w:p w14:paraId="5F3F29A7"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0,018</w:t>
            </w:r>
          </w:p>
        </w:tc>
        <w:tc>
          <w:tcPr>
            <w:tcW w:w="1217" w:type="dxa"/>
            <w:tcBorders>
              <w:top w:val="nil"/>
              <w:left w:val="nil"/>
              <w:bottom w:val="single" w:sz="4" w:space="0" w:color="auto"/>
              <w:right w:val="single" w:sz="4" w:space="0" w:color="auto"/>
            </w:tcBorders>
            <w:shd w:val="clear" w:color="auto" w:fill="auto"/>
            <w:noWrap/>
            <w:vAlign w:val="bottom"/>
            <w:hideMark/>
          </w:tcPr>
          <w:p w14:paraId="152DD0F9"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538</w:t>
            </w:r>
          </w:p>
        </w:tc>
        <w:tc>
          <w:tcPr>
            <w:tcW w:w="1213" w:type="dxa"/>
            <w:tcBorders>
              <w:top w:val="nil"/>
              <w:left w:val="nil"/>
              <w:bottom w:val="single" w:sz="4" w:space="0" w:color="auto"/>
              <w:right w:val="single" w:sz="4" w:space="0" w:color="auto"/>
            </w:tcBorders>
            <w:shd w:val="clear" w:color="auto" w:fill="auto"/>
            <w:noWrap/>
            <w:vAlign w:val="bottom"/>
            <w:hideMark/>
          </w:tcPr>
          <w:p w14:paraId="19B6AA1D"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575</w:t>
            </w:r>
          </w:p>
        </w:tc>
        <w:tc>
          <w:tcPr>
            <w:tcW w:w="1260" w:type="dxa"/>
            <w:tcBorders>
              <w:top w:val="nil"/>
              <w:left w:val="nil"/>
              <w:bottom w:val="single" w:sz="4" w:space="0" w:color="auto"/>
              <w:right w:val="single" w:sz="4" w:space="0" w:color="auto"/>
            </w:tcBorders>
            <w:shd w:val="clear" w:color="auto" w:fill="auto"/>
            <w:noWrap/>
            <w:vAlign w:val="bottom"/>
            <w:hideMark/>
          </w:tcPr>
          <w:p w14:paraId="0FA8E338"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1 113</w:t>
            </w:r>
          </w:p>
        </w:tc>
      </w:tr>
      <w:tr w:rsidR="00E12D19" w:rsidRPr="00065280" w14:paraId="2664BC78"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C8A9349"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Gambia</w:t>
            </w:r>
          </w:p>
        </w:tc>
        <w:tc>
          <w:tcPr>
            <w:tcW w:w="1138" w:type="dxa"/>
            <w:tcBorders>
              <w:top w:val="nil"/>
              <w:left w:val="nil"/>
              <w:bottom w:val="single" w:sz="4" w:space="0" w:color="auto"/>
              <w:right w:val="single" w:sz="4" w:space="0" w:color="auto"/>
            </w:tcBorders>
            <w:shd w:val="clear" w:color="auto" w:fill="auto"/>
            <w:vAlign w:val="bottom"/>
            <w:hideMark/>
          </w:tcPr>
          <w:p w14:paraId="1B41430B"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31B5C9A6"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2605B82D"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44776C24"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347C7A18"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86</w:t>
            </w:r>
          </w:p>
        </w:tc>
      </w:tr>
      <w:tr w:rsidR="00E12D19" w:rsidRPr="00065280" w14:paraId="155E4957"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19F0198"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Georgia</w:t>
            </w:r>
          </w:p>
        </w:tc>
        <w:tc>
          <w:tcPr>
            <w:tcW w:w="1138" w:type="dxa"/>
            <w:tcBorders>
              <w:top w:val="nil"/>
              <w:left w:val="nil"/>
              <w:bottom w:val="single" w:sz="4" w:space="0" w:color="auto"/>
              <w:right w:val="single" w:sz="4" w:space="0" w:color="auto"/>
            </w:tcBorders>
            <w:shd w:val="clear" w:color="auto" w:fill="auto"/>
            <w:vAlign w:val="bottom"/>
            <w:hideMark/>
          </w:tcPr>
          <w:p w14:paraId="4C0CC7F6"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0,008</w:t>
            </w:r>
          </w:p>
        </w:tc>
        <w:tc>
          <w:tcPr>
            <w:tcW w:w="2552" w:type="dxa"/>
            <w:tcBorders>
              <w:top w:val="nil"/>
              <w:left w:val="nil"/>
              <w:bottom w:val="single" w:sz="4" w:space="0" w:color="auto"/>
              <w:right w:val="single" w:sz="4" w:space="0" w:color="auto"/>
            </w:tcBorders>
            <w:shd w:val="clear" w:color="auto" w:fill="auto"/>
            <w:noWrap/>
            <w:vAlign w:val="bottom"/>
            <w:hideMark/>
          </w:tcPr>
          <w:p w14:paraId="215FF47F"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0,011</w:t>
            </w:r>
          </w:p>
        </w:tc>
        <w:tc>
          <w:tcPr>
            <w:tcW w:w="1217" w:type="dxa"/>
            <w:tcBorders>
              <w:top w:val="nil"/>
              <w:left w:val="nil"/>
              <w:bottom w:val="single" w:sz="4" w:space="0" w:color="auto"/>
              <w:right w:val="single" w:sz="4" w:space="0" w:color="auto"/>
            </w:tcBorders>
            <w:shd w:val="clear" w:color="auto" w:fill="auto"/>
            <w:noWrap/>
            <w:vAlign w:val="bottom"/>
            <w:hideMark/>
          </w:tcPr>
          <w:p w14:paraId="7933800E"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331</w:t>
            </w:r>
          </w:p>
        </w:tc>
        <w:tc>
          <w:tcPr>
            <w:tcW w:w="1213" w:type="dxa"/>
            <w:tcBorders>
              <w:top w:val="nil"/>
              <w:left w:val="nil"/>
              <w:bottom w:val="single" w:sz="4" w:space="0" w:color="auto"/>
              <w:right w:val="single" w:sz="4" w:space="0" w:color="auto"/>
            </w:tcBorders>
            <w:shd w:val="clear" w:color="auto" w:fill="auto"/>
            <w:noWrap/>
            <w:vAlign w:val="bottom"/>
            <w:hideMark/>
          </w:tcPr>
          <w:p w14:paraId="47C483B5"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354</w:t>
            </w:r>
          </w:p>
        </w:tc>
        <w:tc>
          <w:tcPr>
            <w:tcW w:w="1260" w:type="dxa"/>
            <w:tcBorders>
              <w:top w:val="nil"/>
              <w:left w:val="nil"/>
              <w:bottom w:val="single" w:sz="4" w:space="0" w:color="auto"/>
              <w:right w:val="single" w:sz="4" w:space="0" w:color="auto"/>
            </w:tcBorders>
            <w:shd w:val="clear" w:color="auto" w:fill="auto"/>
            <w:noWrap/>
            <w:vAlign w:val="bottom"/>
            <w:hideMark/>
          </w:tcPr>
          <w:p w14:paraId="58FDA2E0"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685</w:t>
            </w:r>
          </w:p>
        </w:tc>
      </w:tr>
      <w:tr w:rsidR="00E12D19" w:rsidRPr="00065280" w14:paraId="3CE5FAB0"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D30398A"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Ghana</w:t>
            </w:r>
          </w:p>
        </w:tc>
        <w:tc>
          <w:tcPr>
            <w:tcW w:w="1138" w:type="dxa"/>
            <w:tcBorders>
              <w:top w:val="nil"/>
              <w:left w:val="nil"/>
              <w:bottom w:val="single" w:sz="4" w:space="0" w:color="auto"/>
              <w:right w:val="single" w:sz="4" w:space="0" w:color="auto"/>
            </w:tcBorders>
            <w:shd w:val="clear" w:color="auto" w:fill="auto"/>
            <w:vAlign w:val="bottom"/>
            <w:hideMark/>
          </w:tcPr>
          <w:p w14:paraId="1E1C400C"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0,024</w:t>
            </w:r>
          </w:p>
        </w:tc>
        <w:tc>
          <w:tcPr>
            <w:tcW w:w="2552" w:type="dxa"/>
            <w:tcBorders>
              <w:top w:val="nil"/>
              <w:left w:val="nil"/>
              <w:bottom w:val="single" w:sz="4" w:space="0" w:color="auto"/>
              <w:right w:val="single" w:sz="4" w:space="0" w:color="auto"/>
            </w:tcBorders>
            <w:shd w:val="clear" w:color="auto" w:fill="auto"/>
            <w:noWrap/>
            <w:vAlign w:val="bottom"/>
            <w:hideMark/>
          </w:tcPr>
          <w:p w14:paraId="3CD1C8D4"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0,034</w:t>
            </w:r>
          </w:p>
        </w:tc>
        <w:tc>
          <w:tcPr>
            <w:tcW w:w="1217" w:type="dxa"/>
            <w:tcBorders>
              <w:top w:val="nil"/>
              <w:left w:val="nil"/>
              <w:bottom w:val="single" w:sz="4" w:space="0" w:color="auto"/>
              <w:right w:val="single" w:sz="4" w:space="0" w:color="auto"/>
            </w:tcBorders>
            <w:shd w:val="clear" w:color="auto" w:fill="auto"/>
            <w:noWrap/>
            <w:vAlign w:val="bottom"/>
            <w:hideMark/>
          </w:tcPr>
          <w:p w14:paraId="571236E5"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994</w:t>
            </w:r>
          </w:p>
        </w:tc>
        <w:tc>
          <w:tcPr>
            <w:tcW w:w="1213" w:type="dxa"/>
            <w:tcBorders>
              <w:top w:val="nil"/>
              <w:left w:val="nil"/>
              <w:bottom w:val="single" w:sz="4" w:space="0" w:color="auto"/>
              <w:right w:val="single" w:sz="4" w:space="0" w:color="auto"/>
            </w:tcBorders>
            <w:shd w:val="clear" w:color="auto" w:fill="auto"/>
            <w:noWrap/>
            <w:vAlign w:val="bottom"/>
            <w:hideMark/>
          </w:tcPr>
          <w:p w14:paraId="70D0CCC6"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1 062</w:t>
            </w:r>
          </w:p>
        </w:tc>
        <w:tc>
          <w:tcPr>
            <w:tcW w:w="1260" w:type="dxa"/>
            <w:tcBorders>
              <w:top w:val="nil"/>
              <w:left w:val="nil"/>
              <w:bottom w:val="single" w:sz="4" w:space="0" w:color="auto"/>
              <w:right w:val="single" w:sz="4" w:space="0" w:color="auto"/>
            </w:tcBorders>
            <w:shd w:val="clear" w:color="auto" w:fill="auto"/>
            <w:noWrap/>
            <w:vAlign w:val="bottom"/>
            <w:hideMark/>
          </w:tcPr>
          <w:p w14:paraId="154CC31D"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2 056</w:t>
            </w:r>
          </w:p>
        </w:tc>
      </w:tr>
      <w:tr w:rsidR="00E12D19" w:rsidRPr="00065280" w14:paraId="5BF99764"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5DCF12E5"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Granada</w:t>
            </w:r>
          </w:p>
        </w:tc>
        <w:tc>
          <w:tcPr>
            <w:tcW w:w="1138" w:type="dxa"/>
            <w:tcBorders>
              <w:top w:val="nil"/>
              <w:left w:val="nil"/>
              <w:bottom w:val="single" w:sz="4" w:space="0" w:color="auto"/>
              <w:right w:val="single" w:sz="4" w:space="0" w:color="auto"/>
            </w:tcBorders>
            <w:shd w:val="clear" w:color="auto" w:fill="auto"/>
            <w:vAlign w:val="bottom"/>
          </w:tcPr>
          <w:p w14:paraId="6C14B6AD"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0,001</w:t>
            </w:r>
          </w:p>
        </w:tc>
        <w:tc>
          <w:tcPr>
            <w:tcW w:w="2552" w:type="dxa"/>
            <w:tcBorders>
              <w:top w:val="nil"/>
              <w:left w:val="nil"/>
              <w:bottom w:val="single" w:sz="4" w:space="0" w:color="auto"/>
              <w:right w:val="single" w:sz="4" w:space="0" w:color="auto"/>
            </w:tcBorders>
            <w:shd w:val="clear" w:color="auto" w:fill="auto"/>
            <w:noWrap/>
            <w:vAlign w:val="bottom"/>
          </w:tcPr>
          <w:p w14:paraId="71B102BB"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0,001</w:t>
            </w:r>
          </w:p>
        </w:tc>
        <w:tc>
          <w:tcPr>
            <w:tcW w:w="1217" w:type="dxa"/>
            <w:tcBorders>
              <w:top w:val="nil"/>
              <w:left w:val="nil"/>
              <w:bottom w:val="single" w:sz="4" w:space="0" w:color="auto"/>
              <w:right w:val="single" w:sz="4" w:space="0" w:color="auto"/>
            </w:tcBorders>
            <w:shd w:val="clear" w:color="auto" w:fill="auto"/>
            <w:noWrap/>
            <w:vAlign w:val="bottom"/>
          </w:tcPr>
          <w:p w14:paraId="2EC2B1C0"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41</w:t>
            </w:r>
          </w:p>
        </w:tc>
        <w:tc>
          <w:tcPr>
            <w:tcW w:w="1213" w:type="dxa"/>
            <w:tcBorders>
              <w:top w:val="nil"/>
              <w:left w:val="nil"/>
              <w:bottom w:val="single" w:sz="4" w:space="0" w:color="auto"/>
              <w:right w:val="single" w:sz="4" w:space="0" w:color="auto"/>
            </w:tcBorders>
            <w:shd w:val="clear" w:color="auto" w:fill="auto"/>
            <w:noWrap/>
            <w:vAlign w:val="bottom"/>
          </w:tcPr>
          <w:p w14:paraId="7E29E94A"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44</w:t>
            </w:r>
          </w:p>
        </w:tc>
        <w:tc>
          <w:tcPr>
            <w:tcW w:w="1260" w:type="dxa"/>
            <w:tcBorders>
              <w:top w:val="nil"/>
              <w:left w:val="nil"/>
              <w:bottom w:val="single" w:sz="4" w:space="0" w:color="auto"/>
              <w:right w:val="single" w:sz="4" w:space="0" w:color="auto"/>
            </w:tcBorders>
            <w:shd w:val="clear" w:color="auto" w:fill="auto"/>
            <w:noWrap/>
            <w:vAlign w:val="bottom"/>
          </w:tcPr>
          <w:p w14:paraId="28E7B438"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86</w:t>
            </w:r>
          </w:p>
        </w:tc>
      </w:tr>
      <w:tr w:rsidR="00E12D19" w:rsidRPr="00065280" w14:paraId="5425B755"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131C95F"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Grecia</w:t>
            </w:r>
          </w:p>
        </w:tc>
        <w:tc>
          <w:tcPr>
            <w:tcW w:w="1138" w:type="dxa"/>
            <w:tcBorders>
              <w:top w:val="nil"/>
              <w:left w:val="nil"/>
              <w:bottom w:val="single" w:sz="4" w:space="0" w:color="auto"/>
              <w:right w:val="single" w:sz="4" w:space="0" w:color="auto"/>
            </w:tcBorders>
            <w:shd w:val="clear" w:color="auto" w:fill="auto"/>
            <w:vAlign w:val="bottom"/>
            <w:hideMark/>
          </w:tcPr>
          <w:p w14:paraId="3E070685"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0,325</w:t>
            </w:r>
          </w:p>
        </w:tc>
        <w:tc>
          <w:tcPr>
            <w:tcW w:w="2552" w:type="dxa"/>
            <w:tcBorders>
              <w:top w:val="nil"/>
              <w:left w:val="nil"/>
              <w:bottom w:val="single" w:sz="4" w:space="0" w:color="auto"/>
              <w:right w:val="single" w:sz="4" w:space="0" w:color="auto"/>
            </w:tcBorders>
            <w:shd w:val="clear" w:color="auto" w:fill="auto"/>
            <w:noWrap/>
            <w:vAlign w:val="bottom"/>
            <w:hideMark/>
          </w:tcPr>
          <w:p w14:paraId="2E920152"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0,459</w:t>
            </w:r>
          </w:p>
        </w:tc>
        <w:tc>
          <w:tcPr>
            <w:tcW w:w="1217" w:type="dxa"/>
            <w:tcBorders>
              <w:top w:val="nil"/>
              <w:left w:val="nil"/>
              <w:bottom w:val="single" w:sz="4" w:space="0" w:color="auto"/>
              <w:right w:val="single" w:sz="4" w:space="0" w:color="auto"/>
            </w:tcBorders>
            <w:shd w:val="clear" w:color="auto" w:fill="auto"/>
            <w:noWrap/>
            <w:vAlign w:val="bottom"/>
            <w:hideMark/>
          </w:tcPr>
          <w:p w14:paraId="32497AEF"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13 457</w:t>
            </w:r>
          </w:p>
        </w:tc>
        <w:tc>
          <w:tcPr>
            <w:tcW w:w="1213" w:type="dxa"/>
            <w:tcBorders>
              <w:top w:val="nil"/>
              <w:left w:val="nil"/>
              <w:bottom w:val="single" w:sz="4" w:space="0" w:color="auto"/>
              <w:right w:val="single" w:sz="4" w:space="0" w:color="auto"/>
            </w:tcBorders>
            <w:shd w:val="clear" w:color="auto" w:fill="auto"/>
            <w:noWrap/>
            <w:vAlign w:val="bottom"/>
            <w:hideMark/>
          </w:tcPr>
          <w:p w14:paraId="47FDFBFD"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14 378</w:t>
            </w:r>
          </w:p>
        </w:tc>
        <w:tc>
          <w:tcPr>
            <w:tcW w:w="1260" w:type="dxa"/>
            <w:tcBorders>
              <w:top w:val="nil"/>
              <w:left w:val="nil"/>
              <w:bottom w:val="single" w:sz="4" w:space="0" w:color="auto"/>
              <w:right w:val="single" w:sz="4" w:space="0" w:color="auto"/>
            </w:tcBorders>
            <w:shd w:val="clear" w:color="auto" w:fill="auto"/>
            <w:noWrap/>
            <w:vAlign w:val="bottom"/>
            <w:hideMark/>
          </w:tcPr>
          <w:p w14:paraId="75B8F897"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27 835</w:t>
            </w:r>
          </w:p>
        </w:tc>
      </w:tr>
      <w:tr w:rsidR="00E12D19" w:rsidRPr="00065280" w14:paraId="153E5347"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5F72918"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Guatemala</w:t>
            </w:r>
          </w:p>
        </w:tc>
        <w:tc>
          <w:tcPr>
            <w:tcW w:w="1138" w:type="dxa"/>
            <w:tcBorders>
              <w:top w:val="nil"/>
              <w:left w:val="nil"/>
              <w:bottom w:val="single" w:sz="4" w:space="0" w:color="auto"/>
              <w:right w:val="single" w:sz="4" w:space="0" w:color="auto"/>
            </w:tcBorders>
            <w:shd w:val="clear" w:color="auto" w:fill="auto"/>
            <w:vAlign w:val="bottom"/>
            <w:hideMark/>
          </w:tcPr>
          <w:p w14:paraId="35F0692B"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0,041</w:t>
            </w:r>
          </w:p>
        </w:tc>
        <w:tc>
          <w:tcPr>
            <w:tcW w:w="2552" w:type="dxa"/>
            <w:tcBorders>
              <w:top w:val="nil"/>
              <w:left w:val="nil"/>
              <w:bottom w:val="single" w:sz="4" w:space="0" w:color="auto"/>
              <w:right w:val="single" w:sz="4" w:space="0" w:color="auto"/>
            </w:tcBorders>
            <w:shd w:val="clear" w:color="auto" w:fill="auto"/>
            <w:noWrap/>
            <w:vAlign w:val="bottom"/>
            <w:hideMark/>
          </w:tcPr>
          <w:p w14:paraId="62FF5C3A"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0,058</w:t>
            </w:r>
          </w:p>
        </w:tc>
        <w:tc>
          <w:tcPr>
            <w:tcW w:w="1217" w:type="dxa"/>
            <w:tcBorders>
              <w:top w:val="nil"/>
              <w:left w:val="nil"/>
              <w:bottom w:val="single" w:sz="4" w:space="0" w:color="auto"/>
              <w:right w:val="single" w:sz="4" w:space="0" w:color="auto"/>
            </w:tcBorders>
            <w:shd w:val="clear" w:color="auto" w:fill="auto"/>
            <w:noWrap/>
            <w:vAlign w:val="bottom"/>
            <w:hideMark/>
          </w:tcPr>
          <w:p w14:paraId="79821374"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1 698</w:t>
            </w:r>
          </w:p>
        </w:tc>
        <w:tc>
          <w:tcPr>
            <w:tcW w:w="1213" w:type="dxa"/>
            <w:tcBorders>
              <w:top w:val="nil"/>
              <w:left w:val="nil"/>
              <w:bottom w:val="single" w:sz="4" w:space="0" w:color="auto"/>
              <w:right w:val="single" w:sz="4" w:space="0" w:color="auto"/>
            </w:tcBorders>
            <w:shd w:val="clear" w:color="auto" w:fill="auto"/>
            <w:noWrap/>
            <w:vAlign w:val="bottom"/>
            <w:hideMark/>
          </w:tcPr>
          <w:p w14:paraId="0E31490C"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1 814</w:t>
            </w:r>
          </w:p>
        </w:tc>
        <w:tc>
          <w:tcPr>
            <w:tcW w:w="1260" w:type="dxa"/>
            <w:tcBorders>
              <w:top w:val="nil"/>
              <w:left w:val="nil"/>
              <w:bottom w:val="single" w:sz="4" w:space="0" w:color="auto"/>
              <w:right w:val="single" w:sz="4" w:space="0" w:color="auto"/>
            </w:tcBorders>
            <w:shd w:val="clear" w:color="auto" w:fill="auto"/>
            <w:noWrap/>
            <w:vAlign w:val="bottom"/>
            <w:hideMark/>
          </w:tcPr>
          <w:p w14:paraId="13CC073C"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3 512</w:t>
            </w:r>
          </w:p>
        </w:tc>
      </w:tr>
      <w:tr w:rsidR="00E12D19" w:rsidRPr="00065280" w14:paraId="2971188B"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30D9367"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Guinea</w:t>
            </w:r>
          </w:p>
        </w:tc>
        <w:tc>
          <w:tcPr>
            <w:tcW w:w="1138" w:type="dxa"/>
            <w:tcBorders>
              <w:top w:val="nil"/>
              <w:left w:val="nil"/>
              <w:bottom w:val="single" w:sz="4" w:space="0" w:color="auto"/>
              <w:right w:val="single" w:sz="4" w:space="0" w:color="auto"/>
            </w:tcBorders>
            <w:shd w:val="clear" w:color="auto" w:fill="auto"/>
            <w:vAlign w:val="bottom"/>
            <w:hideMark/>
          </w:tcPr>
          <w:p w14:paraId="0ADC8A46"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0,003</w:t>
            </w:r>
          </w:p>
        </w:tc>
        <w:tc>
          <w:tcPr>
            <w:tcW w:w="2552" w:type="dxa"/>
            <w:tcBorders>
              <w:top w:val="nil"/>
              <w:left w:val="nil"/>
              <w:bottom w:val="single" w:sz="4" w:space="0" w:color="auto"/>
              <w:right w:val="single" w:sz="4" w:space="0" w:color="auto"/>
            </w:tcBorders>
            <w:shd w:val="clear" w:color="auto" w:fill="auto"/>
            <w:noWrap/>
            <w:vAlign w:val="bottom"/>
            <w:hideMark/>
          </w:tcPr>
          <w:p w14:paraId="49B14737"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0,004</w:t>
            </w:r>
          </w:p>
        </w:tc>
        <w:tc>
          <w:tcPr>
            <w:tcW w:w="1217" w:type="dxa"/>
            <w:tcBorders>
              <w:top w:val="nil"/>
              <w:left w:val="nil"/>
              <w:bottom w:val="single" w:sz="4" w:space="0" w:color="auto"/>
              <w:right w:val="single" w:sz="4" w:space="0" w:color="auto"/>
            </w:tcBorders>
            <w:shd w:val="clear" w:color="auto" w:fill="auto"/>
            <w:noWrap/>
            <w:vAlign w:val="bottom"/>
            <w:hideMark/>
          </w:tcPr>
          <w:p w14:paraId="3105F421"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124</w:t>
            </w:r>
          </w:p>
        </w:tc>
        <w:tc>
          <w:tcPr>
            <w:tcW w:w="1213" w:type="dxa"/>
            <w:tcBorders>
              <w:top w:val="nil"/>
              <w:left w:val="nil"/>
              <w:bottom w:val="single" w:sz="4" w:space="0" w:color="auto"/>
              <w:right w:val="single" w:sz="4" w:space="0" w:color="auto"/>
            </w:tcBorders>
            <w:shd w:val="clear" w:color="auto" w:fill="auto"/>
            <w:noWrap/>
            <w:vAlign w:val="bottom"/>
            <w:hideMark/>
          </w:tcPr>
          <w:p w14:paraId="4C736616"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133</w:t>
            </w:r>
          </w:p>
        </w:tc>
        <w:tc>
          <w:tcPr>
            <w:tcW w:w="1260" w:type="dxa"/>
            <w:tcBorders>
              <w:top w:val="nil"/>
              <w:left w:val="nil"/>
              <w:bottom w:val="single" w:sz="4" w:space="0" w:color="auto"/>
              <w:right w:val="single" w:sz="4" w:space="0" w:color="auto"/>
            </w:tcBorders>
            <w:shd w:val="clear" w:color="auto" w:fill="auto"/>
            <w:noWrap/>
            <w:vAlign w:val="bottom"/>
            <w:hideMark/>
          </w:tcPr>
          <w:p w14:paraId="02203A81"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257</w:t>
            </w:r>
          </w:p>
        </w:tc>
      </w:tr>
      <w:tr w:rsidR="00E12D19" w:rsidRPr="00065280" w14:paraId="678F0998"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2C75061"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Guinea-Bissau</w:t>
            </w:r>
          </w:p>
        </w:tc>
        <w:tc>
          <w:tcPr>
            <w:tcW w:w="1138" w:type="dxa"/>
            <w:tcBorders>
              <w:top w:val="nil"/>
              <w:left w:val="nil"/>
              <w:bottom w:val="single" w:sz="4" w:space="0" w:color="auto"/>
              <w:right w:val="single" w:sz="4" w:space="0" w:color="auto"/>
            </w:tcBorders>
            <w:shd w:val="clear" w:color="auto" w:fill="auto"/>
            <w:vAlign w:val="bottom"/>
            <w:hideMark/>
          </w:tcPr>
          <w:p w14:paraId="63639FCF"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7FF6AABA"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35009C4E"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73792430"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096E4D10"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86</w:t>
            </w:r>
          </w:p>
        </w:tc>
      </w:tr>
      <w:tr w:rsidR="00E12D19" w:rsidRPr="00065280" w14:paraId="01D7FFC5"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570018E"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Guyana</w:t>
            </w:r>
          </w:p>
        </w:tc>
        <w:tc>
          <w:tcPr>
            <w:tcW w:w="1138" w:type="dxa"/>
            <w:tcBorders>
              <w:top w:val="nil"/>
              <w:left w:val="nil"/>
              <w:bottom w:val="single" w:sz="4" w:space="0" w:color="auto"/>
              <w:right w:val="single" w:sz="4" w:space="0" w:color="auto"/>
            </w:tcBorders>
            <w:shd w:val="clear" w:color="auto" w:fill="auto"/>
            <w:vAlign w:val="bottom"/>
            <w:hideMark/>
          </w:tcPr>
          <w:p w14:paraId="64F88FA8"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0,004</w:t>
            </w:r>
          </w:p>
        </w:tc>
        <w:tc>
          <w:tcPr>
            <w:tcW w:w="2552" w:type="dxa"/>
            <w:tcBorders>
              <w:top w:val="nil"/>
              <w:left w:val="nil"/>
              <w:bottom w:val="single" w:sz="4" w:space="0" w:color="auto"/>
              <w:right w:val="single" w:sz="4" w:space="0" w:color="auto"/>
            </w:tcBorders>
            <w:shd w:val="clear" w:color="auto" w:fill="auto"/>
            <w:noWrap/>
            <w:vAlign w:val="bottom"/>
            <w:hideMark/>
          </w:tcPr>
          <w:p w14:paraId="2EAC0F9A"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0,006</w:t>
            </w:r>
          </w:p>
        </w:tc>
        <w:tc>
          <w:tcPr>
            <w:tcW w:w="1217" w:type="dxa"/>
            <w:tcBorders>
              <w:top w:val="nil"/>
              <w:left w:val="nil"/>
              <w:bottom w:val="single" w:sz="4" w:space="0" w:color="auto"/>
              <w:right w:val="single" w:sz="4" w:space="0" w:color="auto"/>
            </w:tcBorders>
            <w:shd w:val="clear" w:color="auto" w:fill="auto"/>
            <w:noWrap/>
            <w:vAlign w:val="bottom"/>
            <w:hideMark/>
          </w:tcPr>
          <w:p w14:paraId="19DF4C2F"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166</w:t>
            </w:r>
          </w:p>
        </w:tc>
        <w:tc>
          <w:tcPr>
            <w:tcW w:w="1213" w:type="dxa"/>
            <w:tcBorders>
              <w:top w:val="nil"/>
              <w:left w:val="nil"/>
              <w:bottom w:val="single" w:sz="4" w:space="0" w:color="auto"/>
              <w:right w:val="single" w:sz="4" w:space="0" w:color="auto"/>
            </w:tcBorders>
            <w:shd w:val="clear" w:color="auto" w:fill="auto"/>
            <w:noWrap/>
            <w:vAlign w:val="bottom"/>
            <w:hideMark/>
          </w:tcPr>
          <w:p w14:paraId="267A5442"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177</w:t>
            </w:r>
          </w:p>
        </w:tc>
        <w:tc>
          <w:tcPr>
            <w:tcW w:w="1260" w:type="dxa"/>
            <w:tcBorders>
              <w:top w:val="nil"/>
              <w:left w:val="nil"/>
              <w:bottom w:val="single" w:sz="4" w:space="0" w:color="auto"/>
              <w:right w:val="single" w:sz="4" w:space="0" w:color="auto"/>
            </w:tcBorders>
            <w:shd w:val="clear" w:color="auto" w:fill="auto"/>
            <w:noWrap/>
            <w:vAlign w:val="bottom"/>
            <w:hideMark/>
          </w:tcPr>
          <w:p w14:paraId="3DFF2FC2"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343</w:t>
            </w:r>
          </w:p>
        </w:tc>
      </w:tr>
      <w:tr w:rsidR="00E12D19" w:rsidRPr="00065280" w14:paraId="7F3271DE"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67BD752"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Honduras</w:t>
            </w:r>
          </w:p>
        </w:tc>
        <w:tc>
          <w:tcPr>
            <w:tcW w:w="1138" w:type="dxa"/>
            <w:tcBorders>
              <w:top w:val="nil"/>
              <w:left w:val="nil"/>
              <w:bottom w:val="single" w:sz="4" w:space="0" w:color="auto"/>
              <w:right w:val="single" w:sz="4" w:space="0" w:color="auto"/>
            </w:tcBorders>
            <w:shd w:val="clear" w:color="auto" w:fill="auto"/>
            <w:vAlign w:val="bottom"/>
            <w:hideMark/>
          </w:tcPr>
          <w:p w14:paraId="68004BD1"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0,009</w:t>
            </w:r>
          </w:p>
        </w:tc>
        <w:tc>
          <w:tcPr>
            <w:tcW w:w="2552" w:type="dxa"/>
            <w:tcBorders>
              <w:top w:val="nil"/>
              <w:left w:val="nil"/>
              <w:bottom w:val="single" w:sz="4" w:space="0" w:color="auto"/>
              <w:right w:val="single" w:sz="4" w:space="0" w:color="auto"/>
            </w:tcBorders>
            <w:shd w:val="clear" w:color="auto" w:fill="auto"/>
            <w:noWrap/>
            <w:vAlign w:val="bottom"/>
            <w:hideMark/>
          </w:tcPr>
          <w:p w14:paraId="6E697866"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0,013</w:t>
            </w:r>
          </w:p>
        </w:tc>
        <w:tc>
          <w:tcPr>
            <w:tcW w:w="1217" w:type="dxa"/>
            <w:tcBorders>
              <w:top w:val="nil"/>
              <w:left w:val="nil"/>
              <w:bottom w:val="single" w:sz="4" w:space="0" w:color="auto"/>
              <w:right w:val="single" w:sz="4" w:space="0" w:color="auto"/>
            </w:tcBorders>
            <w:shd w:val="clear" w:color="auto" w:fill="auto"/>
            <w:noWrap/>
            <w:vAlign w:val="bottom"/>
            <w:hideMark/>
          </w:tcPr>
          <w:p w14:paraId="5F3CDB56"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373</w:t>
            </w:r>
          </w:p>
        </w:tc>
        <w:tc>
          <w:tcPr>
            <w:tcW w:w="1213" w:type="dxa"/>
            <w:tcBorders>
              <w:top w:val="nil"/>
              <w:left w:val="nil"/>
              <w:bottom w:val="single" w:sz="4" w:space="0" w:color="auto"/>
              <w:right w:val="single" w:sz="4" w:space="0" w:color="auto"/>
            </w:tcBorders>
            <w:shd w:val="clear" w:color="auto" w:fill="auto"/>
            <w:noWrap/>
            <w:vAlign w:val="bottom"/>
            <w:hideMark/>
          </w:tcPr>
          <w:p w14:paraId="3CB75CDE"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398</w:t>
            </w:r>
          </w:p>
        </w:tc>
        <w:tc>
          <w:tcPr>
            <w:tcW w:w="1260" w:type="dxa"/>
            <w:tcBorders>
              <w:top w:val="nil"/>
              <w:left w:val="nil"/>
              <w:bottom w:val="single" w:sz="4" w:space="0" w:color="auto"/>
              <w:right w:val="single" w:sz="4" w:space="0" w:color="auto"/>
            </w:tcBorders>
            <w:shd w:val="clear" w:color="auto" w:fill="auto"/>
            <w:noWrap/>
            <w:vAlign w:val="bottom"/>
            <w:hideMark/>
          </w:tcPr>
          <w:p w14:paraId="61727654"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771</w:t>
            </w:r>
          </w:p>
        </w:tc>
      </w:tr>
      <w:tr w:rsidR="00E12D19" w:rsidRPr="00065280" w14:paraId="0AC4DD80"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D474D6E"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Hungría</w:t>
            </w:r>
          </w:p>
        </w:tc>
        <w:tc>
          <w:tcPr>
            <w:tcW w:w="1138" w:type="dxa"/>
            <w:tcBorders>
              <w:top w:val="nil"/>
              <w:left w:val="nil"/>
              <w:bottom w:val="single" w:sz="4" w:space="0" w:color="auto"/>
              <w:right w:val="single" w:sz="4" w:space="0" w:color="auto"/>
            </w:tcBorders>
            <w:shd w:val="clear" w:color="auto" w:fill="auto"/>
            <w:vAlign w:val="bottom"/>
            <w:hideMark/>
          </w:tcPr>
          <w:p w14:paraId="4372517F"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0,228</w:t>
            </w:r>
          </w:p>
        </w:tc>
        <w:tc>
          <w:tcPr>
            <w:tcW w:w="2552" w:type="dxa"/>
            <w:tcBorders>
              <w:top w:val="nil"/>
              <w:left w:val="nil"/>
              <w:bottom w:val="single" w:sz="4" w:space="0" w:color="auto"/>
              <w:right w:val="single" w:sz="4" w:space="0" w:color="auto"/>
            </w:tcBorders>
            <w:shd w:val="clear" w:color="auto" w:fill="auto"/>
            <w:noWrap/>
            <w:vAlign w:val="bottom"/>
            <w:hideMark/>
          </w:tcPr>
          <w:p w14:paraId="13AD5B7E"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0,322</w:t>
            </w:r>
          </w:p>
        </w:tc>
        <w:tc>
          <w:tcPr>
            <w:tcW w:w="1217" w:type="dxa"/>
            <w:tcBorders>
              <w:top w:val="nil"/>
              <w:left w:val="nil"/>
              <w:bottom w:val="single" w:sz="4" w:space="0" w:color="auto"/>
              <w:right w:val="single" w:sz="4" w:space="0" w:color="auto"/>
            </w:tcBorders>
            <w:shd w:val="clear" w:color="auto" w:fill="auto"/>
            <w:noWrap/>
            <w:vAlign w:val="bottom"/>
            <w:hideMark/>
          </w:tcPr>
          <w:p w14:paraId="7C9BA8E4"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9 441</w:t>
            </w:r>
          </w:p>
        </w:tc>
        <w:tc>
          <w:tcPr>
            <w:tcW w:w="1213" w:type="dxa"/>
            <w:tcBorders>
              <w:top w:val="nil"/>
              <w:left w:val="nil"/>
              <w:bottom w:val="single" w:sz="4" w:space="0" w:color="auto"/>
              <w:right w:val="single" w:sz="4" w:space="0" w:color="auto"/>
            </w:tcBorders>
            <w:shd w:val="clear" w:color="auto" w:fill="auto"/>
            <w:noWrap/>
            <w:vAlign w:val="bottom"/>
            <w:hideMark/>
          </w:tcPr>
          <w:p w14:paraId="7AAB34E6"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10 087</w:t>
            </w:r>
          </w:p>
        </w:tc>
        <w:tc>
          <w:tcPr>
            <w:tcW w:w="1260" w:type="dxa"/>
            <w:tcBorders>
              <w:top w:val="nil"/>
              <w:left w:val="nil"/>
              <w:bottom w:val="single" w:sz="4" w:space="0" w:color="auto"/>
              <w:right w:val="single" w:sz="4" w:space="0" w:color="auto"/>
            </w:tcBorders>
            <w:shd w:val="clear" w:color="auto" w:fill="auto"/>
            <w:noWrap/>
            <w:vAlign w:val="bottom"/>
            <w:hideMark/>
          </w:tcPr>
          <w:p w14:paraId="15196859"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19 528</w:t>
            </w:r>
          </w:p>
        </w:tc>
      </w:tr>
      <w:tr w:rsidR="00E12D19" w:rsidRPr="00065280" w14:paraId="33280E48"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D722FB2"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India</w:t>
            </w:r>
          </w:p>
        </w:tc>
        <w:tc>
          <w:tcPr>
            <w:tcW w:w="1138" w:type="dxa"/>
            <w:tcBorders>
              <w:top w:val="nil"/>
              <w:left w:val="nil"/>
              <w:bottom w:val="single" w:sz="4" w:space="0" w:color="auto"/>
              <w:right w:val="single" w:sz="4" w:space="0" w:color="auto"/>
            </w:tcBorders>
            <w:shd w:val="clear" w:color="auto" w:fill="auto"/>
            <w:vAlign w:val="bottom"/>
            <w:hideMark/>
          </w:tcPr>
          <w:p w14:paraId="609CA258"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1,044</w:t>
            </w:r>
          </w:p>
        </w:tc>
        <w:tc>
          <w:tcPr>
            <w:tcW w:w="2552" w:type="dxa"/>
            <w:tcBorders>
              <w:top w:val="nil"/>
              <w:left w:val="nil"/>
              <w:bottom w:val="single" w:sz="4" w:space="0" w:color="auto"/>
              <w:right w:val="single" w:sz="4" w:space="0" w:color="auto"/>
            </w:tcBorders>
            <w:shd w:val="clear" w:color="auto" w:fill="auto"/>
            <w:noWrap/>
            <w:vAlign w:val="bottom"/>
            <w:hideMark/>
          </w:tcPr>
          <w:p w14:paraId="740CEC46"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1,474</w:t>
            </w:r>
          </w:p>
        </w:tc>
        <w:tc>
          <w:tcPr>
            <w:tcW w:w="1217" w:type="dxa"/>
            <w:tcBorders>
              <w:top w:val="nil"/>
              <w:left w:val="nil"/>
              <w:bottom w:val="single" w:sz="4" w:space="0" w:color="auto"/>
              <w:right w:val="single" w:sz="4" w:space="0" w:color="auto"/>
            </w:tcBorders>
            <w:shd w:val="clear" w:color="auto" w:fill="auto"/>
            <w:noWrap/>
            <w:vAlign w:val="bottom"/>
            <w:hideMark/>
          </w:tcPr>
          <w:p w14:paraId="2ED11F42"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43 229</w:t>
            </w:r>
          </w:p>
        </w:tc>
        <w:tc>
          <w:tcPr>
            <w:tcW w:w="1213" w:type="dxa"/>
            <w:tcBorders>
              <w:top w:val="nil"/>
              <w:left w:val="nil"/>
              <w:bottom w:val="single" w:sz="4" w:space="0" w:color="auto"/>
              <w:right w:val="single" w:sz="4" w:space="0" w:color="auto"/>
            </w:tcBorders>
            <w:shd w:val="clear" w:color="auto" w:fill="auto"/>
            <w:noWrap/>
            <w:vAlign w:val="bottom"/>
            <w:hideMark/>
          </w:tcPr>
          <w:p w14:paraId="27A8FB1F"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46 187</w:t>
            </w:r>
          </w:p>
        </w:tc>
        <w:tc>
          <w:tcPr>
            <w:tcW w:w="1260" w:type="dxa"/>
            <w:tcBorders>
              <w:top w:val="nil"/>
              <w:left w:val="nil"/>
              <w:bottom w:val="single" w:sz="4" w:space="0" w:color="auto"/>
              <w:right w:val="single" w:sz="4" w:space="0" w:color="auto"/>
            </w:tcBorders>
            <w:shd w:val="clear" w:color="auto" w:fill="auto"/>
            <w:noWrap/>
            <w:vAlign w:val="bottom"/>
            <w:hideMark/>
          </w:tcPr>
          <w:p w14:paraId="18B6AD6E"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89 416</w:t>
            </w:r>
          </w:p>
        </w:tc>
      </w:tr>
      <w:tr w:rsidR="00E12D19" w:rsidRPr="00065280" w14:paraId="6D9A1E98"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2B8B846"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Indonesia</w:t>
            </w:r>
          </w:p>
        </w:tc>
        <w:tc>
          <w:tcPr>
            <w:tcW w:w="1138" w:type="dxa"/>
            <w:tcBorders>
              <w:top w:val="nil"/>
              <w:left w:val="nil"/>
              <w:bottom w:val="single" w:sz="4" w:space="0" w:color="auto"/>
              <w:right w:val="single" w:sz="4" w:space="0" w:color="auto"/>
            </w:tcBorders>
            <w:shd w:val="clear" w:color="auto" w:fill="auto"/>
            <w:vAlign w:val="bottom"/>
            <w:hideMark/>
          </w:tcPr>
          <w:p w14:paraId="23822049"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0,549</w:t>
            </w:r>
          </w:p>
        </w:tc>
        <w:tc>
          <w:tcPr>
            <w:tcW w:w="2552" w:type="dxa"/>
            <w:tcBorders>
              <w:top w:val="nil"/>
              <w:left w:val="nil"/>
              <w:bottom w:val="single" w:sz="4" w:space="0" w:color="auto"/>
              <w:right w:val="single" w:sz="4" w:space="0" w:color="auto"/>
            </w:tcBorders>
            <w:shd w:val="clear" w:color="auto" w:fill="auto"/>
            <w:noWrap/>
            <w:vAlign w:val="bottom"/>
            <w:hideMark/>
          </w:tcPr>
          <w:p w14:paraId="521D559A"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0,775</w:t>
            </w:r>
          </w:p>
        </w:tc>
        <w:tc>
          <w:tcPr>
            <w:tcW w:w="1217" w:type="dxa"/>
            <w:tcBorders>
              <w:top w:val="nil"/>
              <w:left w:val="nil"/>
              <w:bottom w:val="single" w:sz="4" w:space="0" w:color="auto"/>
              <w:right w:val="single" w:sz="4" w:space="0" w:color="auto"/>
            </w:tcBorders>
            <w:shd w:val="clear" w:color="auto" w:fill="auto"/>
            <w:noWrap/>
            <w:vAlign w:val="bottom"/>
            <w:hideMark/>
          </w:tcPr>
          <w:p w14:paraId="4A69E0EB"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22 732</w:t>
            </w:r>
          </w:p>
        </w:tc>
        <w:tc>
          <w:tcPr>
            <w:tcW w:w="1213" w:type="dxa"/>
            <w:tcBorders>
              <w:top w:val="nil"/>
              <w:left w:val="nil"/>
              <w:bottom w:val="single" w:sz="4" w:space="0" w:color="auto"/>
              <w:right w:val="single" w:sz="4" w:space="0" w:color="auto"/>
            </w:tcBorders>
            <w:shd w:val="clear" w:color="auto" w:fill="auto"/>
            <w:noWrap/>
            <w:vAlign w:val="bottom"/>
            <w:hideMark/>
          </w:tcPr>
          <w:p w14:paraId="5AE66765"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24 288</w:t>
            </w:r>
          </w:p>
        </w:tc>
        <w:tc>
          <w:tcPr>
            <w:tcW w:w="1260" w:type="dxa"/>
            <w:tcBorders>
              <w:top w:val="nil"/>
              <w:left w:val="nil"/>
              <w:bottom w:val="single" w:sz="4" w:space="0" w:color="auto"/>
              <w:right w:val="single" w:sz="4" w:space="0" w:color="auto"/>
            </w:tcBorders>
            <w:shd w:val="clear" w:color="auto" w:fill="auto"/>
            <w:noWrap/>
            <w:vAlign w:val="bottom"/>
            <w:hideMark/>
          </w:tcPr>
          <w:p w14:paraId="5419673B"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47 020</w:t>
            </w:r>
          </w:p>
        </w:tc>
      </w:tr>
      <w:tr w:rsidR="00E12D19" w:rsidRPr="00065280" w14:paraId="1E9A4CAC"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C949718" w14:textId="77777777" w:rsidR="00E12D19" w:rsidRPr="00065280" w:rsidRDefault="00E12D19" w:rsidP="00E824E6">
            <w:pPr>
              <w:tabs>
                <w:tab w:val="clear" w:pos="567"/>
                <w:tab w:val="left" w:pos="178"/>
                <w:tab w:val="left" w:pos="2835"/>
                <w:tab w:val="left" w:pos="3402"/>
              </w:tabs>
              <w:ind w:left="144" w:hanging="144"/>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Irán (República Islámica del)</w:t>
            </w:r>
          </w:p>
        </w:tc>
        <w:tc>
          <w:tcPr>
            <w:tcW w:w="1138" w:type="dxa"/>
            <w:tcBorders>
              <w:top w:val="nil"/>
              <w:left w:val="nil"/>
              <w:bottom w:val="single" w:sz="4" w:space="0" w:color="auto"/>
              <w:right w:val="single" w:sz="4" w:space="0" w:color="auto"/>
            </w:tcBorders>
            <w:shd w:val="clear" w:color="auto" w:fill="auto"/>
            <w:vAlign w:val="bottom"/>
            <w:hideMark/>
          </w:tcPr>
          <w:p w14:paraId="7B754084"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0,371</w:t>
            </w:r>
          </w:p>
        </w:tc>
        <w:tc>
          <w:tcPr>
            <w:tcW w:w="2552" w:type="dxa"/>
            <w:tcBorders>
              <w:top w:val="nil"/>
              <w:left w:val="nil"/>
              <w:bottom w:val="single" w:sz="4" w:space="0" w:color="auto"/>
              <w:right w:val="single" w:sz="4" w:space="0" w:color="auto"/>
            </w:tcBorders>
            <w:shd w:val="clear" w:color="auto" w:fill="auto"/>
            <w:noWrap/>
            <w:vAlign w:val="bottom"/>
            <w:hideMark/>
          </w:tcPr>
          <w:p w14:paraId="5C390F1F"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0,524</w:t>
            </w:r>
          </w:p>
        </w:tc>
        <w:tc>
          <w:tcPr>
            <w:tcW w:w="1217" w:type="dxa"/>
            <w:tcBorders>
              <w:top w:val="nil"/>
              <w:left w:val="nil"/>
              <w:bottom w:val="single" w:sz="4" w:space="0" w:color="auto"/>
              <w:right w:val="single" w:sz="4" w:space="0" w:color="auto"/>
            </w:tcBorders>
            <w:shd w:val="clear" w:color="auto" w:fill="auto"/>
            <w:noWrap/>
            <w:vAlign w:val="bottom"/>
            <w:hideMark/>
          </w:tcPr>
          <w:p w14:paraId="14060C2E"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15 362</w:t>
            </w:r>
          </w:p>
        </w:tc>
        <w:tc>
          <w:tcPr>
            <w:tcW w:w="1213" w:type="dxa"/>
            <w:tcBorders>
              <w:top w:val="nil"/>
              <w:left w:val="nil"/>
              <w:bottom w:val="single" w:sz="4" w:space="0" w:color="auto"/>
              <w:right w:val="single" w:sz="4" w:space="0" w:color="auto"/>
            </w:tcBorders>
            <w:shd w:val="clear" w:color="auto" w:fill="auto"/>
            <w:noWrap/>
            <w:vAlign w:val="bottom"/>
            <w:hideMark/>
          </w:tcPr>
          <w:p w14:paraId="470DF41D"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16 413</w:t>
            </w:r>
          </w:p>
        </w:tc>
        <w:tc>
          <w:tcPr>
            <w:tcW w:w="1260" w:type="dxa"/>
            <w:tcBorders>
              <w:top w:val="nil"/>
              <w:left w:val="nil"/>
              <w:bottom w:val="single" w:sz="4" w:space="0" w:color="auto"/>
              <w:right w:val="single" w:sz="4" w:space="0" w:color="auto"/>
            </w:tcBorders>
            <w:shd w:val="clear" w:color="auto" w:fill="auto"/>
            <w:noWrap/>
            <w:vAlign w:val="bottom"/>
            <w:hideMark/>
          </w:tcPr>
          <w:p w14:paraId="7D5AC73C"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31 775</w:t>
            </w:r>
          </w:p>
        </w:tc>
      </w:tr>
      <w:tr w:rsidR="00E12D19" w:rsidRPr="00065280" w14:paraId="571F43C9"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07C3056"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Iraq</w:t>
            </w:r>
          </w:p>
        </w:tc>
        <w:tc>
          <w:tcPr>
            <w:tcW w:w="1138" w:type="dxa"/>
            <w:tcBorders>
              <w:top w:val="nil"/>
              <w:left w:val="nil"/>
              <w:bottom w:val="single" w:sz="4" w:space="0" w:color="auto"/>
              <w:right w:val="single" w:sz="4" w:space="0" w:color="auto"/>
            </w:tcBorders>
            <w:shd w:val="clear" w:color="auto" w:fill="auto"/>
            <w:vAlign w:val="bottom"/>
            <w:hideMark/>
          </w:tcPr>
          <w:p w14:paraId="57572284"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0,128</w:t>
            </w:r>
          </w:p>
        </w:tc>
        <w:tc>
          <w:tcPr>
            <w:tcW w:w="2552" w:type="dxa"/>
            <w:tcBorders>
              <w:top w:val="nil"/>
              <w:left w:val="nil"/>
              <w:bottom w:val="single" w:sz="4" w:space="0" w:color="auto"/>
              <w:right w:val="single" w:sz="4" w:space="0" w:color="auto"/>
            </w:tcBorders>
            <w:shd w:val="clear" w:color="auto" w:fill="auto"/>
            <w:noWrap/>
            <w:vAlign w:val="bottom"/>
            <w:hideMark/>
          </w:tcPr>
          <w:p w14:paraId="44D40289"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0,181</w:t>
            </w:r>
          </w:p>
        </w:tc>
        <w:tc>
          <w:tcPr>
            <w:tcW w:w="1217" w:type="dxa"/>
            <w:tcBorders>
              <w:top w:val="nil"/>
              <w:left w:val="nil"/>
              <w:bottom w:val="single" w:sz="4" w:space="0" w:color="auto"/>
              <w:right w:val="single" w:sz="4" w:space="0" w:color="auto"/>
            </w:tcBorders>
            <w:shd w:val="clear" w:color="auto" w:fill="auto"/>
            <w:noWrap/>
            <w:vAlign w:val="bottom"/>
            <w:hideMark/>
          </w:tcPr>
          <w:p w14:paraId="147220C8"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5 300</w:t>
            </w:r>
          </w:p>
        </w:tc>
        <w:tc>
          <w:tcPr>
            <w:tcW w:w="1213" w:type="dxa"/>
            <w:tcBorders>
              <w:top w:val="nil"/>
              <w:left w:val="nil"/>
              <w:bottom w:val="single" w:sz="4" w:space="0" w:color="auto"/>
              <w:right w:val="single" w:sz="4" w:space="0" w:color="auto"/>
            </w:tcBorders>
            <w:shd w:val="clear" w:color="auto" w:fill="auto"/>
            <w:noWrap/>
            <w:vAlign w:val="bottom"/>
            <w:hideMark/>
          </w:tcPr>
          <w:p w14:paraId="7960586B"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5 663</w:t>
            </w:r>
          </w:p>
        </w:tc>
        <w:tc>
          <w:tcPr>
            <w:tcW w:w="1260" w:type="dxa"/>
            <w:tcBorders>
              <w:top w:val="nil"/>
              <w:left w:val="nil"/>
              <w:bottom w:val="single" w:sz="4" w:space="0" w:color="auto"/>
              <w:right w:val="single" w:sz="4" w:space="0" w:color="auto"/>
            </w:tcBorders>
            <w:shd w:val="clear" w:color="auto" w:fill="auto"/>
            <w:noWrap/>
            <w:vAlign w:val="bottom"/>
            <w:hideMark/>
          </w:tcPr>
          <w:p w14:paraId="002CF0D1"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10 963</w:t>
            </w:r>
          </w:p>
        </w:tc>
      </w:tr>
      <w:tr w:rsidR="00E12D19" w:rsidRPr="00065280" w14:paraId="6BEE3720"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5786942"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Irlanda</w:t>
            </w:r>
          </w:p>
        </w:tc>
        <w:tc>
          <w:tcPr>
            <w:tcW w:w="1138" w:type="dxa"/>
            <w:tcBorders>
              <w:top w:val="nil"/>
              <w:left w:val="nil"/>
              <w:bottom w:val="single" w:sz="4" w:space="0" w:color="auto"/>
              <w:right w:val="single" w:sz="4" w:space="0" w:color="auto"/>
            </w:tcBorders>
            <w:shd w:val="clear" w:color="auto" w:fill="auto"/>
            <w:vAlign w:val="bottom"/>
            <w:hideMark/>
          </w:tcPr>
          <w:p w14:paraId="576AFF23"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0,439</w:t>
            </w:r>
          </w:p>
        </w:tc>
        <w:tc>
          <w:tcPr>
            <w:tcW w:w="2552" w:type="dxa"/>
            <w:tcBorders>
              <w:top w:val="nil"/>
              <w:left w:val="nil"/>
              <w:bottom w:val="single" w:sz="4" w:space="0" w:color="auto"/>
              <w:right w:val="single" w:sz="4" w:space="0" w:color="auto"/>
            </w:tcBorders>
            <w:shd w:val="clear" w:color="auto" w:fill="auto"/>
            <w:noWrap/>
            <w:vAlign w:val="bottom"/>
            <w:hideMark/>
          </w:tcPr>
          <w:p w14:paraId="3ECACCB6"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0,620</w:t>
            </w:r>
          </w:p>
        </w:tc>
        <w:tc>
          <w:tcPr>
            <w:tcW w:w="1217" w:type="dxa"/>
            <w:tcBorders>
              <w:top w:val="nil"/>
              <w:left w:val="nil"/>
              <w:bottom w:val="single" w:sz="4" w:space="0" w:color="auto"/>
              <w:right w:val="single" w:sz="4" w:space="0" w:color="auto"/>
            </w:tcBorders>
            <w:shd w:val="clear" w:color="auto" w:fill="auto"/>
            <w:noWrap/>
            <w:vAlign w:val="bottom"/>
            <w:hideMark/>
          </w:tcPr>
          <w:p w14:paraId="051C4AA5"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18 178</w:t>
            </w:r>
          </w:p>
        </w:tc>
        <w:tc>
          <w:tcPr>
            <w:tcW w:w="1213" w:type="dxa"/>
            <w:tcBorders>
              <w:top w:val="nil"/>
              <w:left w:val="nil"/>
              <w:bottom w:val="single" w:sz="4" w:space="0" w:color="auto"/>
              <w:right w:val="single" w:sz="4" w:space="0" w:color="auto"/>
            </w:tcBorders>
            <w:shd w:val="clear" w:color="auto" w:fill="auto"/>
            <w:noWrap/>
            <w:vAlign w:val="bottom"/>
            <w:hideMark/>
          </w:tcPr>
          <w:p w14:paraId="29685E54"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19 421</w:t>
            </w:r>
          </w:p>
        </w:tc>
        <w:tc>
          <w:tcPr>
            <w:tcW w:w="1260" w:type="dxa"/>
            <w:tcBorders>
              <w:top w:val="nil"/>
              <w:left w:val="nil"/>
              <w:bottom w:val="single" w:sz="4" w:space="0" w:color="auto"/>
              <w:right w:val="single" w:sz="4" w:space="0" w:color="auto"/>
            </w:tcBorders>
            <w:shd w:val="clear" w:color="auto" w:fill="auto"/>
            <w:noWrap/>
            <w:vAlign w:val="bottom"/>
            <w:hideMark/>
          </w:tcPr>
          <w:p w14:paraId="23F793CF"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37 599</w:t>
            </w:r>
          </w:p>
        </w:tc>
      </w:tr>
      <w:tr w:rsidR="00E12D19" w:rsidRPr="00065280" w14:paraId="4A4FD96F"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2CC5B90B"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Islas Marshall</w:t>
            </w:r>
          </w:p>
        </w:tc>
        <w:tc>
          <w:tcPr>
            <w:tcW w:w="1138" w:type="dxa"/>
            <w:tcBorders>
              <w:top w:val="nil"/>
              <w:left w:val="nil"/>
              <w:bottom w:val="single" w:sz="4" w:space="0" w:color="auto"/>
              <w:right w:val="single" w:sz="4" w:space="0" w:color="auto"/>
            </w:tcBorders>
            <w:shd w:val="clear" w:color="auto" w:fill="auto"/>
            <w:vAlign w:val="bottom"/>
          </w:tcPr>
          <w:p w14:paraId="38589C8F"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0,001</w:t>
            </w:r>
          </w:p>
        </w:tc>
        <w:tc>
          <w:tcPr>
            <w:tcW w:w="2552" w:type="dxa"/>
            <w:tcBorders>
              <w:top w:val="nil"/>
              <w:left w:val="nil"/>
              <w:bottom w:val="single" w:sz="4" w:space="0" w:color="auto"/>
              <w:right w:val="single" w:sz="4" w:space="0" w:color="auto"/>
            </w:tcBorders>
            <w:shd w:val="clear" w:color="auto" w:fill="auto"/>
            <w:noWrap/>
            <w:vAlign w:val="bottom"/>
          </w:tcPr>
          <w:p w14:paraId="3A7AF151"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0,001</w:t>
            </w:r>
          </w:p>
        </w:tc>
        <w:tc>
          <w:tcPr>
            <w:tcW w:w="1217" w:type="dxa"/>
            <w:tcBorders>
              <w:top w:val="nil"/>
              <w:left w:val="nil"/>
              <w:bottom w:val="single" w:sz="4" w:space="0" w:color="auto"/>
              <w:right w:val="single" w:sz="4" w:space="0" w:color="auto"/>
            </w:tcBorders>
            <w:shd w:val="clear" w:color="auto" w:fill="auto"/>
            <w:noWrap/>
            <w:vAlign w:val="bottom"/>
          </w:tcPr>
          <w:p w14:paraId="19888253"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41</w:t>
            </w:r>
          </w:p>
        </w:tc>
        <w:tc>
          <w:tcPr>
            <w:tcW w:w="1213" w:type="dxa"/>
            <w:tcBorders>
              <w:top w:val="nil"/>
              <w:left w:val="nil"/>
              <w:bottom w:val="single" w:sz="4" w:space="0" w:color="auto"/>
              <w:right w:val="single" w:sz="4" w:space="0" w:color="auto"/>
            </w:tcBorders>
            <w:shd w:val="clear" w:color="auto" w:fill="auto"/>
            <w:noWrap/>
            <w:vAlign w:val="bottom"/>
          </w:tcPr>
          <w:p w14:paraId="24FC7216"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44</w:t>
            </w:r>
          </w:p>
        </w:tc>
        <w:tc>
          <w:tcPr>
            <w:tcW w:w="1260" w:type="dxa"/>
            <w:tcBorders>
              <w:top w:val="nil"/>
              <w:left w:val="nil"/>
              <w:bottom w:val="single" w:sz="4" w:space="0" w:color="auto"/>
              <w:right w:val="single" w:sz="4" w:space="0" w:color="auto"/>
            </w:tcBorders>
            <w:shd w:val="clear" w:color="auto" w:fill="auto"/>
            <w:noWrap/>
            <w:vAlign w:val="bottom"/>
          </w:tcPr>
          <w:p w14:paraId="03B177DC"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86</w:t>
            </w:r>
          </w:p>
        </w:tc>
      </w:tr>
      <w:tr w:rsidR="00E12D19" w:rsidRPr="00065280" w14:paraId="69FFB213"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74555F19"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Islas Salomón</w:t>
            </w:r>
          </w:p>
        </w:tc>
        <w:tc>
          <w:tcPr>
            <w:tcW w:w="1138" w:type="dxa"/>
            <w:tcBorders>
              <w:top w:val="nil"/>
              <w:left w:val="nil"/>
              <w:bottom w:val="single" w:sz="4" w:space="0" w:color="auto"/>
              <w:right w:val="single" w:sz="4" w:space="0" w:color="auto"/>
            </w:tcBorders>
            <w:shd w:val="clear" w:color="auto" w:fill="auto"/>
            <w:vAlign w:val="bottom"/>
          </w:tcPr>
          <w:p w14:paraId="0A2E31E1"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0,001</w:t>
            </w:r>
          </w:p>
        </w:tc>
        <w:tc>
          <w:tcPr>
            <w:tcW w:w="2552" w:type="dxa"/>
            <w:tcBorders>
              <w:top w:val="nil"/>
              <w:left w:val="nil"/>
              <w:bottom w:val="single" w:sz="4" w:space="0" w:color="auto"/>
              <w:right w:val="single" w:sz="4" w:space="0" w:color="auto"/>
            </w:tcBorders>
            <w:shd w:val="clear" w:color="auto" w:fill="auto"/>
            <w:noWrap/>
            <w:vAlign w:val="bottom"/>
          </w:tcPr>
          <w:p w14:paraId="293C3884"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0,001</w:t>
            </w:r>
          </w:p>
        </w:tc>
        <w:tc>
          <w:tcPr>
            <w:tcW w:w="1217" w:type="dxa"/>
            <w:tcBorders>
              <w:top w:val="nil"/>
              <w:left w:val="nil"/>
              <w:bottom w:val="single" w:sz="4" w:space="0" w:color="auto"/>
              <w:right w:val="single" w:sz="4" w:space="0" w:color="auto"/>
            </w:tcBorders>
            <w:shd w:val="clear" w:color="auto" w:fill="auto"/>
            <w:noWrap/>
            <w:vAlign w:val="bottom"/>
          </w:tcPr>
          <w:p w14:paraId="0650E724"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41</w:t>
            </w:r>
          </w:p>
        </w:tc>
        <w:tc>
          <w:tcPr>
            <w:tcW w:w="1213" w:type="dxa"/>
            <w:tcBorders>
              <w:top w:val="nil"/>
              <w:left w:val="nil"/>
              <w:bottom w:val="single" w:sz="4" w:space="0" w:color="auto"/>
              <w:right w:val="single" w:sz="4" w:space="0" w:color="auto"/>
            </w:tcBorders>
            <w:shd w:val="clear" w:color="auto" w:fill="auto"/>
            <w:noWrap/>
            <w:vAlign w:val="bottom"/>
          </w:tcPr>
          <w:p w14:paraId="68BFF29E"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44</w:t>
            </w:r>
          </w:p>
        </w:tc>
        <w:tc>
          <w:tcPr>
            <w:tcW w:w="1260" w:type="dxa"/>
            <w:tcBorders>
              <w:top w:val="nil"/>
              <w:left w:val="nil"/>
              <w:bottom w:val="single" w:sz="4" w:space="0" w:color="auto"/>
              <w:right w:val="single" w:sz="4" w:space="0" w:color="auto"/>
            </w:tcBorders>
            <w:shd w:val="clear" w:color="auto" w:fill="auto"/>
            <w:noWrap/>
            <w:vAlign w:val="bottom"/>
          </w:tcPr>
          <w:p w14:paraId="26CB8D7D"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86</w:t>
            </w:r>
          </w:p>
        </w:tc>
      </w:tr>
      <w:tr w:rsidR="00E12D19" w:rsidRPr="00065280" w14:paraId="1D8BDDA5"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15F6F8D"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Italia</w:t>
            </w:r>
          </w:p>
        </w:tc>
        <w:tc>
          <w:tcPr>
            <w:tcW w:w="1138" w:type="dxa"/>
            <w:tcBorders>
              <w:top w:val="nil"/>
              <w:left w:val="nil"/>
              <w:bottom w:val="single" w:sz="4" w:space="0" w:color="auto"/>
              <w:right w:val="single" w:sz="4" w:space="0" w:color="auto"/>
            </w:tcBorders>
            <w:shd w:val="clear" w:color="auto" w:fill="auto"/>
            <w:vAlign w:val="bottom"/>
            <w:hideMark/>
          </w:tcPr>
          <w:p w14:paraId="1547363D"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3,189</w:t>
            </w:r>
          </w:p>
        </w:tc>
        <w:tc>
          <w:tcPr>
            <w:tcW w:w="2552" w:type="dxa"/>
            <w:tcBorders>
              <w:top w:val="nil"/>
              <w:left w:val="nil"/>
              <w:bottom w:val="single" w:sz="4" w:space="0" w:color="auto"/>
              <w:right w:val="single" w:sz="4" w:space="0" w:color="auto"/>
            </w:tcBorders>
            <w:shd w:val="clear" w:color="auto" w:fill="auto"/>
            <w:noWrap/>
            <w:vAlign w:val="bottom"/>
            <w:hideMark/>
          </w:tcPr>
          <w:p w14:paraId="67F8769C"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4,502</w:t>
            </w:r>
          </w:p>
        </w:tc>
        <w:tc>
          <w:tcPr>
            <w:tcW w:w="1217" w:type="dxa"/>
            <w:tcBorders>
              <w:top w:val="nil"/>
              <w:left w:val="nil"/>
              <w:bottom w:val="single" w:sz="4" w:space="0" w:color="auto"/>
              <w:right w:val="single" w:sz="4" w:space="0" w:color="auto"/>
            </w:tcBorders>
            <w:shd w:val="clear" w:color="auto" w:fill="auto"/>
            <w:noWrap/>
            <w:vAlign w:val="bottom"/>
            <w:hideMark/>
          </w:tcPr>
          <w:p w14:paraId="41EB1E35"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132 047</w:t>
            </w:r>
          </w:p>
        </w:tc>
        <w:tc>
          <w:tcPr>
            <w:tcW w:w="1213" w:type="dxa"/>
            <w:tcBorders>
              <w:top w:val="nil"/>
              <w:left w:val="nil"/>
              <w:bottom w:val="single" w:sz="4" w:space="0" w:color="auto"/>
              <w:right w:val="single" w:sz="4" w:space="0" w:color="auto"/>
            </w:tcBorders>
            <w:shd w:val="clear" w:color="auto" w:fill="auto"/>
            <w:noWrap/>
            <w:vAlign w:val="bottom"/>
            <w:hideMark/>
          </w:tcPr>
          <w:p w14:paraId="73F2A16E"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141 082</w:t>
            </w:r>
          </w:p>
        </w:tc>
        <w:tc>
          <w:tcPr>
            <w:tcW w:w="1260" w:type="dxa"/>
            <w:tcBorders>
              <w:top w:val="nil"/>
              <w:left w:val="nil"/>
              <w:bottom w:val="single" w:sz="4" w:space="0" w:color="auto"/>
              <w:right w:val="single" w:sz="4" w:space="0" w:color="auto"/>
            </w:tcBorders>
            <w:shd w:val="clear" w:color="auto" w:fill="auto"/>
            <w:noWrap/>
            <w:vAlign w:val="bottom"/>
            <w:hideMark/>
          </w:tcPr>
          <w:p w14:paraId="3E27F26C"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273 129</w:t>
            </w:r>
          </w:p>
        </w:tc>
      </w:tr>
      <w:tr w:rsidR="00E12D19" w:rsidRPr="00065280" w14:paraId="2F6ACAF5"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9C2D690"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Jamaica</w:t>
            </w:r>
          </w:p>
        </w:tc>
        <w:tc>
          <w:tcPr>
            <w:tcW w:w="1138" w:type="dxa"/>
            <w:tcBorders>
              <w:top w:val="nil"/>
              <w:left w:val="nil"/>
              <w:bottom w:val="single" w:sz="4" w:space="0" w:color="auto"/>
              <w:right w:val="single" w:sz="4" w:space="0" w:color="auto"/>
            </w:tcBorders>
            <w:shd w:val="clear" w:color="auto" w:fill="auto"/>
            <w:vAlign w:val="bottom"/>
            <w:hideMark/>
          </w:tcPr>
          <w:p w14:paraId="62AE210F"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0,008</w:t>
            </w:r>
          </w:p>
        </w:tc>
        <w:tc>
          <w:tcPr>
            <w:tcW w:w="2552" w:type="dxa"/>
            <w:tcBorders>
              <w:top w:val="nil"/>
              <w:left w:val="nil"/>
              <w:bottom w:val="single" w:sz="4" w:space="0" w:color="auto"/>
              <w:right w:val="single" w:sz="4" w:space="0" w:color="auto"/>
            </w:tcBorders>
            <w:shd w:val="clear" w:color="auto" w:fill="auto"/>
            <w:noWrap/>
            <w:vAlign w:val="bottom"/>
            <w:hideMark/>
          </w:tcPr>
          <w:p w14:paraId="4D3738FB"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0,011</w:t>
            </w:r>
          </w:p>
        </w:tc>
        <w:tc>
          <w:tcPr>
            <w:tcW w:w="1217" w:type="dxa"/>
            <w:tcBorders>
              <w:top w:val="nil"/>
              <w:left w:val="nil"/>
              <w:bottom w:val="single" w:sz="4" w:space="0" w:color="auto"/>
              <w:right w:val="single" w:sz="4" w:space="0" w:color="auto"/>
            </w:tcBorders>
            <w:shd w:val="clear" w:color="auto" w:fill="auto"/>
            <w:noWrap/>
            <w:vAlign w:val="bottom"/>
            <w:hideMark/>
          </w:tcPr>
          <w:p w14:paraId="5A91CAAD"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331</w:t>
            </w:r>
          </w:p>
        </w:tc>
        <w:tc>
          <w:tcPr>
            <w:tcW w:w="1213" w:type="dxa"/>
            <w:tcBorders>
              <w:top w:val="nil"/>
              <w:left w:val="nil"/>
              <w:bottom w:val="single" w:sz="4" w:space="0" w:color="auto"/>
              <w:right w:val="single" w:sz="4" w:space="0" w:color="auto"/>
            </w:tcBorders>
            <w:shd w:val="clear" w:color="auto" w:fill="auto"/>
            <w:noWrap/>
            <w:vAlign w:val="bottom"/>
            <w:hideMark/>
          </w:tcPr>
          <w:p w14:paraId="2619325B"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354</w:t>
            </w:r>
          </w:p>
        </w:tc>
        <w:tc>
          <w:tcPr>
            <w:tcW w:w="1260" w:type="dxa"/>
            <w:tcBorders>
              <w:top w:val="nil"/>
              <w:left w:val="nil"/>
              <w:bottom w:val="single" w:sz="4" w:space="0" w:color="auto"/>
              <w:right w:val="single" w:sz="4" w:space="0" w:color="auto"/>
            </w:tcBorders>
            <w:shd w:val="clear" w:color="auto" w:fill="auto"/>
            <w:noWrap/>
            <w:vAlign w:val="bottom"/>
            <w:hideMark/>
          </w:tcPr>
          <w:p w14:paraId="2FAD88ED"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685</w:t>
            </w:r>
          </w:p>
        </w:tc>
      </w:tr>
      <w:tr w:rsidR="00E12D19" w:rsidRPr="00065280" w14:paraId="1A6E8FBA"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EF8F132"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Japón</w:t>
            </w:r>
          </w:p>
        </w:tc>
        <w:tc>
          <w:tcPr>
            <w:tcW w:w="1138" w:type="dxa"/>
            <w:tcBorders>
              <w:top w:val="nil"/>
              <w:left w:val="nil"/>
              <w:bottom w:val="single" w:sz="4" w:space="0" w:color="auto"/>
              <w:right w:val="single" w:sz="4" w:space="0" w:color="auto"/>
            </w:tcBorders>
            <w:shd w:val="clear" w:color="auto" w:fill="auto"/>
            <w:noWrap/>
            <w:vAlign w:val="bottom"/>
            <w:hideMark/>
          </w:tcPr>
          <w:p w14:paraId="1F49DCFD"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8,033</w:t>
            </w:r>
          </w:p>
        </w:tc>
        <w:tc>
          <w:tcPr>
            <w:tcW w:w="2552" w:type="dxa"/>
            <w:tcBorders>
              <w:top w:val="nil"/>
              <w:left w:val="nil"/>
              <w:bottom w:val="single" w:sz="4" w:space="0" w:color="auto"/>
              <w:right w:val="single" w:sz="4" w:space="0" w:color="auto"/>
            </w:tcBorders>
            <w:shd w:val="clear" w:color="auto" w:fill="auto"/>
            <w:noWrap/>
            <w:vAlign w:val="bottom"/>
            <w:hideMark/>
          </w:tcPr>
          <w:p w14:paraId="6FAF96DF"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11,340</w:t>
            </w:r>
          </w:p>
        </w:tc>
        <w:tc>
          <w:tcPr>
            <w:tcW w:w="1217" w:type="dxa"/>
            <w:tcBorders>
              <w:top w:val="nil"/>
              <w:left w:val="nil"/>
              <w:bottom w:val="single" w:sz="4" w:space="0" w:color="auto"/>
              <w:right w:val="single" w:sz="4" w:space="0" w:color="auto"/>
            </w:tcBorders>
            <w:shd w:val="clear" w:color="auto" w:fill="auto"/>
            <w:noWrap/>
            <w:vAlign w:val="bottom"/>
            <w:hideMark/>
          </w:tcPr>
          <w:p w14:paraId="3E3BD55C"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332 622</w:t>
            </w:r>
          </w:p>
        </w:tc>
        <w:tc>
          <w:tcPr>
            <w:tcW w:w="1213" w:type="dxa"/>
            <w:tcBorders>
              <w:top w:val="nil"/>
              <w:left w:val="nil"/>
              <w:bottom w:val="single" w:sz="4" w:space="0" w:color="auto"/>
              <w:right w:val="single" w:sz="4" w:space="0" w:color="auto"/>
            </w:tcBorders>
            <w:shd w:val="clear" w:color="auto" w:fill="auto"/>
            <w:noWrap/>
            <w:vAlign w:val="bottom"/>
            <w:hideMark/>
          </w:tcPr>
          <w:p w14:paraId="1874F714"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355 381</w:t>
            </w:r>
          </w:p>
        </w:tc>
        <w:tc>
          <w:tcPr>
            <w:tcW w:w="1260" w:type="dxa"/>
            <w:tcBorders>
              <w:top w:val="nil"/>
              <w:left w:val="nil"/>
              <w:bottom w:val="single" w:sz="4" w:space="0" w:color="auto"/>
              <w:right w:val="single" w:sz="4" w:space="0" w:color="auto"/>
            </w:tcBorders>
            <w:shd w:val="clear" w:color="auto" w:fill="auto"/>
            <w:noWrap/>
            <w:vAlign w:val="bottom"/>
            <w:hideMark/>
          </w:tcPr>
          <w:p w14:paraId="5A3766C6"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688 003</w:t>
            </w:r>
          </w:p>
        </w:tc>
      </w:tr>
      <w:tr w:rsidR="00E12D19" w:rsidRPr="00065280" w14:paraId="3ECD9DB8"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E8C8539"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Jordania</w:t>
            </w:r>
          </w:p>
        </w:tc>
        <w:tc>
          <w:tcPr>
            <w:tcW w:w="1138" w:type="dxa"/>
            <w:tcBorders>
              <w:top w:val="nil"/>
              <w:left w:val="nil"/>
              <w:bottom w:val="single" w:sz="4" w:space="0" w:color="auto"/>
              <w:right w:val="single" w:sz="4" w:space="0" w:color="auto"/>
            </w:tcBorders>
            <w:shd w:val="clear" w:color="auto" w:fill="auto"/>
            <w:vAlign w:val="bottom"/>
            <w:hideMark/>
          </w:tcPr>
          <w:p w14:paraId="0FDFAD75"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0,022</w:t>
            </w:r>
          </w:p>
        </w:tc>
        <w:tc>
          <w:tcPr>
            <w:tcW w:w="2552" w:type="dxa"/>
            <w:tcBorders>
              <w:top w:val="nil"/>
              <w:left w:val="nil"/>
              <w:bottom w:val="single" w:sz="4" w:space="0" w:color="auto"/>
              <w:right w:val="single" w:sz="4" w:space="0" w:color="auto"/>
            </w:tcBorders>
            <w:shd w:val="clear" w:color="auto" w:fill="auto"/>
            <w:noWrap/>
            <w:vAlign w:val="bottom"/>
            <w:hideMark/>
          </w:tcPr>
          <w:p w14:paraId="130E1B80"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0,031</w:t>
            </w:r>
          </w:p>
        </w:tc>
        <w:tc>
          <w:tcPr>
            <w:tcW w:w="1217" w:type="dxa"/>
            <w:tcBorders>
              <w:top w:val="nil"/>
              <w:left w:val="nil"/>
              <w:bottom w:val="single" w:sz="4" w:space="0" w:color="auto"/>
              <w:right w:val="single" w:sz="4" w:space="0" w:color="auto"/>
            </w:tcBorders>
            <w:shd w:val="clear" w:color="auto" w:fill="auto"/>
            <w:noWrap/>
            <w:vAlign w:val="bottom"/>
            <w:hideMark/>
          </w:tcPr>
          <w:p w14:paraId="1F41C79B"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911</w:t>
            </w:r>
          </w:p>
        </w:tc>
        <w:tc>
          <w:tcPr>
            <w:tcW w:w="1213" w:type="dxa"/>
            <w:tcBorders>
              <w:top w:val="nil"/>
              <w:left w:val="nil"/>
              <w:bottom w:val="single" w:sz="4" w:space="0" w:color="auto"/>
              <w:right w:val="single" w:sz="4" w:space="0" w:color="auto"/>
            </w:tcBorders>
            <w:shd w:val="clear" w:color="auto" w:fill="auto"/>
            <w:noWrap/>
            <w:vAlign w:val="bottom"/>
            <w:hideMark/>
          </w:tcPr>
          <w:p w14:paraId="39935170"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973</w:t>
            </w:r>
          </w:p>
        </w:tc>
        <w:tc>
          <w:tcPr>
            <w:tcW w:w="1260" w:type="dxa"/>
            <w:tcBorders>
              <w:top w:val="nil"/>
              <w:left w:val="nil"/>
              <w:bottom w:val="single" w:sz="4" w:space="0" w:color="auto"/>
              <w:right w:val="single" w:sz="4" w:space="0" w:color="auto"/>
            </w:tcBorders>
            <w:shd w:val="clear" w:color="auto" w:fill="auto"/>
            <w:noWrap/>
            <w:vAlign w:val="bottom"/>
            <w:hideMark/>
          </w:tcPr>
          <w:p w14:paraId="63A7FE24"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1 884</w:t>
            </w:r>
          </w:p>
        </w:tc>
      </w:tr>
      <w:tr w:rsidR="00E12D19" w:rsidRPr="00065280" w14:paraId="6F220302"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128723C"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Kazajstán</w:t>
            </w:r>
          </w:p>
        </w:tc>
        <w:tc>
          <w:tcPr>
            <w:tcW w:w="1138" w:type="dxa"/>
            <w:tcBorders>
              <w:top w:val="nil"/>
              <w:left w:val="nil"/>
              <w:bottom w:val="single" w:sz="4" w:space="0" w:color="auto"/>
              <w:right w:val="single" w:sz="4" w:space="0" w:color="auto"/>
            </w:tcBorders>
            <w:shd w:val="clear" w:color="auto" w:fill="auto"/>
            <w:vAlign w:val="bottom"/>
            <w:hideMark/>
          </w:tcPr>
          <w:p w14:paraId="37B35232"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0,133</w:t>
            </w:r>
          </w:p>
        </w:tc>
        <w:tc>
          <w:tcPr>
            <w:tcW w:w="2552" w:type="dxa"/>
            <w:tcBorders>
              <w:top w:val="nil"/>
              <w:left w:val="nil"/>
              <w:bottom w:val="single" w:sz="4" w:space="0" w:color="auto"/>
              <w:right w:val="single" w:sz="4" w:space="0" w:color="auto"/>
            </w:tcBorders>
            <w:shd w:val="clear" w:color="auto" w:fill="auto"/>
            <w:noWrap/>
            <w:vAlign w:val="bottom"/>
            <w:hideMark/>
          </w:tcPr>
          <w:p w14:paraId="75651F4D"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0,188</w:t>
            </w:r>
          </w:p>
        </w:tc>
        <w:tc>
          <w:tcPr>
            <w:tcW w:w="1217" w:type="dxa"/>
            <w:tcBorders>
              <w:top w:val="nil"/>
              <w:left w:val="nil"/>
              <w:bottom w:val="single" w:sz="4" w:space="0" w:color="auto"/>
              <w:right w:val="single" w:sz="4" w:space="0" w:color="auto"/>
            </w:tcBorders>
            <w:shd w:val="clear" w:color="auto" w:fill="auto"/>
            <w:noWrap/>
            <w:vAlign w:val="bottom"/>
            <w:hideMark/>
          </w:tcPr>
          <w:p w14:paraId="436ED6B1"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5 507</w:t>
            </w:r>
          </w:p>
        </w:tc>
        <w:tc>
          <w:tcPr>
            <w:tcW w:w="1213" w:type="dxa"/>
            <w:tcBorders>
              <w:top w:val="nil"/>
              <w:left w:val="nil"/>
              <w:bottom w:val="single" w:sz="4" w:space="0" w:color="auto"/>
              <w:right w:val="single" w:sz="4" w:space="0" w:color="auto"/>
            </w:tcBorders>
            <w:shd w:val="clear" w:color="auto" w:fill="auto"/>
            <w:noWrap/>
            <w:vAlign w:val="bottom"/>
            <w:hideMark/>
          </w:tcPr>
          <w:p w14:paraId="0E2F18C0"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5 884</w:t>
            </w:r>
          </w:p>
        </w:tc>
        <w:tc>
          <w:tcPr>
            <w:tcW w:w="1260" w:type="dxa"/>
            <w:tcBorders>
              <w:top w:val="nil"/>
              <w:left w:val="nil"/>
              <w:bottom w:val="single" w:sz="4" w:space="0" w:color="auto"/>
              <w:right w:val="single" w:sz="4" w:space="0" w:color="auto"/>
            </w:tcBorders>
            <w:shd w:val="clear" w:color="auto" w:fill="auto"/>
            <w:noWrap/>
            <w:vAlign w:val="bottom"/>
            <w:hideMark/>
          </w:tcPr>
          <w:p w14:paraId="3FD52610"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11 391</w:t>
            </w:r>
          </w:p>
        </w:tc>
      </w:tr>
      <w:tr w:rsidR="00E12D19" w:rsidRPr="00065280" w14:paraId="2830E676"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6DA63B5"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Kenya</w:t>
            </w:r>
          </w:p>
        </w:tc>
        <w:tc>
          <w:tcPr>
            <w:tcW w:w="1138" w:type="dxa"/>
            <w:tcBorders>
              <w:top w:val="nil"/>
              <w:left w:val="nil"/>
              <w:bottom w:val="single" w:sz="4" w:space="0" w:color="auto"/>
              <w:right w:val="single" w:sz="4" w:space="0" w:color="auto"/>
            </w:tcBorders>
            <w:shd w:val="clear" w:color="auto" w:fill="auto"/>
            <w:vAlign w:val="bottom"/>
            <w:hideMark/>
          </w:tcPr>
          <w:p w14:paraId="032FD386"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0,030</w:t>
            </w:r>
          </w:p>
        </w:tc>
        <w:tc>
          <w:tcPr>
            <w:tcW w:w="2552" w:type="dxa"/>
            <w:tcBorders>
              <w:top w:val="nil"/>
              <w:left w:val="nil"/>
              <w:bottom w:val="single" w:sz="4" w:space="0" w:color="auto"/>
              <w:right w:val="single" w:sz="4" w:space="0" w:color="auto"/>
            </w:tcBorders>
            <w:shd w:val="clear" w:color="auto" w:fill="auto"/>
            <w:noWrap/>
            <w:vAlign w:val="bottom"/>
            <w:hideMark/>
          </w:tcPr>
          <w:p w14:paraId="5CD27B11"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0,042</w:t>
            </w:r>
          </w:p>
        </w:tc>
        <w:tc>
          <w:tcPr>
            <w:tcW w:w="1217" w:type="dxa"/>
            <w:tcBorders>
              <w:top w:val="nil"/>
              <w:left w:val="nil"/>
              <w:bottom w:val="single" w:sz="4" w:space="0" w:color="auto"/>
              <w:right w:val="single" w:sz="4" w:space="0" w:color="auto"/>
            </w:tcBorders>
            <w:shd w:val="clear" w:color="auto" w:fill="auto"/>
            <w:noWrap/>
            <w:vAlign w:val="bottom"/>
            <w:hideMark/>
          </w:tcPr>
          <w:p w14:paraId="11C82EA5"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1 242</w:t>
            </w:r>
          </w:p>
        </w:tc>
        <w:tc>
          <w:tcPr>
            <w:tcW w:w="1213" w:type="dxa"/>
            <w:tcBorders>
              <w:top w:val="nil"/>
              <w:left w:val="nil"/>
              <w:bottom w:val="single" w:sz="4" w:space="0" w:color="auto"/>
              <w:right w:val="single" w:sz="4" w:space="0" w:color="auto"/>
            </w:tcBorders>
            <w:shd w:val="clear" w:color="auto" w:fill="auto"/>
            <w:noWrap/>
            <w:vAlign w:val="bottom"/>
            <w:hideMark/>
          </w:tcPr>
          <w:p w14:paraId="47B236E6"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1 327</w:t>
            </w:r>
          </w:p>
        </w:tc>
        <w:tc>
          <w:tcPr>
            <w:tcW w:w="1260" w:type="dxa"/>
            <w:tcBorders>
              <w:top w:val="nil"/>
              <w:left w:val="nil"/>
              <w:bottom w:val="single" w:sz="4" w:space="0" w:color="auto"/>
              <w:right w:val="single" w:sz="4" w:space="0" w:color="auto"/>
            </w:tcBorders>
            <w:shd w:val="clear" w:color="auto" w:fill="auto"/>
            <w:noWrap/>
            <w:vAlign w:val="bottom"/>
            <w:hideMark/>
          </w:tcPr>
          <w:p w14:paraId="1AF0EFEC"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2 569</w:t>
            </w:r>
          </w:p>
        </w:tc>
      </w:tr>
      <w:tr w:rsidR="00E12D19" w:rsidRPr="00065280" w14:paraId="4FD6AAE6"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7705F968"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Kirguistán</w:t>
            </w:r>
          </w:p>
        </w:tc>
        <w:tc>
          <w:tcPr>
            <w:tcW w:w="1138" w:type="dxa"/>
            <w:tcBorders>
              <w:top w:val="nil"/>
              <w:left w:val="nil"/>
              <w:bottom w:val="single" w:sz="4" w:space="0" w:color="auto"/>
              <w:right w:val="single" w:sz="4" w:space="0" w:color="auto"/>
            </w:tcBorders>
            <w:shd w:val="clear" w:color="auto" w:fill="auto"/>
            <w:vAlign w:val="bottom"/>
          </w:tcPr>
          <w:p w14:paraId="3B3E01FE"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0,002</w:t>
            </w:r>
          </w:p>
        </w:tc>
        <w:tc>
          <w:tcPr>
            <w:tcW w:w="2552" w:type="dxa"/>
            <w:tcBorders>
              <w:top w:val="nil"/>
              <w:left w:val="nil"/>
              <w:bottom w:val="single" w:sz="4" w:space="0" w:color="auto"/>
              <w:right w:val="single" w:sz="4" w:space="0" w:color="auto"/>
            </w:tcBorders>
            <w:shd w:val="clear" w:color="auto" w:fill="auto"/>
            <w:noWrap/>
            <w:vAlign w:val="bottom"/>
          </w:tcPr>
          <w:p w14:paraId="54DF46D0"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0,003</w:t>
            </w:r>
          </w:p>
        </w:tc>
        <w:tc>
          <w:tcPr>
            <w:tcW w:w="1217" w:type="dxa"/>
            <w:tcBorders>
              <w:top w:val="nil"/>
              <w:left w:val="nil"/>
              <w:bottom w:val="single" w:sz="4" w:space="0" w:color="auto"/>
              <w:right w:val="single" w:sz="4" w:space="0" w:color="auto"/>
            </w:tcBorders>
            <w:shd w:val="clear" w:color="auto" w:fill="auto"/>
            <w:noWrap/>
            <w:vAlign w:val="bottom"/>
          </w:tcPr>
          <w:p w14:paraId="14AC75BA"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83</w:t>
            </w:r>
          </w:p>
        </w:tc>
        <w:tc>
          <w:tcPr>
            <w:tcW w:w="1213" w:type="dxa"/>
            <w:tcBorders>
              <w:top w:val="nil"/>
              <w:left w:val="nil"/>
              <w:bottom w:val="single" w:sz="4" w:space="0" w:color="auto"/>
              <w:right w:val="single" w:sz="4" w:space="0" w:color="auto"/>
            </w:tcBorders>
            <w:shd w:val="clear" w:color="auto" w:fill="auto"/>
            <w:noWrap/>
            <w:vAlign w:val="bottom"/>
          </w:tcPr>
          <w:p w14:paraId="372D2415"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88</w:t>
            </w:r>
          </w:p>
        </w:tc>
        <w:tc>
          <w:tcPr>
            <w:tcW w:w="1260" w:type="dxa"/>
            <w:tcBorders>
              <w:top w:val="nil"/>
              <w:left w:val="nil"/>
              <w:bottom w:val="single" w:sz="4" w:space="0" w:color="auto"/>
              <w:right w:val="single" w:sz="4" w:space="0" w:color="auto"/>
            </w:tcBorders>
            <w:shd w:val="clear" w:color="auto" w:fill="auto"/>
            <w:noWrap/>
            <w:vAlign w:val="bottom"/>
          </w:tcPr>
          <w:p w14:paraId="59CE065B"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171</w:t>
            </w:r>
          </w:p>
        </w:tc>
      </w:tr>
      <w:tr w:rsidR="00E12D19" w:rsidRPr="00065280" w14:paraId="5CFF4CE9"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9670B39"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Kiribati</w:t>
            </w:r>
          </w:p>
        </w:tc>
        <w:tc>
          <w:tcPr>
            <w:tcW w:w="1138" w:type="dxa"/>
            <w:tcBorders>
              <w:top w:val="nil"/>
              <w:left w:val="nil"/>
              <w:bottom w:val="single" w:sz="4" w:space="0" w:color="auto"/>
              <w:right w:val="single" w:sz="4" w:space="0" w:color="auto"/>
            </w:tcBorders>
            <w:shd w:val="clear" w:color="auto" w:fill="auto"/>
            <w:vAlign w:val="bottom"/>
            <w:hideMark/>
          </w:tcPr>
          <w:p w14:paraId="01268977"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3E74422B"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0D1B3E59"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69338949"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7926B51F"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86</w:t>
            </w:r>
          </w:p>
        </w:tc>
      </w:tr>
      <w:tr w:rsidR="00E12D19" w:rsidRPr="00065280" w14:paraId="104A77DA"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9368127"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Kuwait</w:t>
            </w:r>
          </w:p>
        </w:tc>
        <w:tc>
          <w:tcPr>
            <w:tcW w:w="1138" w:type="dxa"/>
            <w:tcBorders>
              <w:top w:val="nil"/>
              <w:left w:val="nil"/>
              <w:bottom w:val="single" w:sz="4" w:space="0" w:color="auto"/>
              <w:right w:val="single" w:sz="4" w:space="0" w:color="auto"/>
            </w:tcBorders>
            <w:shd w:val="clear" w:color="auto" w:fill="auto"/>
            <w:vAlign w:val="bottom"/>
            <w:hideMark/>
          </w:tcPr>
          <w:p w14:paraId="4B058E55"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0,234</w:t>
            </w:r>
          </w:p>
        </w:tc>
        <w:tc>
          <w:tcPr>
            <w:tcW w:w="2552" w:type="dxa"/>
            <w:tcBorders>
              <w:top w:val="nil"/>
              <w:left w:val="nil"/>
              <w:bottom w:val="single" w:sz="4" w:space="0" w:color="auto"/>
              <w:right w:val="single" w:sz="4" w:space="0" w:color="auto"/>
            </w:tcBorders>
            <w:shd w:val="clear" w:color="auto" w:fill="auto"/>
            <w:noWrap/>
            <w:vAlign w:val="bottom"/>
            <w:hideMark/>
          </w:tcPr>
          <w:p w14:paraId="2F323290"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0,330</w:t>
            </w:r>
          </w:p>
        </w:tc>
        <w:tc>
          <w:tcPr>
            <w:tcW w:w="1217" w:type="dxa"/>
            <w:tcBorders>
              <w:top w:val="nil"/>
              <w:left w:val="nil"/>
              <w:bottom w:val="single" w:sz="4" w:space="0" w:color="auto"/>
              <w:right w:val="single" w:sz="4" w:space="0" w:color="auto"/>
            </w:tcBorders>
            <w:shd w:val="clear" w:color="auto" w:fill="auto"/>
            <w:noWrap/>
            <w:vAlign w:val="bottom"/>
            <w:hideMark/>
          </w:tcPr>
          <w:p w14:paraId="33CA966E"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9 689</w:t>
            </w:r>
          </w:p>
        </w:tc>
        <w:tc>
          <w:tcPr>
            <w:tcW w:w="1213" w:type="dxa"/>
            <w:tcBorders>
              <w:top w:val="nil"/>
              <w:left w:val="nil"/>
              <w:bottom w:val="single" w:sz="4" w:space="0" w:color="auto"/>
              <w:right w:val="single" w:sz="4" w:space="0" w:color="auto"/>
            </w:tcBorders>
            <w:shd w:val="clear" w:color="auto" w:fill="auto"/>
            <w:noWrap/>
            <w:vAlign w:val="bottom"/>
            <w:hideMark/>
          </w:tcPr>
          <w:p w14:paraId="7DF9C4D0"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10 352</w:t>
            </w:r>
          </w:p>
        </w:tc>
        <w:tc>
          <w:tcPr>
            <w:tcW w:w="1260" w:type="dxa"/>
            <w:tcBorders>
              <w:top w:val="nil"/>
              <w:left w:val="nil"/>
              <w:bottom w:val="single" w:sz="4" w:space="0" w:color="auto"/>
              <w:right w:val="single" w:sz="4" w:space="0" w:color="auto"/>
            </w:tcBorders>
            <w:shd w:val="clear" w:color="auto" w:fill="auto"/>
            <w:noWrap/>
            <w:vAlign w:val="bottom"/>
            <w:hideMark/>
          </w:tcPr>
          <w:p w14:paraId="72004B02"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20 041</w:t>
            </w:r>
          </w:p>
        </w:tc>
      </w:tr>
      <w:tr w:rsidR="00E12D19" w:rsidRPr="00065280" w14:paraId="2CE7D2D8"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13E49DDF"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Lesotho</w:t>
            </w:r>
          </w:p>
        </w:tc>
        <w:tc>
          <w:tcPr>
            <w:tcW w:w="1138" w:type="dxa"/>
            <w:tcBorders>
              <w:top w:val="nil"/>
              <w:left w:val="nil"/>
              <w:bottom w:val="single" w:sz="4" w:space="0" w:color="auto"/>
              <w:right w:val="single" w:sz="4" w:space="0" w:color="auto"/>
            </w:tcBorders>
            <w:shd w:val="clear" w:color="auto" w:fill="auto"/>
            <w:vAlign w:val="bottom"/>
          </w:tcPr>
          <w:p w14:paraId="448925EA"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0,001</w:t>
            </w:r>
          </w:p>
        </w:tc>
        <w:tc>
          <w:tcPr>
            <w:tcW w:w="2552" w:type="dxa"/>
            <w:tcBorders>
              <w:top w:val="nil"/>
              <w:left w:val="nil"/>
              <w:bottom w:val="single" w:sz="4" w:space="0" w:color="auto"/>
              <w:right w:val="single" w:sz="4" w:space="0" w:color="auto"/>
            </w:tcBorders>
            <w:shd w:val="clear" w:color="auto" w:fill="auto"/>
            <w:noWrap/>
            <w:vAlign w:val="bottom"/>
          </w:tcPr>
          <w:p w14:paraId="5C805ACC"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0,001</w:t>
            </w:r>
          </w:p>
        </w:tc>
        <w:tc>
          <w:tcPr>
            <w:tcW w:w="1217" w:type="dxa"/>
            <w:tcBorders>
              <w:top w:val="nil"/>
              <w:left w:val="nil"/>
              <w:bottom w:val="single" w:sz="4" w:space="0" w:color="auto"/>
              <w:right w:val="single" w:sz="4" w:space="0" w:color="auto"/>
            </w:tcBorders>
            <w:shd w:val="clear" w:color="auto" w:fill="auto"/>
            <w:noWrap/>
            <w:vAlign w:val="bottom"/>
          </w:tcPr>
          <w:p w14:paraId="43282751"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41</w:t>
            </w:r>
          </w:p>
        </w:tc>
        <w:tc>
          <w:tcPr>
            <w:tcW w:w="1213" w:type="dxa"/>
            <w:tcBorders>
              <w:top w:val="nil"/>
              <w:left w:val="nil"/>
              <w:bottom w:val="single" w:sz="4" w:space="0" w:color="auto"/>
              <w:right w:val="single" w:sz="4" w:space="0" w:color="auto"/>
            </w:tcBorders>
            <w:shd w:val="clear" w:color="auto" w:fill="auto"/>
            <w:noWrap/>
            <w:vAlign w:val="bottom"/>
          </w:tcPr>
          <w:p w14:paraId="767914C8"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44</w:t>
            </w:r>
          </w:p>
        </w:tc>
        <w:tc>
          <w:tcPr>
            <w:tcW w:w="1260" w:type="dxa"/>
            <w:tcBorders>
              <w:top w:val="nil"/>
              <w:left w:val="nil"/>
              <w:bottom w:val="single" w:sz="4" w:space="0" w:color="auto"/>
              <w:right w:val="single" w:sz="4" w:space="0" w:color="auto"/>
            </w:tcBorders>
            <w:shd w:val="clear" w:color="auto" w:fill="auto"/>
            <w:noWrap/>
            <w:vAlign w:val="bottom"/>
          </w:tcPr>
          <w:p w14:paraId="1E1F2C01"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86</w:t>
            </w:r>
          </w:p>
        </w:tc>
      </w:tr>
      <w:tr w:rsidR="00E12D19" w:rsidRPr="00065280" w14:paraId="33FF0C1F"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54906FF3"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Letonia</w:t>
            </w:r>
          </w:p>
        </w:tc>
        <w:tc>
          <w:tcPr>
            <w:tcW w:w="1138" w:type="dxa"/>
            <w:tcBorders>
              <w:top w:val="nil"/>
              <w:left w:val="nil"/>
              <w:bottom w:val="single" w:sz="4" w:space="0" w:color="auto"/>
              <w:right w:val="single" w:sz="4" w:space="0" w:color="auto"/>
            </w:tcBorders>
            <w:shd w:val="clear" w:color="auto" w:fill="auto"/>
            <w:vAlign w:val="bottom"/>
          </w:tcPr>
          <w:p w14:paraId="4423A20E"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0,050</w:t>
            </w:r>
          </w:p>
        </w:tc>
        <w:tc>
          <w:tcPr>
            <w:tcW w:w="2552" w:type="dxa"/>
            <w:tcBorders>
              <w:top w:val="nil"/>
              <w:left w:val="nil"/>
              <w:bottom w:val="single" w:sz="4" w:space="0" w:color="auto"/>
              <w:right w:val="single" w:sz="4" w:space="0" w:color="auto"/>
            </w:tcBorders>
            <w:shd w:val="clear" w:color="auto" w:fill="auto"/>
            <w:noWrap/>
            <w:vAlign w:val="bottom"/>
          </w:tcPr>
          <w:p w14:paraId="260CD8B1"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0,071</w:t>
            </w:r>
          </w:p>
        </w:tc>
        <w:tc>
          <w:tcPr>
            <w:tcW w:w="1217" w:type="dxa"/>
            <w:tcBorders>
              <w:top w:val="nil"/>
              <w:left w:val="nil"/>
              <w:bottom w:val="single" w:sz="4" w:space="0" w:color="auto"/>
              <w:right w:val="single" w:sz="4" w:space="0" w:color="auto"/>
            </w:tcBorders>
            <w:shd w:val="clear" w:color="auto" w:fill="auto"/>
            <w:noWrap/>
            <w:vAlign w:val="bottom"/>
          </w:tcPr>
          <w:p w14:paraId="55E1BD77"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2 070</w:t>
            </w:r>
          </w:p>
        </w:tc>
        <w:tc>
          <w:tcPr>
            <w:tcW w:w="1213" w:type="dxa"/>
            <w:tcBorders>
              <w:top w:val="nil"/>
              <w:left w:val="nil"/>
              <w:bottom w:val="single" w:sz="4" w:space="0" w:color="auto"/>
              <w:right w:val="single" w:sz="4" w:space="0" w:color="auto"/>
            </w:tcBorders>
            <w:shd w:val="clear" w:color="auto" w:fill="auto"/>
            <w:noWrap/>
            <w:vAlign w:val="bottom"/>
          </w:tcPr>
          <w:p w14:paraId="502E5CCA"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2 212</w:t>
            </w:r>
          </w:p>
        </w:tc>
        <w:tc>
          <w:tcPr>
            <w:tcW w:w="1260" w:type="dxa"/>
            <w:tcBorders>
              <w:top w:val="nil"/>
              <w:left w:val="nil"/>
              <w:bottom w:val="single" w:sz="4" w:space="0" w:color="auto"/>
              <w:right w:val="single" w:sz="4" w:space="0" w:color="auto"/>
            </w:tcBorders>
            <w:shd w:val="clear" w:color="auto" w:fill="auto"/>
            <w:noWrap/>
            <w:vAlign w:val="bottom"/>
          </w:tcPr>
          <w:p w14:paraId="1DAA9411"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4 282</w:t>
            </w:r>
          </w:p>
        </w:tc>
      </w:tr>
      <w:tr w:rsidR="00E12D19" w:rsidRPr="00065280" w14:paraId="0467576B"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A80C0BA"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Líbano</w:t>
            </w:r>
          </w:p>
        </w:tc>
        <w:tc>
          <w:tcPr>
            <w:tcW w:w="1138" w:type="dxa"/>
            <w:tcBorders>
              <w:top w:val="nil"/>
              <w:left w:val="nil"/>
              <w:bottom w:val="single" w:sz="4" w:space="0" w:color="auto"/>
              <w:right w:val="single" w:sz="4" w:space="0" w:color="auto"/>
            </w:tcBorders>
            <w:shd w:val="clear" w:color="auto" w:fill="auto"/>
            <w:vAlign w:val="bottom"/>
            <w:hideMark/>
          </w:tcPr>
          <w:p w14:paraId="186E73A5"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0,036</w:t>
            </w:r>
          </w:p>
        </w:tc>
        <w:tc>
          <w:tcPr>
            <w:tcW w:w="2552" w:type="dxa"/>
            <w:tcBorders>
              <w:top w:val="nil"/>
              <w:left w:val="nil"/>
              <w:bottom w:val="single" w:sz="4" w:space="0" w:color="auto"/>
              <w:right w:val="single" w:sz="4" w:space="0" w:color="auto"/>
            </w:tcBorders>
            <w:shd w:val="clear" w:color="auto" w:fill="auto"/>
            <w:noWrap/>
            <w:vAlign w:val="bottom"/>
            <w:hideMark/>
          </w:tcPr>
          <w:p w14:paraId="60572CC6"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0,051</w:t>
            </w:r>
          </w:p>
        </w:tc>
        <w:tc>
          <w:tcPr>
            <w:tcW w:w="1217" w:type="dxa"/>
            <w:tcBorders>
              <w:top w:val="nil"/>
              <w:left w:val="nil"/>
              <w:bottom w:val="single" w:sz="4" w:space="0" w:color="auto"/>
              <w:right w:val="single" w:sz="4" w:space="0" w:color="auto"/>
            </w:tcBorders>
            <w:shd w:val="clear" w:color="auto" w:fill="auto"/>
            <w:noWrap/>
            <w:vAlign w:val="bottom"/>
            <w:hideMark/>
          </w:tcPr>
          <w:p w14:paraId="0B5D8BBD"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1 491</w:t>
            </w:r>
          </w:p>
        </w:tc>
        <w:tc>
          <w:tcPr>
            <w:tcW w:w="1213" w:type="dxa"/>
            <w:tcBorders>
              <w:top w:val="nil"/>
              <w:left w:val="nil"/>
              <w:bottom w:val="single" w:sz="4" w:space="0" w:color="auto"/>
              <w:right w:val="single" w:sz="4" w:space="0" w:color="auto"/>
            </w:tcBorders>
            <w:shd w:val="clear" w:color="auto" w:fill="auto"/>
            <w:noWrap/>
            <w:vAlign w:val="bottom"/>
            <w:hideMark/>
          </w:tcPr>
          <w:p w14:paraId="1EC6830A"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1 593</w:t>
            </w:r>
          </w:p>
        </w:tc>
        <w:tc>
          <w:tcPr>
            <w:tcW w:w="1260" w:type="dxa"/>
            <w:tcBorders>
              <w:top w:val="nil"/>
              <w:left w:val="nil"/>
              <w:bottom w:val="single" w:sz="4" w:space="0" w:color="auto"/>
              <w:right w:val="single" w:sz="4" w:space="0" w:color="auto"/>
            </w:tcBorders>
            <w:shd w:val="clear" w:color="auto" w:fill="auto"/>
            <w:noWrap/>
            <w:vAlign w:val="bottom"/>
            <w:hideMark/>
          </w:tcPr>
          <w:p w14:paraId="409DE502"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3 083</w:t>
            </w:r>
          </w:p>
        </w:tc>
      </w:tr>
      <w:tr w:rsidR="00E12D19" w:rsidRPr="00065280" w14:paraId="05D0C175"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B91679C"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Liberia</w:t>
            </w:r>
          </w:p>
        </w:tc>
        <w:tc>
          <w:tcPr>
            <w:tcW w:w="1138" w:type="dxa"/>
            <w:tcBorders>
              <w:top w:val="nil"/>
              <w:left w:val="nil"/>
              <w:bottom w:val="single" w:sz="4" w:space="0" w:color="auto"/>
              <w:right w:val="single" w:sz="4" w:space="0" w:color="auto"/>
            </w:tcBorders>
            <w:shd w:val="clear" w:color="auto" w:fill="auto"/>
            <w:vAlign w:val="bottom"/>
            <w:hideMark/>
          </w:tcPr>
          <w:p w14:paraId="644086F0"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1A859907"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124C7458"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1A17FC6F"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253BE519"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86</w:t>
            </w:r>
          </w:p>
        </w:tc>
      </w:tr>
      <w:tr w:rsidR="00E12D19" w:rsidRPr="00065280" w14:paraId="62753D74"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49A6305"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Libia</w:t>
            </w:r>
          </w:p>
        </w:tc>
        <w:tc>
          <w:tcPr>
            <w:tcW w:w="1138" w:type="dxa"/>
            <w:tcBorders>
              <w:top w:val="nil"/>
              <w:left w:val="nil"/>
              <w:bottom w:val="single" w:sz="4" w:space="0" w:color="auto"/>
              <w:right w:val="single" w:sz="4" w:space="0" w:color="auto"/>
            </w:tcBorders>
            <w:shd w:val="clear" w:color="auto" w:fill="auto"/>
            <w:vAlign w:val="bottom"/>
            <w:hideMark/>
          </w:tcPr>
          <w:p w14:paraId="21D59587"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0,018</w:t>
            </w:r>
          </w:p>
        </w:tc>
        <w:tc>
          <w:tcPr>
            <w:tcW w:w="2552" w:type="dxa"/>
            <w:tcBorders>
              <w:top w:val="nil"/>
              <w:left w:val="nil"/>
              <w:bottom w:val="single" w:sz="4" w:space="0" w:color="auto"/>
              <w:right w:val="single" w:sz="4" w:space="0" w:color="auto"/>
            </w:tcBorders>
            <w:shd w:val="clear" w:color="auto" w:fill="auto"/>
            <w:noWrap/>
            <w:vAlign w:val="bottom"/>
            <w:hideMark/>
          </w:tcPr>
          <w:p w14:paraId="19D6264D"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0,025</w:t>
            </w:r>
          </w:p>
        </w:tc>
        <w:tc>
          <w:tcPr>
            <w:tcW w:w="1217" w:type="dxa"/>
            <w:tcBorders>
              <w:top w:val="nil"/>
              <w:left w:val="nil"/>
              <w:bottom w:val="single" w:sz="4" w:space="0" w:color="auto"/>
              <w:right w:val="single" w:sz="4" w:space="0" w:color="auto"/>
            </w:tcBorders>
            <w:shd w:val="clear" w:color="auto" w:fill="auto"/>
            <w:noWrap/>
            <w:vAlign w:val="bottom"/>
            <w:hideMark/>
          </w:tcPr>
          <w:p w14:paraId="47880BAC"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745</w:t>
            </w:r>
          </w:p>
        </w:tc>
        <w:tc>
          <w:tcPr>
            <w:tcW w:w="1213" w:type="dxa"/>
            <w:tcBorders>
              <w:top w:val="nil"/>
              <w:left w:val="nil"/>
              <w:bottom w:val="single" w:sz="4" w:space="0" w:color="auto"/>
              <w:right w:val="single" w:sz="4" w:space="0" w:color="auto"/>
            </w:tcBorders>
            <w:shd w:val="clear" w:color="auto" w:fill="auto"/>
            <w:noWrap/>
            <w:vAlign w:val="bottom"/>
            <w:hideMark/>
          </w:tcPr>
          <w:p w14:paraId="4934AC10"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796</w:t>
            </w:r>
          </w:p>
        </w:tc>
        <w:tc>
          <w:tcPr>
            <w:tcW w:w="1260" w:type="dxa"/>
            <w:tcBorders>
              <w:top w:val="nil"/>
              <w:left w:val="nil"/>
              <w:bottom w:val="single" w:sz="4" w:space="0" w:color="auto"/>
              <w:right w:val="single" w:sz="4" w:space="0" w:color="auto"/>
            </w:tcBorders>
            <w:shd w:val="clear" w:color="auto" w:fill="auto"/>
            <w:noWrap/>
            <w:vAlign w:val="bottom"/>
            <w:hideMark/>
          </w:tcPr>
          <w:p w14:paraId="04B9AED8"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1 542</w:t>
            </w:r>
          </w:p>
        </w:tc>
      </w:tr>
      <w:tr w:rsidR="00E12D19" w:rsidRPr="00065280" w14:paraId="4D303106"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6C372B1"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Lituania</w:t>
            </w:r>
          </w:p>
        </w:tc>
        <w:tc>
          <w:tcPr>
            <w:tcW w:w="1138" w:type="dxa"/>
            <w:tcBorders>
              <w:top w:val="nil"/>
              <w:left w:val="nil"/>
              <w:bottom w:val="single" w:sz="4" w:space="0" w:color="auto"/>
              <w:right w:val="single" w:sz="4" w:space="0" w:color="auto"/>
            </w:tcBorders>
            <w:shd w:val="clear" w:color="auto" w:fill="auto"/>
            <w:vAlign w:val="bottom"/>
            <w:hideMark/>
          </w:tcPr>
          <w:p w14:paraId="5313CB30"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0,077</w:t>
            </w:r>
          </w:p>
        </w:tc>
        <w:tc>
          <w:tcPr>
            <w:tcW w:w="2552" w:type="dxa"/>
            <w:tcBorders>
              <w:top w:val="nil"/>
              <w:left w:val="nil"/>
              <w:bottom w:val="single" w:sz="4" w:space="0" w:color="auto"/>
              <w:right w:val="single" w:sz="4" w:space="0" w:color="auto"/>
            </w:tcBorders>
            <w:shd w:val="clear" w:color="auto" w:fill="auto"/>
            <w:noWrap/>
            <w:vAlign w:val="bottom"/>
            <w:hideMark/>
          </w:tcPr>
          <w:p w14:paraId="3966D6F1"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0,109</w:t>
            </w:r>
          </w:p>
        </w:tc>
        <w:tc>
          <w:tcPr>
            <w:tcW w:w="1217" w:type="dxa"/>
            <w:tcBorders>
              <w:top w:val="nil"/>
              <w:left w:val="nil"/>
              <w:bottom w:val="single" w:sz="4" w:space="0" w:color="auto"/>
              <w:right w:val="single" w:sz="4" w:space="0" w:color="auto"/>
            </w:tcBorders>
            <w:shd w:val="clear" w:color="auto" w:fill="auto"/>
            <w:noWrap/>
            <w:vAlign w:val="bottom"/>
            <w:hideMark/>
          </w:tcPr>
          <w:p w14:paraId="3950A19C"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3 188</w:t>
            </w:r>
          </w:p>
        </w:tc>
        <w:tc>
          <w:tcPr>
            <w:tcW w:w="1213" w:type="dxa"/>
            <w:tcBorders>
              <w:top w:val="nil"/>
              <w:left w:val="nil"/>
              <w:bottom w:val="single" w:sz="4" w:space="0" w:color="auto"/>
              <w:right w:val="single" w:sz="4" w:space="0" w:color="auto"/>
            </w:tcBorders>
            <w:shd w:val="clear" w:color="auto" w:fill="auto"/>
            <w:noWrap/>
            <w:vAlign w:val="bottom"/>
            <w:hideMark/>
          </w:tcPr>
          <w:p w14:paraId="6554B124"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3 406</w:t>
            </w:r>
          </w:p>
        </w:tc>
        <w:tc>
          <w:tcPr>
            <w:tcW w:w="1260" w:type="dxa"/>
            <w:tcBorders>
              <w:top w:val="nil"/>
              <w:left w:val="nil"/>
              <w:bottom w:val="single" w:sz="4" w:space="0" w:color="auto"/>
              <w:right w:val="single" w:sz="4" w:space="0" w:color="auto"/>
            </w:tcBorders>
            <w:shd w:val="clear" w:color="auto" w:fill="auto"/>
            <w:noWrap/>
            <w:vAlign w:val="bottom"/>
            <w:hideMark/>
          </w:tcPr>
          <w:p w14:paraId="7D1C9940"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6 595</w:t>
            </w:r>
          </w:p>
        </w:tc>
      </w:tr>
      <w:tr w:rsidR="00E12D19" w:rsidRPr="00065280" w14:paraId="3D57D33B"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CD587EC"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lastRenderedPageBreak/>
              <w:t>Luxemburgo</w:t>
            </w:r>
          </w:p>
        </w:tc>
        <w:tc>
          <w:tcPr>
            <w:tcW w:w="1138" w:type="dxa"/>
            <w:tcBorders>
              <w:top w:val="nil"/>
              <w:left w:val="nil"/>
              <w:bottom w:val="single" w:sz="4" w:space="0" w:color="auto"/>
              <w:right w:val="single" w:sz="4" w:space="0" w:color="auto"/>
            </w:tcBorders>
            <w:shd w:val="clear" w:color="auto" w:fill="auto"/>
            <w:vAlign w:val="bottom"/>
            <w:hideMark/>
          </w:tcPr>
          <w:p w14:paraId="36CC5349"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0,068</w:t>
            </w:r>
          </w:p>
        </w:tc>
        <w:tc>
          <w:tcPr>
            <w:tcW w:w="2552" w:type="dxa"/>
            <w:tcBorders>
              <w:top w:val="nil"/>
              <w:left w:val="nil"/>
              <w:bottom w:val="single" w:sz="4" w:space="0" w:color="auto"/>
              <w:right w:val="single" w:sz="4" w:space="0" w:color="auto"/>
            </w:tcBorders>
            <w:shd w:val="clear" w:color="auto" w:fill="auto"/>
            <w:noWrap/>
            <w:vAlign w:val="bottom"/>
            <w:hideMark/>
          </w:tcPr>
          <w:p w14:paraId="57A3D63C"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0,096</w:t>
            </w:r>
          </w:p>
        </w:tc>
        <w:tc>
          <w:tcPr>
            <w:tcW w:w="1217" w:type="dxa"/>
            <w:tcBorders>
              <w:top w:val="nil"/>
              <w:left w:val="nil"/>
              <w:bottom w:val="single" w:sz="4" w:space="0" w:color="auto"/>
              <w:right w:val="single" w:sz="4" w:space="0" w:color="auto"/>
            </w:tcBorders>
            <w:shd w:val="clear" w:color="auto" w:fill="auto"/>
            <w:noWrap/>
            <w:vAlign w:val="bottom"/>
            <w:hideMark/>
          </w:tcPr>
          <w:p w14:paraId="435E96E9"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2 816</w:t>
            </w:r>
          </w:p>
        </w:tc>
        <w:tc>
          <w:tcPr>
            <w:tcW w:w="1213" w:type="dxa"/>
            <w:tcBorders>
              <w:top w:val="nil"/>
              <w:left w:val="nil"/>
              <w:bottom w:val="single" w:sz="4" w:space="0" w:color="auto"/>
              <w:right w:val="single" w:sz="4" w:space="0" w:color="auto"/>
            </w:tcBorders>
            <w:shd w:val="clear" w:color="auto" w:fill="auto"/>
            <w:noWrap/>
            <w:vAlign w:val="bottom"/>
            <w:hideMark/>
          </w:tcPr>
          <w:p w14:paraId="1ED03DB1"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3 008</w:t>
            </w:r>
          </w:p>
        </w:tc>
        <w:tc>
          <w:tcPr>
            <w:tcW w:w="1260" w:type="dxa"/>
            <w:tcBorders>
              <w:top w:val="nil"/>
              <w:left w:val="nil"/>
              <w:bottom w:val="single" w:sz="4" w:space="0" w:color="auto"/>
              <w:right w:val="single" w:sz="4" w:space="0" w:color="auto"/>
            </w:tcBorders>
            <w:shd w:val="clear" w:color="auto" w:fill="auto"/>
            <w:noWrap/>
            <w:vAlign w:val="bottom"/>
            <w:hideMark/>
          </w:tcPr>
          <w:p w14:paraId="35DB68FF"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5 824</w:t>
            </w:r>
          </w:p>
        </w:tc>
      </w:tr>
      <w:tr w:rsidR="00E12D19" w:rsidRPr="00065280" w14:paraId="454D0409"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6D4F5B0B"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Macedonia del Norte</w:t>
            </w:r>
          </w:p>
        </w:tc>
        <w:tc>
          <w:tcPr>
            <w:tcW w:w="1138" w:type="dxa"/>
            <w:tcBorders>
              <w:top w:val="nil"/>
              <w:left w:val="nil"/>
              <w:bottom w:val="single" w:sz="4" w:space="0" w:color="auto"/>
              <w:right w:val="single" w:sz="4" w:space="0" w:color="auto"/>
            </w:tcBorders>
            <w:shd w:val="clear" w:color="auto" w:fill="auto"/>
            <w:vAlign w:val="bottom"/>
          </w:tcPr>
          <w:p w14:paraId="1864A252"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0,007</w:t>
            </w:r>
          </w:p>
        </w:tc>
        <w:tc>
          <w:tcPr>
            <w:tcW w:w="2552" w:type="dxa"/>
            <w:tcBorders>
              <w:top w:val="nil"/>
              <w:left w:val="nil"/>
              <w:bottom w:val="single" w:sz="4" w:space="0" w:color="auto"/>
              <w:right w:val="single" w:sz="4" w:space="0" w:color="auto"/>
            </w:tcBorders>
            <w:shd w:val="clear" w:color="auto" w:fill="auto"/>
            <w:noWrap/>
            <w:vAlign w:val="bottom"/>
          </w:tcPr>
          <w:p w14:paraId="67B3D7DD"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0,010</w:t>
            </w:r>
          </w:p>
        </w:tc>
        <w:tc>
          <w:tcPr>
            <w:tcW w:w="1217" w:type="dxa"/>
            <w:tcBorders>
              <w:top w:val="nil"/>
              <w:left w:val="nil"/>
              <w:bottom w:val="single" w:sz="4" w:space="0" w:color="auto"/>
              <w:right w:val="single" w:sz="4" w:space="0" w:color="auto"/>
            </w:tcBorders>
            <w:shd w:val="clear" w:color="auto" w:fill="auto"/>
            <w:noWrap/>
            <w:vAlign w:val="bottom"/>
          </w:tcPr>
          <w:p w14:paraId="796D1C56"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290</w:t>
            </w:r>
          </w:p>
        </w:tc>
        <w:tc>
          <w:tcPr>
            <w:tcW w:w="1213" w:type="dxa"/>
            <w:tcBorders>
              <w:top w:val="nil"/>
              <w:left w:val="nil"/>
              <w:bottom w:val="single" w:sz="4" w:space="0" w:color="auto"/>
              <w:right w:val="single" w:sz="4" w:space="0" w:color="auto"/>
            </w:tcBorders>
            <w:shd w:val="clear" w:color="auto" w:fill="auto"/>
            <w:noWrap/>
            <w:vAlign w:val="bottom"/>
          </w:tcPr>
          <w:p w14:paraId="69E51463"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310</w:t>
            </w:r>
          </w:p>
        </w:tc>
        <w:tc>
          <w:tcPr>
            <w:tcW w:w="1260" w:type="dxa"/>
            <w:tcBorders>
              <w:top w:val="nil"/>
              <w:left w:val="nil"/>
              <w:bottom w:val="single" w:sz="4" w:space="0" w:color="auto"/>
              <w:right w:val="single" w:sz="4" w:space="0" w:color="auto"/>
            </w:tcBorders>
            <w:shd w:val="clear" w:color="auto" w:fill="auto"/>
            <w:noWrap/>
            <w:vAlign w:val="bottom"/>
          </w:tcPr>
          <w:p w14:paraId="144C11A1"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600</w:t>
            </w:r>
          </w:p>
        </w:tc>
      </w:tr>
      <w:tr w:rsidR="00E12D19" w:rsidRPr="00065280" w14:paraId="5C904382"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6A0B01A"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Madagascar</w:t>
            </w:r>
          </w:p>
        </w:tc>
        <w:tc>
          <w:tcPr>
            <w:tcW w:w="1138" w:type="dxa"/>
            <w:tcBorders>
              <w:top w:val="nil"/>
              <w:left w:val="nil"/>
              <w:bottom w:val="single" w:sz="4" w:space="0" w:color="auto"/>
              <w:right w:val="single" w:sz="4" w:space="0" w:color="auto"/>
            </w:tcBorders>
            <w:shd w:val="clear" w:color="auto" w:fill="auto"/>
            <w:vAlign w:val="bottom"/>
            <w:hideMark/>
          </w:tcPr>
          <w:p w14:paraId="4D909F53"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0,004</w:t>
            </w:r>
          </w:p>
        </w:tc>
        <w:tc>
          <w:tcPr>
            <w:tcW w:w="2552" w:type="dxa"/>
            <w:tcBorders>
              <w:top w:val="nil"/>
              <w:left w:val="nil"/>
              <w:bottom w:val="single" w:sz="4" w:space="0" w:color="auto"/>
              <w:right w:val="single" w:sz="4" w:space="0" w:color="auto"/>
            </w:tcBorders>
            <w:shd w:val="clear" w:color="auto" w:fill="auto"/>
            <w:noWrap/>
            <w:vAlign w:val="bottom"/>
            <w:hideMark/>
          </w:tcPr>
          <w:p w14:paraId="403D10BD"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0,006</w:t>
            </w:r>
          </w:p>
        </w:tc>
        <w:tc>
          <w:tcPr>
            <w:tcW w:w="1217" w:type="dxa"/>
            <w:tcBorders>
              <w:top w:val="nil"/>
              <w:left w:val="nil"/>
              <w:bottom w:val="single" w:sz="4" w:space="0" w:color="auto"/>
              <w:right w:val="single" w:sz="4" w:space="0" w:color="auto"/>
            </w:tcBorders>
            <w:shd w:val="clear" w:color="auto" w:fill="auto"/>
            <w:noWrap/>
            <w:vAlign w:val="bottom"/>
            <w:hideMark/>
          </w:tcPr>
          <w:p w14:paraId="01B7F77C"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166</w:t>
            </w:r>
          </w:p>
        </w:tc>
        <w:tc>
          <w:tcPr>
            <w:tcW w:w="1213" w:type="dxa"/>
            <w:tcBorders>
              <w:top w:val="nil"/>
              <w:left w:val="nil"/>
              <w:bottom w:val="single" w:sz="4" w:space="0" w:color="auto"/>
              <w:right w:val="single" w:sz="4" w:space="0" w:color="auto"/>
            </w:tcBorders>
            <w:shd w:val="clear" w:color="auto" w:fill="auto"/>
            <w:noWrap/>
            <w:vAlign w:val="bottom"/>
            <w:hideMark/>
          </w:tcPr>
          <w:p w14:paraId="099DF4D7"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177</w:t>
            </w:r>
          </w:p>
        </w:tc>
        <w:tc>
          <w:tcPr>
            <w:tcW w:w="1260" w:type="dxa"/>
            <w:tcBorders>
              <w:top w:val="nil"/>
              <w:left w:val="nil"/>
              <w:bottom w:val="single" w:sz="4" w:space="0" w:color="auto"/>
              <w:right w:val="single" w:sz="4" w:space="0" w:color="auto"/>
            </w:tcBorders>
            <w:shd w:val="clear" w:color="auto" w:fill="auto"/>
            <w:noWrap/>
            <w:vAlign w:val="bottom"/>
            <w:hideMark/>
          </w:tcPr>
          <w:p w14:paraId="0BC696B5"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343</w:t>
            </w:r>
          </w:p>
        </w:tc>
      </w:tr>
      <w:tr w:rsidR="00E12D19" w:rsidRPr="00065280" w14:paraId="01178BD5"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257AB1CA"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Malasia</w:t>
            </w:r>
          </w:p>
        </w:tc>
        <w:tc>
          <w:tcPr>
            <w:tcW w:w="1138" w:type="dxa"/>
            <w:tcBorders>
              <w:top w:val="nil"/>
              <w:left w:val="nil"/>
              <w:bottom w:val="single" w:sz="4" w:space="0" w:color="auto"/>
              <w:right w:val="single" w:sz="4" w:space="0" w:color="auto"/>
            </w:tcBorders>
            <w:shd w:val="clear" w:color="auto" w:fill="auto"/>
            <w:vAlign w:val="bottom"/>
          </w:tcPr>
          <w:p w14:paraId="6F0363FA"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0,348</w:t>
            </w:r>
          </w:p>
        </w:tc>
        <w:tc>
          <w:tcPr>
            <w:tcW w:w="2552" w:type="dxa"/>
            <w:tcBorders>
              <w:top w:val="nil"/>
              <w:left w:val="nil"/>
              <w:bottom w:val="single" w:sz="4" w:space="0" w:color="auto"/>
              <w:right w:val="single" w:sz="4" w:space="0" w:color="auto"/>
            </w:tcBorders>
            <w:shd w:val="clear" w:color="auto" w:fill="auto"/>
            <w:noWrap/>
            <w:vAlign w:val="bottom"/>
          </w:tcPr>
          <w:p w14:paraId="701F669A"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0,491</w:t>
            </w:r>
          </w:p>
        </w:tc>
        <w:tc>
          <w:tcPr>
            <w:tcW w:w="1217" w:type="dxa"/>
            <w:tcBorders>
              <w:top w:val="nil"/>
              <w:left w:val="nil"/>
              <w:bottom w:val="single" w:sz="4" w:space="0" w:color="auto"/>
              <w:right w:val="single" w:sz="4" w:space="0" w:color="auto"/>
            </w:tcBorders>
            <w:shd w:val="clear" w:color="auto" w:fill="auto"/>
            <w:noWrap/>
            <w:vAlign w:val="bottom"/>
          </w:tcPr>
          <w:p w14:paraId="7FB01AA7"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14 410</w:t>
            </w:r>
          </w:p>
        </w:tc>
        <w:tc>
          <w:tcPr>
            <w:tcW w:w="1213" w:type="dxa"/>
            <w:tcBorders>
              <w:top w:val="nil"/>
              <w:left w:val="nil"/>
              <w:bottom w:val="single" w:sz="4" w:space="0" w:color="auto"/>
              <w:right w:val="single" w:sz="4" w:space="0" w:color="auto"/>
            </w:tcBorders>
            <w:shd w:val="clear" w:color="auto" w:fill="auto"/>
            <w:noWrap/>
            <w:vAlign w:val="bottom"/>
          </w:tcPr>
          <w:p w14:paraId="21FB6A7C"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15 396</w:t>
            </w:r>
          </w:p>
        </w:tc>
        <w:tc>
          <w:tcPr>
            <w:tcW w:w="1260" w:type="dxa"/>
            <w:tcBorders>
              <w:top w:val="nil"/>
              <w:left w:val="nil"/>
              <w:bottom w:val="single" w:sz="4" w:space="0" w:color="auto"/>
              <w:right w:val="single" w:sz="4" w:space="0" w:color="auto"/>
            </w:tcBorders>
            <w:shd w:val="clear" w:color="auto" w:fill="auto"/>
            <w:noWrap/>
            <w:vAlign w:val="bottom"/>
          </w:tcPr>
          <w:p w14:paraId="4530ED97"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29 805</w:t>
            </w:r>
          </w:p>
        </w:tc>
      </w:tr>
      <w:tr w:rsidR="00E12D19" w:rsidRPr="00065280" w14:paraId="477EA71F"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7F5C12E9"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Malawi</w:t>
            </w:r>
          </w:p>
        </w:tc>
        <w:tc>
          <w:tcPr>
            <w:tcW w:w="1138" w:type="dxa"/>
            <w:tcBorders>
              <w:top w:val="nil"/>
              <w:left w:val="nil"/>
              <w:bottom w:val="single" w:sz="4" w:space="0" w:color="auto"/>
              <w:right w:val="single" w:sz="4" w:space="0" w:color="auto"/>
            </w:tcBorders>
            <w:shd w:val="clear" w:color="auto" w:fill="auto"/>
            <w:vAlign w:val="bottom"/>
          </w:tcPr>
          <w:p w14:paraId="0A4E7F1E"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0,002</w:t>
            </w:r>
          </w:p>
        </w:tc>
        <w:tc>
          <w:tcPr>
            <w:tcW w:w="2552" w:type="dxa"/>
            <w:tcBorders>
              <w:top w:val="nil"/>
              <w:left w:val="nil"/>
              <w:bottom w:val="single" w:sz="4" w:space="0" w:color="auto"/>
              <w:right w:val="single" w:sz="4" w:space="0" w:color="auto"/>
            </w:tcBorders>
            <w:shd w:val="clear" w:color="auto" w:fill="auto"/>
            <w:noWrap/>
            <w:vAlign w:val="bottom"/>
          </w:tcPr>
          <w:p w14:paraId="006F5454"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0,003</w:t>
            </w:r>
          </w:p>
        </w:tc>
        <w:tc>
          <w:tcPr>
            <w:tcW w:w="1217" w:type="dxa"/>
            <w:tcBorders>
              <w:top w:val="nil"/>
              <w:left w:val="nil"/>
              <w:bottom w:val="single" w:sz="4" w:space="0" w:color="auto"/>
              <w:right w:val="single" w:sz="4" w:space="0" w:color="auto"/>
            </w:tcBorders>
            <w:shd w:val="clear" w:color="auto" w:fill="auto"/>
            <w:noWrap/>
            <w:vAlign w:val="bottom"/>
          </w:tcPr>
          <w:p w14:paraId="4A02D75B"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83</w:t>
            </w:r>
          </w:p>
        </w:tc>
        <w:tc>
          <w:tcPr>
            <w:tcW w:w="1213" w:type="dxa"/>
            <w:tcBorders>
              <w:top w:val="nil"/>
              <w:left w:val="nil"/>
              <w:bottom w:val="single" w:sz="4" w:space="0" w:color="auto"/>
              <w:right w:val="single" w:sz="4" w:space="0" w:color="auto"/>
            </w:tcBorders>
            <w:shd w:val="clear" w:color="auto" w:fill="auto"/>
            <w:noWrap/>
            <w:vAlign w:val="bottom"/>
          </w:tcPr>
          <w:p w14:paraId="6A0CAAC7"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88</w:t>
            </w:r>
          </w:p>
        </w:tc>
        <w:tc>
          <w:tcPr>
            <w:tcW w:w="1260" w:type="dxa"/>
            <w:tcBorders>
              <w:top w:val="nil"/>
              <w:left w:val="nil"/>
              <w:bottom w:val="single" w:sz="4" w:space="0" w:color="auto"/>
              <w:right w:val="single" w:sz="4" w:space="0" w:color="auto"/>
            </w:tcBorders>
            <w:shd w:val="clear" w:color="auto" w:fill="auto"/>
            <w:noWrap/>
            <w:vAlign w:val="bottom"/>
          </w:tcPr>
          <w:p w14:paraId="03008F1B"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171</w:t>
            </w:r>
          </w:p>
        </w:tc>
      </w:tr>
      <w:tr w:rsidR="00E12D19" w:rsidRPr="00065280" w14:paraId="485BEB21"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0DE1F76"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Maldivas</w:t>
            </w:r>
          </w:p>
        </w:tc>
        <w:tc>
          <w:tcPr>
            <w:tcW w:w="1138" w:type="dxa"/>
            <w:tcBorders>
              <w:top w:val="nil"/>
              <w:left w:val="nil"/>
              <w:bottom w:val="single" w:sz="4" w:space="0" w:color="auto"/>
              <w:right w:val="single" w:sz="4" w:space="0" w:color="auto"/>
            </w:tcBorders>
            <w:shd w:val="clear" w:color="auto" w:fill="auto"/>
            <w:vAlign w:val="bottom"/>
            <w:hideMark/>
          </w:tcPr>
          <w:p w14:paraId="4469E27C"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0,004</w:t>
            </w:r>
          </w:p>
        </w:tc>
        <w:tc>
          <w:tcPr>
            <w:tcW w:w="2552" w:type="dxa"/>
            <w:tcBorders>
              <w:top w:val="nil"/>
              <w:left w:val="nil"/>
              <w:bottom w:val="single" w:sz="4" w:space="0" w:color="auto"/>
              <w:right w:val="single" w:sz="4" w:space="0" w:color="auto"/>
            </w:tcBorders>
            <w:shd w:val="clear" w:color="auto" w:fill="auto"/>
            <w:noWrap/>
            <w:vAlign w:val="bottom"/>
            <w:hideMark/>
          </w:tcPr>
          <w:p w14:paraId="2D22891D"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0,006</w:t>
            </w:r>
          </w:p>
        </w:tc>
        <w:tc>
          <w:tcPr>
            <w:tcW w:w="1217" w:type="dxa"/>
            <w:tcBorders>
              <w:top w:val="nil"/>
              <w:left w:val="nil"/>
              <w:bottom w:val="single" w:sz="4" w:space="0" w:color="auto"/>
              <w:right w:val="single" w:sz="4" w:space="0" w:color="auto"/>
            </w:tcBorders>
            <w:shd w:val="clear" w:color="auto" w:fill="auto"/>
            <w:noWrap/>
            <w:vAlign w:val="bottom"/>
            <w:hideMark/>
          </w:tcPr>
          <w:p w14:paraId="20F2DDC0"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166</w:t>
            </w:r>
          </w:p>
        </w:tc>
        <w:tc>
          <w:tcPr>
            <w:tcW w:w="1213" w:type="dxa"/>
            <w:tcBorders>
              <w:top w:val="nil"/>
              <w:left w:val="nil"/>
              <w:bottom w:val="single" w:sz="4" w:space="0" w:color="auto"/>
              <w:right w:val="single" w:sz="4" w:space="0" w:color="auto"/>
            </w:tcBorders>
            <w:shd w:val="clear" w:color="auto" w:fill="auto"/>
            <w:noWrap/>
            <w:vAlign w:val="bottom"/>
            <w:hideMark/>
          </w:tcPr>
          <w:p w14:paraId="2031DBC7"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177</w:t>
            </w:r>
          </w:p>
        </w:tc>
        <w:tc>
          <w:tcPr>
            <w:tcW w:w="1260" w:type="dxa"/>
            <w:tcBorders>
              <w:top w:val="nil"/>
              <w:left w:val="nil"/>
              <w:bottom w:val="single" w:sz="4" w:space="0" w:color="auto"/>
              <w:right w:val="single" w:sz="4" w:space="0" w:color="auto"/>
            </w:tcBorders>
            <w:shd w:val="clear" w:color="auto" w:fill="auto"/>
            <w:noWrap/>
            <w:vAlign w:val="bottom"/>
            <w:hideMark/>
          </w:tcPr>
          <w:p w14:paraId="33C930A5"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343</w:t>
            </w:r>
          </w:p>
        </w:tc>
      </w:tr>
      <w:tr w:rsidR="00E12D19" w:rsidRPr="00065280" w14:paraId="2381F91D"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9582BE1"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Malí</w:t>
            </w:r>
          </w:p>
        </w:tc>
        <w:tc>
          <w:tcPr>
            <w:tcW w:w="1138" w:type="dxa"/>
            <w:tcBorders>
              <w:top w:val="nil"/>
              <w:left w:val="nil"/>
              <w:bottom w:val="single" w:sz="4" w:space="0" w:color="auto"/>
              <w:right w:val="single" w:sz="4" w:space="0" w:color="auto"/>
            </w:tcBorders>
            <w:shd w:val="clear" w:color="auto" w:fill="auto"/>
            <w:vAlign w:val="bottom"/>
            <w:hideMark/>
          </w:tcPr>
          <w:p w14:paraId="169816E1"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0,005</w:t>
            </w:r>
          </w:p>
        </w:tc>
        <w:tc>
          <w:tcPr>
            <w:tcW w:w="2552" w:type="dxa"/>
            <w:tcBorders>
              <w:top w:val="nil"/>
              <w:left w:val="nil"/>
              <w:bottom w:val="single" w:sz="4" w:space="0" w:color="auto"/>
              <w:right w:val="single" w:sz="4" w:space="0" w:color="auto"/>
            </w:tcBorders>
            <w:shd w:val="clear" w:color="auto" w:fill="auto"/>
            <w:noWrap/>
            <w:vAlign w:val="bottom"/>
            <w:hideMark/>
          </w:tcPr>
          <w:p w14:paraId="63B27BCB"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0,007</w:t>
            </w:r>
          </w:p>
        </w:tc>
        <w:tc>
          <w:tcPr>
            <w:tcW w:w="1217" w:type="dxa"/>
            <w:tcBorders>
              <w:top w:val="nil"/>
              <w:left w:val="nil"/>
              <w:bottom w:val="single" w:sz="4" w:space="0" w:color="auto"/>
              <w:right w:val="single" w:sz="4" w:space="0" w:color="auto"/>
            </w:tcBorders>
            <w:shd w:val="clear" w:color="auto" w:fill="auto"/>
            <w:noWrap/>
            <w:vAlign w:val="bottom"/>
            <w:hideMark/>
          </w:tcPr>
          <w:p w14:paraId="51441494"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207</w:t>
            </w:r>
          </w:p>
        </w:tc>
        <w:tc>
          <w:tcPr>
            <w:tcW w:w="1213" w:type="dxa"/>
            <w:tcBorders>
              <w:top w:val="nil"/>
              <w:left w:val="nil"/>
              <w:bottom w:val="single" w:sz="4" w:space="0" w:color="auto"/>
              <w:right w:val="single" w:sz="4" w:space="0" w:color="auto"/>
            </w:tcBorders>
            <w:shd w:val="clear" w:color="auto" w:fill="auto"/>
            <w:noWrap/>
            <w:vAlign w:val="bottom"/>
            <w:hideMark/>
          </w:tcPr>
          <w:p w14:paraId="3BD658F1"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221</w:t>
            </w:r>
          </w:p>
        </w:tc>
        <w:tc>
          <w:tcPr>
            <w:tcW w:w="1260" w:type="dxa"/>
            <w:tcBorders>
              <w:top w:val="nil"/>
              <w:left w:val="nil"/>
              <w:bottom w:val="single" w:sz="4" w:space="0" w:color="auto"/>
              <w:right w:val="single" w:sz="4" w:space="0" w:color="auto"/>
            </w:tcBorders>
            <w:shd w:val="clear" w:color="auto" w:fill="auto"/>
            <w:noWrap/>
            <w:vAlign w:val="bottom"/>
            <w:hideMark/>
          </w:tcPr>
          <w:p w14:paraId="291EF3F6"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428</w:t>
            </w:r>
          </w:p>
        </w:tc>
      </w:tr>
      <w:tr w:rsidR="00E12D19" w:rsidRPr="00065280" w14:paraId="08627F7D"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C3E91B8"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Malta</w:t>
            </w:r>
          </w:p>
        </w:tc>
        <w:tc>
          <w:tcPr>
            <w:tcW w:w="1138" w:type="dxa"/>
            <w:tcBorders>
              <w:top w:val="nil"/>
              <w:left w:val="nil"/>
              <w:bottom w:val="single" w:sz="4" w:space="0" w:color="auto"/>
              <w:right w:val="single" w:sz="4" w:space="0" w:color="auto"/>
            </w:tcBorders>
            <w:shd w:val="clear" w:color="auto" w:fill="auto"/>
            <w:vAlign w:val="bottom"/>
            <w:hideMark/>
          </w:tcPr>
          <w:p w14:paraId="176924ED"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0,019</w:t>
            </w:r>
          </w:p>
        </w:tc>
        <w:tc>
          <w:tcPr>
            <w:tcW w:w="2552" w:type="dxa"/>
            <w:tcBorders>
              <w:top w:val="nil"/>
              <w:left w:val="nil"/>
              <w:bottom w:val="single" w:sz="4" w:space="0" w:color="auto"/>
              <w:right w:val="single" w:sz="4" w:space="0" w:color="auto"/>
            </w:tcBorders>
            <w:shd w:val="clear" w:color="auto" w:fill="auto"/>
            <w:noWrap/>
            <w:vAlign w:val="bottom"/>
            <w:hideMark/>
          </w:tcPr>
          <w:p w14:paraId="37BA4CD9"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0,027</w:t>
            </w:r>
          </w:p>
        </w:tc>
        <w:tc>
          <w:tcPr>
            <w:tcW w:w="1217" w:type="dxa"/>
            <w:tcBorders>
              <w:top w:val="nil"/>
              <w:left w:val="nil"/>
              <w:bottom w:val="single" w:sz="4" w:space="0" w:color="auto"/>
              <w:right w:val="single" w:sz="4" w:space="0" w:color="auto"/>
            </w:tcBorders>
            <w:shd w:val="clear" w:color="auto" w:fill="auto"/>
            <w:noWrap/>
            <w:vAlign w:val="bottom"/>
            <w:hideMark/>
          </w:tcPr>
          <w:p w14:paraId="0122F5E1"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787</w:t>
            </w:r>
          </w:p>
        </w:tc>
        <w:tc>
          <w:tcPr>
            <w:tcW w:w="1213" w:type="dxa"/>
            <w:tcBorders>
              <w:top w:val="nil"/>
              <w:left w:val="nil"/>
              <w:bottom w:val="single" w:sz="4" w:space="0" w:color="auto"/>
              <w:right w:val="single" w:sz="4" w:space="0" w:color="auto"/>
            </w:tcBorders>
            <w:shd w:val="clear" w:color="auto" w:fill="auto"/>
            <w:noWrap/>
            <w:vAlign w:val="bottom"/>
            <w:hideMark/>
          </w:tcPr>
          <w:p w14:paraId="353F726F"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841</w:t>
            </w:r>
          </w:p>
        </w:tc>
        <w:tc>
          <w:tcPr>
            <w:tcW w:w="1260" w:type="dxa"/>
            <w:tcBorders>
              <w:top w:val="nil"/>
              <w:left w:val="nil"/>
              <w:bottom w:val="single" w:sz="4" w:space="0" w:color="auto"/>
              <w:right w:val="single" w:sz="4" w:space="0" w:color="auto"/>
            </w:tcBorders>
            <w:shd w:val="clear" w:color="auto" w:fill="auto"/>
            <w:noWrap/>
            <w:vAlign w:val="bottom"/>
            <w:hideMark/>
          </w:tcPr>
          <w:p w14:paraId="5E15E0EB"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1 627</w:t>
            </w:r>
          </w:p>
        </w:tc>
      </w:tr>
      <w:tr w:rsidR="00E12D19" w:rsidRPr="00065280" w14:paraId="0992EEB0"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45C18D9D"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Marruecos</w:t>
            </w:r>
          </w:p>
        </w:tc>
        <w:tc>
          <w:tcPr>
            <w:tcW w:w="1138" w:type="dxa"/>
            <w:tcBorders>
              <w:top w:val="nil"/>
              <w:left w:val="nil"/>
              <w:bottom w:val="single" w:sz="4" w:space="0" w:color="auto"/>
              <w:right w:val="single" w:sz="4" w:space="0" w:color="auto"/>
            </w:tcBorders>
            <w:shd w:val="clear" w:color="auto" w:fill="auto"/>
            <w:vAlign w:val="bottom"/>
          </w:tcPr>
          <w:p w14:paraId="2D62AA82"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0,055</w:t>
            </w:r>
          </w:p>
        </w:tc>
        <w:tc>
          <w:tcPr>
            <w:tcW w:w="2552" w:type="dxa"/>
            <w:tcBorders>
              <w:top w:val="nil"/>
              <w:left w:val="nil"/>
              <w:bottom w:val="single" w:sz="4" w:space="0" w:color="auto"/>
              <w:right w:val="single" w:sz="4" w:space="0" w:color="auto"/>
            </w:tcBorders>
            <w:shd w:val="clear" w:color="auto" w:fill="auto"/>
            <w:noWrap/>
            <w:vAlign w:val="bottom"/>
          </w:tcPr>
          <w:p w14:paraId="3D341B56"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0,078</w:t>
            </w:r>
          </w:p>
        </w:tc>
        <w:tc>
          <w:tcPr>
            <w:tcW w:w="1217" w:type="dxa"/>
            <w:tcBorders>
              <w:top w:val="nil"/>
              <w:left w:val="nil"/>
              <w:bottom w:val="single" w:sz="4" w:space="0" w:color="auto"/>
              <w:right w:val="single" w:sz="4" w:space="0" w:color="auto"/>
            </w:tcBorders>
            <w:shd w:val="clear" w:color="auto" w:fill="auto"/>
            <w:noWrap/>
            <w:vAlign w:val="bottom"/>
          </w:tcPr>
          <w:p w14:paraId="1309917B"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2 277</w:t>
            </w:r>
          </w:p>
        </w:tc>
        <w:tc>
          <w:tcPr>
            <w:tcW w:w="1213" w:type="dxa"/>
            <w:tcBorders>
              <w:top w:val="nil"/>
              <w:left w:val="nil"/>
              <w:bottom w:val="single" w:sz="4" w:space="0" w:color="auto"/>
              <w:right w:val="single" w:sz="4" w:space="0" w:color="auto"/>
            </w:tcBorders>
            <w:shd w:val="clear" w:color="auto" w:fill="auto"/>
            <w:noWrap/>
            <w:vAlign w:val="bottom"/>
          </w:tcPr>
          <w:p w14:paraId="711EC9FD"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2 433</w:t>
            </w:r>
          </w:p>
        </w:tc>
        <w:tc>
          <w:tcPr>
            <w:tcW w:w="1260" w:type="dxa"/>
            <w:tcBorders>
              <w:top w:val="nil"/>
              <w:left w:val="nil"/>
              <w:bottom w:val="single" w:sz="4" w:space="0" w:color="auto"/>
              <w:right w:val="single" w:sz="4" w:space="0" w:color="auto"/>
            </w:tcBorders>
            <w:shd w:val="clear" w:color="auto" w:fill="auto"/>
            <w:noWrap/>
            <w:vAlign w:val="bottom"/>
          </w:tcPr>
          <w:p w14:paraId="4537D27D"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4 711</w:t>
            </w:r>
          </w:p>
        </w:tc>
      </w:tr>
      <w:tr w:rsidR="00E12D19" w:rsidRPr="00065280" w14:paraId="2AC4CDB5"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64DB9147"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Mauricio</w:t>
            </w:r>
          </w:p>
        </w:tc>
        <w:tc>
          <w:tcPr>
            <w:tcW w:w="1138" w:type="dxa"/>
            <w:tcBorders>
              <w:top w:val="nil"/>
              <w:left w:val="nil"/>
              <w:bottom w:val="single" w:sz="4" w:space="0" w:color="auto"/>
              <w:right w:val="single" w:sz="4" w:space="0" w:color="auto"/>
            </w:tcBorders>
            <w:shd w:val="clear" w:color="auto" w:fill="auto"/>
            <w:vAlign w:val="bottom"/>
          </w:tcPr>
          <w:p w14:paraId="56614B99"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0,019</w:t>
            </w:r>
          </w:p>
        </w:tc>
        <w:tc>
          <w:tcPr>
            <w:tcW w:w="2552" w:type="dxa"/>
            <w:tcBorders>
              <w:top w:val="nil"/>
              <w:left w:val="nil"/>
              <w:bottom w:val="single" w:sz="4" w:space="0" w:color="auto"/>
              <w:right w:val="single" w:sz="4" w:space="0" w:color="auto"/>
            </w:tcBorders>
            <w:shd w:val="clear" w:color="auto" w:fill="auto"/>
            <w:noWrap/>
            <w:vAlign w:val="bottom"/>
          </w:tcPr>
          <w:p w14:paraId="6D9E219E"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0,027</w:t>
            </w:r>
          </w:p>
        </w:tc>
        <w:tc>
          <w:tcPr>
            <w:tcW w:w="1217" w:type="dxa"/>
            <w:tcBorders>
              <w:top w:val="nil"/>
              <w:left w:val="nil"/>
              <w:bottom w:val="single" w:sz="4" w:space="0" w:color="auto"/>
              <w:right w:val="single" w:sz="4" w:space="0" w:color="auto"/>
            </w:tcBorders>
            <w:shd w:val="clear" w:color="auto" w:fill="auto"/>
            <w:noWrap/>
            <w:vAlign w:val="bottom"/>
          </w:tcPr>
          <w:p w14:paraId="667C9FF5"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787</w:t>
            </w:r>
          </w:p>
        </w:tc>
        <w:tc>
          <w:tcPr>
            <w:tcW w:w="1213" w:type="dxa"/>
            <w:tcBorders>
              <w:top w:val="nil"/>
              <w:left w:val="nil"/>
              <w:bottom w:val="single" w:sz="4" w:space="0" w:color="auto"/>
              <w:right w:val="single" w:sz="4" w:space="0" w:color="auto"/>
            </w:tcBorders>
            <w:shd w:val="clear" w:color="auto" w:fill="auto"/>
            <w:noWrap/>
            <w:vAlign w:val="bottom"/>
          </w:tcPr>
          <w:p w14:paraId="56117A0E"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841</w:t>
            </w:r>
          </w:p>
        </w:tc>
        <w:tc>
          <w:tcPr>
            <w:tcW w:w="1260" w:type="dxa"/>
            <w:tcBorders>
              <w:top w:val="nil"/>
              <w:left w:val="nil"/>
              <w:bottom w:val="single" w:sz="4" w:space="0" w:color="auto"/>
              <w:right w:val="single" w:sz="4" w:space="0" w:color="auto"/>
            </w:tcBorders>
            <w:shd w:val="clear" w:color="auto" w:fill="auto"/>
            <w:noWrap/>
            <w:vAlign w:val="bottom"/>
          </w:tcPr>
          <w:p w14:paraId="7784552E"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1 627</w:t>
            </w:r>
          </w:p>
        </w:tc>
      </w:tr>
      <w:tr w:rsidR="00E12D19" w:rsidRPr="00065280" w14:paraId="7D9A9FC1"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B14664E"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Mauritania</w:t>
            </w:r>
          </w:p>
        </w:tc>
        <w:tc>
          <w:tcPr>
            <w:tcW w:w="1138" w:type="dxa"/>
            <w:tcBorders>
              <w:top w:val="nil"/>
              <w:left w:val="nil"/>
              <w:bottom w:val="single" w:sz="4" w:space="0" w:color="auto"/>
              <w:right w:val="single" w:sz="4" w:space="0" w:color="auto"/>
            </w:tcBorders>
            <w:shd w:val="clear" w:color="auto" w:fill="auto"/>
            <w:vAlign w:val="bottom"/>
            <w:hideMark/>
          </w:tcPr>
          <w:p w14:paraId="38A5981A"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0,002</w:t>
            </w:r>
          </w:p>
        </w:tc>
        <w:tc>
          <w:tcPr>
            <w:tcW w:w="2552" w:type="dxa"/>
            <w:tcBorders>
              <w:top w:val="nil"/>
              <w:left w:val="nil"/>
              <w:bottom w:val="single" w:sz="4" w:space="0" w:color="auto"/>
              <w:right w:val="single" w:sz="4" w:space="0" w:color="auto"/>
            </w:tcBorders>
            <w:shd w:val="clear" w:color="auto" w:fill="auto"/>
            <w:noWrap/>
            <w:vAlign w:val="bottom"/>
            <w:hideMark/>
          </w:tcPr>
          <w:p w14:paraId="43C8E826"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0,003</w:t>
            </w:r>
          </w:p>
        </w:tc>
        <w:tc>
          <w:tcPr>
            <w:tcW w:w="1217" w:type="dxa"/>
            <w:tcBorders>
              <w:top w:val="nil"/>
              <w:left w:val="nil"/>
              <w:bottom w:val="single" w:sz="4" w:space="0" w:color="auto"/>
              <w:right w:val="single" w:sz="4" w:space="0" w:color="auto"/>
            </w:tcBorders>
            <w:shd w:val="clear" w:color="auto" w:fill="auto"/>
            <w:noWrap/>
            <w:vAlign w:val="bottom"/>
            <w:hideMark/>
          </w:tcPr>
          <w:p w14:paraId="0D7ED752"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83</w:t>
            </w:r>
          </w:p>
        </w:tc>
        <w:tc>
          <w:tcPr>
            <w:tcW w:w="1213" w:type="dxa"/>
            <w:tcBorders>
              <w:top w:val="nil"/>
              <w:left w:val="nil"/>
              <w:bottom w:val="single" w:sz="4" w:space="0" w:color="auto"/>
              <w:right w:val="single" w:sz="4" w:space="0" w:color="auto"/>
            </w:tcBorders>
            <w:shd w:val="clear" w:color="auto" w:fill="auto"/>
            <w:noWrap/>
            <w:vAlign w:val="bottom"/>
            <w:hideMark/>
          </w:tcPr>
          <w:p w14:paraId="56170C46"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88</w:t>
            </w:r>
          </w:p>
        </w:tc>
        <w:tc>
          <w:tcPr>
            <w:tcW w:w="1260" w:type="dxa"/>
            <w:tcBorders>
              <w:top w:val="nil"/>
              <w:left w:val="nil"/>
              <w:bottom w:val="single" w:sz="4" w:space="0" w:color="auto"/>
              <w:right w:val="single" w:sz="4" w:space="0" w:color="auto"/>
            </w:tcBorders>
            <w:shd w:val="clear" w:color="auto" w:fill="auto"/>
            <w:noWrap/>
            <w:vAlign w:val="bottom"/>
            <w:hideMark/>
          </w:tcPr>
          <w:p w14:paraId="4D3ECF11"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171</w:t>
            </w:r>
          </w:p>
        </w:tc>
      </w:tr>
      <w:tr w:rsidR="00E12D19" w:rsidRPr="00065280" w14:paraId="6659C1D0"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FEFB47D"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México</w:t>
            </w:r>
          </w:p>
        </w:tc>
        <w:tc>
          <w:tcPr>
            <w:tcW w:w="1138" w:type="dxa"/>
            <w:tcBorders>
              <w:top w:val="nil"/>
              <w:left w:val="nil"/>
              <w:bottom w:val="single" w:sz="4" w:space="0" w:color="auto"/>
              <w:right w:val="single" w:sz="4" w:space="0" w:color="auto"/>
            </w:tcBorders>
            <w:shd w:val="clear" w:color="auto" w:fill="auto"/>
            <w:vAlign w:val="bottom"/>
            <w:hideMark/>
          </w:tcPr>
          <w:p w14:paraId="19EBDF2D"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1,221</w:t>
            </w:r>
          </w:p>
        </w:tc>
        <w:tc>
          <w:tcPr>
            <w:tcW w:w="2552" w:type="dxa"/>
            <w:tcBorders>
              <w:top w:val="nil"/>
              <w:left w:val="nil"/>
              <w:bottom w:val="single" w:sz="4" w:space="0" w:color="auto"/>
              <w:right w:val="single" w:sz="4" w:space="0" w:color="auto"/>
            </w:tcBorders>
            <w:shd w:val="clear" w:color="auto" w:fill="auto"/>
            <w:noWrap/>
            <w:vAlign w:val="bottom"/>
            <w:hideMark/>
          </w:tcPr>
          <w:p w14:paraId="08DD8AEE"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1,724</w:t>
            </w:r>
          </w:p>
        </w:tc>
        <w:tc>
          <w:tcPr>
            <w:tcW w:w="1217" w:type="dxa"/>
            <w:tcBorders>
              <w:top w:val="nil"/>
              <w:left w:val="nil"/>
              <w:bottom w:val="single" w:sz="4" w:space="0" w:color="auto"/>
              <w:right w:val="single" w:sz="4" w:space="0" w:color="auto"/>
            </w:tcBorders>
            <w:shd w:val="clear" w:color="auto" w:fill="auto"/>
            <w:noWrap/>
            <w:vAlign w:val="bottom"/>
            <w:hideMark/>
          </w:tcPr>
          <w:p w14:paraId="36278E2D"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50 558</w:t>
            </w:r>
          </w:p>
        </w:tc>
        <w:tc>
          <w:tcPr>
            <w:tcW w:w="1213" w:type="dxa"/>
            <w:tcBorders>
              <w:top w:val="nil"/>
              <w:left w:val="nil"/>
              <w:bottom w:val="single" w:sz="4" w:space="0" w:color="auto"/>
              <w:right w:val="single" w:sz="4" w:space="0" w:color="auto"/>
            </w:tcBorders>
            <w:shd w:val="clear" w:color="auto" w:fill="auto"/>
            <w:noWrap/>
            <w:vAlign w:val="bottom"/>
            <w:hideMark/>
          </w:tcPr>
          <w:p w14:paraId="2686134A"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54 017</w:t>
            </w:r>
          </w:p>
        </w:tc>
        <w:tc>
          <w:tcPr>
            <w:tcW w:w="1260" w:type="dxa"/>
            <w:tcBorders>
              <w:top w:val="nil"/>
              <w:left w:val="nil"/>
              <w:bottom w:val="single" w:sz="4" w:space="0" w:color="auto"/>
              <w:right w:val="single" w:sz="4" w:space="0" w:color="auto"/>
            </w:tcBorders>
            <w:shd w:val="clear" w:color="auto" w:fill="auto"/>
            <w:noWrap/>
            <w:vAlign w:val="bottom"/>
            <w:hideMark/>
          </w:tcPr>
          <w:p w14:paraId="009EC78B"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104 575</w:t>
            </w:r>
          </w:p>
        </w:tc>
      </w:tr>
      <w:tr w:rsidR="00E12D19" w:rsidRPr="00065280" w14:paraId="7501AB96"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C6D29C0"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Mongolia</w:t>
            </w:r>
          </w:p>
        </w:tc>
        <w:tc>
          <w:tcPr>
            <w:tcW w:w="1138" w:type="dxa"/>
            <w:tcBorders>
              <w:top w:val="nil"/>
              <w:left w:val="nil"/>
              <w:bottom w:val="single" w:sz="4" w:space="0" w:color="auto"/>
              <w:right w:val="single" w:sz="4" w:space="0" w:color="auto"/>
            </w:tcBorders>
            <w:shd w:val="clear" w:color="auto" w:fill="auto"/>
            <w:vAlign w:val="bottom"/>
            <w:hideMark/>
          </w:tcPr>
          <w:p w14:paraId="22E759E2"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0,004</w:t>
            </w:r>
          </w:p>
        </w:tc>
        <w:tc>
          <w:tcPr>
            <w:tcW w:w="2552" w:type="dxa"/>
            <w:tcBorders>
              <w:top w:val="nil"/>
              <w:left w:val="nil"/>
              <w:bottom w:val="single" w:sz="4" w:space="0" w:color="auto"/>
              <w:right w:val="single" w:sz="4" w:space="0" w:color="auto"/>
            </w:tcBorders>
            <w:shd w:val="clear" w:color="auto" w:fill="auto"/>
            <w:noWrap/>
            <w:vAlign w:val="bottom"/>
            <w:hideMark/>
          </w:tcPr>
          <w:p w14:paraId="206FF03F"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0,006</w:t>
            </w:r>
          </w:p>
        </w:tc>
        <w:tc>
          <w:tcPr>
            <w:tcW w:w="1217" w:type="dxa"/>
            <w:tcBorders>
              <w:top w:val="nil"/>
              <w:left w:val="nil"/>
              <w:bottom w:val="single" w:sz="4" w:space="0" w:color="auto"/>
              <w:right w:val="single" w:sz="4" w:space="0" w:color="auto"/>
            </w:tcBorders>
            <w:shd w:val="clear" w:color="auto" w:fill="auto"/>
            <w:noWrap/>
            <w:vAlign w:val="bottom"/>
            <w:hideMark/>
          </w:tcPr>
          <w:p w14:paraId="01605CC2"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166</w:t>
            </w:r>
          </w:p>
        </w:tc>
        <w:tc>
          <w:tcPr>
            <w:tcW w:w="1213" w:type="dxa"/>
            <w:tcBorders>
              <w:top w:val="nil"/>
              <w:left w:val="nil"/>
              <w:bottom w:val="single" w:sz="4" w:space="0" w:color="auto"/>
              <w:right w:val="single" w:sz="4" w:space="0" w:color="auto"/>
            </w:tcBorders>
            <w:shd w:val="clear" w:color="auto" w:fill="auto"/>
            <w:noWrap/>
            <w:vAlign w:val="bottom"/>
            <w:hideMark/>
          </w:tcPr>
          <w:p w14:paraId="68D336F8"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177</w:t>
            </w:r>
          </w:p>
        </w:tc>
        <w:tc>
          <w:tcPr>
            <w:tcW w:w="1260" w:type="dxa"/>
            <w:tcBorders>
              <w:top w:val="nil"/>
              <w:left w:val="nil"/>
              <w:bottom w:val="single" w:sz="4" w:space="0" w:color="auto"/>
              <w:right w:val="single" w:sz="4" w:space="0" w:color="auto"/>
            </w:tcBorders>
            <w:shd w:val="clear" w:color="auto" w:fill="auto"/>
            <w:noWrap/>
            <w:vAlign w:val="bottom"/>
            <w:hideMark/>
          </w:tcPr>
          <w:p w14:paraId="09F0C6A7"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343</w:t>
            </w:r>
          </w:p>
        </w:tc>
      </w:tr>
      <w:tr w:rsidR="00E12D19" w:rsidRPr="00065280" w14:paraId="724775E7"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C209F2A"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Montenegro</w:t>
            </w:r>
          </w:p>
        </w:tc>
        <w:tc>
          <w:tcPr>
            <w:tcW w:w="1138" w:type="dxa"/>
            <w:tcBorders>
              <w:top w:val="nil"/>
              <w:left w:val="nil"/>
              <w:bottom w:val="single" w:sz="4" w:space="0" w:color="auto"/>
              <w:right w:val="single" w:sz="4" w:space="0" w:color="auto"/>
            </w:tcBorders>
            <w:shd w:val="clear" w:color="auto" w:fill="auto"/>
            <w:vAlign w:val="bottom"/>
            <w:hideMark/>
          </w:tcPr>
          <w:p w14:paraId="6A86E9E5"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0,004</w:t>
            </w:r>
          </w:p>
        </w:tc>
        <w:tc>
          <w:tcPr>
            <w:tcW w:w="2552" w:type="dxa"/>
            <w:tcBorders>
              <w:top w:val="nil"/>
              <w:left w:val="nil"/>
              <w:bottom w:val="single" w:sz="4" w:space="0" w:color="auto"/>
              <w:right w:val="single" w:sz="4" w:space="0" w:color="auto"/>
            </w:tcBorders>
            <w:shd w:val="clear" w:color="auto" w:fill="auto"/>
            <w:noWrap/>
            <w:vAlign w:val="bottom"/>
            <w:hideMark/>
          </w:tcPr>
          <w:p w14:paraId="54C7D5A6"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0,006</w:t>
            </w:r>
          </w:p>
        </w:tc>
        <w:tc>
          <w:tcPr>
            <w:tcW w:w="1217" w:type="dxa"/>
            <w:tcBorders>
              <w:top w:val="nil"/>
              <w:left w:val="nil"/>
              <w:bottom w:val="single" w:sz="4" w:space="0" w:color="auto"/>
              <w:right w:val="single" w:sz="4" w:space="0" w:color="auto"/>
            </w:tcBorders>
            <w:shd w:val="clear" w:color="auto" w:fill="auto"/>
            <w:noWrap/>
            <w:vAlign w:val="bottom"/>
            <w:hideMark/>
          </w:tcPr>
          <w:p w14:paraId="115C2AE2"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166</w:t>
            </w:r>
          </w:p>
        </w:tc>
        <w:tc>
          <w:tcPr>
            <w:tcW w:w="1213" w:type="dxa"/>
            <w:tcBorders>
              <w:top w:val="nil"/>
              <w:left w:val="nil"/>
              <w:bottom w:val="single" w:sz="4" w:space="0" w:color="auto"/>
              <w:right w:val="single" w:sz="4" w:space="0" w:color="auto"/>
            </w:tcBorders>
            <w:shd w:val="clear" w:color="auto" w:fill="auto"/>
            <w:noWrap/>
            <w:vAlign w:val="bottom"/>
            <w:hideMark/>
          </w:tcPr>
          <w:p w14:paraId="17E5D0F5"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177</w:t>
            </w:r>
          </w:p>
        </w:tc>
        <w:tc>
          <w:tcPr>
            <w:tcW w:w="1260" w:type="dxa"/>
            <w:tcBorders>
              <w:top w:val="nil"/>
              <w:left w:val="nil"/>
              <w:bottom w:val="single" w:sz="4" w:space="0" w:color="auto"/>
              <w:right w:val="single" w:sz="4" w:space="0" w:color="auto"/>
            </w:tcBorders>
            <w:shd w:val="clear" w:color="auto" w:fill="auto"/>
            <w:noWrap/>
            <w:vAlign w:val="bottom"/>
            <w:hideMark/>
          </w:tcPr>
          <w:p w14:paraId="668E0AF6"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343</w:t>
            </w:r>
          </w:p>
        </w:tc>
      </w:tr>
      <w:tr w:rsidR="00E12D19" w:rsidRPr="00065280" w14:paraId="6AABD248"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A830665"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Mozambique</w:t>
            </w:r>
          </w:p>
        </w:tc>
        <w:tc>
          <w:tcPr>
            <w:tcW w:w="1138" w:type="dxa"/>
            <w:tcBorders>
              <w:top w:val="nil"/>
              <w:left w:val="nil"/>
              <w:bottom w:val="single" w:sz="4" w:space="0" w:color="auto"/>
              <w:right w:val="single" w:sz="4" w:space="0" w:color="auto"/>
            </w:tcBorders>
            <w:shd w:val="clear" w:color="auto" w:fill="auto"/>
            <w:vAlign w:val="bottom"/>
            <w:hideMark/>
          </w:tcPr>
          <w:p w14:paraId="4F9924AF"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0,004</w:t>
            </w:r>
          </w:p>
        </w:tc>
        <w:tc>
          <w:tcPr>
            <w:tcW w:w="2552" w:type="dxa"/>
            <w:tcBorders>
              <w:top w:val="nil"/>
              <w:left w:val="nil"/>
              <w:bottom w:val="single" w:sz="4" w:space="0" w:color="auto"/>
              <w:right w:val="single" w:sz="4" w:space="0" w:color="auto"/>
            </w:tcBorders>
            <w:shd w:val="clear" w:color="auto" w:fill="auto"/>
            <w:noWrap/>
            <w:vAlign w:val="bottom"/>
            <w:hideMark/>
          </w:tcPr>
          <w:p w14:paraId="41213F2A"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0,006</w:t>
            </w:r>
          </w:p>
        </w:tc>
        <w:tc>
          <w:tcPr>
            <w:tcW w:w="1217" w:type="dxa"/>
            <w:tcBorders>
              <w:top w:val="nil"/>
              <w:left w:val="nil"/>
              <w:bottom w:val="single" w:sz="4" w:space="0" w:color="auto"/>
              <w:right w:val="single" w:sz="4" w:space="0" w:color="auto"/>
            </w:tcBorders>
            <w:shd w:val="clear" w:color="auto" w:fill="auto"/>
            <w:noWrap/>
            <w:vAlign w:val="bottom"/>
            <w:hideMark/>
          </w:tcPr>
          <w:p w14:paraId="3381162F"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166</w:t>
            </w:r>
          </w:p>
        </w:tc>
        <w:tc>
          <w:tcPr>
            <w:tcW w:w="1213" w:type="dxa"/>
            <w:tcBorders>
              <w:top w:val="nil"/>
              <w:left w:val="nil"/>
              <w:bottom w:val="single" w:sz="4" w:space="0" w:color="auto"/>
              <w:right w:val="single" w:sz="4" w:space="0" w:color="auto"/>
            </w:tcBorders>
            <w:shd w:val="clear" w:color="auto" w:fill="auto"/>
            <w:noWrap/>
            <w:vAlign w:val="bottom"/>
            <w:hideMark/>
          </w:tcPr>
          <w:p w14:paraId="7A3CE070"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177</w:t>
            </w:r>
          </w:p>
        </w:tc>
        <w:tc>
          <w:tcPr>
            <w:tcW w:w="1260" w:type="dxa"/>
            <w:tcBorders>
              <w:top w:val="nil"/>
              <w:left w:val="nil"/>
              <w:bottom w:val="single" w:sz="4" w:space="0" w:color="auto"/>
              <w:right w:val="single" w:sz="4" w:space="0" w:color="auto"/>
            </w:tcBorders>
            <w:shd w:val="clear" w:color="auto" w:fill="auto"/>
            <w:noWrap/>
            <w:vAlign w:val="bottom"/>
            <w:hideMark/>
          </w:tcPr>
          <w:p w14:paraId="0C7B20F3"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343</w:t>
            </w:r>
          </w:p>
        </w:tc>
      </w:tr>
      <w:tr w:rsidR="00E12D19" w:rsidRPr="00065280" w14:paraId="39DC622B"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CAF0359"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Myanmar</w:t>
            </w:r>
          </w:p>
        </w:tc>
        <w:tc>
          <w:tcPr>
            <w:tcW w:w="1138" w:type="dxa"/>
            <w:tcBorders>
              <w:top w:val="nil"/>
              <w:left w:val="nil"/>
              <w:bottom w:val="single" w:sz="4" w:space="0" w:color="auto"/>
              <w:right w:val="single" w:sz="4" w:space="0" w:color="auto"/>
            </w:tcBorders>
            <w:shd w:val="clear" w:color="auto" w:fill="auto"/>
            <w:vAlign w:val="bottom"/>
            <w:hideMark/>
          </w:tcPr>
          <w:p w14:paraId="41205C73"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0,010</w:t>
            </w:r>
          </w:p>
        </w:tc>
        <w:tc>
          <w:tcPr>
            <w:tcW w:w="2552" w:type="dxa"/>
            <w:tcBorders>
              <w:top w:val="nil"/>
              <w:left w:val="nil"/>
              <w:bottom w:val="single" w:sz="4" w:space="0" w:color="auto"/>
              <w:right w:val="single" w:sz="4" w:space="0" w:color="auto"/>
            </w:tcBorders>
            <w:shd w:val="clear" w:color="auto" w:fill="auto"/>
            <w:noWrap/>
            <w:vAlign w:val="bottom"/>
            <w:hideMark/>
          </w:tcPr>
          <w:p w14:paraId="11878FEE"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18A9635F"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3555F90C"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3E400A6A"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607</w:t>
            </w:r>
          </w:p>
        </w:tc>
      </w:tr>
      <w:tr w:rsidR="00E12D19" w:rsidRPr="00065280" w14:paraId="7BC0D4C8"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6AEE768"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Namibia</w:t>
            </w:r>
          </w:p>
        </w:tc>
        <w:tc>
          <w:tcPr>
            <w:tcW w:w="1138" w:type="dxa"/>
            <w:tcBorders>
              <w:top w:val="nil"/>
              <w:left w:val="nil"/>
              <w:bottom w:val="single" w:sz="4" w:space="0" w:color="auto"/>
              <w:right w:val="single" w:sz="4" w:space="0" w:color="auto"/>
            </w:tcBorders>
            <w:shd w:val="clear" w:color="auto" w:fill="auto"/>
            <w:vAlign w:val="bottom"/>
            <w:hideMark/>
          </w:tcPr>
          <w:p w14:paraId="0EF06E2E"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0,009</w:t>
            </w:r>
          </w:p>
        </w:tc>
        <w:tc>
          <w:tcPr>
            <w:tcW w:w="2552" w:type="dxa"/>
            <w:tcBorders>
              <w:top w:val="nil"/>
              <w:left w:val="nil"/>
              <w:bottom w:val="single" w:sz="4" w:space="0" w:color="auto"/>
              <w:right w:val="single" w:sz="4" w:space="0" w:color="auto"/>
            </w:tcBorders>
            <w:shd w:val="clear" w:color="auto" w:fill="auto"/>
            <w:noWrap/>
            <w:vAlign w:val="bottom"/>
            <w:hideMark/>
          </w:tcPr>
          <w:p w14:paraId="38BF95AE"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0,013</w:t>
            </w:r>
          </w:p>
        </w:tc>
        <w:tc>
          <w:tcPr>
            <w:tcW w:w="1217" w:type="dxa"/>
            <w:tcBorders>
              <w:top w:val="nil"/>
              <w:left w:val="nil"/>
              <w:bottom w:val="single" w:sz="4" w:space="0" w:color="auto"/>
              <w:right w:val="single" w:sz="4" w:space="0" w:color="auto"/>
            </w:tcBorders>
            <w:shd w:val="clear" w:color="auto" w:fill="auto"/>
            <w:noWrap/>
            <w:vAlign w:val="bottom"/>
            <w:hideMark/>
          </w:tcPr>
          <w:p w14:paraId="28DE0C2E"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373</w:t>
            </w:r>
          </w:p>
        </w:tc>
        <w:tc>
          <w:tcPr>
            <w:tcW w:w="1213" w:type="dxa"/>
            <w:tcBorders>
              <w:top w:val="nil"/>
              <w:left w:val="nil"/>
              <w:bottom w:val="single" w:sz="4" w:space="0" w:color="auto"/>
              <w:right w:val="single" w:sz="4" w:space="0" w:color="auto"/>
            </w:tcBorders>
            <w:shd w:val="clear" w:color="auto" w:fill="auto"/>
            <w:noWrap/>
            <w:vAlign w:val="bottom"/>
            <w:hideMark/>
          </w:tcPr>
          <w:p w14:paraId="6985FDA0"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398</w:t>
            </w:r>
          </w:p>
        </w:tc>
        <w:tc>
          <w:tcPr>
            <w:tcW w:w="1260" w:type="dxa"/>
            <w:tcBorders>
              <w:top w:val="nil"/>
              <w:left w:val="nil"/>
              <w:bottom w:val="single" w:sz="4" w:space="0" w:color="auto"/>
              <w:right w:val="single" w:sz="4" w:space="0" w:color="auto"/>
            </w:tcBorders>
            <w:shd w:val="clear" w:color="auto" w:fill="auto"/>
            <w:noWrap/>
            <w:vAlign w:val="bottom"/>
            <w:hideMark/>
          </w:tcPr>
          <w:p w14:paraId="545FD6D0"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771</w:t>
            </w:r>
          </w:p>
        </w:tc>
      </w:tr>
      <w:tr w:rsidR="00E12D19" w:rsidRPr="00065280" w14:paraId="468E39D4"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FAFFA16"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Nauru</w:t>
            </w:r>
          </w:p>
        </w:tc>
        <w:tc>
          <w:tcPr>
            <w:tcW w:w="1138" w:type="dxa"/>
            <w:tcBorders>
              <w:top w:val="nil"/>
              <w:left w:val="nil"/>
              <w:bottom w:val="single" w:sz="4" w:space="0" w:color="auto"/>
              <w:right w:val="single" w:sz="4" w:space="0" w:color="auto"/>
            </w:tcBorders>
            <w:shd w:val="clear" w:color="auto" w:fill="auto"/>
            <w:vAlign w:val="bottom"/>
            <w:hideMark/>
          </w:tcPr>
          <w:p w14:paraId="0D19FA88"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38ACF365"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5E02482D"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1897C210"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10FC9FE1"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86</w:t>
            </w:r>
          </w:p>
        </w:tc>
      </w:tr>
      <w:tr w:rsidR="00E12D19" w:rsidRPr="00065280" w14:paraId="3D6A57A7"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94D519B"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Nicaragua</w:t>
            </w:r>
          </w:p>
        </w:tc>
        <w:tc>
          <w:tcPr>
            <w:tcW w:w="1138" w:type="dxa"/>
            <w:tcBorders>
              <w:top w:val="nil"/>
              <w:left w:val="nil"/>
              <w:bottom w:val="single" w:sz="4" w:space="0" w:color="auto"/>
              <w:right w:val="single" w:sz="4" w:space="0" w:color="auto"/>
            </w:tcBorders>
            <w:shd w:val="clear" w:color="auto" w:fill="auto"/>
            <w:vAlign w:val="bottom"/>
            <w:hideMark/>
          </w:tcPr>
          <w:p w14:paraId="06408E1D"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0,005</w:t>
            </w:r>
          </w:p>
        </w:tc>
        <w:tc>
          <w:tcPr>
            <w:tcW w:w="2552" w:type="dxa"/>
            <w:tcBorders>
              <w:top w:val="nil"/>
              <w:left w:val="nil"/>
              <w:bottom w:val="single" w:sz="4" w:space="0" w:color="auto"/>
              <w:right w:val="single" w:sz="4" w:space="0" w:color="auto"/>
            </w:tcBorders>
            <w:shd w:val="clear" w:color="auto" w:fill="auto"/>
            <w:noWrap/>
            <w:vAlign w:val="bottom"/>
            <w:hideMark/>
          </w:tcPr>
          <w:p w14:paraId="7598AA1A"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0,007</w:t>
            </w:r>
          </w:p>
        </w:tc>
        <w:tc>
          <w:tcPr>
            <w:tcW w:w="1217" w:type="dxa"/>
            <w:tcBorders>
              <w:top w:val="nil"/>
              <w:left w:val="nil"/>
              <w:bottom w:val="single" w:sz="4" w:space="0" w:color="auto"/>
              <w:right w:val="single" w:sz="4" w:space="0" w:color="auto"/>
            </w:tcBorders>
            <w:shd w:val="clear" w:color="auto" w:fill="auto"/>
            <w:noWrap/>
            <w:vAlign w:val="bottom"/>
            <w:hideMark/>
          </w:tcPr>
          <w:p w14:paraId="7CC290CB"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207</w:t>
            </w:r>
          </w:p>
        </w:tc>
        <w:tc>
          <w:tcPr>
            <w:tcW w:w="1213" w:type="dxa"/>
            <w:tcBorders>
              <w:top w:val="nil"/>
              <w:left w:val="nil"/>
              <w:bottom w:val="single" w:sz="4" w:space="0" w:color="auto"/>
              <w:right w:val="single" w:sz="4" w:space="0" w:color="auto"/>
            </w:tcBorders>
            <w:shd w:val="clear" w:color="auto" w:fill="auto"/>
            <w:noWrap/>
            <w:vAlign w:val="bottom"/>
            <w:hideMark/>
          </w:tcPr>
          <w:p w14:paraId="4F39A492"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221</w:t>
            </w:r>
          </w:p>
        </w:tc>
        <w:tc>
          <w:tcPr>
            <w:tcW w:w="1260" w:type="dxa"/>
            <w:tcBorders>
              <w:top w:val="nil"/>
              <w:left w:val="nil"/>
              <w:bottom w:val="single" w:sz="4" w:space="0" w:color="auto"/>
              <w:right w:val="single" w:sz="4" w:space="0" w:color="auto"/>
            </w:tcBorders>
            <w:shd w:val="clear" w:color="auto" w:fill="auto"/>
            <w:noWrap/>
            <w:vAlign w:val="bottom"/>
            <w:hideMark/>
          </w:tcPr>
          <w:p w14:paraId="716B535F"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428</w:t>
            </w:r>
          </w:p>
        </w:tc>
      </w:tr>
      <w:tr w:rsidR="00E12D19" w:rsidRPr="00065280" w14:paraId="243D941C"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3B16A20"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Níger</w:t>
            </w:r>
          </w:p>
        </w:tc>
        <w:tc>
          <w:tcPr>
            <w:tcW w:w="1138" w:type="dxa"/>
            <w:tcBorders>
              <w:top w:val="nil"/>
              <w:left w:val="nil"/>
              <w:bottom w:val="single" w:sz="4" w:space="0" w:color="auto"/>
              <w:right w:val="single" w:sz="4" w:space="0" w:color="auto"/>
            </w:tcBorders>
            <w:shd w:val="clear" w:color="auto" w:fill="auto"/>
            <w:vAlign w:val="bottom"/>
            <w:hideMark/>
          </w:tcPr>
          <w:p w14:paraId="384119E7"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0,003</w:t>
            </w:r>
          </w:p>
        </w:tc>
        <w:tc>
          <w:tcPr>
            <w:tcW w:w="2552" w:type="dxa"/>
            <w:tcBorders>
              <w:top w:val="nil"/>
              <w:left w:val="nil"/>
              <w:bottom w:val="single" w:sz="4" w:space="0" w:color="auto"/>
              <w:right w:val="single" w:sz="4" w:space="0" w:color="auto"/>
            </w:tcBorders>
            <w:shd w:val="clear" w:color="auto" w:fill="auto"/>
            <w:noWrap/>
            <w:vAlign w:val="bottom"/>
            <w:hideMark/>
          </w:tcPr>
          <w:p w14:paraId="348B8950"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0,004</w:t>
            </w:r>
          </w:p>
        </w:tc>
        <w:tc>
          <w:tcPr>
            <w:tcW w:w="1217" w:type="dxa"/>
            <w:tcBorders>
              <w:top w:val="nil"/>
              <w:left w:val="nil"/>
              <w:bottom w:val="single" w:sz="4" w:space="0" w:color="auto"/>
              <w:right w:val="single" w:sz="4" w:space="0" w:color="auto"/>
            </w:tcBorders>
            <w:shd w:val="clear" w:color="auto" w:fill="auto"/>
            <w:noWrap/>
            <w:vAlign w:val="bottom"/>
            <w:hideMark/>
          </w:tcPr>
          <w:p w14:paraId="681F8618"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124</w:t>
            </w:r>
          </w:p>
        </w:tc>
        <w:tc>
          <w:tcPr>
            <w:tcW w:w="1213" w:type="dxa"/>
            <w:tcBorders>
              <w:top w:val="nil"/>
              <w:left w:val="nil"/>
              <w:bottom w:val="single" w:sz="4" w:space="0" w:color="auto"/>
              <w:right w:val="single" w:sz="4" w:space="0" w:color="auto"/>
            </w:tcBorders>
            <w:shd w:val="clear" w:color="auto" w:fill="auto"/>
            <w:noWrap/>
            <w:vAlign w:val="bottom"/>
            <w:hideMark/>
          </w:tcPr>
          <w:p w14:paraId="1C68443A"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133</w:t>
            </w:r>
          </w:p>
        </w:tc>
        <w:tc>
          <w:tcPr>
            <w:tcW w:w="1260" w:type="dxa"/>
            <w:tcBorders>
              <w:top w:val="nil"/>
              <w:left w:val="nil"/>
              <w:bottom w:val="single" w:sz="4" w:space="0" w:color="auto"/>
              <w:right w:val="single" w:sz="4" w:space="0" w:color="auto"/>
            </w:tcBorders>
            <w:shd w:val="clear" w:color="auto" w:fill="auto"/>
            <w:noWrap/>
            <w:vAlign w:val="bottom"/>
            <w:hideMark/>
          </w:tcPr>
          <w:p w14:paraId="670E220F"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257</w:t>
            </w:r>
          </w:p>
        </w:tc>
      </w:tr>
      <w:tr w:rsidR="00E12D19" w:rsidRPr="00065280" w14:paraId="356054CC"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967B6E8"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Nigeria</w:t>
            </w:r>
          </w:p>
        </w:tc>
        <w:tc>
          <w:tcPr>
            <w:tcW w:w="1138" w:type="dxa"/>
            <w:tcBorders>
              <w:top w:val="nil"/>
              <w:left w:val="nil"/>
              <w:bottom w:val="single" w:sz="4" w:space="0" w:color="auto"/>
              <w:right w:val="single" w:sz="4" w:space="0" w:color="auto"/>
            </w:tcBorders>
            <w:shd w:val="clear" w:color="auto" w:fill="auto"/>
            <w:vAlign w:val="bottom"/>
            <w:hideMark/>
          </w:tcPr>
          <w:p w14:paraId="4AE0E016"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0,182</w:t>
            </w:r>
          </w:p>
        </w:tc>
        <w:tc>
          <w:tcPr>
            <w:tcW w:w="2552" w:type="dxa"/>
            <w:tcBorders>
              <w:top w:val="nil"/>
              <w:left w:val="nil"/>
              <w:bottom w:val="single" w:sz="4" w:space="0" w:color="auto"/>
              <w:right w:val="single" w:sz="4" w:space="0" w:color="auto"/>
            </w:tcBorders>
            <w:shd w:val="clear" w:color="auto" w:fill="auto"/>
            <w:noWrap/>
            <w:vAlign w:val="bottom"/>
            <w:hideMark/>
          </w:tcPr>
          <w:p w14:paraId="300184DC"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0,257</w:t>
            </w:r>
          </w:p>
        </w:tc>
        <w:tc>
          <w:tcPr>
            <w:tcW w:w="1217" w:type="dxa"/>
            <w:tcBorders>
              <w:top w:val="nil"/>
              <w:left w:val="nil"/>
              <w:bottom w:val="single" w:sz="4" w:space="0" w:color="auto"/>
              <w:right w:val="single" w:sz="4" w:space="0" w:color="auto"/>
            </w:tcBorders>
            <w:shd w:val="clear" w:color="auto" w:fill="auto"/>
            <w:noWrap/>
            <w:vAlign w:val="bottom"/>
            <w:hideMark/>
          </w:tcPr>
          <w:p w14:paraId="4552AFBB"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7 536</w:t>
            </w:r>
          </w:p>
        </w:tc>
        <w:tc>
          <w:tcPr>
            <w:tcW w:w="1213" w:type="dxa"/>
            <w:tcBorders>
              <w:top w:val="nil"/>
              <w:left w:val="nil"/>
              <w:bottom w:val="single" w:sz="4" w:space="0" w:color="auto"/>
              <w:right w:val="single" w:sz="4" w:space="0" w:color="auto"/>
            </w:tcBorders>
            <w:shd w:val="clear" w:color="auto" w:fill="auto"/>
            <w:noWrap/>
            <w:vAlign w:val="bottom"/>
            <w:hideMark/>
          </w:tcPr>
          <w:p w14:paraId="102C8189"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8 052</w:t>
            </w:r>
          </w:p>
        </w:tc>
        <w:tc>
          <w:tcPr>
            <w:tcW w:w="1260" w:type="dxa"/>
            <w:tcBorders>
              <w:top w:val="nil"/>
              <w:left w:val="nil"/>
              <w:bottom w:val="single" w:sz="4" w:space="0" w:color="auto"/>
              <w:right w:val="single" w:sz="4" w:space="0" w:color="auto"/>
            </w:tcBorders>
            <w:shd w:val="clear" w:color="auto" w:fill="auto"/>
            <w:noWrap/>
            <w:vAlign w:val="bottom"/>
            <w:hideMark/>
          </w:tcPr>
          <w:p w14:paraId="16722E21"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15 588</w:t>
            </w:r>
          </w:p>
        </w:tc>
      </w:tr>
      <w:tr w:rsidR="00E12D19" w:rsidRPr="00065280" w14:paraId="05ADFCAB"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BA1E169"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Niue</w:t>
            </w:r>
          </w:p>
        </w:tc>
        <w:tc>
          <w:tcPr>
            <w:tcW w:w="1138" w:type="dxa"/>
            <w:tcBorders>
              <w:top w:val="nil"/>
              <w:left w:val="nil"/>
              <w:bottom w:val="single" w:sz="4" w:space="0" w:color="auto"/>
              <w:right w:val="single" w:sz="4" w:space="0" w:color="auto"/>
            </w:tcBorders>
            <w:shd w:val="clear" w:color="auto" w:fill="auto"/>
            <w:vAlign w:val="bottom"/>
            <w:hideMark/>
          </w:tcPr>
          <w:p w14:paraId="1C51680A"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0,010</w:t>
            </w:r>
          </w:p>
        </w:tc>
        <w:tc>
          <w:tcPr>
            <w:tcW w:w="2552" w:type="dxa"/>
            <w:tcBorders>
              <w:top w:val="nil"/>
              <w:left w:val="nil"/>
              <w:bottom w:val="single" w:sz="4" w:space="0" w:color="auto"/>
              <w:right w:val="single" w:sz="4" w:space="0" w:color="auto"/>
            </w:tcBorders>
            <w:shd w:val="clear" w:color="auto" w:fill="auto"/>
            <w:noWrap/>
            <w:vAlign w:val="bottom"/>
            <w:hideMark/>
          </w:tcPr>
          <w:p w14:paraId="7A111AE0"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7D40FC02"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4110C3A6"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3B2E98F0"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607</w:t>
            </w:r>
          </w:p>
        </w:tc>
      </w:tr>
      <w:tr w:rsidR="00E12D19" w:rsidRPr="00065280" w14:paraId="47659FAB"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EC2D88D"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Noruega</w:t>
            </w:r>
          </w:p>
        </w:tc>
        <w:tc>
          <w:tcPr>
            <w:tcW w:w="1138" w:type="dxa"/>
            <w:tcBorders>
              <w:top w:val="nil"/>
              <w:left w:val="nil"/>
              <w:bottom w:val="single" w:sz="4" w:space="0" w:color="auto"/>
              <w:right w:val="single" w:sz="4" w:space="0" w:color="auto"/>
            </w:tcBorders>
            <w:shd w:val="clear" w:color="auto" w:fill="auto"/>
            <w:vAlign w:val="bottom"/>
            <w:hideMark/>
          </w:tcPr>
          <w:p w14:paraId="13FA8E6A"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0,679</w:t>
            </w:r>
          </w:p>
        </w:tc>
        <w:tc>
          <w:tcPr>
            <w:tcW w:w="2552" w:type="dxa"/>
            <w:tcBorders>
              <w:top w:val="nil"/>
              <w:left w:val="nil"/>
              <w:bottom w:val="single" w:sz="4" w:space="0" w:color="auto"/>
              <w:right w:val="single" w:sz="4" w:space="0" w:color="auto"/>
            </w:tcBorders>
            <w:shd w:val="clear" w:color="auto" w:fill="auto"/>
            <w:noWrap/>
            <w:vAlign w:val="bottom"/>
            <w:hideMark/>
          </w:tcPr>
          <w:p w14:paraId="0E362F49"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0,959</w:t>
            </w:r>
          </w:p>
        </w:tc>
        <w:tc>
          <w:tcPr>
            <w:tcW w:w="1217" w:type="dxa"/>
            <w:tcBorders>
              <w:top w:val="nil"/>
              <w:left w:val="nil"/>
              <w:bottom w:val="single" w:sz="4" w:space="0" w:color="auto"/>
              <w:right w:val="single" w:sz="4" w:space="0" w:color="auto"/>
            </w:tcBorders>
            <w:shd w:val="clear" w:color="auto" w:fill="auto"/>
            <w:noWrap/>
            <w:vAlign w:val="bottom"/>
            <w:hideMark/>
          </w:tcPr>
          <w:p w14:paraId="4FC0AE87"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28 115</w:t>
            </w:r>
          </w:p>
        </w:tc>
        <w:tc>
          <w:tcPr>
            <w:tcW w:w="1213" w:type="dxa"/>
            <w:tcBorders>
              <w:top w:val="nil"/>
              <w:left w:val="nil"/>
              <w:bottom w:val="single" w:sz="4" w:space="0" w:color="auto"/>
              <w:right w:val="single" w:sz="4" w:space="0" w:color="auto"/>
            </w:tcBorders>
            <w:shd w:val="clear" w:color="auto" w:fill="auto"/>
            <w:noWrap/>
            <w:vAlign w:val="bottom"/>
            <w:hideMark/>
          </w:tcPr>
          <w:p w14:paraId="2DF454EC"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30 039</w:t>
            </w:r>
          </w:p>
        </w:tc>
        <w:tc>
          <w:tcPr>
            <w:tcW w:w="1260" w:type="dxa"/>
            <w:tcBorders>
              <w:top w:val="nil"/>
              <w:left w:val="nil"/>
              <w:bottom w:val="single" w:sz="4" w:space="0" w:color="auto"/>
              <w:right w:val="single" w:sz="4" w:space="0" w:color="auto"/>
            </w:tcBorders>
            <w:shd w:val="clear" w:color="auto" w:fill="auto"/>
            <w:noWrap/>
            <w:vAlign w:val="bottom"/>
            <w:hideMark/>
          </w:tcPr>
          <w:p w14:paraId="116AC072"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58 154</w:t>
            </w:r>
          </w:p>
        </w:tc>
      </w:tr>
      <w:tr w:rsidR="00E12D19" w:rsidRPr="00065280" w14:paraId="116686C7"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20AB3D30"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Nueva Zelandia</w:t>
            </w:r>
          </w:p>
        </w:tc>
        <w:tc>
          <w:tcPr>
            <w:tcW w:w="1138" w:type="dxa"/>
            <w:tcBorders>
              <w:top w:val="nil"/>
              <w:left w:val="nil"/>
              <w:bottom w:val="single" w:sz="4" w:space="0" w:color="auto"/>
              <w:right w:val="single" w:sz="4" w:space="0" w:color="auto"/>
            </w:tcBorders>
            <w:shd w:val="clear" w:color="auto" w:fill="auto"/>
            <w:vAlign w:val="bottom"/>
          </w:tcPr>
          <w:p w14:paraId="64571AA6"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0,309</w:t>
            </w:r>
          </w:p>
        </w:tc>
        <w:tc>
          <w:tcPr>
            <w:tcW w:w="2552" w:type="dxa"/>
            <w:tcBorders>
              <w:top w:val="nil"/>
              <w:left w:val="nil"/>
              <w:bottom w:val="single" w:sz="4" w:space="0" w:color="auto"/>
              <w:right w:val="single" w:sz="4" w:space="0" w:color="auto"/>
            </w:tcBorders>
            <w:shd w:val="clear" w:color="auto" w:fill="auto"/>
            <w:noWrap/>
            <w:vAlign w:val="bottom"/>
          </w:tcPr>
          <w:p w14:paraId="7CA645B1"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0,436</w:t>
            </w:r>
          </w:p>
        </w:tc>
        <w:tc>
          <w:tcPr>
            <w:tcW w:w="1217" w:type="dxa"/>
            <w:tcBorders>
              <w:top w:val="nil"/>
              <w:left w:val="nil"/>
              <w:bottom w:val="single" w:sz="4" w:space="0" w:color="auto"/>
              <w:right w:val="single" w:sz="4" w:space="0" w:color="auto"/>
            </w:tcBorders>
            <w:shd w:val="clear" w:color="auto" w:fill="auto"/>
            <w:noWrap/>
            <w:vAlign w:val="bottom"/>
          </w:tcPr>
          <w:p w14:paraId="11CC8D04"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12 795</w:t>
            </w:r>
          </w:p>
        </w:tc>
        <w:tc>
          <w:tcPr>
            <w:tcW w:w="1213" w:type="dxa"/>
            <w:tcBorders>
              <w:top w:val="nil"/>
              <w:left w:val="nil"/>
              <w:bottom w:val="single" w:sz="4" w:space="0" w:color="auto"/>
              <w:right w:val="single" w:sz="4" w:space="0" w:color="auto"/>
            </w:tcBorders>
            <w:shd w:val="clear" w:color="auto" w:fill="auto"/>
            <w:noWrap/>
            <w:vAlign w:val="bottom"/>
          </w:tcPr>
          <w:p w14:paraId="6F4A93B7"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13 670</w:t>
            </w:r>
          </w:p>
        </w:tc>
        <w:tc>
          <w:tcPr>
            <w:tcW w:w="1260" w:type="dxa"/>
            <w:tcBorders>
              <w:top w:val="nil"/>
              <w:left w:val="nil"/>
              <w:bottom w:val="single" w:sz="4" w:space="0" w:color="auto"/>
              <w:right w:val="single" w:sz="4" w:space="0" w:color="auto"/>
            </w:tcBorders>
            <w:shd w:val="clear" w:color="auto" w:fill="auto"/>
            <w:noWrap/>
            <w:vAlign w:val="bottom"/>
          </w:tcPr>
          <w:p w14:paraId="1B11B557"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26 465</w:t>
            </w:r>
          </w:p>
        </w:tc>
      </w:tr>
      <w:tr w:rsidR="00E12D19" w:rsidRPr="00065280" w14:paraId="52DB5B35"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54D2E4D"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Omán</w:t>
            </w:r>
          </w:p>
        </w:tc>
        <w:tc>
          <w:tcPr>
            <w:tcW w:w="1138" w:type="dxa"/>
            <w:tcBorders>
              <w:top w:val="nil"/>
              <w:left w:val="nil"/>
              <w:bottom w:val="single" w:sz="4" w:space="0" w:color="auto"/>
              <w:right w:val="single" w:sz="4" w:space="0" w:color="auto"/>
            </w:tcBorders>
            <w:shd w:val="clear" w:color="auto" w:fill="auto"/>
            <w:vAlign w:val="bottom"/>
            <w:hideMark/>
          </w:tcPr>
          <w:p w14:paraId="1CF607AE"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0,111</w:t>
            </w:r>
          </w:p>
        </w:tc>
        <w:tc>
          <w:tcPr>
            <w:tcW w:w="2552" w:type="dxa"/>
            <w:tcBorders>
              <w:top w:val="nil"/>
              <w:left w:val="nil"/>
              <w:bottom w:val="single" w:sz="4" w:space="0" w:color="auto"/>
              <w:right w:val="single" w:sz="4" w:space="0" w:color="auto"/>
            </w:tcBorders>
            <w:shd w:val="clear" w:color="auto" w:fill="auto"/>
            <w:noWrap/>
            <w:vAlign w:val="bottom"/>
            <w:hideMark/>
          </w:tcPr>
          <w:p w14:paraId="25917188"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0,157</w:t>
            </w:r>
          </w:p>
        </w:tc>
        <w:tc>
          <w:tcPr>
            <w:tcW w:w="1217" w:type="dxa"/>
            <w:tcBorders>
              <w:top w:val="nil"/>
              <w:left w:val="nil"/>
              <w:bottom w:val="single" w:sz="4" w:space="0" w:color="auto"/>
              <w:right w:val="single" w:sz="4" w:space="0" w:color="auto"/>
            </w:tcBorders>
            <w:shd w:val="clear" w:color="auto" w:fill="auto"/>
            <w:noWrap/>
            <w:vAlign w:val="bottom"/>
            <w:hideMark/>
          </w:tcPr>
          <w:p w14:paraId="57BD47A5"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4 596</w:t>
            </w:r>
          </w:p>
        </w:tc>
        <w:tc>
          <w:tcPr>
            <w:tcW w:w="1213" w:type="dxa"/>
            <w:tcBorders>
              <w:top w:val="nil"/>
              <w:left w:val="nil"/>
              <w:bottom w:val="single" w:sz="4" w:space="0" w:color="auto"/>
              <w:right w:val="single" w:sz="4" w:space="0" w:color="auto"/>
            </w:tcBorders>
            <w:shd w:val="clear" w:color="auto" w:fill="auto"/>
            <w:noWrap/>
            <w:vAlign w:val="bottom"/>
            <w:hideMark/>
          </w:tcPr>
          <w:p w14:paraId="13726B99"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4 911</w:t>
            </w:r>
          </w:p>
        </w:tc>
        <w:tc>
          <w:tcPr>
            <w:tcW w:w="1260" w:type="dxa"/>
            <w:tcBorders>
              <w:top w:val="nil"/>
              <w:left w:val="nil"/>
              <w:bottom w:val="single" w:sz="4" w:space="0" w:color="auto"/>
              <w:right w:val="single" w:sz="4" w:space="0" w:color="auto"/>
            </w:tcBorders>
            <w:shd w:val="clear" w:color="auto" w:fill="auto"/>
            <w:noWrap/>
            <w:vAlign w:val="bottom"/>
            <w:hideMark/>
          </w:tcPr>
          <w:p w14:paraId="27967A37"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9 507</w:t>
            </w:r>
          </w:p>
        </w:tc>
      </w:tr>
      <w:tr w:rsidR="00E12D19" w:rsidRPr="00065280" w14:paraId="2B39ABB9"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4446E82E"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Países Bajos (Reino de los)</w:t>
            </w:r>
          </w:p>
        </w:tc>
        <w:tc>
          <w:tcPr>
            <w:tcW w:w="1138" w:type="dxa"/>
            <w:tcBorders>
              <w:top w:val="nil"/>
              <w:left w:val="nil"/>
              <w:bottom w:val="single" w:sz="4" w:space="0" w:color="auto"/>
              <w:right w:val="single" w:sz="4" w:space="0" w:color="auto"/>
            </w:tcBorders>
            <w:shd w:val="clear" w:color="auto" w:fill="auto"/>
            <w:vAlign w:val="bottom"/>
          </w:tcPr>
          <w:p w14:paraId="6F460413"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1,377</w:t>
            </w:r>
          </w:p>
        </w:tc>
        <w:tc>
          <w:tcPr>
            <w:tcW w:w="2552" w:type="dxa"/>
            <w:tcBorders>
              <w:top w:val="nil"/>
              <w:left w:val="nil"/>
              <w:bottom w:val="single" w:sz="4" w:space="0" w:color="auto"/>
              <w:right w:val="single" w:sz="4" w:space="0" w:color="auto"/>
            </w:tcBorders>
            <w:shd w:val="clear" w:color="auto" w:fill="auto"/>
            <w:noWrap/>
            <w:vAlign w:val="bottom"/>
          </w:tcPr>
          <w:p w14:paraId="6C174529"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1,944</w:t>
            </w:r>
          </w:p>
        </w:tc>
        <w:tc>
          <w:tcPr>
            <w:tcW w:w="1217" w:type="dxa"/>
            <w:tcBorders>
              <w:top w:val="nil"/>
              <w:left w:val="nil"/>
              <w:bottom w:val="single" w:sz="4" w:space="0" w:color="auto"/>
              <w:right w:val="single" w:sz="4" w:space="0" w:color="auto"/>
            </w:tcBorders>
            <w:shd w:val="clear" w:color="auto" w:fill="auto"/>
            <w:noWrap/>
            <w:vAlign w:val="bottom"/>
          </w:tcPr>
          <w:p w14:paraId="53C52443"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57 017</w:t>
            </w:r>
          </w:p>
        </w:tc>
        <w:tc>
          <w:tcPr>
            <w:tcW w:w="1213" w:type="dxa"/>
            <w:tcBorders>
              <w:top w:val="nil"/>
              <w:left w:val="nil"/>
              <w:bottom w:val="single" w:sz="4" w:space="0" w:color="auto"/>
              <w:right w:val="single" w:sz="4" w:space="0" w:color="auto"/>
            </w:tcBorders>
            <w:shd w:val="clear" w:color="auto" w:fill="auto"/>
            <w:noWrap/>
            <w:vAlign w:val="bottom"/>
          </w:tcPr>
          <w:p w14:paraId="4D0D0D9C"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60 919</w:t>
            </w:r>
          </w:p>
        </w:tc>
        <w:tc>
          <w:tcPr>
            <w:tcW w:w="1260" w:type="dxa"/>
            <w:tcBorders>
              <w:top w:val="nil"/>
              <w:left w:val="nil"/>
              <w:bottom w:val="single" w:sz="4" w:space="0" w:color="auto"/>
              <w:right w:val="single" w:sz="4" w:space="0" w:color="auto"/>
            </w:tcBorders>
            <w:shd w:val="clear" w:color="auto" w:fill="auto"/>
            <w:noWrap/>
            <w:vAlign w:val="bottom"/>
          </w:tcPr>
          <w:p w14:paraId="08CFE966"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117 936</w:t>
            </w:r>
          </w:p>
        </w:tc>
      </w:tr>
      <w:tr w:rsidR="00E12D19" w:rsidRPr="00065280" w14:paraId="091DAD26"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E7D9E7D"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Pakistán</w:t>
            </w:r>
          </w:p>
        </w:tc>
        <w:tc>
          <w:tcPr>
            <w:tcW w:w="1138" w:type="dxa"/>
            <w:tcBorders>
              <w:top w:val="nil"/>
              <w:left w:val="nil"/>
              <w:bottom w:val="single" w:sz="4" w:space="0" w:color="auto"/>
              <w:right w:val="single" w:sz="4" w:space="0" w:color="auto"/>
            </w:tcBorders>
            <w:shd w:val="clear" w:color="auto" w:fill="auto"/>
            <w:vAlign w:val="bottom"/>
            <w:hideMark/>
          </w:tcPr>
          <w:p w14:paraId="143609CA"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0,114</w:t>
            </w:r>
          </w:p>
        </w:tc>
        <w:tc>
          <w:tcPr>
            <w:tcW w:w="2552" w:type="dxa"/>
            <w:tcBorders>
              <w:top w:val="nil"/>
              <w:left w:val="nil"/>
              <w:bottom w:val="single" w:sz="4" w:space="0" w:color="auto"/>
              <w:right w:val="single" w:sz="4" w:space="0" w:color="auto"/>
            </w:tcBorders>
            <w:shd w:val="clear" w:color="auto" w:fill="auto"/>
            <w:noWrap/>
            <w:vAlign w:val="bottom"/>
            <w:hideMark/>
          </w:tcPr>
          <w:p w14:paraId="78223ED4"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0,161</w:t>
            </w:r>
          </w:p>
        </w:tc>
        <w:tc>
          <w:tcPr>
            <w:tcW w:w="1217" w:type="dxa"/>
            <w:tcBorders>
              <w:top w:val="nil"/>
              <w:left w:val="nil"/>
              <w:bottom w:val="single" w:sz="4" w:space="0" w:color="auto"/>
              <w:right w:val="single" w:sz="4" w:space="0" w:color="auto"/>
            </w:tcBorders>
            <w:shd w:val="clear" w:color="auto" w:fill="auto"/>
            <w:noWrap/>
            <w:vAlign w:val="bottom"/>
            <w:hideMark/>
          </w:tcPr>
          <w:p w14:paraId="54D150E9"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4 720</w:t>
            </w:r>
          </w:p>
        </w:tc>
        <w:tc>
          <w:tcPr>
            <w:tcW w:w="1213" w:type="dxa"/>
            <w:tcBorders>
              <w:top w:val="nil"/>
              <w:left w:val="nil"/>
              <w:bottom w:val="single" w:sz="4" w:space="0" w:color="auto"/>
              <w:right w:val="single" w:sz="4" w:space="0" w:color="auto"/>
            </w:tcBorders>
            <w:shd w:val="clear" w:color="auto" w:fill="auto"/>
            <w:noWrap/>
            <w:vAlign w:val="bottom"/>
            <w:hideMark/>
          </w:tcPr>
          <w:p w14:paraId="7D19EB42"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5 043</w:t>
            </w:r>
          </w:p>
        </w:tc>
        <w:tc>
          <w:tcPr>
            <w:tcW w:w="1260" w:type="dxa"/>
            <w:tcBorders>
              <w:top w:val="nil"/>
              <w:left w:val="nil"/>
              <w:bottom w:val="single" w:sz="4" w:space="0" w:color="auto"/>
              <w:right w:val="single" w:sz="4" w:space="0" w:color="auto"/>
            </w:tcBorders>
            <w:shd w:val="clear" w:color="auto" w:fill="auto"/>
            <w:noWrap/>
            <w:vAlign w:val="bottom"/>
            <w:hideMark/>
          </w:tcPr>
          <w:p w14:paraId="66634367"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9 764</w:t>
            </w:r>
          </w:p>
        </w:tc>
      </w:tr>
      <w:tr w:rsidR="00E12D19" w:rsidRPr="00065280" w14:paraId="5F5ADF98"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2883F67"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Palau</w:t>
            </w:r>
          </w:p>
        </w:tc>
        <w:tc>
          <w:tcPr>
            <w:tcW w:w="1138" w:type="dxa"/>
            <w:tcBorders>
              <w:top w:val="nil"/>
              <w:left w:val="nil"/>
              <w:bottom w:val="single" w:sz="4" w:space="0" w:color="auto"/>
              <w:right w:val="single" w:sz="4" w:space="0" w:color="auto"/>
            </w:tcBorders>
            <w:shd w:val="clear" w:color="auto" w:fill="auto"/>
            <w:vAlign w:val="bottom"/>
            <w:hideMark/>
          </w:tcPr>
          <w:p w14:paraId="4FF53FE3"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0EA0CFC5"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4A4F660C"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630ABE03"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2E286942"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86</w:t>
            </w:r>
          </w:p>
        </w:tc>
      </w:tr>
      <w:tr w:rsidR="00E12D19" w:rsidRPr="00065280" w14:paraId="7E413C01"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C40A329"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Panamá</w:t>
            </w:r>
          </w:p>
        </w:tc>
        <w:tc>
          <w:tcPr>
            <w:tcW w:w="1138" w:type="dxa"/>
            <w:tcBorders>
              <w:top w:val="nil"/>
              <w:left w:val="nil"/>
              <w:bottom w:val="single" w:sz="4" w:space="0" w:color="auto"/>
              <w:right w:val="single" w:sz="4" w:space="0" w:color="auto"/>
            </w:tcBorders>
            <w:shd w:val="clear" w:color="auto" w:fill="auto"/>
            <w:vAlign w:val="bottom"/>
            <w:hideMark/>
          </w:tcPr>
          <w:p w14:paraId="16C026AD"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0,090</w:t>
            </w:r>
          </w:p>
        </w:tc>
        <w:tc>
          <w:tcPr>
            <w:tcW w:w="2552" w:type="dxa"/>
            <w:tcBorders>
              <w:top w:val="nil"/>
              <w:left w:val="nil"/>
              <w:bottom w:val="single" w:sz="4" w:space="0" w:color="auto"/>
              <w:right w:val="single" w:sz="4" w:space="0" w:color="auto"/>
            </w:tcBorders>
            <w:shd w:val="clear" w:color="auto" w:fill="auto"/>
            <w:noWrap/>
            <w:vAlign w:val="bottom"/>
            <w:hideMark/>
          </w:tcPr>
          <w:p w14:paraId="649878F6"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0,127</w:t>
            </w:r>
          </w:p>
        </w:tc>
        <w:tc>
          <w:tcPr>
            <w:tcW w:w="1217" w:type="dxa"/>
            <w:tcBorders>
              <w:top w:val="nil"/>
              <w:left w:val="nil"/>
              <w:bottom w:val="single" w:sz="4" w:space="0" w:color="auto"/>
              <w:right w:val="single" w:sz="4" w:space="0" w:color="auto"/>
            </w:tcBorders>
            <w:shd w:val="clear" w:color="auto" w:fill="auto"/>
            <w:noWrap/>
            <w:vAlign w:val="bottom"/>
            <w:hideMark/>
          </w:tcPr>
          <w:p w14:paraId="48656576"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3 727</w:t>
            </w:r>
          </w:p>
        </w:tc>
        <w:tc>
          <w:tcPr>
            <w:tcW w:w="1213" w:type="dxa"/>
            <w:tcBorders>
              <w:top w:val="nil"/>
              <w:left w:val="nil"/>
              <w:bottom w:val="single" w:sz="4" w:space="0" w:color="auto"/>
              <w:right w:val="single" w:sz="4" w:space="0" w:color="auto"/>
            </w:tcBorders>
            <w:shd w:val="clear" w:color="auto" w:fill="auto"/>
            <w:noWrap/>
            <w:vAlign w:val="bottom"/>
            <w:hideMark/>
          </w:tcPr>
          <w:p w14:paraId="74F22F83"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3 982</w:t>
            </w:r>
          </w:p>
        </w:tc>
        <w:tc>
          <w:tcPr>
            <w:tcW w:w="1260" w:type="dxa"/>
            <w:tcBorders>
              <w:top w:val="nil"/>
              <w:left w:val="nil"/>
              <w:bottom w:val="single" w:sz="4" w:space="0" w:color="auto"/>
              <w:right w:val="single" w:sz="4" w:space="0" w:color="auto"/>
            </w:tcBorders>
            <w:shd w:val="clear" w:color="auto" w:fill="auto"/>
            <w:noWrap/>
            <w:vAlign w:val="bottom"/>
            <w:hideMark/>
          </w:tcPr>
          <w:p w14:paraId="0A15B805"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7 708</w:t>
            </w:r>
          </w:p>
        </w:tc>
      </w:tr>
      <w:tr w:rsidR="00E12D19" w:rsidRPr="00065280" w14:paraId="4AEED977"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7A7E84D"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Papua Nueva Guinea</w:t>
            </w:r>
          </w:p>
        </w:tc>
        <w:tc>
          <w:tcPr>
            <w:tcW w:w="1138" w:type="dxa"/>
            <w:tcBorders>
              <w:top w:val="nil"/>
              <w:left w:val="nil"/>
              <w:bottom w:val="single" w:sz="4" w:space="0" w:color="auto"/>
              <w:right w:val="single" w:sz="4" w:space="0" w:color="auto"/>
            </w:tcBorders>
            <w:shd w:val="clear" w:color="auto" w:fill="auto"/>
            <w:vAlign w:val="bottom"/>
            <w:hideMark/>
          </w:tcPr>
          <w:p w14:paraId="6F87A836"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0,010</w:t>
            </w:r>
          </w:p>
        </w:tc>
        <w:tc>
          <w:tcPr>
            <w:tcW w:w="2552" w:type="dxa"/>
            <w:tcBorders>
              <w:top w:val="nil"/>
              <w:left w:val="nil"/>
              <w:bottom w:val="single" w:sz="4" w:space="0" w:color="auto"/>
              <w:right w:val="single" w:sz="4" w:space="0" w:color="auto"/>
            </w:tcBorders>
            <w:shd w:val="clear" w:color="auto" w:fill="auto"/>
            <w:noWrap/>
            <w:vAlign w:val="bottom"/>
            <w:hideMark/>
          </w:tcPr>
          <w:p w14:paraId="424D2271"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0,014</w:t>
            </w:r>
          </w:p>
        </w:tc>
        <w:tc>
          <w:tcPr>
            <w:tcW w:w="1217" w:type="dxa"/>
            <w:tcBorders>
              <w:top w:val="nil"/>
              <w:left w:val="nil"/>
              <w:bottom w:val="single" w:sz="4" w:space="0" w:color="auto"/>
              <w:right w:val="single" w:sz="4" w:space="0" w:color="auto"/>
            </w:tcBorders>
            <w:shd w:val="clear" w:color="auto" w:fill="auto"/>
            <w:noWrap/>
            <w:vAlign w:val="bottom"/>
            <w:hideMark/>
          </w:tcPr>
          <w:p w14:paraId="242F2896"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414</w:t>
            </w:r>
          </w:p>
        </w:tc>
        <w:tc>
          <w:tcPr>
            <w:tcW w:w="1213" w:type="dxa"/>
            <w:tcBorders>
              <w:top w:val="nil"/>
              <w:left w:val="nil"/>
              <w:bottom w:val="single" w:sz="4" w:space="0" w:color="auto"/>
              <w:right w:val="single" w:sz="4" w:space="0" w:color="auto"/>
            </w:tcBorders>
            <w:shd w:val="clear" w:color="auto" w:fill="auto"/>
            <w:noWrap/>
            <w:vAlign w:val="bottom"/>
            <w:hideMark/>
          </w:tcPr>
          <w:p w14:paraId="4034CCAC"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442</w:t>
            </w:r>
          </w:p>
        </w:tc>
        <w:tc>
          <w:tcPr>
            <w:tcW w:w="1260" w:type="dxa"/>
            <w:tcBorders>
              <w:top w:val="nil"/>
              <w:left w:val="nil"/>
              <w:bottom w:val="single" w:sz="4" w:space="0" w:color="auto"/>
              <w:right w:val="single" w:sz="4" w:space="0" w:color="auto"/>
            </w:tcBorders>
            <w:shd w:val="clear" w:color="auto" w:fill="auto"/>
            <w:noWrap/>
            <w:vAlign w:val="bottom"/>
            <w:hideMark/>
          </w:tcPr>
          <w:p w14:paraId="449CB594"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856</w:t>
            </w:r>
          </w:p>
        </w:tc>
      </w:tr>
      <w:tr w:rsidR="00E12D19" w:rsidRPr="00065280" w14:paraId="48B572F8"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81976E2"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Paraguay</w:t>
            </w:r>
          </w:p>
        </w:tc>
        <w:tc>
          <w:tcPr>
            <w:tcW w:w="1138" w:type="dxa"/>
            <w:tcBorders>
              <w:top w:val="nil"/>
              <w:left w:val="nil"/>
              <w:bottom w:val="single" w:sz="4" w:space="0" w:color="auto"/>
              <w:right w:val="single" w:sz="4" w:space="0" w:color="auto"/>
            </w:tcBorders>
            <w:shd w:val="clear" w:color="auto" w:fill="auto"/>
            <w:vAlign w:val="bottom"/>
            <w:hideMark/>
          </w:tcPr>
          <w:p w14:paraId="13F28EFA"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0,026</w:t>
            </w:r>
          </w:p>
        </w:tc>
        <w:tc>
          <w:tcPr>
            <w:tcW w:w="2552" w:type="dxa"/>
            <w:tcBorders>
              <w:top w:val="nil"/>
              <w:left w:val="nil"/>
              <w:bottom w:val="single" w:sz="4" w:space="0" w:color="auto"/>
              <w:right w:val="single" w:sz="4" w:space="0" w:color="auto"/>
            </w:tcBorders>
            <w:shd w:val="clear" w:color="auto" w:fill="auto"/>
            <w:noWrap/>
            <w:vAlign w:val="bottom"/>
            <w:hideMark/>
          </w:tcPr>
          <w:p w14:paraId="5B63BC40"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0,037</w:t>
            </w:r>
          </w:p>
        </w:tc>
        <w:tc>
          <w:tcPr>
            <w:tcW w:w="1217" w:type="dxa"/>
            <w:tcBorders>
              <w:top w:val="nil"/>
              <w:left w:val="nil"/>
              <w:bottom w:val="single" w:sz="4" w:space="0" w:color="auto"/>
              <w:right w:val="single" w:sz="4" w:space="0" w:color="auto"/>
            </w:tcBorders>
            <w:shd w:val="clear" w:color="auto" w:fill="auto"/>
            <w:noWrap/>
            <w:vAlign w:val="bottom"/>
            <w:hideMark/>
          </w:tcPr>
          <w:p w14:paraId="1C39BC44"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1 077</w:t>
            </w:r>
          </w:p>
        </w:tc>
        <w:tc>
          <w:tcPr>
            <w:tcW w:w="1213" w:type="dxa"/>
            <w:tcBorders>
              <w:top w:val="nil"/>
              <w:left w:val="nil"/>
              <w:bottom w:val="single" w:sz="4" w:space="0" w:color="auto"/>
              <w:right w:val="single" w:sz="4" w:space="0" w:color="auto"/>
            </w:tcBorders>
            <w:shd w:val="clear" w:color="auto" w:fill="auto"/>
            <w:noWrap/>
            <w:vAlign w:val="bottom"/>
            <w:hideMark/>
          </w:tcPr>
          <w:p w14:paraId="6DF84E73"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1 150</w:t>
            </w:r>
          </w:p>
        </w:tc>
        <w:tc>
          <w:tcPr>
            <w:tcW w:w="1260" w:type="dxa"/>
            <w:tcBorders>
              <w:top w:val="nil"/>
              <w:left w:val="nil"/>
              <w:bottom w:val="single" w:sz="4" w:space="0" w:color="auto"/>
              <w:right w:val="single" w:sz="4" w:space="0" w:color="auto"/>
            </w:tcBorders>
            <w:shd w:val="clear" w:color="auto" w:fill="auto"/>
            <w:noWrap/>
            <w:vAlign w:val="bottom"/>
            <w:hideMark/>
          </w:tcPr>
          <w:p w14:paraId="69E67222"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2 227</w:t>
            </w:r>
          </w:p>
        </w:tc>
      </w:tr>
      <w:tr w:rsidR="00E12D19" w:rsidRPr="00065280" w14:paraId="217308DB"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4086E28"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Perú</w:t>
            </w:r>
          </w:p>
        </w:tc>
        <w:tc>
          <w:tcPr>
            <w:tcW w:w="1138" w:type="dxa"/>
            <w:tcBorders>
              <w:top w:val="nil"/>
              <w:left w:val="nil"/>
              <w:bottom w:val="single" w:sz="4" w:space="0" w:color="auto"/>
              <w:right w:val="single" w:sz="4" w:space="0" w:color="auto"/>
            </w:tcBorders>
            <w:shd w:val="clear" w:color="auto" w:fill="auto"/>
            <w:vAlign w:val="bottom"/>
            <w:hideMark/>
          </w:tcPr>
          <w:p w14:paraId="0276DB1D"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0,163</w:t>
            </w:r>
          </w:p>
        </w:tc>
        <w:tc>
          <w:tcPr>
            <w:tcW w:w="2552" w:type="dxa"/>
            <w:tcBorders>
              <w:top w:val="nil"/>
              <w:left w:val="nil"/>
              <w:bottom w:val="single" w:sz="4" w:space="0" w:color="auto"/>
              <w:right w:val="single" w:sz="4" w:space="0" w:color="auto"/>
            </w:tcBorders>
            <w:shd w:val="clear" w:color="auto" w:fill="auto"/>
            <w:noWrap/>
            <w:vAlign w:val="bottom"/>
            <w:hideMark/>
          </w:tcPr>
          <w:p w14:paraId="24C08E46"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0,230</w:t>
            </w:r>
          </w:p>
        </w:tc>
        <w:tc>
          <w:tcPr>
            <w:tcW w:w="1217" w:type="dxa"/>
            <w:tcBorders>
              <w:top w:val="nil"/>
              <w:left w:val="nil"/>
              <w:bottom w:val="single" w:sz="4" w:space="0" w:color="auto"/>
              <w:right w:val="single" w:sz="4" w:space="0" w:color="auto"/>
            </w:tcBorders>
            <w:shd w:val="clear" w:color="auto" w:fill="auto"/>
            <w:noWrap/>
            <w:vAlign w:val="bottom"/>
            <w:hideMark/>
          </w:tcPr>
          <w:p w14:paraId="0A1EE9C1"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6 749</w:t>
            </w:r>
          </w:p>
        </w:tc>
        <w:tc>
          <w:tcPr>
            <w:tcW w:w="1213" w:type="dxa"/>
            <w:tcBorders>
              <w:top w:val="nil"/>
              <w:left w:val="nil"/>
              <w:bottom w:val="single" w:sz="4" w:space="0" w:color="auto"/>
              <w:right w:val="single" w:sz="4" w:space="0" w:color="auto"/>
            </w:tcBorders>
            <w:shd w:val="clear" w:color="auto" w:fill="auto"/>
            <w:noWrap/>
            <w:vAlign w:val="bottom"/>
            <w:hideMark/>
          </w:tcPr>
          <w:p w14:paraId="5EFA3ED1"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7 211</w:t>
            </w:r>
          </w:p>
        </w:tc>
        <w:tc>
          <w:tcPr>
            <w:tcW w:w="1260" w:type="dxa"/>
            <w:tcBorders>
              <w:top w:val="nil"/>
              <w:left w:val="nil"/>
              <w:bottom w:val="single" w:sz="4" w:space="0" w:color="auto"/>
              <w:right w:val="single" w:sz="4" w:space="0" w:color="auto"/>
            </w:tcBorders>
            <w:shd w:val="clear" w:color="auto" w:fill="auto"/>
            <w:noWrap/>
            <w:vAlign w:val="bottom"/>
            <w:hideMark/>
          </w:tcPr>
          <w:p w14:paraId="4148D07C"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13 960</w:t>
            </w:r>
          </w:p>
        </w:tc>
      </w:tr>
      <w:tr w:rsidR="00E12D19" w:rsidRPr="00065280" w14:paraId="60ABF9CC"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5276AEF"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Polonia</w:t>
            </w:r>
          </w:p>
        </w:tc>
        <w:tc>
          <w:tcPr>
            <w:tcW w:w="1138" w:type="dxa"/>
            <w:tcBorders>
              <w:top w:val="nil"/>
              <w:left w:val="nil"/>
              <w:bottom w:val="single" w:sz="4" w:space="0" w:color="auto"/>
              <w:right w:val="single" w:sz="4" w:space="0" w:color="auto"/>
            </w:tcBorders>
            <w:shd w:val="clear" w:color="auto" w:fill="auto"/>
            <w:vAlign w:val="bottom"/>
            <w:hideMark/>
          </w:tcPr>
          <w:p w14:paraId="643E4790"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0,837</w:t>
            </w:r>
          </w:p>
        </w:tc>
        <w:tc>
          <w:tcPr>
            <w:tcW w:w="2552" w:type="dxa"/>
            <w:tcBorders>
              <w:top w:val="nil"/>
              <w:left w:val="nil"/>
              <w:bottom w:val="single" w:sz="4" w:space="0" w:color="auto"/>
              <w:right w:val="single" w:sz="4" w:space="0" w:color="auto"/>
            </w:tcBorders>
            <w:shd w:val="clear" w:color="auto" w:fill="auto"/>
            <w:noWrap/>
            <w:vAlign w:val="bottom"/>
            <w:hideMark/>
          </w:tcPr>
          <w:p w14:paraId="444C3900"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1,182</w:t>
            </w:r>
          </w:p>
        </w:tc>
        <w:tc>
          <w:tcPr>
            <w:tcW w:w="1217" w:type="dxa"/>
            <w:tcBorders>
              <w:top w:val="nil"/>
              <w:left w:val="nil"/>
              <w:bottom w:val="single" w:sz="4" w:space="0" w:color="auto"/>
              <w:right w:val="single" w:sz="4" w:space="0" w:color="auto"/>
            </w:tcBorders>
            <w:shd w:val="clear" w:color="auto" w:fill="auto"/>
            <w:noWrap/>
            <w:vAlign w:val="bottom"/>
            <w:hideMark/>
          </w:tcPr>
          <w:p w14:paraId="3B339F19"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34 658</w:t>
            </w:r>
          </w:p>
        </w:tc>
        <w:tc>
          <w:tcPr>
            <w:tcW w:w="1213" w:type="dxa"/>
            <w:tcBorders>
              <w:top w:val="nil"/>
              <w:left w:val="nil"/>
              <w:bottom w:val="single" w:sz="4" w:space="0" w:color="auto"/>
              <w:right w:val="single" w:sz="4" w:space="0" w:color="auto"/>
            </w:tcBorders>
            <w:shd w:val="clear" w:color="auto" w:fill="auto"/>
            <w:noWrap/>
            <w:vAlign w:val="bottom"/>
            <w:hideMark/>
          </w:tcPr>
          <w:p w14:paraId="466B63B7"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37 029</w:t>
            </w:r>
          </w:p>
        </w:tc>
        <w:tc>
          <w:tcPr>
            <w:tcW w:w="1260" w:type="dxa"/>
            <w:tcBorders>
              <w:top w:val="nil"/>
              <w:left w:val="nil"/>
              <w:bottom w:val="single" w:sz="4" w:space="0" w:color="auto"/>
              <w:right w:val="single" w:sz="4" w:space="0" w:color="auto"/>
            </w:tcBorders>
            <w:shd w:val="clear" w:color="auto" w:fill="auto"/>
            <w:noWrap/>
            <w:vAlign w:val="bottom"/>
            <w:hideMark/>
          </w:tcPr>
          <w:p w14:paraId="20DD30F5"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71 687</w:t>
            </w:r>
          </w:p>
        </w:tc>
      </w:tr>
      <w:tr w:rsidR="00E12D19" w:rsidRPr="00065280" w14:paraId="508D685B"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09AFC4C"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Portugal</w:t>
            </w:r>
          </w:p>
        </w:tc>
        <w:tc>
          <w:tcPr>
            <w:tcW w:w="1138" w:type="dxa"/>
            <w:tcBorders>
              <w:top w:val="nil"/>
              <w:left w:val="nil"/>
              <w:bottom w:val="single" w:sz="4" w:space="0" w:color="auto"/>
              <w:right w:val="single" w:sz="4" w:space="0" w:color="auto"/>
            </w:tcBorders>
            <w:shd w:val="clear" w:color="auto" w:fill="auto"/>
            <w:vAlign w:val="bottom"/>
            <w:hideMark/>
          </w:tcPr>
          <w:p w14:paraId="14CDCCC0"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0,353</w:t>
            </w:r>
          </w:p>
        </w:tc>
        <w:tc>
          <w:tcPr>
            <w:tcW w:w="2552" w:type="dxa"/>
            <w:tcBorders>
              <w:top w:val="nil"/>
              <w:left w:val="nil"/>
              <w:bottom w:val="single" w:sz="4" w:space="0" w:color="auto"/>
              <w:right w:val="single" w:sz="4" w:space="0" w:color="auto"/>
            </w:tcBorders>
            <w:shd w:val="clear" w:color="auto" w:fill="auto"/>
            <w:noWrap/>
            <w:vAlign w:val="bottom"/>
            <w:hideMark/>
          </w:tcPr>
          <w:p w14:paraId="36348CC3"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0,498</w:t>
            </w:r>
          </w:p>
        </w:tc>
        <w:tc>
          <w:tcPr>
            <w:tcW w:w="1217" w:type="dxa"/>
            <w:tcBorders>
              <w:top w:val="nil"/>
              <w:left w:val="nil"/>
              <w:bottom w:val="single" w:sz="4" w:space="0" w:color="auto"/>
              <w:right w:val="single" w:sz="4" w:space="0" w:color="auto"/>
            </w:tcBorders>
            <w:shd w:val="clear" w:color="auto" w:fill="auto"/>
            <w:noWrap/>
            <w:vAlign w:val="bottom"/>
            <w:hideMark/>
          </w:tcPr>
          <w:p w14:paraId="1908D25C"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14 617</w:t>
            </w:r>
          </w:p>
        </w:tc>
        <w:tc>
          <w:tcPr>
            <w:tcW w:w="1213" w:type="dxa"/>
            <w:tcBorders>
              <w:top w:val="nil"/>
              <w:left w:val="nil"/>
              <w:bottom w:val="single" w:sz="4" w:space="0" w:color="auto"/>
              <w:right w:val="single" w:sz="4" w:space="0" w:color="auto"/>
            </w:tcBorders>
            <w:shd w:val="clear" w:color="auto" w:fill="auto"/>
            <w:noWrap/>
            <w:vAlign w:val="bottom"/>
            <w:hideMark/>
          </w:tcPr>
          <w:p w14:paraId="027ACBC6"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15 617</w:t>
            </w:r>
          </w:p>
        </w:tc>
        <w:tc>
          <w:tcPr>
            <w:tcW w:w="1260" w:type="dxa"/>
            <w:tcBorders>
              <w:top w:val="nil"/>
              <w:left w:val="nil"/>
              <w:bottom w:val="single" w:sz="4" w:space="0" w:color="auto"/>
              <w:right w:val="single" w:sz="4" w:space="0" w:color="auto"/>
            </w:tcBorders>
            <w:shd w:val="clear" w:color="auto" w:fill="auto"/>
            <w:noWrap/>
            <w:vAlign w:val="bottom"/>
            <w:hideMark/>
          </w:tcPr>
          <w:p w14:paraId="3BE80ED2"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30 233</w:t>
            </w:r>
          </w:p>
        </w:tc>
      </w:tr>
      <w:tr w:rsidR="00E12D19" w:rsidRPr="00065280" w14:paraId="6D3D5D4C"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BE94246"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Qatar</w:t>
            </w:r>
          </w:p>
        </w:tc>
        <w:tc>
          <w:tcPr>
            <w:tcW w:w="1138" w:type="dxa"/>
            <w:tcBorders>
              <w:top w:val="nil"/>
              <w:left w:val="nil"/>
              <w:bottom w:val="single" w:sz="4" w:space="0" w:color="auto"/>
              <w:right w:val="single" w:sz="4" w:space="0" w:color="auto"/>
            </w:tcBorders>
            <w:shd w:val="clear" w:color="auto" w:fill="auto"/>
            <w:vAlign w:val="bottom"/>
            <w:hideMark/>
          </w:tcPr>
          <w:p w14:paraId="1EA061C1"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0,269</w:t>
            </w:r>
          </w:p>
        </w:tc>
        <w:tc>
          <w:tcPr>
            <w:tcW w:w="2552" w:type="dxa"/>
            <w:tcBorders>
              <w:top w:val="nil"/>
              <w:left w:val="nil"/>
              <w:bottom w:val="single" w:sz="4" w:space="0" w:color="auto"/>
              <w:right w:val="single" w:sz="4" w:space="0" w:color="auto"/>
            </w:tcBorders>
            <w:shd w:val="clear" w:color="auto" w:fill="auto"/>
            <w:noWrap/>
            <w:vAlign w:val="bottom"/>
            <w:hideMark/>
          </w:tcPr>
          <w:p w14:paraId="09D2F94A"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0,380</w:t>
            </w:r>
          </w:p>
        </w:tc>
        <w:tc>
          <w:tcPr>
            <w:tcW w:w="1217" w:type="dxa"/>
            <w:tcBorders>
              <w:top w:val="nil"/>
              <w:left w:val="nil"/>
              <w:bottom w:val="single" w:sz="4" w:space="0" w:color="auto"/>
              <w:right w:val="single" w:sz="4" w:space="0" w:color="auto"/>
            </w:tcBorders>
            <w:shd w:val="clear" w:color="auto" w:fill="auto"/>
            <w:noWrap/>
            <w:vAlign w:val="bottom"/>
            <w:hideMark/>
          </w:tcPr>
          <w:p w14:paraId="7DB24CFE"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11 138</w:t>
            </w:r>
          </w:p>
        </w:tc>
        <w:tc>
          <w:tcPr>
            <w:tcW w:w="1213" w:type="dxa"/>
            <w:tcBorders>
              <w:top w:val="nil"/>
              <w:left w:val="nil"/>
              <w:bottom w:val="single" w:sz="4" w:space="0" w:color="auto"/>
              <w:right w:val="single" w:sz="4" w:space="0" w:color="auto"/>
            </w:tcBorders>
            <w:shd w:val="clear" w:color="auto" w:fill="auto"/>
            <w:noWrap/>
            <w:vAlign w:val="bottom"/>
            <w:hideMark/>
          </w:tcPr>
          <w:p w14:paraId="3C40A68F"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11 901</w:t>
            </w:r>
          </w:p>
        </w:tc>
        <w:tc>
          <w:tcPr>
            <w:tcW w:w="1260" w:type="dxa"/>
            <w:tcBorders>
              <w:top w:val="nil"/>
              <w:left w:val="nil"/>
              <w:bottom w:val="single" w:sz="4" w:space="0" w:color="auto"/>
              <w:right w:val="single" w:sz="4" w:space="0" w:color="auto"/>
            </w:tcBorders>
            <w:shd w:val="clear" w:color="auto" w:fill="auto"/>
            <w:noWrap/>
            <w:vAlign w:val="bottom"/>
            <w:hideMark/>
          </w:tcPr>
          <w:p w14:paraId="17428036"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23 039</w:t>
            </w:r>
          </w:p>
        </w:tc>
      </w:tr>
      <w:tr w:rsidR="00E12D19" w:rsidRPr="00065280" w14:paraId="2822F1CF"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663129F6"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Reino Unido de Gran Bretaña e Irlanda del Norte</w:t>
            </w:r>
          </w:p>
        </w:tc>
        <w:tc>
          <w:tcPr>
            <w:tcW w:w="1138" w:type="dxa"/>
            <w:tcBorders>
              <w:top w:val="nil"/>
              <w:left w:val="nil"/>
              <w:bottom w:val="single" w:sz="4" w:space="0" w:color="auto"/>
              <w:right w:val="single" w:sz="4" w:space="0" w:color="auto"/>
            </w:tcBorders>
            <w:shd w:val="clear" w:color="auto" w:fill="auto"/>
            <w:vAlign w:val="bottom"/>
          </w:tcPr>
          <w:p w14:paraId="0723BE3A"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4,375</w:t>
            </w:r>
          </w:p>
        </w:tc>
        <w:tc>
          <w:tcPr>
            <w:tcW w:w="2552" w:type="dxa"/>
            <w:tcBorders>
              <w:top w:val="nil"/>
              <w:left w:val="nil"/>
              <w:bottom w:val="single" w:sz="4" w:space="0" w:color="auto"/>
              <w:right w:val="single" w:sz="4" w:space="0" w:color="auto"/>
            </w:tcBorders>
            <w:shd w:val="clear" w:color="auto" w:fill="auto"/>
            <w:noWrap/>
            <w:vAlign w:val="bottom"/>
          </w:tcPr>
          <w:p w14:paraId="01457437"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6,176</w:t>
            </w:r>
          </w:p>
        </w:tc>
        <w:tc>
          <w:tcPr>
            <w:tcW w:w="1217" w:type="dxa"/>
            <w:tcBorders>
              <w:top w:val="nil"/>
              <w:left w:val="nil"/>
              <w:bottom w:val="single" w:sz="4" w:space="0" w:color="auto"/>
              <w:right w:val="single" w:sz="4" w:space="0" w:color="auto"/>
            </w:tcBorders>
            <w:shd w:val="clear" w:color="auto" w:fill="auto"/>
            <w:noWrap/>
            <w:vAlign w:val="bottom"/>
          </w:tcPr>
          <w:p w14:paraId="60881DD9"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181 155</w:t>
            </w:r>
          </w:p>
        </w:tc>
        <w:tc>
          <w:tcPr>
            <w:tcW w:w="1213" w:type="dxa"/>
            <w:tcBorders>
              <w:top w:val="nil"/>
              <w:left w:val="nil"/>
              <w:bottom w:val="single" w:sz="4" w:space="0" w:color="auto"/>
              <w:right w:val="single" w:sz="4" w:space="0" w:color="auto"/>
            </w:tcBorders>
            <w:shd w:val="clear" w:color="auto" w:fill="auto"/>
            <w:noWrap/>
            <w:vAlign w:val="bottom"/>
          </w:tcPr>
          <w:p w14:paraId="60EDECB1"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193 551</w:t>
            </w:r>
          </w:p>
        </w:tc>
        <w:tc>
          <w:tcPr>
            <w:tcW w:w="1260" w:type="dxa"/>
            <w:tcBorders>
              <w:top w:val="nil"/>
              <w:left w:val="nil"/>
              <w:bottom w:val="single" w:sz="4" w:space="0" w:color="auto"/>
              <w:right w:val="single" w:sz="4" w:space="0" w:color="auto"/>
            </w:tcBorders>
            <w:shd w:val="clear" w:color="auto" w:fill="auto"/>
            <w:noWrap/>
            <w:vAlign w:val="bottom"/>
          </w:tcPr>
          <w:p w14:paraId="229E25F5"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374 706</w:t>
            </w:r>
          </w:p>
        </w:tc>
      </w:tr>
      <w:tr w:rsidR="00E12D19" w:rsidRPr="00065280" w14:paraId="37466E95"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5FA368D1"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República Árabe Siria</w:t>
            </w:r>
          </w:p>
        </w:tc>
        <w:tc>
          <w:tcPr>
            <w:tcW w:w="1138" w:type="dxa"/>
            <w:tcBorders>
              <w:top w:val="nil"/>
              <w:left w:val="nil"/>
              <w:bottom w:val="single" w:sz="4" w:space="0" w:color="auto"/>
              <w:right w:val="single" w:sz="4" w:space="0" w:color="auto"/>
            </w:tcBorders>
            <w:shd w:val="clear" w:color="auto" w:fill="auto"/>
            <w:vAlign w:val="bottom"/>
          </w:tcPr>
          <w:p w14:paraId="1AF8F2DE"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0,009</w:t>
            </w:r>
          </w:p>
        </w:tc>
        <w:tc>
          <w:tcPr>
            <w:tcW w:w="2552" w:type="dxa"/>
            <w:tcBorders>
              <w:top w:val="nil"/>
              <w:left w:val="nil"/>
              <w:bottom w:val="single" w:sz="4" w:space="0" w:color="auto"/>
              <w:right w:val="single" w:sz="4" w:space="0" w:color="auto"/>
            </w:tcBorders>
            <w:shd w:val="clear" w:color="auto" w:fill="auto"/>
            <w:noWrap/>
            <w:vAlign w:val="bottom"/>
          </w:tcPr>
          <w:p w14:paraId="5B89F96D"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0,013</w:t>
            </w:r>
          </w:p>
        </w:tc>
        <w:tc>
          <w:tcPr>
            <w:tcW w:w="1217" w:type="dxa"/>
            <w:tcBorders>
              <w:top w:val="nil"/>
              <w:left w:val="nil"/>
              <w:bottom w:val="single" w:sz="4" w:space="0" w:color="auto"/>
              <w:right w:val="single" w:sz="4" w:space="0" w:color="auto"/>
            </w:tcBorders>
            <w:shd w:val="clear" w:color="auto" w:fill="auto"/>
            <w:noWrap/>
            <w:vAlign w:val="bottom"/>
          </w:tcPr>
          <w:p w14:paraId="5732AF13"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373</w:t>
            </w:r>
          </w:p>
        </w:tc>
        <w:tc>
          <w:tcPr>
            <w:tcW w:w="1213" w:type="dxa"/>
            <w:tcBorders>
              <w:top w:val="nil"/>
              <w:left w:val="nil"/>
              <w:bottom w:val="single" w:sz="4" w:space="0" w:color="auto"/>
              <w:right w:val="single" w:sz="4" w:space="0" w:color="auto"/>
            </w:tcBorders>
            <w:shd w:val="clear" w:color="auto" w:fill="auto"/>
            <w:noWrap/>
            <w:vAlign w:val="bottom"/>
          </w:tcPr>
          <w:p w14:paraId="4E735BFF"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398</w:t>
            </w:r>
          </w:p>
        </w:tc>
        <w:tc>
          <w:tcPr>
            <w:tcW w:w="1260" w:type="dxa"/>
            <w:tcBorders>
              <w:top w:val="nil"/>
              <w:left w:val="nil"/>
              <w:bottom w:val="single" w:sz="4" w:space="0" w:color="auto"/>
              <w:right w:val="single" w:sz="4" w:space="0" w:color="auto"/>
            </w:tcBorders>
            <w:shd w:val="clear" w:color="auto" w:fill="auto"/>
            <w:noWrap/>
            <w:vAlign w:val="bottom"/>
          </w:tcPr>
          <w:p w14:paraId="3A9D1549"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771</w:t>
            </w:r>
          </w:p>
        </w:tc>
      </w:tr>
      <w:tr w:rsidR="00E12D19" w:rsidRPr="00065280" w14:paraId="237D4B85"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240D1489"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 xml:space="preserve">República Centroafricana </w:t>
            </w:r>
          </w:p>
        </w:tc>
        <w:tc>
          <w:tcPr>
            <w:tcW w:w="1138" w:type="dxa"/>
            <w:tcBorders>
              <w:top w:val="nil"/>
              <w:left w:val="nil"/>
              <w:bottom w:val="single" w:sz="4" w:space="0" w:color="auto"/>
              <w:right w:val="single" w:sz="4" w:space="0" w:color="auto"/>
            </w:tcBorders>
            <w:shd w:val="clear" w:color="auto" w:fill="auto"/>
            <w:vAlign w:val="bottom"/>
          </w:tcPr>
          <w:p w14:paraId="24D98D69"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0,001</w:t>
            </w:r>
          </w:p>
        </w:tc>
        <w:tc>
          <w:tcPr>
            <w:tcW w:w="2552" w:type="dxa"/>
            <w:tcBorders>
              <w:top w:val="nil"/>
              <w:left w:val="nil"/>
              <w:bottom w:val="single" w:sz="4" w:space="0" w:color="auto"/>
              <w:right w:val="single" w:sz="4" w:space="0" w:color="auto"/>
            </w:tcBorders>
            <w:shd w:val="clear" w:color="auto" w:fill="auto"/>
            <w:noWrap/>
            <w:vAlign w:val="bottom"/>
          </w:tcPr>
          <w:p w14:paraId="4912AD1E"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0,001</w:t>
            </w:r>
          </w:p>
        </w:tc>
        <w:tc>
          <w:tcPr>
            <w:tcW w:w="1217" w:type="dxa"/>
            <w:tcBorders>
              <w:top w:val="nil"/>
              <w:left w:val="nil"/>
              <w:bottom w:val="single" w:sz="4" w:space="0" w:color="auto"/>
              <w:right w:val="single" w:sz="4" w:space="0" w:color="auto"/>
            </w:tcBorders>
            <w:shd w:val="clear" w:color="auto" w:fill="auto"/>
            <w:noWrap/>
            <w:vAlign w:val="bottom"/>
          </w:tcPr>
          <w:p w14:paraId="6C8825AC"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41</w:t>
            </w:r>
          </w:p>
        </w:tc>
        <w:tc>
          <w:tcPr>
            <w:tcW w:w="1213" w:type="dxa"/>
            <w:tcBorders>
              <w:top w:val="nil"/>
              <w:left w:val="nil"/>
              <w:bottom w:val="single" w:sz="4" w:space="0" w:color="auto"/>
              <w:right w:val="single" w:sz="4" w:space="0" w:color="auto"/>
            </w:tcBorders>
            <w:shd w:val="clear" w:color="auto" w:fill="auto"/>
            <w:noWrap/>
            <w:vAlign w:val="bottom"/>
          </w:tcPr>
          <w:p w14:paraId="3E1A2627"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44</w:t>
            </w:r>
          </w:p>
        </w:tc>
        <w:tc>
          <w:tcPr>
            <w:tcW w:w="1260" w:type="dxa"/>
            <w:tcBorders>
              <w:top w:val="nil"/>
              <w:left w:val="nil"/>
              <w:bottom w:val="single" w:sz="4" w:space="0" w:color="auto"/>
              <w:right w:val="single" w:sz="4" w:space="0" w:color="auto"/>
            </w:tcBorders>
            <w:shd w:val="clear" w:color="auto" w:fill="auto"/>
            <w:noWrap/>
            <w:vAlign w:val="bottom"/>
          </w:tcPr>
          <w:p w14:paraId="0C368AF3"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86</w:t>
            </w:r>
          </w:p>
        </w:tc>
      </w:tr>
      <w:tr w:rsidR="00E12D19" w:rsidRPr="00065280" w14:paraId="3C02E41C"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8C6EC7C"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República de Corea</w:t>
            </w:r>
          </w:p>
        </w:tc>
        <w:tc>
          <w:tcPr>
            <w:tcW w:w="1138" w:type="dxa"/>
            <w:tcBorders>
              <w:top w:val="nil"/>
              <w:left w:val="nil"/>
              <w:bottom w:val="single" w:sz="4" w:space="0" w:color="auto"/>
              <w:right w:val="single" w:sz="4" w:space="0" w:color="auto"/>
            </w:tcBorders>
            <w:shd w:val="clear" w:color="auto" w:fill="auto"/>
            <w:vAlign w:val="bottom"/>
            <w:hideMark/>
          </w:tcPr>
          <w:p w14:paraId="226B093F"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2,574</w:t>
            </w:r>
          </w:p>
        </w:tc>
        <w:tc>
          <w:tcPr>
            <w:tcW w:w="2552" w:type="dxa"/>
            <w:tcBorders>
              <w:top w:val="nil"/>
              <w:left w:val="nil"/>
              <w:bottom w:val="single" w:sz="4" w:space="0" w:color="auto"/>
              <w:right w:val="single" w:sz="4" w:space="0" w:color="auto"/>
            </w:tcBorders>
            <w:shd w:val="clear" w:color="auto" w:fill="auto"/>
            <w:noWrap/>
            <w:vAlign w:val="bottom"/>
            <w:hideMark/>
          </w:tcPr>
          <w:p w14:paraId="7F4E7233"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3,634</w:t>
            </w:r>
          </w:p>
        </w:tc>
        <w:tc>
          <w:tcPr>
            <w:tcW w:w="1217" w:type="dxa"/>
            <w:tcBorders>
              <w:top w:val="nil"/>
              <w:left w:val="nil"/>
              <w:bottom w:val="single" w:sz="4" w:space="0" w:color="auto"/>
              <w:right w:val="single" w:sz="4" w:space="0" w:color="auto"/>
            </w:tcBorders>
            <w:shd w:val="clear" w:color="auto" w:fill="auto"/>
            <w:noWrap/>
            <w:vAlign w:val="bottom"/>
            <w:hideMark/>
          </w:tcPr>
          <w:p w14:paraId="7F801731"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106 582</w:t>
            </w:r>
          </w:p>
        </w:tc>
        <w:tc>
          <w:tcPr>
            <w:tcW w:w="1213" w:type="dxa"/>
            <w:tcBorders>
              <w:top w:val="nil"/>
              <w:left w:val="nil"/>
              <w:bottom w:val="single" w:sz="4" w:space="0" w:color="auto"/>
              <w:right w:val="single" w:sz="4" w:space="0" w:color="auto"/>
            </w:tcBorders>
            <w:shd w:val="clear" w:color="auto" w:fill="auto"/>
            <w:noWrap/>
            <w:vAlign w:val="bottom"/>
            <w:hideMark/>
          </w:tcPr>
          <w:p w14:paraId="7006BEFD"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113 874</w:t>
            </w:r>
          </w:p>
        </w:tc>
        <w:tc>
          <w:tcPr>
            <w:tcW w:w="1260" w:type="dxa"/>
            <w:tcBorders>
              <w:top w:val="nil"/>
              <w:left w:val="nil"/>
              <w:bottom w:val="single" w:sz="4" w:space="0" w:color="auto"/>
              <w:right w:val="single" w:sz="4" w:space="0" w:color="auto"/>
            </w:tcBorders>
            <w:shd w:val="clear" w:color="auto" w:fill="auto"/>
            <w:noWrap/>
            <w:vAlign w:val="bottom"/>
            <w:hideMark/>
          </w:tcPr>
          <w:p w14:paraId="4DD9EA6B"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220 456</w:t>
            </w:r>
          </w:p>
        </w:tc>
      </w:tr>
      <w:tr w:rsidR="00E12D19" w:rsidRPr="00065280" w14:paraId="5343B306"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5F5ECD3"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República de Moldova</w:t>
            </w:r>
          </w:p>
        </w:tc>
        <w:tc>
          <w:tcPr>
            <w:tcW w:w="1138" w:type="dxa"/>
            <w:tcBorders>
              <w:top w:val="nil"/>
              <w:left w:val="nil"/>
              <w:bottom w:val="single" w:sz="4" w:space="0" w:color="auto"/>
              <w:right w:val="single" w:sz="4" w:space="0" w:color="auto"/>
            </w:tcBorders>
            <w:shd w:val="clear" w:color="auto" w:fill="auto"/>
            <w:vAlign w:val="bottom"/>
            <w:hideMark/>
          </w:tcPr>
          <w:p w14:paraId="568B2EA5"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0,005</w:t>
            </w:r>
          </w:p>
        </w:tc>
        <w:tc>
          <w:tcPr>
            <w:tcW w:w="2552" w:type="dxa"/>
            <w:tcBorders>
              <w:top w:val="nil"/>
              <w:left w:val="nil"/>
              <w:bottom w:val="single" w:sz="4" w:space="0" w:color="auto"/>
              <w:right w:val="single" w:sz="4" w:space="0" w:color="auto"/>
            </w:tcBorders>
            <w:shd w:val="clear" w:color="auto" w:fill="auto"/>
            <w:noWrap/>
            <w:vAlign w:val="bottom"/>
            <w:hideMark/>
          </w:tcPr>
          <w:p w14:paraId="34896189"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0,007</w:t>
            </w:r>
          </w:p>
        </w:tc>
        <w:tc>
          <w:tcPr>
            <w:tcW w:w="1217" w:type="dxa"/>
            <w:tcBorders>
              <w:top w:val="nil"/>
              <w:left w:val="nil"/>
              <w:bottom w:val="single" w:sz="4" w:space="0" w:color="auto"/>
              <w:right w:val="single" w:sz="4" w:space="0" w:color="auto"/>
            </w:tcBorders>
            <w:shd w:val="clear" w:color="auto" w:fill="auto"/>
            <w:noWrap/>
            <w:vAlign w:val="bottom"/>
            <w:hideMark/>
          </w:tcPr>
          <w:p w14:paraId="156F8656"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207</w:t>
            </w:r>
          </w:p>
        </w:tc>
        <w:tc>
          <w:tcPr>
            <w:tcW w:w="1213" w:type="dxa"/>
            <w:tcBorders>
              <w:top w:val="nil"/>
              <w:left w:val="nil"/>
              <w:bottom w:val="single" w:sz="4" w:space="0" w:color="auto"/>
              <w:right w:val="single" w:sz="4" w:space="0" w:color="auto"/>
            </w:tcBorders>
            <w:shd w:val="clear" w:color="auto" w:fill="auto"/>
            <w:noWrap/>
            <w:vAlign w:val="bottom"/>
            <w:hideMark/>
          </w:tcPr>
          <w:p w14:paraId="7281423E"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221</w:t>
            </w:r>
          </w:p>
        </w:tc>
        <w:tc>
          <w:tcPr>
            <w:tcW w:w="1260" w:type="dxa"/>
            <w:tcBorders>
              <w:top w:val="nil"/>
              <w:left w:val="nil"/>
              <w:bottom w:val="single" w:sz="4" w:space="0" w:color="auto"/>
              <w:right w:val="single" w:sz="4" w:space="0" w:color="auto"/>
            </w:tcBorders>
            <w:shd w:val="clear" w:color="auto" w:fill="auto"/>
            <w:noWrap/>
            <w:vAlign w:val="bottom"/>
            <w:hideMark/>
          </w:tcPr>
          <w:p w14:paraId="63D73CC8"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428</w:t>
            </w:r>
          </w:p>
        </w:tc>
      </w:tr>
      <w:tr w:rsidR="00E12D19" w:rsidRPr="00065280" w14:paraId="79AC73C0"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6737DC5F"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República Democrática del Congo</w:t>
            </w:r>
          </w:p>
        </w:tc>
        <w:tc>
          <w:tcPr>
            <w:tcW w:w="1138" w:type="dxa"/>
            <w:tcBorders>
              <w:top w:val="nil"/>
              <w:left w:val="nil"/>
              <w:bottom w:val="single" w:sz="4" w:space="0" w:color="auto"/>
              <w:right w:val="single" w:sz="4" w:space="0" w:color="auto"/>
            </w:tcBorders>
            <w:shd w:val="clear" w:color="auto" w:fill="auto"/>
            <w:vAlign w:val="bottom"/>
          </w:tcPr>
          <w:p w14:paraId="650E17A1"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0,010</w:t>
            </w:r>
          </w:p>
        </w:tc>
        <w:tc>
          <w:tcPr>
            <w:tcW w:w="2552" w:type="dxa"/>
            <w:tcBorders>
              <w:top w:val="nil"/>
              <w:left w:val="nil"/>
              <w:bottom w:val="single" w:sz="4" w:space="0" w:color="auto"/>
              <w:right w:val="single" w:sz="4" w:space="0" w:color="auto"/>
            </w:tcBorders>
            <w:shd w:val="clear" w:color="auto" w:fill="auto"/>
            <w:noWrap/>
            <w:vAlign w:val="bottom"/>
          </w:tcPr>
          <w:p w14:paraId="68AD63A3"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0,010</w:t>
            </w:r>
          </w:p>
        </w:tc>
        <w:tc>
          <w:tcPr>
            <w:tcW w:w="1217" w:type="dxa"/>
            <w:tcBorders>
              <w:top w:val="nil"/>
              <w:left w:val="nil"/>
              <w:bottom w:val="single" w:sz="4" w:space="0" w:color="auto"/>
              <w:right w:val="single" w:sz="4" w:space="0" w:color="auto"/>
            </w:tcBorders>
            <w:shd w:val="clear" w:color="auto" w:fill="auto"/>
            <w:noWrap/>
            <w:vAlign w:val="bottom"/>
          </w:tcPr>
          <w:p w14:paraId="5ED4507C"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293</w:t>
            </w:r>
          </w:p>
        </w:tc>
        <w:tc>
          <w:tcPr>
            <w:tcW w:w="1213" w:type="dxa"/>
            <w:tcBorders>
              <w:top w:val="nil"/>
              <w:left w:val="nil"/>
              <w:bottom w:val="single" w:sz="4" w:space="0" w:color="auto"/>
              <w:right w:val="single" w:sz="4" w:space="0" w:color="auto"/>
            </w:tcBorders>
            <w:shd w:val="clear" w:color="auto" w:fill="auto"/>
            <w:noWrap/>
            <w:vAlign w:val="bottom"/>
          </w:tcPr>
          <w:p w14:paraId="122090F2"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313</w:t>
            </w:r>
          </w:p>
        </w:tc>
        <w:tc>
          <w:tcPr>
            <w:tcW w:w="1260" w:type="dxa"/>
            <w:tcBorders>
              <w:top w:val="nil"/>
              <w:left w:val="nil"/>
              <w:bottom w:val="single" w:sz="4" w:space="0" w:color="auto"/>
              <w:right w:val="single" w:sz="4" w:space="0" w:color="auto"/>
            </w:tcBorders>
            <w:shd w:val="clear" w:color="auto" w:fill="auto"/>
            <w:noWrap/>
            <w:vAlign w:val="bottom"/>
          </w:tcPr>
          <w:p w14:paraId="06655CF9"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607</w:t>
            </w:r>
          </w:p>
        </w:tc>
      </w:tr>
      <w:tr w:rsidR="00E12D19" w:rsidRPr="00065280" w14:paraId="06AB92BE"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67E18EE6"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República Democrática Popular Lao</w:t>
            </w:r>
          </w:p>
        </w:tc>
        <w:tc>
          <w:tcPr>
            <w:tcW w:w="1138" w:type="dxa"/>
            <w:tcBorders>
              <w:top w:val="nil"/>
              <w:left w:val="nil"/>
              <w:bottom w:val="single" w:sz="4" w:space="0" w:color="auto"/>
              <w:right w:val="single" w:sz="4" w:space="0" w:color="auto"/>
            </w:tcBorders>
            <w:shd w:val="clear" w:color="auto" w:fill="auto"/>
            <w:vAlign w:val="bottom"/>
          </w:tcPr>
          <w:p w14:paraId="5333FB06"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0,007</w:t>
            </w:r>
          </w:p>
        </w:tc>
        <w:tc>
          <w:tcPr>
            <w:tcW w:w="2552" w:type="dxa"/>
            <w:tcBorders>
              <w:top w:val="nil"/>
              <w:left w:val="nil"/>
              <w:bottom w:val="single" w:sz="4" w:space="0" w:color="auto"/>
              <w:right w:val="single" w:sz="4" w:space="0" w:color="auto"/>
            </w:tcBorders>
            <w:shd w:val="clear" w:color="auto" w:fill="auto"/>
            <w:noWrap/>
            <w:vAlign w:val="bottom"/>
          </w:tcPr>
          <w:p w14:paraId="0C31FD7C"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0,010</w:t>
            </w:r>
          </w:p>
        </w:tc>
        <w:tc>
          <w:tcPr>
            <w:tcW w:w="1217" w:type="dxa"/>
            <w:tcBorders>
              <w:top w:val="nil"/>
              <w:left w:val="nil"/>
              <w:bottom w:val="single" w:sz="4" w:space="0" w:color="auto"/>
              <w:right w:val="single" w:sz="4" w:space="0" w:color="auto"/>
            </w:tcBorders>
            <w:shd w:val="clear" w:color="auto" w:fill="auto"/>
            <w:noWrap/>
            <w:vAlign w:val="bottom"/>
          </w:tcPr>
          <w:p w14:paraId="74D62B87"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290</w:t>
            </w:r>
          </w:p>
        </w:tc>
        <w:tc>
          <w:tcPr>
            <w:tcW w:w="1213" w:type="dxa"/>
            <w:tcBorders>
              <w:top w:val="nil"/>
              <w:left w:val="nil"/>
              <w:bottom w:val="single" w:sz="4" w:space="0" w:color="auto"/>
              <w:right w:val="single" w:sz="4" w:space="0" w:color="auto"/>
            </w:tcBorders>
            <w:shd w:val="clear" w:color="auto" w:fill="auto"/>
            <w:noWrap/>
            <w:vAlign w:val="bottom"/>
          </w:tcPr>
          <w:p w14:paraId="5750BDB2"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310</w:t>
            </w:r>
          </w:p>
        </w:tc>
        <w:tc>
          <w:tcPr>
            <w:tcW w:w="1260" w:type="dxa"/>
            <w:tcBorders>
              <w:top w:val="nil"/>
              <w:left w:val="nil"/>
              <w:bottom w:val="single" w:sz="4" w:space="0" w:color="auto"/>
              <w:right w:val="single" w:sz="4" w:space="0" w:color="auto"/>
            </w:tcBorders>
            <w:shd w:val="clear" w:color="auto" w:fill="auto"/>
            <w:noWrap/>
            <w:vAlign w:val="bottom"/>
          </w:tcPr>
          <w:p w14:paraId="4F8A45FB"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600</w:t>
            </w:r>
          </w:p>
        </w:tc>
      </w:tr>
      <w:tr w:rsidR="00E12D19" w:rsidRPr="00065280" w14:paraId="3BBDC7E7"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7F292D5B"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República Dominicana</w:t>
            </w:r>
          </w:p>
        </w:tc>
        <w:tc>
          <w:tcPr>
            <w:tcW w:w="1138" w:type="dxa"/>
            <w:tcBorders>
              <w:top w:val="nil"/>
              <w:left w:val="nil"/>
              <w:bottom w:val="single" w:sz="4" w:space="0" w:color="auto"/>
              <w:right w:val="single" w:sz="4" w:space="0" w:color="auto"/>
            </w:tcBorders>
            <w:shd w:val="clear" w:color="auto" w:fill="auto"/>
            <w:vAlign w:val="bottom"/>
          </w:tcPr>
          <w:p w14:paraId="69BDEDF3"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0,067</w:t>
            </w:r>
          </w:p>
        </w:tc>
        <w:tc>
          <w:tcPr>
            <w:tcW w:w="2552" w:type="dxa"/>
            <w:tcBorders>
              <w:top w:val="nil"/>
              <w:left w:val="nil"/>
              <w:bottom w:val="single" w:sz="4" w:space="0" w:color="auto"/>
              <w:right w:val="single" w:sz="4" w:space="0" w:color="auto"/>
            </w:tcBorders>
            <w:shd w:val="clear" w:color="auto" w:fill="auto"/>
            <w:noWrap/>
            <w:vAlign w:val="bottom"/>
          </w:tcPr>
          <w:p w14:paraId="365E60B7"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0,095</w:t>
            </w:r>
          </w:p>
        </w:tc>
        <w:tc>
          <w:tcPr>
            <w:tcW w:w="1217" w:type="dxa"/>
            <w:tcBorders>
              <w:top w:val="nil"/>
              <w:left w:val="nil"/>
              <w:bottom w:val="single" w:sz="4" w:space="0" w:color="auto"/>
              <w:right w:val="single" w:sz="4" w:space="0" w:color="auto"/>
            </w:tcBorders>
            <w:shd w:val="clear" w:color="auto" w:fill="auto"/>
            <w:noWrap/>
            <w:vAlign w:val="bottom"/>
          </w:tcPr>
          <w:p w14:paraId="5DB1135C"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2 774</w:t>
            </w:r>
          </w:p>
        </w:tc>
        <w:tc>
          <w:tcPr>
            <w:tcW w:w="1213" w:type="dxa"/>
            <w:tcBorders>
              <w:top w:val="nil"/>
              <w:left w:val="nil"/>
              <w:bottom w:val="single" w:sz="4" w:space="0" w:color="auto"/>
              <w:right w:val="single" w:sz="4" w:space="0" w:color="auto"/>
            </w:tcBorders>
            <w:shd w:val="clear" w:color="auto" w:fill="auto"/>
            <w:noWrap/>
            <w:vAlign w:val="bottom"/>
          </w:tcPr>
          <w:p w14:paraId="6D40AA2E"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2 964</w:t>
            </w:r>
          </w:p>
        </w:tc>
        <w:tc>
          <w:tcPr>
            <w:tcW w:w="1260" w:type="dxa"/>
            <w:tcBorders>
              <w:top w:val="nil"/>
              <w:left w:val="nil"/>
              <w:bottom w:val="single" w:sz="4" w:space="0" w:color="auto"/>
              <w:right w:val="single" w:sz="4" w:space="0" w:color="auto"/>
            </w:tcBorders>
            <w:shd w:val="clear" w:color="auto" w:fill="auto"/>
            <w:noWrap/>
            <w:vAlign w:val="bottom"/>
          </w:tcPr>
          <w:p w14:paraId="64CD86EB"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5 738</w:t>
            </w:r>
          </w:p>
        </w:tc>
      </w:tr>
      <w:tr w:rsidR="00E12D19" w:rsidRPr="00065280" w14:paraId="57AEB5CB"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7AAABD49"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República Popular Democrática de Corea</w:t>
            </w:r>
          </w:p>
        </w:tc>
        <w:tc>
          <w:tcPr>
            <w:tcW w:w="1138" w:type="dxa"/>
            <w:tcBorders>
              <w:top w:val="nil"/>
              <w:left w:val="nil"/>
              <w:bottom w:val="single" w:sz="4" w:space="0" w:color="auto"/>
              <w:right w:val="single" w:sz="4" w:space="0" w:color="auto"/>
            </w:tcBorders>
            <w:shd w:val="clear" w:color="auto" w:fill="auto"/>
            <w:vAlign w:val="bottom"/>
          </w:tcPr>
          <w:p w14:paraId="032C8798"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0,005</w:t>
            </w:r>
          </w:p>
        </w:tc>
        <w:tc>
          <w:tcPr>
            <w:tcW w:w="2552" w:type="dxa"/>
            <w:tcBorders>
              <w:top w:val="nil"/>
              <w:left w:val="nil"/>
              <w:bottom w:val="single" w:sz="4" w:space="0" w:color="auto"/>
              <w:right w:val="single" w:sz="4" w:space="0" w:color="auto"/>
            </w:tcBorders>
            <w:shd w:val="clear" w:color="auto" w:fill="auto"/>
            <w:noWrap/>
            <w:vAlign w:val="bottom"/>
          </w:tcPr>
          <w:p w14:paraId="5E5A7F40"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0,007</w:t>
            </w:r>
          </w:p>
        </w:tc>
        <w:tc>
          <w:tcPr>
            <w:tcW w:w="1217" w:type="dxa"/>
            <w:tcBorders>
              <w:top w:val="nil"/>
              <w:left w:val="nil"/>
              <w:bottom w:val="single" w:sz="4" w:space="0" w:color="auto"/>
              <w:right w:val="single" w:sz="4" w:space="0" w:color="auto"/>
            </w:tcBorders>
            <w:shd w:val="clear" w:color="auto" w:fill="auto"/>
            <w:noWrap/>
            <w:vAlign w:val="bottom"/>
          </w:tcPr>
          <w:p w14:paraId="50D09A76"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207</w:t>
            </w:r>
          </w:p>
        </w:tc>
        <w:tc>
          <w:tcPr>
            <w:tcW w:w="1213" w:type="dxa"/>
            <w:tcBorders>
              <w:top w:val="nil"/>
              <w:left w:val="nil"/>
              <w:bottom w:val="single" w:sz="4" w:space="0" w:color="auto"/>
              <w:right w:val="single" w:sz="4" w:space="0" w:color="auto"/>
            </w:tcBorders>
            <w:shd w:val="clear" w:color="auto" w:fill="auto"/>
            <w:noWrap/>
            <w:vAlign w:val="bottom"/>
          </w:tcPr>
          <w:p w14:paraId="6DC27409"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221</w:t>
            </w:r>
          </w:p>
        </w:tc>
        <w:tc>
          <w:tcPr>
            <w:tcW w:w="1260" w:type="dxa"/>
            <w:tcBorders>
              <w:top w:val="nil"/>
              <w:left w:val="nil"/>
              <w:bottom w:val="single" w:sz="4" w:space="0" w:color="auto"/>
              <w:right w:val="single" w:sz="4" w:space="0" w:color="auto"/>
            </w:tcBorders>
            <w:shd w:val="clear" w:color="auto" w:fill="auto"/>
            <w:noWrap/>
            <w:vAlign w:val="bottom"/>
          </w:tcPr>
          <w:p w14:paraId="57EA6EEF"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428</w:t>
            </w:r>
          </w:p>
        </w:tc>
      </w:tr>
      <w:tr w:rsidR="00E12D19" w:rsidRPr="00065280" w14:paraId="2F4434D6"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648106F5"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República Unida de Tanzanía</w:t>
            </w:r>
          </w:p>
        </w:tc>
        <w:tc>
          <w:tcPr>
            <w:tcW w:w="1138" w:type="dxa"/>
            <w:tcBorders>
              <w:top w:val="nil"/>
              <w:left w:val="nil"/>
              <w:bottom w:val="single" w:sz="4" w:space="0" w:color="auto"/>
              <w:right w:val="single" w:sz="4" w:space="0" w:color="auto"/>
            </w:tcBorders>
            <w:shd w:val="clear" w:color="auto" w:fill="auto"/>
            <w:vAlign w:val="bottom"/>
          </w:tcPr>
          <w:p w14:paraId="44F4D984"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0,010</w:t>
            </w:r>
          </w:p>
        </w:tc>
        <w:tc>
          <w:tcPr>
            <w:tcW w:w="2552" w:type="dxa"/>
            <w:tcBorders>
              <w:top w:val="nil"/>
              <w:left w:val="nil"/>
              <w:bottom w:val="single" w:sz="4" w:space="0" w:color="auto"/>
              <w:right w:val="single" w:sz="4" w:space="0" w:color="auto"/>
            </w:tcBorders>
            <w:shd w:val="clear" w:color="auto" w:fill="auto"/>
            <w:noWrap/>
            <w:vAlign w:val="bottom"/>
          </w:tcPr>
          <w:p w14:paraId="0049881B"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0,010</w:t>
            </w:r>
          </w:p>
        </w:tc>
        <w:tc>
          <w:tcPr>
            <w:tcW w:w="1217" w:type="dxa"/>
            <w:tcBorders>
              <w:top w:val="nil"/>
              <w:left w:val="nil"/>
              <w:bottom w:val="single" w:sz="4" w:space="0" w:color="auto"/>
              <w:right w:val="single" w:sz="4" w:space="0" w:color="auto"/>
            </w:tcBorders>
            <w:shd w:val="clear" w:color="auto" w:fill="auto"/>
            <w:noWrap/>
            <w:vAlign w:val="bottom"/>
          </w:tcPr>
          <w:p w14:paraId="1FF71D8C"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293</w:t>
            </w:r>
          </w:p>
        </w:tc>
        <w:tc>
          <w:tcPr>
            <w:tcW w:w="1213" w:type="dxa"/>
            <w:tcBorders>
              <w:top w:val="nil"/>
              <w:left w:val="nil"/>
              <w:bottom w:val="single" w:sz="4" w:space="0" w:color="auto"/>
              <w:right w:val="single" w:sz="4" w:space="0" w:color="auto"/>
            </w:tcBorders>
            <w:shd w:val="clear" w:color="auto" w:fill="auto"/>
            <w:noWrap/>
            <w:vAlign w:val="bottom"/>
          </w:tcPr>
          <w:p w14:paraId="66353E01"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313</w:t>
            </w:r>
          </w:p>
        </w:tc>
        <w:tc>
          <w:tcPr>
            <w:tcW w:w="1260" w:type="dxa"/>
            <w:tcBorders>
              <w:top w:val="nil"/>
              <w:left w:val="nil"/>
              <w:bottom w:val="single" w:sz="4" w:space="0" w:color="auto"/>
              <w:right w:val="single" w:sz="4" w:space="0" w:color="auto"/>
            </w:tcBorders>
            <w:shd w:val="clear" w:color="auto" w:fill="auto"/>
            <w:noWrap/>
            <w:vAlign w:val="bottom"/>
          </w:tcPr>
          <w:p w14:paraId="239892CB"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607</w:t>
            </w:r>
          </w:p>
        </w:tc>
      </w:tr>
      <w:tr w:rsidR="00E12D19" w:rsidRPr="00065280" w14:paraId="733DD929"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6ABCD55"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lastRenderedPageBreak/>
              <w:t>Rumanía</w:t>
            </w:r>
          </w:p>
        </w:tc>
        <w:tc>
          <w:tcPr>
            <w:tcW w:w="1138" w:type="dxa"/>
            <w:tcBorders>
              <w:top w:val="nil"/>
              <w:left w:val="nil"/>
              <w:bottom w:val="single" w:sz="4" w:space="0" w:color="auto"/>
              <w:right w:val="single" w:sz="4" w:space="0" w:color="auto"/>
            </w:tcBorders>
            <w:shd w:val="clear" w:color="auto" w:fill="auto"/>
            <w:vAlign w:val="bottom"/>
            <w:hideMark/>
          </w:tcPr>
          <w:p w14:paraId="67F11CAE"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0,312</w:t>
            </w:r>
          </w:p>
        </w:tc>
        <w:tc>
          <w:tcPr>
            <w:tcW w:w="2552" w:type="dxa"/>
            <w:tcBorders>
              <w:top w:val="nil"/>
              <w:left w:val="nil"/>
              <w:bottom w:val="single" w:sz="4" w:space="0" w:color="auto"/>
              <w:right w:val="single" w:sz="4" w:space="0" w:color="auto"/>
            </w:tcBorders>
            <w:shd w:val="clear" w:color="auto" w:fill="auto"/>
            <w:noWrap/>
            <w:vAlign w:val="bottom"/>
            <w:hideMark/>
          </w:tcPr>
          <w:p w14:paraId="27E62125"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0,440</w:t>
            </w:r>
          </w:p>
        </w:tc>
        <w:tc>
          <w:tcPr>
            <w:tcW w:w="1217" w:type="dxa"/>
            <w:tcBorders>
              <w:top w:val="nil"/>
              <w:left w:val="nil"/>
              <w:bottom w:val="single" w:sz="4" w:space="0" w:color="auto"/>
              <w:right w:val="single" w:sz="4" w:space="0" w:color="auto"/>
            </w:tcBorders>
            <w:shd w:val="clear" w:color="auto" w:fill="auto"/>
            <w:noWrap/>
            <w:vAlign w:val="bottom"/>
            <w:hideMark/>
          </w:tcPr>
          <w:p w14:paraId="42924B6D"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12 919</w:t>
            </w:r>
          </w:p>
        </w:tc>
        <w:tc>
          <w:tcPr>
            <w:tcW w:w="1213" w:type="dxa"/>
            <w:tcBorders>
              <w:top w:val="nil"/>
              <w:left w:val="nil"/>
              <w:bottom w:val="single" w:sz="4" w:space="0" w:color="auto"/>
              <w:right w:val="single" w:sz="4" w:space="0" w:color="auto"/>
            </w:tcBorders>
            <w:shd w:val="clear" w:color="auto" w:fill="auto"/>
            <w:noWrap/>
            <w:vAlign w:val="bottom"/>
            <w:hideMark/>
          </w:tcPr>
          <w:p w14:paraId="01647D47"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13 803</w:t>
            </w:r>
          </w:p>
        </w:tc>
        <w:tc>
          <w:tcPr>
            <w:tcW w:w="1260" w:type="dxa"/>
            <w:tcBorders>
              <w:top w:val="nil"/>
              <w:left w:val="nil"/>
              <w:bottom w:val="single" w:sz="4" w:space="0" w:color="auto"/>
              <w:right w:val="single" w:sz="4" w:space="0" w:color="auto"/>
            </w:tcBorders>
            <w:shd w:val="clear" w:color="auto" w:fill="auto"/>
            <w:noWrap/>
            <w:vAlign w:val="bottom"/>
            <w:hideMark/>
          </w:tcPr>
          <w:p w14:paraId="0726B6C2"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26 722</w:t>
            </w:r>
          </w:p>
        </w:tc>
      </w:tr>
      <w:tr w:rsidR="00E12D19" w:rsidRPr="00065280" w14:paraId="2DAF40A9"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6C0F770"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Rwanda</w:t>
            </w:r>
          </w:p>
        </w:tc>
        <w:tc>
          <w:tcPr>
            <w:tcW w:w="1138" w:type="dxa"/>
            <w:tcBorders>
              <w:top w:val="nil"/>
              <w:left w:val="nil"/>
              <w:bottom w:val="single" w:sz="4" w:space="0" w:color="auto"/>
              <w:right w:val="single" w:sz="4" w:space="0" w:color="auto"/>
            </w:tcBorders>
            <w:shd w:val="clear" w:color="auto" w:fill="auto"/>
            <w:vAlign w:val="bottom"/>
            <w:hideMark/>
          </w:tcPr>
          <w:p w14:paraId="53E15762"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0,003</w:t>
            </w:r>
          </w:p>
        </w:tc>
        <w:tc>
          <w:tcPr>
            <w:tcW w:w="2552" w:type="dxa"/>
            <w:tcBorders>
              <w:top w:val="nil"/>
              <w:left w:val="nil"/>
              <w:bottom w:val="single" w:sz="4" w:space="0" w:color="auto"/>
              <w:right w:val="single" w:sz="4" w:space="0" w:color="auto"/>
            </w:tcBorders>
            <w:shd w:val="clear" w:color="auto" w:fill="auto"/>
            <w:noWrap/>
            <w:vAlign w:val="bottom"/>
            <w:hideMark/>
          </w:tcPr>
          <w:p w14:paraId="06E22053"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0,004</w:t>
            </w:r>
          </w:p>
        </w:tc>
        <w:tc>
          <w:tcPr>
            <w:tcW w:w="1217" w:type="dxa"/>
            <w:tcBorders>
              <w:top w:val="nil"/>
              <w:left w:val="nil"/>
              <w:bottom w:val="single" w:sz="4" w:space="0" w:color="auto"/>
              <w:right w:val="single" w:sz="4" w:space="0" w:color="auto"/>
            </w:tcBorders>
            <w:shd w:val="clear" w:color="auto" w:fill="auto"/>
            <w:noWrap/>
            <w:vAlign w:val="bottom"/>
            <w:hideMark/>
          </w:tcPr>
          <w:p w14:paraId="2BFEBBD6"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124</w:t>
            </w:r>
          </w:p>
        </w:tc>
        <w:tc>
          <w:tcPr>
            <w:tcW w:w="1213" w:type="dxa"/>
            <w:tcBorders>
              <w:top w:val="nil"/>
              <w:left w:val="nil"/>
              <w:bottom w:val="single" w:sz="4" w:space="0" w:color="auto"/>
              <w:right w:val="single" w:sz="4" w:space="0" w:color="auto"/>
            </w:tcBorders>
            <w:shd w:val="clear" w:color="auto" w:fill="auto"/>
            <w:noWrap/>
            <w:vAlign w:val="bottom"/>
            <w:hideMark/>
          </w:tcPr>
          <w:p w14:paraId="6678D69C"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133</w:t>
            </w:r>
          </w:p>
        </w:tc>
        <w:tc>
          <w:tcPr>
            <w:tcW w:w="1260" w:type="dxa"/>
            <w:tcBorders>
              <w:top w:val="nil"/>
              <w:left w:val="nil"/>
              <w:bottom w:val="single" w:sz="4" w:space="0" w:color="auto"/>
              <w:right w:val="single" w:sz="4" w:space="0" w:color="auto"/>
            </w:tcBorders>
            <w:shd w:val="clear" w:color="auto" w:fill="auto"/>
            <w:noWrap/>
            <w:vAlign w:val="bottom"/>
            <w:hideMark/>
          </w:tcPr>
          <w:p w14:paraId="44CDFEA8"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257</w:t>
            </w:r>
          </w:p>
        </w:tc>
      </w:tr>
      <w:tr w:rsidR="00E12D19" w:rsidRPr="00065280" w14:paraId="0D8F323D"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37504DC4"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Saint Kitts y Nevis</w:t>
            </w:r>
          </w:p>
        </w:tc>
        <w:tc>
          <w:tcPr>
            <w:tcW w:w="1138" w:type="dxa"/>
            <w:tcBorders>
              <w:top w:val="nil"/>
              <w:left w:val="nil"/>
              <w:bottom w:val="single" w:sz="4" w:space="0" w:color="auto"/>
              <w:right w:val="single" w:sz="4" w:space="0" w:color="auto"/>
            </w:tcBorders>
            <w:shd w:val="clear" w:color="auto" w:fill="auto"/>
            <w:vAlign w:val="bottom"/>
          </w:tcPr>
          <w:p w14:paraId="1EC41ECA"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0,002</w:t>
            </w:r>
          </w:p>
        </w:tc>
        <w:tc>
          <w:tcPr>
            <w:tcW w:w="2552" w:type="dxa"/>
            <w:tcBorders>
              <w:top w:val="nil"/>
              <w:left w:val="nil"/>
              <w:bottom w:val="single" w:sz="4" w:space="0" w:color="auto"/>
              <w:right w:val="single" w:sz="4" w:space="0" w:color="auto"/>
            </w:tcBorders>
            <w:shd w:val="clear" w:color="auto" w:fill="auto"/>
            <w:noWrap/>
            <w:vAlign w:val="bottom"/>
          </w:tcPr>
          <w:p w14:paraId="64DDE2E7"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0,003</w:t>
            </w:r>
          </w:p>
        </w:tc>
        <w:tc>
          <w:tcPr>
            <w:tcW w:w="1217" w:type="dxa"/>
            <w:tcBorders>
              <w:top w:val="nil"/>
              <w:left w:val="nil"/>
              <w:bottom w:val="single" w:sz="4" w:space="0" w:color="auto"/>
              <w:right w:val="single" w:sz="4" w:space="0" w:color="auto"/>
            </w:tcBorders>
            <w:shd w:val="clear" w:color="auto" w:fill="auto"/>
            <w:noWrap/>
            <w:vAlign w:val="bottom"/>
          </w:tcPr>
          <w:p w14:paraId="2F56A89D"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83</w:t>
            </w:r>
          </w:p>
        </w:tc>
        <w:tc>
          <w:tcPr>
            <w:tcW w:w="1213" w:type="dxa"/>
            <w:tcBorders>
              <w:top w:val="nil"/>
              <w:left w:val="nil"/>
              <w:bottom w:val="single" w:sz="4" w:space="0" w:color="auto"/>
              <w:right w:val="single" w:sz="4" w:space="0" w:color="auto"/>
            </w:tcBorders>
            <w:shd w:val="clear" w:color="auto" w:fill="auto"/>
            <w:noWrap/>
            <w:vAlign w:val="bottom"/>
          </w:tcPr>
          <w:p w14:paraId="2A8F49B5"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88</w:t>
            </w:r>
          </w:p>
        </w:tc>
        <w:tc>
          <w:tcPr>
            <w:tcW w:w="1260" w:type="dxa"/>
            <w:tcBorders>
              <w:top w:val="nil"/>
              <w:left w:val="nil"/>
              <w:bottom w:val="single" w:sz="4" w:space="0" w:color="auto"/>
              <w:right w:val="single" w:sz="4" w:space="0" w:color="auto"/>
            </w:tcBorders>
            <w:shd w:val="clear" w:color="auto" w:fill="auto"/>
            <w:noWrap/>
            <w:vAlign w:val="bottom"/>
          </w:tcPr>
          <w:p w14:paraId="560B60D8"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171</w:t>
            </w:r>
          </w:p>
        </w:tc>
      </w:tr>
      <w:tr w:rsidR="00E12D19" w:rsidRPr="00065280" w14:paraId="60DD445A"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4986F3A0"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Samoa</w:t>
            </w:r>
          </w:p>
        </w:tc>
        <w:tc>
          <w:tcPr>
            <w:tcW w:w="1138" w:type="dxa"/>
            <w:tcBorders>
              <w:top w:val="nil"/>
              <w:left w:val="nil"/>
              <w:bottom w:val="single" w:sz="4" w:space="0" w:color="auto"/>
              <w:right w:val="single" w:sz="4" w:space="0" w:color="auto"/>
            </w:tcBorders>
            <w:shd w:val="clear" w:color="auto" w:fill="auto"/>
            <w:vAlign w:val="bottom"/>
          </w:tcPr>
          <w:p w14:paraId="593D1412"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0,001</w:t>
            </w:r>
          </w:p>
        </w:tc>
        <w:tc>
          <w:tcPr>
            <w:tcW w:w="2552" w:type="dxa"/>
            <w:tcBorders>
              <w:top w:val="nil"/>
              <w:left w:val="nil"/>
              <w:bottom w:val="single" w:sz="4" w:space="0" w:color="auto"/>
              <w:right w:val="single" w:sz="4" w:space="0" w:color="auto"/>
            </w:tcBorders>
            <w:shd w:val="clear" w:color="auto" w:fill="auto"/>
            <w:noWrap/>
            <w:vAlign w:val="bottom"/>
          </w:tcPr>
          <w:p w14:paraId="1737D34E"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0,001</w:t>
            </w:r>
          </w:p>
        </w:tc>
        <w:tc>
          <w:tcPr>
            <w:tcW w:w="1217" w:type="dxa"/>
            <w:tcBorders>
              <w:top w:val="nil"/>
              <w:left w:val="nil"/>
              <w:bottom w:val="single" w:sz="4" w:space="0" w:color="auto"/>
              <w:right w:val="single" w:sz="4" w:space="0" w:color="auto"/>
            </w:tcBorders>
            <w:shd w:val="clear" w:color="auto" w:fill="auto"/>
            <w:noWrap/>
            <w:vAlign w:val="bottom"/>
          </w:tcPr>
          <w:p w14:paraId="53B205DE"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41</w:t>
            </w:r>
          </w:p>
        </w:tc>
        <w:tc>
          <w:tcPr>
            <w:tcW w:w="1213" w:type="dxa"/>
            <w:tcBorders>
              <w:top w:val="nil"/>
              <w:left w:val="nil"/>
              <w:bottom w:val="single" w:sz="4" w:space="0" w:color="auto"/>
              <w:right w:val="single" w:sz="4" w:space="0" w:color="auto"/>
            </w:tcBorders>
            <w:shd w:val="clear" w:color="auto" w:fill="auto"/>
            <w:noWrap/>
            <w:vAlign w:val="bottom"/>
          </w:tcPr>
          <w:p w14:paraId="6F97E7C4"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44</w:t>
            </w:r>
          </w:p>
        </w:tc>
        <w:tc>
          <w:tcPr>
            <w:tcW w:w="1260" w:type="dxa"/>
            <w:tcBorders>
              <w:top w:val="nil"/>
              <w:left w:val="nil"/>
              <w:bottom w:val="single" w:sz="4" w:space="0" w:color="auto"/>
              <w:right w:val="single" w:sz="4" w:space="0" w:color="auto"/>
            </w:tcBorders>
            <w:shd w:val="clear" w:color="auto" w:fill="auto"/>
            <w:noWrap/>
            <w:vAlign w:val="bottom"/>
          </w:tcPr>
          <w:p w14:paraId="31A34D67"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86</w:t>
            </w:r>
          </w:p>
        </w:tc>
      </w:tr>
      <w:tr w:rsidR="00E12D19" w:rsidRPr="00065280" w14:paraId="7C3FE4AA"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23942C08"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San Vicente y las Granadinas</w:t>
            </w:r>
          </w:p>
        </w:tc>
        <w:tc>
          <w:tcPr>
            <w:tcW w:w="1138" w:type="dxa"/>
            <w:tcBorders>
              <w:top w:val="nil"/>
              <w:left w:val="nil"/>
              <w:bottom w:val="single" w:sz="4" w:space="0" w:color="auto"/>
              <w:right w:val="single" w:sz="4" w:space="0" w:color="auto"/>
            </w:tcBorders>
            <w:shd w:val="clear" w:color="auto" w:fill="auto"/>
            <w:vAlign w:val="bottom"/>
          </w:tcPr>
          <w:p w14:paraId="0669E1A3"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0,001</w:t>
            </w:r>
          </w:p>
        </w:tc>
        <w:tc>
          <w:tcPr>
            <w:tcW w:w="2552" w:type="dxa"/>
            <w:tcBorders>
              <w:top w:val="nil"/>
              <w:left w:val="nil"/>
              <w:bottom w:val="single" w:sz="4" w:space="0" w:color="auto"/>
              <w:right w:val="single" w:sz="4" w:space="0" w:color="auto"/>
            </w:tcBorders>
            <w:shd w:val="clear" w:color="auto" w:fill="auto"/>
            <w:noWrap/>
            <w:vAlign w:val="bottom"/>
          </w:tcPr>
          <w:p w14:paraId="2701DC92"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0,001</w:t>
            </w:r>
          </w:p>
        </w:tc>
        <w:tc>
          <w:tcPr>
            <w:tcW w:w="1217" w:type="dxa"/>
            <w:tcBorders>
              <w:top w:val="nil"/>
              <w:left w:val="nil"/>
              <w:bottom w:val="single" w:sz="4" w:space="0" w:color="auto"/>
              <w:right w:val="single" w:sz="4" w:space="0" w:color="auto"/>
            </w:tcBorders>
            <w:shd w:val="clear" w:color="auto" w:fill="auto"/>
            <w:noWrap/>
            <w:vAlign w:val="bottom"/>
          </w:tcPr>
          <w:p w14:paraId="0D7782EA"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41</w:t>
            </w:r>
          </w:p>
        </w:tc>
        <w:tc>
          <w:tcPr>
            <w:tcW w:w="1213" w:type="dxa"/>
            <w:tcBorders>
              <w:top w:val="nil"/>
              <w:left w:val="nil"/>
              <w:bottom w:val="single" w:sz="4" w:space="0" w:color="auto"/>
              <w:right w:val="single" w:sz="4" w:space="0" w:color="auto"/>
            </w:tcBorders>
            <w:shd w:val="clear" w:color="auto" w:fill="auto"/>
            <w:noWrap/>
            <w:vAlign w:val="bottom"/>
          </w:tcPr>
          <w:p w14:paraId="3CE6157D"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44</w:t>
            </w:r>
          </w:p>
        </w:tc>
        <w:tc>
          <w:tcPr>
            <w:tcW w:w="1260" w:type="dxa"/>
            <w:tcBorders>
              <w:top w:val="nil"/>
              <w:left w:val="nil"/>
              <w:bottom w:val="single" w:sz="4" w:space="0" w:color="auto"/>
              <w:right w:val="single" w:sz="4" w:space="0" w:color="auto"/>
            </w:tcBorders>
            <w:shd w:val="clear" w:color="auto" w:fill="auto"/>
            <w:noWrap/>
            <w:vAlign w:val="bottom"/>
          </w:tcPr>
          <w:p w14:paraId="61D32504"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86</w:t>
            </w:r>
          </w:p>
        </w:tc>
      </w:tr>
      <w:tr w:rsidR="00E12D19" w:rsidRPr="00065280" w14:paraId="6946ACA9"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A344246"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Santa Lucía</w:t>
            </w:r>
          </w:p>
        </w:tc>
        <w:tc>
          <w:tcPr>
            <w:tcW w:w="1138" w:type="dxa"/>
            <w:tcBorders>
              <w:top w:val="nil"/>
              <w:left w:val="nil"/>
              <w:bottom w:val="single" w:sz="4" w:space="0" w:color="auto"/>
              <w:right w:val="single" w:sz="4" w:space="0" w:color="auto"/>
            </w:tcBorders>
            <w:shd w:val="clear" w:color="auto" w:fill="auto"/>
            <w:vAlign w:val="bottom"/>
            <w:hideMark/>
          </w:tcPr>
          <w:p w14:paraId="01DF3C4B"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0,002</w:t>
            </w:r>
          </w:p>
        </w:tc>
        <w:tc>
          <w:tcPr>
            <w:tcW w:w="2552" w:type="dxa"/>
            <w:tcBorders>
              <w:top w:val="nil"/>
              <w:left w:val="nil"/>
              <w:bottom w:val="single" w:sz="4" w:space="0" w:color="auto"/>
              <w:right w:val="single" w:sz="4" w:space="0" w:color="auto"/>
            </w:tcBorders>
            <w:shd w:val="clear" w:color="auto" w:fill="auto"/>
            <w:noWrap/>
            <w:vAlign w:val="bottom"/>
            <w:hideMark/>
          </w:tcPr>
          <w:p w14:paraId="6C18B9F2"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0,003</w:t>
            </w:r>
          </w:p>
        </w:tc>
        <w:tc>
          <w:tcPr>
            <w:tcW w:w="1217" w:type="dxa"/>
            <w:tcBorders>
              <w:top w:val="nil"/>
              <w:left w:val="nil"/>
              <w:bottom w:val="single" w:sz="4" w:space="0" w:color="auto"/>
              <w:right w:val="single" w:sz="4" w:space="0" w:color="auto"/>
            </w:tcBorders>
            <w:shd w:val="clear" w:color="auto" w:fill="auto"/>
            <w:noWrap/>
            <w:vAlign w:val="bottom"/>
            <w:hideMark/>
          </w:tcPr>
          <w:p w14:paraId="0BA27BAB"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83</w:t>
            </w:r>
          </w:p>
        </w:tc>
        <w:tc>
          <w:tcPr>
            <w:tcW w:w="1213" w:type="dxa"/>
            <w:tcBorders>
              <w:top w:val="nil"/>
              <w:left w:val="nil"/>
              <w:bottom w:val="single" w:sz="4" w:space="0" w:color="auto"/>
              <w:right w:val="single" w:sz="4" w:space="0" w:color="auto"/>
            </w:tcBorders>
            <w:shd w:val="clear" w:color="auto" w:fill="auto"/>
            <w:noWrap/>
            <w:vAlign w:val="bottom"/>
            <w:hideMark/>
          </w:tcPr>
          <w:p w14:paraId="736F182C"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88</w:t>
            </w:r>
          </w:p>
        </w:tc>
        <w:tc>
          <w:tcPr>
            <w:tcW w:w="1260" w:type="dxa"/>
            <w:tcBorders>
              <w:top w:val="nil"/>
              <w:left w:val="nil"/>
              <w:bottom w:val="single" w:sz="4" w:space="0" w:color="auto"/>
              <w:right w:val="single" w:sz="4" w:space="0" w:color="auto"/>
            </w:tcBorders>
            <w:shd w:val="clear" w:color="auto" w:fill="auto"/>
            <w:noWrap/>
            <w:vAlign w:val="bottom"/>
            <w:hideMark/>
          </w:tcPr>
          <w:p w14:paraId="07FF5403"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171</w:t>
            </w:r>
          </w:p>
        </w:tc>
      </w:tr>
      <w:tr w:rsidR="00E12D19" w:rsidRPr="00065280" w14:paraId="029B93E5"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75ACABA"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Senegal</w:t>
            </w:r>
          </w:p>
        </w:tc>
        <w:tc>
          <w:tcPr>
            <w:tcW w:w="1138" w:type="dxa"/>
            <w:tcBorders>
              <w:top w:val="nil"/>
              <w:left w:val="nil"/>
              <w:bottom w:val="single" w:sz="4" w:space="0" w:color="auto"/>
              <w:right w:val="single" w:sz="4" w:space="0" w:color="auto"/>
            </w:tcBorders>
            <w:shd w:val="clear" w:color="auto" w:fill="auto"/>
            <w:vAlign w:val="bottom"/>
            <w:hideMark/>
          </w:tcPr>
          <w:p w14:paraId="51201AA9"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0,007</w:t>
            </w:r>
          </w:p>
        </w:tc>
        <w:tc>
          <w:tcPr>
            <w:tcW w:w="2552" w:type="dxa"/>
            <w:tcBorders>
              <w:top w:val="nil"/>
              <w:left w:val="nil"/>
              <w:bottom w:val="single" w:sz="4" w:space="0" w:color="auto"/>
              <w:right w:val="single" w:sz="4" w:space="0" w:color="auto"/>
            </w:tcBorders>
            <w:shd w:val="clear" w:color="auto" w:fill="auto"/>
            <w:noWrap/>
            <w:vAlign w:val="bottom"/>
            <w:hideMark/>
          </w:tcPr>
          <w:p w14:paraId="57AB9E1C"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6DDD7468"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290</w:t>
            </w:r>
          </w:p>
        </w:tc>
        <w:tc>
          <w:tcPr>
            <w:tcW w:w="1213" w:type="dxa"/>
            <w:tcBorders>
              <w:top w:val="nil"/>
              <w:left w:val="nil"/>
              <w:bottom w:val="single" w:sz="4" w:space="0" w:color="auto"/>
              <w:right w:val="single" w:sz="4" w:space="0" w:color="auto"/>
            </w:tcBorders>
            <w:shd w:val="clear" w:color="auto" w:fill="auto"/>
            <w:noWrap/>
            <w:vAlign w:val="bottom"/>
            <w:hideMark/>
          </w:tcPr>
          <w:p w14:paraId="63C7AA9F"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310</w:t>
            </w:r>
          </w:p>
        </w:tc>
        <w:tc>
          <w:tcPr>
            <w:tcW w:w="1260" w:type="dxa"/>
            <w:tcBorders>
              <w:top w:val="nil"/>
              <w:left w:val="nil"/>
              <w:bottom w:val="single" w:sz="4" w:space="0" w:color="auto"/>
              <w:right w:val="single" w:sz="4" w:space="0" w:color="auto"/>
            </w:tcBorders>
            <w:shd w:val="clear" w:color="auto" w:fill="auto"/>
            <w:noWrap/>
            <w:vAlign w:val="bottom"/>
            <w:hideMark/>
          </w:tcPr>
          <w:p w14:paraId="7DE984E0"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600</w:t>
            </w:r>
          </w:p>
        </w:tc>
      </w:tr>
      <w:tr w:rsidR="00E12D19" w:rsidRPr="00065280" w14:paraId="76A89972"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58557E3"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Serbia</w:t>
            </w:r>
          </w:p>
        </w:tc>
        <w:tc>
          <w:tcPr>
            <w:tcW w:w="1138" w:type="dxa"/>
            <w:tcBorders>
              <w:top w:val="nil"/>
              <w:left w:val="nil"/>
              <w:bottom w:val="single" w:sz="4" w:space="0" w:color="auto"/>
              <w:right w:val="single" w:sz="4" w:space="0" w:color="auto"/>
            </w:tcBorders>
            <w:shd w:val="clear" w:color="auto" w:fill="auto"/>
            <w:vAlign w:val="bottom"/>
            <w:hideMark/>
          </w:tcPr>
          <w:p w14:paraId="078972F1"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0,032</w:t>
            </w:r>
          </w:p>
        </w:tc>
        <w:tc>
          <w:tcPr>
            <w:tcW w:w="2552" w:type="dxa"/>
            <w:tcBorders>
              <w:top w:val="nil"/>
              <w:left w:val="nil"/>
              <w:bottom w:val="single" w:sz="4" w:space="0" w:color="auto"/>
              <w:right w:val="single" w:sz="4" w:space="0" w:color="auto"/>
            </w:tcBorders>
            <w:shd w:val="clear" w:color="auto" w:fill="auto"/>
            <w:noWrap/>
            <w:vAlign w:val="bottom"/>
            <w:hideMark/>
          </w:tcPr>
          <w:p w14:paraId="3F0B3901"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0,045</w:t>
            </w:r>
          </w:p>
        </w:tc>
        <w:tc>
          <w:tcPr>
            <w:tcW w:w="1217" w:type="dxa"/>
            <w:tcBorders>
              <w:top w:val="nil"/>
              <w:left w:val="nil"/>
              <w:bottom w:val="single" w:sz="4" w:space="0" w:color="auto"/>
              <w:right w:val="single" w:sz="4" w:space="0" w:color="auto"/>
            </w:tcBorders>
            <w:shd w:val="clear" w:color="auto" w:fill="auto"/>
            <w:noWrap/>
            <w:vAlign w:val="bottom"/>
            <w:hideMark/>
          </w:tcPr>
          <w:p w14:paraId="2C96B0B5"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1 325</w:t>
            </w:r>
          </w:p>
        </w:tc>
        <w:tc>
          <w:tcPr>
            <w:tcW w:w="1213" w:type="dxa"/>
            <w:tcBorders>
              <w:top w:val="nil"/>
              <w:left w:val="nil"/>
              <w:bottom w:val="single" w:sz="4" w:space="0" w:color="auto"/>
              <w:right w:val="single" w:sz="4" w:space="0" w:color="auto"/>
            </w:tcBorders>
            <w:shd w:val="clear" w:color="auto" w:fill="auto"/>
            <w:noWrap/>
            <w:vAlign w:val="bottom"/>
            <w:hideMark/>
          </w:tcPr>
          <w:p w14:paraId="2C05E553"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1 416</w:t>
            </w:r>
          </w:p>
        </w:tc>
        <w:tc>
          <w:tcPr>
            <w:tcW w:w="1260" w:type="dxa"/>
            <w:tcBorders>
              <w:top w:val="nil"/>
              <w:left w:val="nil"/>
              <w:bottom w:val="single" w:sz="4" w:space="0" w:color="auto"/>
              <w:right w:val="single" w:sz="4" w:space="0" w:color="auto"/>
            </w:tcBorders>
            <w:shd w:val="clear" w:color="auto" w:fill="auto"/>
            <w:noWrap/>
            <w:vAlign w:val="bottom"/>
            <w:hideMark/>
          </w:tcPr>
          <w:p w14:paraId="793B6542"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2 741</w:t>
            </w:r>
          </w:p>
        </w:tc>
      </w:tr>
      <w:tr w:rsidR="00E12D19" w:rsidRPr="00065280" w14:paraId="0FB15FB5"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D13B003"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Seychelles</w:t>
            </w:r>
          </w:p>
        </w:tc>
        <w:tc>
          <w:tcPr>
            <w:tcW w:w="1138" w:type="dxa"/>
            <w:tcBorders>
              <w:top w:val="nil"/>
              <w:left w:val="nil"/>
              <w:bottom w:val="single" w:sz="4" w:space="0" w:color="auto"/>
              <w:right w:val="single" w:sz="4" w:space="0" w:color="auto"/>
            </w:tcBorders>
            <w:shd w:val="clear" w:color="auto" w:fill="auto"/>
            <w:vAlign w:val="bottom"/>
            <w:hideMark/>
          </w:tcPr>
          <w:p w14:paraId="375437D6"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0,002</w:t>
            </w:r>
          </w:p>
        </w:tc>
        <w:tc>
          <w:tcPr>
            <w:tcW w:w="2552" w:type="dxa"/>
            <w:tcBorders>
              <w:top w:val="nil"/>
              <w:left w:val="nil"/>
              <w:bottom w:val="single" w:sz="4" w:space="0" w:color="auto"/>
              <w:right w:val="single" w:sz="4" w:space="0" w:color="auto"/>
            </w:tcBorders>
            <w:shd w:val="clear" w:color="auto" w:fill="auto"/>
            <w:noWrap/>
            <w:vAlign w:val="bottom"/>
            <w:hideMark/>
          </w:tcPr>
          <w:p w14:paraId="34EED0EE"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0,003</w:t>
            </w:r>
          </w:p>
        </w:tc>
        <w:tc>
          <w:tcPr>
            <w:tcW w:w="1217" w:type="dxa"/>
            <w:tcBorders>
              <w:top w:val="nil"/>
              <w:left w:val="nil"/>
              <w:bottom w:val="single" w:sz="4" w:space="0" w:color="auto"/>
              <w:right w:val="single" w:sz="4" w:space="0" w:color="auto"/>
            </w:tcBorders>
            <w:shd w:val="clear" w:color="auto" w:fill="auto"/>
            <w:noWrap/>
            <w:vAlign w:val="bottom"/>
            <w:hideMark/>
          </w:tcPr>
          <w:p w14:paraId="48D1F92D"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83</w:t>
            </w:r>
          </w:p>
        </w:tc>
        <w:tc>
          <w:tcPr>
            <w:tcW w:w="1213" w:type="dxa"/>
            <w:tcBorders>
              <w:top w:val="nil"/>
              <w:left w:val="nil"/>
              <w:bottom w:val="single" w:sz="4" w:space="0" w:color="auto"/>
              <w:right w:val="single" w:sz="4" w:space="0" w:color="auto"/>
            </w:tcBorders>
            <w:shd w:val="clear" w:color="auto" w:fill="auto"/>
            <w:noWrap/>
            <w:vAlign w:val="bottom"/>
            <w:hideMark/>
          </w:tcPr>
          <w:p w14:paraId="3A510E76"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88</w:t>
            </w:r>
          </w:p>
        </w:tc>
        <w:tc>
          <w:tcPr>
            <w:tcW w:w="1260" w:type="dxa"/>
            <w:tcBorders>
              <w:top w:val="nil"/>
              <w:left w:val="nil"/>
              <w:bottom w:val="single" w:sz="4" w:space="0" w:color="auto"/>
              <w:right w:val="single" w:sz="4" w:space="0" w:color="auto"/>
            </w:tcBorders>
            <w:shd w:val="clear" w:color="auto" w:fill="auto"/>
            <w:noWrap/>
            <w:vAlign w:val="bottom"/>
            <w:hideMark/>
          </w:tcPr>
          <w:p w14:paraId="52A499E9"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171</w:t>
            </w:r>
          </w:p>
        </w:tc>
      </w:tr>
      <w:tr w:rsidR="00E12D19" w:rsidRPr="00065280" w14:paraId="4E31B911"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2B150FD"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Sierra Leona</w:t>
            </w:r>
          </w:p>
        </w:tc>
        <w:tc>
          <w:tcPr>
            <w:tcW w:w="1138" w:type="dxa"/>
            <w:tcBorders>
              <w:top w:val="nil"/>
              <w:left w:val="nil"/>
              <w:bottom w:val="single" w:sz="4" w:space="0" w:color="auto"/>
              <w:right w:val="single" w:sz="4" w:space="0" w:color="auto"/>
            </w:tcBorders>
            <w:shd w:val="clear" w:color="auto" w:fill="auto"/>
            <w:vAlign w:val="bottom"/>
            <w:hideMark/>
          </w:tcPr>
          <w:p w14:paraId="077CB029"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557EDBDA"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7EC5148E"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69B28E09"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01FFD241"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86</w:t>
            </w:r>
          </w:p>
        </w:tc>
      </w:tr>
      <w:tr w:rsidR="00E12D19" w:rsidRPr="00065280" w14:paraId="3F3B9EA5"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4959685"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Somalia</w:t>
            </w:r>
          </w:p>
        </w:tc>
        <w:tc>
          <w:tcPr>
            <w:tcW w:w="1138" w:type="dxa"/>
            <w:tcBorders>
              <w:top w:val="nil"/>
              <w:left w:val="nil"/>
              <w:bottom w:val="single" w:sz="4" w:space="0" w:color="auto"/>
              <w:right w:val="single" w:sz="4" w:space="0" w:color="auto"/>
            </w:tcBorders>
            <w:shd w:val="clear" w:color="auto" w:fill="auto"/>
            <w:vAlign w:val="bottom"/>
            <w:hideMark/>
          </w:tcPr>
          <w:p w14:paraId="59BC58E3"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29AADDE0"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1B0E92F3"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19282D13"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3555FF9B"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86</w:t>
            </w:r>
          </w:p>
        </w:tc>
      </w:tr>
      <w:tr w:rsidR="00E12D19" w:rsidRPr="00065280" w14:paraId="4C96BA68"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6D4208C3"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Sri Lanka</w:t>
            </w:r>
          </w:p>
        </w:tc>
        <w:tc>
          <w:tcPr>
            <w:tcW w:w="1138" w:type="dxa"/>
            <w:tcBorders>
              <w:top w:val="nil"/>
              <w:left w:val="nil"/>
              <w:bottom w:val="single" w:sz="4" w:space="0" w:color="auto"/>
              <w:right w:val="single" w:sz="4" w:space="0" w:color="auto"/>
            </w:tcBorders>
            <w:shd w:val="clear" w:color="auto" w:fill="auto"/>
            <w:vAlign w:val="bottom"/>
          </w:tcPr>
          <w:p w14:paraId="19572577"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0,045</w:t>
            </w:r>
          </w:p>
        </w:tc>
        <w:tc>
          <w:tcPr>
            <w:tcW w:w="2552" w:type="dxa"/>
            <w:tcBorders>
              <w:top w:val="nil"/>
              <w:left w:val="nil"/>
              <w:bottom w:val="single" w:sz="4" w:space="0" w:color="auto"/>
              <w:right w:val="single" w:sz="4" w:space="0" w:color="auto"/>
            </w:tcBorders>
            <w:shd w:val="clear" w:color="auto" w:fill="auto"/>
            <w:noWrap/>
            <w:vAlign w:val="bottom"/>
          </w:tcPr>
          <w:p w14:paraId="3F450D30"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0,064</w:t>
            </w:r>
          </w:p>
        </w:tc>
        <w:tc>
          <w:tcPr>
            <w:tcW w:w="1217" w:type="dxa"/>
            <w:tcBorders>
              <w:top w:val="nil"/>
              <w:left w:val="nil"/>
              <w:bottom w:val="single" w:sz="4" w:space="0" w:color="auto"/>
              <w:right w:val="single" w:sz="4" w:space="0" w:color="auto"/>
            </w:tcBorders>
            <w:shd w:val="clear" w:color="auto" w:fill="auto"/>
            <w:noWrap/>
            <w:vAlign w:val="bottom"/>
          </w:tcPr>
          <w:p w14:paraId="5717C4CD"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1 863</w:t>
            </w:r>
          </w:p>
        </w:tc>
        <w:tc>
          <w:tcPr>
            <w:tcW w:w="1213" w:type="dxa"/>
            <w:tcBorders>
              <w:top w:val="nil"/>
              <w:left w:val="nil"/>
              <w:bottom w:val="single" w:sz="4" w:space="0" w:color="auto"/>
              <w:right w:val="single" w:sz="4" w:space="0" w:color="auto"/>
            </w:tcBorders>
            <w:shd w:val="clear" w:color="auto" w:fill="auto"/>
            <w:noWrap/>
            <w:vAlign w:val="bottom"/>
          </w:tcPr>
          <w:p w14:paraId="45E5C88F"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1 991</w:t>
            </w:r>
          </w:p>
        </w:tc>
        <w:tc>
          <w:tcPr>
            <w:tcW w:w="1260" w:type="dxa"/>
            <w:tcBorders>
              <w:top w:val="nil"/>
              <w:left w:val="nil"/>
              <w:bottom w:val="single" w:sz="4" w:space="0" w:color="auto"/>
              <w:right w:val="single" w:sz="4" w:space="0" w:color="auto"/>
            </w:tcBorders>
            <w:shd w:val="clear" w:color="auto" w:fill="auto"/>
            <w:noWrap/>
            <w:vAlign w:val="bottom"/>
          </w:tcPr>
          <w:p w14:paraId="1B4BF8DB"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3 854</w:t>
            </w:r>
          </w:p>
        </w:tc>
      </w:tr>
      <w:tr w:rsidR="00E12D19" w:rsidRPr="00065280" w14:paraId="0241A001"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D7A013F"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Sudáfrica</w:t>
            </w:r>
          </w:p>
        </w:tc>
        <w:tc>
          <w:tcPr>
            <w:tcW w:w="1138" w:type="dxa"/>
            <w:tcBorders>
              <w:top w:val="nil"/>
              <w:left w:val="nil"/>
              <w:bottom w:val="single" w:sz="4" w:space="0" w:color="auto"/>
              <w:right w:val="single" w:sz="4" w:space="0" w:color="auto"/>
            </w:tcBorders>
            <w:shd w:val="clear" w:color="auto" w:fill="auto"/>
            <w:vAlign w:val="bottom"/>
            <w:hideMark/>
          </w:tcPr>
          <w:p w14:paraId="5C8EA314"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0,244</w:t>
            </w:r>
          </w:p>
        </w:tc>
        <w:tc>
          <w:tcPr>
            <w:tcW w:w="2552" w:type="dxa"/>
            <w:tcBorders>
              <w:top w:val="nil"/>
              <w:left w:val="nil"/>
              <w:bottom w:val="single" w:sz="4" w:space="0" w:color="auto"/>
              <w:right w:val="single" w:sz="4" w:space="0" w:color="auto"/>
            </w:tcBorders>
            <w:shd w:val="clear" w:color="auto" w:fill="auto"/>
            <w:noWrap/>
            <w:vAlign w:val="bottom"/>
            <w:hideMark/>
          </w:tcPr>
          <w:p w14:paraId="67132442"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0,344</w:t>
            </w:r>
          </w:p>
        </w:tc>
        <w:tc>
          <w:tcPr>
            <w:tcW w:w="1217" w:type="dxa"/>
            <w:tcBorders>
              <w:top w:val="nil"/>
              <w:left w:val="nil"/>
              <w:bottom w:val="single" w:sz="4" w:space="0" w:color="auto"/>
              <w:right w:val="single" w:sz="4" w:space="0" w:color="auto"/>
            </w:tcBorders>
            <w:shd w:val="clear" w:color="auto" w:fill="auto"/>
            <w:noWrap/>
            <w:vAlign w:val="bottom"/>
            <w:hideMark/>
          </w:tcPr>
          <w:p w14:paraId="6462EAB1"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10 103</w:t>
            </w:r>
          </w:p>
        </w:tc>
        <w:tc>
          <w:tcPr>
            <w:tcW w:w="1213" w:type="dxa"/>
            <w:tcBorders>
              <w:top w:val="nil"/>
              <w:left w:val="nil"/>
              <w:bottom w:val="single" w:sz="4" w:space="0" w:color="auto"/>
              <w:right w:val="single" w:sz="4" w:space="0" w:color="auto"/>
            </w:tcBorders>
            <w:shd w:val="clear" w:color="auto" w:fill="auto"/>
            <w:noWrap/>
            <w:vAlign w:val="bottom"/>
            <w:hideMark/>
          </w:tcPr>
          <w:p w14:paraId="41D265A9"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10 795</w:t>
            </w:r>
          </w:p>
        </w:tc>
        <w:tc>
          <w:tcPr>
            <w:tcW w:w="1260" w:type="dxa"/>
            <w:tcBorders>
              <w:top w:val="nil"/>
              <w:left w:val="nil"/>
              <w:bottom w:val="single" w:sz="4" w:space="0" w:color="auto"/>
              <w:right w:val="single" w:sz="4" w:space="0" w:color="auto"/>
            </w:tcBorders>
            <w:shd w:val="clear" w:color="auto" w:fill="auto"/>
            <w:noWrap/>
            <w:vAlign w:val="bottom"/>
            <w:hideMark/>
          </w:tcPr>
          <w:p w14:paraId="3F92EAAC"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20 898</w:t>
            </w:r>
          </w:p>
        </w:tc>
      </w:tr>
      <w:tr w:rsidR="00E12D19" w:rsidRPr="00065280" w14:paraId="092CDAC6"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AA3FFD6"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Sudán</w:t>
            </w:r>
          </w:p>
        </w:tc>
        <w:tc>
          <w:tcPr>
            <w:tcW w:w="1138" w:type="dxa"/>
            <w:tcBorders>
              <w:top w:val="nil"/>
              <w:left w:val="nil"/>
              <w:bottom w:val="single" w:sz="4" w:space="0" w:color="auto"/>
              <w:right w:val="single" w:sz="4" w:space="0" w:color="auto"/>
            </w:tcBorders>
            <w:shd w:val="clear" w:color="auto" w:fill="auto"/>
            <w:vAlign w:val="bottom"/>
            <w:hideMark/>
          </w:tcPr>
          <w:p w14:paraId="709A746E"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0,010</w:t>
            </w:r>
          </w:p>
        </w:tc>
        <w:tc>
          <w:tcPr>
            <w:tcW w:w="2552" w:type="dxa"/>
            <w:tcBorders>
              <w:top w:val="nil"/>
              <w:left w:val="nil"/>
              <w:bottom w:val="single" w:sz="4" w:space="0" w:color="auto"/>
              <w:right w:val="single" w:sz="4" w:space="0" w:color="auto"/>
            </w:tcBorders>
            <w:shd w:val="clear" w:color="auto" w:fill="auto"/>
            <w:noWrap/>
            <w:vAlign w:val="bottom"/>
            <w:hideMark/>
          </w:tcPr>
          <w:p w14:paraId="70719FF0"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52119D51"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08CD1242"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3E421BAF"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607</w:t>
            </w:r>
          </w:p>
        </w:tc>
      </w:tr>
      <w:tr w:rsidR="00E12D19" w:rsidRPr="00065280" w14:paraId="3B3E8FF2"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18D19B60"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Suecia</w:t>
            </w:r>
          </w:p>
        </w:tc>
        <w:tc>
          <w:tcPr>
            <w:tcW w:w="1138" w:type="dxa"/>
            <w:tcBorders>
              <w:top w:val="nil"/>
              <w:left w:val="nil"/>
              <w:bottom w:val="single" w:sz="4" w:space="0" w:color="auto"/>
              <w:right w:val="single" w:sz="4" w:space="0" w:color="auto"/>
            </w:tcBorders>
            <w:shd w:val="clear" w:color="auto" w:fill="auto"/>
            <w:vAlign w:val="bottom"/>
          </w:tcPr>
          <w:p w14:paraId="3C426341"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0,871</w:t>
            </w:r>
          </w:p>
        </w:tc>
        <w:tc>
          <w:tcPr>
            <w:tcW w:w="2552" w:type="dxa"/>
            <w:tcBorders>
              <w:top w:val="nil"/>
              <w:left w:val="nil"/>
              <w:bottom w:val="single" w:sz="4" w:space="0" w:color="auto"/>
              <w:right w:val="single" w:sz="4" w:space="0" w:color="auto"/>
            </w:tcBorders>
            <w:shd w:val="clear" w:color="auto" w:fill="auto"/>
            <w:noWrap/>
            <w:vAlign w:val="bottom"/>
          </w:tcPr>
          <w:p w14:paraId="59E682FD"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1,230</w:t>
            </w:r>
          </w:p>
        </w:tc>
        <w:tc>
          <w:tcPr>
            <w:tcW w:w="1217" w:type="dxa"/>
            <w:tcBorders>
              <w:top w:val="nil"/>
              <w:left w:val="nil"/>
              <w:bottom w:val="single" w:sz="4" w:space="0" w:color="auto"/>
              <w:right w:val="single" w:sz="4" w:space="0" w:color="auto"/>
            </w:tcBorders>
            <w:shd w:val="clear" w:color="auto" w:fill="auto"/>
            <w:noWrap/>
            <w:vAlign w:val="bottom"/>
          </w:tcPr>
          <w:p w14:paraId="7B3BFD99"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36 065</w:t>
            </w:r>
          </w:p>
        </w:tc>
        <w:tc>
          <w:tcPr>
            <w:tcW w:w="1213" w:type="dxa"/>
            <w:tcBorders>
              <w:top w:val="nil"/>
              <w:left w:val="nil"/>
              <w:bottom w:val="single" w:sz="4" w:space="0" w:color="auto"/>
              <w:right w:val="single" w:sz="4" w:space="0" w:color="auto"/>
            </w:tcBorders>
            <w:shd w:val="clear" w:color="auto" w:fill="auto"/>
            <w:noWrap/>
            <w:vAlign w:val="bottom"/>
          </w:tcPr>
          <w:p w14:paraId="477CC0AE"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38 533</w:t>
            </w:r>
          </w:p>
        </w:tc>
        <w:tc>
          <w:tcPr>
            <w:tcW w:w="1260" w:type="dxa"/>
            <w:tcBorders>
              <w:top w:val="nil"/>
              <w:left w:val="nil"/>
              <w:bottom w:val="single" w:sz="4" w:space="0" w:color="auto"/>
              <w:right w:val="single" w:sz="4" w:space="0" w:color="auto"/>
            </w:tcBorders>
            <w:shd w:val="clear" w:color="auto" w:fill="auto"/>
            <w:noWrap/>
            <w:vAlign w:val="bottom"/>
          </w:tcPr>
          <w:p w14:paraId="17F8B4D8"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74 599</w:t>
            </w:r>
          </w:p>
        </w:tc>
      </w:tr>
      <w:tr w:rsidR="00E12D19" w:rsidRPr="00065280" w14:paraId="75B50393"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6A2509B5"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Suiza</w:t>
            </w:r>
          </w:p>
        </w:tc>
        <w:tc>
          <w:tcPr>
            <w:tcW w:w="1138" w:type="dxa"/>
            <w:tcBorders>
              <w:top w:val="nil"/>
              <w:left w:val="nil"/>
              <w:bottom w:val="single" w:sz="4" w:space="0" w:color="auto"/>
              <w:right w:val="single" w:sz="4" w:space="0" w:color="auto"/>
            </w:tcBorders>
            <w:shd w:val="clear" w:color="auto" w:fill="auto"/>
            <w:vAlign w:val="bottom"/>
          </w:tcPr>
          <w:p w14:paraId="29F259F2"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1,134</w:t>
            </w:r>
          </w:p>
        </w:tc>
        <w:tc>
          <w:tcPr>
            <w:tcW w:w="2552" w:type="dxa"/>
            <w:tcBorders>
              <w:top w:val="nil"/>
              <w:left w:val="nil"/>
              <w:bottom w:val="single" w:sz="4" w:space="0" w:color="auto"/>
              <w:right w:val="single" w:sz="4" w:space="0" w:color="auto"/>
            </w:tcBorders>
            <w:shd w:val="clear" w:color="auto" w:fill="auto"/>
            <w:noWrap/>
            <w:vAlign w:val="bottom"/>
          </w:tcPr>
          <w:p w14:paraId="51714FB0"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1,601</w:t>
            </w:r>
          </w:p>
        </w:tc>
        <w:tc>
          <w:tcPr>
            <w:tcW w:w="1217" w:type="dxa"/>
            <w:tcBorders>
              <w:top w:val="nil"/>
              <w:left w:val="nil"/>
              <w:bottom w:val="single" w:sz="4" w:space="0" w:color="auto"/>
              <w:right w:val="single" w:sz="4" w:space="0" w:color="auto"/>
            </w:tcBorders>
            <w:shd w:val="clear" w:color="auto" w:fill="auto"/>
            <w:noWrap/>
            <w:vAlign w:val="bottom"/>
          </w:tcPr>
          <w:p w14:paraId="030AE450"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46 955</w:t>
            </w:r>
          </w:p>
        </w:tc>
        <w:tc>
          <w:tcPr>
            <w:tcW w:w="1213" w:type="dxa"/>
            <w:tcBorders>
              <w:top w:val="nil"/>
              <w:left w:val="nil"/>
              <w:bottom w:val="single" w:sz="4" w:space="0" w:color="auto"/>
              <w:right w:val="single" w:sz="4" w:space="0" w:color="auto"/>
            </w:tcBorders>
            <w:shd w:val="clear" w:color="auto" w:fill="auto"/>
            <w:noWrap/>
            <w:vAlign w:val="bottom"/>
          </w:tcPr>
          <w:p w14:paraId="53E58E94"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50 168</w:t>
            </w:r>
          </w:p>
        </w:tc>
        <w:tc>
          <w:tcPr>
            <w:tcW w:w="1260" w:type="dxa"/>
            <w:tcBorders>
              <w:top w:val="nil"/>
              <w:left w:val="nil"/>
              <w:bottom w:val="single" w:sz="4" w:space="0" w:color="auto"/>
              <w:right w:val="single" w:sz="4" w:space="0" w:color="auto"/>
            </w:tcBorders>
            <w:shd w:val="clear" w:color="auto" w:fill="auto"/>
            <w:noWrap/>
            <w:vAlign w:val="bottom"/>
          </w:tcPr>
          <w:p w14:paraId="289BA27B"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97 124</w:t>
            </w:r>
          </w:p>
        </w:tc>
      </w:tr>
      <w:tr w:rsidR="00E12D19" w:rsidRPr="00065280" w14:paraId="509565CE"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C5715C3"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Suriname</w:t>
            </w:r>
          </w:p>
        </w:tc>
        <w:tc>
          <w:tcPr>
            <w:tcW w:w="1138" w:type="dxa"/>
            <w:tcBorders>
              <w:top w:val="nil"/>
              <w:left w:val="nil"/>
              <w:bottom w:val="single" w:sz="4" w:space="0" w:color="auto"/>
              <w:right w:val="single" w:sz="4" w:space="0" w:color="auto"/>
            </w:tcBorders>
            <w:shd w:val="clear" w:color="auto" w:fill="auto"/>
            <w:vAlign w:val="bottom"/>
            <w:hideMark/>
          </w:tcPr>
          <w:p w14:paraId="73EAC150"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0,003</w:t>
            </w:r>
          </w:p>
        </w:tc>
        <w:tc>
          <w:tcPr>
            <w:tcW w:w="2552" w:type="dxa"/>
            <w:tcBorders>
              <w:top w:val="nil"/>
              <w:left w:val="nil"/>
              <w:bottom w:val="single" w:sz="4" w:space="0" w:color="auto"/>
              <w:right w:val="single" w:sz="4" w:space="0" w:color="auto"/>
            </w:tcBorders>
            <w:shd w:val="clear" w:color="auto" w:fill="auto"/>
            <w:noWrap/>
            <w:vAlign w:val="bottom"/>
            <w:hideMark/>
          </w:tcPr>
          <w:p w14:paraId="10071459"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0,004</w:t>
            </w:r>
          </w:p>
        </w:tc>
        <w:tc>
          <w:tcPr>
            <w:tcW w:w="1217" w:type="dxa"/>
            <w:tcBorders>
              <w:top w:val="nil"/>
              <w:left w:val="nil"/>
              <w:bottom w:val="single" w:sz="4" w:space="0" w:color="auto"/>
              <w:right w:val="single" w:sz="4" w:space="0" w:color="auto"/>
            </w:tcBorders>
            <w:shd w:val="clear" w:color="auto" w:fill="auto"/>
            <w:noWrap/>
            <w:vAlign w:val="bottom"/>
            <w:hideMark/>
          </w:tcPr>
          <w:p w14:paraId="7AA45E97"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124</w:t>
            </w:r>
          </w:p>
        </w:tc>
        <w:tc>
          <w:tcPr>
            <w:tcW w:w="1213" w:type="dxa"/>
            <w:tcBorders>
              <w:top w:val="nil"/>
              <w:left w:val="nil"/>
              <w:bottom w:val="single" w:sz="4" w:space="0" w:color="auto"/>
              <w:right w:val="single" w:sz="4" w:space="0" w:color="auto"/>
            </w:tcBorders>
            <w:shd w:val="clear" w:color="auto" w:fill="auto"/>
            <w:noWrap/>
            <w:vAlign w:val="bottom"/>
            <w:hideMark/>
          </w:tcPr>
          <w:p w14:paraId="0ECDB2E8"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133</w:t>
            </w:r>
          </w:p>
        </w:tc>
        <w:tc>
          <w:tcPr>
            <w:tcW w:w="1260" w:type="dxa"/>
            <w:tcBorders>
              <w:top w:val="nil"/>
              <w:left w:val="nil"/>
              <w:bottom w:val="single" w:sz="4" w:space="0" w:color="auto"/>
              <w:right w:val="single" w:sz="4" w:space="0" w:color="auto"/>
            </w:tcBorders>
            <w:shd w:val="clear" w:color="auto" w:fill="auto"/>
            <w:noWrap/>
            <w:vAlign w:val="bottom"/>
            <w:hideMark/>
          </w:tcPr>
          <w:p w14:paraId="04551F10"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257</w:t>
            </w:r>
          </w:p>
        </w:tc>
      </w:tr>
      <w:tr w:rsidR="00E12D19" w:rsidRPr="00065280" w14:paraId="49725EB6"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0E6F6422"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Tailandia</w:t>
            </w:r>
          </w:p>
        </w:tc>
        <w:tc>
          <w:tcPr>
            <w:tcW w:w="1138" w:type="dxa"/>
            <w:tcBorders>
              <w:top w:val="nil"/>
              <w:left w:val="nil"/>
              <w:bottom w:val="single" w:sz="4" w:space="0" w:color="auto"/>
              <w:right w:val="single" w:sz="4" w:space="0" w:color="auto"/>
            </w:tcBorders>
            <w:shd w:val="clear" w:color="auto" w:fill="auto"/>
            <w:vAlign w:val="bottom"/>
          </w:tcPr>
          <w:p w14:paraId="62612D16"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0,368</w:t>
            </w:r>
          </w:p>
        </w:tc>
        <w:tc>
          <w:tcPr>
            <w:tcW w:w="2552" w:type="dxa"/>
            <w:tcBorders>
              <w:top w:val="nil"/>
              <w:left w:val="nil"/>
              <w:bottom w:val="single" w:sz="4" w:space="0" w:color="auto"/>
              <w:right w:val="single" w:sz="4" w:space="0" w:color="auto"/>
            </w:tcBorders>
            <w:shd w:val="clear" w:color="auto" w:fill="auto"/>
            <w:noWrap/>
            <w:vAlign w:val="bottom"/>
          </w:tcPr>
          <w:p w14:paraId="450BA2CC"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0,520</w:t>
            </w:r>
          </w:p>
        </w:tc>
        <w:tc>
          <w:tcPr>
            <w:tcW w:w="1217" w:type="dxa"/>
            <w:tcBorders>
              <w:top w:val="nil"/>
              <w:left w:val="nil"/>
              <w:bottom w:val="single" w:sz="4" w:space="0" w:color="auto"/>
              <w:right w:val="single" w:sz="4" w:space="0" w:color="auto"/>
            </w:tcBorders>
            <w:shd w:val="clear" w:color="auto" w:fill="auto"/>
            <w:noWrap/>
            <w:vAlign w:val="bottom"/>
          </w:tcPr>
          <w:p w14:paraId="6A7144F9"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15 238</w:t>
            </w:r>
          </w:p>
        </w:tc>
        <w:tc>
          <w:tcPr>
            <w:tcW w:w="1213" w:type="dxa"/>
            <w:tcBorders>
              <w:top w:val="nil"/>
              <w:left w:val="nil"/>
              <w:bottom w:val="single" w:sz="4" w:space="0" w:color="auto"/>
              <w:right w:val="single" w:sz="4" w:space="0" w:color="auto"/>
            </w:tcBorders>
            <w:shd w:val="clear" w:color="auto" w:fill="auto"/>
            <w:noWrap/>
            <w:vAlign w:val="bottom"/>
          </w:tcPr>
          <w:p w14:paraId="166FEEA2"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16 280</w:t>
            </w:r>
          </w:p>
        </w:tc>
        <w:tc>
          <w:tcPr>
            <w:tcW w:w="1260" w:type="dxa"/>
            <w:tcBorders>
              <w:top w:val="nil"/>
              <w:left w:val="nil"/>
              <w:bottom w:val="single" w:sz="4" w:space="0" w:color="auto"/>
              <w:right w:val="single" w:sz="4" w:space="0" w:color="auto"/>
            </w:tcBorders>
            <w:shd w:val="clear" w:color="auto" w:fill="auto"/>
            <w:noWrap/>
            <w:vAlign w:val="bottom"/>
          </w:tcPr>
          <w:p w14:paraId="5F227F16"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31 518</w:t>
            </w:r>
          </w:p>
        </w:tc>
      </w:tr>
      <w:tr w:rsidR="00E12D19" w:rsidRPr="00065280" w14:paraId="4A2B1F80"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3A83F4A"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Tayikistán</w:t>
            </w:r>
          </w:p>
        </w:tc>
        <w:tc>
          <w:tcPr>
            <w:tcW w:w="1138" w:type="dxa"/>
            <w:tcBorders>
              <w:top w:val="nil"/>
              <w:left w:val="nil"/>
              <w:bottom w:val="single" w:sz="4" w:space="0" w:color="auto"/>
              <w:right w:val="single" w:sz="4" w:space="0" w:color="auto"/>
            </w:tcBorders>
            <w:shd w:val="clear" w:color="auto" w:fill="auto"/>
            <w:vAlign w:val="bottom"/>
            <w:hideMark/>
          </w:tcPr>
          <w:p w14:paraId="2890C530"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0,003</w:t>
            </w:r>
          </w:p>
        </w:tc>
        <w:tc>
          <w:tcPr>
            <w:tcW w:w="2552" w:type="dxa"/>
            <w:tcBorders>
              <w:top w:val="nil"/>
              <w:left w:val="nil"/>
              <w:bottom w:val="single" w:sz="4" w:space="0" w:color="auto"/>
              <w:right w:val="single" w:sz="4" w:space="0" w:color="auto"/>
            </w:tcBorders>
            <w:shd w:val="clear" w:color="auto" w:fill="auto"/>
            <w:noWrap/>
            <w:vAlign w:val="bottom"/>
            <w:hideMark/>
          </w:tcPr>
          <w:p w14:paraId="54E98AF8"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0,004</w:t>
            </w:r>
          </w:p>
        </w:tc>
        <w:tc>
          <w:tcPr>
            <w:tcW w:w="1217" w:type="dxa"/>
            <w:tcBorders>
              <w:top w:val="nil"/>
              <w:left w:val="nil"/>
              <w:bottom w:val="single" w:sz="4" w:space="0" w:color="auto"/>
              <w:right w:val="single" w:sz="4" w:space="0" w:color="auto"/>
            </w:tcBorders>
            <w:shd w:val="clear" w:color="auto" w:fill="auto"/>
            <w:noWrap/>
            <w:vAlign w:val="bottom"/>
            <w:hideMark/>
          </w:tcPr>
          <w:p w14:paraId="1E851F57"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124</w:t>
            </w:r>
          </w:p>
        </w:tc>
        <w:tc>
          <w:tcPr>
            <w:tcW w:w="1213" w:type="dxa"/>
            <w:tcBorders>
              <w:top w:val="nil"/>
              <w:left w:val="nil"/>
              <w:bottom w:val="single" w:sz="4" w:space="0" w:color="auto"/>
              <w:right w:val="single" w:sz="4" w:space="0" w:color="auto"/>
            </w:tcBorders>
            <w:shd w:val="clear" w:color="auto" w:fill="auto"/>
            <w:noWrap/>
            <w:vAlign w:val="bottom"/>
            <w:hideMark/>
          </w:tcPr>
          <w:p w14:paraId="74101EE0"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133</w:t>
            </w:r>
          </w:p>
        </w:tc>
        <w:tc>
          <w:tcPr>
            <w:tcW w:w="1260" w:type="dxa"/>
            <w:tcBorders>
              <w:top w:val="nil"/>
              <w:left w:val="nil"/>
              <w:bottom w:val="single" w:sz="4" w:space="0" w:color="auto"/>
              <w:right w:val="single" w:sz="4" w:space="0" w:color="auto"/>
            </w:tcBorders>
            <w:shd w:val="clear" w:color="auto" w:fill="auto"/>
            <w:noWrap/>
            <w:vAlign w:val="bottom"/>
            <w:hideMark/>
          </w:tcPr>
          <w:p w14:paraId="297D6226"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257</w:t>
            </w:r>
          </w:p>
        </w:tc>
      </w:tr>
      <w:tr w:rsidR="00E12D19" w:rsidRPr="00065280" w14:paraId="7B33A29D"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3644737"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Togo</w:t>
            </w:r>
          </w:p>
        </w:tc>
        <w:tc>
          <w:tcPr>
            <w:tcW w:w="1138" w:type="dxa"/>
            <w:tcBorders>
              <w:top w:val="nil"/>
              <w:left w:val="nil"/>
              <w:bottom w:val="single" w:sz="4" w:space="0" w:color="auto"/>
              <w:right w:val="single" w:sz="4" w:space="0" w:color="auto"/>
            </w:tcBorders>
            <w:shd w:val="clear" w:color="auto" w:fill="auto"/>
            <w:vAlign w:val="bottom"/>
            <w:hideMark/>
          </w:tcPr>
          <w:p w14:paraId="690D0163"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0,002</w:t>
            </w:r>
          </w:p>
        </w:tc>
        <w:tc>
          <w:tcPr>
            <w:tcW w:w="2552" w:type="dxa"/>
            <w:tcBorders>
              <w:top w:val="nil"/>
              <w:left w:val="nil"/>
              <w:bottom w:val="single" w:sz="4" w:space="0" w:color="auto"/>
              <w:right w:val="single" w:sz="4" w:space="0" w:color="auto"/>
            </w:tcBorders>
            <w:shd w:val="clear" w:color="auto" w:fill="auto"/>
            <w:noWrap/>
            <w:vAlign w:val="bottom"/>
            <w:hideMark/>
          </w:tcPr>
          <w:p w14:paraId="32FB2F46"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0,003</w:t>
            </w:r>
          </w:p>
        </w:tc>
        <w:tc>
          <w:tcPr>
            <w:tcW w:w="1217" w:type="dxa"/>
            <w:tcBorders>
              <w:top w:val="nil"/>
              <w:left w:val="nil"/>
              <w:bottom w:val="single" w:sz="4" w:space="0" w:color="auto"/>
              <w:right w:val="single" w:sz="4" w:space="0" w:color="auto"/>
            </w:tcBorders>
            <w:shd w:val="clear" w:color="auto" w:fill="auto"/>
            <w:noWrap/>
            <w:vAlign w:val="bottom"/>
            <w:hideMark/>
          </w:tcPr>
          <w:p w14:paraId="69515104"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83</w:t>
            </w:r>
          </w:p>
        </w:tc>
        <w:tc>
          <w:tcPr>
            <w:tcW w:w="1213" w:type="dxa"/>
            <w:tcBorders>
              <w:top w:val="nil"/>
              <w:left w:val="nil"/>
              <w:bottom w:val="single" w:sz="4" w:space="0" w:color="auto"/>
              <w:right w:val="single" w:sz="4" w:space="0" w:color="auto"/>
            </w:tcBorders>
            <w:shd w:val="clear" w:color="auto" w:fill="auto"/>
            <w:noWrap/>
            <w:vAlign w:val="bottom"/>
            <w:hideMark/>
          </w:tcPr>
          <w:p w14:paraId="6F9DF652"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88</w:t>
            </w:r>
          </w:p>
        </w:tc>
        <w:tc>
          <w:tcPr>
            <w:tcW w:w="1260" w:type="dxa"/>
            <w:tcBorders>
              <w:top w:val="nil"/>
              <w:left w:val="nil"/>
              <w:bottom w:val="single" w:sz="4" w:space="0" w:color="auto"/>
              <w:right w:val="single" w:sz="4" w:space="0" w:color="auto"/>
            </w:tcBorders>
            <w:shd w:val="clear" w:color="auto" w:fill="auto"/>
            <w:noWrap/>
            <w:vAlign w:val="bottom"/>
            <w:hideMark/>
          </w:tcPr>
          <w:p w14:paraId="19FF88E6"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171</w:t>
            </w:r>
          </w:p>
        </w:tc>
      </w:tr>
      <w:tr w:rsidR="00E12D19" w:rsidRPr="00065280" w14:paraId="3913BAE2"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6F250AF"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Tonga</w:t>
            </w:r>
          </w:p>
        </w:tc>
        <w:tc>
          <w:tcPr>
            <w:tcW w:w="1138" w:type="dxa"/>
            <w:tcBorders>
              <w:top w:val="nil"/>
              <w:left w:val="nil"/>
              <w:bottom w:val="single" w:sz="4" w:space="0" w:color="auto"/>
              <w:right w:val="single" w:sz="4" w:space="0" w:color="auto"/>
            </w:tcBorders>
            <w:shd w:val="clear" w:color="auto" w:fill="auto"/>
            <w:vAlign w:val="bottom"/>
            <w:hideMark/>
          </w:tcPr>
          <w:p w14:paraId="190DEF91"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46AC44AC"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59D360C3"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1D33F05C"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6C98B2E4"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86</w:t>
            </w:r>
          </w:p>
        </w:tc>
      </w:tr>
      <w:tr w:rsidR="00E12D19" w:rsidRPr="00065280" w14:paraId="1518E15C"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4F532DD"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Trinidad y Tobago</w:t>
            </w:r>
          </w:p>
        </w:tc>
        <w:tc>
          <w:tcPr>
            <w:tcW w:w="1138" w:type="dxa"/>
            <w:tcBorders>
              <w:top w:val="nil"/>
              <w:left w:val="nil"/>
              <w:bottom w:val="single" w:sz="4" w:space="0" w:color="auto"/>
              <w:right w:val="single" w:sz="4" w:space="0" w:color="auto"/>
            </w:tcBorders>
            <w:shd w:val="clear" w:color="auto" w:fill="auto"/>
            <w:vAlign w:val="bottom"/>
            <w:hideMark/>
          </w:tcPr>
          <w:p w14:paraId="0DAD1C0F"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0,037</w:t>
            </w:r>
          </w:p>
        </w:tc>
        <w:tc>
          <w:tcPr>
            <w:tcW w:w="2552" w:type="dxa"/>
            <w:tcBorders>
              <w:top w:val="nil"/>
              <w:left w:val="nil"/>
              <w:bottom w:val="single" w:sz="4" w:space="0" w:color="auto"/>
              <w:right w:val="single" w:sz="4" w:space="0" w:color="auto"/>
            </w:tcBorders>
            <w:shd w:val="clear" w:color="auto" w:fill="auto"/>
            <w:noWrap/>
            <w:vAlign w:val="bottom"/>
            <w:hideMark/>
          </w:tcPr>
          <w:p w14:paraId="451A21C6"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0,052</w:t>
            </w:r>
          </w:p>
        </w:tc>
        <w:tc>
          <w:tcPr>
            <w:tcW w:w="1217" w:type="dxa"/>
            <w:tcBorders>
              <w:top w:val="nil"/>
              <w:left w:val="nil"/>
              <w:bottom w:val="single" w:sz="4" w:space="0" w:color="auto"/>
              <w:right w:val="single" w:sz="4" w:space="0" w:color="auto"/>
            </w:tcBorders>
            <w:shd w:val="clear" w:color="auto" w:fill="auto"/>
            <w:noWrap/>
            <w:vAlign w:val="bottom"/>
            <w:hideMark/>
          </w:tcPr>
          <w:p w14:paraId="168E76DC"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1 532</w:t>
            </w:r>
          </w:p>
        </w:tc>
        <w:tc>
          <w:tcPr>
            <w:tcW w:w="1213" w:type="dxa"/>
            <w:tcBorders>
              <w:top w:val="nil"/>
              <w:left w:val="nil"/>
              <w:bottom w:val="single" w:sz="4" w:space="0" w:color="auto"/>
              <w:right w:val="single" w:sz="4" w:space="0" w:color="auto"/>
            </w:tcBorders>
            <w:shd w:val="clear" w:color="auto" w:fill="auto"/>
            <w:noWrap/>
            <w:vAlign w:val="bottom"/>
            <w:hideMark/>
          </w:tcPr>
          <w:p w14:paraId="727285CC"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1 637</w:t>
            </w:r>
          </w:p>
        </w:tc>
        <w:tc>
          <w:tcPr>
            <w:tcW w:w="1260" w:type="dxa"/>
            <w:tcBorders>
              <w:top w:val="nil"/>
              <w:left w:val="nil"/>
              <w:bottom w:val="single" w:sz="4" w:space="0" w:color="auto"/>
              <w:right w:val="single" w:sz="4" w:space="0" w:color="auto"/>
            </w:tcBorders>
            <w:shd w:val="clear" w:color="auto" w:fill="auto"/>
            <w:noWrap/>
            <w:vAlign w:val="bottom"/>
            <w:hideMark/>
          </w:tcPr>
          <w:p w14:paraId="2E83E5F0"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3 169</w:t>
            </w:r>
          </w:p>
        </w:tc>
      </w:tr>
      <w:tr w:rsidR="00E12D19" w:rsidRPr="00065280" w14:paraId="1F0BD5E1"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68A5099"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Túnez</w:t>
            </w:r>
          </w:p>
        </w:tc>
        <w:tc>
          <w:tcPr>
            <w:tcW w:w="1138" w:type="dxa"/>
            <w:tcBorders>
              <w:top w:val="nil"/>
              <w:left w:val="nil"/>
              <w:bottom w:val="single" w:sz="4" w:space="0" w:color="auto"/>
              <w:right w:val="single" w:sz="4" w:space="0" w:color="auto"/>
            </w:tcBorders>
            <w:shd w:val="clear" w:color="auto" w:fill="auto"/>
            <w:vAlign w:val="bottom"/>
            <w:hideMark/>
          </w:tcPr>
          <w:p w14:paraId="3342F70B"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0,019</w:t>
            </w:r>
          </w:p>
        </w:tc>
        <w:tc>
          <w:tcPr>
            <w:tcW w:w="2552" w:type="dxa"/>
            <w:tcBorders>
              <w:top w:val="nil"/>
              <w:left w:val="nil"/>
              <w:bottom w:val="single" w:sz="4" w:space="0" w:color="auto"/>
              <w:right w:val="single" w:sz="4" w:space="0" w:color="auto"/>
            </w:tcBorders>
            <w:shd w:val="clear" w:color="auto" w:fill="auto"/>
            <w:noWrap/>
            <w:vAlign w:val="bottom"/>
            <w:hideMark/>
          </w:tcPr>
          <w:p w14:paraId="2B0C2568"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0,027</w:t>
            </w:r>
          </w:p>
        </w:tc>
        <w:tc>
          <w:tcPr>
            <w:tcW w:w="1217" w:type="dxa"/>
            <w:tcBorders>
              <w:top w:val="nil"/>
              <w:left w:val="nil"/>
              <w:bottom w:val="single" w:sz="4" w:space="0" w:color="auto"/>
              <w:right w:val="single" w:sz="4" w:space="0" w:color="auto"/>
            </w:tcBorders>
            <w:shd w:val="clear" w:color="auto" w:fill="auto"/>
            <w:noWrap/>
            <w:vAlign w:val="bottom"/>
            <w:hideMark/>
          </w:tcPr>
          <w:p w14:paraId="0C03DA68"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787</w:t>
            </w:r>
          </w:p>
        </w:tc>
        <w:tc>
          <w:tcPr>
            <w:tcW w:w="1213" w:type="dxa"/>
            <w:tcBorders>
              <w:top w:val="nil"/>
              <w:left w:val="nil"/>
              <w:bottom w:val="single" w:sz="4" w:space="0" w:color="auto"/>
              <w:right w:val="single" w:sz="4" w:space="0" w:color="auto"/>
            </w:tcBorders>
            <w:shd w:val="clear" w:color="auto" w:fill="auto"/>
            <w:noWrap/>
            <w:vAlign w:val="bottom"/>
            <w:hideMark/>
          </w:tcPr>
          <w:p w14:paraId="0ADE702C"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841</w:t>
            </w:r>
          </w:p>
        </w:tc>
        <w:tc>
          <w:tcPr>
            <w:tcW w:w="1260" w:type="dxa"/>
            <w:tcBorders>
              <w:top w:val="nil"/>
              <w:left w:val="nil"/>
              <w:bottom w:val="single" w:sz="4" w:space="0" w:color="auto"/>
              <w:right w:val="single" w:sz="4" w:space="0" w:color="auto"/>
            </w:tcBorders>
            <w:shd w:val="clear" w:color="auto" w:fill="auto"/>
            <w:noWrap/>
            <w:vAlign w:val="bottom"/>
            <w:hideMark/>
          </w:tcPr>
          <w:p w14:paraId="1281F7CB"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1 627</w:t>
            </w:r>
          </w:p>
        </w:tc>
      </w:tr>
      <w:tr w:rsidR="00E12D19" w:rsidRPr="00065280" w14:paraId="387CC74E"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418D5E2"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Türkiye</w:t>
            </w:r>
          </w:p>
        </w:tc>
        <w:tc>
          <w:tcPr>
            <w:tcW w:w="1138" w:type="dxa"/>
            <w:tcBorders>
              <w:top w:val="nil"/>
              <w:left w:val="nil"/>
              <w:bottom w:val="single" w:sz="4" w:space="0" w:color="auto"/>
              <w:right w:val="single" w:sz="4" w:space="0" w:color="auto"/>
            </w:tcBorders>
            <w:shd w:val="clear" w:color="auto" w:fill="auto"/>
            <w:vAlign w:val="bottom"/>
            <w:hideMark/>
          </w:tcPr>
          <w:p w14:paraId="67D1FAF8"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0,845</w:t>
            </w:r>
          </w:p>
        </w:tc>
        <w:tc>
          <w:tcPr>
            <w:tcW w:w="2552" w:type="dxa"/>
            <w:tcBorders>
              <w:top w:val="nil"/>
              <w:left w:val="nil"/>
              <w:bottom w:val="single" w:sz="4" w:space="0" w:color="auto"/>
              <w:right w:val="single" w:sz="4" w:space="0" w:color="auto"/>
            </w:tcBorders>
            <w:shd w:val="clear" w:color="auto" w:fill="auto"/>
            <w:noWrap/>
            <w:vAlign w:val="bottom"/>
            <w:hideMark/>
          </w:tcPr>
          <w:p w14:paraId="7D95DAF3"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1,193</w:t>
            </w:r>
          </w:p>
        </w:tc>
        <w:tc>
          <w:tcPr>
            <w:tcW w:w="1217" w:type="dxa"/>
            <w:tcBorders>
              <w:top w:val="nil"/>
              <w:left w:val="nil"/>
              <w:bottom w:val="single" w:sz="4" w:space="0" w:color="auto"/>
              <w:right w:val="single" w:sz="4" w:space="0" w:color="auto"/>
            </w:tcBorders>
            <w:shd w:val="clear" w:color="auto" w:fill="auto"/>
            <w:noWrap/>
            <w:vAlign w:val="bottom"/>
            <w:hideMark/>
          </w:tcPr>
          <w:p w14:paraId="78FD9AD4"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34 989</w:t>
            </w:r>
          </w:p>
        </w:tc>
        <w:tc>
          <w:tcPr>
            <w:tcW w:w="1213" w:type="dxa"/>
            <w:tcBorders>
              <w:top w:val="nil"/>
              <w:left w:val="nil"/>
              <w:bottom w:val="single" w:sz="4" w:space="0" w:color="auto"/>
              <w:right w:val="single" w:sz="4" w:space="0" w:color="auto"/>
            </w:tcBorders>
            <w:shd w:val="clear" w:color="auto" w:fill="auto"/>
            <w:noWrap/>
            <w:vAlign w:val="bottom"/>
            <w:hideMark/>
          </w:tcPr>
          <w:p w14:paraId="3429AF47"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37 383</w:t>
            </w:r>
          </w:p>
        </w:tc>
        <w:tc>
          <w:tcPr>
            <w:tcW w:w="1260" w:type="dxa"/>
            <w:tcBorders>
              <w:top w:val="nil"/>
              <w:left w:val="nil"/>
              <w:bottom w:val="single" w:sz="4" w:space="0" w:color="auto"/>
              <w:right w:val="single" w:sz="4" w:space="0" w:color="auto"/>
            </w:tcBorders>
            <w:shd w:val="clear" w:color="auto" w:fill="auto"/>
            <w:noWrap/>
            <w:vAlign w:val="bottom"/>
            <w:hideMark/>
          </w:tcPr>
          <w:p w14:paraId="3E35FECD"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72 372</w:t>
            </w:r>
          </w:p>
        </w:tc>
      </w:tr>
      <w:tr w:rsidR="00E12D19" w:rsidRPr="00065280" w14:paraId="6C084692"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5F6C418"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Turkmenistán</w:t>
            </w:r>
          </w:p>
        </w:tc>
        <w:tc>
          <w:tcPr>
            <w:tcW w:w="1138" w:type="dxa"/>
            <w:tcBorders>
              <w:top w:val="nil"/>
              <w:left w:val="nil"/>
              <w:bottom w:val="single" w:sz="4" w:space="0" w:color="auto"/>
              <w:right w:val="single" w:sz="4" w:space="0" w:color="auto"/>
            </w:tcBorders>
            <w:shd w:val="clear" w:color="auto" w:fill="auto"/>
            <w:vAlign w:val="bottom"/>
            <w:hideMark/>
          </w:tcPr>
          <w:p w14:paraId="06CD8E82"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0,034</w:t>
            </w:r>
          </w:p>
        </w:tc>
        <w:tc>
          <w:tcPr>
            <w:tcW w:w="2552" w:type="dxa"/>
            <w:tcBorders>
              <w:top w:val="nil"/>
              <w:left w:val="nil"/>
              <w:bottom w:val="single" w:sz="4" w:space="0" w:color="auto"/>
              <w:right w:val="single" w:sz="4" w:space="0" w:color="auto"/>
            </w:tcBorders>
            <w:shd w:val="clear" w:color="auto" w:fill="auto"/>
            <w:noWrap/>
            <w:vAlign w:val="bottom"/>
            <w:hideMark/>
          </w:tcPr>
          <w:p w14:paraId="16E0D723"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0,048</w:t>
            </w:r>
          </w:p>
        </w:tc>
        <w:tc>
          <w:tcPr>
            <w:tcW w:w="1217" w:type="dxa"/>
            <w:tcBorders>
              <w:top w:val="nil"/>
              <w:left w:val="nil"/>
              <w:bottom w:val="single" w:sz="4" w:space="0" w:color="auto"/>
              <w:right w:val="single" w:sz="4" w:space="0" w:color="auto"/>
            </w:tcBorders>
            <w:shd w:val="clear" w:color="auto" w:fill="auto"/>
            <w:noWrap/>
            <w:vAlign w:val="bottom"/>
            <w:hideMark/>
          </w:tcPr>
          <w:p w14:paraId="4AAA1F3F"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1 408</w:t>
            </w:r>
          </w:p>
        </w:tc>
        <w:tc>
          <w:tcPr>
            <w:tcW w:w="1213" w:type="dxa"/>
            <w:tcBorders>
              <w:top w:val="nil"/>
              <w:left w:val="nil"/>
              <w:bottom w:val="single" w:sz="4" w:space="0" w:color="auto"/>
              <w:right w:val="single" w:sz="4" w:space="0" w:color="auto"/>
            </w:tcBorders>
            <w:shd w:val="clear" w:color="auto" w:fill="auto"/>
            <w:noWrap/>
            <w:vAlign w:val="bottom"/>
            <w:hideMark/>
          </w:tcPr>
          <w:p w14:paraId="7B7DA34D"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1 504</w:t>
            </w:r>
          </w:p>
        </w:tc>
        <w:tc>
          <w:tcPr>
            <w:tcW w:w="1260" w:type="dxa"/>
            <w:tcBorders>
              <w:top w:val="nil"/>
              <w:left w:val="nil"/>
              <w:bottom w:val="single" w:sz="4" w:space="0" w:color="auto"/>
              <w:right w:val="single" w:sz="4" w:space="0" w:color="auto"/>
            </w:tcBorders>
            <w:shd w:val="clear" w:color="auto" w:fill="auto"/>
            <w:noWrap/>
            <w:vAlign w:val="bottom"/>
            <w:hideMark/>
          </w:tcPr>
          <w:p w14:paraId="1DEEC500"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2 912</w:t>
            </w:r>
          </w:p>
        </w:tc>
      </w:tr>
      <w:tr w:rsidR="00E12D19" w:rsidRPr="00065280" w14:paraId="3F8C2AD6"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14884A60"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Ucrania</w:t>
            </w:r>
          </w:p>
        </w:tc>
        <w:tc>
          <w:tcPr>
            <w:tcW w:w="1138" w:type="dxa"/>
            <w:tcBorders>
              <w:top w:val="nil"/>
              <w:left w:val="nil"/>
              <w:bottom w:val="single" w:sz="4" w:space="0" w:color="auto"/>
              <w:right w:val="single" w:sz="4" w:space="0" w:color="auto"/>
            </w:tcBorders>
            <w:shd w:val="clear" w:color="auto" w:fill="auto"/>
            <w:vAlign w:val="bottom"/>
          </w:tcPr>
          <w:p w14:paraId="4B99F7C0"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0,056</w:t>
            </w:r>
          </w:p>
        </w:tc>
        <w:tc>
          <w:tcPr>
            <w:tcW w:w="2552" w:type="dxa"/>
            <w:tcBorders>
              <w:top w:val="nil"/>
              <w:left w:val="nil"/>
              <w:bottom w:val="single" w:sz="4" w:space="0" w:color="auto"/>
              <w:right w:val="single" w:sz="4" w:space="0" w:color="auto"/>
            </w:tcBorders>
            <w:shd w:val="clear" w:color="auto" w:fill="auto"/>
            <w:noWrap/>
            <w:vAlign w:val="bottom"/>
          </w:tcPr>
          <w:p w14:paraId="6CC26766"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0,079</w:t>
            </w:r>
          </w:p>
        </w:tc>
        <w:tc>
          <w:tcPr>
            <w:tcW w:w="1217" w:type="dxa"/>
            <w:tcBorders>
              <w:top w:val="nil"/>
              <w:left w:val="nil"/>
              <w:bottom w:val="single" w:sz="4" w:space="0" w:color="auto"/>
              <w:right w:val="single" w:sz="4" w:space="0" w:color="auto"/>
            </w:tcBorders>
            <w:shd w:val="clear" w:color="auto" w:fill="auto"/>
            <w:noWrap/>
            <w:vAlign w:val="bottom"/>
          </w:tcPr>
          <w:p w14:paraId="7905AE69"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2 319</w:t>
            </w:r>
          </w:p>
        </w:tc>
        <w:tc>
          <w:tcPr>
            <w:tcW w:w="1213" w:type="dxa"/>
            <w:tcBorders>
              <w:top w:val="nil"/>
              <w:left w:val="nil"/>
              <w:bottom w:val="single" w:sz="4" w:space="0" w:color="auto"/>
              <w:right w:val="single" w:sz="4" w:space="0" w:color="auto"/>
            </w:tcBorders>
            <w:shd w:val="clear" w:color="auto" w:fill="auto"/>
            <w:noWrap/>
            <w:vAlign w:val="bottom"/>
          </w:tcPr>
          <w:p w14:paraId="6A00E3CF"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2 477</w:t>
            </w:r>
          </w:p>
        </w:tc>
        <w:tc>
          <w:tcPr>
            <w:tcW w:w="1260" w:type="dxa"/>
            <w:tcBorders>
              <w:top w:val="nil"/>
              <w:left w:val="nil"/>
              <w:bottom w:val="single" w:sz="4" w:space="0" w:color="auto"/>
              <w:right w:val="single" w:sz="4" w:space="0" w:color="auto"/>
            </w:tcBorders>
            <w:shd w:val="clear" w:color="auto" w:fill="auto"/>
            <w:noWrap/>
            <w:vAlign w:val="bottom"/>
          </w:tcPr>
          <w:p w14:paraId="3F306B2B"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4 796</w:t>
            </w:r>
          </w:p>
        </w:tc>
      </w:tr>
      <w:tr w:rsidR="00E12D19" w:rsidRPr="00065280" w14:paraId="771A2270"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F5421E4"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Uganda</w:t>
            </w:r>
          </w:p>
        </w:tc>
        <w:tc>
          <w:tcPr>
            <w:tcW w:w="1138" w:type="dxa"/>
            <w:tcBorders>
              <w:top w:val="nil"/>
              <w:left w:val="nil"/>
              <w:bottom w:val="single" w:sz="4" w:space="0" w:color="auto"/>
              <w:right w:val="single" w:sz="4" w:space="0" w:color="auto"/>
            </w:tcBorders>
            <w:shd w:val="clear" w:color="auto" w:fill="auto"/>
            <w:vAlign w:val="bottom"/>
            <w:hideMark/>
          </w:tcPr>
          <w:p w14:paraId="59A512F9"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0,010</w:t>
            </w:r>
          </w:p>
        </w:tc>
        <w:tc>
          <w:tcPr>
            <w:tcW w:w="2552" w:type="dxa"/>
            <w:tcBorders>
              <w:top w:val="nil"/>
              <w:left w:val="nil"/>
              <w:bottom w:val="single" w:sz="4" w:space="0" w:color="auto"/>
              <w:right w:val="single" w:sz="4" w:space="0" w:color="auto"/>
            </w:tcBorders>
            <w:shd w:val="clear" w:color="auto" w:fill="auto"/>
            <w:noWrap/>
            <w:vAlign w:val="bottom"/>
            <w:hideMark/>
          </w:tcPr>
          <w:p w14:paraId="2CD5D112"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21C2679F"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3A0E0E90"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48516EF2"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607</w:t>
            </w:r>
          </w:p>
        </w:tc>
      </w:tr>
      <w:tr w:rsidR="00E12D19" w:rsidRPr="00065280" w14:paraId="7D7945FA"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40A80B70"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Unión Europea</w:t>
            </w:r>
          </w:p>
        </w:tc>
        <w:tc>
          <w:tcPr>
            <w:tcW w:w="1138" w:type="dxa"/>
            <w:tcBorders>
              <w:top w:val="nil"/>
              <w:left w:val="nil"/>
              <w:bottom w:val="single" w:sz="4" w:space="0" w:color="auto"/>
              <w:right w:val="single" w:sz="4" w:space="0" w:color="auto"/>
            </w:tcBorders>
            <w:shd w:val="clear" w:color="auto" w:fill="auto"/>
            <w:vAlign w:val="bottom"/>
          </w:tcPr>
          <w:p w14:paraId="09CB9F22" w14:textId="73D57A4D" w:rsidR="00E12D19" w:rsidRPr="00065280" w:rsidRDefault="00982806" w:rsidP="00E824E6">
            <w:pPr>
              <w:jc w:val="right"/>
              <w:rPr>
                <w:rFonts w:eastAsia="Times New Roman"/>
                <w:color w:val="000000" w:themeColor="text1"/>
                <w:sz w:val="18"/>
                <w:szCs w:val="18"/>
                <w:lang w:val="es-419" w:eastAsia="en-CA"/>
              </w:rPr>
            </w:pPr>
            <w:r>
              <w:rPr>
                <w:rFonts w:eastAsia="Times New Roman"/>
                <w:color w:val="000000" w:themeColor="text1"/>
                <w:sz w:val="18"/>
                <w:szCs w:val="18"/>
                <w:lang w:val="es-419" w:eastAsia="en-CA"/>
              </w:rPr>
              <w:t>-</w:t>
            </w:r>
          </w:p>
        </w:tc>
        <w:tc>
          <w:tcPr>
            <w:tcW w:w="2552" w:type="dxa"/>
            <w:tcBorders>
              <w:top w:val="nil"/>
              <w:left w:val="nil"/>
              <w:bottom w:val="single" w:sz="4" w:space="0" w:color="auto"/>
              <w:right w:val="single" w:sz="4" w:space="0" w:color="auto"/>
            </w:tcBorders>
            <w:shd w:val="clear" w:color="auto" w:fill="auto"/>
            <w:noWrap/>
            <w:vAlign w:val="bottom"/>
          </w:tcPr>
          <w:p w14:paraId="63A48DDA"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2,500</w:t>
            </w:r>
          </w:p>
        </w:tc>
        <w:tc>
          <w:tcPr>
            <w:tcW w:w="1217" w:type="dxa"/>
            <w:tcBorders>
              <w:top w:val="nil"/>
              <w:left w:val="nil"/>
              <w:bottom w:val="single" w:sz="4" w:space="0" w:color="auto"/>
              <w:right w:val="single" w:sz="4" w:space="0" w:color="auto"/>
            </w:tcBorders>
            <w:shd w:val="clear" w:color="auto" w:fill="auto"/>
            <w:noWrap/>
            <w:vAlign w:val="bottom"/>
          </w:tcPr>
          <w:p w14:paraId="3AE2CE5F"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73 326</w:t>
            </w:r>
          </w:p>
        </w:tc>
        <w:tc>
          <w:tcPr>
            <w:tcW w:w="1213" w:type="dxa"/>
            <w:tcBorders>
              <w:top w:val="nil"/>
              <w:left w:val="nil"/>
              <w:bottom w:val="single" w:sz="4" w:space="0" w:color="auto"/>
              <w:right w:val="single" w:sz="4" w:space="0" w:color="auto"/>
            </w:tcBorders>
            <w:shd w:val="clear" w:color="auto" w:fill="auto"/>
            <w:noWrap/>
            <w:vAlign w:val="bottom"/>
          </w:tcPr>
          <w:p w14:paraId="2A13D4C0"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78 344</w:t>
            </w:r>
          </w:p>
        </w:tc>
        <w:tc>
          <w:tcPr>
            <w:tcW w:w="1260" w:type="dxa"/>
            <w:tcBorders>
              <w:top w:val="nil"/>
              <w:left w:val="nil"/>
              <w:bottom w:val="single" w:sz="4" w:space="0" w:color="auto"/>
              <w:right w:val="single" w:sz="4" w:space="0" w:color="auto"/>
            </w:tcBorders>
            <w:shd w:val="clear" w:color="auto" w:fill="auto"/>
            <w:noWrap/>
            <w:vAlign w:val="bottom"/>
          </w:tcPr>
          <w:p w14:paraId="55D5931B"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151 670</w:t>
            </w:r>
          </w:p>
        </w:tc>
      </w:tr>
      <w:tr w:rsidR="00E12D19" w:rsidRPr="00065280" w14:paraId="2C839584"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07E797D"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Uruguay</w:t>
            </w:r>
          </w:p>
        </w:tc>
        <w:tc>
          <w:tcPr>
            <w:tcW w:w="1138" w:type="dxa"/>
            <w:tcBorders>
              <w:top w:val="nil"/>
              <w:left w:val="nil"/>
              <w:bottom w:val="single" w:sz="4" w:space="0" w:color="auto"/>
              <w:right w:val="single" w:sz="4" w:space="0" w:color="auto"/>
            </w:tcBorders>
            <w:shd w:val="clear" w:color="auto" w:fill="auto"/>
            <w:vAlign w:val="bottom"/>
            <w:hideMark/>
          </w:tcPr>
          <w:p w14:paraId="7F077903"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0,092</w:t>
            </w:r>
          </w:p>
        </w:tc>
        <w:tc>
          <w:tcPr>
            <w:tcW w:w="2552" w:type="dxa"/>
            <w:tcBorders>
              <w:top w:val="nil"/>
              <w:left w:val="nil"/>
              <w:bottom w:val="single" w:sz="4" w:space="0" w:color="auto"/>
              <w:right w:val="single" w:sz="4" w:space="0" w:color="auto"/>
            </w:tcBorders>
            <w:shd w:val="clear" w:color="auto" w:fill="auto"/>
            <w:noWrap/>
            <w:vAlign w:val="bottom"/>
            <w:hideMark/>
          </w:tcPr>
          <w:p w14:paraId="5CBA68AA"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0,130</w:t>
            </w:r>
          </w:p>
        </w:tc>
        <w:tc>
          <w:tcPr>
            <w:tcW w:w="1217" w:type="dxa"/>
            <w:tcBorders>
              <w:top w:val="nil"/>
              <w:left w:val="nil"/>
              <w:bottom w:val="single" w:sz="4" w:space="0" w:color="auto"/>
              <w:right w:val="single" w:sz="4" w:space="0" w:color="auto"/>
            </w:tcBorders>
            <w:shd w:val="clear" w:color="auto" w:fill="auto"/>
            <w:noWrap/>
            <w:vAlign w:val="bottom"/>
            <w:hideMark/>
          </w:tcPr>
          <w:p w14:paraId="764E3645"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3 809</w:t>
            </w:r>
          </w:p>
        </w:tc>
        <w:tc>
          <w:tcPr>
            <w:tcW w:w="1213" w:type="dxa"/>
            <w:tcBorders>
              <w:top w:val="nil"/>
              <w:left w:val="nil"/>
              <w:bottom w:val="single" w:sz="4" w:space="0" w:color="auto"/>
              <w:right w:val="single" w:sz="4" w:space="0" w:color="auto"/>
            </w:tcBorders>
            <w:shd w:val="clear" w:color="auto" w:fill="auto"/>
            <w:noWrap/>
            <w:vAlign w:val="bottom"/>
            <w:hideMark/>
          </w:tcPr>
          <w:p w14:paraId="3184E037"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4 070</w:t>
            </w:r>
          </w:p>
        </w:tc>
        <w:tc>
          <w:tcPr>
            <w:tcW w:w="1260" w:type="dxa"/>
            <w:tcBorders>
              <w:top w:val="nil"/>
              <w:left w:val="nil"/>
              <w:bottom w:val="single" w:sz="4" w:space="0" w:color="auto"/>
              <w:right w:val="single" w:sz="4" w:space="0" w:color="auto"/>
            </w:tcBorders>
            <w:shd w:val="clear" w:color="auto" w:fill="auto"/>
            <w:noWrap/>
            <w:vAlign w:val="bottom"/>
            <w:hideMark/>
          </w:tcPr>
          <w:p w14:paraId="519A6E3A"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7 880</w:t>
            </w:r>
          </w:p>
        </w:tc>
      </w:tr>
      <w:tr w:rsidR="00E12D19" w:rsidRPr="00065280" w14:paraId="7CD8695F"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F0BB8C0"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Uzbekistán</w:t>
            </w:r>
          </w:p>
        </w:tc>
        <w:tc>
          <w:tcPr>
            <w:tcW w:w="1138" w:type="dxa"/>
            <w:tcBorders>
              <w:top w:val="nil"/>
              <w:left w:val="nil"/>
              <w:bottom w:val="single" w:sz="4" w:space="0" w:color="auto"/>
              <w:right w:val="single" w:sz="4" w:space="0" w:color="auto"/>
            </w:tcBorders>
            <w:shd w:val="clear" w:color="auto" w:fill="auto"/>
            <w:vAlign w:val="bottom"/>
            <w:hideMark/>
          </w:tcPr>
          <w:p w14:paraId="0FBB88C0"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0,027</w:t>
            </w:r>
          </w:p>
        </w:tc>
        <w:tc>
          <w:tcPr>
            <w:tcW w:w="2552" w:type="dxa"/>
            <w:tcBorders>
              <w:top w:val="nil"/>
              <w:left w:val="nil"/>
              <w:bottom w:val="single" w:sz="4" w:space="0" w:color="auto"/>
              <w:right w:val="single" w:sz="4" w:space="0" w:color="auto"/>
            </w:tcBorders>
            <w:shd w:val="clear" w:color="auto" w:fill="auto"/>
            <w:noWrap/>
            <w:vAlign w:val="bottom"/>
            <w:hideMark/>
          </w:tcPr>
          <w:p w14:paraId="2879EFEA"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0,038</w:t>
            </w:r>
          </w:p>
        </w:tc>
        <w:tc>
          <w:tcPr>
            <w:tcW w:w="1217" w:type="dxa"/>
            <w:tcBorders>
              <w:top w:val="nil"/>
              <w:left w:val="nil"/>
              <w:bottom w:val="single" w:sz="4" w:space="0" w:color="auto"/>
              <w:right w:val="single" w:sz="4" w:space="0" w:color="auto"/>
            </w:tcBorders>
            <w:shd w:val="clear" w:color="auto" w:fill="auto"/>
            <w:noWrap/>
            <w:vAlign w:val="bottom"/>
            <w:hideMark/>
          </w:tcPr>
          <w:p w14:paraId="68F5A664"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1 118</w:t>
            </w:r>
          </w:p>
        </w:tc>
        <w:tc>
          <w:tcPr>
            <w:tcW w:w="1213" w:type="dxa"/>
            <w:tcBorders>
              <w:top w:val="nil"/>
              <w:left w:val="nil"/>
              <w:bottom w:val="single" w:sz="4" w:space="0" w:color="auto"/>
              <w:right w:val="single" w:sz="4" w:space="0" w:color="auto"/>
            </w:tcBorders>
            <w:shd w:val="clear" w:color="auto" w:fill="auto"/>
            <w:noWrap/>
            <w:vAlign w:val="bottom"/>
            <w:hideMark/>
          </w:tcPr>
          <w:p w14:paraId="32FD47FC"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1 194</w:t>
            </w:r>
          </w:p>
        </w:tc>
        <w:tc>
          <w:tcPr>
            <w:tcW w:w="1260" w:type="dxa"/>
            <w:tcBorders>
              <w:top w:val="nil"/>
              <w:left w:val="nil"/>
              <w:bottom w:val="single" w:sz="4" w:space="0" w:color="auto"/>
              <w:right w:val="single" w:sz="4" w:space="0" w:color="auto"/>
            </w:tcBorders>
            <w:shd w:val="clear" w:color="auto" w:fill="auto"/>
            <w:noWrap/>
            <w:vAlign w:val="bottom"/>
            <w:hideMark/>
          </w:tcPr>
          <w:p w14:paraId="39BF597A"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2 312</w:t>
            </w:r>
          </w:p>
        </w:tc>
      </w:tr>
      <w:tr w:rsidR="00E12D19" w:rsidRPr="00065280" w14:paraId="277FD6BC" w14:textId="77777777" w:rsidTr="00E824E6">
        <w:trPr>
          <w:trHeight w:val="456"/>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54F495E" w14:textId="77777777" w:rsidR="00E12D19" w:rsidRPr="00065280" w:rsidRDefault="00E12D19" w:rsidP="00E824E6">
            <w:pPr>
              <w:tabs>
                <w:tab w:val="clear" w:pos="567"/>
                <w:tab w:val="left" w:pos="178"/>
                <w:tab w:val="left" w:pos="2835"/>
                <w:tab w:val="left" w:pos="3402"/>
              </w:tabs>
              <w:ind w:left="144" w:hanging="144"/>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Venezuela (República Bolivariana de)</w:t>
            </w:r>
          </w:p>
        </w:tc>
        <w:tc>
          <w:tcPr>
            <w:tcW w:w="1138" w:type="dxa"/>
            <w:tcBorders>
              <w:top w:val="nil"/>
              <w:left w:val="nil"/>
              <w:bottom w:val="single" w:sz="4" w:space="0" w:color="auto"/>
              <w:right w:val="single" w:sz="4" w:space="0" w:color="auto"/>
            </w:tcBorders>
            <w:shd w:val="clear" w:color="auto" w:fill="auto"/>
            <w:vAlign w:val="bottom"/>
            <w:hideMark/>
          </w:tcPr>
          <w:p w14:paraId="1DBE4556"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0,175</w:t>
            </w:r>
          </w:p>
        </w:tc>
        <w:tc>
          <w:tcPr>
            <w:tcW w:w="2552" w:type="dxa"/>
            <w:tcBorders>
              <w:top w:val="nil"/>
              <w:left w:val="nil"/>
              <w:bottom w:val="single" w:sz="4" w:space="0" w:color="auto"/>
              <w:right w:val="single" w:sz="4" w:space="0" w:color="auto"/>
            </w:tcBorders>
            <w:shd w:val="clear" w:color="auto" w:fill="auto"/>
            <w:noWrap/>
            <w:vAlign w:val="bottom"/>
            <w:hideMark/>
          </w:tcPr>
          <w:p w14:paraId="2776B1D6"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0,247</w:t>
            </w:r>
          </w:p>
        </w:tc>
        <w:tc>
          <w:tcPr>
            <w:tcW w:w="1217" w:type="dxa"/>
            <w:tcBorders>
              <w:top w:val="nil"/>
              <w:left w:val="nil"/>
              <w:bottom w:val="single" w:sz="4" w:space="0" w:color="auto"/>
              <w:right w:val="single" w:sz="4" w:space="0" w:color="auto"/>
            </w:tcBorders>
            <w:shd w:val="clear" w:color="auto" w:fill="auto"/>
            <w:noWrap/>
            <w:vAlign w:val="bottom"/>
            <w:hideMark/>
          </w:tcPr>
          <w:p w14:paraId="0F911E0F"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7 246</w:t>
            </w:r>
          </w:p>
        </w:tc>
        <w:tc>
          <w:tcPr>
            <w:tcW w:w="1213" w:type="dxa"/>
            <w:tcBorders>
              <w:top w:val="nil"/>
              <w:left w:val="nil"/>
              <w:bottom w:val="single" w:sz="4" w:space="0" w:color="auto"/>
              <w:right w:val="single" w:sz="4" w:space="0" w:color="auto"/>
            </w:tcBorders>
            <w:shd w:val="clear" w:color="auto" w:fill="auto"/>
            <w:noWrap/>
            <w:vAlign w:val="bottom"/>
            <w:hideMark/>
          </w:tcPr>
          <w:p w14:paraId="4D3AEB95"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7 742</w:t>
            </w:r>
          </w:p>
        </w:tc>
        <w:tc>
          <w:tcPr>
            <w:tcW w:w="1260" w:type="dxa"/>
            <w:tcBorders>
              <w:top w:val="nil"/>
              <w:left w:val="nil"/>
              <w:bottom w:val="single" w:sz="4" w:space="0" w:color="auto"/>
              <w:right w:val="single" w:sz="4" w:space="0" w:color="auto"/>
            </w:tcBorders>
            <w:shd w:val="clear" w:color="auto" w:fill="auto"/>
            <w:noWrap/>
            <w:vAlign w:val="bottom"/>
            <w:hideMark/>
          </w:tcPr>
          <w:p w14:paraId="686C8D91"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14 988</w:t>
            </w:r>
          </w:p>
        </w:tc>
      </w:tr>
      <w:tr w:rsidR="00E12D19" w:rsidRPr="00065280" w14:paraId="7E5FDAC6"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E5DA2B7"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Viet Nam</w:t>
            </w:r>
          </w:p>
        </w:tc>
        <w:tc>
          <w:tcPr>
            <w:tcW w:w="1138" w:type="dxa"/>
            <w:tcBorders>
              <w:top w:val="nil"/>
              <w:left w:val="nil"/>
              <w:bottom w:val="single" w:sz="4" w:space="0" w:color="auto"/>
              <w:right w:val="single" w:sz="4" w:space="0" w:color="auto"/>
            </w:tcBorders>
            <w:shd w:val="clear" w:color="auto" w:fill="auto"/>
            <w:vAlign w:val="bottom"/>
            <w:hideMark/>
          </w:tcPr>
          <w:p w14:paraId="19383E12"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0,093</w:t>
            </w:r>
          </w:p>
        </w:tc>
        <w:tc>
          <w:tcPr>
            <w:tcW w:w="2552" w:type="dxa"/>
            <w:tcBorders>
              <w:top w:val="nil"/>
              <w:left w:val="nil"/>
              <w:bottom w:val="single" w:sz="4" w:space="0" w:color="auto"/>
              <w:right w:val="single" w:sz="4" w:space="0" w:color="auto"/>
            </w:tcBorders>
            <w:shd w:val="clear" w:color="auto" w:fill="auto"/>
            <w:noWrap/>
            <w:vAlign w:val="bottom"/>
            <w:hideMark/>
          </w:tcPr>
          <w:p w14:paraId="1DB1E81F"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0,131</w:t>
            </w:r>
          </w:p>
        </w:tc>
        <w:tc>
          <w:tcPr>
            <w:tcW w:w="1217" w:type="dxa"/>
            <w:tcBorders>
              <w:top w:val="nil"/>
              <w:left w:val="nil"/>
              <w:bottom w:val="single" w:sz="4" w:space="0" w:color="auto"/>
              <w:right w:val="single" w:sz="4" w:space="0" w:color="auto"/>
            </w:tcBorders>
            <w:shd w:val="clear" w:color="auto" w:fill="auto"/>
            <w:noWrap/>
            <w:vAlign w:val="bottom"/>
            <w:hideMark/>
          </w:tcPr>
          <w:p w14:paraId="4D22ADD9"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3 851</w:t>
            </w:r>
          </w:p>
        </w:tc>
        <w:tc>
          <w:tcPr>
            <w:tcW w:w="1213" w:type="dxa"/>
            <w:tcBorders>
              <w:top w:val="nil"/>
              <w:left w:val="nil"/>
              <w:bottom w:val="single" w:sz="4" w:space="0" w:color="auto"/>
              <w:right w:val="single" w:sz="4" w:space="0" w:color="auto"/>
            </w:tcBorders>
            <w:shd w:val="clear" w:color="auto" w:fill="auto"/>
            <w:noWrap/>
            <w:vAlign w:val="bottom"/>
            <w:hideMark/>
          </w:tcPr>
          <w:p w14:paraId="46744DB3"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4 114</w:t>
            </w:r>
          </w:p>
        </w:tc>
        <w:tc>
          <w:tcPr>
            <w:tcW w:w="1260" w:type="dxa"/>
            <w:tcBorders>
              <w:top w:val="nil"/>
              <w:left w:val="nil"/>
              <w:bottom w:val="single" w:sz="4" w:space="0" w:color="auto"/>
              <w:right w:val="single" w:sz="4" w:space="0" w:color="auto"/>
            </w:tcBorders>
            <w:shd w:val="clear" w:color="auto" w:fill="auto"/>
            <w:noWrap/>
            <w:vAlign w:val="bottom"/>
            <w:hideMark/>
          </w:tcPr>
          <w:p w14:paraId="76D5AD22"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7 965</w:t>
            </w:r>
          </w:p>
        </w:tc>
      </w:tr>
      <w:tr w:rsidR="00E12D19" w:rsidRPr="00065280" w14:paraId="7FD01AE5"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E58CDA6"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Yemen</w:t>
            </w:r>
          </w:p>
        </w:tc>
        <w:tc>
          <w:tcPr>
            <w:tcW w:w="1138" w:type="dxa"/>
            <w:tcBorders>
              <w:top w:val="nil"/>
              <w:left w:val="nil"/>
              <w:bottom w:val="single" w:sz="4" w:space="0" w:color="auto"/>
              <w:right w:val="single" w:sz="4" w:space="0" w:color="auto"/>
            </w:tcBorders>
            <w:shd w:val="clear" w:color="auto" w:fill="auto"/>
            <w:vAlign w:val="bottom"/>
            <w:hideMark/>
          </w:tcPr>
          <w:p w14:paraId="6FD62C8C"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0,008</w:t>
            </w:r>
          </w:p>
        </w:tc>
        <w:tc>
          <w:tcPr>
            <w:tcW w:w="2552" w:type="dxa"/>
            <w:tcBorders>
              <w:top w:val="nil"/>
              <w:left w:val="nil"/>
              <w:bottom w:val="single" w:sz="4" w:space="0" w:color="auto"/>
              <w:right w:val="single" w:sz="4" w:space="0" w:color="auto"/>
            </w:tcBorders>
            <w:shd w:val="clear" w:color="auto" w:fill="auto"/>
            <w:noWrap/>
            <w:vAlign w:val="bottom"/>
            <w:hideMark/>
          </w:tcPr>
          <w:p w14:paraId="0677EF7F"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422B9FB2"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1E9A5139"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212ABE37"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607</w:t>
            </w:r>
          </w:p>
        </w:tc>
      </w:tr>
      <w:tr w:rsidR="00E12D19" w:rsidRPr="00065280" w14:paraId="79DD0FC6"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DA4B801"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Zambia</w:t>
            </w:r>
          </w:p>
        </w:tc>
        <w:tc>
          <w:tcPr>
            <w:tcW w:w="1138" w:type="dxa"/>
            <w:tcBorders>
              <w:top w:val="nil"/>
              <w:left w:val="nil"/>
              <w:bottom w:val="single" w:sz="4" w:space="0" w:color="auto"/>
              <w:right w:val="single" w:sz="4" w:space="0" w:color="auto"/>
            </w:tcBorders>
            <w:shd w:val="clear" w:color="auto" w:fill="auto"/>
            <w:vAlign w:val="bottom"/>
            <w:hideMark/>
          </w:tcPr>
          <w:p w14:paraId="6333DF18"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0,008</w:t>
            </w:r>
          </w:p>
        </w:tc>
        <w:tc>
          <w:tcPr>
            <w:tcW w:w="2552" w:type="dxa"/>
            <w:tcBorders>
              <w:top w:val="nil"/>
              <w:left w:val="nil"/>
              <w:bottom w:val="single" w:sz="4" w:space="0" w:color="auto"/>
              <w:right w:val="single" w:sz="4" w:space="0" w:color="auto"/>
            </w:tcBorders>
            <w:shd w:val="clear" w:color="auto" w:fill="auto"/>
            <w:noWrap/>
            <w:vAlign w:val="bottom"/>
            <w:hideMark/>
          </w:tcPr>
          <w:p w14:paraId="580288BD"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74449F83"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07A8512A"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5F3E7360"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607</w:t>
            </w:r>
          </w:p>
        </w:tc>
      </w:tr>
      <w:tr w:rsidR="00E12D19" w:rsidRPr="00065280" w14:paraId="34F8F7F2"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0B32055" w14:textId="77777777" w:rsidR="00E12D19" w:rsidRPr="00065280" w:rsidRDefault="00E12D19" w:rsidP="00E824E6">
            <w:pPr>
              <w:jc w:val="lef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Zimbabwe</w:t>
            </w:r>
          </w:p>
        </w:tc>
        <w:tc>
          <w:tcPr>
            <w:tcW w:w="1138" w:type="dxa"/>
            <w:tcBorders>
              <w:top w:val="nil"/>
              <w:left w:val="nil"/>
              <w:bottom w:val="single" w:sz="4" w:space="0" w:color="auto"/>
              <w:right w:val="single" w:sz="4" w:space="0" w:color="auto"/>
            </w:tcBorders>
            <w:shd w:val="clear" w:color="auto" w:fill="auto"/>
            <w:vAlign w:val="bottom"/>
            <w:hideMark/>
          </w:tcPr>
          <w:p w14:paraId="62EC2B07"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0,007</w:t>
            </w:r>
          </w:p>
        </w:tc>
        <w:tc>
          <w:tcPr>
            <w:tcW w:w="2552" w:type="dxa"/>
            <w:tcBorders>
              <w:top w:val="nil"/>
              <w:left w:val="nil"/>
              <w:bottom w:val="single" w:sz="4" w:space="0" w:color="auto"/>
              <w:right w:val="single" w:sz="4" w:space="0" w:color="auto"/>
            </w:tcBorders>
            <w:shd w:val="clear" w:color="auto" w:fill="auto"/>
            <w:noWrap/>
            <w:vAlign w:val="bottom"/>
            <w:hideMark/>
          </w:tcPr>
          <w:p w14:paraId="193B96B1"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1E10D467"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290</w:t>
            </w:r>
          </w:p>
        </w:tc>
        <w:tc>
          <w:tcPr>
            <w:tcW w:w="1213" w:type="dxa"/>
            <w:tcBorders>
              <w:top w:val="nil"/>
              <w:left w:val="nil"/>
              <w:bottom w:val="single" w:sz="4" w:space="0" w:color="auto"/>
              <w:right w:val="single" w:sz="4" w:space="0" w:color="auto"/>
            </w:tcBorders>
            <w:shd w:val="clear" w:color="auto" w:fill="auto"/>
            <w:noWrap/>
            <w:vAlign w:val="bottom"/>
            <w:hideMark/>
          </w:tcPr>
          <w:p w14:paraId="06B12D91"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310</w:t>
            </w:r>
          </w:p>
        </w:tc>
        <w:tc>
          <w:tcPr>
            <w:tcW w:w="1260" w:type="dxa"/>
            <w:tcBorders>
              <w:top w:val="nil"/>
              <w:left w:val="nil"/>
              <w:bottom w:val="single" w:sz="4" w:space="0" w:color="auto"/>
              <w:right w:val="single" w:sz="4" w:space="0" w:color="auto"/>
            </w:tcBorders>
            <w:shd w:val="clear" w:color="auto" w:fill="auto"/>
            <w:noWrap/>
            <w:vAlign w:val="bottom"/>
            <w:hideMark/>
          </w:tcPr>
          <w:p w14:paraId="562DC55A" w14:textId="77777777" w:rsidR="00E12D19" w:rsidRPr="00065280" w:rsidRDefault="00E12D19" w:rsidP="00E824E6">
            <w:pPr>
              <w:jc w:val="right"/>
              <w:rPr>
                <w:rFonts w:eastAsia="Times New Roman"/>
                <w:color w:val="000000" w:themeColor="text1"/>
                <w:sz w:val="18"/>
                <w:szCs w:val="18"/>
                <w:lang w:val="es-419" w:eastAsia="en-CA"/>
              </w:rPr>
            </w:pPr>
            <w:r w:rsidRPr="00065280">
              <w:rPr>
                <w:rFonts w:eastAsia="Times New Roman"/>
                <w:color w:val="000000" w:themeColor="text1"/>
                <w:sz w:val="18"/>
                <w:szCs w:val="18"/>
                <w:lang w:val="es-419" w:eastAsia="en-CA"/>
              </w:rPr>
              <w:t>600</w:t>
            </w:r>
          </w:p>
        </w:tc>
      </w:tr>
      <w:tr w:rsidR="00E12D19" w:rsidRPr="00065280" w14:paraId="7103B101" w14:textId="77777777" w:rsidTr="00E824E6">
        <w:trPr>
          <w:trHeight w:val="234"/>
        </w:trPr>
        <w:tc>
          <w:tcPr>
            <w:tcW w:w="2070" w:type="dxa"/>
            <w:tcBorders>
              <w:top w:val="nil"/>
              <w:left w:val="single" w:sz="4" w:space="0" w:color="auto"/>
              <w:bottom w:val="single" w:sz="4" w:space="0" w:color="auto"/>
              <w:right w:val="single" w:sz="4" w:space="0" w:color="auto"/>
            </w:tcBorders>
            <w:shd w:val="clear" w:color="auto" w:fill="auto"/>
            <w:noWrap/>
            <w:vAlign w:val="bottom"/>
            <w:hideMark/>
          </w:tcPr>
          <w:p w14:paraId="4E4CC81E" w14:textId="77777777" w:rsidR="00E12D19" w:rsidRPr="00065280" w:rsidRDefault="00E12D19" w:rsidP="00E824E6">
            <w:pPr>
              <w:tabs>
                <w:tab w:val="clear" w:pos="567"/>
                <w:tab w:val="left" w:pos="345"/>
              </w:tabs>
              <w:jc w:val="left"/>
              <w:rPr>
                <w:rFonts w:eastAsia="Times New Roman"/>
                <w:b/>
                <w:bCs/>
                <w:color w:val="000000" w:themeColor="text1"/>
                <w:sz w:val="18"/>
                <w:szCs w:val="18"/>
                <w:lang w:val="es-419" w:eastAsia="en-CA"/>
              </w:rPr>
            </w:pPr>
            <w:r w:rsidRPr="00065280">
              <w:rPr>
                <w:rFonts w:eastAsia="Times New Roman"/>
                <w:b/>
                <w:bCs/>
                <w:color w:val="000000" w:themeColor="text1"/>
                <w:sz w:val="18"/>
                <w:szCs w:val="18"/>
                <w:lang w:val="es-419" w:eastAsia="en-CA"/>
              </w:rPr>
              <w:tab/>
              <w:t>Total</w:t>
            </w:r>
          </w:p>
        </w:tc>
        <w:tc>
          <w:tcPr>
            <w:tcW w:w="1138" w:type="dxa"/>
            <w:tcBorders>
              <w:top w:val="nil"/>
              <w:left w:val="nil"/>
              <w:bottom w:val="single" w:sz="4" w:space="0" w:color="auto"/>
              <w:right w:val="single" w:sz="4" w:space="0" w:color="auto"/>
            </w:tcBorders>
            <w:shd w:val="clear" w:color="auto" w:fill="auto"/>
            <w:noWrap/>
            <w:vAlign w:val="bottom"/>
            <w:hideMark/>
          </w:tcPr>
          <w:p w14:paraId="72A6127E" w14:textId="77777777" w:rsidR="00E12D19" w:rsidRPr="00065280" w:rsidRDefault="00E12D19" w:rsidP="00E824E6">
            <w:pPr>
              <w:jc w:val="right"/>
              <w:rPr>
                <w:rFonts w:eastAsia="Times New Roman"/>
                <w:b/>
                <w:bCs/>
                <w:color w:val="000000" w:themeColor="text1"/>
                <w:sz w:val="18"/>
                <w:szCs w:val="18"/>
                <w:lang w:val="es-419" w:eastAsia="en-CA"/>
              </w:rPr>
            </w:pPr>
            <w:r w:rsidRPr="00065280">
              <w:rPr>
                <w:rFonts w:eastAsia="Times New Roman"/>
                <w:b/>
                <w:bCs/>
                <w:color w:val="000000" w:themeColor="text1"/>
                <w:sz w:val="18"/>
                <w:szCs w:val="18"/>
                <w:lang w:val="es-419" w:eastAsia="en-CA"/>
              </w:rPr>
              <w:t>69,092</w:t>
            </w:r>
          </w:p>
        </w:tc>
        <w:tc>
          <w:tcPr>
            <w:tcW w:w="2552" w:type="dxa"/>
            <w:tcBorders>
              <w:top w:val="nil"/>
              <w:left w:val="nil"/>
              <w:bottom w:val="single" w:sz="4" w:space="0" w:color="auto"/>
              <w:right w:val="single" w:sz="4" w:space="0" w:color="auto"/>
            </w:tcBorders>
            <w:shd w:val="clear" w:color="auto" w:fill="auto"/>
            <w:noWrap/>
            <w:vAlign w:val="bottom"/>
            <w:hideMark/>
          </w:tcPr>
          <w:p w14:paraId="682065AE" w14:textId="77777777" w:rsidR="00E12D19" w:rsidRPr="00065280" w:rsidRDefault="00E12D19" w:rsidP="00E824E6">
            <w:pPr>
              <w:jc w:val="right"/>
              <w:rPr>
                <w:rFonts w:eastAsia="Times New Roman"/>
                <w:b/>
                <w:bCs/>
                <w:color w:val="000000" w:themeColor="text1"/>
                <w:sz w:val="18"/>
                <w:szCs w:val="18"/>
                <w:lang w:val="es-419" w:eastAsia="en-CA"/>
              </w:rPr>
            </w:pPr>
            <w:r w:rsidRPr="00065280">
              <w:rPr>
                <w:rFonts w:eastAsia="Times New Roman"/>
                <w:b/>
                <w:bCs/>
                <w:color w:val="000000" w:themeColor="text1"/>
                <w:sz w:val="18"/>
                <w:szCs w:val="18"/>
                <w:lang w:val="es-419" w:eastAsia="en-CA"/>
              </w:rPr>
              <w:t>100</w:t>
            </w:r>
          </w:p>
        </w:tc>
        <w:tc>
          <w:tcPr>
            <w:tcW w:w="1217" w:type="dxa"/>
            <w:tcBorders>
              <w:top w:val="nil"/>
              <w:left w:val="nil"/>
              <w:bottom w:val="single" w:sz="4" w:space="0" w:color="auto"/>
              <w:right w:val="single" w:sz="4" w:space="0" w:color="auto"/>
            </w:tcBorders>
            <w:shd w:val="clear" w:color="auto" w:fill="auto"/>
            <w:noWrap/>
            <w:vAlign w:val="bottom"/>
            <w:hideMark/>
          </w:tcPr>
          <w:p w14:paraId="3DE9B26E" w14:textId="77777777" w:rsidR="00E12D19" w:rsidRPr="00065280" w:rsidRDefault="00E12D19" w:rsidP="00E824E6">
            <w:pPr>
              <w:jc w:val="right"/>
              <w:rPr>
                <w:rFonts w:eastAsia="Times New Roman"/>
                <w:b/>
                <w:bCs/>
                <w:color w:val="000000" w:themeColor="text1"/>
                <w:sz w:val="18"/>
                <w:szCs w:val="18"/>
                <w:lang w:val="es-419" w:eastAsia="en-CA"/>
              </w:rPr>
            </w:pPr>
            <w:r w:rsidRPr="00065280">
              <w:rPr>
                <w:rFonts w:eastAsia="Times New Roman"/>
                <w:b/>
                <w:bCs/>
                <w:color w:val="000000" w:themeColor="text1"/>
                <w:sz w:val="18"/>
                <w:szCs w:val="18"/>
                <w:lang w:val="es-419" w:eastAsia="en-CA"/>
              </w:rPr>
              <w:t>2 933 053</w:t>
            </w:r>
          </w:p>
        </w:tc>
        <w:tc>
          <w:tcPr>
            <w:tcW w:w="1213" w:type="dxa"/>
            <w:tcBorders>
              <w:top w:val="nil"/>
              <w:left w:val="nil"/>
              <w:bottom w:val="single" w:sz="4" w:space="0" w:color="auto"/>
              <w:right w:val="single" w:sz="4" w:space="0" w:color="auto"/>
            </w:tcBorders>
            <w:shd w:val="clear" w:color="auto" w:fill="auto"/>
            <w:noWrap/>
            <w:vAlign w:val="bottom"/>
            <w:hideMark/>
          </w:tcPr>
          <w:p w14:paraId="496F0738" w14:textId="77777777" w:rsidR="00E12D19" w:rsidRPr="00065280" w:rsidRDefault="00E12D19" w:rsidP="00E824E6">
            <w:pPr>
              <w:jc w:val="right"/>
              <w:rPr>
                <w:rFonts w:eastAsia="Times New Roman"/>
                <w:b/>
                <w:bCs/>
                <w:color w:val="000000" w:themeColor="text1"/>
                <w:sz w:val="18"/>
                <w:szCs w:val="18"/>
                <w:lang w:val="es-419" w:eastAsia="en-CA"/>
              </w:rPr>
            </w:pPr>
            <w:r w:rsidRPr="00065280">
              <w:rPr>
                <w:rFonts w:eastAsia="Times New Roman"/>
                <w:b/>
                <w:bCs/>
                <w:color w:val="000000" w:themeColor="text1"/>
                <w:sz w:val="18"/>
                <w:szCs w:val="18"/>
                <w:lang w:val="es-419" w:eastAsia="en-CA"/>
              </w:rPr>
              <w:t>3 133 740</w:t>
            </w:r>
          </w:p>
        </w:tc>
        <w:tc>
          <w:tcPr>
            <w:tcW w:w="1260" w:type="dxa"/>
            <w:tcBorders>
              <w:top w:val="nil"/>
              <w:left w:val="nil"/>
              <w:bottom w:val="single" w:sz="4" w:space="0" w:color="auto"/>
              <w:right w:val="single" w:sz="4" w:space="0" w:color="auto"/>
            </w:tcBorders>
            <w:shd w:val="clear" w:color="auto" w:fill="auto"/>
            <w:noWrap/>
            <w:vAlign w:val="bottom"/>
            <w:hideMark/>
          </w:tcPr>
          <w:p w14:paraId="4374C057" w14:textId="77777777" w:rsidR="00E12D19" w:rsidRPr="00065280" w:rsidRDefault="00E12D19" w:rsidP="00E824E6">
            <w:pPr>
              <w:jc w:val="right"/>
              <w:rPr>
                <w:rFonts w:eastAsia="Times New Roman"/>
                <w:b/>
                <w:bCs/>
                <w:color w:val="000000" w:themeColor="text1"/>
                <w:sz w:val="18"/>
                <w:szCs w:val="18"/>
                <w:lang w:val="es-419" w:eastAsia="en-CA"/>
              </w:rPr>
            </w:pPr>
            <w:r w:rsidRPr="00065280">
              <w:rPr>
                <w:rFonts w:eastAsia="Times New Roman"/>
                <w:b/>
                <w:bCs/>
                <w:color w:val="000000" w:themeColor="text1"/>
                <w:sz w:val="18"/>
                <w:szCs w:val="18"/>
                <w:lang w:val="es-419" w:eastAsia="en-CA"/>
              </w:rPr>
              <w:t>6 066 793</w:t>
            </w:r>
          </w:p>
        </w:tc>
      </w:tr>
    </w:tbl>
    <w:p w14:paraId="54DB9A5F" w14:textId="77777777" w:rsidR="00080196" w:rsidRPr="00065280" w:rsidRDefault="00080196">
      <w:pPr>
        <w:tabs>
          <w:tab w:val="clear" w:pos="567"/>
          <w:tab w:val="clear" w:pos="1134"/>
          <w:tab w:val="clear" w:pos="1701"/>
          <w:tab w:val="clear" w:pos="2268"/>
        </w:tabs>
        <w:spacing w:after="160" w:line="278" w:lineRule="auto"/>
        <w:jc w:val="left"/>
        <w:rPr>
          <w:lang w:val="es-419"/>
        </w:rPr>
      </w:pPr>
      <w:r w:rsidRPr="00065280">
        <w:rPr>
          <w:lang w:val="es-419"/>
        </w:rPr>
        <w:br w:type="page"/>
      </w:r>
    </w:p>
    <w:p w14:paraId="07BE1ADD" w14:textId="67A8EE23" w:rsidR="00080196" w:rsidRPr="00065280" w:rsidRDefault="00D42499" w:rsidP="00D42499">
      <w:pPr>
        <w:pStyle w:val="CBDH2"/>
        <w:jc w:val="left"/>
        <w:rPr>
          <w:spacing w:val="-4"/>
          <w:lang w:val="es-419" w:eastAsia="ko-KR"/>
        </w:rPr>
      </w:pPr>
      <w:r w:rsidRPr="00065280">
        <w:rPr>
          <w:lang w:val="es-419" w:eastAsia="ko-KR"/>
        </w:rPr>
        <w:lastRenderedPageBreak/>
        <w:tab/>
      </w:r>
      <w:bookmarkStart w:id="47" w:name="_Toc194399422"/>
      <w:bookmarkStart w:id="48" w:name="_Toc194919561"/>
      <w:bookmarkStart w:id="49" w:name="_Toc199016614"/>
      <w:r w:rsidR="00080196" w:rsidRPr="00065280">
        <w:rPr>
          <w:lang w:val="es-419" w:eastAsia="ko-KR"/>
        </w:rPr>
        <w:t>CP-11/12.</w:t>
      </w:r>
      <w:r w:rsidR="00080196" w:rsidRPr="00065280">
        <w:rPr>
          <w:lang w:val="es-419" w:eastAsia="ko-KR"/>
        </w:rPr>
        <w:tab/>
      </w:r>
      <w:bookmarkEnd w:id="47"/>
      <w:bookmarkEnd w:id="48"/>
      <w:r w:rsidR="00C54C43" w:rsidRPr="00065280">
        <w:rPr>
          <w:spacing w:val="-4"/>
          <w:lang w:val="es-419" w:eastAsia="ko-KR"/>
        </w:rPr>
        <w:t>Costos de la celebración de una continuación presencial de la 11ª reunión de la Conferencia de las Partes en el Convenio sobre la Diversidad Biológica</w:t>
      </w:r>
      <w:r w:rsidR="00C54C43" w:rsidRPr="00065280">
        <w:rPr>
          <w:rFonts w:ascii="Times New Roman Bold" w:hAnsi="Times New Roman Bold"/>
          <w:spacing w:val="-4"/>
          <w:lang w:val="es-419" w:eastAsia="ko-KR"/>
        </w:rPr>
        <w:t xml:space="preserve"> que actúa</w:t>
      </w:r>
      <w:r w:rsidR="00C54C43" w:rsidRPr="00065280">
        <w:rPr>
          <w:spacing w:val="-4"/>
          <w:lang w:val="es-419" w:eastAsia="ko-KR"/>
        </w:rPr>
        <w:t xml:space="preserve"> </w:t>
      </w:r>
      <w:r w:rsidR="00C54C43" w:rsidRPr="00065280">
        <w:rPr>
          <w:rFonts w:ascii="Times New Roman Bold" w:hAnsi="Times New Roman Bold"/>
          <w:spacing w:val="-4"/>
          <w:lang w:val="es-419" w:eastAsia="ko-KR"/>
        </w:rPr>
        <w:t>como reunión de las Partes en el Protocolo de Cartagena sobre Seguridad de la Biotecnología</w:t>
      </w:r>
      <w:bookmarkEnd w:id="49"/>
    </w:p>
    <w:p w14:paraId="7A41EE45" w14:textId="77777777" w:rsidR="00C54C43" w:rsidRPr="00065280" w:rsidRDefault="00C54C43" w:rsidP="00C54C43">
      <w:pPr>
        <w:pStyle w:val="CBDDesicionText"/>
        <w:rPr>
          <w:lang w:val="es-419"/>
        </w:rPr>
      </w:pPr>
      <w:r w:rsidRPr="00065280">
        <w:rPr>
          <w:i/>
          <w:iCs/>
          <w:lang w:val="es-419"/>
        </w:rPr>
        <w:t>La Conferencia de las Partes que actúa como reunión de las Partes en el Protocolo de Cartagena,</w:t>
      </w:r>
    </w:p>
    <w:p w14:paraId="4E5EB4B1" w14:textId="77777777" w:rsidR="00C54C43" w:rsidRPr="00065280" w:rsidRDefault="00C54C43" w:rsidP="00C54C43">
      <w:pPr>
        <w:pStyle w:val="CBDDesicionText"/>
        <w:rPr>
          <w:lang w:val="es-419"/>
        </w:rPr>
      </w:pPr>
      <w:r w:rsidRPr="00065280">
        <w:rPr>
          <w:i/>
          <w:iCs/>
          <w:lang w:val="es-419"/>
        </w:rPr>
        <w:t>Recordando</w:t>
      </w:r>
      <w:r w:rsidRPr="00065280">
        <w:rPr>
          <w:lang w:val="es-419"/>
        </w:rPr>
        <w:t xml:space="preserve"> su decisión </w:t>
      </w:r>
      <w:hyperlink r:id="rId42" w:history="1">
        <w:r w:rsidRPr="00065280">
          <w:rPr>
            <w:rStyle w:val="Hyperlink"/>
            <w:lang w:val="es-419"/>
          </w:rPr>
          <w:t>CP-11/4</w:t>
        </w:r>
      </w:hyperlink>
      <w:r w:rsidRPr="00065280">
        <w:rPr>
          <w:lang w:val="es-419"/>
        </w:rPr>
        <w:t>, de 1 de noviembre de 2024, en la que observó que, en caso de circunstancias extraordinarias que vuelvan impracticable la celebración de reuniones presenciales, se podrán adoptar decisiones urgentes, tales como aquellas sobre cuestiones presupuestarias, con arreglo a un procedimiento de acuerdo tácito,</w:t>
      </w:r>
    </w:p>
    <w:p w14:paraId="2246CC3C" w14:textId="77777777" w:rsidR="00C54C43" w:rsidRPr="00065280" w:rsidRDefault="00C54C43" w:rsidP="00C54C43">
      <w:pPr>
        <w:pStyle w:val="CBDDesicionText"/>
        <w:rPr>
          <w:lang w:val="es-419"/>
        </w:rPr>
      </w:pPr>
      <w:r w:rsidRPr="00065280">
        <w:rPr>
          <w:i/>
          <w:iCs/>
          <w:lang w:val="es-419"/>
        </w:rPr>
        <w:t>Recordando también</w:t>
      </w:r>
      <w:r w:rsidRPr="00065280">
        <w:rPr>
          <w:lang w:val="es-419"/>
        </w:rPr>
        <w:t xml:space="preserve"> que la sesión plenaria de clausura de su 11ª reunión, celebrada en Cali (Colombia), fue suspendida el 2 de noviembre de 2024 sin que se terminaran de considerar varios temas del programa, </w:t>
      </w:r>
    </w:p>
    <w:p w14:paraId="1115DCC9" w14:textId="77777777" w:rsidR="00C54C43" w:rsidRPr="00065280" w:rsidRDefault="00C54C43" w:rsidP="00C54C43">
      <w:pPr>
        <w:pStyle w:val="CBDDesicionText"/>
        <w:rPr>
          <w:lang w:val="es-419"/>
        </w:rPr>
      </w:pPr>
      <w:r w:rsidRPr="00065280">
        <w:rPr>
          <w:i/>
          <w:iCs/>
          <w:lang w:val="es-419"/>
        </w:rPr>
        <w:t>Reconociendo</w:t>
      </w:r>
      <w:r w:rsidRPr="00065280">
        <w:rPr>
          <w:lang w:val="es-419"/>
        </w:rPr>
        <w:t xml:space="preserve"> la necesidad de celebrar, en el primer trimestre de 2025, una continuación presencial de su 11ª reunión a fin de completar los debates relativos a los temas del programa que aún están pendientes y de clausurar la reunión,</w:t>
      </w:r>
    </w:p>
    <w:p w14:paraId="0EC3CD56" w14:textId="77777777" w:rsidR="00C54C43" w:rsidRPr="00065280" w:rsidRDefault="00C54C43" w:rsidP="00C54C43">
      <w:pPr>
        <w:pStyle w:val="CBDDesicionText"/>
        <w:rPr>
          <w:lang w:val="es-419"/>
        </w:rPr>
      </w:pPr>
      <w:r w:rsidRPr="00065280">
        <w:rPr>
          <w:i/>
          <w:iCs/>
          <w:lang w:val="es-419"/>
        </w:rPr>
        <w:t>Reconociendo también</w:t>
      </w:r>
      <w:r w:rsidRPr="00065280">
        <w:rPr>
          <w:lang w:val="es-419"/>
        </w:rPr>
        <w:t xml:space="preserve"> que la celebración de tal continuación presencial generará gastos para cubrir los costos del lugar de celebración, así como los gastos de viaje y las dietas para el personal de la Secretaría y los delegados de las Partes que reúnan las condiciones,</w:t>
      </w:r>
    </w:p>
    <w:p w14:paraId="08A90635" w14:textId="77777777" w:rsidR="00C54C43" w:rsidRPr="00065280" w:rsidRDefault="00C54C43" w:rsidP="00C54C43">
      <w:pPr>
        <w:pStyle w:val="CBDDesicionText"/>
        <w:rPr>
          <w:lang w:val="es-419"/>
        </w:rPr>
      </w:pPr>
      <w:r w:rsidRPr="00065280">
        <w:rPr>
          <w:i/>
          <w:iCs/>
          <w:lang w:val="es-419"/>
        </w:rPr>
        <w:t>Reafirmando</w:t>
      </w:r>
      <w:r w:rsidRPr="00065280">
        <w:rPr>
          <w:lang w:val="es-419"/>
        </w:rPr>
        <w:t xml:space="preserve"> la importancia de la participación plena y efectiva de delegados de las Partes que son países en desarrollo, en particular los países menos adelantados y los pequeños Estados insulares en desarrollo, y las Partes con economías en transición, en las reuniones de la Conferencia de las Partes que actúa como reunión de las Partes en el Protocolo de Cartagena sobre Seguridad de la Biotecnología</w:t>
      </w:r>
      <w:r w:rsidRPr="00065280">
        <w:rPr>
          <w:rStyle w:val="FootnoteReference"/>
          <w:lang w:val="es-419"/>
        </w:rPr>
        <w:footnoteReference w:id="57"/>
      </w:r>
      <w:r w:rsidRPr="00065280">
        <w:rPr>
          <w:lang w:val="es-419"/>
        </w:rPr>
        <w:t>,</w:t>
      </w:r>
    </w:p>
    <w:p w14:paraId="575FC7F0" w14:textId="2CBFFD67" w:rsidR="00C54C43" w:rsidRPr="00065280" w:rsidRDefault="00C54C43" w:rsidP="00C54C43">
      <w:pPr>
        <w:pStyle w:val="CBDDesicionText"/>
        <w:rPr>
          <w:rFonts w:asciiTheme="majorBidi" w:hAnsiTheme="majorBidi" w:cstheme="majorBidi"/>
          <w:lang w:val="es-419"/>
        </w:rPr>
      </w:pPr>
      <w:r w:rsidRPr="00065280">
        <w:rPr>
          <w:i/>
          <w:iCs/>
          <w:lang w:val="es-419"/>
        </w:rPr>
        <w:t>Haciendo notar</w:t>
      </w:r>
      <w:r w:rsidRPr="00065280">
        <w:rPr>
          <w:lang w:val="es-419"/>
        </w:rPr>
        <w:t xml:space="preserve"> que la continuación de su 11ª</w:t>
      </w:r>
      <w:r w:rsidR="00A62F65">
        <w:rPr>
          <w:lang w:val="es-419"/>
        </w:rPr>
        <w:t> </w:t>
      </w:r>
      <w:r w:rsidRPr="00065280">
        <w:rPr>
          <w:lang w:val="es-419"/>
        </w:rPr>
        <w:t>reunión se celebrará en Roma del 25 al 27 de febrero de 2025,</w:t>
      </w:r>
    </w:p>
    <w:p w14:paraId="1086343B" w14:textId="7CA3C825" w:rsidR="00C54C43" w:rsidRPr="00065280" w:rsidRDefault="00C54C43" w:rsidP="00C54C43">
      <w:pPr>
        <w:pStyle w:val="CBDDesicionText"/>
        <w:rPr>
          <w:rFonts w:asciiTheme="majorBidi" w:hAnsiTheme="majorBidi" w:cstheme="majorBidi"/>
          <w:lang w:val="es-419"/>
        </w:rPr>
      </w:pPr>
      <w:r w:rsidRPr="00065280">
        <w:rPr>
          <w:rFonts w:asciiTheme="majorBidi" w:hAnsiTheme="majorBidi"/>
          <w:lang w:val="es-419"/>
        </w:rPr>
        <w:t>1.</w:t>
      </w:r>
      <w:r w:rsidRPr="00065280">
        <w:rPr>
          <w:rFonts w:asciiTheme="majorBidi" w:hAnsiTheme="majorBidi"/>
          <w:lang w:val="es-419"/>
        </w:rPr>
        <w:tab/>
      </w:r>
      <w:r w:rsidRPr="00065280">
        <w:rPr>
          <w:i/>
          <w:iCs/>
          <w:lang w:val="es-419"/>
        </w:rPr>
        <w:t>Autoriza</w:t>
      </w:r>
      <w:r w:rsidRPr="00065280">
        <w:rPr>
          <w:lang w:val="es-419"/>
        </w:rPr>
        <w:t xml:space="preserve"> a la Secretaria Ejecutiva a que deduzca del saldo no utilizado del Fondo Fiduciario General para el Presupuesto Básico por Programas para el Protocolo de Cartagena sobre Seguridad de la Biotecnología una suma no superior a 60.000 dólares de los Estados Unidos, que representa el 15 % de la suma total de 400.000 dólares requerida para celebrar la continuación presencial de la 16ª reunión del Convenio sobre la Diversidad Biológica</w:t>
      </w:r>
      <w:r w:rsidRPr="00065280">
        <w:rPr>
          <w:rStyle w:val="FootnoteReference"/>
          <w:color w:val="000000"/>
          <w:lang w:val="es-419"/>
        </w:rPr>
        <w:footnoteReference w:id="58"/>
      </w:r>
      <w:r w:rsidRPr="00065280">
        <w:rPr>
          <w:lang w:val="es-419"/>
        </w:rPr>
        <w:t>, la 11ª</w:t>
      </w:r>
      <w:r w:rsidR="00A62F65">
        <w:rPr>
          <w:lang w:val="es-419"/>
        </w:rPr>
        <w:t> </w:t>
      </w:r>
      <w:r w:rsidRPr="00065280">
        <w:rPr>
          <w:lang w:val="es-419"/>
        </w:rPr>
        <w:t>reunión de la Conferencia de las Partes que actúa como reunión de las Partes en el Protocolo de Cartagena y la quinta reunión de la Conferencia de las Partes que actúa como reunión de las Partes en el Protocolo de Nagoya sobre Acceso a los Recursos Genéticos y Participación Justa y Equitativa en los Beneficios que se Deriven de su Utilización al Convenio sobre la Diversidad Biológica</w:t>
      </w:r>
      <w:r w:rsidRPr="00065280">
        <w:rPr>
          <w:rStyle w:val="FootnoteReference"/>
          <w:lang w:val="es-419"/>
        </w:rPr>
        <w:footnoteReference w:id="59"/>
      </w:r>
      <w:r w:rsidRPr="00065280">
        <w:rPr>
          <w:lang w:val="es-419"/>
        </w:rPr>
        <w:t>;</w:t>
      </w:r>
    </w:p>
    <w:p w14:paraId="7EE0DC23" w14:textId="078E8072" w:rsidR="00080196" w:rsidRPr="00065280" w:rsidRDefault="00C54C43" w:rsidP="00C54C43">
      <w:pPr>
        <w:pStyle w:val="CBDDesicionText"/>
        <w:rPr>
          <w:rFonts w:eastAsia="Malgun Gothic"/>
          <w:iCs/>
          <w:kern w:val="20"/>
          <w:lang w:val="es-419" w:eastAsia="x-none"/>
        </w:rPr>
      </w:pPr>
      <w:r w:rsidRPr="00065280">
        <w:rPr>
          <w:rFonts w:asciiTheme="majorBidi" w:hAnsiTheme="majorBidi"/>
          <w:lang w:val="es-419"/>
        </w:rPr>
        <w:t>2.</w:t>
      </w:r>
      <w:r w:rsidRPr="00065280">
        <w:rPr>
          <w:rFonts w:asciiTheme="majorBidi" w:hAnsiTheme="majorBidi"/>
          <w:lang w:val="es-419"/>
        </w:rPr>
        <w:tab/>
      </w:r>
      <w:r w:rsidRPr="00065280">
        <w:rPr>
          <w:i/>
          <w:iCs/>
          <w:lang w:val="es-419"/>
        </w:rPr>
        <w:t>Decide</w:t>
      </w:r>
      <w:r w:rsidRPr="00065280">
        <w:rPr>
          <w:lang w:val="es-419"/>
        </w:rPr>
        <w:t xml:space="preserve"> aplicar, </w:t>
      </w:r>
      <w:r w:rsidRPr="00065280">
        <w:rPr>
          <w:i/>
          <w:iCs/>
          <w:lang w:val="es-419"/>
        </w:rPr>
        <w:t>mutatis mutandis</w:t>
      </w:r>
      <w:r w:rsidRPr="00065280">
        <w:rPr>
          <w:lang w:val="es-419"/>
        </w:rPr>
        <w:t>, los párrafos 2 y 3 de la decisión </w:t>
      </w:r>
      <w:hyperlink r:id="rId43" w:history="1">
        <w:r w:rsidRPr="00065280">
          <w:rPr>
            <w:rStyle w:val="Hyperlink"/>
            <w:rFonts w:asciiTheme="majorBidi" w:hAnsiTheme="majorBidi"/>
            <w:lang w:val="es-419"/>
          </w:rPr>
          <w:t>16/29</w:t>
        </w:r>
      </w:hyperlink>
      <w:r w:rsidRPr="00065280">
        <w:rPr>
          <w:lang w:val="es-419"/>
        </w:rPr>
        <w:t xml:space="preserve"> de 6 de diciembre de 2024 de la Conferencia de las Partes</w:t>
      </w:r>
      <w:r w:rsidR="00080196" w:rsidRPr="00065280">
        <w:rPr>
          <w:rFonts w:ascii="TimesNewRomanPSMT" w:hAnsi="TimesNewRomanPSMT"/>
          <w:lang w:val="es-419"/>
        </w:rPr>
        <w:t>.</w:t>
      </w:r>
    </w:p>
    <w:p w14:paraId="136A2DD8" w14:textId="77777777" w:rsidR="00080196" w:rsidRPr="00065280" w:rsidRDefault="00080196" w:rsidP="00E824E6">
      <w:pPr>
        <w:pStyle w:val="Para1"/>
        <w:tabs>
          <w:tab w:val="clear" w:pos="567"/>
        </w:tabs>
        <w:ind w:left="0"/>
        <w:jc w:val="center"/>
        <w:rPr>
          <w:lang w:val="es-419"/>
        </w:rPr>
      </w:pPr>
    </w:p>
    <w:p w14:paraId="6B6D6626" w14:textId="77777777" w:rsidR="00080196" w:rsidRPr="00065280" w:rsidRDefault="00080196" w:rsidP="00E824E6">
      <w:pPr>
        <w:pStyle w:val="CBDNormal"/>
        <w:rPr>
          <w:lang w:val="es-419"/>
        </w:rPr>
      </w:pPr>
    </w:p>
    <w:p w14:paraId="091BFB70" w14:textId="77777777" w:rsidR="0065384A" w:rsidRPr="00065280" w:rsidRDefault="0065384A">
      <w:pPr>
        <w:tabs>
          <w:tab w:val="clear" w:pos="567"/>
          <w:tab w:val="clear" w:pos="1134"/>
          <w:tab w:val="clear" w:pos="1701"/>
          <w:tab w:val="clear" w:pos="2268"/>
        </w:tabs>
        <w:spacing w:after="160" w:line="259" w:lineRule="auto"/>
        <w:jc w:val="left"/>
        <w:rPr>
          <w:lang w:val="es-419"/>
        </w:rPr>
      </w:pPr>
    </w:p>
    <w:p w14:paraId="467266DA" w14:textId="531288EE" w:rsidR="005A2AA0" w:rsidRPr="00065280" w:rsidRDefault="005A2AA0">
      <w:pPr>
        <w:tabs>
          <w:tab w:val="clear" w:pos="567"/>
          <w:tab w:val="clear" w:pos="1134"/>
          <w:tab w:val="clear" w:pos="1701"/>
          <w:tab w:val="clear" w:pos="2268"/>
        </w:tabs>
        <w:spacing w:after="160" w:line="259" w:lineRule="auto"/>
        <w:jc w:val="left"/>
        <w:rPr>
          <w:b/>
          <w:sz w:val="28"/>
          <w:lang w:val="es-419"/>
        </w:rPr>
      </w:pPr>
      <w:r w:rsidRPr="00065280">
        <w:rPr>
          <w:lang w:val="es-419"/>
        </w:rPr>
        <w:br w:type="page"/>
      </w:r>
    </w:p>
    <w:p w14:paraId="7EFC6668" w14:textId="5EB5A543" w:rsidR="0065384A" w:rsidRPr="00065280" w:rsidRDefault="0065384A" w:rsidP="002B38F5">
      <w:pPr>
        <w:pStyle w:val="CBDH1"/>
        <w:rPr>
          <w:lang w:val="es-419"/>
        </w:rPr>
      </w:pPr>
      <w:bookmarkStart w:id="50" w:name="_Toc194399423"/>
      <w:bookmarkStart w:id="51" w:name="_Toc194919562"/>
      <w:bookmarkStart w:id="52" w:name="_Toc199016615"/>
      <w:r w:rsidRPr="00065280">
        <w:rPr>
          <w:lang w:val="es-419"/>
        </w:rPr>
        <w:lastRenderedPageBreak/>
        <w:t>II.</w:t>
      </w:r>
      <w:r w:rsidRPr="00065280">
        <w:rPr>
          <w:lang w:val="es-419"/>
        </w:rPr>
        <w:tab/>
      </w:r>
      <w:bookmarkEnd w:id="50"/>
      <w:bookmarkEnd w:id="51"/>
      <w:r w:rsidR="00B22105" w:rsidRPr="00065280">
        <w:rPr>
          <w:lang w:val="es-419"/>
        </w:rPr>
        <w:t>Resumen de las deliberaciones de la reunión</w:t>
      </w:r>
      <w:bookmarkEnd w:id="52"/>
    </w:p>
    <w:p w14:paraId="7973825E" w14:textId="368BBC65" w:rsidR="002B38F5" w:rsidRPr="00065280" w:rsidRDefault="00B22105" w:rsidP="002D533B">
      <w:pPr>
        <w:pStyle w:val="CBDAgendaItem"/>
        <w:rPr>
          <w:lang w:val="es-419"/>
        </w:rPr>
      </w:pPr>
      <w:bookmarkStart w:id="53" w:name="_Toc194399319"/>
      <w:bookmarkStart w:id="54" w:name="_Toc194919563"/>
      <w:bookmarkStart w:id="55" w:name="_Toc199016616"/>
      <w:r w:rsidRPr="00065280">
        <w:rPr>
          <w:lang w:val="es-419"/>
        </w:rPr>
        <w:t>Antecedentes</w:t>
      </w:r>
      <w:bookmarkEnd w:id="53"/>
      <w:bookmarkEnd w:id="54"/>
      <w:bookmarkEnd w:id="55"/>
    </w:p>
    <w:p w14:paraId="6B0511A6" w14:textId="77777777" w:rsidR="009A5C24" w:rsidRPr="00065280" w:rsidRDefault="009A5C24" w:rsidP="009A5C24">
      <w:pPr>
        <w:pStyle w:val="CBDNormalNumber"/>
        <w:rPr>
          <w:lang w:val="es-419"/>
        </w:rPr>
      </w:pPr>
      <w:r w:rsidRPr="00065280">
        <w:rPr>
          <w:lang w:val="es-419"/>
        </w:rPr>
        <w:t xml:space="preserve">La 11ª reunión de la Conferencia de las Partes que actúa como reunión de las Partes en el Protocolo de Cartagena sobre Seguridad de la Biotecnología </w:t>
      </w:r>
      <w:r w:rsidRPr="00065280">
        <w:rPr>
          <w:color w:val="000000" w:themeColor="text1"/>
          <w:lang w:val="es-419"/>
        </w:rPr>
        <w:t>se</w:t>
      </w:r>
      <w:r w:rsidRPr="00065280">
        <w:rPr>
          <w:lang w:val="es-419"/>
        </w:rPr>
        <w:t xml:space="preserve"> celebró en forma concurrente con la 16ª reunión de la Conferencia de las Partes en el Convenio sobre la Diversidad Biológica y la 5ª reunión de la Conferencia de las Partes que actúa como reunión de las Partes en el Protocolo de Nagoya sobre Acceso a los Recursos Genéticos y Participación Justa y Equitativa en los Beneficios que se Deriven de su Utilización. La 11</w:t>
      </w:r>
      <w:r w:rsidRPr="00065280">
        <w:rPr>
          <w:vertAlign w:val="superscript"/>
          <w:lang w:val="es-419"/>
        </w:rPr>
        <w:t>a</w:t>
      </w:r>
      <w:r w:rsidRPr="00065280">
        <w:rPr>
          <w:lang w:val="es-419"/>
        </w:rPr>
        <w:t xml:space="preserve"> reunión comenzó en Cali (Colombia) el 21 de octubre de 2024 y debió suspenderse en la mañana del 2 de noviembre de 2024 por falta de </w:t>
      </w:r>
      <w:r w:rsidRPr="00065280">
        <w:rPr>
          <w:i/>
          <w:iCs/>
          <w:lang w:val="es-419"/>
        </w:rPr>
        <w:t>quorum</w:t>
      </w:r>
      <w:r w:rsidRPr="00065280">
        <w:rPr>
          <w:lang w:val="es-419"/>
        </w:rPr>
        <w:t>, antes de que se pudieran tratar todos los temas en sesión plenaria. Por consiguiente, del 3 al 6 de diciembre de 2024 se celebró una primera continuación de la reunión en línea, conforme a un procedimiento de acuerdo tácito, para considerar las decisiones relacionadas con el presupuesto (véase el tema 6 más adelante), y del 25 al 27 de febrero de 2025 se celebró una segunda continuación de la reunión en modalidad presencial en Roma para considerar todos los temas que habían quedado pendientes (véanse los temas 1 a 3 y 15 a 17 más adelante).</w:t>
      </w:r>
    </w:p>
    <w:p w14:paraId="083CCF6F" w14:textId="3C82F502" w:rsidR="00557370" w:rsidRPr="00065280" w:rsidRDefault="009A5C24" w:rsidP="009A5C24">
      <w:pPr>
        <w:pStyle w:val="CBDNormalNumber"/>
        <w:rPr>
          <w:lang w:val="es-419"/>
        </w:rPr>
      </w:pPr>
      <w:r w:rsidRPr="00065280">
        <w:rPr>
          <w:lang w:val="es-419"/>
        </w:rPr>
        <w:t>La 11ª reunión estuvo precedida por una ceremonia de apertura que tuvo lugar el 20 de octubre y consistió en una presentación cultural y declaraciones pronunciadas por el Presidente de Colombia, Gustavo Petro Urrego, el Secretario General de las Naciones Unidas, António Guterres, el Ministro de Ecología y Medio Ambiente de China y Presidente de la 15ª reunión de la Conferencia de las Partes en el Convenio, Runqiu Huang, la Ministra de Ambiente y Desarrollo Sostenible de Colombia, María Susana Muhamad González, la Gobernadora del Departamento del Valle del Cauca, Dilian Francisca Toro Torres, y el Alcalde de Cali, Álvaro Alejandro Eder Garcés</w:t>
      </w:r>
      <w:r w:rsidR="005E4A59" w:rsidRPr="00065280">
        <w:rPr>
          <w:lang w:val="es-419"/>
        </w:rPr>
        <w:t>.</w:t>
      </w:r>
    </w:p>
    <w:p w14:paraId="07146951" w14:textId="505493A5" w:rsidR="002B38F5" w:rsidRPr="00065280" w:rsidRDefault="002B38F5" w:rsidP="002D533B">
      <w:pPr>
        <w:pStyle w:val="CBDAgendaItem"/>
        <w:rPr>
          <w:lang w:val="es-419"/>
        </w:rPr>
      </w:pPr>
      <w:bookmarkStart w:id="56" w:name="_Toc194399320"/>
      <w:bookmarkStart w:id="57" w:name="_Toc194919564"/>
      <w:bookmarkStart w:id="58" w:name="_Toc199016617"/>
      <w:r w:rsidRPr="00065280">
        <w:rPr>
          <w:lang w:val="es-419"/>
        </w:rPr>
        <w:t>A</w:t>
      </w:r>
      <w:r w:rsidR="009A5C24" w:rsidRPr="00065280">
        <w:rPr>
          <w:lang w:val="es-419"/>
        </w:rPr>
        <w:t>sis</w:t>
      </w:r>
      <w:r w:rsidRPr="00065280">
        <w:rPr>
          <w:lang w:val="es-419"/>
        </w:rPr>
        <w:t>tenc</w:t>
      </w:r>
      <w:bookmarkEnd w:id="56"/>
      <w:bookmarkEnd w:id="57"/>
      <w:r w:rsidR="009A5C24" w:rsidRPr="00065280">
        <w:rPr>
          <w:lang w:val="es-419"/>
        </w:rPr>
        <w:t>ia</w:t>
      </w:r>
      <w:bookmarkEnd w:id="58"/>
    </w:p>
    <w:p w14:paraId="0FA73EFD" w14:textId="3564BA21" w:rsidR="002B38F5" w:rsidRPr="00065280" w:rsidRDefault="009A5C24" w:rsidP="00A02EDB">
      <w:pPr>
        <w:pStyle w:val="CBDNormalNumber"/>
        <w:rPr>
          <w:lang w:val="es-419"/>
        </w:rPr>
      </w:pPr>
      <w:r w:rsidRPr="00065280">
        <w:rPr>
          <w:lang w:val="es-419"/>
        </w:rPr>
        <w:t>Asistieron a la reunión 158 Partes y 18 Estados que no son Partes</w:t>
      </w:r>
      <w:r w:rsidRPr="00065280">
        <w:rPr>
          <w:rStyle w:val="FootnoteReference"/>
          <w:lang w:val="es-419"/>
        </w:rPr>
        <w:footnoteReference w:id="60"/>
      </w:r>
      <w:r w:rsidRPr="00065280">
        <w:rPr>
          <w:lang w:val="es-419"/>
        </w:rPr>
        <w:t>.</w:t>
      </w:r>
    </w:p>
    <w:p w14:paraId="754BCDA1" w14:textId="3FD8494C" w:rsidR="00557370" w:rsidRPr="00065280" w:rsidRDefault="009A5C24" w:rsidP="006F791E">
      <w:pPr>
        <w:pStyle w:val="CBDAgendaItem"/>
        <w:rPr>
          <w:lang w:val="es-419"/>
        </w:rPr>
      </w:pPr>
      <w:bookmarkStart w:id="59" w:name="_Toc194919565"/>
      <w:bookmarkStart w:id="60" w:name="_Toc199016618"/>
      <w:r w:rsidRPr="00065280">
        <w:rPr>
          <w:lang w:val="es-419"/>
        </w:rPr>
        <w:t>T</w:t>
      </w:r>
      <w:r w:rsidR="004E26AC" w:rsidRPr="00065280">
        <w:rPr>
          <w:lang w:val="es-419"/>
        </w:rPr>
        <w:t>em</w:t>
      </w:r>
      <w:r w:rsidRPr="00065280">
        <w:rPr>
          <w:lang w:val="es-419"/>
        </w:rPr>
        <w:t>a</w:t>
      </w:r>
      <w:r w:rsidR="004E26AC" w:rsidRPr="00065280">
        <w:rPr>
          <w:lang w:val="es-419"/>
        </w:rPr>
        <w:t xml:space="preserve"> 1</w:t>
      </w:r>
      <w:r w:rsidR="00A26CD4" w:rsidRPr="00065280">
        <w:rPr>
          <w:lang w:val="es-419"/>
        </w:rPr>
        <w:br/>
      </w:r>
      <w:bookmarkEnd w:id="59"/>
      <w:r w:rsidRPr="00065280">
        <w:rPr>
          <w:lang w:val="es-419"/>
        </w:rPr>
        <w:t>Apertura de la reunión</w:t>
      </w:r>
      <w:bookmarkEnd w:id="60"/>
    </w:p>
    <w:p w14:paraId="2481AAC2" w14:textId="77777777" w:rsidR="009A5C24" w:rsidRPr="00065280" w:rsidRDefault="009A5C24" w:rsidP="009C147A">
      <w:pPr>
        <w:pStyle w:val="CBDNormalNumber"/>
        <w:rPr>
          <w:lang w:val="es-419"/>
        </w:rPr>
      </w:pPr>
      <w:r w:rsidRPr="00065280">
        <w:rPr>
          <w:lang w:val="es-419"/>
        </w:rPr>
        <w:t>La primera sesión plenaria se celebró el 21 de octubre de 2024 conjuntamente con las sesiones plenarias de la Conferencia de las Partes en el Convenio y de la Conferencia de las Partes que actúa como reunión de las Partes en el Protocolo de Nagoya.</w:t>
      </w:r>
    </w:p>
    <w:p w14:paraId="1D80A3FA" w14:textId="77777777" w:rsidR="009A5C24" w:rsidRPr="00065280" w:rsidRDefault="009A5C24" w:rsidP="009A5C24">
      <w:pPr>
        <w:pStyle w:val="CBDNormalNumber"/>
        <w:rPr>
          <w:lang w:val="es-419"/>
        </w:rPr>
      </w:pPr>
      <w:r w:rsidRPr="00065280">
        <w:rPr>
          <w:lang w:val="es-419"/>
        </w:rPr>
        <w:t>El Presidente de la 15ª reunión de la Conferencia de las Partes en el Convenio declaró abiertas las reuniones a las 9.30 horas y pronunció un discurso de apertura.</w:t>
      </w:r>
    </w:p>
    <w:p w14:paraId="6BB16820" w14:textId="6B1F7CF1" w:rsidR="000C4370" w:rsidRPr="00065280" w:rsidRDefault="009A5C24" w:rsidP="009A5C24">
      <w:pPr>
        <w:pStyle w:val="CBDNormalNumber"/>
        <w:rPr>
          <w:lang w:val="es-419"/>
        </w:rPr>
      </w:pPr>
      <w:r w:rsidRPr="00065280">
        <w:rPr>
          <w:lang w:val="es-419"/>
        </w:rPr>
        <w:t xml:space="preserve">También pronunciaron discursos de apertura la </w:t>
      </w:r>
      <w:r w:rsidRPr="00065280">
        <w:rPr>
          <w:rFonts w:asciiTheme="majorBidi" w:hAnsiTheme="majorBidi"/>
          <w:lang w:val="es-419"/>
        </w:rPr>
        <w:t>Secretaria Ejecutiva del Convenio, Astrid Schomaker, y la Presidenta entrante de la 16ª reunión de la Conferencia de las Partes en el Convenio,</w:t>
      </w:r>
      <w:r w:rsidRPr="00065280">
        <w:rPr>
          <w:lang w:val="es-419"/>
        </w:rPr>
        <w:t xml:space="preserve"> Ministra de Ambiente y Desarrollo Sostenible de Colombia</w:t>
      </w:r>
      <w:r w:rsidRPr="00065280">
        <w:rPr>
          <w:rStyle w:val="FootnoteReference"/>
          <w:rFonts w:asciiTheme="majorBidi" w:hAnsiTheme="majorBidi" w:cstheme="majorBidi"/>
          <w:lang w:val="es-419"/>
        </w:rPr>
        <w:footnoteReference w:id="61"/>
      </w:r>
      <w:r w:rsidRPr="00065280">
        <w:rPr>
          <w:rFonts w:asciiTheme="majorBidi" w:hAnsiTheme="majorBidi"/>
          <w:lang w:val="es-419"/>
        </w:rPr>
        <w:t>.</w:t>
      </w:r>
    </w:p>
    <w:p w14:paraId="6BAF2CC3" w14:textId="01D808BD" w:rsidR="00AB5B92" w:rsidRPr="00065280" w:rsidRDefault="009A5C24" w:rsidP="00AB5B92">
      <w:pPr>
        <w:pStyle w:val="CBDNormalNoNumber"/>
        <w:keepNext/>
        <w:rPr>
          <w:i/>
          <w:iCs/>
          <w:snapToGrid w:val="0"/>
          <w:lang w:val="es-419"/>
        </w:rPr>
      </w:pPr>
      <w:bookmarkStart w:id="61" w:name="_Hlk191390186"/>
      <w:bookmarkStart w:id="62" w:name="_Hlk191390535"/>
      <w:r w:rsidRPr="00065280">
        <w:rPr>
          <w:i/>
          <w:iCs/>
          <w:snapToGrid w:val="0"/>
          <w:lang w:val="es-419"/>
        </w:rPr>
        <w:t>Continuación de la reunión</w:t>
      </w:r>
    </w:p>
    <w:bookmarkEnd w:id="61"/>
    <w:p w14:paraId="50377CA9" w14:textId="5AD04D02" w:rsidR="00AB5B92" w:rsidRPr="00065280" w:rsidRDefault="009A5C24" w:rsidP="00AB5B92">
      <w:pPr>
        <w:pStyle w:val="CBDNormalNumber"/>
        <w:rPr>
          <w:lang w:val="es-419"/>
        </w:rPr>
      </w:pPr>
      <w:r w:rsidRPr="00065280">
        <w:rPr>
          <w:lang w:val="es-419"/>
        </w:rPr>
        <w:t>La Presidenta de la 11ª reunión de la Conferencia de las Partes que actúa como reunión de las Partes en el Protocolo, Ministra de Ambiente y Desarrollo Sostenible de Colombia</w:t>
      </w:r>
      <w:r w:rsidRPr="00065280">
        <w:rPr>
          <w:rStyle w:val="FootnoteReference"/>
          <w:lang w:val="es-419"/>
        </w:rPr>
        <w:footnoteReference w:id="62"/>
      </w:r>
      <w:r w:rsidRPr="00065280">
        <w:rPr>
          <w:lang w:val="es-419"/>
        </w:rPr>
        <w:t>, abrió la segunda continuación de la reunión a las 10.10 horas del 25 de febrero de 2025, en la séptima sesión plenaria</w:t>
      </w:r>
      <w:r w:rsidRPr="00065280">
        <w:rPr>
          <w:rStyle w:val="FootnoteReference"/>
          <w:lang w:val="es-419"/>
        </w:rPr>
        <w:footnoteReference w:id="63"/>
      </w:r>
      <w:r w:rsidRPr="00065280">
        <w:rPr>
          <w:lang w:val="es-419"/>
        </w:rPr>
        <w:t>.</w:t>
      </w:r>
      <w:r w:rsidR="00AB5B92" w:rsidRPr="00065280">
        <w:rPr>
          <w:lang w:val="es-419"/>
        </w:rPr>
        <w:t xml:space="preserve"> </w:t>
      </w:r>
    </w:p>
    <w:p w14:paraId="7BB640DF" w14:textId="712A22FF" w:rsidR="00AB5B92" w:rsidRPr="00065280" w:rsidRDefault="009A5C24" w:rsidP="00AB5B92">
      <w:pPr>
        <w:pStyle w:val="CBDNormalNumber"/>
        <w:rPr>
          <w:lang w:val="es-419"/>
        </w:rPr>
      </w:pPr>
      <w:r w:rsidRPr="00065280">
        <w:rPr>
          <w:lang w:val="es-419"/>
        </w:rPr>
        <w:lastRenderedPageBreak/>
        <w:t>La Presidenta, la Secretaria Ejecutiva y la Directora Ejecutiva Adjunta del Programa de las Naciones Unidas para el Medio Ambiente, Elizabeth Mrema, en nombre del Secretario General, pronunciaron discursos de apertura</w:t>
      </w:r>
      <w:r w:rsidRPr="00065280">
        <w:rPr>
          <w:rStyle w:val="FootnoteReference"/>
          <w:rFonts w:asciiTheme="majorBidi" w:hAnsiTheme="majorBidi" w:cstheme="majorBidi"/>
          <w:lang w:val="es-419"/>
        </w:rPr>
        <w:footnoteReference w:id="64"/>
      </w:r>
      <w:r w:rsidRPr="00065280">
        <w:rPr>
          <w:lang w:val="es-419"/>
        </w:rPr>
        <w:t>.</w:t>
      </w:r>
    </w:p>
    <w:p w14:paraId="71865ABA" w14:textId="6325D775" w:rsidR="00557370" w:rsidRPr="00065280" w:rsidRDefault="008B30B7" w:rsidP="00314360">
      <w:pPr>
        <w:pStyle w:val="CBDAgendaItem"/>
        <w:rPr>
          <w:lang w:val="es-419"/>
        </w:rPr>
      </w:pPr>
      <w:bookmarkStart w:id="63" w:name="_Toc194919566"/>
      <w:bookmarkStart w:id="64" w:name="_Toc199016619"/>
      <w:bookmarkEnd w:id="62"/>
      <w:r w:rsidRPr="00065280">
        <w:rPr>
          <w:lang w:val="es-419"/>
        </w:rPr>
        <w:t>T</w:t>
      </w:r>
      <w:r w:rsidR="00CD3E49" w:rsidRPr="00065280">
        <w:rPr>
          <w:lang w:val="es-419"/>
        </w:rPr>
        <w:t>em</w:t>
      </w:r>
      <w:r w:rsidRPr="00065280">
        <w:rPr>
          <w:lang w:val="es-419"/>
        </w:rPr>
        <w:t>a</w:t>
      </w:r>
      <w:r w:rsidR="00CD3E49" w:rsidRPr="00065280">
        <w:rPr>
          <w:lang w:val="es-419"/>
        </w:rPr>
        <w:t xml:space="preserve"> 2</w:t>
      </w:r>
      <w:r w:rsidR="00AF39A8" w:rsidRPr="00065280">
        <w:rPr>
          <w:lang w:val="es-419"/>
        </w:rPr>
        <w:br/>
      </w:r>
      <w:bookmarkEnd w:id="63"/>
      <w:r w:rsidRPr="00065280">
        <w:rPr>
          <w:lang w:val="es-419"/>
        </w:rPr>
        <w:t>Cuestiones de organización</w:t>
      </w:r>
      <w:bookmarkEnd w:id="64"/>
    </w:p>
    <w:p w14:paraId="42634785" w14:textId="77777777" w:rsidR="008B30B7" w:rsidRPr="00065280" w:rsidRDefault="008B30B7" w:rsidP="009C147A">
      <w:pPr>
        <w:pStyle w:val="CBDNormalNumber"/>
        <w:rPr>
          <w:lang w:val="es-419"/>
        </w:rPr>
      </w:pPr>
      <w:r w:rsidRPr="00065280">
        <w:rPr>
          <w:lang w:val="es-419"/>
        </w:rPr>
        <w:t>La Conferencia de las Partes que actúa como reunión de las Partes en el Protocolo consideró el tema 2 del programa en su primera sesión plenaria. Tuvo ante sí un programa provisional</w:t>
      </w:r>
      <w:r w:rsidRPr="00065280">
        <w:rPr>
          <w:rStyle w:val="FootnoteReference"/>
          <w:lang w:val="es-419"/>
        </w:rPr>
        <w:footnoteReference w:id="65"/>
      </w:r>
      <w:r w:rsidRPr="00065280">
        <w:rPr>
          <w:lang w:val="es-419"/>
        </w:rPr>
        <w:t>, unas anotaciones al programa provisional</w:t>
      </w:r>
      <w:r w:rsidRPr="00065280">
        <w:rPr>
          <w:rStyle w:val="FootnoteReference"/>
          <w:lang w:val="es-419"/>
        </w:rPr>
        <w:footnoteReference w:id="66"/>
      </w:r>
      <w:r w:rsidRPr="00065280">
        <w:rPr>
          <w:lang w:val="es-419"/>
        </w:rPr>
        <w:t xml:space="preserve"> y una propuesta de organización de los trabajos</w:t>
      </w:r>
      <w:r w:rsidRPr="00065280">
        <w:rPr>
          <w:rStyle w:val="FootnoteReference"/>
          <w:lang w:val="es-419"/>
        </w:rPr>
        <w:footnoteReference w:id="67"/>
      </w:r>
      <w:r w:rsidRPr="00065280">
        <w:rPr>
          <w:lang w:val="es-419"/>
        </w:rPr>
        <w:t>. En relación con el tema 2, también se había publicado un documento de información sobre los procedimientos de las elecciones para cubrir los cargos de vicepresidencia de la Conferencia de las Partes en el Convenio y de presidencia de los órganos subsidiarios intergubernamentales</w:t>
      </w:r>
      <w:r w:rsidRPr="00065280">
        <w:rPr>
          <w:rStyle w:val="FootnoteReference"/>
          <w:lang w:val="es-419"/>
        </w:rPr>
        <w:footnoteReference w:id="68"/>
      </w:r>
      <w:r w:rsidRPr="00065280">
        <w:rPr>
          <w:lang w:val="es-419"/>
        </w:rPr>
        <w:t>.</w:t>
      </w:r>
    </w:p>
    <w:p w14:paraId="75BB9D7E" w14:textId="77777777" w:rsidR="008B30B7" w:rsidRPr="00065280" w:rsidRDefault="008B30B7" w:rsidP="008B30B7">
      <w:pPr>
        <w:pStyle w:val="Heading2"/>
        <w:numPr>
          <w:ilvl w:val="0"/>
          <w:numId w:val="0"/>
        </w:numPr>
        <w:suppressLineNumbers/>
        <w:suppressAutoHyphens/>
        <w:ind w:left="567"/>
        <w:rPr>
          <w:rFonts w:asciiTheme="majorBidi" w:hAnsiTheme="majorBidi"/>
          <w:b w:val="0"/>
          <w:bCs/>
          <w:i/>
          <w:iCs/>
          <w:snapToGrid w:val="0"/>
          <w:kern w:val="22"/>
          <w:sz w:val="22"/>
          <w:szCs w:val="22"/>
          <w:lang w:val="es-419"/>
        </w:rPr>
      </w:pPr>
      <w:r w:rsidRPr="00065280">
        <w:rPr>
          <w:rFonts w:asciiTheme="majorBidi" w:hAnsiTheme="majorBidi"/>
          <w:b w:val="0"/>
          <w:i/>
          <w:snapToGrid w:val="0"/>
          <w:sz w:val="22"/>
          <w:lang w:val="es-419"/>
        </w:rPr>
        <w:t>Elección de la Presidencia</w:t>
      </w:r>
    </w:p>
    <w:p w14:paraId="3995E55B" w14:textId="77777777" w:rsidR="008B30B7" w:rsidRPr="00065280" w:rsidRDefault="008B30B7" w:rsidP="008B30B7">
      <w:pPr>
        <w:pStyle w:val="CBDNormalNumber"/>
        <w:rPr>
          <w:lang w:val="es-419"/>
        </w:rPr>
      </w:pPr>
      <w:r w:rsidRPr="00065280">
        <w:rPr>
          <w:lang w:val="es-419"/>
        </w:rPr>
        <w:t xml:space="preserve">Conforme a lo establecido en el artículo 29, párrafo 3, del Protocolo de Cartagena, la Mesa de la Conferencia de las Partes oficia también de Mesa de la Conferencia de las Partes que actúa como reunión de las Partes en el Protocolo. Por consiguiente, la Ministra de Ambiente y Desarrollo Sostenible de Colombia, que había sido elegida Presidenta de la 16ª reunión de la Conferencia de las Partes en el Convenio, ofició también de Presidenta de la 11ª reunión de la </w:t>
      </w:r>
      <w:bookmarkStart w:id="65" w:name="_Hlk530379052"/>
      <w:r w:rsidRPr="00065280">
        <w:rPr>
          <w:lang w:val="es-419"/>
        </w:rPr>
        <w:t>Conferencia de las Partes que actúa como reunión de las Partes en el Protocolo de Cartagena</w:t>
      </w:r>
      <w:bookmarkEnd w:id="65"/>
      <w:r w:rsidRPr="00065280">
        <w:rPr>
          <w:lang w:val="es-419"/>
        </w:rPr>
        <w:t>.</w:t>
      </w:r>
    </w:p>
    <w:p w14:paraId="468CB431" w14:textId="77777777" w:rsidR="008B30B7" w:rsidRPr="00065280" w:rsidRDefault="008B30B7" w:rsidP="008B30B7">
      <w:pPr>
        <w:pStyle w:val="Para1"/>
        <w:keepNext/>
        <w:tabs>
          <w:tab w:val="clear" w:pos="624"/>
        </w:tabs>
        <w:ind w:left="561"/>
        <w:rPr>
          <w:i/>
          <w:iCs/>
          <w:kern w:val="22"/>
          <w:lang w:val="es-419"/>
        </w:rPr>
      </w:pPr>
      <w:r w:rsidRPr="00065280">
        <w:rPr>
          <w:i/>
          <w:lang w:val="es-419"/>
        </w:rPr>
        <w:t>Elección de los miembros sustitutos de la Mesa</w:t>
      </w:r>
    </w:p>
    <w:p w14:paraId="1EE9975E" w14:textId="77777777" w:rsidR="008B30B7" w:rsidRPr="00065280" w:rsidRDefault="008B30B7" w:rsidP="008B30B7">
      <w:pPr>
        <w:pStyle w:val="CBDNormalNumber"/>
        <w:rPr>
          <w:lang w:val="es-419"/>
        </w:rPr>
      </w:pPr>
      <w:bookmarkStart w:id="66" w:name="_Hlk182205766"/>
      <w:r w:rsidRPr="00065280">
        <w:rPr>
          <w:lang w:val="es-419"/>
        </w:rPr>
        <w:t xml:space="preserve">De conformidad con el artículo 21 del Reglamento de las reuniones de la Conferencia de las Partes en el Convenio, que se aplica </w:t>
      </w:r>
      <w:r w:rsidRPr="00065280">
        <w:rPr>
          <w:i/>
          <w:iCs/>
          <w:lang w:val="es-419"/>
        </w:rPr>
        <w:t>mutatis mutandis</w:t>
      </w:r>
      <w:r w:rsidRPr="00065280">
        <w:rPr>
          <w:lang w:val="es-419"/>
        </w:rPr>
        <w:t xml:space="preserve"> a las reuniones de las Partes en el Protocolo, en su 15ª reunión la Conferencia de las Partes en el Convenio había elegido a diez miembros de la Mesa con un mandato que finalizaría al cierre de la 16ª reunión. </w:t>
      </w:r>
      <w:bookmarkEnd w:id="66"/>
      <w:r w:rsidRPr="00065280">
        <w:rPr>
          <w:snapToGrid w:val="0"/>
          <w:lang w:val="es-419"/>
        </w:rPr>
        <w:t>Posteriormente, un miembro de la Mesa había sido sustituido por la Parte correspondiente.</w:t>
      </w:r>
      <w:r w:rsidRPr="00065280">
        <w:rPr>
          <w:lang w:val="es-419"/>
        </w:rPr>
        <w:t xml:space="preserve"> Dado que todos los países representados eran Partes en el Protocolo de Cartagena</w:t>
      </w:r>
      <w:r w:rsidRPr="00065280">
        <w:rPr>
          <w:rFonts w:asciiTheme="majorBidi" w:hAnsiTheme="majorBidi"/>
          <w:lang w:val="es-419"/>
        </w:rPr>
        <w:t xml:space="preserve">, la Mesa de la 11ª reunión </w:t>
      </w:r>
      <w:r w:rsidRPr="00065280">
        <w:rPr>
          <w:color w:val="000000"/>
          <w:lang w:val="es-419"/>
        </w:rPr>
        <w:t xml:space="preserve">de la Conferencia </w:t>
      </w:r>
      <w:r w:rsidRPr="00065280">
        <w:rPr>
          <w:rFonts w:asciiTheme="majorBidi" w:hAnsiTheme="majorBidi"/>
          <w:lang w:val="es-419"/>
        </w:rPr>
        <w:t xml:space="preserve">de las Partes </w:t>
      </w:r>
      <w:r w:rsidRPr="00065280">
        <w:rPr>
          <w:color w:val="000000"/>
          <w:lang w:val="es-419"/>
        </w:rPr>
        <w:t>que actúa como reunión de las Partes</w:t>
      </w:r>
      <w:r w:rsidRPr="00065280">
        <w:rPr>
          <w:rFonts w:asciiTheme="majorBidi" w:hAnsiTheme="majorBidi"/>
          <w:lang w:val="es-419"/>
        </w:rPr>
        <w:t xml:space="preserve"> en el Protocolo estuvo conformada por los siguientes miembros, además de la Presidenta:</w:t>
      </w:r>
    </w:p>
    <w:p w14:paraId="0260A348" w14:textId="77777777" w:rsidR="008B30B7" w:rsidRPr="00065280" w:rsidRDefault="008B30B7" w:rsidP="008B30B7">
      <w:pPr>
        <w:pStyle w:val="CBDNormalNumber"/>
        <w:numPr>
          <w:ilvl w:val="0"/>
          <w:numId w:val="0"/>
        </w:numPr>
        <w:tabs>
          <w:tab w:val="clear" w:pos="567"/>
        </w:tabs>
        <w:ind w:left="1134"/>
        <w:rPr>
          <w:lang w:val="es-419"/>
        </w:rPr>
      </w:pPr>
      <w:r w:rsidRPr="00065280">
        <w:rPr>
          <w:lang w:val="es-419"/>
        </w:rPr>
        <w:t xml:space="preserve">Khangeziwe Mabuza (Eswatini) </w:t>
      </w:r>
    </w:p>
    <w:p w14:paraId="5064A220" w14:textId="77777777" w:rsidR="008B30B7" w:rsidRPr="00065280" w:rsidRDefault="008B30B7" w:rsidP="008B30B7">
      <w:pPr>
        <w:pStyle w:val="CBDNormalNumber"/>
        <w:numPr>
          <w:ilvl w:val="0"/>
          <w:numId w:val="0"/>
        </w:numPr>
        <w:tabs>
          <w:tab w:val="clear" w:pos="567"/>
        </w:tabs>
        <w:ind w:left="1134"/>
        <w:rPr>
          <w:lang w:val="es-419"/>
        </w:rPr>
      </w:pPr>
      <w:r w:rsidRPr="00065280">
        <w:rPr>
          <w:lang w:val="es-419"/>
        </w:rPr>
        <w:t>Abderahmane Zino Izourar (Argelia)</w:t>
      </w:r>
    </w:p>
    <w:p w14:paraId="3FAC7C78" w14:textId="77777777" w:rsidR="008B30B7" w:rsidRPr="00065280" w:rsidRDefault="008B30B7" w:rsidP="008B30B7">
      <w:pPr>
        <w:pStyle w:val="CBDNormalNumber"/>
        <w:numPr>
          <w:ilvl w:val="0"/>
          <w:numId w:val="0"/>
        </w:numPr>
        <w:tabs>
          <w:tab w:val="clear" w:pos="567"/>
        </w:tabs>
        <w:ind w:left="1134"/>
        <w:rPr>
          <w:lang w:val="es-419"/>
        </w:rPr>
      </w:pPr>
      <w:r w:rsidRPr="00065280">
        <w:rPr>
          <w:lang w:val="es-419"/>
        </w:rPr>
        <w:t>Krishneel Nand (Fiji)</w:t>
      </w:r>
    </w:p>
    <w:p w14:paraId="572FE614" w14:textId="77777777" w:rsidR="008B30B7" w:rsidRPr="00065280" w:rsidRDefault="008B30B7" w:rsidP="008B30B7">
      <w:pPr>
        <w:pStyle w:val="CBDNormalNumber"/>
        <w:numPr>
          <w:ilvl w:val="0"/>
          <w:numId w:val="0"/>
        </w:numPr>
        <w:tabs>
          <w:tab w:val="clear" w:pos="567"/>
        </w:tabs>
        <w:ind w:left="1134"/>
        <w:rPr>
          <w:lang w:val="es-419"/>
        </w:rPr>
      </w:pPr>
      <w:r w:rsidRPr="00065280">
        <w:rPr>
          <w:lang w:val="es-419"/>
        </w:rPr>
        <w:t>Somaly Chan (Camboya)</w:t>
      </w:r>
    </w:p>
    <w:p w14:paraId="639A68FA" w14:textId="77777777" w:rsidR="008B30B7" w:rsidRPr="00065280" w:rsidRDefault="008B30B7" w:rsidP="008B30B7">
      <w:pPr>
        <w:pStyle w:val="CBDNormalNumber"/>
        <w:numPr>
          <w:ilvl w:val="0"/>
          <w:numId w:val="0"/>
        </w:numPr>
        <w:tabs>
          <w:tab w:val="clear" w:pos="567"/>
        </w:tabs>
        <w:ind w:left="1134"/>
        <w:rPr>
          <w:lang w:val="es-419"/>
        </w:rPr>
      </w:pPr>
      <w:r w:rsidRPr="00065280">
        <w:rPr>
          <w:lang w:val="es-419"/>
        </w:rPr>
        <w:t>Teona Karchava (Georgia)</w:t>
      </w:r>
    </w:p>
    <w:p w14:paraId="35BA2540" w14:textId="77777777" w:rsidR="008B30B7" w:rsidRPr="00065280" w:rsidRDefault="008B30B7" w:rsidP="008B30B7">
      <w:pPr>
        <w:pStyle w:val="CBDNormalNumber"/>
        <w:numPr>
          <w:ilvl w:val="0"/>
          <w:numId w:val="0"/>
        </w:numPr>
        <w:tabs>
          <w:tab w:val="clear" w:pos="567"/>
        </w:tabs>
        <w:ind w:left="1134"/>
        <w:rPr>
          <w:lang w:val="es-419"/>
        </w:rPr>
      </w:pPr>
      <w:r w:rsidRPr="00065280">
        <w:rPr>
          <w:lang w:val="es-419"/>
        </w:rPr>
        <w:t>Angela Lozan (República de Moldova)</w:t>
      </w:r>
    </w:p>
    <w:p w14:paraId="4133C757" w14:textId="77777777" w:rsidR="008B30B7" w:rsidRPr="00065280" w:rsidRDefault="008B30B7" w:rsidP="008B30B7">
      <w:pPr>
        <w:pStyle w:val="CBDNormalNumber"/>
        <w:numPr>
          <w:ilvl w:val="0"/>
          <w:numId w:val="0"/>
        </w:numPr>
        <w:tabs>
          <w:tab w:val="clear" w:pos="567"/>
        </w:tabs>
        <w:ind w:left="1134"/>
        <w:rPr>
          <w:lang w:val="es-419"/>
        </w:rPr>
      </w:pPr>
      <w:r w:rsidRPr="00065280">
        <w:rPr>
          <w:lang w:val="es-419"/>
        </w:rPr>
        <w:t>Gillian Guthrie (Jamaica)</w:t>
      </w:r>
    </w:p>
    <w:p w14:paraId="7A732C32" w14:textId="77777777" w:rsidR="008B30B7" w:rsidRPr="00065280" w:rsidRDefault="008B30B7" w:rsidP="008B30B7">
      <w:pPr>
        <w:pStyle w:val="CBDNormalNumber"/>
        <w:numPr>
          <w:ilvl w:val="0"/>
          <w:numId w:val="0"/>
        </w:numPr>
        <w:tabs>
          <w:tab w:val="clear" w:pos="567"/>
        </w:tabs>
        <w:ind w:left="1134"/>
        <w:rPr>
          <w:lang w:val="es-419"/>
        </w:rPr>
      </w:pPr>
      <w:r w:rsidRPr="00065280">
        <w:rPr>
          <w:lang w:val="es-419"/>
        </w:rPr>
        <w:t>María Teresa Becerra Ramírez (Colombia)</w:t>
      </w:r>
    </w:p>
    <w:p w14:paraId="2F7360F8" w14:textId="77777777" w:rsidR="008B30B7" w:rsidRPr="00065280" w:rsidRDefault="008B30B7" w:rsidP="008B30B7">
      <w:pPr>
        <w:pStyle w:val="CBDNormalNumber"/>
        <w:numPr>
          <w:ilvl w:val="0"/>
          <w:numId w:val="0"/>
        </w:numPr>
        <w:tabs>
          <w:tab w:val="clear" w:pos="567"/>
        </w:tabs>
        <w:ind w:left="1134"/>
        <w:rPr>
          <w:lang w:val="es-419"/>
        </w:rPr>
      </w:pPr>
      <w:r w:rsidRPr="00065280">
        <w:rPr>
          <w:lang w:val="es-419"/>
        </w:rPr>
        <w:t>Eric Schauls (Luxemburgo)</w:t>
      </w:r>
    </w:p>
    <w:p w14:paraId="785BC5A9" w14:textId="77777777" w:rsidR="008B30B7" w:rsidRPr="00065280" w:rsidRDefault="008B30B7" w:rsidP="008B30B7">
      <w:pPr>
        <w:pStyle w:val="CBDNormalNumber"/>
        <w:numPr>
          <w:ilvl w:val="0"/>
          <w:numId w:val="0"/>
        </w:numPr>
        <w:tabs>
          <w:tab w:val="clear" w:pos="567"/>
        </w:tabs>
        <w:ind w:left="1134"/>
        <w:rPr>
          <w:lang w:val="es-419"/>
        </w:rPr>
      </w:pPr>
      <w:r w:rsidRPr="00065280">
        <w:rPr>
          <w:lang w:val="es-419"/>
        </w:rPr>
        <w:t>Norbert Bärlocher (Suiza)</w:t>
      </w:r>
    </w:p>
    <w:p w14:paraId="73BACDBE" w14:textId="77777777" w:rsidR="008B30B7" w:rsidRPr="00065280" w:rsidRDefault="008B30B7" w:rsidP="008B30B7">
      <w:pPr>
        <w:pStyle w:val="CBDNormalNumber"/>
        <w:rPr>
          <w:lang w:val="es-419"/>
        </w:rPr>
      </w:pPr>
      <w:r w:rsidRPr="00065280">
        <w:rPr>
          <w:lang w:val="es-419"/>
        </w:rPr>
        <w:lastRenderedPageBreak/>
        <w:t>A propuesta de la Mesa, la Conferencia de las Partes que actúa como reunión de las Partes en el Protocolo convino en que la Sra. Chan oficiaría de Relatora de la reunión.</w:t>
      </w:r>
    </w:p>
    <w:p w14:paraId="6073DAD9" w14:textId="4B1AF31E" w:rsidR="008B30B7" w:rsidRPr="00065280" w:rsidRDefault="008B30B7" w:rsidP="008B30B7">
      <w:pPr>
        <w:pStyle w:val="CBDNormalNumber"/>
        <w:tabs>
          <w:tab w:val="clear" w:pos="567"/>
          <w:tab w:val="clear" w:pos="1701"/>
          <w:tab w:val="clear" w:pos="2268"/>
        </w:tabs>
        <w:rPr>
          <w:lang w:val="es-419"/>
        </w:rPr>
      </w:pPr>
      <w:bookmarkStart w:id="67" w:name="_Hlk182203834"/>
      <w:r w:rsidRPr="00065280">
        <w:rPr>
          <w:lang w:val="es-419"/>
        </w:rPr>
        <w:t>En su tercera sesión plenaria, el 30 de octubre, de conformidad con el artículo</w:t>
      </w:r>
      <w:r w:rsidR="001633D5">
        <w:rPr>
          <w:lang w:val="es-419"/>
        </w:rPr>
        <w:t xml:space="preserve"> </w:t>
      </w:r>
      <w:r w:rsidRPr="00065280">
        <w:rPr>
          <w:lang w:val="es-419"/>
        </w:rPr>
        <w:t>21 del Reglamento, la Conferencia de las Partes en el Convenio eligió a los siguientes representantes para que integraran la Mesa, con un mandato que comenzaría al cierre de su 16</w:t>
      </w:r>
      <w:r w:rsidRPr="00065280">
        <w:rPr>
          <w:vertAlign w:val="superscript"/>
          <w:lang w:val="es-419"/>
        </w:rPr>
        <w:t>a</w:t>
      </w:r>
      <w:r w:rsidRPr="00065280">
        <w:rPr>
          <w:lang w:val="es-419"/>
        </w:rPr>
        <w:t> reunión, y por lo tanto para que integraran también la Mesa de la Conferencia de las Partes que actúa como reunión de las Partes en el Protocolo a partir del cierre de su 11</w:t>
      </w:r>
      <w:r w:rsidRPr="00065280">
        <w:rPr>
          <w:vertAlign w:val="superscript"/>
          <w:lang w:val="es-419"/>
        </w:rPr>
        <w:t>a</w:t>
      </w:r>
      <w:r w:rsidRPr="00065280">
        <w:rPr>
          <w:lang w:val="es-419"/>
        </w:rPr>
        <w:t xml:space="preserve"> reunión: </w:t>
      </w:r>
    </w:p>
    <w:p w14:paraId="579F952A" w14:textId="77777777" w:rsidR="008B30B7" w:rsidRPr="00065280" w:rsidRDefault="008B30B7" w:rsidP="008B30B7">
      <w:pPr>
        <w:pStyle w:val="CBDNormalNumber"/>
        <w:numPr>
          <w:ilvl w:val="0"/>
          <w:numId w:val="0"/>
        </w:numPr>
        <w:tabs>
          <w:tab w:val="clear" w:pos="567"/>
        </w:tabs>
        <w:ind w:left="1134"/>
        <w:rPr>
          <w:lang w:val="es-419"/>
        </w:rPr>
      </w:pPr>
      <w:r w:rsidRPr="00065280">
        <w:rPr>
          <w:lang w:val="es-419"/>
        </w:rPr>
        <w:t xml:space="preserve">Joséphine Thérèse Babette Beyala Epse Eloundou (Camerún) </w:t>
      </w:r>
    </w:p>
    <w:p w14:paraId="202A6066" w14:textId="77777777" w:rsidR="008B30B7" w:rsidRPr="00065280" w:rsidRDefault="008B30B7" w:rsidP="008B30B7">
      <w:pPr>
        <w:pStyle w:val="CBDNormalNumber"/>
        <w:numPr>
          <w:ilvl w:val="0"/>
          <w:numId w:val="0"/>
        </w:numPr>
        <w:tabs>
          <w:tab w:val="clear" w:pos="567"/>
        </w:tabs>
        <w:ind w:left="1134"/>
        <w:rPr>
          <w:lang w:val="es-419"/>
        </w:rPr>
      </w:pPr>
      <w:r w:rsidRPr="00065280">
        <w:rPr>
          <w:lang w:val="es-419"/>
        </w:rPr>
        <w:t>Jonas Komi Anthé (Togo)</w:t>
      </w:r>
    </w:p>
    <w:p w14:paraId="14C0F15D" w14:textId="77777777" w:rsidR="008B30B7" w:rsidRPr="00065280" w:rsidRDefault="008B30B7" w:rsidP="008B30B7">
      <w:pPr>
        <w:pStyle w:val="CBDNormalNumber"/>
        <w:numPr>
          <w:ilvl w:val="0"/>
          <w:numId w:val="0"/>
        </w:numPr>
        <w:tabs>
          <w:tab w:val="clear" w:pos="567"/>
        </w:tabs>
        <w:ind w:left="1134"/>
        <w:rPr>
          <w:lang w:val="es-419"/>
        </w:rPr>
      </w:pPr>
      <w:r w:rsidRPr="00065280">
        <w:rPr>
          <w:lang w:val="es-419"/>
        </w:rPr>
        <w:t>Bilal Qteshat (Jordania)</w:t>
      </w:r>
    </w:p>
    <w:p w14:paraId="48F83B20" w14:textId="77777777" w:rsidR="008B30B7" w:rsidRPr="00065280" w:rsidRDefault="008B30B7" w:rsidP="008B30B7">
      <w:pPr>
        <w:pStyle w:val="CBDNormalNumber"/>
        <w:numPr>
          <w:ilvl w:val="0"/>
          <w:numId w:val="0"/>
        </w:numPr>
        <w:tabs>
          <w:tab w:val="clear" w:pos="567"/>
        </w:tabs>
        <w:ind w:left="1134"/>
        <w:rPr>
          <w:lang w:val="es-419"/>
        </w:rPr>
      </w:pPr>
      <w:r w:rsidRPr="00065280">
        <w:rPr>
          <w:lang w:val="es-419"/>
        </w:rPr>
        <w:t>Illam Atho Mohamed (Maldivas)</w:t>
      </w:r>
    </w:p>
    <w:p w14:paraId="76011942" w14:textId="77777777" w:rsidR="008B30B7" w:rsidRPr="00065280" w:rsidRDefault="008B30B7" w:rsidP="008B30B7">
      <w:pPr>
        <w:pStyle w:val="CBDNormalNumber"/>
        <w:numPr>
          <w:ilvl w:val="0"/>
          <w:numId w:val="0"/>
        </w:numPr>
        <w:tabs>
          <w:tab w:val="clear" w:pos="567"/>
        </w:tabs>
        <w:ind w:left="1134"/>
        <w:rPr>
          <w:lang w:val="es-419"/>
        </w:rPr>
      </w:pPr>
      <w:r w:rsidRPr="00065280">
        <w:rPr>
          <w:lang w:val="es-419"/>
        </w:rPr>
        <w:t>Adla Kahrić (Bosnia y Herzegovina)</w:t>
      </w:r>
    </w:p>
    <w:p w14:paraId="2332E2A1" w14:textId="77777777" w:rsidR="008B30B7" w:rsidRPr="00065280" w:rsidRDefault="008B30B7" w:rsidP="008B30B7">
      <w:pPr>
        <w:pStyle w:val="CBDNormalNumber"/>
        <w:numPr>
          <w:ilvl w:val="0"/>
          <w:numId w:val="0"/>
        </w:numPr>
        <w:tabs>
          <w:tab w:val="clear" w:pos="567"/>
        </w:tabs>
        <w:ind w:left="1134"/>
        <w:rPr>
          <w:lang w:val="es-419"/>
        </w:rPr>
      </w:pPr>
      <w:r w:rsidRPr="00065280">
        <w:rPr>
          <w:lang w:val="es-419"/>
        </w:rPr>
        <w:t>Jakhongir Talipov (Uzbekistán)</w:t>
      </w:r>
    </w:p>
    <w:p w14:paraId="722CF275" w14:textId="77777777" w:rsidR="008B30B7" w:rsidRPr="00065280" w:rsidRDefault="008B30B7" w:rsidP="008B30B7">
      <w:pPr>
        <w:pStyle w:val="CBDNormalNumber"/>
        <w:numPr>
          <w:ilvl w:val="0"/>
          <w:numId w:val="0"/>
        </w:numPr>
        <w:tabs>
          <w:tab w:val="clear" w:pos="567"/>
        </w:tabs>
        <w:ind w:left="1134"/>
        <w:rPr>
          <w:lang w:val="es-419"/>
        </w:rPr>
      </w:pPr>
      <w:r w:rsidRPr="00065280">
        <w:rPr>
          <w:lang w:val="es-419"/>
        </w:rPr>
        <w:t>Corina Sarli (Argentina)</w:t>
      </w:r>
    </w:p>
    <w:p w14:paraId="415E66A5" w14:textId="77777777" w:rsidR="008B30B7" w:rsidRPr="00065280" w:rsidRDefault="008B30B7" w:rsidP="008B30B7">
      <w:pPr>
        <w:pStyle w:val="CBDNormalNumber"/>
        <w:numPr>
          <w:ilvl w:val="0"/>
          <w:numId w:val="0"/>
        </w:numPr>
        <w:tabs>
          <w:tab w:val="clear" w:pos="567"/>
        </w:tabs>
        <w:ind w:left="1134"/>
        <w:rPr>
          <w:lang w:val="es-419"/>
        </w:rPr>
      </w:pPr>
      <w:r w:rsidRPr="00065280">
        <w:rPr>
          <w:lang w:val="es-419"/>
        </w:rPr>
        <w:t>Gillian Guthrie (Jamaica)</w:t>
      </w:r>
    </w:p>
    <w:p w14:paraId="5D949065" w14:textId="77777777" w:rsidR="008B30B7" w:rsidRPr="00065280" w:rsidRDefault="008B30B7" w:rsidP="008B30B7">
      <w:pPr>
        <w:pStyle w:val="CBDNormalNumber"/>
        <w:numPr>
          <w:ilvl w:val="0"/>
          <w:numId w:val="0"/>
        </w:numPr>
        <w:tabs>
          <w:tab w:val="clear" w:pos="567"/>
        </w:tabs>
        <w:ind w:left="1134"/>
        <w:rPr>
          <w:lang w:val="es-419"/>
        </w:rPr>
      </w:pPr>
      <w:r w:rsidRPr="00065280">
        <w:rPr>
          <w:lang w:val="es-419"/>
        </w:rPr>
        <w:t>Gaute Hanssen (Noruega)</w:t>
      </w:r>
    </w:p>
    <w:p w14:paraId="27746555" w14:textId="77777777" w:rsidR="008B30B7" w:rsidRPr="00065280" w:rsidRDefault="008B30B7" w:rsidP="008B30B7">
      <w:pPr>
        <w:pStyle w:val="CBDNormalNumber"/>
        <w:numPr>
          <w:ilvl w:val="0"/>
          <w:numId w:val="0"/>
        </w:numPr>
        <w:tabs>
          <w:tab w:val="clear" w:pos="567"/>
        </w:tabs>
        <w:ind w:left="1134"/>
        <w:rPr>
          <w:lang w:val="es-419"/>
        </w:rPr>
      </w:pPr>
      <w:r w:rsidRPr="00065280">
        <w:rPr>
          <w:lang w:val="es-419"/>
        </w:rPr>
        <w:t>Eric Schauls (Luxemburgo)</w:t>
      </w:r>
    </w:p>
    <w:bookmarkEnd w:id="67"/>
    <w:p w14:paraId="37604446" w14:textId="77777777" w:rsidR="008B30B7" w:rsidRPr="00065280" w:rsidRDefault="008B30B7" w:rsidP="008B30B7">
      <w:pPr>
        <w:pStyle w:val="CBDNormalNumber"/>
        <w:rPr>
          <w:lang w:val="es-419"/>
        </w:rPr>
      </w:pPr>
      <w:r w:rsidRPr="00065280">
        <w:rPr>
          <w:lang w:val="es-419"/>
        </w:rPr>
        <w:t xml:space="preserve">En su cuarta sesión plenaria, el 31 de octubre, de conformidad con el artículo 29, párrafo 3, del Protocolo, la Conferencia de las Partes que actúa como reunión de las Partes en el Protocolo eligió a Gerardo Evia (Uruguay) como miembro de la Mesa del Protocolo de Cartagena, en sustitución de Corina Sarli (Argentina), ya que Argentina no es Parte en el Protocolo. </w:t>
      </w:r>
    </w:p>
    <w:p w14:paraId="0327F578" w14:textId="77777777" w:rsidR="008B30B7" w:rsidRPr="00065280" w:rsidRDefault="008B30B7" w:rsidP="008B30B7">
      <w:pPr>
        <w:pStyle w:val="Heading2"/>
        <w:numPr>
          <w:ilvl w:val="0"/>
          <w:numId w:val="0"/>
        </w:numPr>
        <w:suppressLineNumbers/>
        <w:suppressAutoHyphens/>
        <w:ind w:left="567"/>
        <w:rPr>
          <w:rFonts w:asciiTheme="majorBidi" w:hAnsiTheme="majorBidi"/>
          <w:b w:val="0"/>
          <w:bCs/>
          <w:i/>
          <w:iCs/>
          <w:snapToGrid w:val="0"/>
          <w:kern w:val="22"/>
          <w:sz w:val="22"/>
          <w:szCs w:val="22"/>
          <w:lang w:val="es-419"/>
        </w:rPr>
      </w:pPr>
      <w:r w:rsidRPr="00065280">
        <w:rPr>
          <w:rFonts w:asciiTheme="majorBidi" w:hAnsiTheme="majorBidi"/>
          <w:b w:val="0"/>
          <w:i/>
          <w:snapToGrid w:val="0"/>
          <w:sz w:val="22"/>
          <w:lang w:val="es-419"/>
        </w:rPr>
        <w:t xml:space="preserve">Adopción del programa </w:t>
      </w:r>
    </w:p>
    <w:p w14:paraId="2F00AD60" w14:textId="77777777" w:rsidR="008B30B7" w:rsidRPr="00065280" w:rsidRDefault="008B30B7" w:rsidP="008B30B7">
      <w:pPr>
        <w:pStyle w:val="CBDNormalNumber"/>
        <w:rPr>
          <w:lang w:val="es-419"/>
        </w:rPr>
      </w:pPr>
      <w:r w:rsidRPr="00065280">
        <w:rPr>
          <w:lang w:val="es-419"/>
        </w:rPr>
        <w:t>En su primera sesión plenaria, la Conferencia de las Partes que actúa como reunión de las Partes en el Protocolo adoptó el siguiente programa, sobre la base del programa provisional preparado por la Secretaría en consulta con la Mesa:</w:t>
      </w:r>
    </w:p>
    <w:p w14:paraId="4807F8DE" w14:textId="77777777" w:rsidR="008B30B7" w:rsidRPr="00065280" w:rsidRDefault="008B30B7" w:rsidP="008B30B7">
      <w:pPr>
        <w:pStyle w:val="CBDNormalNoNumber"/>
        <w:rPr>
          <w:lang w:val="es-419"/>
        </w:rPr>
      </w:pPr>
      <w:r w:rsidRPr="00065280">
        <w:rPr>
          <w:lang w:val="es-419"/>
        </w:rPr>
        <w:tab/>
        <w:t>1.</w:t>
      </w:r>
      <w:r w:rsidRPr="00065280">
        <w:rPr>
          <w:lang w:val="es-419"/>
        </w:rPr>
        <w:tab/>
        <w:t>Apertura de la reunión.</w:t>
      </w:r>
    </w:p>
    <w:p w14:paraId="74E347F1" w14:textId="77777777" w:rsidR="008B30B7" w:rsidRPr="00065280" w:rsidRDefault="008B30B7" w:rsidP="008B30B7">
      <w:pPr>
        <w:pStyle w:val="CBDNormalNoNumber"/>
        <w:rPr>
          <w:lang w:val="es-419"/>
        </w:rPr>
      </w:pPr>
      <w:r w:rsidRPr="00065280">
        <w:rPr>
          <w:lang w:val="es-419"/>
        </w:rPr>
        <w:tab/>
        <w:t>2.</w:t>
      </w:r>
      <w:r w:rsidRPr="00065280">
        <w:rPr>
          <w:lang w:val="es-419"/>
        </w:rPr>
        <w:tab/>
        <w:t>Cuestiones de organización.</w:t>
      </w:r>
    </w:p>
    <w:p w14:paraId="4E4BECF3" w14:textId="77777777" w:rsidR="008B30B7" w:rsidRPr="00065280" w:rsidRDefault="008B30B7" w:rsidP="008B30B7">
      <w:pPr>
        <w:pStyle w:val="CBDNormalNoNumber"/>
        <w:ind w:left="1701" w:hanging="1134"/>
        <w:rPr>
          <w:lang w:val="es-419"/>
        </w:rPr>
      </w:pPr>
      <w:r w:rsidRPr="00065280">
        <w:rPr>
          <w:lang w:val="es-419"/>
        </w:rPr>
        <w:tab/>
        <w:t>3.</w:t>
      </w:r>
      <w:r w:rsidRPr="00065280">
        <w:rPr>
          <w:lang w:val="es-419"/>
        </w:rPr>
        <w:tab/>
        <w:t>Informe sobre las credenciales de los representantes que participan en la 11</w:t>
      </w:r>
      <w:r w:rsidRPr="00065280">
        <w:rPr>
          <w:vertAlign w:val="superscript"/>
          <w:lang w:val="es-419"/>
        </w:rPr>
        <w:t>a</w:t>
      </w:r>
      <w:r w:rsidRPr="00065280">
        <w:rPr>
          <w:lang w:val="es-419"/>
        </w:rPr>
        <w:t xml:space="preserve"> reunión de la Conferencia de las Partes que actúa como reunión de las Partes en el Protocolo de Cartagena.</w:t>
      </w:r>
    </w:p>
    <w:p w14:paraId="51CDFE9E" w14:textId="77777777" w:rsidR="008B30B7" w:rsidRPr="00065280" w:rsidRDefault="008B30B7" w:rsidP="008B30B7">
      <w:pPr>
        <w:pStyle w:val="CBDNormalNoNumber"/>
        <w:ind w:left="1701" w:hanging="1134"/>
        <w:rPr>
          <w:lang w:val="es-419"/>
        </w:rPr>
      </w:pPr>
      <w:r w:rsidRPr="00065280">
        <w:rPr>
          <w:lang w:val="es-419"/>
        </w:rPr>
        <w:tab/>
        <w:t>4.</w:t>
      </w:r>
      <w:r w:rsidRPr="00065280">
        <w:rPr>
          <w:lang w:val="es-419"/>
        </w:rPr>
        <w:tab/>
        <w:t>Informes de los órganos subsidiarios.</w:t>
      </w:r>
    </w:p>
    <w:p w14:paraId="66ADD328" w14:textId="77777777" w:rsidR="008B30B7" w:rsidRPr="00065280" w:rsidRDefault="008B30B7" w:rsidP="008B30B7">
      <w:pPr>
        <w:pStyle w:val="CBDNormalNoNumber"/>
        <w:ind w:left="1701" w:hanging="1134"/>
        <w:rPr>
          <w:lang w:val="es-419"/>
        </w:rPr>
      </w:pPr>
      <w:r w:rsidRPr="00065280">
        <w:rPr>
          <w:lang w:val="es-419"/>
        </w:rPr>
        <w:tab/>
        <w:t>5.</w:t>
      </w:r>
      <w:r w:rsidRPr="00065280">
        <w:rPr>
          <w:lang w:val="es-419"/>
        </w:rPr>
        <w:tab/>
        <w:t>Informe del Comité de Cumplimiento.</w:t>
      </w:r>
    </w:p>
    <w:p w14:paraId="358A849E" w14:textId="12D74415" w:rsidR="008B30B7" w:rsidRPr="00065280" w:rsidRDefault="008B30B7" w:rsidP="008B30B7">
      <w:pPr>
        <w:pStyle w:val="CBDNormalNoNumber"/>
        <w:ind w:left="1701" w:hanging="1134"/>
        <w:rPr>
          <w:lang w:val="es-419"/>
        </w:rPr>
      </w:pPr>
      <w:r w:rsidRPr="00065280">
        <w:rPr>
          <w:lang w:val="es-419"/>
        </w:rPr>
        <w:tab/>
        <w:t>6.</w:t>
      </w:r>
      <w:r w:rsidRPr="00065280">
        <w:rPr>
          <w:lang w:val="es-419"/>
        </w:rPr>
        <w:tab/>
        <w:t>Administración del Protocolo y presupuesto para los fondos fiduciarios.</w:t>
      </w:r>
    </w:p>
    <w:p w14:paraId="1E0E6822" w14:textId="77777777" w:rsidR="008B30B7" w:rsidRPr="00065280" w:rsidRDefault="008B30B7" w:rsidP="008B30B7">
      <w:pPr>
        <w:pStyle w:val="CBDNormalNoNumber"/>
        <w:ind w:left="1701" w:hanging="1134"/>
        <w:rPr>
          <w:lang w:val="es-419"/>
        </w:rPr>
      </w:pPr>
      <w:r w:rsidRPr="00065280">
        <w:rPr>
          <w:lang w:val="es-419"/>
        </w:rPr>
        <w:tab/>
        <w:t>7.</w:t>
      </w:r>
      <w:r w:rsidRPr="00065280">
        <w:rPr>
          <w:lang w:val="es-419"/>
        </w:rPr>
        <w:tab/>
        <w:t xml:space="preserve">Asuntos relacionados con el mecanismo financiero y los recursos financieros. </w:t>
      </w:r>
    </w:p>
    <w:p w14:paraId="29BDA5D0" w14:textId="77777777" w:rsidR="008B30B7" w:rsidRPr="00065280" w:rsidRDefault="008B30B7" w:rsidP="008B30B7">
      <w:pPr>
        <w:pStyle w:val="CBDNormalNoNumber"/>
        <w:ind w:left="1701" w:hanging="1134"/>
        <w:rPr>
          <w:lang w:val="es-419"/>
        </w:rPr>
      </w:pPr>
      <w:r w:rsidRPr="00065280">
        <w:rPr>
          <w:lang w:val="es-419"/>
        </w:rPr>
        <w:tab/>
        <w:t>8.</w:t>
      </w:r>
      <w:r w:rsidRPr="00065280">
        <w:rPr>
          <w:lang w:val="es-419"/>
        </w:rPr>
        <w:tab/>
        <w:t>Funcionamiento y actividades del Centro de Intercambio de Información sobre Seguridad de la Biotecnología.</w:t>
      </w:r>
    </w:p>
    <w:p w14:paraId="6B8EDEA6" w14:textId="77777777" w:rsidR="008B30B7" w:rsidRPr="00065280" w:rsidRDefault="008B30B7" w:rsidP="008B30B7">
      <w:pPr>
        <w:pStyle w:val="CBDNormalNoNumber"/>
        <w:ind w:left="1701" w:hanging="1134"/>
        <w:rPr>
          <w:lang w:val="es-419"/>
        </w:rPr>
      </w:pPr>
      <w:r w:rsidRPr="00065280">
        <w:rPr>
          <w:lang w:val="es-419"/>
        </w:rPr>
        <w:tab/>
        <w:t>9.</w:t>
      </w:r>
      <w:r w:rsidRPr="00065280">
        <w:rPr>
          <w:lang w:val="es-419"/>
        </w:rPr>
        <w:tab/>
        <w:t>Cooperación con organizaciones internacionales, organismos creados en virtud de otros convenios e iniciativas.</w:t>
      </w:r>
    </w:p>
    <w:p w14:paraId="63006816" w14:textId="0E9C1ECD" w:rsidR="008B30B7" w:rsidRPr="00065280" w:rsidRDefault="008B30B7" w:rsidP="008B30B7">
      <w:pPr>
        <w:pStyle w:val="CBDNormalNoNumber"/>
        <w:ind w:left="1701" w:hanging="1134"/>
        <w:rPr>
          <w:lang w:val="es-419"/>
        </w:rPr>
      </w:pPr>
      <w:r w:rsidRPr="00065280">
        <w:rPr>
          <w:lang w:val="es-419"/>
        </w:rPr>
        <w:tab/>
        <w:t>10.</w:t>
      </w:r>
      <w:r w:rsidRPr="00065280">
        <w:rPr>
          <w:lang w:val="es-419"/>
        </w:rPr>
        <w:tab/>
      </w:r>
      <w:r w:rsidR="00761878">
        <w:rPr>
          <w:lang w:val="es-419"/>
        </w:rPr>
        <w:t>Examen</w:t>
      </w:r>
      <w:r w:rsidRPr="00065280">
        <w:rPr>
          <w:lang w:val="es-419"/>
        </w:rPr>
        <w:t xml:space="preserve"> de la eficacia de los procesos del Convenio y sus Protocolos.</w:t>
      </w:r>
    </w:p>
    <w:p w14:paraId="21A5EF7B" w14:textId="77777777" w:rsidR="008B30B7" w:rsidRPr="00065280" w:rsidRDefault="008B30B7" w:rsidP="008B30B7">
      <w:pPr>
        <w:pStyle w:val="CBDNormalNoNumber"/>
        <w:ind w:left="1701" w:hanging="1134"/>
        <w:rPr>
          <w:lang w:val="es-419"/>
        </w:rPr>
      </w:pPr>
      <w:r w:rsidRPr="00065280">
        <w:rPr>
          <w:lang w:val="es-419"/>
        </w:rPr>
        <w:tab/>
        <w:t>11.</w:t>
      </w:r>
      <w:r w:rsidRPr="00065280">
        <w:rPr>
          <w:lang w:val="es-419"/>
        </w:rPr>
        <w:tab/>
        <w:t>Evaluación del riesgo y gestión del riesgo</w:t>
      </w:r>
    </w:p>
    <w:p w14:paraId="75E11334" w14:textId="77777777" w:rsidR="008B30B7" w:rsidRPr="00065280" w:rsidRDefault="008B30B7" w:rsidP="008B30B7">
      <w:pPr>
        <w:pStyle w:val="CBDNormalNoNumber"/>
        <w:ind w:left="1701" w:hanging="1134"/>
        <w:rPr>
          <w:lang w:val="es-419"/>
        </w:rPr>
      </w:pPr>
      <w:r w:rsidRPr="00065280">
        <w:rPr>
          <w:lang w:val="es-419"/>
        </w:rPr>
        <w:tab/>
        <w:t>12.</w:t>
      </w:r>
      <w:r w:rsidRPr="00065280">
        <w:rPr>
          <w:lang w:val="es-419"/>
        </w:rPr>
        <w:tab/>
        <w:t>Detección e identificación de organismos vivos modificados.</w:t>
      </w:r>
    </w:p>
    <w:p w14:paraId="56AAA3B5" w14:textId="77777777" w:rsidR="008B30B7" w:rsidRPr="00065280" w:rsidRDefault="008B30B7" w:rsidP="008B30B7">
      <w:pPr>
        <w:pStyle w:val="CBDNormalNoNumber"/>
        <w:ind w:left="1701" w:hanging="1134"/>
        <w:rPr>
          <w:lang w:val="es-419"/>
        </w:rPr>
      </w:pPr>
      <w:r w:rsidRPr="00065280">
        <w:rPr>
          <w:lang w:val="es-419"/>
        </w:rPr>
        <w:lastRenderedPageBreak/>
        <w:tab/>
        <w:t>13.</w:t>
      </w:r>
      <w:r w:rsidRPr="00065280">
        <w:rPr>
          <w:lang w:val="es-419"/>
        </w:rPr>
        <w:tab/>
        <w:t>Consideraciones socioeconómicas.</w:t>
      </w:r>
    </w:p>
    <w:p w14:paraId="6B572D4B" w14:textId="77777777" w:rsidR="008B30B7" w:rsidRPr="00065280" w:rsidRDefault="008B30B7" w:rsidP="008B30B7">
      <w:pPr>
        <w:pStyle w:val="CBDNormalNoNumber"/>
        <w:ind w:left="1701" w:hanging="1134"/>
        <w:rPr>
          <w:lang w:val="es-419"/>
        </w:rPr>
      </w:pPr>
      <w:r w:rsidRPr="00065280">
        <w:rPr>
          <w:lang w:val="es-419"/>
        </w:rPr>
        <w:tab/>
        <w:t>14.</w:t>
      </w:r>
      <w:r w:rsidRPr="00065280">
        <w:rPr>
          <w:lang w:val="es-419"/>
        </w:rPr>
        <w:tab/>
        <w:t>Protocolo Suplementario de Nagoya-Kuala Lumpur sobre Responsabilidad y Compensación.</w:t>
      </w:r>
    </w:p>
    <w:p w14:paraId="0A718E96" w14:textId="77777777" w:rsidR="008B30B7" w:rsidRPr="00065280" w:rsidRDefault="008B30B7" w:rsidP="008B30B7">
      <w:pPr>
        <w:pStyle w:val="CBDNormalNoNumber"/>
        <w:ind w:left="1701" w:hanging="1134"/>
        <w:rPr>
          <w:lang w:val="es-419"/>
        </w:rPr>
      </w:pPr>
      <w:r w:rsidRPr="00065280">
        <w:rPr>
          <w:lang w:val="es-419"/>
        </w:rPr>
        <w:tab/>
        <w:t>15.</w:t>
      </w:r>
      <w:r w:rsidRPr="00065280">
        <w:rPr>
          <w:lang w:val="es-419"/>
        </w:rPr>
        <w:tab/>
        <w:t>Otros asuntos.</w:t>
      </w:r>
    </w:p>
    <w:p w14:paraId="4177B92E" w14:textId="77777777" w:rsidR="008B30B7" w:rsidRPr="00065280" w:rsidRDefault="008B30B7" w:rsidP="008B30B7">
      <w:pPr>
        <w:pStyle w:val="CBDNormalNoNumber"/>
        <w:ind w:left="1701" w:hanging="1134"/>
        <w:rPr>
          <w:lang w:val="es-419"/>
        </w:rPr>
      </w:pPr>
      <w:r w:rsidRPr="00065280">
        <w:rPr>
          <w:lang w:val="es-419"/>
        </w:rPr>
        <w:tab/>
        <w:t>16.</w:t>
      </w:r>
      <w:r w:rsidRPr="00065280">
        <w:rPr>
          <w:lang w:val="es-419"/>
        </w:rPr>
        <w:tab/>
        <w:t>Adopción del informe.</w:t>
      </w:r>
    </w:p>
    <w:p w14:paraId="2907E564" w14:textId="77777777" w:rsidR="008B30B7" w:rsidRPr="00065280" w:rsidRDefault="008B30B7" w:rsidP="008B30B7">
      <w:pPr>
        <w:pStyle w:val="CBDNormalNoNumber"/>
        <w:ind w:left="1701" w:hanging="1134"/>
        <w:rPr>
          <w:lang w:val="es-419"/>
        </w:rPr>
      </w:pPr>
      <w:r w:rsidRPr="00065280">
        <w:rPr>
          <w:lang w:val="es-419"/>
        </w:rPr>
        <w:tab/>
        <w:t>17.</w:t>
      </w:r>
      <w:r w:rsidRPr="00065280">
        <w:rPr>
          <w:lang w:val="es-419"/>
        </w:rPr>
        <w:tab/>
        <w:t>Clausura de la reunión.</w:t>
      </w:r>
    </w:p>
    <w:p w14:paraId="2EF7F257" w14:textId="77777777" w:rsidR="008B30B7" w:rsidRPr="00065280" w:rsidRDefault="008B30B7" w:rsidP="008B30B7">
      <w:pPr>
        <w:pStyle w:val="Para1"/>
        <w:ind w:left="562"/>
        <w:rPr>
          <w:i/>
          <w:iCs/>
          <w:lang w:val="es-419"/>
        </w:rPr>
      </w:pPr>
      <w:r w:rsidRPr="00065280">
        <w:rPr>
          <w:i/>
          <w:lang w:val="es-419"/>
        </w:rPr>
        <w:t>Organización de los trabajos</w:t>
      </w:r>
    </w:p>
    <w:p w14:paraId="7918B23E" w14:textId="77777777" w:rsidR="008B30B7" w:rsidRPr="00065280" w:rsidRDefault="008B30B7" w:rsidP="008B30B7">
      <w:pPr>
        <w:pStyle w:val="CBDNormalNumber"/>
        <w:rPr>
          <w:rFonts w:eastAsia="Batang"/>
          <w:lang w:val="es-419"/>
        </w:rPr>
      </w:pPr>
      <w:r w:rsidRPr="00065280">
        <w:rPr>
          <w:lang w:val="es-419"/>
        </w:rPr>
        <w:t xml:space="preserve">En su primera sesión plenaria, la Conferencia de las Partes que actúa como reunión de las Partes en el Protocolo convino en organizar su labor conforme a lo dispuesto en el anexo III de la propuesta de organización de los trabajos. </w:t>
      </w:r>
      <w:r w:rsidRPr="00065280">
        <w:rPr>
          <w:rFonts w:asciiTheme="majorBidi" w:hAnsiTheme="majorBidi"/>
          <w:color w:val="000000" w:themeColor="text1"/>
          <w:lang w:val="es-419"/>
        </w:rPr>
        <w:t xml:space="preserve">Por consiguiente, convino en establecer dos grupos de trabajo. </w:t>
      </w:r>
      <w:r w:rsidRPr="00065280">
        <w:rPr>
          <w:lang w:val="es-419"/>
        </w:rPr>
        <w:t>El Grupo de Trabajo I estaría presidido por Charlotta Sörqvist (Suecia) y el Grupo de Trabajo II estaría presidido por Hesiquio Benítez Díaz (México).</w:t>
      </w:r>
    </w:p>
    <w:p w14:paraId="437AEF08" w14:textId="77777777" w:rsidR="008B30B7" w:rsidRPr="00065280" w:rsidRDefault="008B30B7" w:rsidP="008B30B7">
      <w:pPr>
        <w:pStyle w:val="CBDNormalNoNumber"/>
        <w:keepNext/>
        <w:rPr>
          <w:i/>
          <w:iCs/>
          <w:snapToGrid w:val="0"/>
          <w:lang w:val="es-419"/>
        </w:rPr>
      </w:pPr>
      <w:r w:rsidRPr="00065280">
        <w:rPr>
          <w:i/>
          <w:snapToGrid w:val="0"/>
          <w:lang w:val="es-419"/>
        </w:rPr>
        <w:t>Labor de los grupos de trabajo de la reunión</w:t>
      </w:r>
    </w:p>
    <w:p w14:paraId="5E30DF25" w14:textId="77777777" w:rsidR="008B30B7" w:rsidRPr="00065280" w:rsidRDefault="008B30B7" w:rsidP="008B30B7">
      <w:pPr>
        <w:pStyle w:val="CBDNormalNumber"/>
        <w:rPr>
          <w:lang w:val="es-419"/>
        </w:rPr>
      </w:pPr>
      <w:r w:rsidRPr="00065280">
        <w:rPr>
          <w:lang w:val="es-419"/>
        </w:rPr>
        <w:t>El Grupo de Trabajo I celebró seis sesiones entre el 21 de octubre y el 1 de noviembre de 2024 y adoptó su informe</w:t>
      </w:r>
      <w:r w:rsidRPr="00065280">
        <w:rPr>
          <w:rStyle w:val="FootnoteReference"/>
          <w:lang w:val="es-419"/>
        </w:rPr>
        <w:footnoteReference w:id="69"/>
      </w:r>
      <w:r w:rsidRPr="00065280">
        <w:rPr>
          <w:lang w:val="es-419"/>
        </w:rPr>
        <w:t xml:space="preserve"> el 1 de noviembre de 2024.</w:t>
      </w:r>
    </w:p>
    <w:p w14:paraId="13ED7519" w14:textId="77777777" w:rsidR="008B30B7" w:rsidRPr="00065280" w:rsidRDefault="008B30B7" w:rsidP="008B30B7">
      <w:pPr>
        <w:pStyle w:val="CBDNormalNumber"/>
        <w:rPr>
          <w:lang w:val="es-419"/>
        </w:rPr>
      </w:pPr>
      <w:r w:rsidRPr="00065280">
        <w:rPr>
          <w:lang w:val="es-419"/>
        </w:rPr>
        <w:t>El Grupo de Trabajo II celebró 12 sesiones entre el 21 de octubre y el 1 de noviembre de 2024 y adoptó su informe</w:t>
      </w:r>
      <w:r w:rsidRPr="00065280">
        <w:rPr>
          <w:rStyle w:val="FootnoteReference"/>
          <w:lang w:val="es-419"/>
        </w:rPr>
        <w:footnoteReference w:id="70"/>
      </w:r>
      <w:r w:rsidRPr="00065280">
        <w:rPr>
          <w:lang w:val="es-419"/>
        </w:rPr>
        <w:t xml:space="preserve"> el 1 de noviembre de 2024.</w:t>
      </w:r>
    </w:p>
    <w:p w14:paraId="17B1EDB7" w14:textId="77777777" w:rsidR="008B30B7" w:rsidRPr="00065280" w:rsidRDefault="008B30B7" w:rsidP="008B30B7">
      <w:pPr>
        <w:pStyle w:val="CBDNormalNumber"/>
        <w:keepNext/>
        <w:numPr>
          <w:ilvl w:val="0"/>
          <w:numId w:val="0"/>
        </w:numPr>
        <w:ind w:left="567"/>
        <w:rPr>
          <w:rFonts w:eastAsia="Batang"/>
          <w:i/>
          <w:iCs/>
          <w:lang w:val="es-419"/>
        </w:rPr>
      </w:pPr>
      <w:r w:rsidRPr="00065280">
        <w:rPr>
          <w:i/>
          <w:lang w:val="es-419"/>
        </w:rPr>
        <w:t>Primera sesión de balance</w:t>
      </w:r>
    </w:p>
    <w:p w14:paraId="1FF950B6" w14:textId="77777777" w:rsidR="008B30B7" w:rsidRPr="00065280" w:rsidRDefault="008B30B7" w:rsidP="008B30B7">
      <w:pPr>
        <w:pStyle w:val="CBDNormalNumber"/>
        <w:spacing w:before="0"/>
        <w:rPr>
          <w:rFonts w:eastAsia="Batang"/>
          <w:lang w:val="es-419"/>
        </w:rPr>
      </w:pPr>
      <w:r w:rsidRPr="00065280">
        <w:rPr>
          <w:lang w:val="es-419"/>
        </w:rPr>
        <w:t xml:space="preserve">La segunda sesión plenaria de la Conferencia de las Partes que actúa como reunión de las Partes en el Protocolo fue, entre otras cosas, una sesión de balance y se celebró el 25 de octubre en conjunto con la Conferencia de las Partes en el Convenio y la Conferencia de las Partes que actúa como reunión de las Partes en el Protocolo de Nagoya. Durante la sesión de balance, las Presidencias del Grupo de Trabajo I, del Grupo de Trabajo II y del grupo de contacto sobre cuestiones presupuestarias informaron con respecto a los progresos realizados hasta la fecha. </w:t>
      </w:r>
    </w:p>
    <w:p w14:paraId="3A9A17AE" w14:textId="77777777" w:rsidR="008B30B7" w:rsidRPr="00065280" w:rsidRDefault="008B30B7" w:rsidP="008B30B7">
      <w:pPr>
        <w:pStyle w:val="CBDNormalNumber"/>
        <w:rPr>
          <w:lang w:val="es-419"/>
        </w:rPr>
      </w:pPr>
      <w:r w:rsidRPr="00065280">
        <w:rPr>
          <w:lang w:val="es-419"/>
        </w:rPr>
        <w:t xml:space="preserve">Formularon declaraciones representantes de las siguientes Partes: Fiji (en nombre de los pequeños Estados insulares en desarrollo del Pacífico que son Partes en el Protocolo y estaban representados en la reunión) y República Democrática Popular Lao (en nombre de los Estados miembros de la Asociación de Naciones de Asia Sudoriental representados en la reunión). </w:t>
      </w:r>
    </w:p>
    <w:p w14:paraId="448B4594" w14:textId="5846A8A2" w:rsidR="008B30B7" w:rsidRPr="00065280" w:rsidRDefault="008B30B7" w:rsidP="008B30B7">
      <w:pPr>
        <w:pStyle w:val="CBDNormalNumber"/>
        <w:rPr>
          <w:lang w:val="es-419"/>
        </w:rPr>
      </w:pPr>
      <w:r w:rsidRPr="00065280">
        <w:rPr>
          <w:lang w:val="es-419"/>
        </w:rPr>
        <w:t>También formuló una declaración un representante del siguiente Estado que no es Parte: Federación</w:t>
      </w:r>
      <w:r w:rsidR="007430B8">
        <w:rPr>
          <w:lang w:val="es-419"/>
        </w:rPr>
        <w:t xml:space="preserve"> de Rusia (también en nombre de</w:t>
      </w:r>
      <w:r w:rsidRPr="00065280">
        <w:rPr>
          <w:lang w:val="es-419"/>
        </w:rPr>
        <w:t xml:space="preserve"> Brasil, China, Egipto, Emiratos Árabes Unidos, Etiopía, India, Irán (República Islámica del) y Sudáfrica).</w:t>
      </w:r>
    </w:p>
    <w:p w14:paraId="2DF910AA" w14:textId="77777777" w:rsidR="008B30B7" w:rsidRPr="00065280" w:rsidRDefault="008B30B7" w:rsidP="008B30B7">
      <w:pPr>
        <w:pStyle w:val="CBDNormalNumber"/>
        <w:keepNext/>
        <w:numPr>
          <w:ilvl w:val="0"/>
          <w:numId w:val="0"/>
        </w:numPr>
        <w:ind w:left="567"/>
        <w:rPr>
          <w:rFonts w:eastAsia="Batang"/>
          <w:i/>
          <w:iCs/>
          <w:lang w:val="es-419"/>
        </w:rPr>
      </w:pPr>
      <w:r w:rsidRPr="00065280">
        <w:rPr>
          <w:i/>
          <w:lang w:val="es-419"/>
        </w:rPr>
        <w:t>Segunda sesión de balance</w:t>
      </w:r>
    </w:p>
    <w:p w14:paraId="470111B0" w14:textId="77777777" w:rsidR="008B30B7" w:rsidRPr="00065280" w:rsidRDefault="008B30B7" w:rsidP="008B30B7">
      <w:pPr>
        <w:pStyle w:val="CBDNormalNumber"/>
        <w:rPr>
          <w:rFonts w:eastAsia="Batang"/>
          <w:lang w:val="es-419"/>
        </w:rPr>
      </w:pPr>
      <w:r w:rsidRPr="00065280">
        <w:rPr>
          <w:lang w:val="es-419"/>
        </w:rPr>
        <w:t xml:space="preserve">La tercera sesión plenaria de la Conferencia de las Partes que actúa como reunión de las Partes en el Protocolo de Cartagena fue, entre otras cosas, una segunda sesión de balance celebrada en conjunto con la Conferencia de las Partes en el Convenio y la Conferencia de las Partes que actúa como reunión de las Partes en el Protocolo de Nagoya. Durante la sesión de balance, los representantes escucharon un informe de la Presidenta sobre las conclusiones de la serie de sesiones de alto nivel, así como informes sobre los progresos realizados hasta la fecha brindados por las Presidencias del Grupo de Trabajo I, del Grupo de Trabajo II y del grupo de contacto sobre cuestiones presupuestarias. </w:t>
      </w:r>
    </w:p>
    <w:p w14:paraId="0F10752B" w14:textId="4009FFCE" w:rsidR="008B30B7" w:rsidRPr="00065280" w:rsidRDefault="008B30B7" w:rsidP="008B30B7">
      <w:pPr>
        <w:pStyle w:val="CBDNormalNumber"/>
        <w:rPr>
          <w:rFonts w:eastAsia="Batang"/>
          <w:lang w:val="es-419"/>
        </w:rPr>
      </w:pPr>
      <w:r w:rsidRPr="00065280">
        <w:rPr>
          <w:lang w:val="es-419"/>
        </w:rPr>
        <w:t xml:space="preserve">Formuló una declaración un representante del Estado Plurinacional de Bolivia (también en nombre de Antigua y Barbuda, Brasil, Cuba, Ecuador, Fiji, Filipinas, Guatemala, Haití, India, Indonesia, Islas Cook, Islas Marshall, Islas Salomón, Kiribati, Malasia, Micronesia (Estados </w:t>
      </w:r>
      <w:r w:rsidRPr="00065280">
        <w:rPr>
          <w:lang w:val="es-419"/>
        </w:rPr>
        <w:lastRenderedPageBreak/>
        <w:t>Federados de), Nauru, Palau, República Dominicana, Tonga, Vanuatu, Venezuela (República Bolivariana de) y los Estados de África)</w:t>
      </w:r>
      <w:r w:rsidRPr="00065280">
        <w:rPr>
          <w:rStyle w:val="FootnoteReference"/>
          <w:lang w:val="es-419"/>
        </w:rPr>
        <w:footnoteReference w:id="71"/>
      </w:r>
      <w:r w:rsidRPr="00065280">
        <w:rPr>
          <w:lang w:val="es-419"/>
        </w:rPr>
        <w:t>.</w:t>
      </w:r>
    </w:p>
    <w:p w14:paraId="056B9923" w14:textId="77777777" w:rsidR="008B30B7" w:rsidRPr="00065280" w:rsidRDefault="008B30B7" w:rsidP="008B30B7">
      <w:pPr>
        <w:pStyle w:val="CBDNormalNoNumber"/>
        <w:keepNext/>
        <w:rPr>
          <w:i/>
          <w:iCs/>
          <w:snapToGrid w:val="0"/>
          <w:lang w:val="es-419"/>
        </w:rPr>
      </w:pPr>
      <w:r w:rsidRPr="00065280">
        <w:rPr>
          <w:i/>
          <w:snapToGrid w:val="0"/>
          <w:lang w:val="es-419"/>
        </w:rPr>
        <w:t>Primera continuación de la reunión</w:t>
      </w:r>
    </w:p>
    <w:p w14:paraId="0BDE9521" w14:textId="39D44C42" w:rsidR="008B30B7" w:rsidRPr="00065280" w:rsidRDefault="008B30B7" w:rsidP="008B30B7">
      <w:pPr>
        <w:pStyle w:val="CBDNormalNumber"/>
        <w:rPr>
          <w:snapToGrid w:val="0"/>
          <w:lang w:val="es-419"/>
        </w:rPr>
      </w:pPr>
      <w:r w:rsidRPr="00065280">
        <w:rPr>
          <w:snapToGrid w:val="0"/>
          <w:lang w:val="es-419"/>
        </w:rPr>
        <w:t>Con antelación a la primera continuación de la reunión, la Secretaría envió una comunicación de apertura de la Presidenta</w:t>
      </w:r>
      <w:r w:rsidRPr="00065280">
        <w:rPr>
          <w:rStyle w:val="FootnoteReference"/>
          <w:snapToGrid w:val="0"/>
          <w:lang w:val="es-419"/>
        </w:rPr>
        <w:footnoteReference w:id="72"/>
      </w:r>
      <w:r w:rsidRPr="00065280">
        <w:rPr>
          <w:snapToGrid w:val="0"/>
          <w:lang w:val="es-419"/>
        </w:rPr>
        <w:t xml:space="preserve"> y una nota con un posible esquema</w:t>
      </w:r>
      <w:r w:rsidRPr="00065280">
        <w:rPr>
          <w:rStyle w:val="FootnoteReference"/>
          <w:snapToGrid w:val="0"/>
          <w:lang w:val="es-419"/>
        </w:rPr>
        <w:footnoteReference w:id="73"/>
      </w:r>
      <w:r w:rsidRPr="00065280">
        <w:rPr>
          <w:snapToGrid w:val="0"/>
          <w:lang w:val="es-419"/>
        </w:rPr>
        <w:t xml:space="preserve"> para la adopción de dos proyectos de decisión referidos al presupuesto</w:t>
      </w:r>
      <w:r w:rsidRPr="00065280">
        <w:rPr>
          <w:rStyle w:val="FootnoteReference"/>
          <w:snapToGrid w:val="0"/>
          <w:lang w:val="es-419"/>
        </w:rPr>
        <w:footnoteReference w:id="74"/>
      </w:r>
      <w:r w:rsidRPr="00065280">
        <w:rPr>
          <w:snapToGrid w:val="0"/>
          <w:lang w:val="es-419"/>
        </w:rPr>
        <w:t xml:space="preserve">, que se haría conforme a un procedimiento de acuerdo tácito. </w:t>
      </w:r>
      <w:r w:rsidRPr="00065280">
        <w:rPr>
          <w:lang w:val="es-419"/>
        </w:rPr>
        <w:t>El resultado del procedimiento de acuerdo tácito se describe más adelante en el tema 6.</w:t>
      </w:r>
    </w:p>
    <w:p w14:paraId="750BDC6A" w14:textId="77777777" w:rsidR="008B30B7" w:rsidRPr="00065280" w:rsidRDefault="008B30B7" w:rsidP="008B30B7">
      <w:pPr>
        <w:pStyle w:val="CBDNormalNumber"/>
        <w:numPr>
          <w:ilvl w:val="0"/>
          <w:numId w:val="0"/>
        </w:numPr>
        <w:ind w:left="567"/>
        <w:rPr>
          <w:i/>
          <w:iCs/>
          <w:snapToGrid w:val="0"/>
          <w:lang w:val="es-419"/>
        </w:rPr>
      </w:pPr>
      <w:r w:rsidRPr="00065280">
        <w:rPr>
          <w:i/>
          <w:snapToGrid w:val="0"/>
          <w:lang w:val="es-419"/>
        </w:rPr>
        <w:t xml:space="preserve">Segunda continuación de la reunión </w:t>
      </w:r>
    </w:p>
    <w:p w14:paraId="6313CF02" w14:textId="53C00E82" w:rsidR="008B30B7" w:rsidRPr="00065280" w:rsidRDefault="008B30B7" w:rsidP="008B30B7">
      <w:pPr>
        <w:pStyle w:val="CBDNormalNumber"/>
        <w:rPr>
          <w:lang w:val="es-419"/>
        </w:rPr>
      </w:pPr>
      <w:r w:rsidRPr="00065280">
        <w:rPr>
          <w:lang w:val="es-419"/>
        </w:rPr>
        <w:t xml:space="preserve">En su séptima sesión plenaria, la Conferencia de las Partes que actúa como reunión de las Partes en el Protocolo tuvo ante sí </w:t>
      </w:r>
      <w:r w:rsidR="007430B8">
        <w:rPr>
          <w:lang w:val="es-419"/>
        </w:rPr>
        <w:t>un</w:t>
      </w:r>
      <w:r w:rsidRPr="00065280">
        <w:rPr>
          <w:lang w:val="es-419"/>
        </w:rPr>
        <w:t>as anotaciones al programa provisional para todos los temas del programa que estaban pendientes</w:t>
      </w:r>
      <w:r w:rsidRPr="00065280">
        <w:rPr>
          <w:rStyle w:val="FootnoteReference"/>
          <w:lang w:val="es-419"/>
        </w:rPr>
        <w:footnoteReference w:id="75"/>
      </w:r>
      <w:r w:rsidRPr="00065280">
        <w:rPr>
          <w:lang w:val="es-419"/>
        </w:rPr>
        <w:t xml:space="preserve"> y una propuesta de organización de los trabajos y nota con un posible esquema</w:t>
      </w:r>
      <w:r w:rsidRPr="00065280">
        <w:rPr>
          <w:rStyle w:val="FootnoteReference"/>
          <w:lang w:val="es-419"/>
        </w:rPr>
        <w:footnoteReference w:id="76"/>
      </w:r>
      <w:r w:rsidRPr="00065280">
        <w:rPr>
          <w:lang w:val="es-419"/>
        </w:rPr>
        <w:t>, ambas preparadas por la Secretaría en consulta con la Mesa.</w:t>
      </w:r>
    </w:p>
    <w:p w14:paraId="42ED5224" w14:textId="5D6602F6" w:rsidR="00035500" w:rsidRPr="00065280" w:rsidRDefault="008B30B7" w:rsidP="008B30B7">
      <w:pPr>
        <w:pStyle w:val="CBDNormalNumber"/>
        <w:rPr>
          <w:lang w:val="es-419"/>
        </w:rPr>
      </w:pPr>
      <w:r w:rsidRPr="007430B8">
        <w:rPr>
          <w:rFonts w:asciiTheme="majorBidi" w:hAnsiTheme="majorBidi"/>
          <w:color w:val="000000" w:themeColor="text1"/>
          <w:spacing w:val="-2"/>
          <w:lang w:val="es-419"/>
        </w:rPr>
        <w:t xml:space="preserve">La Conferencia de las Partes que actúa como reunión de las Partes en el Protocolo aprobó </w:t>
      </w:r>
      <w:r w:rsidR="007430B8" w:rsidRPr="007430B8">
        <w:rPr>
          <w:rFonts w:asciiTheme="majorBidi" w:hAnsiTheme="majorBidi"/>
          <w:color w:val="000000" w:themeColor="text1"/>
          <w:spacing w:val="-2"/>
          <w:lang w:val="es-419"/>
        </w:rPr>
        <w:t>la propuesta de posible esquema</w:t>
      </w:r>
      <w:r w:rsidRPr="007430B8">
        <w:rPr>
          <w:rFonts w:asciiTheme="majorBidi" w:hAnsiTheme="majorBidi"/>
          <w:color w:val="000000" w:themeColor="text1"/>
          <w:spacing w:val="-2"/>
          <w:lang w:val="es-419"/>
        </w:rPr>
        <w:t xml:space="preserve"> que figuraba en la sección II del </w:t>
      </w:r>
      <w:r w:rsidR="007430B8" w:rsidRPr="007430B8">
        <w:rPr>
          <w:rFonts w:asciiTheme="majorBidi" w:hAnsiTheme="majorBidi"/>
          <w:color w:val="000000" w:themeColor="text1"/>
          <w:spacing w:val="-2"/>
          <w:lang w:val="es-419"/>
        </w:rPr>
        <w:t>documento CBD/CP/MOP/11/1/Add.5</w:t>
      </w:r>
      <w:r w:rsidRPr="00065280">
        <w:rPr>
          <w:rFonts w:asciiTheme="majorBidi" w:hAnsiTheme="majorBidi"/>
          <w:color w:val="000000" w:themeColor="text1"/>
          <w:lang w:val="es-419"/>
        </w:rPr>
        <w:t xml:space="preserve"> y la propuesta </w:t>
      </w:r>
      <w:r w:rsidR="007430B8">
        <w:rPr>
          <w:rFonts w:asciiTheme="majorBidi" w:hAnsiTheme="majorBidi"/>
          <w:color w:val="000000" w:themeColor="text1"/>
          <w:lang w:val="es-419"/>
        </w:rPr>
        <w:t>de organización de los trabajos</w:t>
      </w:r>
      <w:r w:rsidRPr="00065280">
        <w:rPr>
          <w:rFonts w:asciiTheme="majorBidi" w:hAnsiTheme="majorBidi"/>
          <w:color w:val="000000" w:themeColor="text1"/>
          <w:lang w:val="es-419"/>
        </w:rPr>
        <w:t xml:space="preserve"> que figuraba en el anexo de ese mismo documento.</w:t>
      </w:r>
    </w:p>
    <w:p w14:paraId="5477E4F4" w14:textId="424B5A05" w:rsidR="00557370" w:rsidRPr="00065280" w:rsidRDefault="008B30B7" w:rsidP="00A052E7">
      <w:pPr>
        <w:pStyle w:val="CBDAgendaItem"/>
        <w:rPr>
          <w:lang w:val="es-419"/>
        </w:rPr>
      </w:pPr>
      <w:bookmarkStart w:id="70" w:name="_Toc194919567"/>
      <w:bookmarkStart w:id="71" w:name="_Toc199016620"/>
      <w:r w:rsidRPr="00065280">
        <w:rPr>
          <w:lang w:val="es-419"/>
        </w:rPr>
        <w:t>T</w:t>
      </w:r>
      <w:r w:rsidR="00512CE8" w:rsidRPr="00065280">
        <w:rPr>
          <w:lang w:val="es-419"/>
        </w:rPr>
        <w:t>em</w:t>
      </w:r>
      <w:r w:rsidRPr="00065280">
        <w:rPr>
          <w:lang w:val="es-419"/>
        </w:rPr>
        <w:t>a</w:t>
      </w:r>
      <w:r w:rsidR="00512CE8" w:rsidRPr="00065280">
        <w:rPr>
          <w:lang w:val="es-419"/>
        </w:rPr>
        <w:t xml:space="preserve"> </w:t>
      </w:r>
      <w:r w:rsidR="00557370" w:rsidRPr="00065280">
        <w:rPr>
          <w:lang w:val="es-419"/>
        </w:rPr>
        <w:t>3</w:t>
      </w:r>
      <w:r w:rsidR="0093532A" w:rsidRPr="00065280">
        <w:rPr>
          <w:lang w:val="es-419"/>
        </w:rPr>
        <w:br/>
      </w:r>
      <w:bookmarkEnd w:id="70"/>
      <w:r w:rsidR="00A052E7" w:rsidRPr="00065280">
        <w:rPr>
          <w:lang w:val="es-419"/>
        </w:rPr>
        <w:t>Informe sobre las credenciales de los representantes que participan en la 11</w:t>
      </w:r>
      <w:r w:rsidR="00A052E7" w:rsidRPr="00065280">
        <w:rPr>
          <w:vertAlign w:val="superscript"/>
          <w:lang w:val="es-419"/>
        </w:rPr>
        <w:t>a</w:t>
      </w:r>
      <w:r w:rsidR="00A052E7" w:rsidRPr="00065280">
        <w:rPr>
          <w:lang w:val="es-419"/>
        </w:rPr>
        <w:t xml:space="preserve"> reunión</w:t>
      </w:r>
      <w:r w:rsidR="00A052E7" w:rsidRPr="00065280">
        <w:rPr>
          <w:lang w:val="es-419"/>
        </w:rPr>
        <w:br/>
        <w:t>de la Conferencia de las Partes que actúa como reunión de las Partes en el Protocolo</w:t>
      </w:r>
      <w:r w:rsidR="00A052E7" w:rsidRPr="00065280">
        <w:rPr>
          <w:lang w:val="es-419"/>
        </w:rPr>
        <w:br/>
        <w:t>de Cartagena</w:t>
      </w:r>
      <w:bookmarkEnd w:id="71"/>
    </w:p>
    <w:p w14:paraId="1BCA495C" w14:textId="77777777" w:rsidR="00A052E7" w:rsidRPr="00065280" w:rsidRDefault="00A052E7" w:rsidP="009C147A">
      <w:pPr>
        <w:pStyle w:val="CBDNormalNumber"/>
        <w:rPr>
          <w:lang w:val="es-419"/>
        </w:rPr>
      </w:pPr>
      <w:bookmarkStart w:id="72" w:name="_Hlk180682308"/>
      <w:r w:rsidRPr="00065280">
        <w:rPr>
          <w:lang w:val="es-419"/>
        </w:rPr>
        <w:t>En su primera sesión plenaria, la Conferencia de las Partes que actúa como reunión de las Partes en el Protocolo observó que, de conformidad con los artículos pertinentes del Reglamento de las reuniones de las Partes, la Mesa había revisado la lista de observadores admitidos a la reunión</w:t>
      </w:r>
      <w:r w:rsidRPr="00065280">
        <w:rPr>
          <w:rStyle w:val="FootnoteReference"/>
          <w:lang w:val="es-419"/>
        </w:rPr>
        <w:footnoteReference w:id="77"/>
      </w:r>
      <w:r w:rsidRPr="00065280">
        <w:rPr>
          <w:lang w:val="es-419"/>
        </w:rPr>
        <w:t xml:space="preserve"> y que, tras examinar las credenciales de las delegaciones, informaría al respecto en una sesión posterior. Observó también que la Mesa había designado a la Sra. Mabuza como su representante para examinar las credenciales.</w:t>
      </w:r>
    </w:p>
    <w:p w14:paraId="3A6D11B6" w14:textId="77777777" w:rsidR="00A052E7" w:rsidRPr="00065280" w:rsidRDefault="00A052E7" w:rsidP="00A052E7">
      <w:pPr>
        <w:pStyle w:val="CBDNormalNumber"/>
        <w:rPr>
          <w:lang w:val="es-419"/>
        </w:rPr>
      </w:pPr>
      <w:r w:rsidRPr="00065280">
        <w:rPr>
          <w:lang w:val="es-419"/>
        </w:rPr>
        <w:t>En la segunda sesión plenaria, la Sra. Mabuza informó que 151 Partes en el Protocolo estaban inscritas como asistentes a la reunión. Los representantes de 108 Partes inscritas habían presentado credenciales que cumplían plenamente los requisitos estipulados en el artículo 18 del Reglamento, mientras que los representantes de una Parte inscrita habían presentado credenciales que no cumplían plenamente los requisitos. Los representantes de 42 Partes inscritas no habían presentado aún sus credenciales.</w:t>
      </w:r>
    </w:p>
    <w:p w14:paraId="054D41F2" w14:textId="77777777" w:rsidR="00A052E7" w:rsidRPr="00065280" w:rsidRDefault="00A052E7" w:rsidP="00A052E7">
      <w:pPr>
        <w:pStyle w:val="CBDNormalNumber"/>
        <w:rPr>
          <w:lang w:val="es-419"/>
        </w:rPr>
      </w:pPr>
      <w:bookmarkStart w:id="73" w:name="_Hlk181295818"/>
      <w:r w:rsidRPr="00065280">
        <w:rPr>
          <w:lang w:val="es-419"/>
        </w:rPr>
        <w:t>En la tercera sesión plenaria, la Sra. Mabuza informó que 155 Partes en el Protocolo estaban inscritas como asistentes a la reunión. Los representantes de 115 Partes inscritas habían presentado credenciales que cumplían plenamente los requisitos estipulados en el artículo 18 del Reglamento, mientras que los representantes de una Parte inscrita habían presentado credenciales que no cumplían plenamente los requisitos. Los representantes de 39 Partes inscritas no habían presentado aún sus credenciales.</w:t>
      </w:r>
    </w:p>
    <w:p w14:paraId="7FE797AF" w14:textId="77777777" w:rsidR="00A052E7" w:rsidRPr="00065280" w:rsidRDefault="00A052E7" w:rsidP="00A052E7">
      <w:pPr>
        <w:pStyle w:val="CBDNormalNumber"/>
        <w:rPr>
          <w:lang w:val="es-419"/>
        </w:rPr>
      </w:pPr>
      <w:bookmarkStart w:id="74" w:name="_Hlk181299492"/>
      <w:bookmarkEnd w:id="73"/>
      <w:r w:rsidRPr="00065280">
        <w:rPr>
          <w:lang w:val="es-419"/>
        </w:rPr>
        <w:t xml:space="preserve">En la cuarta sesión plenaria, la Presidenta anunció que el informe sobre las credenciales se había publicado como documento de información CBD/CP/MOP/11/INF/6. Además, los </w:t>
      </w:r>
      <w:r w:rsidRPr="00065280">
        <w:rPr>
          <w:lang w:val="es-419"/>
        </w:rPr>
        <w:lastRenderedPageBreak/>
        <w:t xml:space="preserve">representantes de Tayikistán habían presentado credenciales que cumplían plenamente los requisitos, con lo que el número de Partes que habían presentado credenciales que cumplían plenamente los requisitos estipulados en el artículo 18 del Reglamento ascendía a 116 para la 11ª reunión de la Conferencia de las Partes que actúa como reunión de las Partes en el Protocolo. </w:t>
      </w:r>
    </w:p>
    <w:p w14:paraId="72B30C4F" w14:textId="77777777" w:rsidR="00A052E7" w:rsidRPr="00065280" w:rsidRDefault="00A052E7" w:rsidP="00A052E7">
      <w:pPr>
        <w:pStyle w:val="CBDNormalNumber"/>
        <w:rPr>
          <w:lang w:val="es-419"/>
        </w:rPr>
      </w:pPr>
      <w:r w:rsidRPr="00065280">
        <w:rPr>
          <w:lang w:val="es-419"/>
        </w:rPr>
        <w:t>La Conferencia de las Partes que actúa como reunión de las Partes en el Protocolo tomó nota del informe sobre las credenciales y lo aprobó</w:t>
      </w:r>
      <w:r w:rsidRPr="00065280">
        <w:rPr>
          <w:rStyle w:val="FootnoteReference"/>
          <w:rFonts w:eastAsia="MS Mincho"/>
          <w:lang w:val="es-419" w:eastAsia="en-CA"/>
        </w:rPr>
        <w:footnoteReference w:id="78"/>
      </w:r>
      <w:r w:rsidRPr="00065280">
        <w:rPr>
          <w:lang w:val="es-419"/>
        </w:rPr>
        <w:t>.</w:t>
      </w:r>
    </w:p>
    <w:bookmarkEnd w:id="72"/>
    <w:bookmarkEnd w:id="74"/>
    <w:p w14:paraId="59EC16BA" w14:textId="77777777" w:rsidR="00A052E7" w:rsidRPr="00065280" w:rsidRDefault="00A052E7" w:rsidP="00A052E7">
      <w:pPr>
        <w:pStyle w:val="CBDNormalNoNumber"/>
        <w:keepNext/>
        <w:rPr>
          <w:i/>
          <w:iCs/>
          <w:snapToGrid w:val="0"/>
          <w:lang w:val="es-419"/>
        </w:rPr>
      </w:pPr>
      <w:r w:rsidRPr="00065280">
        <w:rPr>
          <w:i/>
          <w:snapToGrid w:val="0"/>
          <w:lang w:val="es-419"/>
        </w:rPr>
        <w:t>Segunda continuación de la reunión</w:t>
      </w:r>
    </w:p>
    <w:p w14:paraId="5130CA4A" w14:textId="55FA7BE9" w:rsidR="00A052E7" w:rsidRPr="00065280" w:rsidRDefault="00A052E7" w:rsidP="00A052E7">
      <w:pPr>
        <w:pStyle w:val="CBDNormalNumber"/>
        <w:rPr>
          <w:rFonts w:eastAsia="MS Mincho"/>
          <w:lang w:val="es-419"/>
        </w:rPr>
      </w:pPr>
      <w:bookmarkStart w:id="75" w:name="_Hlk191466253"/>
      <w:r w:rsidRPr="00065280">
        <w:rPr>
          <w:lang w:val="es-419"/>
        </w:rPr>
        <w:t xml:space="preserve">En la octava sesión plenaria, el 26 de febrero de 2025, la Sra. Mabuza informó a la Conferencia de las Partes que actúa como reunión de las Partes en el Protocolo que 136 Partes estaban inscritas como asistentes a la segunda continuación de la reunión. Los representantes de 117 Partes inscritas habían presentado credenciales que </w:t>
      </w:r>
      <w:r w:rsidR="00232C4F">
        <w:rPr>
          <w:lang w:val="es-419"/>
        </w:rPr>
        <w:t>cumplían plenamente</w:t>
      </w:r>
      <w:r w:rsidRPr="00065280">
        <w:rPr>
          <w:lang w:val="es-419"/>
        </w:rPr>
        <w:t xml:space="preserve"> los requisitos estipulados en el artículo 18 del Reglamento, en tanto que los representantes de 19 Partes inscritas aún no habían presentado credenciales. </w:t>
      </w:r>
      <w:bookmarkStart w:id="76" w:name="_Hlk191468134"/>
      <w:r w:rsidRPr="00065280">
        <w:rPr>
          <w:lang w:val="es-419"/>
        </w:rPr>
        <w:t xml:space="preserve">El informe sobre las credenciales para la segunda continuación de la reunión se había publicado como documento de información </w:t>
      </w:r>
      <w:hyperlink r:id="rId44" w:history="1">
        <w:r w:rsidRPr="00065280">
          <w:rPr>
            <w:rStyle w:val="Hyperlink"/>
            <w:lang w:val="es-419"/>
          </w:rPr>
          <w:t>CBD/CP/MOP/11/INF/7</w:t>
        </w:r>
      </w:hyperlink>
      <w:r w:rsidRPr="00065280">
        <w:rPr>
          <w:lang w:val="es-419"/>
        </w:rPr>
        <w:t>.</w:t>
      </w:r>
      <w:bookmarkEnd w:id="76"/>
    </w:p>
    <w:bookmarkEnd w:id="75"/>
    <w:p w14:paraId="37B42417" w14:textId="57CD683A" w:rsidR="00733E21" w:rsidRPr="00065280" w:rsidRDefault="00A052E7" w:rsidP="00A052E7">
      <w:pPr>
        <w:pStyle w:val="CBDNormalNumber"/>
        <w:rPr>
          <w:rFonts w:eastAsia="MS Mincho"/>
          <w:lang w:val="es-419" w:eastAsia="en-CA"/>
        </w:rPr>
      </w:pPr>
      <w:r w:rsidRPr="00065280">
        <w:rPr>
          <w:lang w:val="es-419"/>
        </w:rPr>
        <w:t>La Conferencia de las Partes que actúa como reunión de las Partes en el Protocolo tomó nota del informe sobre las credenciales y lo aprobó</w:t>
      </w:r>
      <w:r w:rsidRPr="00065280">
        <w:rPr>
          <w:rStyle w:val="FootnoteReference"/>
          <w:rFonts w:eastAsia="MS Mincho"/>
          <w:lang w:val="es-419" w:eastAsia="en-CA"/>
        </w:rPr>
        <w:footnoteReference w:id="79"/>
      </w:r>
      <w:r w:rsidRPr="00065280">
        <w:rPr>
          <w:lang w:val="es-419"/>
        </w:rPr>
        <w:t>.</w:t>
      </w:r>
    </w:p>
    <w:p w14:paraId="2388D68E" w14:textId="1130193F" w:rsidR="00557370" w:rsidRPr="00065280" w:rsidRDefault="00A052E7" w:rsidP="006F791E">
      <w:pPr>
        <w:pStyle w:val="CBDAgendaItem"/>
        <w:rPr>
          <w:lang w:val="es-419"/>
        </w:rPr>
      </w:pPr>
      <w:bookmarkStart w:id="77" w:name="_Toc194919568"/>
      <w:bookmarkStart w:id="78" w:name="_Toc199016621"/>
      <w:r w:rsidRPr="00065280">
        <w:rPr>
          <w:lang w:val="es-419"/>
        </w:rPr>
        <w:t>T</w:t>
      </w:r>
      <w:r w:rsidR="001E1D93" w:rsidRPr="00065280">
        <w:rPr>
          <w:lang w:val="es-419"/>
        </w:rPr>
        <w:t>em</w:t>
      </w:r>
      <w:r w:rsidRPr="00065280">
        <w:rPr>
          <w:lang w:val="es-419"/>
        </w:rPr>
        <w:t>a</w:t>
      </w:r>
      <w:r w:rsidR="001E1D93" w:rsidRPr="00065280">
        <w:rPr>
          <w:lang w:val="es-419"/>
        </w:rPr>
        <w:t xml:space="preserve"> </w:t>
      </w:r>
      <w:r w:rsidR="00557370" w:rsidRPr="00065280">
        <w:rPr>
          <w:lang w:val="es-419"/>
        </w:rPr>
        <w:t>4</w:t>
      </w:r>
      <w:r w:rsidR="002530CE" w:rsidRPr="00065280">
        <w:rPr>
          <w:lang w:val="es-419"/>
        </w:rPr>
        <w:br/>
      </w:r>
      <w:bookmarkEnd w:id="77"/>
      <w:r w:rsidR="00DF4DC1" w:rsidRPr="00065280">
        <w:rPr>
          <w:lang w:val="es-419"/>
        </w:rPr>
        <w:t>Informes de los órganos subsidiarios</w:t>
      </w:r>
      <w:bookmarkEnd w:id="78"/>
    </w:p>
    <w:p w14:paraId="402B056A" w14:textId="42E79709" w:rsidR="002E6584" w:rsidRPr="00065280" w:rsidRDefault="002E6584" w:rsidP="009C147A">
      <w:pPr>
        <w:pStyle w:val="CBDNormalNumber"/>
        <w:rPr>
          <w:lang w:val="es-419"/>
        </w:rPr>
      </w:pPr>
      <w:bookmarkStart w:id="79" w:name="_Hlk180682783"/>
      <w:r w:rsidRPr="00065280">
        <w:rPr>
          <w:lang w:val="es-419"/>
        </w:rPr>
        <w:t>La Conferencia de las Partes que actúa como reunión de las Partes en el Protocolo consideró el tema 4 del programa en su primera sesión plenaria. Tuvo ante sí los siguientes informes sobre la labor en el período entre reuniones realizada por diversos órganos desde su 10</w:t>
      </w:r>
      <w:r w:rsidRPr="00065280">
        <w:rPr>
          <w:vertAlign w:val="superscript"/>
          <w:lang w:val="es-419"/>
        </w:rPr>
        <w:t>a</w:t>
      </w:r>
      <w:r w:rsidRPr="00065280">
        <w:rPr>
          <w:lang w:val="es-419"/>
        </w:rPr>
        <w:t xml:space="preserve"> reunión: el informe de la 26ª reunión del Órgano Subsidiario de Asesoramiento Científico, Técnico y Tecnológico</w:t>
      </w:r>
      <w:r w:rsidRPr="00065280">
        <w:rPr>
          <w:rStyle w:val="FootnoteReference"/>
          <w:rFonts w:asciiTheme="majorBidi" w:hAnsiTheme="majorBidi" w:cstheme="majorBidi"/>
          <w:lang w:val="es-419"/>
        </w:rPr>
        <w:footnoteReference w:id="80"/>
      </w:r>
      <w:r w:rsidRPr="00065280">
        <w:rPr>
          <w:lang w:val="es-419"/>
        </w:rPr>
        <w:t xml:space="preserve"> y los informes de las reuniones 4</w:t>
      </w:r>
      <w:r w:rsidRPr="00065280">
        <w:rPr>
          <w:vertAlign w:val="superscript"/>
          <w:lang w:val="es-419"/>
        </w:rPr>
        <w:t>a</w:t>
      </w:r>
      <w:r w:rsidRPr="00065280">
        <w:rPr>
          <w:lang w:val="es-419"/>
        </w:rPr>
        <w:t xml:space="preserve"> y 5</w:t>
      </w:r>
      <w:r w:rsidRPr="00065280">
        <w:rPr>
          <w:vertAlign w:val="superscript"/>
          <w:lang w:val="es-419"/>
        </w:rPr>
        <w:t>a</w:t>
      </w:r>
      <w:r w:rsidRPr="00065280">
        <w:rPr>
          <w:lang w:val="es-419"/>
        </w:rPr>
        <w:t xml:space="preserve"> del Órgano Subsidiario sobre la Aplicación</w:t>
      </w:r>
      <w:r w:rsidRPr="00065280">
        <w:rPr>
          <w:rStyle w:val="FootnoteReference"/>
          <w:snapToGrid w:val="0"/>
          <w:kern w:val="22"/>
          <w:lang w:val="es-419"/>
        </w:rPr>
        <w:footnoteReference w:id="81"/>
      </w:r>
      <w:r w:rsidRPr="00065280">
        <w:rPr>
          <w:lang w:val="es-419"/>
        </w:rPr>
        <w:t>.</w:t>
      </w:r>
      <w:r w:rsidRPr="00065280">
        <w:rPr>
          <w:snapToGrid w:val="0"/>
          <w:lang w:val="es-419"/>
        </w:rPr>
        <w:t xml:space="preserve"> </w:t>
      </w:r>
    </w:p>
    <w:p w14:paraId="4D7B7764" w14:textId="77777777" w:rsidR="002E6584" w:rsidRPr="00065280" w:rsidRDefault="002E6584" w:rsidP="002E6584">
      <w:pPr>
        <w:pStyle w:val="CBDNormalNumber"/>
        <w:rPr>
          <w:lang w:val="es-419"/>
        </w:rPr>
      </w:pPr>
      <w:r w:rsidRPr="00065280">
        <w:rPr>
          <w:lang w:val="es-419"/>
        </w:rPr>
        <w:t>La Conferencia de las Partes que actúa como reunión de las Partes en el Protocolo escuchó informes orales a cargo de la Presidenta del Órgano Subsidiario de Asesoramiento Científico, Técnico y Tecnológico y del Presidente del Órgano Subsidiario sobre la Aplicación.</w:t>
      </w:r>
    </w:p>
    <w:p w14:paraId="14A026E6" w14:textId="77777777" w:rsidR="002E6584" w:rsidRPr="00065280" w:rsidRDefault="002E6584" w:rsidP="002E6584">
      <w:pPr>
        <w:pStyle w:val="CBDNormalNumber"/>
        <w:rPr>
          <w:lang w:val="es-419"/>
        </w:rPr>
      </w:pPr>
      <w:r w:rsidRPr="00065280">
        <w:rPr>
          <w:lang w:val="es-419"/>
        </w:rPr>
        <w:t>Formularon declaraciones representantes de las siguientes Partes: Egipto (en calidad de Relator de la quinta reunión del Órgano Subsidiario sobre la Aplicación) y República Democrática del Congo.</w:t>
      </w:r>
    </w:p>
    <w:p w14:paraId="47744B39" w14:textId="5F010AC9" w:rsidR="00AF0F14" w:rsidRPr="00065280" w:rsidRDefault="002E6584" w:rsidP="002E6584">
      <w:pPr>
        <w:pStyle w:val="CBDNormalNumber"/>
        <w:rPr>
          <w:lang w:val="es-419"/>
        </w:rPr>
      </w:pPr>
      <w:r w:rsidRPr="00065280">
        <w:rPr>
          <w:lang w:val="es-419"/>
        </w:rPr>
        <w:t>La Conferencia de las Partes que actúa como reunión de las Partes en el Protocolo tomó nota de la información brindada y convino en que las recomendaciones de los órganos subsidiarios se considerarían en los grupos de trabajo cuando estos trataran los temas correspondientes del programa</w:t>
      </w:r>
      <w:r w:rsidR="00AF0F14" w:rsidRPr="00065280">
        <w:rPr>
          <w:lang w:val="es-419"/>
        </w:rPr>
        <w:t>.</w:t>
      </w:r>
      <w:bookmarkEnd w:id="79"/>
    </w:p>
    <w:p w14:paraId="63DF7D97" w14:textId="64D5654F" w:rsidR="00557370" w:rsidRPr="00065280" w:rsidRDefault="00C15D24" w:rsidP="006F791E">
      <w:pPr>
        <w:pStyle w:val="CBDAgendaItem"/>
        <w:rPr>
          <w:lang w:val="es-419"/>
        </w:rPr>
      </w:pPr>
      <w:bookmarkStart w:id="80" w:name="_Toc194919569"/>
      <w:bookmarkStart w:id="81" w:name="_Toc199016622"/>
      <w:r w:rsidRPr="00065280">
        <w:rPr>
          <w:lang w:val="es-419"/>
        </w:rPr>
        <w:t>T</w:t>
      </w:r>
      <w:r w:rsidR="001E1D93" w:rsidRPr="00065280">
        <w:rPr>
          <w:lang w:val="es-419"/>
        </w:rPr>
        <w:t>em</w:t>
      </w:r>
      <w:r w:rsidRPr="00065280">
        <w:rPr>
          <w:lang w:val="es-419"/>
        </w:rPr>
        <w:t>a</w:t>
      </w:r>
      <w:r w:rsidR="001E1D93" w:rsidRPr="00065280">
        <w:rPr>
          <w:lang w:val="es-419"/>
        </w:rPr>
        <w:t xml:space="preserve"> </w:t>
      </w:r>
      <w:r w:rsidR="00557370" w:rsidRPr="00065280">
        <w:rPr>
          <w:lang w:val="es-419"/>
        </w:rPr>
        <w:t>5</w:t>
      </w:r>
      <w:r w:rsidR="002559A4" w:rsidRPr="00065280">
        <w:rPr>
          <w:lang w:val="es-419"/>
        </w:rPr>
        <w:br/>
      </w:r>
      <w:bookmarkEnd w:id="80"/>
      <w:r w:rsidRPr="00065280">
        <w:rPr>
          <w:lang w:val="es-419"/>
        </w:rPr>
        <w:t>Informe del Comité de Cumplimiento</w:t>
      </w:r>
      <w:bookmarkEnd w:id="81"/>
    </w:p>
    <w:p w14:paraId="06FC5A03" w14:textId="12AC09B9" w:rsidR="00C15D24" w:rsidRPr="00065280" w:rsidRDefault="00C15D24" w:rsidP="009C147A">
      <w:pPr>
        <w:pStyle w:val="CBDNormalNumber"/>
        <w:rPr>
          <w:rFonts w:asciiTheme="majorBidi" w:eastAsia="MS Mincho" w:hAnsiTheme="majorBidi" w:cstheme="majorBidi"/>
          <w:color w:val="000000"/>
          <w:kern w:val="22"/>
          <w:lang w:val="es-419"/>
        </w:rPr>
      </w:pPr>
      <w:r w:rsidRPr="00065280">
        <w:rPr>
          <w:lang w:val="es-419"/>
        </w:rPr>
        <w:t>La Conferencia de las Partes que actúa como reunión de las Partes en el Protocolo consideró el tema 5 del programa en su primera sesión plenaria. Tuvo ante sí un proyecto de decisión</w:t>
      </w:r>
      <w:r w:rsidRPr="00065280">
        <w:rPr>
          <w:rStyle w:val="FootnoteReference"/>
          <w:lang w:val="es-419"/>
        </w:rPr>
        <w:footnoteReference w:id="82"/>
      </w:r>
      <w:r w:rsidRPr="00065280">
        <w:rPr>
          <w:lang w:val="es-419"/>
        </w:rPr>
        <w:t xml:space="preserve"> y </w:t>
      </w:r>
      <w:r w:rsidRPr="00065280">
        <w:rPr>
          <w:rFonts w:asciiTheme="majorBidi" w:hAnsiTheme="majorBidi"/>
          <w:lang w:val="es-419"/>
        </w:rPr>
        <w:t>el informe del Comité de Cumplimiento sobre el trabajo realizado en sus reuniones 18</w:t>
      </w:r>
      <w:r w:rsidRPr="00065280">
        <w:rPr>
          <w:rFonts w:asciiTheme="majorBidi" w:hAnsiTheme="majorBidi"/>
          <w:vertAlign w:val="superscript"/>
          <w:lang w:val="es-419"/>
        </w:rPr>
        <w:t>a</w:t>
      </w:r>
      <w:r w:rsidRPr="00065280">
        <w:rPr>
          <w:rFonts w:asciiTheme="majorBidi" w:hAnsiTheme="majorBidi"/>
          <w:lang w:val="es-419"/>
        </w:rPr>
        <w:t xml:space="preserve"> y 19</w:t>
      </w:r>
      <w:r w:rsidRPr="00790CE1">
        <w:rPr>
          <w:rFonts w:asciiTheme="majorBidi" w:hAnsiTheme="majorBidi"/>
          <w:spacing w:val="20"/>
          <w:vertAlign w:val="superscript"/>
          <w:lang w:val="es-419"/>
        </w:rPr>
        <w:t>a</w:t>
      </w:r>
      <w:r w:rsidRPr="00790CE1">
        <w:rPr>
          <w:rStyle w:val="FootnoteReference"/>
          <w:rFonts w:asciiTheme="majorBidi" w:eastAsia="MS Mincho" w:hAnsiTheme="majorBidi" w:cstheme="majorBidi"/>
          <w:color w:val="000000"/>
          <w:spacing w:val="20"/>
          <w:kern w:val="22"/>
          <w:lang w:val="es-419"/>
        </w:rPr>
        <w:footnoteReference w:id="83"/>
      </w:r>
      <w:r w:rsidRPr="00065280">
        <w:rPr>
          <w:rFonts w:asciiTheme="majorBidi" w:hAnsiTheme="majorBidi"/>
          <w:lang w:val="es-419"/>
        </w:rPr>
        <w:t>.</w:t>
      </w:r>
      <w:r w:rsidRPr="00065280">
        <w:rPr>
          <w:rFonts w:asciiTheme="majorBidi" w:hAnsiTheme="majorBidi"/>
          <w:color w:val="000000"/>
          <w:lang w:val="es-419"/>
        </w:rPr>
        <w:t xml:space="preserve"> </w:t>
      </w:r>
      <w:r w:rsidRPr="00065280">
        <w:rPr>
          <w:lang w:val="es-419"/>
        </w:rPr>
        <w:t>En relación con el tema</w:t>
      </w:r>
      <w:r w:rsidR="00712505">
        <w:rPr>
          <w:lang w:val="es-419"/>
        </w:rPr>
        <w:t> </w:t>
      </w:r>
      <w:r w:rsidRPr="00065280">
        <w:rPr>
          <w:lang w:val="es-419"/>
        </w:rPr>
        <w:t xml:space="preserve">5, también se había publicado un documento de información sobre las </w:t>
      </w:r>
      <w:r w:rsidRPr="00065280">
        <w:rPr>
          <w:lang w:val="es-419"/>
        </w:rPr>
        <w:lastRenderedPageBreak/>
        <w:t xml:space="preserve">actividades </w:t>
      </w:r>
      <w:r w:rsidR="00790CE1">
        <w:rPr>
          <w:lang w:val="es-419"/>
        </w:rPr>
        <w:t>referidas</w:t>
      </w:r>
      <w:r w:rsidRPr="00065280">
        <w:rPr>
          <w:lang w:val="es-419"/>
        </w:rPr>
        <w:t xml:space="preserve"> a la obligación de presenta</w:t>
      </w:r>
      <w:r w:rsidR="00790CE1">
        <w:rPr>
          <w:lang w:val="es-419"/>
        </w:rPr>
        <w:t>ción de</w:t>
      </w:r>
      <w:r w:rsidRPr="00065280">
        <w:rPr>
          <w:lang w:val="es-419"/>
        </w:rPr>
        <w:t xml:space="preserve"> informes nacionales </w:t>
      </w:r>
      <w:r w:rsidR="00790CE1" w:rsidRPr="00065280">
        <w:rPr>
          <w:lang w:val="es-419"/>
        </w:rPr>
        <w:t>emprendidas por el Comité de Cumplimiento</w:t>
      </w:r>
      <w:r w:rsidR="00790CE1">
        <w:rPr>
          <w:lang w:val="es-419"/>
        </w:rPr>
        <w:t xml:space="preserve"> </w:t>
      </w:r>
      <w:r w:rsidRPr="00065280">
        <w:rPr>
          <w:lang w:val="es-419"/>
        </w:rPr>
        <w:t xml:space="preserve">que </w:t>
      </w:r>
      <w:r w:rsidR="00790CE1">
        <w:rPr>
          <w:lang w:val="es-419"/>
        </w:rPr>
        <w:t>lo llevaron a</w:t>
      </w:r>
      <w:r w:rsidRPr="00065280">
        <w:rPr>
          <w:lang w:val="es-419"/>
        </w:rPr>
        <w:t xml:space="preserve"> formula</w:t>
      </w:r>
      <w:r w:rsidR="00790CE1">
        <w:rPr>
          <w:lang w:val="es-419"/>
        </w:rPr>
        <w:t>r</w:t>
      </w:r>
      <w:r w:rsidRPr="00065280">
        <w:rPr>
          <w:lang w:val="es-419"/>
        </w:rPr>
        <w:t xml:space="preserve"> una recomendación de emitir una advertencia a determinadas Partes</w:t>
      </w:r>
      <w:r w:rsidRPr="00065280">
        <w:rPr>
          <w:rStyle w:val="FootnoteReference"/>
          <w:lang w:val="es-419"/>
        </w:rPr>
        <w:footnoteReference w:id="84"/>
      </w:r>
      <w:r w:rsidRPr="00065280">
        <w:rPr>
          <w:lang w:val="es-419"/>
        </w:rPr>
        <w:t>.</w:t>
      </w:r>
    </w:p>
    <w:p w14:paraId="1A15DBF1" w14:textId="77777777" w:rsidR="00C15D24" w:rsidRPr="00065280" w:rsidRDefault="00C15D24" w:rsidP="00C15D24">
      <w:pPr>
        <w:pStyle w:val="CBDNormalNumber"/>
        <w:rPr>
          <w:rFonts w:asciiTheme="majorBidi" w:eastAsia="MS Mincho" w:hAnsiTheme="majorBidi" w:cstheme="majorBidi"/>
          <w:color w:val="000000"/>
          <w:kern w:val="22"/>
          <w:lang w:val="es-419"/>
        </w:rPr>
      </w:pPr>
      <w:r w:rsidRPr="00065280">
        <w:rPr>
          <w:lang w:val="es-419"/>
        </w:rPr>
        <w:t>El Presidente del Comité de Cumplimiento, Rigobert Ntep (Camerún), presentó el informe del Comité.</w:t>
      </w:r>
    </w:p>
    <w:p w14:paraId="53A35E87" w14:textId="77777777" w:rsidR="00C15D24" w:rsidRPr="00065280" w:rsidRDefault="00C15D24" w:rsidP="00C15D24">
      <w:pPr>
        <w:pStyle w:val="CBDNormalNumber"/>
        <w:rPr>
          <w:rFonts w:asciiTheme="majorBidi" w:eastAsia="MS Mincho" w:hAnsiTheme="majorBidi" w:cstheme="majorBidi"/>
          <w:color w:val="000000"/>
          <w:kern w:val="22"/>
          <w:lang w:val="es-419"/>
        </w:rPr>
      </w:pPr>
      <w:r w:rsidRPr="00065280">
        <w:rPr>
          <w:rFonts w:asciiTheme="majorBidi" w:hAnsiTheme="majorBidi"/>
          <w:color w:val="000000"/>
          <w:lang w:val="es-419"/>
        </w:rPr>
        <w:t>Formularon declaraciones representantes de las siguientes Partes: Brasil, Colombia, Egipto, Noruega, Nueva Zelandia y Unión Europea y sus Estados miembros.</w:t>
      </w:r>
    </w:p>
    <w:p w14:paraId="3D6E40CD" w14:textId="77777777" w:rsidR="00C15D24" w:rsidRPr="00065280" w:rsidRDefault="00C15D24" w:rsidP="00C15D24">
      <w:pPr>
        <w:pStyle w:val="CBDNormalNumber"/>
        <w:rPr>
          <w:rFonts w:asciiTheme="majorBidi" w:eastAsia="MS Mincho" w:hAnsiTheme="majorBidi" w:cstheme="majorBidi"/>
          <w:color w:val="000000"/>
          <w:kern w:val="22"/>
          <w:lang w:val="es-419"/>
        </w:rPr>
      </w:pPr>
      <w:r w:rsidRPr="00065280">
        <w:rPr>
          <w:rFonts w:asciiTheme="majorBidi" w:hAnsiTheme="majorBidi"/>
          <w:color w:val="000000"/>
          <w:lang w:val="es-419"/>
        </w:rPr>
        <w:t>De acuerdo con la organización de los trabajos, las cuestiones sustantivas surgidas del informe se remitieron al Grupo de Trabajo II para su examen.</w:t>
      </w:r>
    </w:p>
    <w:p w14:paraId="49B8D78E" w14:textId="77777777" w:rsidR="00C15D24" w:rsidRPr="00065280" w:rsidRDefault="00C15D24" w:rsidP="00C15D24">
      <w:pPr>
        <w:pStyle w:val="CBDNormalNumber"/>
        <w:rPr>
          <w:rFonts w:asciiTheme="majorBidi" w:eastAsia="MS Mincho" w:hAnsiTheme="majorBidi" w:cstheme="majorBidi"/>
          <w:color w:val="000000"/>
          <w:kern w:val="22"/>
          <w:lang w:val="es-419"/>
        </w:rPr>
      </w:pPr>
      <w:r w:rsidRPr="00065280">
        <w:rPr>
          <w:lang w:val="es-419"/>
        </w:rPr>
        <w:t xml:space="preserve">La Conferencia de las Partes que actúa como reunión de las Partes en el Protocolo decidió prorrogar por dos años más el mandato de los cinco miembros del Comité de Cumplimiento indicados en el cuadro A del anexo de la notificación </w:t>
      </w:r>
      <w:hyperlink r:id="rId45" w:history="1">
        <w:r w:rsidRPr="00065280">
          <w:rPr>
            <w:rStyle w:val="Hyperlink"/>
            <w:lang w:val="es-419"/>
          </w:rPr>
          <w:t>No. 2024-092</w:t>
        </w:r>
      </w:hyperlink>
      <w:r w:rsidRPr="00065280">
        <w:rPr>
          <w:lang w:val="es-419"/>
        </w:rPr>
        <w:t>, de 12 de septiembre de 2024, emitida por la Secretaría en relación con la nominación y elección de miembros del Comité. También decidió que en una sesión posterior se realizarían elecciones para cubrir los cargos de los diez miembros cuyos mandatos finalizarían el 31 de diciembre de 2024, indicados en el cuadro B del anexo de la notificación</w:t>
      </w:r>
      <w:r w:rsidRPr="00065280">
        <w:rPr>
          <w:rFonts w:asciiTheme="majorBidi" w:hAnsiTheme="majorBidi"/>
          <w:color w:val="000000"/>
          <w:lang w:val="es-419"/>
        </w:rPr>
        <w:t>.</w:t>
      </w:r>
    </w:p>
    <w:p w14:paraId="53324FAE" w14:textId="77777777" w:rsidR="00C15D24" w:rsidRPr="00065280" w:rsidRDefault="00C15D24" w:rsidP="00C15D24">
      <w:pPr>
        <w:pStyle w:val="CBDNormalNumber"/>
        <w:rPr>
          <w:rFonts w:asciiTheme="majorBidi" w:eastAsia="MS Mincho" w:hAnsiTheme="majorBidi" w:cstheme="majorBidi"/>
          <w:color w:val="000000"/>
          <w:kern w:val="22"/>
          <w:lang w:val="es-419"/>
        </w:rPr>
      </w:pPr>
      <w:r w:rsidRPr="00065280">
        <w:rPr>
          <w:lang w:val="es-419"/>
        </w:rPr>
        <w:t>En su cuarta sesión plenaria, la Conferencia de las Partes que actúa como reunión de las Partes en el Protocolo eligió a los siguientes miembros del Comité de Cumplimiento por un mandato de cuatro años que empezaría el 1 de enero de 2025:</w:t>
      </w:r>
    </w:p>
    <w:p w14:paraId="4C27B208" w14:textId="77777777" w:rsidR="00C15D24" w:rsidRPr="00065280" w:rsidRDefault="00C15D24" w:rsidP="00C15D24">
      <w:pPr>
        <w:tabs>
          <w:tab w:val="clear" w:pos="567"/>
          <w:tab w:val="clear" w:pos="1134"/>
          <w:tab w:val="clear" w:pos="1701"/>
          <w:tab w:val="clear" w:pos="2268"/>
        </w:tabs>
        <w:spacing w:after="120"/>
        <w:ind w:left="1166"/>
        <w:rPr>
          <w:lang w:val="es-419"/>
        </w:rPr>
      </w:pPr>
      <w:r w:rsidRPr="00065280">
        <w:rPr>
          <w:lang w:val="es-419"/>
        </w:rPr>
        <w:t>Rigobert Ntep (Camerún)</w:t>
      </w:r>
    </w:p>
    <w:p w14:paraId="29E5C55C" w14:textId="77777777" w:rsidR="00C15D24" w:rsidRPr="00065280" w:rsidRDefault="00C15D24" w:rsidP="00C15D24">
      <w:pPr>
        <w:tabs>
          <w:tab w:val="clear" w:pos="567"/>
          <w:tab w:val="clear" w:pos="1134"/>
          <w:tab w:val="clear" w:pos="1701"/>
          <w:tab w:val="clear" w:pos="2268"/>
        </w:tabs>
        <w:spacing w:after="120"/>
        <w:ind w:left="1166"/>
        <w:rPr>
          <w:lang w:val="es-419"/>
        </w:rPr>
      </w:pPr>
      <w:r w:rsidRPr="00065280">
        <w:rPr>
          <w:lang w:val="es-419"/>
        </w:rPr>
        <w:t>Dorington O. Ogoyi (Kenya)</w:t>
      </w:r>
    </w:p>
    <w:p w14:paraId="6ED115D6" w14:textId="77777777" w:rsidR="00C15D24" w:rsidRPr="00065280" w:rsidRDefault="00C15D24" w:rsidP="00C15D24">
      <w:pPr>
        <w:tabs>
          <w:tab w:val="clear" w:pos="567"/>
          <w:tab w:val="clear" w:pos="1134"/>
          <w:tab w:val="clear" w:pos="1701"/>
          <w:tab w:val="clear" w:pos="2268"/>
        </w:tabs>
        <w:spacing w:after="120"/>
        <w:ind w:left="1166"/>
        <w:rPr>
          <w:lang w:val="es-419"/>
        </w:rPr>
      </w:pPr>
      <w:r w:rsidRPr="00065280">
        <w:rPr>
          <w:lang w:val="es-419"/>
        </w:rPr>
        <w:t>Yousef Saleh al-Hafedh (Arabia Saudita)</w:t>
      </w:r>
    </w:p>
    <w:p w14:paraId="663FB484" w14:textId="77777777" w:rsidR="00C15D24" w:rsidRPr="00065280" w:rsidRDefault="00C15D24" w:rsidP="00C15D24">
      <w:pPr>
        <w:tabs>
          <w:tab w:val="clear" w:pos="567"/>
          <w:tab w:val="clear" w:pos="1134"/>
          <w:tab w:val="clear" w:pos="1701"/>
          <w:tab w:val="clear" w:pos="2268"/>
        </w:tabs>
        <w:spacing w:after="120"/>
        <w:ind w:left="1166"/>
        <w:rPr>
          <w:lang w:val="es-419"/>
        </w:rPr>
      </w:pPr>
      <w:r w:rsidRPr="00065280">
        <w:rPr>
          <w:lang w:val="es-419"/>
        </w:rPr>
        <w:t>Yan Liu (China)</w:t>
      </w:r>
    </w:p>
    <w:p w14:paraId="34FD1CDF" w14:textId="77777777" w:rsidR="00C15D24" w:rsidRPr="00065280" w:rsidRDefault="00C15D24" w:rsidP="00C15D24">
      <w:pPr>
        <w:tabs>
          <w:tab w:val="clear" w:pos="567"/>
          <w:tab w:val="clear" w:pos="1134"/>
          <w:tab w:val="clear" w:pos="1701"/>
          <w:tab w:val="clear" w:pos="2268"/>
        </w:tabs>
        <w:spacing w:after="120"/>
        <w:ind w:left="1166"/>
        <w:rPr>
          <w:lang w:val="es-419"/>
        </w:rPr>
      </w:pPr>
      <w:r w:rsidRPr="00065280">
        <w:rPr>
          <w:lang w:val="es-419"/>
        </w:rPr>
        <w:t>Hana Jiráková (Chequia)</w:t>
      </w:r>
    </w:p>
    <w:p w14:paraId="6D496695" w14:textId="77777777" w:rsidR="00C15D24" w:rsidRPr="00065280" w:rsidRDefault="00C15D24" w:rsidP="00C15D24">
      <w:pPr>
        <w:tabs>
          <w:tab w:val="clear" w:pos="567"/>
          <w:tab w:val="clear" w:pos="1134"/>
          <w:tab w:val="clear" w:pos="1701"/>
          <w:tab w:val="clear" w:pos="2268"/>
        </w:tabs>
        <w:spacing w:after="120"/>
        <w:ind w:left="1166"/>
        <w:rPr>
          <w:lang w:val="es-419"/>
        </w:rPr>
      </w:pPr>
      <w:r w:rsidRPr="00065280">
        <w:rPr>
          <w:lang w:val="es-419"/>
        </w:rPr>
        <w:t>Klodiana Marika (Albania)</w:t>
      </w:r>
    </w:p>
    <w:p w14:paraId="33F15E96" w14:textId="77777777" w:rsidR="00C15D24" w:rsidRPr="00065280" w:rsidRDefault="00C15D24" w:rsidP="00C15D24">
      <w:pPr>
        <w:tabs>
          <w:tab w:val="clear" w:pos="567"/>
          <w:tab w:val="clear" w:pos="1134"/>
          <w:tab w:val="clear" w:pos="1701"/>
          <w:tab w:val="clear" w:pos="2268"/>
        </w:tabs>
        <w:spacing w:after="120"/>
        <w:ind w:left="1166"/>
        <w:rPr>
          <w:lang w:val="es-419"/>
        </w:rPr>
      </w:pPr>
      <w:r w:rsidRPr="00065280">
        <w:rPr>
          <w:lang w:val="es-419"/>
        </w:rPr>
        <w:t>Alejandra Ferenczi (Uruguay)</w:t>
      </w:r>
    </w:p>
    <w:p w14:paraId="4DC66F17" w14:textId="77777777" w:rsidR="00C15D24" w:rsidRPr="00065280" w:rsidRDefault="00C15D24" w:rsidP="00C15D24">
      <w:pPr>
        <w:tabs>
          <w:tab w:val="clear" w:pos="567"/>
          <w:tab w:val="clear" w:pos="1134"/>
          <w:tab w:val="clear" w:pos="1701"/>
          <w:tab w:val="clear" w:pos="2268"/>
        </w:tabs>
        <w:spacing w:after="120"/>
        <w:ind w:left="1166"/>
        <w:rPr>
          <w:lang w:val="es-419"/>
        </w:rPr>
      </w:pPr>
      <w:r w:rsidRPr="00065280">
        <w:rPr>
          <w:lang w:val="es-419"/>
        </w:rPr>
        <w:t>Daniel Lewis (Granada)</w:t>
      </w:r>
    </w:p>
    <w:p w14:paraId="50A0B3F3" w14:textId="77777777" w:rsidR="00C15D24" w:rsidRPr="00065280" w:rsidRDefault="00C15D24" w:rsidP="00C15D24">
      <w:pPr>
        <w:tabs>
          <w:tab w:val="clear" w:pos="567"/>
          <w:tab w:val="clear" w:pos="1134"/>
          <w:tab w:val="clear" w:pos="1701"/>
          <w:tab w:val="clear" w:pos="2268"/>
        </w:tabs>
        <w:spacing w:after="120"/>
        <w:ind w:left="1166"/>
        <w:rPr>
          <w:lang w:val="es-419"/>
        </w:rPr>
      </w:pPr>
      <w:r w:rsidRPr="00065280">
        <w:rPr>
          <w:lang w:val="es-419"/>
        </w:rPr>
        <w:t>Andreas Heissenberger (Austria)</w:t>
      </w:r>
    </w:p>
    <w:p w14:paraId="40244F03" w14:textId="77777777" w:rsidR="00C15D24" w:rsidRPr="00065280" w:rsidRDefault="00C15D24" w:rsidP="00C15D24">
      <w:pPr>
        <w:tabs>
          <w:tab w:val="clear" w:pos="567"/>
          <w:tab w:val="clear" w:pos="1134"/>
          <w:tab w:val="clear" w:pos="1701"/>
          <w:tab w:val="clear" w:pos="2268"/>
        </w:tabs>
        <w:spacing w:after="120"/>
        <w:ind w:left="1166"/>
        <w:rPr>
          <w:lang w:val="es-419"/>
        </w:rPr>
      </w:pPr>
      <w:r w:rsidRPr="00065280">
        <w:rPr>
          <w:lang w:val="es-419"/>
        </w:rPr>
        <w:t>Casper Linnestad (Noruega)</w:t>
      </w:r>
    </w:p>
    <w:p w14:paraId="4BF808D8" w14:textId="77777777" w:rsidR="00C15D24" w:rsidRPr="00065280" w:rsidRDefault="00C15D24" w:rsidP="00C15D24">
      <w:pPr>
        <w:pStyle w:val="CBDNormalNumber"/>
        <w:spacing w:before="0"/>
        <w:rPr>
          <w:lang w:val="es-419"/>
        </w:rPr>
      </w:pPr>
      <w:r w:rsidRPr="00065280">
        <w:rPr>
          <w:lang w:val="es-419"/>
        </w:rPr>
        <w:t xml:space="preserve">El Grupo de Trabajo II examinó el tema 5 del programa en su segunda sesión, el 22 de octubre. </w:t>
      </w:r>
    </w:p>
    <w:p w14:paraId="05782FBF" w14:textId="77777777" w:rsidR="00C15D24" w:rsidRPr="00065280" w:rsidRDefault="00C15D24" w:rsidP="00C15D24">
      <w:pPr>
        <w:pStyle w:val="CBDNormalNumber"/>
        <w:spacing w:before="0"/>
        <w:rPr>
          <w:lang w:val="es-419"/>
        </w:rPr>
      </w:pPr>
      <w:r w:rsidRPr="00065280">
        <w:rPr>
          <w:lang w:val="es-419"/>
        </w:rPr>
        <w:t xml:space="preserve">El Presidente del Comité de Cumplimiento informó sobre la labor realizada por el Comité de Cumplimiento en sus reuniones 18ª y 19ª. </w:t>
      </w:r>
    </w:p>
    <w:p w14:paraId="6ECC6DBA" w14:textId="77777777" w:rsidR="00C15D24" w:rsidRPr="00065280" w:rsidRDefault="00C15D24" w:rsidP="00C15D24">
      <w:pPr>
        <w:pStyle w:val="CBDNormalNumber"/>
        <w:spacing w:before="0"/>
        <w:rPr>
          <w:lang w:val="es-419"/>
        </w:rPr>
      </w:pPr>
      <w:r w:rsidRPr="00065280">
        <w:rPr>
          <w:lang w:val="es-419"/>
        </w:rPr>
        <w:t>Formularon declaraciones representantes de las siguientes Partes: Brasil, Ecuador, Egipto, Gabón, India, Japón, Marruecos, Noruega, Nueva Zelandia, Panamá, Paraguay, Perú, Reino Unido de Gran Bretaña e Irlanda del Norte, República de Moldova, Unión Europea y sus Estados miembros y Uruguay.</w:t>
      </w:r>
    </w:p>
    <w:p w14:paraId="339A7361" w14:textId="34A4E10F" w:rsidR="00C15D24" w:rsidRPr="00065280" w:rsidRDefault="00C15D24" w:rsidP="00C15D24">
      <w:pPr>
        <w:pStyle w:val="CBDNormalNumber"/>
        <w:spacing w:before="0"/>
        <w:rPr>
          <w:lang w:val="es-419"/>
        </w:rPr>
      </w:pPr>
      <w:r w:rsidRPr="00065280">
        <w:rPr>
          <w:lang w:val="es-419"/>
        </w:rPr>
        <w:t xml:space="preserve">El Presidente estableció un grupo de amigos de la Presidencia, que sería </w:t>
      </w:r>
      <w:r w:rsidR="00C4472F">
        <w:rPr>
          <w:lang w:val="es-419"/>
        </w:rPr>
        <w:t>moder</w:t>
      </w:r>
      <w:r w:rsidRPr="00065280">
        <w:rPr>
          <w:lang w:val="es-419"/>
        </w:rPr>
        <w:t>ado por el Sr.</w:t>
      </w:r>
      <w:r w:rsidR="00712505">
        <w:rPr>
          <w:lang w:val="es-419"/>
        </w:rPr>
        <w:t> </w:t>
      </w:r>
      <w:r w:rsidRPr="00065280">
        <w:rPr>
          <w:lang w:val="es-419"/>
        </w:rPr>
        <w:t>Linnestad, con el cometido de resolver las cuestiones pendientes. El Grupo de Trabajo II convino en que el Presidente prepararía un proyecto de decisión revisado para su consideración, teniendo en cuenta las conclusiones de las deliberaciones mantenidas en el grupo de amigos de la Presidencia.</w:t>
      </w:r>
    </w:p>
    <w:p w14:paraId="47491EFD" w14:textId="6900CDE9" w:rsidR="00C15D24" w:rsidRPr="00065280" w:rsidRDefault="00C15D24" w:rsidP="00C15D24">
      <w:pPr>
        <w:pStyle w:val="CBDNormalNumber"/>
        <w:spacing w:before="0"/>
        <w:rPr>
          <w:u w:color="000000"/>
          <w:lang w:val="es-419"/>
        </w:rPr>
      </w:pPr>
      <w:r w:rsidRPr="00065280">
        <w:rPr>
          <w:lang w:val="es-419"/>
        </w:rPr>
        <w:t xml:space="preserve">En su séptima sesión, el 28 de octubre, el Grupo de Trabajo II consideró un proyecto de decisión revisado presentado por la Presidencia tras las deliberaciones del grupo de amigos de la </w:t>
      </w:r>
      <w:r w:rsidRPr="00065280">
        <w:rPr>
          <w:lang w:val="es-419"/>
        </w:rPr>
        <w:lastRenderedPageBreak/>
        <w:t>Presidencia y lo aprobó para que fuera remitido a la sesión plenaria como proyecto</w:t>
      </w:r>
      <w:r w:rsidR="00712505">
        <w:rPr>
          <w:lang w:val="es-419"/>
        </w:rPr>
        <w:t xml:space="preserve"> de decisión CBD/CP/MOP/11/L.7.</w:t>
      </w:r>
    </w:p>
    <w:p w14:paraId="5B36A614" w14:textId="77777777" w:rsidR="00C15D24" w:rsidRPr="00065280" w:rsidRDefault="00C15D24" w:rsidP="00C15D24">
      <w:pPr>
        <w:pStyle w:val="CBDNormalNumber"/>
        <w:rPr>
          <w:snapToGrid w:val="0"/>
          <w:lang w:val="es-419"/>
        </w:rPr>
      </w:pPr>
      <w:r w:rsidRPr="00065280">
        <w:rPr>
          <w:lang w:val="es-419"/>
        </w:rPr>
        <w:t>En su tercera sesión plenaria, la Conferencia de las Partes que actúa como reunión de las Partes en el Protocolo consideró el proyecto de decisión CBD/CP/MOP/11/L.7, presentado por la Presidencia del Grupo de Trabajo II.</w:t>
      </w:r>
    </w:p>
    <w:p w14:paraId="291BE0FC" w14:textId="5A8E22C2" w:rsidR="00642A26" w:rsidRPr="00065280" w:rsidRDefault="00C15D24" w:rsidP="00C15D24">
      <w:pPr>
        <w:pStyle w:val="CBDNormalNumber"/>
        <w:spacing w:before="0"/>
        <w:rPr>
          <w:u w:color="000000"/>
          <w:lang w:val="es-419"/>
        </w:rPr>
      </w:pPr>
      <w:r w:rsidRPr="00065280">
        <w:rPr>
          <w:lang w:val="es-419"/>
        </w:rPr>
        <w:t xml:space="preserve">La Conferencia de las Partes que actúa como reunión de las Partes en el Protocolo adoptó el proyecto de decisión, con las enmiendas efectuadas oralmente en la versión en español, como decisión </w:t>
      </w:r>
      <w:hyperlink r:id="rId46" w:history="1">
        <w:r w:rsidRPr="00065280">
          <w:rPr>
            <w:rStyle w:val="Hyperlink"/>
            <w:lang w:val="es-419"/>
          </w:rPr>
          <w:t>CP-11/1</w:t>
        </w:r>
      </w:hyperlink>
      <w:r w:rsidR="006D57E9" w:rsidRPr="00065280">
        <w:rPr>
          <w:lang w:val="es-419"/>
        </w:rPr>
        <w:t>.</w:t>
      </w:r>
    </w:p>
    <w:p w14:paraId="318473BB" w14:textId="3561DFA9" w:rsidR="00557370" w:rsidRPr="00065280" w:rsidRDefault="00C15D24" w:rsidP="006F791E">
      <w:pPr>
        <w:pStyle w:val="CBDAgendaItem"/>
        <w:rPr>
          <w:rFonts w:ascii="Times New Roman Bold" w:hAnsi="Times New Roman Bold" w:hint="eastAsia"/>
          <w:lang w:val="es-419"/>
        </w:rPr>
      </w:pPr>
      <w:bookmarkStart w:id="82" w:name="_Toc194919570"/>
      <w:bookmarkStart w:id="83" w:name="_Toc199016623"/>
      <w:r w:rsidRPr="00065280">
        <w:rPr>
          <w:rFonts w:ascii="Times New Roman Bold" w:hAnsi="Times New Roman Bold"/>
          <w:lang w:val="es-419"/>
        </w:rPr>
        <w:t>T</w:t>
      </w:r>
      <w:r w:rsidR="001E1D93" w:rsidRPr="00065280">
        <w:rPr>
          <w:rFonts w:ascii="Times New Roman Bold" w:hAnsi="Times New Roman Bold"/>
          <w:lang w:val="es-419"/>
        </w:rPr>
        <w:t>em</w:t>
      </w:r>
      <w:r w:rsidRPr="00065280">
        <w:rPr>
          <w:rFonts w:ascii="Times New Roman Bold" w:hAnsi="Times New Roman Bold"/>
          <w:lang w:val="es-419"/>
        </w:rPr>
        <w:t>a</w:t>
      </w:r>
      <w:r w:rsidR="001E1D93" w:rsidRPr="00065280">
        <w:rPr>
          <w:rFonts w:ascii="Times New Roman Bold" w:hAnsi="Times New Roman Bold"/>
          <w:lang w:val="es-419"/>
        </w:rPr>
        <w:t xml:space="preserve"> </w:t>
      </w:r>
      <w:r w:rsidR="00557370" w:rsidRPr="00065280">
        <w:rPr>
          <w:rFonts w:ascii="Times New Roman Bold" w:hAnsi="Times New Roman Bold"/>
          <w:lang w:val="es-419"/>
        </w:rPr>
        <w:t>6</w:t>
      </w:r>
      <w:r w:rsidR="008C5693" w:rsidRPr="00065280">
        <w:rPr>
          <w:rFonts w:ascii="Times New Roman Bold" w:hAnsi="Times New Roman Bold"/>
          <w:lang w:val="es-419"/>
        </w:rPr>
        <w:br/>
      </w:r>
      <w:bookmarkEnd w:id="82"/>
      <w:r w:rsidR="00DA24E6" w:rsidRPr="00065280">
        <w:rPr>
          <w:lang w:val="es-419"/>
        </w:rPr>
        <w:t>Administración del Protocolo y presupuesto para los fondos fiduciarios</w:t>
      </w:r>
      <w:bookmarkEnd w:id="83"/>
    </w:p>
    <w:p w14:paraId="32DFC4F5" w14:textId="3015CD4D" w:rsidR="00DA24E6" w:rsidRPr="00065280" w:rsidRDefault="00DA24E6" w:rsidP="0077454C">
      <w:pPr>
        <w:pStyle w:val="CBDNormalNumber"/>
        <w:rPr>
          <w:rFonts w:asciiTheme="majorBidi" w:eastAsia="MS Mincho" w:hAnsiTheme="majorBidi" w:cstheme="majorBidi"/>
          <w:color w:val="000000"/>
          <w:kern w:val="22"/>
          <w:lang w:val="es-419"/>
        </w:rPr>
      </w:pPr>
      <w:bookmarkStart w:id="84" w:name="_Hlk180685264"/>
      <w:r w:rsidRPr="00065280">
        <w:rPr>
          <w:lang w:val="es-419"/>
        </w:rPr>
        <w:t>La Conferencia de las Partes que actúa como reunión de las Partes en el Protocolo consideró el tema 6 del programa en su primera sesión plenaria. Tuvo ante sí un proyecto de decisión</w:t>
      </w:r>
      <w:r w:rsidRPr="00065280">
        <w:rPr>
          <w:rStyle w:val="FootnoteReference"/>
          <w:snapToGrid w:val="0"/>
          <w:lang w:val="es-419"/>
        </w:rPr>
        <w:footnoteReference w:id="85"/>
      </w:r>
      <w:r w:rsidRPr="00065280">
        <w:rPr>
          <w:lang w:val="es-419"/>
        </w:rPr>
        <w:t xml:space="preserve"> y notas de la Secretaría sobre la administración del Convenio y sus Protocolos para el bienio 2023-2024</w:t>
      </w:r>
      <w:r w:rsidRPr="00065280">
        <w:rPr>
          <w:rStyle w:val="FootnoteReference"/>
          <w:snapToGrid w:val="0"/>
          <w:lang w:val="es-419"/>
        </w:rPr>
        <w:footnoteReference w:id="86"/>
      </w:r>
      <w:r w:rsidRPr="00065280">
        <w:rPr>
          <w:snapToGrid w:val="0"/>
          <w:lang w:val="es-419"/>
        </w:rPr>
        <w:t xml:space="preserve">, </w:t>
      </w:r>
      <w:r w:rsidRPr="00065280">
        <w:rPr>
          <w:rFonts w:asciiTheme="majorBidi" w:hAnsiTheme="majorBidi"/>
          <w:snapToGrid w:val="0"/>
          <w:color w:val="000000"/>
          <w:lang w:val="es-419"/>
        </w:rPr>
        <w:t>el proyecto de presupuesto para los programas de trabajo del Convenio y sus Protocolos para el bienio 2025</w:t>
      </w:r>
      <w:r w:rsidRPr="00065280">
        <w:rPr>
          <w:lang w:val="es-419"/>
        </w:rPr>
        <w:t>-2026</w:t>
      </w:r>
      <w:r w:rsidRPr="00065280">
        <w:rPr>
          <w:rStyle w:val="FootnoteReference"/>
          <w:snapToGrid w:val="0"/>
          <w:lang w:val="es-419"/>
        </w:rPr>
        <w:footnoteReference w:id="87"/>
      </w:r>
      <w:r w:rsidRPr="00065280">
        <w:rPr>
          <w:lang w:val="es-419"/>
        </w:rPr>
        <w:t xml:space="preserve">, los requisitos para el </w:t>
      </w:r>
      <w:r w:rsidR="0077454C" w:rsidRPr="0077454C">
        <w:rPr>
          <w:lang w:val="es-419"/>
        </w:rPr>
        <w:t>fondo fiduciario de contribuciones voluntarias adicionales en apoyo a actividades aprobadas</w:t>
      </w:r>
      <w:r w:rsidRPr="00065280">
        <w:rPr>
          <w:rStyle w:val="FootnoteReference"/>
          <w:rFonts w:asciiTheme="majorBidi" w:eastAsia="MS Mincho" w:hAnsiTheme="majorBidi" w:cstheme="majorBidi"/>
          <w:color w:val="000000"/>
          <w:kern w:val="22"/>
          <w:lang w:val="es-419"/>
        </w:rPr>
        <w:footnoteReference w:id="88"/>
      </w:r>
      <w:r w:rsidRPr="00065280">
        <w:rPr>
          <w:lang w:val="es-419"/>
        </w:rPr>
        <w:t xml:space="preserve"> y la revisión funcional de la Secretaría</w:t>
      </w:r>
      <w:r w:rsidRPr="00065280">
        <w:rPr>
          <w:rStyle w:val="FootnoteReference"/>
          <w:rFonts w:asciiTheme="majorBidi" w:eastAsia="MS Mincho" w:hAnsiTheme="majorBidi" w:cstheme="majorBidi"/>
          <w:color w:val="000000"/>
          <w:kern w:val="22"/>
          <w:lang w:val="es-419"/>
        </w:rPr>
        <w:footnoteReference w:id="89"/>
      </w:r>
      <w:r w:rsidRPr="00065280">
        <w:rPr>
          <w:lang w:val="es-419"/>
        </w:rPr>
        <w:t>.</w:t>
      </w:r>
    </w:p>
    <w:p w14:paraId="4D93A91E" w14:textId="77777777" w:rsidR="00DA24E6" w:rsidRPr="00712505" w:rsidRDefault="00DA24E6" w:rsidP="00DA24E6">
      <w:pPr>
        <w:pStyle w:val="CBDNormalNumber"/>
        <w:rPr>
          <w:rFonts w:asciiTheme="majorBidi" w:eastAsia="MS Mincho" w:hAnsiTheme="majorBidi" w:cstheme="majorBidi"/>
          <w:color w:val="000000"/>
          <w:spacing w:val="4"/>
          <w:kern w:val="22"/>
          <w:lang w:val="es-419"/>
        </w:rPr>
      </w:pPr>
      <w:r w:rsidRPr="00712505">
        <w:rPr>
          <w:rFonts w:asciiTheme="majorBidi" w:hAnsiTheme="majorBidi"/>
          <w:color w:val="000000"/>
          <w:spacing w:val="4"/>
          <w:lang w:val="es-419"/>
        </w:rPr>
        <w:t>La Secretaria Ejecutiva informó sobre las actividades de la Secretaría y presentó el proyecto de presupuesto para los programas de trabajo del Convenio y sus Protocolos para el bienio 2025-2026.</w:t>
      </w:r>
    </w:p>
    <w:p w14:paraId="34CBD3FE" w14:textId="229CDAEB" w:rsidR="00DA24E6" w:rsidRPr="00065280" w:rsidRDefault="00DA24E6" w:rsidP="00DA24E6">
      <w:pPr>
        <w:pStyle w:val="CBDNormalNumber"/>
        <w:rPr>
          <w:rFonts w:asciiTheme="majorBidi" w:eastAsia="MS Mincho" w:hAnsiTheme="majorBidi" w:cstheme="majorBidi"/>
          <w:color w:val="000000"/>
          <w:kern w:val="22"/>
          <w:lang w:val="es-419"/>
        </w:rPr>
      </w:pPr>
      <w:r w:rsidRPr="00065280">
        <w:rPr>
          <w:lang w:val="es-419"/>
        </w:rPr>
        <w:t>La Conferencia de las Partes en el Convenio, actuando también como reunión de las Partes en los Protocolos, estableció un grupo de contacto sobre cuestiones presupuestarias, presidido por Charles Gbedemah (Ghana), con el mandato de examinar a fondo el proyecto de presupuesto para el bienio 2025-2026.</w:t>
      </w:r>
    </w:p>
    <w:p w14:paraId="0A9086ED" w14:textId="4E1DA7BB" w:rsidR="00DA24E6" w:rsidRPr="00065280" w:rsidRDefault="00DA24E6" w:rsidP="00DA24E6">
      <w:pPr>
        <w:pStyle w:val="CBDNormalNumber"/>
        <w:rPr>
          <w:lang w:val="es-419"/>
        </w:rPr>
      </w:pPr>
      <w:bookmarkStart w:id="85" w:name="_Hlk182076840"/>
      <w:r w:rsidRPr="00065280">
        <w:rPr>
          <w:lang w:val="es-419"/>
        </w:rPr>
        <w:t xml:space="preserve">En su quinta sesión plenaria, el 1 de noviembre, la Conferencia de las Partes en el Convenio, actuando también como reuniones de las Partes en los Protocolos, escuchó un informe del Presidente del grupo de contacto sobre cuestiones presupuestarias, también en su calidad de </w:t>
      </w:r>
      <w:r w:rsidR="00C4472F">
        <w:rPr>
          <w:lang w:val="es-419"/>
        </w:rPr>
        <w:t>moder</w:t>
      </w:r>
      <w:r w:rsidRPr="00065280">
        <w:rPr>
          <w:lang w:val="es-419"/>
        </w:rPr>
        <w:t>ador del grupo de amigos de la Presidencia.</w:t>
      </w:r>
    </w:p>
    <w:p w14:paraId="6594E8CB" w14:textId="77777777" w:rsidR="00DA24E6" w:rsidRPr="00065280" w:rsidRDefault="00DA24E6" w:rsidP="00DA24E6">
      <w:pPr>
        <w:pStyle w:val="CBDNormalNumber"/>
        <w:rPr>
          <w:lang w:val="es-419"/>
        </w:rPr>
      </w:pPr>
      <w:r w:rsidRPr="00065280">
        <w:rPr>
          <w:lang w:val="es-419"/>
        </w:rPr>
        <w:t>Sin embargo, debido a que la reunión se quedó sin</w:t>
      </w:r>
      <w:r w:rsidRPr="00065280">
        <w:rPr>
          <w:i/>
          <w:iCs/>
          <w:lang w:val="es-419"/>
        </w:rPr>
        <w:t xml:space="preserve"> quorum</w:t>
      </w:r>
      <w:r w:rsidRPr="00065280">
        <w:rPr>
          <w:lang w:val="es-419"/>
        </w:rPr>
        <w:t>, las deliberaciones debieron suspenderse antes de que pudieran concluirse (véase el tema 17 más adelante).</w:t>
      </w:r>
    </w:p>
    <w:bookmarkEnd w:id="85"/>
    <w:p w14:paraId="1CB3A484" w14:textId="77777777" w:rsidR="00DA24E6" w:rsidRPr="00065280" w:rsidRDefault="00DA24E6" w:rsidP="00DA24E6">
      <w:pPr>
        <w:pStyle w:val="CBDNormalNumber"/>
        <w:rPr>
          <w:rFonts w:asciiTheme="majorBidi" w:eastAsia="MS Mincho" w:hAnsiTheme="majorBidi" w:cstheme="majorBidi"/>
          <w:color w:val="000000"/>
          <w:kern w:val="22"/>
          <w:lang w:val="es-419"/>
        </w:rPr>
      </w:pPr>
      <w:r w:rsidRPr="00065280">
        <w:rPr>
          <w:lang w:val="es-419"/>
        </w:rPr>
        <w:t xml:space="preserve">Del 3 al 6 de diciembre de 2024, la Conferencia de las Partes que actúa como reunión de las Partes en el Protocolo celebró su sexta sesión plenaria en una continuación en línea de la reunión, con el fin de considerar la adopción, mediante un procedimiento de aprobación tácita, de los proyectos de decisión </w:t>
      </w:r>
      <w:hyperlink r:id="rId47" w:history="1">
        <w:r w:rsidRPr="00065280">
          <w:rPr>
            <w:rStyle w:val="Hyperlink"/>
            <w:rFonts w:asciiTheme="majorBidi" w:hAnsiTheme="majorBidi"/>
            <w:lang w:val="es-419"/>
          </w:rPr>
          <w:t>CBD/CP/MOP/11/L.12/Rev.1</w:t>
        </w:r>
      </w:hyperlink>
      <w:r w:rsidRPr="00065280">
        <w:rPr>
          <w:lang w:val="es-419"/>
        </w:rPr>
        <w:t xml:space="preserve"> y </w:t>
      </w:r>
      <w:hyperlink r:id="rId48" w:history="1">
        <w:r w:rsidRPr="00065280">
          <w:rPr>
            <w:rStyle w:val="Hyperlink"/>
            <w:rFonts w:asciiTheme="majorBidi" w:hAnsiTheme="majorBidi"/>
            <w:lang w:val="es-419"/>
          </w:rPr>
          <w:t>CBD/CP/MOP/11/L.13</w:t>
        </w:r>
      </w:hyperlink>
      <w:r w:rsidRPr="00065280">
        <w:rPr>
          <w:lang w:val="es-419"/>
        </w:rPr>
        <w:t>, presentados por la Presidencia.</w:t>
      </w:r>
    </w:p>
    <w:p w14:paraId="02EEBDDA" w14:textId="351754F6" w:rsidR="009776DD" w:rsidRPr="00065280" w:rsidRDefault="00DA24E6" w:rsidP="00DA24E6">
      <w:pPr>
        <w:pStyle w:val="CBDNormalNumber"/>
        <w:rPr>
          <w:rFonts w:asciiTheme="majorBidi" w:eastAsia="MS Mincho" w:hAnsiTheme="majorBidi" w:cstheme="majorBidi"/>
          <w:color w:val="000000"/>
          <w:kern w:val="22"/>
          <w:lang w:val="es-419"/>
        </w:rPr>
      </w:pPr>
      <w:r w:rsidRPr="00065280">
        <w:rPr>
          <w:lang w:val="es-419"/>
        </w:rPr>
        <w:t xml:space="preserve">El procedimiento de aprobación tácita concluyó el 6 de diciembre sin que las Partes plantearan objeciones en el período previsto para manifestar oposición y, por consiguiente, la Presidenta emitió una comunicación de cierre informando a las Partes que los dos proyectos de decisión se tenían por adoptados como decisiones </w:t>
      </w:r>
      <w:hyperlink r:id="rId49" w:history="1">
        <w:r w:rsidR="00712505">
          <w:rPr>
            <w:rStyle w:val="Hyperlink"/>
            <w:lang w:val="es-419"/>
          </w:rPr>
          <w:t>CP-11/11</w:t>
        </w:r>
      </w:hyperlink>
      <w:r w:rsidRPr="00065280">
        <w:rPr>
          <w:lang w:val="es-419"/>
        </w:rPr>
        <w:t xml:space="preserve"> y </w:t>
      </w:r>
      <w:hyperlink r:id="rId50" w:history="1">
        <w:r w:rsidR="00712505">
          <w:rPr>
            <w:rStyle w:val="Hyperlink"/>
            <w:lang w:val="es-419"/>
          </w:rPr>
          <w:t>CP-11/12</w:t>
        </w:r>
      </w:hyperlink>
      <w:r w:rsidRPr="00065280">
        <w:rPr>
          <w:lang w:val="es-419"/>
        </w:rPr>
        <w:t>, respectivamente</w:t>
      </w:r>
      <w:r w:rsidR="00062CC1" w:rsidRPr="00065280">
        <w:rPr>
          <w:lang w:val="es-419"/>
        </w:rPr>
        <w:t>.</w:t>
      </w:r>
    </w:p>
    <w:p w14:paraId="4F406B75" w14:textId="063DC98B" w:rsidR="0051003B" w:rsidRPr="00065280" w:rsidRDefault="00DA24E6" w:rsidP="0051003B">
      <w:pPr>
        <w:pStyle w:val="CBDAgendaItem"/>
        <w:rPr>
          <w:lang w:val="es-419"/>
        </w:rPr>
      </w:pPr>
      <w:bookmarkStart w:id="86" w:name="_Toc194919571"/>
      <w:bookmarkStart w:id="87" w:name="_Toc199016624"/>
      <w:bookmarkStart w:id="88" w:name="_Hlk180940375"/>
      <w:bookmarkEnd w:id="84"/>
      <w:r w:rsidRPr="00065280">
        <w:rPr>
          <w:lang w:val="es-419"/>
        </w:rPr>
        <w:lastRenderedPageBreak/>
        <w:t>T</w:t>
      </w:r>
      <w:r w:rsidR="0051003B" w:rsidRPr="00065280">
        <w:rPr>
          <w:lang w:val="es-419"/>
        </w:rPr>
        <w:t>em</w:t>
      </w:r>
      <w:r w:rsidRPr="00065280">
        <w:rPr>
          <w:lang w:val="es-419"/>
        </w:rPr>
        <w:t>a</w:t>
      </w:r>
      <w:r w:rsidR="0051003B" w:rsidRPr="00065280">
        <w:rPr>
          <w:lang w:val="es-419"/>
        </w:rPr>
        <w:t xml:space="preserve"> 7</w:t>
      </w:r>
      <w:r w:rsidR="0051003B" w:rsidRPr="00065280">
        <w:rPr>
          <w:lang w:val="es-419"/>
        </w:rPr>
        <w:br/>
      </w:r>
      <w:bookmarkEnd w:id="86"/>
      <w:r w:rsidR="00C8664A" w:rsidRPr="00065280">
        <w:rPr>
          <w:lang w:val="es-419"/>
        </w:rPr>
        <w:t>Asuntos relacionados con el mecanismo financiero y los recursos financieros</w:t>
      </w:r>
      <w:bookmarkEnd w:id="87"/>
    </w:p>
    <w:p w14:paraId="21700469" w14:textId="77777777" w:rsidR="00C8664A" w:rsidRPr="00065280" w:rsidRDefault="00C8664A" w:rsidP="00A94366">
      <w:pPr>
        <w:pStyle w:val="CBDNormalNumber"/>
        <w:rPr>
          <w:lang w:val="es-419"/>
        </w:rPr>
      </w:pPr>
      <w:r w:rsidRPr="00065280">
        <w:rPr>
          <w:lang w:val="es-419"/>
        </w:rPr>
        <w:t>El Grupo de Trabajo I consideró el tema 7 del programa en su segunda sesión, el 22 de octubre. Tuvo ante sí un proyecto de decisión</w:t>
      </w:r>
      <w:r w:rsidRPr="00065280">
        <w:rPr>
          <w:rStyle w:val="FootnoteReference"/>
          <w:lang w:val="es-419"/>
        </w:rPr>
        <w:footnoteReference w:id="90"/>
      </w:r>
      <w:r w:rsidRPr="00065280">
        <w:rPr>
          <w:lang w:val="es-419"/>
        </w:rPr>
        <w:t xml:space="preserve"> y una nota de la Secretaría sobre el mecanismo financiero y los recursos financieros</w:t>
      </w:r>
      <w:r w:rsidRPr="00065280">
        <w:rPr>
          <w:rStyle w:val="FootnoteReference"/>
          <w:lang w:val="es-419"/>
        </w:rPr>
        <w:footnoteReference w:id="91"/>
      </w:r>
      <w:r w:rsidRPr="00065280">
        <w:rPr>
          <w:lang w:val="es-419"/>
        </w:rPr>
        <w:t>.</w:t>
      </w:r>
    </w:p>
    <w:p w14:paraId="6166051D" w14:textId="77777777" w:rsidR="00C8664A" w:rsidRPr="00065280" w:rsidRDefault="00C8664A" w:rsidP="00C8664A">
      <w:pPr>
        <w:pStyle w:val="CBDNormalNumber"/>
        <w:spacing w:before="0"/>
        <w:rPr>
          <w:lang w:val="es-419"/>
        </w:rPr>
      </w:pPr>
      <w:r w:rsidRPr="00065280">
        <w:rPr>
          <w:lang w:val="es-419"/>
        </w:rPr>
        <w:t>Formularon declaraciones representantes de las siguientes Partes: Brasil, Burkina Faso, Burundi, Côte d’Ivoire, Gabón, Guatemala, Japón, Malawi, Noruega, República Democrática del Congo, República Democrática Popular Lao, Sudáfrica, Suiza, Unión Europea y sus Estados miembros y Zimbabwe (en nombre de los Estados de África).</w:t>
      </w:r>
    </w:p>
    <w:p w14:paraId="21DF02A1" w14:textId="77777777" w:rsidR="00C8664A" w:rsidRPr="00065280" w:rsidRDefault="00C8664A" w:rsidP="00C8664A">
      <w:pPr>
        <w:pStyle w:val="CBDNormalNumber"/>
        <w:spacing w:before="0"/>
        <w:rPr>
          <w:lang w:val="es-419"/>
        </w:rPr>
      </w:pPr>
      <w:r w:rsidRPr="00065280">
        <w:rPr>
          <w:lang w:val="es-419"/>
        </w:rPr>
        <w:t>El Grupo de Trabajo I convino en que la Presidenta prepararía un proyecto de decisión para su consideración.</w:t>
      </w:r>
    </w:p>
    <w:p w14:paraId="03748CD8" w14:textId="1EBB10E7" w:rsidR="00C8664A" w:rsidRPr="00065280" w:rsidRDefault="00C8664A" w:rsidP="00C8664A">
      <w:pPr>
        <w:pStyle w:val="CBDNormalNumber"/>
        <w:spacing w:before="0"/>
        <w:rPr>
          <w:lang w:val="es-419"/>
        </w:rPr>
      </w:pPr>
      <w:r w:rsidRPr="00065280">
        <w:rPr>
          <w:lang w:val="es-419"/>
        </w:rPr>
        <w:t xml:space="preserve">En su tercera sesión, el 25 de octubre, el Grupo de Trabajo I consideró un proyecto de decisión revisado presentado por la Presidencia. </w:t>
      </w:r>
    </w:p>
    <w:p w14:paraId="294BF058" w14:textId="77777777" w:rsidR="00C8664A" w:rsidRPr="00065280" w:rsidRDefault="00C8664A" w:rsidP="00C8664A">
      <w:pPr>
        <w:pStyle w:val="CBDNormalNumber"/>
        <w:spacing w:before="0"/>
        <w:rPr>
          <w:lang w:val="es-419"/>
        </w:rPr>
      </w:pPr>
      <w:r w:rsidRPr="00065280">
        <w:rPr>
          <w:lang w:val="es-419"/>
        </w:rPr>
        <w:t>Formularon declaraciones representantes de las siguientes Partes: Brasil, Burkina Faso, China, Japón, Malawi, Noruega, Reino Unido, República Unida de Tanzanía, Sudáfrica, Suiza, Suriname, Unión Europea y sus Estados miembros y Zimbabwe.</w:t>
      </w:r>
    </w:p>
    <w:p w14:paraId="61502A72" w14:textId="1D7E3C75" w:rsidR="00C8664A" w:rsidRPr="00065280" w:rsidRDefault="00C8664A" w:rsidP="00C8664A">
      <w:pPr>
        <w:pStyle w:val="CBDNormalNumber"/>
        <w:spacing w:before="0"/>
        <w:rPr>
          <w:lang w:val="es-419"/>
        </w:rPr>
      </w:pPr>
      <w:r w:rsidRPr="00C4472F">
        <w:rPr>
          <w:spacing w:val="-2"/>
          <w:lang w:val="es-419"/>
        </w:rPr>
        <w:t>El Grupo de Trabajo</w:t>
      </w:r>
      <w:r w:rsidR="00862683">
        <w:rPr>
          <w:spacing w:val="-2"/>
          <w:lang w:val="es-419"/>
        </w:rPr>
        <w:t> </w:t>
      </w:r>
      <w:r w:rsidRPr="00C4472F">
        <w:rPr>
          <w:spacing w:val="-2"/>
          <w:lang w:val="es-419"/>
        </w:rPr>
        <w:t>I aprobó el proyecto de decisión revisado con excepción del subpárrafo 1 d)</w:t>
      </w:r>
      <w:r w:rsidRPr="00065280">
        <w:rPr>
          <w:lang w:val="es-419"/>
        </w:rPr>
        <w:t xml:space="preserve"> y convino en que un grupo reducido, integrado por representantes de las Partes interesadas y moderado por Niklaus Wagner (Suiza), intentaría resolver las cuestiones que habían quedado sin resolver en ese párrafo, en particular en lo tocante a financiación reservada.</w:t>
      </w:r>
    </w:p>
    <w:p w14:paraId="5B794662" w14:textId="77777777" w:rsidR="00C8664A" w:rsidRPr="00065280" w:rsidRDefault="00C8664A" w:rsidP="00C8664A">
      <w:pPr>
        <w:pStyle w:val="CBDNormalNumber"/>
        <w:spacing w:before="0"/>
        <w:rPr>
          <w:lang w:val="es-419"/>
        </w:rPr>
      </w:pPr>
      <w:r w:rsidRPr="00065280">
        <w:rPr>
          <w:lang w:val="es-419"/>
        </w:rPr>
        <w:t>En su quinta sesión, el 31 de octubre, el Grupo de Trabajo I consideró un nuevo proyecto de decisión revisado tras deliberaciones mantenidas en el grupo reducido.</w:t>
      </w:r>
    </w:p>
    <w:p w14:paraId="568DF7D0" w14:textId="77777777" w:rsidR="00C8664A" w:rsidRPr="00065280" w:rsidRDefault="00C8664A" w:rsidP="00C8664A">
      <w:pPr>
        <w:pStyle w:val="CBDNormalNumber"/>
        <w:spacing w:before="0"/>
        <w:rPr>
          <w:lang w:val="es-419"/>
        </w:rPr>
      </w:pPr>
      <w:r w:rsidRPr="00065280">
        <w:rPr>
          <w:lang w:val="es-419"/>
        </w:rPr>
        <w:t>Formularon declaraciones representantes de las siguientes Partes: Brasil, Burkina Faso, Noruega, Reino Unido, República Democrática del Congo, Sudáfrica, Suiza y Zimbabwe (en nombre de los Estados de África).</w:t>
      </w:r>
    </w:p>
    <w:p w14:paraId="1F68DB14" w14:textId="1D4E35A0" w:rsidR="00C8664A" w:rsidRPr="00065280" w:rsidRDefault="00C8664A" w:rsidP="00C8664A">
      <w:pPr>
        <w:pStyle w:val="CBDNormalNumber"/>
        <w:spacing w:before="0"/>
        <w:rPr>
          <w:lang w:val="es-419"/>
        </w:rPr>
      </w:pPr>
      <w:r w:rsidRPr="00065280">
        <w:rPr>
          <w:lang w:val="es-419"/>
        </w:rPr>
        <w:t>El Grupo de Trabajo</w:t>
      </w:r>
      <w:r w:rsidR="00862683">
        <w:rPr>
          <w:lang w:val="es-419"/>
        </w:rPr>
        <w:t> </w:t>
      </w:r>
      <w:r w:rsidRPr="00065280">
        <w:rPr>
          <w:lang w:val="es-419"/>
        </w:rPr>
        <w:t>I aprobó el nuevo proyecto de decisión revisado, con las enmiendas efectuadas oralmente, para que fuera remitido a la sesión plenaria como proyecto de decisión CBD/CP/MOP/11/L.8.</w:t>
      </w:r>
    </w:p>
    <w:p w14:paraId="14A9530E" w14:textId="77777777" w:rsidR="00C8664A" w:rsidRPr="00065280" w:rsidRDefault="00C8664A" w:rsidP="00C8664A">
      <w:pPr>
        <w:pStyle w:val="CBDNormalNumber"/>
        <w:rPr>
          <w:snapToGrid w:val="0"/>
          <w:lang w:val="es-419"/>
        </w:rPr>
      </w:pPr>
      <w:r w:rsidRPr="00065280">
        <w:rPr>
          <w:lang w:val="es-419"/>
        </w:rPr>
        <w:t>En su quinta sesión plenaria, la Conferencia de las Partes que actúa como reunión de las Partes en el Protocolo consideró el proyecto de decisión CBD/CP/MOP/11/L.8, presentado por la Presidencia del Grupo de Trabajo I.</w:t>
      </w:r>
    </w:p>
    <w:p w14:paraId="3EE3E9D2" w14:textId="77777777" w:rsidR="00C8664A" w:rsidRPr="00065280" w:rsidRDefault="00C8664A" w:rsidP="00C8664A">
      <w:pPr>
        <w:pStyle w:val="CBDNormalNumber"/>
        <w:rPr>
          <w:snapToGrid w:val="0"/>
          <w:lang w:val="es-419"/>
        </w:rPr>
      </w:pPr>
      <w:r w:rsidRPr="00065280">
        <w:rPr>
          <w:lang w:val="es-419"/>
        </w:rPr>
        <w:t>El representante de la Secretaría introdujo en el proyecto de decisión las enmiendas que se habían efectuado oralmente.</w:t>
      </w:r>
    </w:p>
    <w:p w14:paraId="16707110" w14:textId="488DFDCC" w:rsidR="0051003B" w:rsidRPr="00065280" w:rsidRDefault="00C8664A" w:rsidP="00C8664A">
      <w:pPr>
        <w:pStyle w:val="CBDNormalNumber"/>
        <w:rPr>
          <w:snapToGrid w:val="0"/>
          <w:lang w:val="es-419" w:eastAsia="en-CA"/>
        </w:rPr>
      </w:pPr>
      <w:r w:rsidRPr="00065280">
        <w:rPr>
          <w:lang w:val="es-419"/>
        </w:rPr>
        <w:t xml:space="preserve">La Conferencia de las Partes que actúa como reunión de las Partes en el Protocolo adoptó el proyecto de decisión, con las enmiendas efectuadas oralmente, como decisión </w:t>
      </w:r>
      <w:hyperlink r:id="rId51" w:history="1">
        <w:r w:rsidRPr="00065280">
          <w:rPr>
            <w:rStyle w:val="Hyperlink"/>
            <w:lang w:val="es-419"/>
          </w:rPr>
          <w:t>CP-11/2</w:t>
        </w:r>
      </w:hyperlink>
      <w:r w:rsidR="0051003B" w:rsidRPr="00065280">
        <w:rPr>
          <w:lang w:val="es-419"/>
        </w:rPr>
        <w:t>.</w:t>
      </w:r>
    </w:p>
    <w:p w14:paraId="67DCE21B" w14:textId="552DF5E3" w:rsidR="0088588B" w:rsidRPr="00065280" w:rsidRDefault="00C8664A" w:rsidP="0088588B">
      <w:pPr>
        <w:pStyle w:val="CBDAgendaItem"/>
        <w:rPr>
          <w:lang w:val="es-419"/>
        </w:rPr>
      </w:pPr>
      <w:bookmarkStart w:id="89" w:name="_Toc194919572"/>
      <w:bookmarkStart w:id="90" w:name="_Toc199016625"/>
      <w:r w:rsidRPr="00065280">
        <w:rPr>
          <w:lang w:val="es-419"/>
        </w:rPr>
        <w:t>T</w:t>
      </w:r>
      <w:r w:rsidR="0088588B" w:rsidRPr="00065280">
        <w:rPr>
          <w:lang w:val="es-419"/>
        </w:rPr>
        <w:t>em</w:t>
      </w:r>
      <w:r w:rsidRPr="00065280">
        <w:rPr>
          <w:lang w:val="es-419"/>
        </w:rPr>
        <w:t>a</w:t>
      </w:r>
      <w:r w:rsidR="0088588B" w:rsidRPr="00065280">
        <w:rPr>
          <w:lang w:val="es-419"/>
        </w:rPr>
        <w:t xml:space="preserve"> 8</w:t>
      </w:r>
      <w:r w:rsidR="0088588B" w:rsidRPr="00065280">
        <w:rPr>
          <w:lang w:val="es-419"/>
        </w:rPr>
        <w:br/>
      </w:r>
      <w:bookmarkEnd w:id="89"/>
      <w:r w:rsidRPr="00065280">
        <w:rPr>
          <w:lang w:val="es-419"/>
        </w:rPr>
        <w:t>Funcionamiento y actividades del Centro de Intercambio de Información sobre Seguridad de la Biotecnología</w:t>
      </w:r>
      <w:bookmarkEnd w:id="90"/>
    </w:p>
    <w:p w14:paraId="64029670" w14:textId="77777777" w:rsidR="00C8664A" w:rsidRPr="00065280" w:rsidRDefault="00C8664A" w:rsidP="00A94366">
      <w:pPr>
        <w:pStyle w:val="CBDNormalNumber"/>
        <w:rPr>
          <w:lang w:val="es-419"/>
        </w:rPr>
      </w:pPr>
      <w:r w:rsidRPr="00065280">
        <w:rPr>
          <w:lang w:val="es-419"/>
        </w:rPr>
        <w:t>El Grupo de Trabajo II consideró el tema 8 del programa en su segunda sesión. Tuvo ante sí un proyecto de decisión</w:t>
      </w:r>
      <w:r w:rsidRPr="00065280">
        <w:rPr>
          <w:rStyle w:val="FootnoteReference"/>
          <w:lang w:val="es-419"/>
        </w:rPr>
        <w:footnoteReference w:id="92"/>
      </w:r>
      <w:r w:rsidRPr="00065280">
        <w:rPr>
          <w:lang w:val="es-419"/>
        </w:rPr>
        <w:t xml:space="preserve"> y una nota de la Secretaría sobre el funcionamiento y las actividades del Centro de Intercambio de Información sobre Seguridad de la Biotecnología</w:t>
      </w:r>
      <w:r w:rsidRPr="00065280">
        <w:rPr>
          <w:rStyle w:val="FootnoteReference"/>
          <w:lang w:val="es-419"/>
        </w:rPr>
        <w:footnoteReference w:id="93"/>
      </w:r>
      <w:r w:rsidRPr="00065280">
        <w:rPr>
          <w:lang w:val="es-419"/>
        </w:rPr>
        <w:t>.</w:t>
      </w:r>
    </w:p>
    <w:p w14:paraId="5252307C" w14:textId="77777777" w:rsidR="00C8664A" w:rsidRPr="00065280" w:rsidRDefault="00C8664A" w:rsidP="00C8664A">
      <w:pPr>
        <w:pStyle w:val="CBDNormalNumber"/>
        <w:spacing w:before="0"/>
        <w:rPr>
          <w:lang w:val="es-419"/>
        </w:rPr>
      </w:pPr>
      <w:r w:rsidRPr="00065280">
        <w:rPr>
          <w:lang w:val="es-419"/>
        </w:rPr>
        <w:lastRenderedPageBreak/>
        <w:t>Formularon declaraciones representantes de las siguientes Partes: Brasil, Burkina Faso, Côte d’Ivoire, Gabón, Guatemala, India, Malasia, República Dominicana, República de Moldova, Sudáfrica, Túnez, Unión Europea y sus Estados miembros y Uruguay.</w:t>
      </w:r>
    </w:p>
    <w:p w14:paraId="361AF12B" w14:textId="77777777" w:rsidR="00C8664A" w:rsidRPr="00065280" w:rsidRDefault="00C8664A" w:rsidP="00C8664A">
      <w:pPr>
        <w:pStyle w:val="CBDNormalNumber"/>
        <w:spacing w:before="0"/>
        <w:rPr>
          <w:lang w:val="es-419"/>
        </w:rPr>
      </w:pPr>
      <w:r w:rsidRPr="00065280">
        <w:rPr>
          <w:lang w:val="es-419"/>
        </w:rPr>
        <w:t xml:space="preserve">El Grupo de Trabajo II convino en que el Presidente prepararía un proyecto de decisión revisado para su consideración, teniendo en cuenta las opiniones vertidas. </w:t>
      </w:r>
    </w:p>
    <w:p w14:paraId="42A2DC95" w14:textId="77777777" w:rsidR="00C8664A" w:rsidRPr="00065280" w:rsidRDefault="00C8664A" w:rsidP="00C8664A">
      <w:pPr>
        <w:pStyle w:val="CBDNormalNumber"/>
        <w:spacing w:before="0"/>
        <w:rPr>
          <w:rFonts w:asciiTheme="majorBidi" w:hAnsiTheme="majorBidi" w:cstheme="majorBidi"/>
          <w:lang w:val="es-419"/>
        </w:rPr>
      </w:pPr>
      <w:r w:rsidRPr="00065280">
        <w:rPr>
          <w:rFonts w:asciiTheme="majorBidi" w:hAnsiTheme="majorBidi"/>
          <w:lang w:val="es-419"/>
        </w:rPr>
        <w:t>En su sexta sesión, el 25 de octubre, el Grupo de Trabajo II consideró un proyecto de decisión revisado presentado por la Presidencia.</w:t>
      </w:r>
    </w:p>
    <w:p w14:paraId="7CF5116C" w14:textId="77777777" w:rsidR="00C8664A" w:rsidRPr="00065280" w:rsidRDefault="00C8664A" w:rsidP="00C8664A">
      <w:pPr>
        <w:pStyle w:val="CBDNormalNumber"/>
        <w:spacing w:before="0"/>
        <w:rPr>
          <w:rFonts w:asciiTheme="majorBidi" w:hAnsiTheme="majorBidi" w:cstheme="majorBidi"/>
          <w:lang w:val="es-419"/>
        </w:rPr>
      </w:pPr>
      <w:r w:rsidRPr="00065280">
        <w:rPr>
          <w:lang w:val="es-419"/>
        </w:rPr>
        <w:t>Formularon declaraciones representantes de las siguientes Partes:</w:t>
      </w:r>
      <w:r w:rsidRPr="00065280">
        <w:rPr>
          <w:rFonts w:asciiTheme="majorBidi" w:hAnsiTheme="majorBidi"/>
          <w:lang w:val="es-419"/>
        </w:rPr>
        <w:t xml:space="preserve"> Brasil y Unión Europea y sus Estados miembros.</w:t>
      </w:r>
    </w:p>
    <w:p w14:paraId="60AA5F82" w14:textId="77777777" w:rsidR="00C8664A" w:rsidRPr="00065280" w:rsidRDefault="00C8664A" w:rsidP="00C8664A">
      <w:pPr>
        <w:pStyle w:val="CBDNormalNumber"/>
        <w:spacing w:before="0"/>
        <w:rPr>
          <w:rFonts w:asciiTheme="majorBidi" w:hAnsiTheme="majorBidi" w:cstheme="majorBidi"/>
          <w:lang w:val="es-419"/>
        </w:rPr>
      </w:pPr>
      <w:r w:rsidRPr="00065280">
        <w:rPr>
          <w:lang w:val="es-419"/>
        </w:rPr>
        <w:t>El Grupo de Trabajo II aprobó el proyecto de decisión revisado, con las enmiendas efectuadas oralmente, para que fuera remitido a la sesión plenaria como proyecto de decisión CBD/CP/MOP/11/L.2.</w:t>
      </w:r>
    </w:p>
    <w:p w14:paraId="308B4999" w14:textId="60CA8795" w:rsidR="0088588B" w:rsidRPr="00065280" w:rsidRDefault="00C8664A" w:rsidP="00C8664A">
      <w:pPr>
        <w:pStyle w:val="CBDNormalNumber"/>
        <w:rPr>
          <w:snapToGrid w:val="0"/>
          <w:lang w:val="es-419" w:eastAsia="en-CA"/>
        </w:rPr>
      </w:pPr>
      <w:r w:rsidRPr="00065280">
        <w:rPr>
          <w:lang w:val="es-419"/>
        </w:rPr>
        <w:t xml:space="preserve">En su segunda sesión plenaria, la Conferencia de las Partes que actúa como reunión de las Partes en el Protocolo consideró el proyecto de decisión CBD/CP/MOP/11/L.2, presentado por la Presidencia del Grupo de Trabajo II, y lo adoptó como decisión </w:t>
      </w:r>
      <w:hyperlink r:id="rId52" w:history="1">
        <w:r w:rsidRPr="00065280">
          <w:rPr>
            <w:rStyle w:val="Hyperlink"/>
            <w:lang w:val="es-419"/>
          </w:rPr>
          <w:t>CP-11/3</w:t>
        </w:r>
      </w:hyperlink>
      <w:r w:rsidR="0088588B" w:rsidRPr="00065280">
        <w:rPr>
          <w:lang w:val="es-419"/>
        </w:rPr>
        <w:t>.</w:t>
      </w:r>
    </w:p>
    <w:p w14:paraId="11D18C30" w14:textId="6E8D76FB" w:rsidR="004A085B" w:rsidRPr="00065280" w:rsidRDefault="00C8664A" w:rsidP="004A085B">
      <w:pPr>
        <w:pStyle w:val="CBDAgendaItem"/>
        <w:rPr>
          <w:lang w:val="es-419"/>
        </w:rPr>
      </w:pPr>
      <w:bookmarkStart w:id="91" w:name="_Toc194919573"/>
      <w:bookmarkStart w:id="92" w:name="_Toc199016626"/>
      <w:r w:rsidRPr="00065280">
        <w:rPr>
          <w:lang w:val="es-419"/>
        </w:rPr>
        <w:t>T</w:t>
      </w:r>
      <w:r w:rsidR="004A085B" w:rsidRPr="00065280">
        <w:rPr>
          <w:lang w:val="es-419"/>
        </w:rPr>
        <w:t>em</w:t>
      </w:r>
      <w:r w:rsidRPr="00065280">
        <w:rPr>
          <w:lang w:val="es-419"/>
        </w:rPr>
        <w:t>a</w:t>
      </w:r>
      <w:r w:rsidR="004A085B" w:rsidRPr="00065280">
        <w:rPr>
          <w:lang w:val="es-419"/>
        </w:rPr>
        <w:t xml:space="preserve"> 9</w:t>
      </w:r>
      <w:r w:rsidR="004A085B" w:rsidRPr="00065280">
        <w:rPr>
          <w:lang w:val="es-419"/>
        </w:rPr>
        <w:br/>
      </w:r>
      <w:bookmarkEnd w:id="91"/>
      <w:r w:rsidRPr="00065280">
        <w:rPr>
          <w:lang w:val="es-419"/>
        </w:rPr>
        <w:t>Cooperación con organizaciones internacionales,</w:t>
      </w:r>
      <w:r w:rsidRPr="00065280">
        <w:rPr>
          <w:lang w:val="es-419"/>
        </w:rPr>
        <w:br/>
        <w:t>organismos creados en virtud de otros convenios e iniciativas</w:t>
      </w:r>
      <w:bookmarkEnd w:id="92"/>
    </w:p>
    <w:p w14:paraId="236D1BD5" w14:textId="77777777" w:rsidR="002A2649" w:rsidRPr="00065280" w:rsidRDefault="002A2649" w:rsidP="00A94366">
      <w:pPr>
        <w:pStyle w:val="CBDNormalNumber"/>
        <w:rPr>
          <w:u w:color="000000"/>
          <w:lang w:val="es-419"/>
        </w:rPr>
      </w:pPr>
      <w:r w:rsidRPr="00065280">
        <w:rPr>
          <w:lang w:val="es-419"/>
        </w:rPr>
        <w:t>El Grupo de Trabajo II consideró el tema 9 del programa en su segunda sesión. Tuvo ante sí una nota de la Secretaría sobre cooperación con organizaciones internacionales, organismos creados en virtud de otros convenios e iniciativas</w:t>
      </w:r>
      <w:r w:rsidRPr="00065280">
        <w:rPr>
          <w:u w:color="000000"/>
          <w:vertAlign w:val="superscript"/>
          <w:lang w:val="es-419"/>
        </w:rPr>
        <w:footnoteReference w:id="94"/>
      </w:r>
      <w:r w:rsidRPr="00065280">
        <w:rPr>
          <w:lang w:val="es-419"/>
        </w:rPr>
        <w:t xml:space="preserve">. </w:t>
      </w:r>
    </w:p>
    <w:p w14:paraId="2BD1842F" w14:textId="77777777" w:rsidR="002A2649" w:rsidRPr="00065280" w:rsidRDefault="002A2649" w:rsidP="002A2649">
      <w:pPr>
        <w:pStyle w:val="CBDNormalNumber"/>
        <w:rPr>
          <w:u w:color="000000"/>
          <w:lang w:val="es-419"/>
        </w:rPr>
      </w:pPr>
      <w:r w:rsidRPr="00065280">
        <w:rPr>
          <w:lang w:val="es-419"/>
        </w:rPr>
        <w:t>Formularon declaraciones representantes del Instituto Interamericano de Cooperación para la Agricultura y la Unión Internacional para la Conservación de la Naturaleza.</w:t>
      </w:r>
    </w:p>
    <w:p w14:paraId="5A983AB4" w14:textId="1FC8D5B2" w:rsidR="00FD13CC" w:rsidRPr="00065280" w:rsidRDefault="002A2649" w:rsidP="002A2649">
      <w:pPr>
        <w:pStyle w:val="CBDNormalNumber"/>
        <w:rPr>
          <w:color w:val="000000" w:themeColor="text1"/>
          <w:lang w:val="es-419"/>
        </w:rPr>
      </w:pPr>
      <w:r w:rsidRPr="00065280">
        <w:rPr>
          <w:lang w:val="es-419"/>
        </w:rPr>
        <w:t>El Grupo de Trabajo II tomó nota de la información que figuraba en el documento CBD/CP/MOP/11/8/Rev.1</w:t>
      </w:r>
      <w:r w:rsidR="00FD13CC" w:rsidRPr="00065280">
        <w:rPr>
          <w:snapToGrid w:val="0"/>
          <w:lang w:val="es-419"/>
        </w:rPr>
        <w:t>.</w:t>
      </w:r>
    </w:p>
    <w:p w14:paraId="30D0BC18" w14:textId="7136256A" w:rsidR="0088588B" w:rsidRPr="00065280" w:rsidRDefault="002A2649" w:rsidP="0088588B">
      <w:pPr>
        <w:pStyle w:val="CBDAgendaItem"/>
        <w:rPr>
          <w:lang w:val="es-419"/>
        </w:rPr>
      </w:pPr>
      <w:bookmarkStart w:id="93" w:name="_Toc194919574"/>
      <w:bookmarkStart w:id="94" w:name="_Toc199016627"/>
      <w:r w:rsidRPr="00065280">
        <w:rPr>
          <w:lang w:val="es-419"/>
        </w:rPr>
        <w:t>T</w:t>
      </w:r>
      <w:r w:rsidR="0088588B" w:rsidRPr="00065280">
        <w:rPr>
          <w:lang w:val="es-419"/>
        </w:rPr>
        <w:t>em</w:t>
      </w:r>
      <w:r w:rsidRPr="00065280">
        <w:rPr>
          <w:lang w:val="es-419"/>
        </w:rPr>
        <w:t>a</w:t>
      </w:r>
      <w:r w:rsidR="0088588B" w:rsidRPr="00065280">
        <w:rPr>
          <w:lang w:val="es-419"/>
        </w:rPr>
        <w:t xml:space="preserve"> </w:t>
      </w:r>
      <w:r w:rsidR="004A085B" w:rsidRPr="00065280">
        <w:rPr>
          <w:lang w:val="es-419"/>
        </w:rPr>
        <w:t>10</w:t>
      </w:r>
      <w:r w:rsidR="0088588B" w:rsidRPr="00065280">
        <w:rPr>
          <w:lang w:val="es-419"/>
        </w:rPr>
        <w:br/>
      </w:r>
      <w:bookmarkEnd w:id="93"/>
      <w:r w:rsidR="00761878">
        <w:rPr>
          <w:lang w:val="es-419"/>
        </w:rPr>
        <w:t>Examen</w:t>
      </w:r>
      <w:r w:rsidRPr="00065280">
        <w:rPr>
          <w:lang w:val="es-419"/>
        </w:rPr>
        <w:t xml:space="preserve"> de la eficacia de los procesos del Convenio y sus Protocolos</w:t>
      </w:r>
      <w:bookmarkEnd w:id="94"/>
    </w:p>
    <w:p w14:paraId="65E85418" w14:textId="77777777" w:rsidR="002A2649" w:rsidRPr="00065280" w:rsidRDefault="002A2649" w:rsidP="00A94366">
      <w:pPr>
        <w:pStyle w:val="CBDNormalNumber"/>
        <w:rPr>
          <w:lang w:val="es-419"/>
        </w:rPr>
      </w:pPr>
      <w:bookmarkStart w:id="95" w:name="_Hlk181974712"/>
      <w:bookmarkStart w:id="96" w:name="_Hlk182075790"/>
      <w:r w:rsidRPr="00065280">
        <w:rPr>
          <w:lang w:val="es-419"/>
        </w:rPr>
        <w:t>El Grupo de Trabajo I consideró el tema 10 del programa en su tercera sesión, conjuntamente con el tema 27 del programa de la 16ª reunión de la Conferencia de las Partes en el Convenio y el tema 12 del programa de la 5ª reunión de la Conferencia de las Partes que actúa como reunión de las Partes en el Protocolo de Nagoya. Tuvo ante sí tres proyectos de decisión: uno sobre opciones para seguir mejorando la eficacia de los procesos del Convenio y sus Protocolos; otro sobre procedimientos para convocar reuniones virtuales e híbridas; y el tercero sobre un procedimiento para evitar o tratar conflictos de intereses en los grupos de expertos</w:t>
      </w:r>
      <w:r w:rsidRPr="00065280">
        <w:rPr>
          <w:rStyle w:val="FootnoteReference"/>
          <w:lang w:val="es-419"/>
        </w:rPr>
        <w:footnoteReference w:id="95"/>
      </w:r>
      <w:r w:rsidRPr="00065280">
        <w:rPr>
          <w:lang w:val="es-419"/>
        </w:rPr>
        <w:t>.</w:t>
      </w:r>
    </w:p>
    <w:p w14:paraId="1CEF1B20" w14:textId="52BC1EFA" w:rsidR="002A2649" w:rsidRPr="00065280" w:rsidRDefault="002A2649" w:rsidP="002A2649">
      <w:pPr>
        <w:pStyle w:val="CBDNormalNumber"/>
        <w:rPr>
          <w:lang w:val="es-419"/>
        </w:rPr>
      </w:pPr>
      <w:r w:rsidRPr="00065280">
        <w:rPr>
          <w:lang w:val="es-419"/>
        </w:rPr>
        <w:t xml:space="preserve">La Presidenta estableció un grupo de amigos de la Presidencia, </w:t>
      </w:r>
      <w:r w:rsidR="00A366CC">
        <w:rPr>
          <w:lang w:val="es-419"/>
        </w:rPr>
        <w:t>moder</w:t>
      </w:r>
      <w:r w:rsidRPr="00065280">
        <w:rPr>
          <w:lang w:val="es-419"/>
        </w:rPr>
        <w:t>ado por Joaquín Salzberg (Argentina), encargado de tratar los dos primeros proyectos de decisión y llegar a un acuerdo</w:t>
      </w:r>
      <w:r w:rsidR="00A366CC">
        <w:rPr>
          <w:lang w:val="es-419"/>
        </w:rPr>
        <w:t xml:space="preserve"> sobre ellos</w:t>
      </w:r>
      <w:r w:rsidRPr="00065280">
        <w:rPr>
          <w:lang w:val="es-419"/>
        </w:rPr>
        <w:t>.</w:t>
      </w:r>
    </w:p>
    <w:p w14:paraId="1BF05E83" w14:textId="77777777" w:rsidR="002A2649" w:rsidRPr="00065280" w:rsidRDefault="002A2649" w:rsidP="002A2649">
      <w:pPr>
        <w:pStyle w:val="CBDNormalNumber"/>
        <w:keepNext/>
        <w:numPr>
          <w:ilvl w:val="0"/>
          <w:numId w:val="0"/>
        </w:numPr>
        <w:spacing w:before="240"/>
        <w:ind w:left="567"/>
        <w:jc w:val="left"/>
        <w:rPr>
          <w:rFonts w:asciiTheme="majorBidi" w:eastAsia="MS Mincho" w:hAnsiTheme="majorBidi" w:cstheme="majorBidi"/>
          <w:i/>
          <w:iCs/>
          <w:color w:val="000000"/>
          <w:kern w:val="22"/>
          <w:lang w:val="es-419"/>
        </w:rPr>
      </w:pPr>
      <w:r w:rsidRPr="00065280">
        <w:rPr>
          <w:rFonts w:asciiTheme="majorBidi" w:hAnsiTheme="majorBidi"/>
          <w:i/>
          <w:color w:val="000000"/>
          <w:lang w:val="es-419"/>
        </w:rPr>
        <w:t>Opciones para seguir mejorando la eficacia de los procesos del Convenio y sus Protocolos</w:t>
      </w:r>
    </w:p>
    <w:p w14:paraId="6F6690CB" w14:textId="77777777" w:rsidR="002A2649" w:rsidRPr="00065280" w:rsidRDefault="002A2649" w:rsidP="002A2649">
      <w:pPr>
        <w:pStyle w:val="CBDNormalNumber"/>
        <w:spacing w:before="0"/>
        <w:rPr>
          <w:lang w:val="es-419"/>
        </w:rPr>
      </w:pPr>
      <w:r w:rsidRPr="00065280">
        <w:rPr>
          <w:lang w:val="es-419"/>
        </w:rPr>
        <w:t>En su quinta sesión, el Grupo de Trabajo I consideró un proyecto de decisión presentado por la Presidencia tras deliberaciones mantenidas en el grupo de amigos de la Presidencia.</w:t>
      </w:r>
    </w:p>
    <w:p w14:paraId="4CCDA758" w14:textId="77777777" w:rsidR="002A2649" w:rsidRPr="00065280" w:rsidRDefault="002A2649" w:rsidP="002A2649">
      <w:pPr>
        <w:pStyle w:val="CBDNormalNumber"/>
        <w:spacing w:before="0"/>
        <w:rPr>
          <w:lang w:val="es-419"/>
        </w:rPr>
      </w:pPr>
      <w:r w:rsidRPr="00065280">
        <w:rPr>
          <w:lang w:val="es-419"/>
        </w:rPr>
        <w:t>Formularon declaraciones representantes de las siguientes Partes: Brasil, Reino Unido y Unión Europea y sus Estados miembros.</w:t>
      </w:r>
    </w:p>
    <w:p w14:paraId="0899AE84" w14:textId="77777777" w:rsidR="002A2649" w:rsidRPr="00065280" w:rsidRDefault="002A2649" w:rsidP="002A2649">
      <w:pPr>
        <w:pStyle w:val="CBDNormalNumber"/>
        <w:spacing w:before="0"/>
        <w:rPr>
          <w:lang w:val="es-419"/>
        </w:rPr>
      </w:pPr>
      <w:r w:rsidRPr="00065280">
        <w:rPr>
          <w:lang w:val="es-419"/>
        </w:rPr>
        <w:t xml:space="preserve">También formuló una declaración un representante del siguiente Estado que no es Parte: Federación de Rusia. </w:t>
      </w:r>
    </w:p>
    <w:p w14:paraId="0AC8C5BD" w14:textId="66CAE1D1" w:rsidR="002A2649" w:rsidRPr="00065280" w:rsidRDefault="002A2649" w:rsidP="002A2649">
      <w:pPr>
        <w:pStyle w:val="CBDNormalNumber"/>
        <w:spacing w:before="0"/>
        <w:rPr>
          <w:lang w:val="es-419"/>
        </w:rPr>
      </w:pPr>
      <w:r w:rsidRPr="00065280">
        <w:rPr>
          <w:lang w:val="es-419"/>
        </w:rPr>
        <w:t>El Grupo de Trabajo</w:t>
      </w:r>
      <w:r w:rsidR="00F0605A">
        <w:rPr>
          <w:lang w:val="es-419"/>
        </w:rPr>
        <w:t> </w:t>
      </w:r>
      <w:r w:rsidRPr="00065280">
        <w:rPr>
          <w:lang w:val="es-419"/>
        </w:rPr>
        <w:t xml:space="preserve">I aprobó el proyecto de decisión para que fuera remitido a la sesión plenaria como proyecto de decisión </w:t>
      </w:r>
      <w:r w:rsidRPr="00065280">
        <w:rPr>
          <w:rFonts w:asciiTheme="majorBidi" w:hAnsiTheme="majorBidi"/>
          <w:lang w:val="es-419"/>
        </w:rPr>
        <w:t>CBD/CP/MOP/11/L.10.</w:t>
      </w:r>
    </w:p>
    <w:p w14:paraId="53569796" w14:textId="77777777" w:rsidR="002A2649" w:rsidRPr="00065280" w:rsidRDefault="002A2649" w:rsidP="002A2649">
      <w:pPr>
        <w:pStyle w:val="CBDNormalNumber"/>
        <w:rPr>
          <w:snapToGrid w:val="0"/>
          <w:lang w:val="es-419"/>
        </w:rPr>
      </w:pPr>
      <w:r w:rsidRPr="00065280">
        <w:rPr>
          <w:lang w:val="es-419"/>
        </w:rPr>
        <w:t xml:space="preserve">En su quinta sesión plenaria, la Conferencia de las Partes que actúa como reunión de las Partes en el Protocolo consideró el proyecto de decisión CBD/CP/MOP/11/L.10, presentado por la Presidencia del Grupo de Trabajo I, y lo adoptó como decisión </w:t>
      </w:r>
      <w:hyperlink r:id="rId53" w:history="1">
        <w:r w:rsidRPr="00065280">
          <w:rPr>
            <w:rStyle w:val="Hyperlink"/>
            <w:lang w:val="es-419"/>
          </w:rPr>
          <w:t>CP-11/5</w:t>
        </w:r>
      </w:hyperlink>
      <w:r w:rsidRPr="00065280">
        <w:rPr>
          <w:lang w:val="es-419"/>
        </w:rPr>
        <w:t>.</w:t>
      </w:r>
    </w:p>
    <w:p w14:paraId="3C022A9C" w14:textId="77777777" w:rsidR="002A2649" w:rsidRPr="00065280" w:rsidRDefault="002A2649" w:rsidP="002A2649">
      <w:pPr>
        <w:pStyle w:val="CBDNormalNumber"/>
        <w:keepNext/>
        <w:numPr>
          <w:ilvl w:val="0"/>
          <w:numId w:val="0"/>
        </w:numPr>
        <w:spacing w:before="240"/>
        <w:ind w:left="567"/>
        <w:jc w:val="left"/>
        <w:rPr>
          <w:rFonts w:asciiTheme="majorBidi" w:eastAsia="MS Mincho" w:hAnsiTheme="majorBidi" w:cstheme="majorBidi"/>
          <w:i/>
          <w:iCs/>
          <w:color w:val="000000"/>
          <w:kern w:val="22"/>
          <w:lang w:val="es-419"/>
        </w:rPr>
      </w:pPr>
      <w:r w:rsidRPr="00065280">
        <w:rPr>
          <w:rFonts w:asciiTheme="majorBidi" w:hAnsiTheme="majorBidi"/>
          <w:i/>
          <w:color w:val="000000"/>
          <w:lang w:val="es-419"/>
        </w:rPr>
        <w:t>Procedimientos para convocar reuniones virtuales e híbridas</w:t>
      </w:r>
    </w:p>
    <w:p w14:paraId="3A2989B3" w14:textId="25E11512" w:rsidR="002A2649" w:rsidRPr="00065280" w:rsidRDefault="002A2649" w:rsidP="002A2649">
      <w:pPr>
        <w:pStyle w:val="CBDNormalNumber"/>
        <w:spacing w:before="0"/>
        <w:rPr>
          <w:lang w:val="es-419"/>
        </w:rPr>
      </w:pPr>
      <w:r w:rsidRPr="00065280">
        <w:rPr>
          <w:lang w:val="es-419"/>
        </w:rPr>
        <w:t>En su quinta sesión, el Grupo de Trabajo</w:t>
      </w:r>
      <w:r w:rsidR="00F0605A">
        <w:rPr>
          <w:lang w:val="es-419"/>
        </w:rPr>
        <w:t> </w:t>
      </w:r>
      <w:r w:rsidRPr="00065280">
        <w:rPr>
          <w:lang w:val="es-419"/>
        </w:rPr>
        <w:t>I consideró un proyecto de decisión presentado por la Presidencia tras deliberaciones mantenidas en el grupo de amigos de la Presidencia.</w:t>
      </w:r>
    </w:p>
    <w:p w14:paraId="66946880" w14:textId="69CD5201" w:rsidR="002A2649" w:rsidRPr="00065280" w:rsidRDefault="00A366CC" w:rsidP="002A2649">
      <w:pPr>
        <w:pStyle w:val="CBDNormalNumber"/>
        <w:spacing w:before="0"/>
        <w:rPr>
          <w:lang w:val="es-419"/>
        </w:rPr>
      </w:pPr>
      <w:r>
        <w:rPr>
          <w:lang w:val="es-419"/>
        </w:rPr>
        <w:t>F</w:t>
      </w:r>
      <w:r w:rsidR="002A2649" w:rsidRPr="00065280">
        <w:rPr>
          <w:lang w:val="es-419"/>
        </w:rPr>
        <w:t>ormuló una declaración un representante del siguiente Estado que no es Parte: Argentina.</w:t>
      </w:r>
    </w:p>
    <w:p w14:paraId="6679D37C" w14:textId="6F5DACBF" w:rsidR="002A2649" w:rsidRPr="00065280" w:rsidRDefault="002A2649" w:rsidP="002A2649">
      <w:pPr>
        <w:pStyle w:val="CBDNormalNumber"/>
        <w:spacing w:before="0"/>
        <w:rPr>
          <w:lang w:val="es-419"/>
        </w:rPr>
      </w:pPr>
      <w:r w:rsidRPr="00065280">
        <w:rPr>
          <w:lang w:val="es-419"/>
        </w:rPr>
        <w:t>El Grupo de Trabajo</w:t>
      </w:r>
      <w:r w:rsidR="00F0605A">
        <w:rPr>
          <w:lang w:val="es-419"/>
        </w:rPr>
        <w:t> </w:t>
      </w:r>
      <w:r w:rsidRPr="00065280">
        <w:rPr>
          <w:lang w:val="es-419"/>
        </w:rPr>
        <w:t xml:space="preserve">I aprobó el proyecto de decisión para que fuera remitido a la sesión plenaria como proyecto de decisión </w:t>
      </w:r>
      <w:r w:rsidRPr="00065280">
        <w:rPr>
          <w:rFonts w:asciiTheme="majorBidi" w:hAnsiTheme="majorBidi"/>
          <w:lang w:val="es-419"/>
        </w:rPr>
        <w:t>CBD/CP/MOP/11/L.9.</w:t>
      </w:r>
    </w:p>
    <w:p w14:paraId="6AB325D8" w14:textId="77777777" w:rsidR="002A2649" w:rsidRPr="00065280" w:rsidRDefault="002A2649" w:rsidP="002A2649">
      <w:pPr>
        <w:pStyle w:val="CBDNormalNumber"/>
        <w:rPr>
          <w:snapToGrid w:val="0"/>
          <w:lang w:val="es-419"/>
        </w:rPr>
      </w:pPr>
      <w:r w:rsidRPr="00065280">
        <w:rPr>
          <w:lang w:val="es-419"/>
        </w:rPr>
        <w:t xml:space="preserve">En su quinta sesión plenaria, la Conferencia de las Partes que actúa como reunión de las Partes en el Protocolo consideró el proyecto de decisión CBD/CP/MOP/11/L.9, presentado por la Presidencia del Grupo de Trabajo I, y lo adoptó como decisión </w:t>
      </w:r>
      <w:hyperlink r:id="rId54" w:history="1">
        <w:r w:rsidRPr="00065280">
          <w:rPr>
            <w:rStyle w:val="Hyperlink"/>
            <w:lang w:val="es-419"/>
          </w:rPr>
          <w:t>CP-11/4</w:t>
        </w:r>
      </w:hyperlink>
      <w:r w:rsidRPr="00065280">
        <w:rPr>
          <w:lang w:val="es-419"/>
        </w:rPr>
        <w:t>.</w:t>
      </w:r>
    </w:p>
    <w:p w14:paraId="75BFBB96" w14:textId="77777777" w:rsidR="002A2649" w:rsidRPr="00065280" w:rsidRDefault="002A2649" w:rsidP="002A2649">
      <w:pPr>
        <w:pStyle w:val="CBDNormalNumber"/>
        <w:keepNext/>
        <w:numPr>
          <w:ilvl w:val="0"/>
          <w:numId w:val="0"/>
        </w:numPr>
        <w:spacing w:before="240"/>
        <w:ind w:left="567"/>
        <w:jc w:val="left"/>
        <w:rPr>
          <w:rFonts w:asciiTheme="majorBidi" w:eastAsia="MS Mincho" w:hAnsiTheme="majorBidi" w:cstheme="majorBidi"/>
          <w:i/>
          <w:iCs/>
          <w:color w:val="000000"/>
          <w:kern w:val="22"/>
          <w:lang w:val="es-419"/>
        </w:rPr>
      </w:pPr>
      <w:r w:rsidRPr="00065280">
        <w:rPr>
          <w:rFonts w:asciiTheme="majorBidi" w:hAnsiTheme="majorBidi"/>
          <w:i/>
          <w:color w:val="000000"/>
          <w:lang w:val="es-419"/>
        </w:rPr>
        <w:t>Procedimiento para evitar o tratar conflictos de intereses en los grupos de expertos</w:t>
      </w:r>
    </w:p>
    <w:p w14:paraId="578C6DD0" w14:textId="77777777" w:rsidR="002A2649" w:rsidRPr="00065280" w:rsidRDefault="002A2649" w:rsidP="002A2649">
      <w:pPr>
        <w:pStyle w:val="CBDNormalNumber"/>
        <w:spacing w:before="0"/>
        <w:rPr>
          <w:lang w:val="es-419"/>
        </w:rPr>
      </w:pPr>
      <w:r w:rsidRPr="00065280">
        <w:rPr>
          <w:lang w:val="es-419"/>
        </w:rPr>
        <w:t>Con respecto al tercer proyecto de decisión, el Grupo de Trabajo I convino en que la Presidenta prepararía un proyecto de decisión revisado para su consideración.</w:t>
      </w:r>
    </w:p>
    <w:p w14:paraId="415DBC60" w14:textId="77777777" w:rsidR="002A2649" w:rsidRPr="00065280" w:rsidRDefault="002A2649" w:rsidP="002A2649">
      <w:pPr>
        <w:pStyle w:val="CBDNormalNumber"/>
        <w:spacing w:before="0"/>
        <w:rPr>
          <w:lang w:val="es-419"/>
        </w:rPr>
      </w:pPr>
      <w:r w:rsidRPr="00065280">
        <w:rPr>
          <w:lang w:val="es-419"/>
        </w:rPr>
        <w:t>En su quinta sesión, el Grupo de Trabajo I consideró un proyecto de decisión revisado presentado por la Presidencia.</w:t>
      </w:r>
    </w:p>
    <w:p w14:paraId="4410735C" w14:textId="77777777" w:rsidR="002A2649" w:rsidRPr="00065280" w:rsidRDefault="002A2649" w:rsidP="002A2649">
      <w:pPr>
        <w:pStyle w:val="CBDNormalNumber"/>
        <w:spacing w:before="0"/>
        <w:rPr>
          <w:lang w:val="es-419"/>
        </w:rPr>
      </w:pPr>
      <w:r w:rsidRPr="00065280">
        <w:rPr>
          <w:lang w:val="es-419"/>
        </w:rPr>
        <w:t>Formularon declaraciones representantes de las siguientes Partes: Bolivia (Estado Plurinacional de), Brasil, Guatemala, Noruega, República Democrática del Congo, República Unida de Tanzanía y Unión Europea y sus Estados miembros.</w:t>
      </w:r>
    </w:p>
    <w:p w14:paraId="46266B03" w14:textId="77777777" w:rsidR="002A2649" w:rsidRPr="00065280" w:rsidRDefault="002A2649" w:rsidP="002A2649">
      <w:pPr>
        <w:pStyle w:val="CBDNormalNumber"/>
        <w:spacing w:before="0"/>
        <w:rPr>
          <w:lang w:val="es-419"/>
        </w:rPr>
      </w:pPr>
      <w:r w:rsidRPr="00065280">
        <w:rPr>
          <w:lang w:val="es-419"/>
        </w:rPr>
        <w:t>También formularon declaraciones representantes de los siguientes Estados que no son Partes: Argentina y Canadá.</w:t>
      </w:r>
    </w:p>
    <w:p w14:paraId="4AE41CB8" w14:textId="3E2B6FC0" w:rsidR="002A2649" w:rsidRPr="00065280" w:rsidRDefault="002A2649" w:rsidP="002A2649">
      <w:pPr>
        <w:pStyle w:val="CBDNormalNumber"/>
        <w:spacing w:before="0"/>
        <w:rPr>
          <w:lang w:val="es-419"/>
        </w:rPr>
      </w:pPr>
      <w:r w:rsidRPr="00065280">
        <w:rPr>
          <w:lang w:val="es-419"/>
        </w:rPr>
        <w:t>El Grupo de Trabajo</w:t>
      </w:r>
      <w:r w:rsidR="00F0605A">
        <w:rPr>
          <w:lang w:val="es-419"/>
        </w:rPr>
        <w:t> </w:t>
      </w:r>
      <w:r w:rsidRPr="00065280">
        <w:rPr>
          <w:lang w:val="es-419"/>
        </w:rPr>
        <w:t xml:space="preserve">I aprobó el proyecto de decisión para que fuera remitido a la sesión plenaria como proyecto de decisión </w:t>
      </w:r>
      <w:r w:rsidRPr="00065280">
        <w:rPr>
          <w:rFonts w:asciiTheme="majorBidi" w:hAnsiTheme="majorBidi"/>
          <w:lang w:val="es-419"/>
        </w:rPr>
        <w:t>CBD/CP/MOP/11/L.11.</w:t>
      </w:r>
    </w:p>
    <w:p w14:paraId="15A79BEB" w14:textId="2C2E9563" w:rsidR="002D202F" w:rsidRPr="00065280" w:rsidRDefault="002A2649" w:rsidP="002A2649">
      <w:pPr>
        <w:pStyle w:val="CBDNormalNumber"/>
        <w:rPr>
          <w:snapToGrid w:val="0"/>
          <w:lang w:val="es-419" w:eastAsia="en-CA"/>
        </w:rPr>
      </w:pPr>
      <w:r w:rsidRPr="00065280">
        <w:rPr>
          <w:lang w:val="es-419"/>
        </w:rPr>
        <w:t xml:space="preserve">En su quinta sesión plenaria, la Conferencia de las Partes que actúa como reunión de las Partes en el Protocolo consideró el proyecto de decisión CBD/CP/MOP/11/L.11, presentado por la Presidencia del Grupo de Trabajo I, y lo adoptó como decisión </w:t>
      </w:r>
      <w:hyperlink r:id="rId55" w:history="1">
        <w:r w:rsidRPr="00065280">
          <w:rPr>
            <w:rStyle w:val="Hyperlink"/>
            <w:lang w:val="es-419"/>
          </w:rPr>
          <w:t>CP-11/6</w:t>
        </w:r>
      </w:hyperlink>
      <w:r w:rsidR="002D202F" w:rsidRPr="00065280">
        <w:rPr>
          <w:lang w:val="es-419"/>
        </w:rPr>
        <w:t>.</w:t>
      </w:r>
    </w:p>
    <w:p w14:paraId="01F34AA4" w14:textId="3A9AAFEF" w:rsidR="00620D2D" w:rsidRPr="00065280" w:rsidRDefault="00F83D4C" w:rsidP="00620D2D">
      <w:pPr>
        <w:pStyle w:val="CBDAgendaItem"/>
        <w:rPr>
          <w:lang w:val="es-419"/>
        </w:rPr>
      </w:pPr>
      <w:bookmarkStart w:id="97" w:name="_Toc194919575"/>
      <w:bookmarkStart w:id="98" w:name="_Toc199016628"/>
      <w:bookmarkStart w:id="99" w:name="_Hlk180940739"/>
      <w:bookmarkEnd w:id="95"/>
      <w:bookmarkEnd w:id="96"/>
      <w:r w:rsidRPr="00065280">
        <w:rPr>
          <w:lang w:val="es-419"/>
        </w:rPr>
        <w:t>T</w:t>
      </w:r>
      <w:r w:rsidR="00620D2D" w:rsidRPr="00065280">
        <w:rPr>
          <w:lang w:val="es-419"/>
        </w:rPr>
        <w:t>em</w:t>
      </w:r>
      <w:r w:rsidRPr="00065280">
        <w:rPr>
          <w:lang w:val="es-419"/>
        </w:rPr>
        <w:t>a</w:t>
      </w:r>
      <w:r w:rsidR="00620D2D" w:rsidRPr="00065280">
        <w:rPr>
          <w:lang w:val="es-419"/>
        </w:rPr>
        <w:t xml:space="preserve"> 11</w:t>
      </w:r>
      <w:r w:rsidR="00620D2D" w:rsidRPr="00065280">
        <w:rPr>
          <w:lang w:val="es-419"/>
        </w:rPr>
        <w:br/>
      </w:r>
      <w:bookmarkEnd w:id="97"/>
      <w:r w:rsidRPr="00065280">
        <w:rPr>
          <w:lang w:val="es-419"/>
        </w:rPr>
        <w:t>Evaluación del riesgo y gestión del riesgo</w:t>
      </w:r>
      <w:bookmarkEnd w:id="98"/>
    </w:p>
    <w:p w14:paraId="5A4C254D" w14:textId="1195CB1E" w:rsidR="00F83D4C" w:rsidRPr="00065280" w:rsidRDefault="00F83D4C" w:rsidP="00A94366">
      <w:pPr>
        <w:pStyle w:val="CBDNormalNumber"/>
        <w:rPr>
          <w:lang w:val="es-419"/>
        </w:rPr>
      </w:pPr>
      <w:r w:rsidRPr="00065280">
        <w:rPr>
          <w:lang w:val="es-419"/>
        </w:rPr>
        <w:t>El Grupo de Trabajo II consideró el tema</w:t>
      </w:r>
      <w:r w:rsidR="00514031">
        <w:rPr>
          <w:lang w:val="es-419"/>
        </w:rPr>
        <w:t> </w:t>
      </w:r>
      <w:r w:rsidRPr="00065280">
        <w:rPr>
          <w:lang w:val="es-419"/>
        </w:rPr>
        <w:t>11 del programa en su segunda sesión. Tuvo ante sí un proyecto de decisión</w:t>
      </w:r>
      <w:r w:rsidRPr="00065280">
        <w:rPr>
          <w:rStyle w:val="FootnoteReference"/>
          <w:lang w:val="es-419"/>
        </w:rPr>
        <w:footnoteReference w:id="96"/>
      </w:r>
      <w:r w:rsidRPr="00065280">
        <w:rPr>
          <w:lang w:val="es-419"/>
        </w:rPr>
        <w:t xml:space="preserve"> y una nota de la Secretaría sobre materiales de orientación voluntaria adicionales para apoyar evaluaciones del riesgo caso por caso de organismos vivos modificados que contengan impulsores genéticos modificados</w:t>
      </w:r>
      <w:r w:rsidRPr="00065280">
        <w:rPr>
          <w:rStyle w:val="FootnoteReference"/>
          <w:lang w:val="es-419"/>
        </w:rPr>
        <w:footnoteReference w:id="97"/>
      </w:r>
      <w:r w:rsidRPr="00065280">
        <w:rPr>
          <w:lang w:val="es-419"/>
        </w:rPr>
        <w:t>.</w:t>
      </w:r>
    </w:p>
    <w:p w14:paraId="363FD82F" w14:textId="77777777" w:rsidR="00F83D4C" w:rsidRPr="00065280" w:rsidRDefault="00F83D4C" w:rsidP="00F83D4C">
      <w:pPr>
        <w:pStyle w:val="CBDNormalNumber"/>
        <w:rPr>
          <w:lang w:val="es-419"/>
        </w:rPr>
      </w:pPr>
      <w:r w:rsidRPr="00065280">
        <w:rPr>
          <w:lang w:val="es-419"/>
        </w:rPr>
        <w:t>Formularon declaraciones representantes de las siguientes Partes: Brasil, Burkina Faso, Colombia, Ecuador, Egipto, India, Kenya, Malawi (en nombre de los Estados de África), Noruega, Nueva Zelandia, Panamá, Rwanda, Suriname, Uganda, Unión Europea y sus Estados miembros y Zambia.</w:t>
      </w:r>
    </w:p>
    <w:p w14:paraId="4A555B6A" w14:textId="1E101573" w:rsidR="00F83D4C" w:rsidRPr="00065280" w:rsidRDefault="00F83D4C" w:rsidP="00F83D4C">
      <w:pPr>
        <w:pStyle w:val="CBDNormalNumber"/>
        <w:rPr>
          <w:lang w:val="es-419"/>
        </w:rPr>
      </w:pPr>
      <w:r w:rsidRPr="00065280">
        <w:rPr>
          <w:lang w:val="es-419"/>
        </w:rPr>
        <w:t>El Grupo de Trabajo</w:t>
      </w:r>
      <w:r w:rsidR="00514031">
        <w:rPr>
          <w:lang w:val="es-419"/>
        </w:rPr>
        <w:t> </w:t>
      </w:r>
      <w:r w:rsidRPr="00065280">
        <w:rPr>
          <w:lang w:val="es-419"/>
        </w:rPr>
        <w:t>II convino en establecer un grupo de contacto, presidido por Marja Ruohonen-Lehto (Finlandia) y Martha Kandawa-Schulz (Namibia), para conciliar opiniones divergentes sobre la cuestión relativa a la elaboración de materiales de orientación para apoyar las evaluaciones del riesgo caso por caso de peces vivos modificados, centrándose en los párrafos 7 a 10 y 15 c) a 15 f) del proyecto de decisión y en su anexo, así como para resolver los corchetes que quedaban en el texto, si hubiera tiempo suficiente.</w:t>
      </w:r>
    </w:p>
    <w:p w14:paraId="47A0D144" w14:textId="09F0D948" w:rsidR="00F83D4C" w:rsidRPr="00065280" w:rsidRDefault="00F83D4C" w:rsidP="00F83D4C">
      <w:pPr>
        <w:pStyle w:val="CBDNormalNumber"/>
        <w:rPr>
          <w:lang w:val="es-419"/>
        </w:rPr>
      </w:pPr>
      <w:r w:rsidRPr="00065280">
        <w:rPr>
          <w:lang w:val="es-419"/>
        </w:rPr>
        <w:t>En su séptima sesión, el Grupo de Trabajo</w:t>
      </w:r>
      <w:r w:rsidR="00514031">
        <w:rPr>
          <w:lang w:val="es-419"/>
        </w:rPr>
        <w:t> </w:t>
      </w:r>
      <w:r w:rsidRPr="00065280">
        <w:rPr>
          <w:lang w:val="es-419"/>
        </w:rPr>
        <w:t>II examinó un proyecto de decisión revisado presentado por la Presidencia tras deliberaciones mantenidas en el grupo de contacto.</w:t>
      </w:r>
    </w:p>
    <w:p w14:paraId="7F88FCC9" w14:textId="77777777" w:rsidR="00F83D4C" w:rsidRPr="00065280" w:rsidRDefault="00F83D4C" w:rsidP="00F83D4C">
      <w:pPr>
        <w:pStyle w:val="CBDNormalNumber"/>
        <w:rPr>
          <w:lang w:val="es-419"/>
        </w:rPr>
      </w:pPr>
      <w:r w:rsidRPr="00065280">
        <w:rPr>
          <w:lang w:val="es-419"/>
        </w:rPr>
        <w:t>El Grupo de Trabajo II aprobó el proyecto de decisión revisado para que fuera remitido a la sesión plenaria como proyecto de decisión CBD/CP/MOP/11/L.6.</w:t>
      </w:r>
    </w:p>
    <w:p w14:paraId="25330618" w14:textId="4556981D" w:rsidR="006D6C59" w:rsidRPr="00065280" w:rsidRDefault="00F83D4C" w:rsidP="00F83D4C">
      <w:pPr>
        <w:pStyle w:val="CBDNormalNumber"/>
        <w:rPr>
          <w:lang w:val="es-419"/>
        </w:rPr>
      </w:pPr>
      <w:r w:rsidRPr="00065280">
        <w:rPr>
          <w:lang w:val="es-419"/>
        </w:rPr>
        <w:t xml:space="preserve">En su tercera sesión plenaria, la Conferencia de las Partes que actúa como reunión de las Partes en el Protocolo consideró el proyecto de decisión CBD/CP/MOP/11/L.6, presentado por la Presidencia del Grupo de Trabajo II, y lo adoptó como decisión </w:t>
      </w:r>
      <w:hyperlink r:id="rId56" w:history="1">
        <w:r w:rsidRPr="00065280">
          <w:rPr>
            <w:rStyle w:val="Hyperlink"/>
            <w:lang w:val="es-419"/>
          </w:rPr>
          <w:t>CP-11/7</w:t>
        </w:r>
      </w:hyperlink>
      <w:r w:rsidR="007F53D7" w:rsidRPr="00065280">
        <w:rPr>
          <w:lang w:val="es-419"/>
        </w:rPr>
        <w:t>.</w:t>
      </w:r>
    </w:p>
    <w:p w14:paraId="78E86F42" w14:textId="3440F74D" w:rsidR="00620D2D" w:rsidRPr="00065280" w:rsidRDefault="00F83D4C" w:rsidP="00620D2D">
      <w:pPr>
        <w:pStyle w:val="CBDAgendaItem"/>
        <w:rPr>
          <w:lang w:val="es-419"/>
        </w:rPr>
      </w:pPr>
      <w:bookmarkStart w:id="100" w:name="_Toc194919576"/>
      <w:bookmarkStart w:id="101" w:name="_Toc199016629"/>
      <w:r w:rsidRPr="00065280">
        <w:rPr>
          <w:lang w:val="es-419"/>
        </w:rPr>
        <w:t>T</w:t>
      </w:r>
      <w:r w:rsidR="00620D2D" w:rsidRPr="00065280">
        <w:rPr>
          <w:lang w:val="es-419"/>
        </w:rPr>
        <w:t>em</w:t>
      </w:r>
      <w:r w:rsidRPr="00065280">
        <w:rPr>
          <w:lang w:val="es-419"/>
        </w:rPr>
        <w:t>a</w:t>
      </w:r>
      <w:r w:rsidR="00620D2D" w:rsidRPr="00065280">
        <w:rPr>
          <w:lang w:val="es-419"/>
        </w:rPr>
        <w:t xml:space="preserve"> 1</w:t>
      </w:r>
      <w:r w:rsidR="00B270E2" w:rsidRPr="00065280">
        <w:rPr>
          <w:lang w:val="es-419"/>
        </w:rPr>
        <w:t>2</w:t>
      </w:r>
      <w:r w:rsidR="00620D2D" w:rsidRPr="00065280">
        <w:rPr>
          <w:lang w:val="es-419"/>
        </w:rPr>
        <w:br/>
      </w:r>
      <w:bookmarkEnd w:id="100"/>
      <w:r w:rsidRPr="00065280">
        <w:rPr>
          <w:lang w:val="es-419"/>
        </w:rPr>
        <w:t>Detección e identificación de organismos vivos modificados</w:t>
      </w:r>
      <w:bookmarkEnd w:id="101"/>
    </w:p>
    <w:p w14:paraId="3D2435D0" w14:textId="77777777" w:rsidR="00F83D4C" w:rsidRPr="00065280" w:rsidRDefault="00F83D4C" w:rsidP="00A94366">
      <w:pPr>
        <w:pStyle w:val="CBDNormalNumber"/>
        <w:rPr>
          <w:lang w:val="es-419"/>
        </w:rPr>
      </w:pPr>
      <w:r w:rsidRPr="00065280">
        <w:rPr>
          <w:lang w:val="es-419"/>
        </w:rPr>
        <w:t>El Grupo de Trabajo II consideró el tema 12 del programa en su segunda sesión. Tuvo ante sí un proyecto de decisión</w:t>
      </w:r>
      <w:r w:rsidRPr="00065280">
        <w:rPr>
          <w:rStyle w:val="FootnoteReference"/>
          <w:lang w:val="es-419"/>
        </w:rPr>
        <w:footnoteReference w:id="98"/>
      </w:r>
      <w:r w:rsidRPr="00065280">
        <w:rPr>
          <w:lang w:val="es-419"/>
        </w:rPr>
        <w:t xml:space="preserve">. </w:t>
      </w:r>
    </w:p>
    <w:p w14:paraId="313134F2" w14:textId="77777777" w:rsidR="00F83D4C" w:rsidRPr="00065280" w:rsidRDefault="00F83D4C" w:rsidP="00F83D4C">
      <w:pPr>
        <w:pStyle w:val="CBDNormalNumber"/>
        <w:spacing w:before="0"/>
        <w:rPr>
          <w:lang w:val="es-419"/>
        </w:rPr>
      </w:pPr>
      <w:r w:rsidRPr="00065280">
        <w:rPr>
          <w:lang w:val="es-419"/>
        </w:rPr>
        <w:t>El Grupo de Trabajo II convino en que el Presidente prepararía un proyecto de decisión revisado para su consideración, con el apoyo de la Secretaría y a través de consultas oficiosas con las Partes, según fuera necesario.</w:t>
      </w:r>
    </w:p>
    <w:p w14:paraId="47C8ED39" w14:textId="77777777" w:rsidR="00F83D4C" w:rsidRPr="00065280" w:rsidRDefault="00F83D4C" w:rsidP="00F83D4C">
      <w:pPr>
        <w:pStyle w:val="CBDNormalNumber"/>
        <w:spacing w:before="0"/>
        <w:rPr>
          <w:rFonts w:asciiTheme="majorBidi" w:hAnsiTheme="majorBidi" w:cstheme="majorBidi"/>
          <w:lang w:val="es-419"/>
        </w:rPr>
      </w:pPr>
      <w:r w:rsidRPr="00065280">
        <w:rPr>
          <w:lang w:val="es-419"/>
        </w:rPr>
        <w:t>En su sexta sesión, el Grupo de Trabajo II consideró un proyecto de decisión revisado presentado por la Presidencia.</w:t>
      </w:r>
    </w:p>
    <w:p w14:paraId="02417E39" w14:textId="77777777" w:rsidR="00F83D4C" w:rsidRPr="00065280" w:rsidRDefault="00F83D4C" w:rsidP="00F83D4C">
      <w:pPr>
        <w:pStyle w:val="CBDNormalNumber"/>
        <w:spacing w:before="0"/>
        <w:rPr>
          <w:lang w:val="es-419"/>
        </w:rPr>
      </w:pPr>
      <w:r w:rsidRPr="00065280">
        <w:rPr>
          <w:rFonts w:asciiTheme="majorBidi" w:hAnsiTheme="majorBidi"/>
          <w:lang w:val="es-419"/>
        </w:rPr>
        <w:t xml:space="preserve">Formularon declaraciones representantes de las siguientes Partes: </w:t>
      </w:r>
      <w:r w:rsidRPr="00065280">
        <w:rPr>
          <w:lang w:val="es-419"/>
        </w:rPr>
        <w:t xml:space="preserve">Brasil, Camerún, Colombia, Costa Rica, Guatemala, India, Kenya, Malasia, Malawi, México, Noruega, Nueva Zelandia, Panamá, Paraguay, Perú, Reino Unido, República de Moldova, Uganda, Unión Europea y sus Estados miembros y Uruguay. </w:t>
      </w:r>
    </w:p>
    <w:p w14:paraId="2594145F" w14:textId="77777777" w:rsidR="00F83D4C" w:rsidRPr="00065280" w:rsidRDefault="00F83D4C" w:rsidP="00F83D4C">
      <w:pPr>
        <w:pStyle w:val="CBDNormalNumber"/>
        <w:spacing w:before="0"/>
        <w:rPr>
          <w:lang w:val="es-419"/>
        </w:rPr>
      </w:pPr>
      <w:r w:rsidRPr="00065280">
        <w:rPr>
          <w:lang w:val="es-419"/>
        </w:rPr>
        <w:t xml:space="preserve">En su séptima sesión, el Grupo de Trabajo II retomó la consideración del proyecto de decisión revisado. </w:t>
      </w:r>
    </w:p>
    <w:p w14:paraId="3CDE34D1" w14:textId="77777777" w:rsidR="00F83D4C" w:rsidRPr="00065280" w:rsidRDefault="00F83D4C" w:rsidP="00F83D4C">
      <w:pPr>
        <w:pStyle w:val="CBDNormalNumber"/>
        <w:spacing w:before="0"/>
        <w:rPr>
          <w:lang w:val="es-419"/>
        </w:rPr>
      </w:pPr>
      <w:r w:rsidRPr="00065280">
        <w:rPr>
          <w:lang w:val="es-419"/>
        </w:rPr>
        <w:t>Formularon declaraciones representantes de las siguientes Partes: Brasil, Colombia, India, Rwanda, Togo, Unión Europea y sus Estados miembros y Uruguay.</w:t>
      </w:r>
    </w:p>
    <w:p w14:paraId="339CF82A" w14:textId="77777777" w:rsidR="00F83D4C" w:rsidRPr="00065280" w:rsidRDefault="00F83D4C" w:rsidP="00F83D4C">
      <w:pPr>
        <w:pStyle w:val="CBDNormalNumber"/>
        <w:spacing w:before="0"/>
        <w:rPr>
          <w:lang w:val="es-419"/>
        </w:rPr>
      </w:pPr>
      <w:r w:rsidRPr="00065280">
        <w:rPr>
          <w:lang w:val="es-419"/>
        </w:rPr>
        <w:t>El Grupo de Trabajo II aprobó el proyecto de decisión revisado, con las enmiendas efectuadas oralmente, para que fuera remitido a la sesión plenaria como proyecto de decisión CBD/CP/MOP/11/L.5.</w:t>
      </w:r>
    </w:p>
    <w:p w14:paraId="216FF3D3" w14:textId="27E92C9D" w:rsidR="00FA3B06" w:rsidRPr="00065280" w:rsidRDefault="00F83D4C" w:rsidP="00F83D4C">
      <w:pPr>
        <w:pStyle w:val="CBDNormalNumber"/>
        <w:spacing w:before="0"/>
        <w:rPr>
          <w:lang w:val="es-419"/>
        </w:rPr>
      </w:pPr>
      <w:r w:rsidRPr="00065280">
        <w:rPr>
          <w:lang w:val="es-419"/>
        </w:rPr>
        <w:t xml:space="preserve">En su tercera sesión plenaria, la Conferencia de las Partes que actúa como reunión de las Partes en el Protocolo consideró el proyecto de decisión CBD/CP/MOP/11/L.5, presentado por la Presidencia del Grupo de Trabajo II, y lo adoptó como decisión </w:t>
      </w:r>
      <w:hyperlink r:id="rId57" w:history="1">
        <w:r w:rsidRPr="00065280">
          <w:rPr>
            <w:rStyle w:val="Hyperlink"/>
            <w:lang w:val="es-419"/>
          </w:rPr>
          <w:t>CP-11/8</w:t>
        </w:r>
      </w:hyperlink>
      <w:r w:rsidR="00200A51" w:rsidRPr="00065280">
        <w:rPr>
          <w:lang w:val="es-419"/>
        </w:rPr>
        <w:t>.</w:t>
      </w:r>
    </w:p>
    <w:p w14:paraId="0C30C1D9" w14:textId="322207CE" w:rsidR="00125A40" w:rsidRPr="00065280" w:rsidRDefault="00F83D4C" w:rsidP="00125A40">
      <w:pPr>
        <w:pStyle w:val="CBDAgendaItem"/>
        <w:rPr>
          <w:lang w:val="es-419"/>
        </w:rPr>
      </w:pPr>
      <w:bookmarkStart w:id="102" w:name="_Toc194919577"/>
      <w:bookmarkStart w:id="103" w:name="_Toc199016630"/>
      <w:r w:rsidRPr="00065280">
        <w:rPr>
          <w:lang w:val="es-419"/>
        </w:rPr>
        <w:t>T</w:t>
      </w:r>
      <w:r w:rsidR="00125A40" w:rsidRPr="00065280">
        <w:rPr>
          <w:lang w:val="es-419"/>
        </w:rPr>
        <w:t>em</w:t>
      </w:r>
      <w:r w:rsidRPr="00065280">
        <w:rPr>
          <w:lang w:val="es-419"/>
        </w:rPr>
        <w:t>a</w:t>
      </w:r>
      <w:r w:rsidR="00125A40" w:rsidRPr="00065280">
        <w:rPr>
          <w:lang w:val="es-419"/>
        </w:rPr>
        <w:t xml:space="preserve"> 13</w:t>
      </w:r>
      <w:r w:rsidR="00125A40" w:rsidRPr="00065280">
        <w:rPr>
          <w:lang w:val="es-419"/>
        </w:rPr>
        <w:br/>
      </w:r>
      <w:bookmarkEnd w:id="102"/>
      <w:r w:rsidRPr="00065280">
        <w:rPr>
          <w:lang w:val="es-419"/>
        </w:rPr>
        <w:t>Consideraciones socioeconómicas</w:t>
      </w:r>
      <w:bookmarkEnd w:id="103"/>
    </w:p>
    <w:p w14:paraId="112AEBA2" w14:textId="2AB423F6" w:rsidR="00F83D4C" w:rsidRPr="00065280" w:rsidRDefault="00F83D4C" w:rsidP="00A94366">
      <w:pPr>
        <w:pStyle w:val="CBDNormalNumber"/>
        <w:rPr>
          <w:lang w:val="es-419"/>
        </w:rPr>
      </w:pPr>
      <w:r w:rsidRPr="00065280">
        <w:rPr>
          <w:lang w:val="es-419"/>
        </w:rPr>
        <w:t>El Grupo de Trabajo</w:t>
      </w:r>
      <w:r w:rsidR="00514031">
        <w:rPr>
          <w:lang w:val="es-419"/>
        </w:rPr>
        <w:t> </w:t>
      </w:r>
      <w:r w:rsidRPr="00065280">
        <w:rPr>
          <w:lang w:val="es-419"/>
        </w:rPr>
        <w:t>II consideró el tema</w:t>
      </w:r>
      <w:r w:rsidR="00514031">
        <w:rPr>
          <w:lang w:val="es-419"/>
        </w:rPr>
        <w:t> </w:t>
      </w:r>
      <w:r w:rsidRPr="00065280">
        <w:rPr>
          <w:lang w:val="es-419"/>
        </w:rPr>
        <w:t>13 del programa en su tercera sesión, el 23 de octubre. Tuvo ante sí un proyecto de decisión</w:t>
      </w:r>
      <w:r w:rsidRPr="00065280">
        <w:rPr>
          <w:rStyle w:val="FootnoteReference"/>
          <w:lang w:val="es-419"/>
        </w:rPr>
        <w:footnoteReference w:id="99"/>
      </w:r>
      <w:r w:rsidRPr="00065280">
        <w:rPr>
          <w:lang w:val="es-419"/>
        </w:rPr>
        <w:t xml:space="preserve"> y una nota de la Secretaría sobre consideraciones socioeconómicas</w:t>
      </w:r>
      <w:r w:rsidRPr="00065280">
        <w:rPr>
          <w:rStyle w:val="FootnoteReference"/>
          <w:lang w:val="es-419"/>
        </w:rPr>
        <w:footnoteReference w:id="100"/>
      </w:r>
      <w:r w:rsidRPr="00065280">
        <w:rPr>
          <w:lang w:val="es-419"/>
        </w:rPr>
        <w:t xml:space="preserve">. </w:t>
      </w:r>
    </w:p>
    <w:p w14:paraId="369E67F0" w14:textId="77777777" w:rsidR="00F83D4C" w:rsidRPr="00065280" w:rsidRDefault="00F83D4C" w:rsidP="00F83D4C">
      <w:pPr>
        <w:pStyle w:val="CBDNormalNumber"/>
        <w:spacing w:before="0"/>
        <w:rPr>
          <w:lang w:val="es-419"/>
        </w:rPr>
      </w:pPr>
      <w:r w:rsidRPr="00065280">
        <w:rPr>
          <w:lang w:val="es-419"/>
        </w:rPr>
        <w:t>Formularon declaraciones representantes de las siguientes Partes: India, Malasia, Malawi, Noruega, República de Moldova, Sudáfrica, Uganda, Unión Europea y sus Estados miembros y Zimbabwe (en nombre de los Estados de África).</w:t>
      </w:r>
    </w:p>
    <w:p w14:paraId="760643F7" w14:textId="28BF8DB3" w:rsidR="00F83D4C" w:rsidRPr="00065280" w:rsidRDefault="00F83D4C" w:rsidP="00F83D4C">
      <w:pPr>
        <w:pStyle w:val="CBDNormalNumber"/>
        <w:spacing w:before="0"/>
        <w:rPr>
          <w:lang w:val="es-419"/>
        </w:rPr>
      </w:pPr>
      <w:r w:rsidRPr="00065280">
        <w:rPr>
          <w:lang w:val="es-419"/>
        </w:rPr>
        <w:t>El Grupo de Trabajo</w:t>
      </w:r>
      <w:r w:rsidR="00514031">
        <w:rPr>
          <w:lang w:val="es-419"/>
        </w:rPr>
        <w:t> </w:t>
      </w:r>
      <w:r w:rsidRPr="00065280">
        <w:rPr>
          <w:lang w:val="es-419"/>
        </w:rPr>
        <w:t>II convino en que el Presidente prepararía un proyecto de decisión revisado para su consideración, con el apoyo de la Secretaría.</w:t>
      </w:r>
    </w:p>
    <w:p w14:paraId="696A5C81" w14:textId="0EC4B5C7" w:rsidR="00F83D4C" w:rsidRPr="00065280" w:rsidRDefault="00F83D4C" w:rsidP="00F83D4C">
      <w:pPr>
        <w:pStyle w:val="CBDNormalNumber"/>
        <w:spacing w:before="0"/>
        <w:rPr>
          <w:rFonts w:asciiTheme="majorBidi" w:hAnsiTheme="majorBidi" w:cstheme="majorBidi"/>
          <w:lang w:val="es-419"/>
        </w:rPr>
      </w:pPr>
      <w:r w:rsidRPr="00065280">
        <w:rPr>
          <w:rFonts w:asciiTheme="majorBidi" w:hAnsiTheme="majorBidi"/>
          <w:lang w:val="es-419"/>
        </w:rPr>
        <w:t>En su sexta sesión, el Grupo de Trabajo</w:t>
      </w:r>
      <w:r w:rsidR="00514031">
        <w:rPr>
          <w:rFonts w:asciiTheme="majorBidi" w:hAnsiTheme="majorBidi"/>
          <w:lang w:val="es-419"/>
        </w:rPr>
        <w:t> </w:t>
      </w:r>
      <w:r w:rsidRPr="00065280">
        <w:rPr>
          <w:rFonts w:asciiTheme="majorBidi" w:hAnsiTheme="majorBidi"/>
          <w:lang w:val="es-419"/>
        </w:rPr>
        <w:t>II consideró un proyecto de decisión revisado presentado por la Presidencia.</w:t>
      </w:r>
    </w:p>
    <w:p w14:paraId="306BB1C8" w14:textId="77777777" w:rsidR="00F83D4C" w:rsidRPr="00065280" w:rsidRDefault="00F83D4C" w:rsidP="00F83D4C">
      <w:pPr>
        <w:pStyle w:val="CBDNormalNumber"/>
        <w:spacing w:before="0"/>
        <w:rPr>
          <w:lang w:val="es-419"/>
        </w:rPr>
      </w:pPr>
      <w:r w:rsidRPr="00065280">
        <w:rPr>
          <w:lang w:val="es-419"/>
        </w:rPr>
        <w:t>El Grupo de Trabajo II aprobó el proyecto de decisión revisado para que fuera remitido a la sesión plenaria como proyecto de decisión CBD/CP/MOP/11/L.3.</w:t>
      </w:r>
    </w:p>
    <w:p w14:paraId="7FA48FB0" w14:textId="2E90153B" w:rsidR="00FA3B06" w:rsidRPr="00065280" w:rsidRDefault="00F83D4C" w:rsidP="00F83D4C">
      <w:pPr>
        <w:pStyle w:val="CBDNormalNumber"/>
        <w:rPr>
          <w:snapToGrid w:val="0"/>
          <w:lang w:val="es-419" w:eastAsia="en-CA"/>
        </w:rPr>
      </w:pPr>
      <w:r w:rsidRPr="00065280">
        <w:rPr>
          <w:lang w:val="es-419"/>
        </w:rPr>
        <w:t xml:space="preserve">En su segunda sesión plenaria, la Conferencia de las Partes que actúa como reunión de las Partes en el Protocolo consideró el proyecto de decisión CBD/CP/MOP/11/L.3, presentado por la Presidencia del Grupo de Trabajo II, y lo adoptó como decisión </w:t>
      </w:r>
      <w:hyperlink r:id="rId58" w:history="1">
        <w:r w:rsidRPr="00065280">
          <w:rPr>
            <w:rStyle w:val="Hyperlink"/>
            <w:lang w:val="es-419"/>
          </w:rPr>
          <w:t>CP-11/9</w:t>
        </w:r>
      </w:hyperlink>
      <w:r w:rsidR="00F33162" w:rsidRPr="00065280">
        <w:rPr>
          <w:lang w:val="es-419"/>
        </w:rPr>
        <w:t>.</w:t>
      </w:r>
    </w:p>
    <w:p w14:paraId="0EECDB6B" w14:textId="2D69C45C" w:rsidR="00125A40" w:rsidRPr="00065280" w:rsidRDefault="00F83D4C" w:rsidP="004B0886">
      <w:pPr>
        <w:pStyle w:val="CBDAgendaItem"/>
        <w:rPr>
          <w:lang w:val="es-419"/>
        </w:rPr>
      </w:pPr>
      <w:bookmarkStart w:id="104" w:name="_Toc194919578"/>
      <w:bookmarkStart w:id="105" w:name="_Toc199016631"/>
      <w:bookmarkEnd w:id="99"/>
      <w:r w:rsidRPr="00065280">
        <w:rPr>
          <w:lang w:val="es-419"/>
        </w:rPr>
        <w:t>T</w:t>
      </w:r>
      <w:r w:rsidR="00125A40" w:rsidRPr="00065280">
        <w:rPr>
          <w:lang w:val="es-419"/>
        </w:rPr>
        <w:t>em</w:t>
      </w:r>
      <w:r w:rsidRPr="00065280">
        <w:rPr>
          <w:lang w:val="es-419"/>
        </w:rPr>
        <w:t>a</w:t>
      </w:r>
      <w:r w:rsidR="00125A40" w:rsidRPr="00065280">
        <w:rPr>
          <w:lang w:val="es-419"/>
        </w:rPr>
        <w:t xml:space="preserve"> 14</w:t>
      </w:r>
      <w:r w:rsidR="00125A40" w:rsidRPr="00065280">
        <w:rPr>
          <w:lang w:val="es-419"/>
        </w:rPr>
        <w:br/>
      </w:r>
      <w:bookmarkEnd w:id="104"/>
      <w:r w:rsidRPr="00065280">
        <w:rPr>
          <w:lang w:val="es-419"/>
        </w:rPr>
        <w:t>Protocolo Suplementario de Nagoya-Kuala Lumpur sobre Responsabilidad y Compensación</w:t>
      </w:r>
      <w:bookmarkEnd w:id="105"/>
    </w:p>
    <w:p w14:paraId="7E7D633B" w14:textId="77777777" w:rsidR="00F83D4C" w:rsidRPr="00065280" w:rsidRDefault="00F83D4C" w:rsidP="00A94366">
      <w:pPr>
        <w:pStyle w:val="CBDNormalNumber"/>
        <w:rPr>
          <w:lang w:val="es-419"/>
        </w:rPr>
      </w:pPr>
      <w:r w:rsidRPr="00065280">
        <w:rPr>
          <w:lang w:val="es-419"/>
        </w:rPr>
        <w:t>El Grupo de Trabajo II consideró el tema 14 del programa en su tercera sesión. Tuvo ante sí un proyecto de decisión</w:t>
      </w:r>
      <w:r w:rsidRPr="00065280">
        <w:rPr>
          <w:rStyle w:val="FootnoteReference"/>
          <w:lang w:val="es-419"/>
        </w:rPr>
        <w:footnoteReference w:id="101"/>
      </w:r>
      <w:r w:rsidRPr="00065280">
        <w:rPr>
          <w:lang w:val="es-419"/>
        </w:rPr>
        <w:t xml:space="preserve"> y una nota de la Secretaría sobre el Protocolo Suplementario de Nagoya-Kuala Lumpur sobre Responsabilidad y Compensación</w:t>
      </w:r>
      <w:r w:rsidRPr="00065280">
        <w:rPr>
          <w:rStyle w:val="FootnoteReference"/>
          <w:lang w:val="es-419"/>
        </w:rPr>
        <w:footnoteReference w:id="102"/>
      </w:r>
      <w:r w:rsidRPr="00065280">
        <w:rPr>
          <w:lang w:val="es-419"/>
        </w:rPr>
        <w:t xml:space="preserve">. </w:t>
      </w:r>
    </w:p>
    <w:p w14:paraId="2B54D083" w14:textId="77777777" w:rsidR="00F83D4C" w:rsidRPr="00065280" w:rsidRDefault="00F83D4C" w:rsidP="00F83D4C">
      <w:pPr>
        <w:pStyle w:val="CBDNormalNumber"/>
        <w:spacing w:before="0"/>
        <w:rPr>
          <w:lang w:val="es-419"/>
        </w:rPr>
      </w:pPr>
      <w:r w:rsidRPr="00065280">
        <w:rPr>
          <w:lang w:val="es-419"/>
        </w:rPr>
        <w:t>Formularon declaraciones representantes de las siguientes Partes: India, Malawi (en nombre de los Estados de África), República Centroafricana, República de Moldova, Uganda y Unión Europea y sus Estados miembros.</w:t>
      </w:r>
    </w:p>
    <w:p w14:paraId="6FCFF1A7" w14:textId="6B381410" w:rsidR="00F83D4C" w:rsidRPr="00065280" w:rsidRDefault="00F83D4C" w:rsidP="00F83D4C">
      <w:pPr>
        <w:pStyle w:val="CBDNormalNumber"/>
        <w:spacing w:before="0"/>
        <w:rPr>
          <w:lang w:val="es-419"/>
        </w:rPr>
      </w:pPr>
      <w:r w:rsidRPr="00065280">
        <w:rPr>
          <w:lang w:val="es-419"/>
        </w:rPr>
        <w:t>El Grupo de Trabajo II convino en que el Presidente prepararía un proyecto de decisión revisado</w:t>
      </w:r>
      <w:r w:rsidR="00425314">
        <w:rPr>
          <w:lang w:val="es-419"/>
        </w:rPr>
        <w:t>, con el apoyo de la Secretaría,</w:t>
      </w:r>
      <w:r w:rsidRPr="00065280">
        <w:rPr>
          <w:lang w:val="es-419"/>
        </w:rPr>
        <w:t xml:space="preserve"> para que fuera considerado en una sesión posterior.</w:t>
      </w:r>
    </w:p>
    <w:p w14:paraId="17767920" w14:textId="77777777" w:rsidR="00F83D4C" w:rsidRPr="00065280" w:rsidRDefault="00F83D4C" w:rsidP="00F83D4C">
      <w:pPr>
        <w:pStyle w:val="CBDNormalNumber"/>
        <w:spacing w:before="0"/>
        <w:rPr>
          <w:rFonts w:asciiTheme="majorBidi" w:hAnsiTheme="majorBidi" w:cstheme="majorBidi"/>
          <w:lang w:val="es-419"/>
        </w:rPr>
      </w:pPr>
      <w:r w:rsidRPr="00065280">
        <w:rPr>
          <w:rFonts w:asciiTheme="majorBidi" w:hAnsiTheme="majorBidi"/>
          <w:lang w:val="es-419"/>
        </w:rPr>
        <w:t>En su sexta sesión, el Grupo de Trabajo II consideró un proyecto de decisión revisado presentado por la Presidencia.</w:t>
      </w:r>
    </w:p>
    <w:p w14:paraId="37117201" w14:textId="77777777" w:rsidR="00F83D4C" w:rsidRPr="00065280" w:rsidRDefault="00F83D4C" w:rsidP="00F83D4C">
      <w:pPr>
        <w:pStyle w:val="CBDNormalNumber"/>
        <w:spacing w:before="0"/>
        <w:rPr>
          <w:lang w:val="es-419"/>
        </w:rPr>
      </w:pPr>
      <w:r w:rsidRPr="00065280">
        <w:rPr>
          <w:rFonts w:asciiTheme="majorBidi" w:hAnsiTheme="majorBidi"/>
          <w:lang w:val="es-419"/>
        </w:rPr>
        <w:t xml:space="preserve">Formularon declaraciones representantes de las siguientes Partes: </w:t>
      </w:r>
      <w:r w:rsidRPr="00065280">
        <w:rPr>
          <w:lang w:val="es-419"/>
        </w:rPr>
        <w:t>Japón, Nueva Zelandia y Unión Europea y sus Estados miembros.</w:t>
      </w:r>
    </w:p>
    <w:p w14:paraId="334F5EBD" w14:textId="77777777" w:rsidR="00F83D4C" w:rsidRPr="00065280" w:rsidRDefault="00F83D4C" w:rsidP="00F83D4C">
      <w:pPr>
        <w:pStyle w:val="CBDNormalNumber"/>
        <w:rPr>
          <w:snapToGrid w:val="0"/>
          <w:lang w:val="es-419"/>
        </w:rPr>
      </w:pPr>
      <w:r w:rsidRPr="00065280">
        <w:rPr>
          <w:lang w:val="es-419"/>
        </w:rPr>
        <w:t>El Grupo de Trabajo II aprobó el proyecto de decisión revisado, con las enmiendas efectuadas oralmente, para que fuera remitido a la sesión plenaria como proyecto de decisión CBD/CP/MOP/11/L.4.</w:t>
      </w:r>
    </w:p>
    <w:p w14:paraId="33F6BD0C" w14:textId="19221792" w:rsidR="00125A40" w:rsidRPr="00065280" w:rsidRDefault="00F83D4C" w:rsidP="00F83D4C">
      <w:pPr>
        <w:pStyle w:val="CBDNormalNumber"/>
        <w:rPr>
          <w:snapToGrid w:val="0"/>
          <w:lang w:val="es-419" w:eastAsia="en-CA"/>
        </w:rPr>
      </w:pPr>
      <w:r w:rsidRPr="00065280">
        <w:rPr>
          <w:lang w:val="es-419"/>
        </w:rPr>
        <w:t xml:space="preserve">En su segunda sesión plenaria, la Conferencia de las Partes que actúa como reunión de las Partes en el Protocolo consideró el proyecto de decisión CBD/CP/MOP/11/L.4, presentado por la Presidencia del Grupo de Trabajo II, y lo adoptó como decisión </w:t>
      </w:r>
      <w:hyperlink r:id="rId59" w:history="1">
        <w:r w:rsidRPr="00065280">
          <w:rPr>
            <w:rStyle w:val="Hyperlink"/>
            <w:lang w:val="es-419"/>
          </w:rPr>
          <w:t>CP-11/10</w:t>
        </w:r>
      </w:hyperlink>
      <w:r w:rsidRPr="00065280">
        <w:rPr>
          <w:lang w:val="es-419"/>
        </w:rPr>
        <w:t>.</w:t>
      </w:r>
    </w:p>
    <w:p w14:paraId="78160E91" w14:textId="2B0CC1D1" w:rsidR="00557370" w:rsidRPr="00065280" w:rsidRDefault="00F83D4C" w:rsidP="006F791E">
      <w:pPr>
        <w:pStyle w:val="CBDAgendaItem"/>
        <w:rPr>
          <w:lang w:val="es-419"/>
        </w:rPr>
      </w:pPr>
      <w:bookmarkStart w:id="106" w:name="_Toc194919579"/>
      <w:bookmarkStart w:id="107" w:name="_Toc199016632"/>
      <w:r w:rsidRPr="00065280">
        <w:rPr>
          <w:lang w:val="es-419"/>
        </w:rPr>
        <w:t>T</w:t>
      </w:r>
      <w:r w:rsidR="00C45D2D" w:rsidRPr="00065280">
        <w:rPr>
          <w:lang w:val="es-419"/>
        </w:rPr>
        <w:t>em</w:t>
      </w:r>
      <w:r w:rsidRPr="00065280">
        <w:rPr>
          <w:lang w:val="es-419"/>
        </w:rPr>
        <w:t>a</w:t>
      </w:r>
      <w:r w:rsidR="00C45D2D" w:rsidRPr="00065280">
        <w:rPr>
          <w:lang w:val="es-419"/>
        </w:rPr>
        <w:t xml:space="preserve"> </w:t>
      </w:r>
      <w:r w:rsidR="00557370" w:rsidRPr="00065280">
        <w:rPr>
          <w:lang w:val="es-419"/>
        </w:rPr>
        <w:t>1</w:t>
      </w:r>
      <w:r w:rsidR="00F91A57" w:rsidRPr="00065280">
        <w:rPr>
          <w:lang w:val="es-419"/>
        </w:rPr>
        <w:t>5</w:t>
      </w:r>
      <w:r w:rsidR="00D34738" w:rsidRPr="00065280">
        <w:rPr>
          <w:lang w:val="es-419"/>
        </w:rPr>
        <w:br/>
      </w:r>
      <w:bookmarkEnd w:id="106"/>
      <w:r w:rsidR="00E824E6" w:rsidRPr="00065280">
        <w:rPr>
          <w:lang w:val="es-419"/>
        </w:rPr>
        <w:t>Otros asuntos</w:t>
      </w:r>
      <w:bookmarkEnd w:id="107"/>
    </w:p>
    <w:bookmarkEnd w:id="88"/>
    <w:p w14:paraId="4BB53C2F" w14:textId="093A6289" w:rsidR="001F7E66" w:rsidRPr="00065280" w:rsidRDefault="00E824E6" w:rsidP="001F7E66">
      <w:pPr>
        <w:pStyle w:val="CBDNormalNumber"/>
        <w:rPr>
          <w:lang w:val="es-419"/>
        </w:rPr>
      </w:pPr>
      <w:r w:rsidRPr="00065280">
        <w:rPr>
          <w:lang w:val="es-419"/>
        </w:rPr>
        <w:t xml:space="preserve">El tema 15 del programa se trató en la novena sesión plenaria, el 28 de febrero de 2025. </w:t>
      </w:r>
      <w:r w:rsidRPr="00065280">
        <w:rPr>
          <w:snapToGrid w:val="0"/>
          <w:lang w:val="es-419"/>
        </w:rPr>
        <w:t>No se plantearon otros asuntos</w:t>
      </w:r>
      <w:r w:rsidR="001F7E66" w:rsidRPr="00065280">
        <w:rPr>
          <w:snapToGrid w:val="0"/>
          <w:lang w:val="es-419" w:eastAsia="en-CA"/>
        </w:rPr>
        <w:t>.</w:t>
      </w:r>
    </w:p>
    <w:p w14:paraId="1D12A01C" w14:textId="4C08232F" w:rsidR="00557370" w:rsidRPr="00065280" w:rsidRDefault="00E824E6" w:rsidP="006F791E">
      <w:pPr>
        <w:pStyle w:val="CBDAgendaItem"/>
        <w:rPr>
          <w:lang w:val="es-419"/>
        </w:rPr>
      </w:pPr>
      <w:bookmarkStart w:id="108" w:name="_Toc194919580"/>
      <w:bookmarkStart w:id="109" w:name="_Toc199016633"/>
      <w:r w:rsidRPr="00065280">
        <w:rPr>
          <w:lang w:val="es-419"/>
        </w:rPr>
        <w:t>T</w:t>
      </w:r>
      <w:r w:rsidR="00C45D2D" w:rsidRPr="00065280">
        <w:rPr>
          <w:lang w:val="es-419"/>
        </w:rPr>
        <w:t>em</w:t>
      </w:r>
      <w:r w:rsidRPr="00065280">
        <w:rPr>
          <w:lang w:val="es-419"/>
        </w:rPr>
        <w:t>a</w:t>
      </w:r>
      <w:r w:rsidR="00C45D2D" w:rsidRPr="00065280">
        <w:rPr>
          <w:lang w:val="es-419"/>
        </w:rPr>
        <w:t xml:space="preserve"> </w:t>
      </w:r>
      <w:r w:rsidR="00557370" w:rsidRPr="00065280">
        <w:rPr>
          <w:lang w:val="es-419"/>
        </w:rPr>
        <w:t>1</w:t>
      </w:r>
      <w:r w:rsidR="00F3789D" w:rsidRPr="00065280">
        <w:rPr>
          <w:lang w:val="es-419"/>
        </w:rPr>
        <w:t>6</w:t>
      </w:r>
      <w:r w:rsidR="00D34738" w:rsidRPr="00065280">
        <w:rPr>
          <w:lang w:val="es-419"/>
        </w:rPr>
        <w:br/>
      </w:r>
      <w:bookmarkEnd w:id="108"/>
      <w:r w:rsidRPr="00065280">
        <w:rPr>
          <w:lang w:val="es-419"/>
        </w:rPr>
        <w:t>Adopción del informe</w:t>
      </w:r>
      <w:bookmarkEnd w:id="109"/>
    </w:p>
    <w:p w14:paraId="56552C92" w14:textId="164E82B0" w:rsidR="007378AD" w:rsidRPr="00065280" w:rsidRDefault="00065280" w:rsidP="007378AD">
      <w:pPr>
        <w:pStyle w:val="CBDNormalNumber"/>
        <w:rPr>
          <w:lang w:val="es-419"/>
        </w:rPr>
      </w:pPr>
      <w:bookmarkStart w:id="110" w:name="_Hlk191595238"/>
      <w:r w:rsidRPr="00065280">
        <w:rPr>
          <w:lang w:val="es-419"/>
        </w:rPr>
        <w:t>En su novena sesión plenaria, la Conferencia de las Partes que actúa como reunión de las Partes en el Protocolo consideró el proyecto de informe de la reunión presentado por la Relatora</w:t>
      </w:r>
      <w:r w:rsidRPr="00065280">
        <w:rPr>
          <w:rStyle w:val="FootnoteReference"/>
          <w:kern w:val="22"/>
          <w:lang w:val="es-419"/>
        </w:rPr>
        <w:footnoteReference w:id="103"/>
      </w:r>
      <w:r w:rsidRPr="00065280">
        <w:rPr>
          <w:lang w:val="es-419"/>
        </w:rPr>
        <w:t xml:space="preserve"> y lo adoptó en el entendido de que se encomendaría su redacción final a la Relatora</w:t>
      </w:r>
      <w:r w:rsidR="007378AD" w:rsidRPr="00065280">
        <w:rPr>
          <w:snapToGrid w:val="0"/>
          <w:kern w:val="22"/>
          <w:lang w:val="es-419"/>
        </w:rPr>
        <w:t>.</w:t>
      </w:r>
      <w:bookmarkEnd w:id="110"/>
    </w:p>
    <w:p w14:paraId="0EED474F" w14:textId="79976629" w:rsidR="00557370" w:rsidRPr="00065280" w:rsidRDefault="00065280" w:rsidP="006F791E">
      <w:pPr>
        <w:pStyle w:val="CBDAgendaItem"/>
        <w:rPr>
          <w:lang w:val="es-419"/>
        </w:rPr>
      </w:pPr>
      <w:bookmarkStart w:id="111" w:name="_Toc194919581"/>
      <w:bookmarkStart w:id="112" w:name="_Toc199016634"/>
      <w:r w:rsidRPr="00065280">
        <w:rPr>
          <w:lang w:val="es-419"/>
        </w:rPr>
        <w:t>T</w:t>
      </w:r>
      <w:r w:rsidR="00C45D2D" w:rsidRPr="00065280">
        <w:rPr>
          <w:lang w:val="es-419"/>
        </w:rPr>
        <w:t>em</w:t>
      </w:r>
      <w:r w:rsidRPr="00065280">
        <w:rPr>
          <w:lang w:val="es-419"/>
        </w:rPr>
        <w:t>a</w:t>
      </w:r>
      <w:r w:rsidR="00C45D2D" w:rsidRPr="00065280">
        <w:rPr>
          <w:lang w:val="es-419"/>
        </w:rPr>
        <w:t xml:space="preserve"> 1</w:t>
      </w:r>
      <w:r w:rsidR="00F3789D" w:rsidRPr="00065280">
        <w:rPr>
          <w:lang w:val="es-419"/>
        </w:rPr>
        <w:t>7</w:t>
      </w:r>
      <w:r w:rsidR="00E5364D" w:rsidRPr="00065280">
        <w:rPr>
          <w:lang w:val="es-419"/>
        </w:rPr>
        <w:br/>
      </w:r>
      <w:bookmarkEnd w:id="111"/>
      <w:r w:rsidRPr="00065280">
        <w:rPr>
          <w:lang w:val="es-419"/>
        </w:rPr>
        <w:t>Clausura de la reunión</w:t>
      </w:r>
      <w:bookmarkEnd w:id="112"/>
    </w:p>
    <w:p w14:paraId="6DC2E254" w14:textId="78B2DB4B" w:rsidR="00065280" w:rsidRPr="00065280" w:rsidRDefault="00065280" w:rsidP="00A94366">
      <w:pPr>
        <w:pStyle w:val="CBDNormalNumber"/>
        <w:rPr>
          <w:lang w:val="es-419"/>
        </w:rPr>
      </w:pPr>
      <w:bookmarkStart w:id="113" w:name="_Hlk182078196"/>
      <w:r w:rsidRPr="00065280">
        <w:rPr>
          <w:lang w:val="es-419"/>
        </w:rPr>
        <w:t xml:space="preserve">En la quinta sesión plenaria, a pedido de un representante de Panamá se hizo un recuento de los asistentes para verificar el número de Partes que estaban presentes y determinar si se podía seguir </w:t>
      </w:r>
      <w:r w:rsidR="00425314">
        <w:rPr>
          <w:lang w:val="es-419"/>
        </w:rPr>
        <w:t xml:space="preserve">con la </w:t>
      </w:r>
      <w:r w:rsidRPr="00065280">
        <w:rPr>
          <w:lang w:val="es-419"/>
        </w:rPr>
        <w:t>adop</w:t>
      </w:r>
      <w:r w:rsidR="00425314">
        <w:rPr>
          <w:lang w:val="es-419"/>
        </w:rPr>
        <w:t>ció</w:t>
      </w:r>
      <w:r w:rsidRPr="00065280">
        <w:rPr>
          <w:lang w:val="es-419"/>
        </w:rPr>
        <w:t>n</w:t>
      </w:r>
      <w:r w:rsidR="00425314">
        <w:rPr>
          <w:lang w:val="es-419"/>
        </w:rPr>
        <w:t xml:space="preserve"> </w:t>
      </w:r>
      <w:r w:rsidRPr="00065280">
        <w:rPr>
          <w:lang w:val="es-419"/>
        </w:rPr>
        <w:t>d</w:t>
      </w:r>
      <w:r w:rsidR="00425314">
        <w:rPr>
          <w:lang w:val="es-419"/>
        </w:rPr>
        <w:t>e</w:t>
      </w:r>
      <w:r w:rsidRPr="00065280">
        <w:rPr>
          <w:lang w:val="es-419"/>
        </w:rPr>
        <w:t xml:space="preserve"> decisiones de conformidad con el artículo 30 del Reglamento. Dado que no se llegaba al </w:t>
      </w:r>
      <w:r w:rsidRPr="00065280">
        <w:rPr>
          <w:i/>
          <w:iCs/>
          <w:lang w:val="es-419"/>
        </w:rPr>
        <w:t>quorum</w:t>
      </w:r>
      <w:r w:rsidRPr="00065280">
        <w:rPr>
          <w:lang w:val="es-419"/>
        </w:rPr>
        <w:t>, la Presidenta propuso suspender la reunión.</w:t>
      </w:r>
    </w:p>
    <w:p w14:paraId="6871A4E1" w14:textId="77777777" w:rsidR="00065280" w:rsidRPr="00065280" w:rsidRDefault="00065280" w:rsidP="00065280">
      <w:pPr>
        <w:pStyle w:val="CBDNormalNumber"/>
        <w:rPr>
          <w:lang w:val="es-419"/>
        </w:rPr>
      </w:pPr>
      <w:r w:rsidRPr="00065280">
        <w:rPr>
          <w:lang w:val="es-419"/>
        </w:rPr>
        <w:t>La Presidenta suspendió seguidamente la reunión a las 8.30 horas del 2 de noviembre de 2024.</w:t>
      </w:r>
    </w:p>
    <w:bookmarkEnd w:id="113"/>
    <w:p w14:paraId="6ACF2906" w14:textId="77777777" w:rsidR="00065280" w:rsidRPr="00065280" w:rsidRDefault="00065280" w:rsidP="00065280">
      <w:pPr>
        <w:pStyle w:val="CBDNormalNoNumber"/>
        <w:keepNext/>
        <w:rPr>
          <w:i/>
          <w:iCs/>
          <w:snapToGrid w:val="0"/>
          <w:lang w:val="es-419"/>
        </w:rPr>
      </w:pPr>
      <w:r w:rsidRPr="00065280">
        <w:rPr>
          <w:i/>
          <w:snapToGrid w:val="0"/>
          <w:lang w:val="es-419"/>
        </w:rPr>
        <w:t>Segunda continuación de la reunión</w:t>
      </w:r>
    </w:p>
    <w:p w14:paraId="68AE5820" w14:textId="2865AA7E" w:rsidR="006E6886" w:rsidRPr="00065280" w:rsidRDefault="00065280" w:rsidP="00065280">
      <w:pPr>
        <w:pStyle w:val="CBDNormalNumber"/>
        <w:rPr>
          <w:kern w:val="22"/>
          <w:lang w:val="es-419"/>
        </w:rPr>
      </w:pPr>
      <w:r w:rsidRPr="00065280">
        <w:rPr>
          <w:lang w:val="es-419"/>
        </w:rPr>
        <w:t>Tras el habitual intercambio de cortesías, se declaró clausurada la reunión a las 13:40 del 28 de febrero de 2025</w:t>
      </w:r>
      <w:r w:rsidR="006E6886" w:rsidRPr="00065280">
        <w:rPr>
          <w:lang w:val="es-419"/>
        </w:rPr>
        <w:t>.</w:t>
      </w:r>
    </w:p>
    <w:p w14:paraId="453CE0E0" w14:textId="7D33AFE0" w:rsidR="002B559C" w:rsidRPr="00065280" w:rsidRDefault="00557370" w:rsidP="00191C16">
      <w:pPr>
        <w:suppressLineNumbers/>
        <w:suppressAutoHyphens/>
        <w:jc w:val="center"/>
        <w:rPr>
          <w:lang w:val="es-419"/>
        </w:rPr>
      </w:pPr>
      <w:r w:rsidRPr="00065280">
        <w:rPr>
          <w:kern w:val="22"/>
          <w:lang w:val="es-419"/>
        </w:rPr>
        <w:t>__________</w:t>
      </w:r>
    </w:p>
    <w:sectPr w:rsidR="002B559C" w:rsidRPr="00065280" w:rsidSect="004B552A">
      <w:headerReference w:type="even" r:id="rId60"/>
      <w:headerReference w:type="default" r:id="rId61"/>
      <w:footerReference w:type="even" r:id="rId62"/>
      <w:footerReference w:type="default" r:id="rId63"/>
      <w:headerReference w:type="first" r:id="rId64"/>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6F1A93" w14:textId="77777777" w:rsidR="009574F7" w:rsidRPr="00AA1338" w:rsidRDefault="009574F7" w:rsidP="00A96B21">
      <w:r w:rsidRPr="00AA1338">
        <w:separator/>
      </w:r>
    </w:p>
  </w:endnote>
  <w:endnote w:type="continuationSeparator" w:id="0">
    <w:p w14:paraId="5EAE1CF8" w14:textId="77777777" w:rsidR="009574F7" w:rsidRPr="00AA1338" w:rsidRDefault="009574F7" w:rsidP="00A96B21">
      <w:r w:rsidRPr="00AA1338">
        <w:continuationSeparator/>
      </w:r>
    </w:p>
  </w:endnote>
  <w:endnote w:type="continuationNotice" w:id="1">
    <w:p w14:paraId="31F669EA" w14:textId="77777777" w:rsidR="009574F7" w:rsidRPr="00AA1338" w:rsidRDefault="009574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Angsana New">
    <w:panose1 w:val="02020603050405020304"/>
    <w:charset w:val="DE"/>
    <w:family w:val="roman"/>
    <w:pitch w:val="variable"/>
    <w:sig w:usb0="81000003" w:usb1="00000000" w:usb2="00000000" w:usb3="00000000" w:csb0="00010001" w:csb1="00000000"/>
  </w:font>
  <w:font w:name="TimesNewRomanPS">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2F3F0D0A" w14:textId="16A50983" w:rsidR="00F31D60" w:rsidRPr="00AA1338" w:rsidRDefault="00F31D60">
            <w:pPr>
              <w:pStyle w:val="Footer"/>
            </w:pPr>
            <w:r w:rsidRPr="00AA1338">
              <w:rPr>
                <w:szCs w:val="20"/>
              </w:rPr>
              <w:fldChar w:fldCharType="begin"/>
            </w:r>
            <w:r w:rsidRPr="00AA1338">
              <w:rPr>
                <w:szCs w:val="20"/>
              </w:rPr>
              <w:instrText xml:space="preserve"> PAGE </w:instrText>
            </w:r>
            <w:r w:rsidRPr="00AA1338">
              <w:rPr>
                <w:szCs w:val="20"/>
              </w:rPr>
              <w:fldChar w:fldCharType="separate"/>
            </w:r>
            <w:r w:rsidR="003277BC">
              <w:rPr>
                <w:noProof/>
                <w:szCs w:val="20"/>
              </w:rPr>
              <w:t>2</w:t>
            </w:r>
            <w:r w:rsidRPr="00AA1338">
              <w:rPr>
                <w:szCs w:val="20"/>
              </w:rPr>
              <w:fldChar w:fldCharType="end"/>
            </w:r>
            <w:r w:rsidRPr="00AA1338">
              <w:rPr>
                <w:szCs w:val="20"/>
              </w:rPr>
              <w:t>/</w:t>
            </w:r>
            <w:r w:rsidRPr="00AA1338">
              <w:rPr>
                <w:szCs w:val="20"/>
              </w:rPr>
              <w:fldChar w:fldCharType="begin"/>
            </w:r>
            <w:r w:rsidRPr="00AA1338">
              <w:rPr>
                <w:szCs w:val="20"/>
              </w:rPr>
              <w:instrText xml:space="preserve"> NUMPAGES  </w:instrText>
            </w:r>
            <w:r w:rsidRPr="00AA1338">
              <w:rPr>
                <w:szCs w:val="20"/>
              </w:rPr>
              <w:fldChar w:fldCharType="separate"/>
            </w:r>
            <w:r w:rsidR="003277BC">
              <w:rPr>
                <w:noProof/>
                <w:szCs w:val="20"/>
              </w:rPr>
              <w:t>46</w:t>
            </w:r>
            <w:r w:rsidRPr="00AA1338">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68A29DC2" w14:textId="0EBAB868" w:rsidR="00F31D60" w:rsidRPr="00AA1338" w:rsidRDefault="00F31D60" w:rsidP="002B559C">
            <w:pPr>
              <w:pStyle w:val="Footer"/>
              <w:jc w:val="right"/>
            </w:pPr>
            <w:r w:rsidRPr="00AA1338">
              <w:rPr>
                <w:szCs w:val="20"/>
              </w:rPr>
              <w:fldChar w:fldCharType="begin"/>
            </w:r>
            <w:r w:rsidRPr="00AA1338">
              <w:rPr>
                <w:szCs w:val="20"/>
              </w:rPr>
              <w:instrText xml:space="preserve"> PAGE </w:instrText>
            </w:r>
            <w:r w:rsidRPr="00AA1338">
              <w:rPr>
                <w:szCs w:val="20"/>
              </w:rPr>
              <w:fldChar w:fldCharType="separate"/>
            </w:r>
            <w:r w:rsidR="003277BC">
              <w:rPr>
                <w:noProof/>
                <w:szCs w:val="20"/>
              </w:rPr>
              <w:t>21</w:t>
            </w:r>
            <w:r w:rsidRPr="00AA1338">
              <w:rPr>
                <w:szCs w:val="20"/>
              </w:rPr>
              <w:fldChar w:fldCharType="end"/>
            </w:r>
            <w:r w:rsidRPr="00AA1338">
              <w:rPr>
                <w:szCs w:val="20"/>
              </w:rPr>
              <w:t>/</w:t>
            </w:r>
            <w:r w:rsidRPr="00AA1338">
              <w:rPr>
                <w:szCs w:val="20"/>
              </w:rPr>
              <w:fldChar w:fldCharType="begin"/>
            </w:r>
            <w:r w:rsidRPr="00AA1338">
              <w:rPr>
                <w:szCs w:val="20"/>
              </w:rPr>
              <w:instrText xml:space="preserve"> NUMPAGES  </w:instrText>
            </w:r>
            <w:r w:rsidRPr="00AA1338">
              <w:rPr>
                <w:szCs w:val="20"/>
              </w:rPr>
              <w:fldChar w:fldCharType="separate"/>
            </w:r>
            <w:r w:rsidR="003277BC">
              <w:rPr>
                <w:noProof/>
                <w:szCs w:val="20"/>
              </w:rPr>
              <w:t>46</w:t>
            </w:r>
            <w:r w:rsidRPr="00AA1338">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908299" w14:textId="77777777" w:rsidR="009574F7" w:rsidRPr="00AA1338" w:rsidRDefault="009574F7" w:rsidP="00A96B21">
      <w:r w:rsidRPr="00AA1338">
        <w:separator/>
      </w:r>
    </w:p>
  </w:footnote>
  <w:footnote w:type="continuationSeparator" w:id="0">
    <w:p w14:paraId="49B39D51" w14:textId="77777777" w:rsidR="009574F7" w:rsidRPr="00AA1338" w:rsidRDefault="009574F7" w:rsidP="00A96B21">
      <w:r w:rsidRPr="00AA1338">
        <w:continuationSeparator/>
      </w:r>
    </w:p>
  </w:footnote>
  <w:footnote w:type="continuationNotice" w:id="1">
    <w:p w14:paraId="474BB1FC" w14:textId="77777777" w:rsidR="009574F7" w:rsidRPr="00AA1338" w:rsidRDefault="009574F7"/>
  </w:footnote>
  <w:footnote w:id="2">
    <w:p w14:paraId="575F48DD" w14:textId="77777777" w:rsidR="00F31D60" w:rsidRPr="000C4229" w:rsidRDefault="00F31D60" w:rsidP="00711AEE">
      <w:pPr>
        <w:pStyle w:val="CBDFootnoteText"/>
        <w:rPr>
          <w:lang w:val="es-419"/>
        </w:rPr>
      </w:pPr>
      <w:r w:rsidRPr="000C4229">
        <w:rPr>
          <w:rStyle w:val="FootnoteReference"/>
          <w:lang w:val="es-419"/>
        </w:rPr>
        <w:footnoteRef/>
      </w:r>
      <w:r w:rsidRPr="000C4229">
        <w:rPr>
          <w:lang w:val="es-419"/>
        </w:rPr>
        <w:t xml:space="preserve"> Naciones Unidas, </w:t>
      </w:r>
      <w:r w:rsidRPr="000C4229">
        <w:rPr>
          <w:i/>
          <w:lang w:val="es-419"/>
        </w:rPr>
        <w:t>Treaty Series</w:t>
      </w:r>
      <w:r w:rsidRPr="000C4229">
        <w:rPr>
          <w:lang w:val="es-419"/>
        </w:rPr>
        <w:t>, vol. 2226, núm. 30619.</w:t>
      </w:r>
    </w:p>
  </w:footnote>
  <w:footnote w:id="3">
    <w:p w14:paraId="7D7B2B36" w14:textId="77777777" w:rsidR="00F31D60" w:rsidRPr="000C4229" w:rsidRDefault="00F31D60" w:rsidP="00711AEE">
      <w:pPr>
        <w:pStyle w:val="CBDFootnoteText"/>
        <w:rPr>
          <w:lang w:val="es-419"/>
        </w:rPr>
      </w:pPr>
      <w:r w:rsidRPr="000C4229">
        <w:rPr>
          <w:rStyle w:val="FootnoteReference"/>
          <w:lang w:val="es-419"/>
        </w:rPr>
        <w:footnoteRef/>
      </w:r>
      <w:r w:rsidRPr="000C4229">
        <w:rPr>
          <w:lang w:val="es-419"/>
        </w:rPr>
        <w:t xml:space="preserve"> </w:t>
      </w:r>
      <w:bookmarkStart w:id="8" w:name="_Hlk177112457"/>
      <w:r w:rsidRPr="000C4229">
        <w:rPr>
          <w:lang w:val="es-419"/>
        </w:rPr>
        <w:t>Barbados, Burundi, Guinea, Kirguistán, Líbano, Marruecos, Omán, Samoa, Suriname, Trinidad y Tabago y Túnez</w:t>
      </w:r>
      <w:bookmarkEnd w:id="8"/>
      <w:r w:rsidRPr="000C4229">
        <w:rPr>
          <w:lang w:val="es-419"/>
        </w:rPr>
        <w:t>.</w:t>
      </w:r>
    </w:p>
  </w:footnote>
  <w:footnote w:id="4">
    <w:p w14:paraId="4B454E1C" w14:textId="77777777" w:rsidR="00F31D60" w:rsidRPr="000C4229" w:rsidRDefault="00F31D60" w:rsidP="00711AEE">
      <w:pPr>
        <w:pStyle w:val="CBDFootnoteText"/>
        <w:rPr>
          <w:lang w:val="es-419"/>
        </w:rPr>
      </w:pPr>
      <w:r w:rsidRPr="000C4229">
        <w:rPr>
          <w:rStyle w:val="FootnoteReference"/>
          <w:lang w:val="es-419"/>
        </w:rPr>
        <w:footnoteRef/>
      </w:r>
      <w:r w:rsidRPr="000C4229">
        <w:rPr>
          <w:lang w:val="es-419"/>
        </w:rPr>
        <w:t xml:space="preserve"> Naciones Unidas, </w:t>
      </w:r>
      <w:r w:rsidRPr="000C4229">
        <w:rPr>
          <w:i/>
          <w:lang w:val="es-419"/>
        </w:rPr>
        <w:t>Treaty Series</w:t>
      </w:r>
      <w:r w:rsidRPr="000C4229">
        <w:rPr>
          <w:lang w:val="es-419"/>
        </w:rPr>
        <w:t>, vol. 2226, núm. 30619.</w:t>
      </w:r>
    </w:p>
  </w:footnote>
  <w:footnote w:id="5">
    <w:p w14:paraId="3CD26A07" w14:textId="77777777" w:rsidR="00F31D60" w:rsidRPr="000C4229" w:rsidRDefault="00F31D60" w:rsidP="00711AEE">
      <w:pPr>
        <w:pStyle w:val="FootnoteText"/>
        <w:rPr>
          <w:lang w:val="es-419"/>
        </w:rPr>
      </w:pPr>
      <w:r w:rsidRPr="000C4229">
        <w:rPr>
          <w:rStyle w:val="FootnoteReference"/>
          <w:lang w:val="es-419"/>
        </w:rPr>
        <w:footnoteRef/>
      </w:r>
      <w:r w:rsidRPr="000C4229">
        <w:rPr>
          <w:lang w:val="es-419"/>
        </w:rPr>
        <w:t xml:space="preserve"> </w:t>
      </w:r>
      <w:r w:rsidRPr="00F31D60">
        <w:rPr>
          <w:i/>
          <w:lang w:val="es-419"/>
        </w:rPr>
        <w:t>Ibid.</w:t>
      </w:r>
      <w:r w:rsidRPr="000C4229">
        <w:rPr>
          <w:lang w:val="es-419"/>
        </w:rPr>
        <w:t>, vol. 1760, núm. 30619.</w:t>
      </w:r>
    </w:p>
  </w:footnote>
  <w:footnote w:id="6">
    <w:p w14:paraId="3D874047" w14:textId="77777777" w:rsidR="00F31D60" w:rsidRPr="000C4229" w:rsidRDefault="00F31D60" w:rsidP="00711AEE">
      <w:pPr>
        <w:pStyle w:val="CBDFootnoteText"/>
        <w:rPr>
          <w:lang w:val="es-419"/>
        </w:rPr>
      </w:pPr>
      <w:r w:rsidRPr="000C4229">
        <w:rPr>
          <w:rStyle w:val="FootnoteReference"/>
          <w:lang w:val="es-419"/>
        </w:rPr>
        <w:footnoteRef/>
      </w:r>
      <w:r w:rsidRPr="000C4229">
        <w:rPr>
          <w:lang w:val="es-419"/>
        </w:rPr>
        <w:t xml:space="preserve"> </w:t>
      </w:r>
      <w:r w:rsidRPr="00F31D60">
        <w:rPr>
          <w:i/>
          <w:iCs/>
          <w:lang w:val="es-419"/>
        </w:rPr>
        <w:t>Ibid</w:t>
      </w:r>
      <w:r w:rsidRPr="00F31D60">
        <w:rPr>
          <w:i/>
          <w:lang w:val="es-419"/>
        </w:rPr>
        <w:t>.</w:t>
      </w:r>
      <w:r w:rsidRPr="000C4229">
        <w:rPr>
          <w:lang w:val="es-419"/>
        </w:rPr>
        <w:t>, vol. 2226, núm. 30619.</w:t>
      </w:r>
    </w:p>
  </w:footnote>
  <w:footnote w:id="7">
    <w:p w14:paraId="08B9C6EE" w14:textId="77777777" w:rsidR="00F31D60" w:rsidRPr="000C4229" w:rsidRDefault="00F31D60" w:rsidP="00711AEE">
      <w:pPr>
        <w:pStyle w:val="FootnoteText"/>
        <w:rPr>
          <w:lang w:val="es-419"/>
        </w:rPr>
      </w:pPr>
      <w:r w:rsidRPr="000C4229">
        <w:rPr>
          <w:rStyle w:val="FootnoteReference"/>
          <w:lang w:val="es-419"/>
        </w:rPr>
        <w:footnoteRef/>
      </w:r>
      <w:r w:rsidRPr="000C4229">
        <w:rPr>
          <w:lang w:val="es-419"/>
        </w:rPr>
        <w:t xml:space="preserve"> </w:t>
      </w:r>
      <w:r w:rsidRPr="00F31D60">
        <w:rPr>
          <w:i/>
          <w:lang w:val="es-419"/>
        </w:rPr>
        <w:t>Ibid.</w:t>
      </w:r>
      <w:r w:rsidRPr="000C4229">
        <w:rPr>
          <w:lang w:val="es-419"/>
        </w:rPr>
        <w:t>, vol. 1760, núm. 30619.</w:t>
      </w:r>
    </w:p>
  </w:footnote>
  <w:footnote w:id="8">
    <w:p w14:paraId="21534BDE" w14:textId="77777777" w:rsidR="00F31D60" w:rsidRPr="000C4229" w:rsidRDefault="00F31D60" w:rsidP="00D61B99">
      <w:pPr>
        <w:pStyle w:val="CBDFootnoteText"/>
        <w:rPr>
          <w:lang w:val="es-419"/>
        </w:rPr>
      </w:pPr>
      <w:r w:rsidRPr="000C4229">
        <w:rPr>
          <w:rStyle w:val="FootnoteReference"/>
          <w:lang w:val="es-419"/>
        </w:rPr>
        <w:footnoteRef/>
      </w:r>
      <w:r w:rsidRPr="000C4229">
        <w:rPr>
          <w:lang w:val="es-419"/>
        </w:rPr>
        <w:t xml:space="preserve"> Naciones Unidas, </w:t>
      </w:r>
      <w:r w:rsidRPr="000C4229">
        <w:rPr>
          <w:i/>
          <w:lang w:val="es-419"/>
        </w:rPr>
        <w:t>Treaty Series</w:t>
      </w:r>
      <w:r w:rsidRPr="000C4229">
        <w:rPr>
          <w:lang w:val="es-419"/>
        </w:rPr>
        <w:t>, vol. 1760, núm. 30619.</w:t>
      </w:r>
    </w:p>
  </w:footnote>
  <w:footnote w:id="9">
    <w:p w14:paraId="139256D2" w14:textId="77777777" w:rsidR="00F31D60" w:rsidRPr="000C4229" w:rsidRDefault="00F31D60" w:rsidP="00D61B99">
      <w:pPr>
        <w:pStyle w:val="CBDFootnoteText"/>
        <w:rPr>
          <w:lang w:val="es-419"/>
        </w:rPr>
      </w:pPr>
      <w:r w:rsidRPr="000C4229">
        <w:rPr>
          <w:rStyle w:val="FootnoteReference"/>
          <w:lang w:val="es-419"/>
        </w:rPr>
        <w:footnoteRef/>
      </w:r>
      <w:r w:rsidRPr="000C4229">
        <w:rPr>
          <w:lang w:val="es-419"/>
        </w:rPr>
        <w:t xml:space="preserve"> </w:t>
      </w:r>
      <w:hyperlink r:id="rId1" w:history="1">
        <w:r w:rsidRPr="000C4229">
          <w:rPr>
            <w:rStyle w:val="Hyperlink"/>
            <w:lang w:val="es-419"/>
          </w:rPr>
          <w:t>CBD/COP/16/8/Rev.1</w:t>
        </w:r>
      </w:hyperlink>
      <w:r w:rsidRPr="000C4229">
        <w:rPr>
          <w:lang w:val="es-419"/>
        </w:rPr>
        <w:t>.</w:t>
      </w:r>
    </w:p>
  </w:footnote>
  <w:footnote w:id="10">
    <w:p w14:paraId="70198197" w14:textId="77777777" w:rsidR="00F31D60" w:rsidRPr="000C4229" w:rsidRDefault="00F31D60" w:rsidP="00D61B99">
      <w:pPr>
        <w:pStyle w:val="CBDFootnoteText"/>
        <w:rPr>
          <w:lang w:val="es-419"/>
        </w:rPr>
      </w:pPr>
      <w:r w:rsidRPr="000C4229">
        <w:rPr>
          <w:rStyle w:val="FootnoteReference"/>
          <w:lang w:val="es-419"/>
        </w:rPr>
        <w:footnoteRef/>
      </w:r>
      <w:r w:rsidRPr="000C4229">
        <w:rPr>
          <w:lang w:val="es-419"/>
        </w:rPr>
        <w:t xml:space="preserve">  </w:t>
      </w:r>
      <w:hyperlink r:id="rId2" w:history="1">
        <w:r w:rsidRPr="000C4229">
          <w:rPr>
            <w:rStyle w:val="Hyperlink"/>
            <w:lang w:val="es-419"/>
          </w:rPr>
          <w:t>CBD/COP/16/INF/25</w:t>
        </w:r>
      </w:hyperlink>
      <w:r w:rsidRPr="000C4229">
        <w:rPr>
          <w:lang w:val="es-419"/>
        </w:rPr>
        <w:t>.</w:t>
      </w:r>
    </w:p>
  </w:footnote>
  <w:footnote w:id="11">
    <w:p w14:paraId="1D8D6CC0" w14:textId="77777777" w:rsidR="00F31D60" w:rsidRPr="000C4229" w:rsidRDefault="00F31D60" w:rsidP="00D61B99">
      <w:pPr>
        <w:pStyle w:val="CBDFootnoteText"/>
        <w:rPr>
          <w:lang w:val="es-419"/>
        </w:rPr>
      </w:pPr>
      <w:r w:rsidRPr="000C4229">
        <w:rPr>
          <w:rStyle w:val="FootnoteReference"/>
          <w:lang w:val="es-419"/>
        </w:rPr>
        <w:footnoteRef/>
      </w:r>
      <w:r w:rsidRPr="000C4229">
        <w:rPr>
          <w:lang w:val="es-419"/>
        </w:rPr>
        <w:t xml:space="preserve"> Naciones Unidas, </w:t>
      </w:r>
      <w:r w:rsidRPr="000C4229">
        <w:rPr>
          <w:i/>
          <w:lang w:val="es-419"/>
        </w:rPr>
        <w:t>Treaty Series</w:t>
      </w:r>
      <w:r w:rsidRPr="000C4229">
        <w:rPr>
          <w:lang w:val="es-419"/>
        </w:rPr>
        <w:t>, vol. 2226, núm. 30619.</w:t>
      </w:r>
    </w:p>
  </w:footnote>
  <w:footnote w:id="12">
    <w:p w14:paraId="5591D4FF" w14:textId="77777777" w:rsidR="00F31D60" w:rsidRPr="000C4229" w:rsidRDefault="00F31D60" w:rsidP="00D61B99">
      <w:pPr>
        <w:pStyle w:val="CBDFootnoteText"/>
        <w:rPr>
          <w:lang w:val="es-419"/>
        </w:rPr>
      </w:pPr>
      <w:r w:rsidRPr="000C4229">
        <w:rPr>
          <w:rStyle w:val="FootnoteReference"/>
          <w:lang w:val="es-419"/>
        </w:rPr>
        <w:footnoteRef/>
      </w:r>
      <w:r w:rsidRPr="000C4229">
        <w:rPr>
          <w:lang w:val="es-419"/>
        </w:rPr>
        <w:t xml:space="preserve"> Decisión CP-10/3, anexo.</w:t>
      </w:r>
    </w:p>
  </w:footnote>
  <w:footnote w:id="13">
    <w:p w14:paraId="56A50CE8" w14:textId="77777777" w:rsidR="00F31D60" w:rsidRPr="000C4229" w:rsidRDefault="00F31D60" w:rsidP="00D61B99">
      <w:pPr>
        <w:pStyle w:val="CBDFootnoteText"/>
        <w:rPr>
          <w:lang w:val="es-419"/>
        </w:rPr>
      </w:pPr>
      <w:r w:rsidRPr="000C4229">
        <w:rPr>
          <w:rStyle w:val="FootnoteReference"/>
          <w:lang w:val="es-419"/>
        </w:rPr>
        <w:footnoteRef/>
      </w:r>
      <w:r w:rsidRPr="000C4229">
        <w:rPr>
          <w:lang w:val="es-419"/>
        </w:rPr>
        <w:t xml:space="preserve"> Decisión CP-10/4, anexo.</w:t>
      </w:r>
    </w:p>
  </w:footnote>
  <w:footnote w:id="14">
    <w:p w14:paraId="14ED0B0F" w14:textId="77777777" w:rsidR="00F31D60" w:rsidRPr="000C4229" w:rsidRDefault="00F31D60" w:rsidP="00D61B99">
      <w:pPr>
        <w:pStyle w:val="CBDFootnoteText"/>
        <w:rPr>
          <w:lang w:val="es-419"/>
        </w:rPr>
      </w:pPr>
      <w:r w:rsidRPr="000C4229">
        <w:rPr>
          <w:rStyle w:val="FootnoteReference"/>
          <w:lang w:val="es-419"/>
        </w:rPr>
        <w:footnoteRef/>
      </w:r>
      <w:r w:rsidRPr="000C4229">
        <w:rPr>
          <w:lang w:val="es-419"/>
        </w:rPr>
        <w:t xml:space="preserve"> Decisión </w:t>
      </w:r>
      <w:hyperlink r:id="rId3" w:history="1">
        <w:r w:rsidRPr="000C4229">
          <w:rPr>
            <w:rStyle w:val="Hyperlink"/>
            <w:lang w:val="es-419"/>
          </w:rPr>
          <w:t>15/4</w:t>
        </w:r>
      </w:hyperlink>
      <w:r w:rsidRPr="000C4229">
        <w:rPr>
          <w:lang w:val="es-419"/>
        </w:rPr>
        <w:t>, anexo.</w:t>
      </w:r>
    </w:p>
  </w:footnote>
  <w:footnote w:id="15">
    <w:p w14:paraId="64CDEBB4" w14:textId="77777777" w:rsidR="00F31D60" w:rsidRPr="000C4229" w:rsidRDefault="00F31D60" w:rsidP="00D61B99">
      <w:pPr>
        <w:pStyle w:val="CBDFootnoteText"/>
        <w:rPr>
          <w:lang w:val="es-419"/>
        </w:rPr>
      </w:pPr>
      <w:r w:rsidRPr="000C4229">
        <w:rPr>
          <w:rStyle w:val="FootnoteReference"/>
          <w:lang w:val="es-419"/>
        </w:rPr>
        <w:footnoteRef/>
      </w:r>
      <w:r w:rsidRPr="000C4229">
        <w:rPr>
          <w:lang w:val="es-419"/>
        </w:rPr>
        <w:t xml:space="preserve"> Decisión 16/--, anexo I (a la espera de la adopción de la decisión sobre movilización de recursos en la segunda continuación de la 16</w:t>
      </w:r>
      <w:r w:rsidRPr="000C4229">
        <w:rPr>
          <w:vertAlign w:val="superscript"/>
          <w:lang w:val="es-419"/>
        </w:rPr>
        <w:t>a</w:t>
      </w:r>
      <w:r w:rsidRPr="000C4229">
        <w:rPr>
          <w:lang w:val="es-419"/>
        </w:rPr>
        <w:t xml:space="preserve"> reunión de la Conferencia de las Partes en el Convenio).</w:t>
      </w:r>
    </w:p>
  </w:footnote>
  <w:footnote w:id="16">
    <w:p w14:paraId="04F2EDBC" w14:textId="77777777" w:rsidR="00F31D60" w:rsidRPr="000C4229" w:rsidRDefault="00F31D60" w:rsidP="00F16397">
      <w:pPr>
        <w:pStyle w:val="FootnoteText"/>
        <w:rPr>
          <w:lang w:val="es-419"/>
        </w:rPr>
      </w:pPr>
      <w:r w:rsidRPr="000C4229">
        <w:rPr>
          <w:rStyle w:val="FootnoteReference"/>
          <w:lang w:val="es-419"/>
        </w:rPr>
        <w:footnoteRef/>
      </w:r>
      <w:r w:rsidRPr="000C4229">
        <w:rPr>
          <w:lang w:val="es-419"/>
        </w:rPr>
        <w:t xml:space="preserve"> Naciones Unidas, </w:t>
      </w:r>
      <w:r w:rsidRPr="000C4229">
        <w:rPr>
          <w:i/>
          <w:lang w:val="es-419"/>
        </w:rPr>
        <w:t>Treaty Series</w:t>
      </w:r>
      <w:r w:rsidRPr="000C4229">
        <w:rPr>
          <w:lang w:val="es-419"/>
        </w:rPr>
        <w:t>, vol. 1760, núm. 30619.</w:t>
      </w:r>
    </w:p>
  </w:footnote>
  <w:footnote w:id="17">
    <w:p w14:paraId="7697049C" w14:textId="77777777" w:rsidR="00F31D60" w:rsidRPr="000C4229" w:rsidRDefault="00F31D60" w:rsidP="00F16397">
      <w:pPr>
        <w:pStyle w:val="FootnoteText"/>
        <w:rPr>
          <w:lang w:val="es-419"/>
        </w:rPr>
      </w:pPr>
      <w:r w:rsidRPr="000C4229">
        <w:rPr>
          <w:rStyle w:val="FootnoteReference"/>
          <w:lang w:val="es-419"/>
        </w:rPr>
        <w:footnoteRef/>
      </w:r>
      <w:r w:rsidRPr="000C4229">
        <w:rPr>
          <w:lang w:val="es-419"/>
        </w:rPr>
        <w:t xml:space="preserve"> Decisión 14/25, anexo.</w:t>
      </w:r>
    </w:p>
  </w:footnote>
  <w:footnote w:id="18">
    <w:p w14:paraId="1A98C12C" w14:textId="77777777" w:rsidR="00F31D60" w:rsidRPr="000C4229" w:rsidRDefault="00F31D60" w:rsidP="00F16397">
      <w:pPr>
        <w:pStyle w:val="FootnoteText"/>
        <w:rPr>
          <w:lang w:val="es-419"/>
        </w:rPr>
      </w:pPr>
      <w:r w:rsidRPr="000C4229">
        <w:rPr>
          <w:rStyle w:val="FootnoteReference"/>
          <w:lang w:val="es-419"/>
        </w:rPr>
        <w:footnoteRef/>
      </w:r>
      <w:r w:rsidRPr="000C4229">
        <w:rPr>
          <w:lang w:val="es-419"/>
        </w:rPr>
        <w:t xml:space="preserve"> Naciones Unidas, </w:t>
      </w:r>
      <w:r w:rsidRPr="000C4229">
        <w:rPr>
          <w:i/>
          <w:lang w:val="es-419"/>
        </w:rPr>
        <w:t>Treaty Series</w:t>
      </w:r>
      <w:r w:rsidRPr="000C4229">
        <w:rPr>
          <w:lang w:val="es-419"/>
        </w:rPr>
        <w:t>, vol. 2226, núm. 30619.</w:t>
      </w:r>
    </w:p>
  </w:footnote>
  <w:footnote w:id="19">
    <w:p w14:paraId="3E8123E0" w14:textId="77777777" w:rsidR="00F31D60" w:rsidRPr="000C4229" w:rsidRDefault="00F31D60" w:rsidP="005C3955">
      <w:pPr>
        <w:pStyle w:val="CBDFootnoteText"/>
        <w:rPr>
          <w:lang w:val="es-419"/>
        </w:rPr>
      </w:pPr>
      <w:r w:rsidRPr="000C4229">
        <w:rPr>
          <w:rStyle w:val="FootnoteReference"/>
          <w:szCs w:val="18"/>
          <w:lang w:val="es-419"/>
        </w:rPr>
        <w:footnoteRef/>
      </w:r>
      <w:r w:rsidRPr="000C4229">
        <w:rPr>
          <w:lang w:val="es-419"/>
        </w:rPr>
        <w:t xml:space="preserve"> Naciones Unidas, </w:t>
      </w:r>
      <w:r w:rsidRPr="000C4229">
        <w:rPr>
          <w:i/>
          <w:lang w:val="es-419"/>
        </w:rPr>
        <w:t>Treaty Series</w:t>
      </w:r>
      <w:r w:rsidRPr="000C4229">
        <w:rPr>
          <w:lang w:val="es-419"/>
        </w:rPr>
        <w:t>,</w:t>
      </w:r>
      <w:r w:rsidRPr="000C4229">
        <w:rPr>
          <w:i/>
          <w:lang w:val="es-419"/>
        </w:rPr>
        <w:t xml:space="preserve"> </w:t>
      </w:r>
      <w:r w:rsidRPr="000C4229">
        <w:rPr>
          <w:lang w:val="es-419"/>
        </w:rPr>
        <w:t>vol. 2226, núm. 30619.</w:t>
      </w:r>
    </w:p>
  </w:footnote>
  <w:footnote w:id="20">
    <w:p w14:paraId="7B4A0B5C" w14:textId="45D44E9F" w:rsidR="00F31D60" w:rsidRPr="000C4229" w:rsidRDefault="00F31D60" w:rsidP="005C3955">
      <w:pPr>
        <w:pStyle w:val="FootnoteText"/>
        <w:rPr>
          <w:szCs w:val="18"/>
          <w:lang w:val="es-419"/>
        </w:rPr>
      </w:pPr>
      <w:r w:rsidRPr="000C4229">
        <w:rPr>
          <w:rStyle w:val="FootnoteReference"/>
          <w:szCs w:val="18"/>
          <w:lang w:val="es-419"/>
        </w:rPr>
        <w:footnoteRef/>
      </w:r>
      <w:r w:rsidRPr="000C4229">
        <w:rPr>
          <w:lang w:val="es-419"/>
        </w:rPr>
        <w:t xml:space="preserve"> </w:t>
      </w:r>
      <w:r w:rsidRPr="00F31D60">
        <w:rPr>
          <w:i/>
          <w:color w:val="000000"/>
          <w:lang w:val="es-419"/>
        </w:rPr>
        <w:t>Ibid.</w:t>
      </w:r>
      <w:r w:rsidRPr="000C4229">
        <w:rPr>
          <w:color w:val="000000"/>
          <w:lang w:val="es-419"/>
        </w:rPr>
        <w:t xml:space="preserve">, </w:t>
      </w:r>
      <w:r w:rsidRPr="000C4229">
        <w:rPr>
          <w:i/>
          <w:color w:val="000000"/>
          <w:lang w:val="es-419"/>
        </w:rPr>
        <w:t>Treaty Series</w:t>
      </w:r>
      <w:r w:rsidRPr="000C4229">
        <w:rPr>
          <w:color w:val="000000"/>
          <w:lang w:val="es-419"/>
        </w:rPr>
        <w:t>,</w:t>
      </w:r>
      <w:r w:rsidRPr="000C4229">
        <w:rPr>
          <w:i/>
          <w:color w:val="000000"/>
          <w:lang w:val="es-419"/>
        </w:rPr>
        <w:t xml:space="preserve"> </w:t>
      </w:r>
      <w:r w:rsidRPr="000C4229">
        <w:rPr>
          <w:color w:val="000000"/>
          <w:lang w:val="es-419"/>
        </w:rPr>
        <w:t>vol. 1760, núm. 30619.</w:t>
      </w:r>
    </w:p>
  </w:footnote>
  <w:footnote w:id="21">
    <w:p w14:paraId="62A2B118" w14:textId="77777777" w:rsidR="00F31D60" w:rsidRPr="000C4229" w:rsidRDefault="00F31D60" w:rsidP="005C3955">
      <w:pPr>
        <w:pStyle w:val="FootnoteText"/>
        <w:rPr>
          <w:lang w:val="es-419"/>
        </w:rPr>
      </w:pPr>
      <w:r w:rsidRPr="000C4229">
        <w:rPr>
          <w:rStyle w:val="FootnoteReference"/>
          <w:lang w:val="es-419"/>
        </w:rPr>
        <w:footnoteRef/>
      </w:r>
      <w:r w:rsidRPr="000C4229">
        <w:rPr>
          <w:lang w:val="es-419"/>
        </w:rPr>
        <w:t xml:space="preserve"> En las Naciones Unidas, los procedimientos de acuerdo tácito son procedimientos escritos.</w:t>
      </w:r>
    </w:p>
  </w:footnote>
  <w:footnote w:id="22">
    <w:p w14:paraId="65DD46CE" w14:textId="77777777" w:rsidR="00F31D60" w:rsidRPr="000C4229" w:rsidRDefault="00F31D60" w:rsidP="00A505F3">
      <w:pPr>
        <w:pStyle w:val="CBDFootnoteText"/>
        <w:rPr>
          <w:lang w:val="es-419"/>
        </w:rPr>
      </w:pPr>
      <w:r w:rsidRPr="000C4229">
        <w:rPr>
          <w:rStyle w:val="FootnoteReference"/>
          <w:lang w:val="es-419"/>
        </w:rPr>
        <w:footnoteRef/>
      </w:r>
      <w:r w:rsidRPr="000C4229">
        <w:rPr>
          <w:lang w:val="es-419"/>
        </w:rPr>
        <w:t xml:space="preserve"> Naciones Unidas, </w:t>
      </w:r>
      <w:r w:rsidRPr="000C4229">
        <w:rPr>
          <w:i/>
          <w:iCs/>
          <w:lang w:val="es-419"/>
        </w:rPr>
        <w:t>Treaty Series</w:t>
      </w:r>
      <w:r w:rsidRPr="000C4229">
        <w:rPr>
          <w:lang w:val="es-419"/>
        </w:rPr>
        <w:t>, vol. 1760, núm. 30619.</w:t>
      </w:r>
    </w:p>
  </w:footnote>
  <w:footnote w:id="23">
    <w:p w14:paraId="74F2282C" w14:textId="77777777" w:rsidR="00F31D60" w:rsidRPr="000C4229" w:rsidRDefault="00F31D60" w:rsidP="00A505F3">
      <w:pPr>
        <w:pStyle w:val="FootnoteText"/>
        <w:rPr>
          <w:lang w:val="es-419"/>
        </w:rPr>
      </w:pPr>
      <w:r w:rsidRPr="000C4229">
        <w:rPr>
          <w:rStyle w:val="FootnoteReference"/>
          <w:lang w:val="es-419"/>
        </w:rPr>
        <w:footnoteRef/>
      </w:r>
      <w:r w:rsidRPr="000C4229">
        <w:rPr>
          <w:lang w:val="es-419"/>
        </w:rPr>
        <w:t xml:space="preserve"> Ibíd., vol. 2226, núm. 30619.</w:t>
      </w:r>
    </w:p>
  </w:footnote>
  <w:footnote w:id="24">
    <w:p w14:paraId="6BB2FF79" w14:textId="77777777" w:rsidR="00F31D60" w:rsidRPr="000C4229" w:rsidRDefault="00F31D60" w:rsidP="006630B3">
      <w:pPr>
        <w:pStyle w:val="CBDFootnoteText"/>
        <w:rPr>
          <w:lang w:val="es-419"/>
        </w:rPr>
      </w:pPr>
      <w:r w:rsidRPr="000C4229">
        <w:rPr>
          <w:rStyle w:val="FootnoteReference"/>
          <w:szCs w:val="18"/>
          <w:lang w:val="es-419"/>
        </w:rPr>
        <w:footnoteRef/>
      </w:r>
      <w:r w:rsidRPr="000C4229">
        <w:rPr>
          <w:lang w:val="es-419"/>
        </w:rPr>
        <w:t xml:space="preserve"> Naciones Unidas, </w:t>
      </w:r>
      <w:r w:rsidRPr="000C4229">
        <w:rPr>
          <w:i/>
          <w:lang w:val="es-419"/>
        </w:rPr>
        <w:t>Treaty Series</w:t>
      </w:r>
      <w:r w:rsidRPr="000C4229">
        <w:rPr>
          <w:lang w:val="es-419"/>
        </w:rPr>
        <w:t>,</w:t>
      </w:r>
      <w:r w:rsidRPr="000C4229">
        <w:rPr>
          <w:i/>
          <w:lang w:val="es-419"/>
        </w:rPr>
        <w:t xml:space="preserve"> </w:t>
      </w:r>
      <w:r w:rsidRPr="000C4229">
        <w:rPr>
          <w:lang w:val="es-419"/>
        </w:rPr>
        <w:t>vol. 1760, núm. 30619.</w:t>
      </w:r>
    </w:p>
  </w:footnote>
  <w:footnote w:id="25">
    <w:p w14:paraId="4CFFB546" w14:textId="77777777" w:rsidR="00F31D60" w:rsidRPr="000C4229" w:rsidRDefault="00F31D60" w:rsidP="006630B3">
      <w:pPr>
        <w:pStyle w:val="CBDFootnoteText"/>
        <w:rPr>
          <w:lang w:val="es-419"/>
        </w:rPr>
      </w:pPr>
      <w:r w:rsidRPr="000C4229">
        <w:rPr>
          <w:rStyle w:val="FootnoteReference"/>
          <w:szCs w:val="18"/>
          <w:lang w:val="es-419"/>
        </w:rPr>
        <w:footnoteRef/>
      </w:r>
      <w:r w:rsidRPr="000C4229">
        <w:rPr>
          <w:lang w:val="es-419"/>
        </w:rPr>
        <w:t xml:space="preserve"> </w:t>
      </w:r>
      <w:hyperlink r:id="rId4" w:history="1">
        <w:r w:rsidRPr="000C4229">
          <w:rPr>
            <w:rStyle w:val="Hyperlink"/>
            <w:lang w:val="es-419"/>
          </w:rPr>
          <w:t>CBD/SBI/4/11/Add.1</w:t>
        </w:r>
      </w:hyperlink>
      <w:r w:rsidRPr="000C4229">
        <w:rPr>
          <w:lang w:val="es-419"/>
        </w:rPr>
        <w:t>.</w:t>
      </w:r>
    </w:p>
  </w:footnote>
  <w:footnote w:id="26">
    <w:p w14:paraId="08DA2310" w14:textId="77777777" w:rsidR="00F31D60" w:rsidRPr="000C4229" w:rsidRDefault="00F31D60" w:rsidP="006630B3">
      <w:pPr>
        <w:pStyle w:val="CBDFootnoteText"/>
        <w:rPr>
          <w:lang w:val="es-419"/>
        </w:rPr>
      </w:pPr>
      <w:r w:rsidRPr="000C4229">
        <w:rPr>
          <w:rStyle w:val="FootnoteReference"/>
          <w:szCs w:val="18"/>
          <w:lang w:val="es-419"/>
        </w:rPr>
        <w:footnoteRef/>
      </w:r>
      <w:r w:rsidRPr="000C4229">
        <w:rPr>
          <w:lang w:val="es-419"/>
        </w:rPr>
        <w:t xml:space="preserve"> Decisión </w:t>
      </w:r>
      <w:hyperlink r:id="rId5" w:history="1">
        <w:r w:rsidRPr="000C4229">
          <w:rPr>
            <w:rStyle w:val="Hyperlink"/>
            <w:lang w:val="es-419"/>
          </w:rPr>
          <w:t>14/33</w:t>
        </w:r>
      </w:hyperlink>
      <w:r w:rsidRPr="000C4229">
        <w:rPr>
          <w:lang w:val="es-419"/>
        </w:rPr>
        <w:t>, anexo.</w:t>
      </w:r>
    </w:p>
  </w:footnote>
  <w:footnote w:id="27">
    <w:p w14:paraId="337FCE1E" w14:textId="77777777" w:rsidR="00F31D60" w:rsidRPr="000C4229" w:rsidRDefault="00F31D60" w:rsidP="006630B3">
      <w:pPr>
        <w:pStyle w:val="FootnoteText"/>
        <w:rPr>
          <w:lang w:val="es-419"/>
        </w:rPr>
      </w:pPr>
      <w:r w:rsidRPr="000C4229">
        <w:rPr>
          <w:rStyle w:val="FootnoteReference"/>
          <w:lang w:val="es-419"/>
        </w:rPr>
        <w:footnoteRef/>
      </w:r>
      <w:r w:rsidRPr="000C4229">
        <w:rPr>
          <w:lang w:val="es-419"/>
        </w:rPr>
        <w:t xml:space="preserve"> Naciones Unidas, </w:t>
      </w:r>
      <w:r w:rsidRPr="000C4229">
        <w:rPr>
          <w:i/>
          <w:lang w:val="es-419"/>
        </w:rPr>
        <w:t>Treaty Series</w:t>
      </w:r>
      <w:r w:rsidRPr="000C4229">
        <w:rPr>
          <w:lang w:val="es-419"/>
        </w:rPr>
        <w:t>, vol. 2226, núm. 30619.</w:t>
      </w:r>
    </w:p>
  </w:footnote>
  <w:footnote w:id="28">
    <w:p w14:paraId="1546C321" w14:textId="77777777" w:rsidR="00F31D60" w:rsidRPr="000C4229" w:rsidRDefault="00F31D60" w:rsidP="005921BB">
      <w:pPr>
        <w:pStyle w:val="CBDFootnoteText"/>
        <w:rPr>
          <w:lang w:val="es-419"/>
        </w:rPr>
      </w:pPr>
      <w:r w:rsidRPr="000C4229">
        <w:rPr>
          <w:rStyle w:val="FootnoteReference"/>
          <w:szCs w:val="18"/>
          <w:lang w:val="es-419"/>
        </w:rPr>
        <w:footnoteRef/>
      </w:r>
      <w:r w:rsidRPr="000C4229">
        <w:rPr>
          <w:lang w:val="es-419"/>
        </w:rPr>
        <w:t xml:space="preserve"> Naciones Unidas, </w:t>
      </w:r>
      <w:r w:rsidRPr="000C4229">
        <w:rPr>
          <w:i/>
          <w:lang w:val="es-419"/>
        </w:rPr>
        <w:t>Treaty Series</w:t>
      </w:r>
      <w:r w:rsidRPr="000C4229">
        <w:rPr>
          <w:lang w:val="es-419"/>
        </w:rPr>
        <w:t>,</w:t>
      </w:r>
      <w:r w:rsidRPr="000C4229">
        <w:rPr>
          <w:i/>
          <w:lang w:val="es-419"/>
        </w:rPr>
        <w:t xml:space="preserve"> </w:t>
      </w:r>
      <w:r w:rsidRPr="000C4229">
        <w:rPr>
          <w:lang w:val="es-419"/>
        </w:rPr>
        <w:t>vol. 2226, núm. 30619.</w:t>
      </w:r>
    </w:p>
  </w:footnote>
  <w:footnote w:id="29">
    <w:p w14:paraId="56B896C3" w14:textId="77777777" w:rsidR="00F31D60" w:rsidRPr="000C4229" w:rsidRDefault="00F31D60" w:rsidP="005921BB">
      <w:pPr>
        <w:pStyle w:val="CBDFootnoteText"/>
        <w:rPr>
          <w:lang w:val="es-419"/>
        </w:rPr>
      </w:pPr>
      <w:r w:rsidRPr="000C4229">
        <w:rPr>
          <w:rStyle w:val="FootnoteReference"/>
          <w:szCs w:val="18"/>
          <w:lang w:val="es-419"/>
        </w:rPr>
        <w:footnoteRef/>
      </w:r>
      <w:r w:rsidRPr="000C4229">
        <w:rPr>
          <w:lang w:val="es-419"/>
        </w:rPr>
        <w:t xml:space="preserve"> </w:t>
      </w:r>
      <w:r w:rsidRPr="000C4229">
        <w:rPr>
          <w:i/>
          <w:lang w:val="es-419"/>
        </w:rPr>
        <w:t>Ibid</w:t>
      </w:r>
      <w:r w:rsidRPr="000C4229">
        <w:rPr>
          <w:lang w:val="es-419"/>
        </w:rPr>
        <w:t>., vol. 1760, núm. 30619.</w:t>
      </w:r>
    </w:p>
  </w:footnote>
  <w:footnote w:id="30">
    <w:p w14:paraId="027CA583" w14:textId="77777777" w:rsidR="00F31D60" w:rsidRPr="000C4229" w:rsidRDefault="00F31D60" w:rsidP="005921BB">
      <w:pPr>
        <w:pStyle w:val="CBDFootnoteText"/>
        <w:rPr>
          <w:lang w:val="es-419"/>
        </w:rPr>
      </w:pPr>
      <w:r w:rsidRPr="000C4229">
        <w:rPr>
          <w:rStyle w:val="FootnoteReference"/>
          <w:szCs w:val="18"/>
          <w:lang w:val="es-419"/>
        </w:rPr>
        <w:footnoteRef/>
      </w:r>
      <w:r w:rsidRPr="000C4229">
        <w:rPr>
          <w:lang w:val="es-419"/>
        </w:rPr>
        <w:t xml:space="preserve"> Véase el documento CBD/SYNBIO/AHTEG/2024/1/3.</w:t>
      </w:r>
    </w:p>
  </w:footnote>
  <w:footnote w:id="31">
    <w:p w14:paraId="02E650EF" w14:textId="77777777" w:rsidR="00F31D60" w:rsidRPr="000C4229" w:rsidRDefault="00F31D60" w:rsidP="005921BB">
      <w:pPr>
        <w:pStyle w:val="CBDFootnoteText"/>
        <w:rPr>
          <w:lang w:val="es-419"/>
        </w:rPr>
      </w:pPr>
      <w:r w:rsidRPr="000C4229">
        <w:rPr>
          <w:rStyle w:val="FootnoteReference"/>
          <w:szCs w:val="18"/>
          <w:lang w:val="es-419"/>
        </w:rPr>
        <w:footnoteRef/>
      </w:r>
      <w:r w:rsidRPr="000C4229">
        <w:rPr>
          <w:lang w:val="es-419"/>
        </w:rPr>
        <w:t xml:space="preserve"> Véase el documento CBD/CP/RA/AHTEG/2024/1/3.</w:t>
      </w:r>
    </w:p>
  </w:footnote>
  <w:footnote w:id="32">
    <w:p w14:paraId="58BB9919" w14:textId="77777777" w:rsidR="00F31D60" w:rsidRPr="000C4229" w:rsidRDefault="00F31D60" w:rsidP="005921BB">
      <w:pPr>
        <w:pStyle w:val="CBDFootnoteText"/>
        <w:rPr>
          <w:lang w:val="es-419"/>
        </w:rPr>
      </w:pPr>
      <w:r w:rsidRPr="000C4229">
        <w:rPr>
          <w:rStyle w:val="FootnoteReference"/>
          <w:szCs w:val="18"/>
          <w:lang w:val="es-419"/>
        </w:rPr>
        <w:footnoteRef/>
      </w:r>
      <w:r w:rsidRPr="000C4229">
        <w:rPr>
          <w:lang w:val="es-419"/>
        </w:rPr>
        <w:t xml:space="preserve"> Véanse los documentos CBD/CP/RA/AHTEG/2023/1/4 y CBD/CP/RA/AHTEG/2024/1/3.</w:t>
      </w:r>
    </w:p>
  </w:footnote>
  <w:footnote w:id="33">
    <w:p w14:paraId="2FED2E5E" w14:textId="77777777" w:rsidR="00F31D60" w:rsidRPr="000C4229" w:rsidRDefault="00F31D60" w:rsidP="005921BB">
      <w:pPr>
        <w:pStyle w:val="CBDFootnoteText"/>
        <w:rPr>
          <w:lang w:val="es-419"/>
        </w:rPr>
      </w:pPr>
      <w:r w:rsidRPr="000C4229">
        <w:rPr>
          <w:rStyle w:val="FootnoteReference"/>
          <w:szCs w:val="18"/>
          <w:lang w:val="es-419"/>
        </w:rPr>
        <w:footnoteRef/>
      </w:r>
      <w:r w:rsidRPr="000C4229">
        <w:rPr>
          <w:lang w:val="es-419"/>
        </w:rPr>
        <w:t xml:space="preserve"> CBD/CP/MOP/11/9.</w:t>
      </w:r>
    </w:p>
  </w:footnote>
  <w:footnote w:id="34">
    <w:p w14:paraId="391899A0" w14:textId="77777777" w:rsidR="00F31D60" w:rsidRPr="000C4229" w:rsidRDefault="00F31D60" w:rsidP="005921BB">
      <w:pPr>
        <w:pStyle w:val="CBDFootnoteText"/>
        <w:rPr>
          <w:lang w:val="es-419"/>
        </w:rPr>
      </w:pPr>
      <w:r w:rsidRPr="000C4229">
        <w:rPr>
          <w:rStyle w:val="FootnoteReference"/>
          <w:szCs w:val="18"/>
          <w:lang w:val="es-419"/>
        </w:rPr>
        <w:footnoteRef/>
      </w:r>
      <w:r w:rsidRPr="000C4229">
        <w:rPr>
          <w:lang w:val="es-419"/>
        </w:rPr>
        <w:t xml:space="preserve"> </w:t>
      </w:r>
      <w:r w:rsidRPr="000C4229">
        <w:rPr>
          <w:i/>
          <w:lang w:val="es-419"/>
        </w:rPr>
        <w:t>Ibid</w:t>
      </w:r>
      <w:r w:rsidRPr="000C4229">
        <w:rPr>
          <w:lang w:val="es-419"/>
        </w:rPr>
        <w:t>., sección 7.</w:t>
      </w:r>
    </w:p>
  </w:footnote>
  <w:footnote w:id="35">
    <w:p w14:paraId="7D25B0AA" w14:textId="77777777" w:rsidR="00F31D60" w:rsidRPr="000C4229" w:rsidRDefault="00F31D60" w:rsidP="00381B6F">
      <w:pPr>
        <w:pStyle w:val="CBDFootnoteText"/>
        <w:rPr>
          <w:lang w:val="es-419"/>
        </w:rPr>
      </w:pPr>
      <w:r w:rsidRPr="000C4229">
        <w:rPr>
          <w:rStyle w:val="FootnoteReference"/>
          <w:szCs w:val="18"/>
          <w:lang w:val="es-419"/>
        </w:rPr>
        <w:footnoteRef/>
      </w:r>
      <w:r w:rsidRPr="000C4229">
        <w:rPr>
          <w:lang w:val="es-419"/>
        </w:rPr>
        <w:t xml:space="preserve"> Decisión VIII/10, anexo III.</w:t>
      </w:r>
    </w:p>
  </w:footnote>
  <w:footnote w:id="36">
    <w:p w14:paraId="29F76EE8" w14:textId="77777777" w:rsidR="00F31D60" w:rsidRPr="000C4229" w:rsidRDefault="00F31D60" w:rsidP="00381B6F">
      <w:pPr>
        <w:pStyle w:val="CBDFootnoteText"/>
        <w:rPr>
          <w:lang w:val="es-419"/>
        </w:rPr>
      </w:pPr>
      <w:r w:rsidRPr="000C4229">
        <w:rPr>
          <w:rStyle w:val="FootnoteReference"/>
          <w:szCs w:val="18"/>
          <w:lang w:val="es-419"/>
        </w:rPr>
        <w:footnoteRef/>
      </w:r>
      <w:r w:rsidRPr="000C4229">
        <w:rPr>
          <w:lang w:val="es-419"/>
        </w:rPr>
        <w:t xml:space="preserve"> Naciones Unidas, </w:t>
      </w:r>
      <w:r w:rsidRPr="000C4229">
        <w:rPr>
          <w:i/>
          <w:lang w:val="es-419"/>
        </w:rPr>
        <w:t>Treaty Series</w:t>
      </w:r>
      <w:r w:rsidRPr="000C4229">
        <w:rPr>
          <w:lang w:val="es-419"/>
        </w:rPr>
        <w:t>,</w:t>
      </w:r>
      <w:r w:rsidRPr="000C4229">
        <w:rPr>
          <w:i/>
          <w:lang w:val="es-419"/>
        </w:rPr>
        <w:t xml:space="preserve"> </w:t>
      </w:r>
      <w:r w:rsidRPr="000C4229">
        <w:rPr>
          <w:lang w:val="es-419"/>
        </w:rPr>
        <w:t>vol. 2226, núm. 30619.</w:t>
      </w:r>
    </w:p>
  </w:footnote>
  <w:footnote w:id="37">
    <w:p w14:paraId="5625094D" w14:textId="77777777" w:rsidR="00F31D60" w:rsidRPr="000C4229" w:rsidRDefault="00F31D60" w:rsidP="004E6869">
      <w:pPr>
        <w:pStyle w:val="CBDFootnoteText"/>
        <w:rPr>
          <w:lang w:val="es-419"/>
        </w:rPr>
      </w:pPr>
      <w:r w:rsidRPr="000C4229">
        <w:rPr>
          <w:rStyle w:val="FootnoteReference"/>
          <w:szCs w:val="18"/>
          <w:lang w:val="es-419"/>
        </w:rPr>
        <w:footnoteRef/>
      </w:r>
      <w:r w:rsidRPr="000C4229">
        <w:rPr>
          <w:lang w:val="es-419"/>
        </w:rPr>
        <w:t xml:space="preserve"> Naciones Unidas, </w:t>
      </w:r>
      <w:r w:rsidRPr="000C4229">
        <w:rPr>
          <w:i/>
          <w:lang w:val="es-419"/>
        </w:rPr>
        <w:t>Treaty Series</w:t>
      </w:r>
      <w:r w:rsidRPr="000C4229">
        <w:rPr>
          <w:lang w:val="es-419"/>
        </w:rPr>
        <w:t>,</w:t>
      </w:r>
      <w:r w:rsidRPr="000C4229">
        <w:rPr>
          <w:i/>
          <w:lang w:val="es-419"/>
        </w:rPr>
        <w:t xml:space="preserve"> </w:t>
      </w:r>
      <w:r w:rsidRPr="000C4229">
        <w:rPr>
          <w:lang w:val="es-419"/>
        </w:rPr>
        <w:t>vol. 2226, núm. 30619.</w:t>
      </w:r>
    </w:p>
  </w:footnote>
  <w:footnote w:id="38">
    <w:p w14:paraId="65E2C32F" w14:textId="77777777" w:rsidR="00F31D60" w:rsidRPr="000C4229" w:rsidRDefault="00F31D60" w:rsidP="004E6869">
      <w:pPr>
        <w:pStyle w:val="CBDFootnoteText"/>
        <w:rPr>
          <w:lang w:val="es-419"/>
        </w:rPr>
      </w:pPr>
      <w:r w:rsidRPr="000C4229">
        <w:rPr>
          <w:rStyle w:val="FootnoteReference"/>
          <w:szCs w:val="18"/>
          <w:lang w:val="es-419"/>
        </w:rPr>
        <w:footnoteRef/>
      </w:r>
      <w:r w:rsidRPr="000C4229">
        <w:rPr>
          <w:lang w:val="es-419"/>
        </w:rPr>
        <w:t xml:space="preserve"> </w:t>
      </w:r>
      <w:r w:rsidRPr="000C4229">
        <w:rPr>
          <w:i/>
          <w:iCs/>
          <w:lang w:val="es-419"/>
        </w:rPr>
        <w:t>Ibid</w:t>
      </w:r>
      <w:r w:rsidRPr="000C4229">
        <w:rPr>
          <w:lang w:val="es-419"/>
        </w:rPr>
        <w:t>., vol. 1760, núm. 30619.</w:t>
      </w:r>
    </w:p>
  </w:footnote>
  <w:footnote w:id="39">
    <w:p w14:paraId="4B69A2C2" w14:textId="77777777" w:rsidR="00F31D60" w:rsidRPr="000C4229" w:rsidRDefault="00F31D60" w:rsidP="003E1FFF">
      <w:pPr>
        <w:pStyle w:val="FootnoteText"/>
        <w:rPr>
          <w:lang w:val="es-419"/>
        </w:rPr>
      </w:pPr>
      <w:r w:rsidRPr="000C4229">
        <w:rPr>
          <w:rStyle w:val="FootnoteReference"/>
          <w:lang w:val="es-419"/>
        </w:rPr>
        <w:footnoteRef/>
      </w:r>
      <w:r w:rsidRPr="000C4229">
        <w:rPr>
          <w:lang w:val="es-419"/>
        </w:rPr>
        <w:t xml:space="preserve"> Naciones Unidas, </w:t>
      </w:r>
      <w:r w:rsidRPr="000C4229">
        <w:rPr>
          <w:i/>
          <w:lang w:val="es-419"/>
        </w:rPr>
        <w:t>Treaty Series</w:t>
      </w:r>
      <w:r w:rsidRPr="000C4229">
        <w:rPr>
          <w:lang w:val="es-419"/>
        </w:rPr>
        <w:t>, vol. 2226, núm. 30619.</w:t>
      </w:r>
    </w:p>
  </w:footnote>
  <w:footnote w:id="40">
    <w:p w14:paraId="2E95BDB3" w14:textId="77777777" w:rsidR="00F31D60" w:rsidRPr="000C4229" w:rsidRDefault="00F31D60" w:rsidP="003E1FFF">
      <w:pPr>
        <w:pStyle w:val="FootnoteText"/>
        <w:rPr>
          <w:lang w:val="es-419"/>
        </w:rPr>
      </w:pPr>
      <w:r w:rsidRPr="000C4229">
        <w:rPr>
          <w:rStyle w:val="FootnoteReference"/>
          <w:lang w:val="es-419"/>
        </w:rPr>
        <w:footnoteRef/>
      </w:r>
      <w:r w:rsidRPr="000C4229">
        <w:rPr>
          <w:lang w:val="es-419"/>
        </w:rPr>
        <w:t xml:space="preserve"> </w:t>
      </w:r>
      <w:hyperlink r:id="rId6" w:history="1">
        <w:r w:rsidRPr="000C4229">
          <w:rPr>
            <w:rStyle w:val="Hyperlink"/>
            <w:lang w:val="es-419"/>
          </w:rPr>
          <w:t>CBD/CP/MOP/9/10</w:t>
        </w:r>
      </w:hyperlink>
      <w:r w:rsidRPr="000C4229">
        <w:rPr>
          <w:lang w:val="es-419"/>
        </w:rPr>
        <w:t>, anexo.</w:t>
      </w:r>
    </w:p>
  </w:footnote>
  <w:footnote w:id="41">
    <w:p w14:paraId="419B51F8" w14:textId="77777777" w:rsidR="00F31D60" w:rsidRPr="000C4229" w:rsidRDefault="00F31D60" w:rsidP="003E1FFF">
      <w:pPr>
        <w:pStyle w:val="FootnoteText"/>
        <w:rPr>
          <w:lang w:val="es-419"/>
        </w:rPr>
      </w:pPr>
      <w:r w:rsidRPr="000C4229">
        <w:rPr>
          <w:rStyle w:val="FootnoteReference"/>
          <w:lang w:val="es-419"/>
        </w:rPr>
        <w:footnoteRef/>
      </w:r>
      <w:r w:rsidRPr="000C4229">
        <w:rPr>
          <w:lang w:val="es-419"/>
        </w:rPr>
        <w:t xml:space="preserve"> Decisión </w:t>
      </w:r>
      <w:hyperlink r:id="rId7" w:history="1">
        <w:r w:rsidRPr="000C4229">
          <w:rPr>
            <w:rStyle w:val="Hyperlink"/>
            <w:lang w:val="es-419"/>
          </w:rPr>
          <w:t>CP-10/3</w:t>
        </w:r>
      </w:hyperlink>
      <w:r w:rsidRPr="000C4229">
        <w:rPr>
          <w:lang w:val="es-419"/>
        </w:rPr>
        <w:t>, anexo.</w:t>
      </w:r>
    </w:p>
  </w:footnote>
  <w:footnote w:id="42">
    <w:p w14:paraId="7EA47E0B" w14:textId="77777777" w:rsidR="00F31D60" w:rsidRPr="000C4229" w:rsidRDefault="00F31D60" w:rsidP="003E1FFF">
      <w:pPr>
        <w:pStyle w:val="FootnoteText"/>
        <w:rPr>
          <w:lang w:val="es-419"/>
        </w:rPr>
      </w:pPr>
      <w:r w:rsidRPr="000C4229">
        <w:rPr>
          <w:rStyle w:val="FootnoteReference"/>
          <w:lang w:val="es-419"/>
        </w:rPr>
        <w:footnoteRef/>
      </w:r>
      <w:r w:rsidRPr="000C4229">
        <w:rPr>
          <w:lang w:val="es-419"/>
        </w:rPr>
        <w:t xml:space="preserve"> Decisión </w:t>
      </w:r>
      <w:hyperlink r:id="rId8" w:history="1">
        <w:r w:rsidRPr="000C4229">
          <w:rPr>
            <w:rStyle w:val="Hyperlink"/>
            <w:lang w:val="es-419"/>
          </w:rPr>
          <w:t>CP-10/4</w:t>
        </w:r>
      </w:hyperlink>
      <w:r w:rsidRPr="000C4229">
        <w:rPr>
          <w:lang w:val="es-419"/>
        </w:rPr>
        <w:t>, anexo.</w:t>
      </w:r>
    </w:p>
  </w:footnote>
  <w:footnote w:id="43">
    <w:p w14:paraId="07845BDE" w14:textId="77777777" w:rsidR="00F31D60" w:rsidRPr="000C4229" w:rsidRDefault="00F31D60" w:rsidP="003E1FFF">
      <w:pPr>
        <w:pStyle w:val="FootnoteText"/>
        <w:rPr>
          <w:lang w:val="es-419"/>
        </w:rPr>
      </w:pPr>
      <w:r w:rsidRPr="000C4229">
        <w:rPr>
          <w:rStyle w:val="FootnoteReference"/>
          <w:lang w:val="es-419"/>
        </w:rPr>
        <w:footnoteRef/>
      </w:r>
      <w:r w:rsidRPr="000C4229">
        <w:rPr>
          <w:lang w:val="es-419"/>
        </w:rPr>
        <w:t xml:space="preserve"> Disponible en </w:t>
      </w:r>
      <w:hyperlink r:id="rId9" w:history="1">
        <w:r w:rsidRPr="000C4229">
          <w:rPr>
            <w:rStyle w:val="Hyperlink"/>
            <w:lang w:val="es-419"/>
          </w:rPr>
          <w:t>www.cbd.int/notifications/2023-133</w:t>
        </w:r>
      </w:hyperlink>
      <w:r w:rsidRPr="000C4229">
        <w:rPr>
          <w:lang w:val="es-419"/>
        </w:rPr>
        <w:t xml:space="preserve">. </w:t>
      </w:r>
    </w:p>
  </w:footnote>
  <w:footnote w:id="44">
    <w:p w14:paraId="7BC50E77" w14:textId="77777777" w:rsidR="00F31D60" w:rsidRPr="000C4229" w:rsidRDefault="00F31D60" w:rsidP="003E1FFF">
      <w:pPr>
        <w:pStyle w:val="FootnoteText"/>
        <w:rPr>
          <w:lang w:val="es-419"/>
        </w:rPr>
      </w:pPr>
      <w:r w:rsidRPr="000C4229">
        <w:rPr>
          <w:rStyle w:val="FootnoteReference"/>
          <w:lang w:val="es-419"/>
        </w:rPr>
        <w:footnoteRef/>
      </w:r>
      <w:r w:rsidRPr="000C4229">
        <w:rPr>
          <w:lang w:val="es-419"/>
        </w:rPr>
        <w:t xml:space="preserve"> Disponible en </w:t>
      </w:r>
      <w:hyperlink r:id="rId10" w:history="1">
        <w:r w:rsidRPr="000C4229">
          <w:rPr>
            <w:rStyle w:val="Hyperlink"/>
            <w:lang w:val="es-419"/>
          </w:rPr>
          <w:t>bch.cbd.int/onlineconferences/portal_art26/Activities2023-2024.shtml</w:t>
        </w:r>
      </w:hyperlink>
      <w:r w:rsidRPr="000C4229">
        <w:rPr>
          <w:lang w:val="es-419"/>
        </w:rPr>
        <w:t xml:space="preserve">. </w:t>
      </w:r>
    </w:p>
  </w:footnote>
  <w:footnote w:id="45">
    <w:p w14:paraId="51C8DB9F" w14:textId="77777777" w:rsidR="00F31D60" w:rsidRPr="000C4229" w:rsidRDefault="00F31D60" w:rsidP="003E1FFF">
      <w:pPr>
        <w:pStyle w:val="FootnoteText"/>
        <w:rPr>
          <w:lang w:val="es-419"/>
        </w:rPr>
      </w:pPr>
      <w:r w:rsidRPr="000C4229">
        <w:rPr>
          <w:rStyle w:val="FootnoteReference"/>
          <w:lang w:val="es-419"/>
        </w:rPr>
        <w:footnoteRef/>
      </w:r>
      <w:r w:rsidRPr="000C4229">
        <w:rPr>
          <w:lang w:val="es-419"/>
        </w:rPr>
        <w:t xml:space="preserve"> Naciones Unidas, </w:t>
      </w:r>
      <w:r w:rsidRPr="000C4229">
        <w:rPr>
          <w:i/>
          <w:lang w:val="es-419"/>
        </w:rPr>
        <w:t>Treaty Series</w:t>
      </w:r>
      <w:r w:rsidRPr="000C4229">
        <w:rPr>
          <w:lang w:val="es-419"/>
        </w:rPr>
        <w:t>, vol. 1760, núm. 30619.</w:t>
      </w:r>
    </w:p>
  </w:footnote>
  <w:footnote w:id="46">
    <w:p w14:paraId="29B155AC" w14:textId="77777777" w:rsidR="00F31D60" w:rsidRPr="000C4229" w:rsidRDefault="00F31D60" w:rsidP="006B3D44">
      <w:pPr>
        <w:pStyle w:val="CBDFootnoteText"/>
        <w:rPr>
          <w:lang w:val="es-419"/>
        </w:rPr>
      </w:pPr>
      <w:r w:rsidRPr="000C4229">
        <w:rPr>
          <w:rStyle w:val="FootnoteReference"/>
          <w:szCs w:val="18"/>
          <w:lang w:val="es-419"/>
        </w:rPr>
        <w:footnoteRef/>
      </w:r>
      <w:r w:rsidRPr="000C4229">
        <w:rPr>
          <w:lang w:val="es-419"/>
        </w:rPr>
        <w:t> De conformidad con el párrafo 1 del artículo 14 del Protocolo Suplementario de Nagoya-Kuala Lumpur, y sujeto a lo estipulado en el párrafo 2 del artículo 32 del Convenio sobre la Diversidad Biológica, la Conferencia de las Partes que actúa como reunión de las Partes en el Protocolo de Cartagena actúa como reunión de las Partes en el Protocolo Suplementario. Por consiguiente, la presente decisión fue adoptada por las Partes en el Protocolo Suplementario.</w:t>
      </w:r>
    </w:p>
  </w:footnote>
  <w:footnote w:id="47">
    <w:p w14:paraId="1330800D" w14:textId="77777777" w:rsidR="00F31D60" w:rsidRPr="000C4229" w:rsidRDefault="00F31D60" w:rsidP="006B3D44">
      <w:pPr>
        <w:pStyle w:val="CBDFootnoteText"/>
        <w:rPr>
          <w:lang w:val="es-419"/>
        </w:rPr>
      </w:pPr>
      <w:r w:rsidRPr="000C4229">
        <w:rPr>
          <w:rStyle w:val="FootnoteReference"/>
          <w:lang w:val="es-419"/>
        </w:rPr>
        <w:footnoteRef/>
      </w:r>
      <w:r w:rsidRPr="000C4229">
        <w:rPr>
          <w:lang w:val="es-419"/>
        </w:rPr>
        <w:t xml:space="preserve"> Decisión </w:t>
      </w:r>
      <w:hyperlink r:id="rId11" w:history="1">
        <w:r w:rsidRPr="000C4229">
          <w:rPr>
            <w:rStyle w:val="Hyperlink"/>
            <w:lang w:val="es-419"/>
          </w:rPr>
          <w:t>CP-10/3</w:t>
        </w:r>
      </w:hyperlink>
      <w:r w:rsidRPr="000C4229">
        <w:rPr>
          <w:lang w:val="es-419"/>
        </w:rPr>
        <w:t>, anexo.</w:t>
      </w:r>
    </w:p>
  </w:footnote>
  <w:footnote w:id="48">
    <w:p w14:paraId="46AD4106" w14:textId="77777777" w:rsidR="00F31D60" w:rsidRPr="000C4229" w:rsidRDefault="00F31D60" w:rsidP="006B3D44">
      <w:pPr>
        <w:pStyle w:val="CBDFootnoteText"/>
        <w:rPr>
          <w:lang w:val="es-419"/>
        </w:rPr>
      </w:pPr>
      <w:r w:rsidRPr="000C4229">
        <w:rPr>
          <w:rStyle w:val="FootnoteReference"/>
          <w:lang w:val="es-419"/>
        </w:rPr>
        <w:footnoteRef/>
      </w:r>
      <w:r w:rsidRPr="000C4229">
        <w:rPr>
          <w:lang w:val="es-419"/>
        </w:rPr>
        <w:t xml:space="preserve"> Decisión </w:t>
      </w:r>
      <w:hyperlink r:id="rId12" w:history="1">
        <w:r w:rsidRPr="000C4229">
          <w:rPr>
            <w:rStyle w:val="Hyperlink"/>
            <w:lang w:val="es-419"/>
          </w:rPr>
          <w:t>CP-10/4</w:t>
        </w:r>
      </w:hyperlink>
      <w:r w:rsidRPr="000C4229">
        <w:rPr>
          <w:lang w:val="es-419"/>
        </w:rPr>
        <w:t>, anexo.</w:t>
      </w:r>
    </w:p>
  </w:footnote>
  <w:footnote w:id="49">
    <w:p w14:paraId="7FA455E6" w14:textId="77777777" w:rsidR="00F31D60" w:rsidRPr="000C4229" w:rsidRDefault="00F31D60" w:rsidP="006B3D44">
      <w:pPr>
        <w:pStyle w:val="CBDFootnoteText"/>
        <w:rPr>
          <w:lang w:val="es-419"/>
        </w:rPr>
      </w:pPr>
      <w:r w:rsidRPr="000C4229">
        <w:rPr>
          <w:rStyle w:val="FootnoteReference"/>
          <w:lang w:val="es-419"/>
        </w:rPr>
        <w:footnoteRef/>
      </w:r>
      <w:r w:rsidRPr="000C4229">
        <w:rPr>
          <w:lang w:val="es-419"/>
        </w:rPr>
        <w:t xml:space="preserve"> Naciones Unidas, </w:t>
      </w:r>
      <w:r w:rsidRPr="000C4229">
        <w:rPr>
          <w:i/>
          <w:lang w:val="es-419"/>
        </w:rPr>
        <w:t>Treaty Series</w:t>
      </w:r>
      <w:r w:rsidRPr="000C4229">
        <w:rPr>
          <w:lang w:val="es-419"/>
        </w:rPr>
        <w:t>, vol. 2226, núm. 30619.</w:t>
      </w:r>
    </w:p>
  </w:footnote>
  <w:footnote w:id="50">
    <w:p w14:paraId="5E8046C6" w14:textId="77777777" w:rsidR="00F31D60" w:rsidRPr="000C4229" w:rsidRDefault="00F31D60" w:rsidP="006B3D44">
      <w:pPr>
        <w:pStyle w:val="CBDFootnoteText"/>
        <w:rPr>
          <w:lang w:val="es-419"/>
        </w:rPr>
      </w:pPr>
      <w:r w:rsidRPr="000C4229">
        <w:rPr>
          <w:rStyle w:val="FootnoteReference"/>
          <w:lang w:val="es-419"/>
        </w:rPr>
        <w:footnoteRef/>
      </w:r>
      <w:r w:rsidRPr="000C4229">
        <w:rPr>
          <w:lang w:val="es-419"/>
        </w:rPr>
        <w:t xml:space="preserve"> Véase Programa de las Naciones Unidas para el Medio Ambiente, documento UNEP/CBD/BS/COP-MOP/5/17, anexo, decisión BS-V/11.</w:t>
      </w:r>
    </w:p>
  </w:footnote>
  <w:footnote w:id="51">
    <w:p w14:paraId="7A27FB42" w14:textId="77777777" w:rsidR="00F31D60" w:rsidRPr="000C4229" w:rsidRDefault="00F31D60" w:rsidP="006B3D44">
      <w:pPr>
        <w:pStyle w:val="FootnoteText"/>
        <w:rPr>
          <w:lang w:val="es-419"/>
        </w:rPr>
      </w:pPr>
      <w:r w:rsidRPr="000C4229">
        <w:rPr>
          <w:rStyle w:val="FootnoteReference"/>
          <w:lang w:val="es-419"/>
        </w:rPr>
        <w:footnoteRef/>
      </w:r>
      <w:r w:rsidRPr="000C4229">
        <w:rPr>
          <w:lang w:val="es-419"/>
        </w:rPr>
        <w:t xml:space="preserve"> Naciones Unidas, </w:t>
      </w:r>
      <w:r w:rsidRPr="000C4229">
        <w:rPr>
          <w:i/>
          <w:lang w:val="es-419"/>
        </w:rPr>
        <w:t>Treaty Series</w:t>
      </w:r>
      <w:r w:rsidRPr="000C4229">
        <w:rPr>
          <w:lang w:val="es-419"/>
        </w:rPr>
        <w:t>, vol. 1760, núm. 30619.</w:t>
      </w:r>
    </w:p>
  </w:footnote>
  <w:footnote w:id="52">
    <w:p w14:paraId="6ADF114E" w14:textId="77777777" w:rsidR="00F31D60" w:rsidRPr="000C4229" w:rsidRDefault="00F31D60" w:rsidP="006B3D44">
      <w:pPr>
        <w:pStyle w:val="CBDFootnoteText"/>
        <w:rPr>
          <w:lang w:val="es-419"/>
        </w:rPr>
      </w:pPr>
      <w:r w:rsidRPr="000C4229">
        <w:rPr>
          <w:rStyle w:val="FootnoteReference"/>
          <w:szCs w:val="18"/>
          <w:lang w:val="es-419"/>
        </w:rPr>
        <w:footnoteRef/>
      </w:r>
      <w:r w:rsidRPr="000C4229">
        <w:rPr>
          <w:lang w:val="es-419"/>
        </w:rPr>
        <w:t xml:space="preserve"> Véase la decisión </w:t>
      </w:r>
      <w:hyperlink r:id="rId13" w:history="1">
        <w:r w:rsidRPr="000C4229">
          <w:rPr>
            <w:rStyle w:val="Hyperlink"/>
            <w:lang w:val="es-419"/>
          </w:rPr>
          <w:t>CP-10/13</w:t>
        </w:r>
      </w:hyperlink>
      <w:r w:rsidRPr="000C4229">
        <w:rPr>
          <w:lang w:val="es-419"/>
        </w:rPr>
        <w:t>, párr. 12.</w:t>
      </w:r>
    </w:p>
  </w:footnote>
  <w:footnote w:id="53">
    <w:p w14:paraId="4E18B302" w14:textId="77777777" w:rsidR="00F31D60" w:rsidRPr="000C4229" w:rsidRDefault="00F31D60" w:rsidP="00ED2A5A">
      <w:pPr>
        <w:pStyle w:val="FootnoteText"/>
        <w:rPr>
          <w:lang w:val="es-419"/>
        </w:rPr>
      </w:pPr>
      <w:r w:rsidRPr="000C4229">
        <w:rPr>
          <w:rStyle w:val="FootnoteReference"/>
          <w:lang w:val="es-419"/>
        </w:rPr>
        <w:footnoteRef/>
      </w:r>
      <w:r w:rsidRPr="000C4229">
        <w:rPr>
          <w:lang w:val="es-419"/>
        </w:rPr>
        <w:t xml:space="preserve"> </w:t>
      </w:r>
      <w:r w:rsidRPr="000C4229">
        <w:rPr>
          <w:color w:val="000000"/>
          <w:lang w:val="es-419"/>
        </w:rPr>
        <w:t xml:space="preserve">Naciones Unidas, </w:t>
      </w:r>
      <w:r w:rsidRPr="000C4229">
        <w:rPr>
          <w:i/>
          <w:color w:val="000000"/>
          <w:lang w:val="es-419"/>
        </w:rPr>
        <w:t>Treaty Series</w:t>
      </w:r>
      <w:r w:rsidRPr="000C4229">
        <w:rPr>
          <w:color w:val="000000"/>
          <w:lang w:val="es-419"/>
        </w:rPr>
        <w:t>,</w:t>
      </w:r>
      <w:r w:rsidRPr="000C4229">
        <w:rPr>
          <w:i/>
          <w:color w:val="000000"/>
          <w:lang w:val="es-419"/>
        </w:rPr>
        <w:t xml:space="preserve"> </w:t>
      </w:r>
      <w:r w:rsidRPr="000C4229">
        <w:rPr>
          <w:color w:val="000000"/>
          <w:lang w:val="es-419"/>
        </w:rPr>
        <w:t>vol. 1760, núm. 30619.</w:t>
      </w:r>
    </w:p>
  </w:footnote>
  <w:footnote w:id="54">
    <w:p w14:paraId="24982F4A" w14:textId="6A421F93" w:rsidR="00F31D60" w:rsidRPr="000C4229" w:rsidRDefault="00F31D60" w:rsidP="00ED2A5A">
      <w:pPr>
        <w:pStyle w:val="FootnoteText"/>
        <w:rPr>
          <w:lang w:val="es-419"/>
        </w:rPr>
      </w:pPr>
      <w:r w:rsidRPr="000C4229">
        <w:rPr>
          <w:rStyle w:val="FootnoteReference"/>
          <w:lang w:val="es-419"/>
        </w:rPr>
        <w:footnoteRef/>
      </w:r>
      <w:r w:rsidRPr="000C4229">
        <w:rPr>
          <w:lang w:val="es-419"/>
        </w:rPr>
        <w:t xml:space="preserve"> </w:t>
      </w:r>
      <w:r w:rsidRPr="00F31D60">
        <w:rPr>
          <w:i/>
          <w:color w:val="000000"/>
          <w:lang w:val="es-419"/>
        </w:rPr>
        <w:t>Ibid.</w:t>
      </w:r>
      <w:r w:rsidRPr="000C4229">
        <w:rPr>
          <w:color w:val="000000"/>
          <w:lang w:val="es-419"/>
        </w:rPr>
        <w:t>,</w:t>
      </w:r>
      <w:r w:rsidRPr="000C4229">
        <w:rPr>
          <w:i/>
          <w:color w:val="000000"/>
          <w:lang w:val="es-419"/>
        </w:rPr>
        <w:t xml:space="preserve"> </w:t>
      </w:r>
      <w:r w:rsidRPr="000C4229">
        <w:rPr>
          <w:color w:val="000000"/>
          <w:lang w:val="es-419"/>
        </w:rPr>
        <w:t>vol. 2226, núm. 30619.</w:t>
      </w:r>
    </w:p>
  </w:footnote>
  <w:footnote w:id="55">
    <w:p w14:paraId="7D5B025F" w14:textId="563B14BB" w:rsidR="00F31D60" w:rsidRPr="000C4229" w:rsidRDefault="00F31D60" w:rsidP="00ED2A5A">
      <w:pPr>
        <w:pStyle w:val="FootnoteText"/>
        <w:rPr>
          <w:lang w:val="es-419"/>
        </w:rPr>
      </w:pPr>
      <w:r w:rsidRPr="000C4229">
        <w:rPr>
          <w:rStyle w:val="FootnoteReference"/>
          <w:lang w:val="es-419"/>
        </w:rPr>
        <w:footnoteRef/>
      </w:r>
      <w:r w:rsidRPr="000C4229">
        <w:rPr>
          <w:lang w:val="es-419"/>
        </w:rPr>
        <w:t xml:space="preserve"> </w:t>
      </w:r>
      <w:r w:rsidRPr="00F31D60">
        <w:rPr>
          <w:i/>
          <w:lang w:val="es-419"/>
        </w:rPr>
        <w:t>Ibid.</w:t>
      </w:r>
      <w:r w:rsidRPr="000C4229">
        <w:rPr>
          <w:lang w:val="es-419"/>
        </w:rPr>
        <w:t>, vol. 3008, núm. 30619.</w:t>
      </w:r>
    </w:p>
  </w:footnote>
  <w:footnote w:id="56">
    <w:p w14:paraId="2776E435" w14:textId="77777777" w:rsidR="00F31D60" w:rsidRPr="000C4229" w:rsidRDefault="00F31D60" w:rsidP="00ED2A5A">
      <w:pPr>
        <w:pStyle w:val="FootnoteText"/>
        <w:rPr>
          <w:szCs w:val="18"/>
          <w:lang w:val="es-419"/>
        </w:rPr>
      </w:pPr>
      <w:r w:rsidRPr="000C4229">
        <w:rPr>
          <w:rStyle w:val="FootnoteReference"/>
          <w:szCs w:val="18"/>
          <w:lang w:val="es-419"/>
        </w:rPr>
        <w:footnoteRef/>
      </w:r>
      <w:r w:rsidRPr="000C4229">
        <w:rPr>
          <w:lang w:val="es-419"/>
        </w:rPr>
        <w:t xml:space="preserve"> Según figura en la resolución 76/238 de la Asamblea General. Una vez aprobada por la Asamblea, se aplicará la escala de cuotas revisada correspondiente al trienio 2025-2027 para calcular las contribuciones correspondientes al bienio 2025-2026.</w:t>
      </w:r>
    </w:p>
  </w:footnote>
  <w:footnote w:id="57">
    <w:p w14:paraId="00E2540F" w14:textId="77777777" w:rsidR="00F31D60" w:rsidRPr="000C4229" w:rsidRDefault="00F31D60" w:rsidP="00C54C43">
      <w:pPr>
        <w:pStyle w:val="FootnoteText"/>
        <w:rPr>
          <w:lang w:val="es-419"/>
        </w:rPr>
      </w:pPr>
      <w:r w:rsidRPr="000C4229">
        <w:rPr>
          <w:rStyle w:val="FootnoteReference"/>
          <w:lang w:val="es-419"/>
        </w:rPr>
        <w:footnoteRef/>
      </w:r>
      <w:r w:rsidRPr="000C4229">
        <w:rPr>
          <w:lang w:val="es-419"/>
        </w:rPr>
        <w:t xml:space="preserve"> Naciones Unidas, </w:t>
      </w:r>
      <w:r w:rsidRPr="000C4229">
        <w:rPr>
          <w:i/>
          <w:iCs/>
          <w:lang w:val="es-419"/>
        </w:rPr>
        <w:t>Treaty Series</w:t>
      </w:r>
      <w:r w:rsidRPr="000C4229">
        <w:rPr>
          <w:lang w:val="es-419"/>
        </w:rPr>
        <w:t>, vol. 2226, núm. 30619.</w:t>
      </w:r>
    </w:p>
  </w:footnote>
  <w:footnote w:id="58">
    <w:p w14:paraId="05BF713C" w14:textId="441310E6" w:rsidR="00F31D60" w:rsidRPr="000C4229" w:rsidRDefault="00F31D60" w:rsidP="00C54C43">
      <w:pPr>
        <w:pStyle w:val="FootnoteText"/>
        <w:rPr>
          <w:lang w:val="es-419"/>
        </w:rPr>
      </w:pPr>
      <w:r w:rsidRPr="000C4229">
        <w:rPr>
          <w:rStyle w:val="FootnoteReference"/>
          <w:lang w:val="es-419"/>
        </w:rPr>
        <w:footnoteRef/>
      </w:r>
      <w:r w:rsidRPr="000C4229">
        <w:rPr>
          <w:lang w:val="es-419"/>
        </w:rPr>
        <w:t xml:space="preserve"> </w:t>
      </w:r>
      <w:r w:rsidRPr="00F31D60">
        <w:rPr>
          <w:i/>
          <w:lang w:val="es-419"/>
        </w:rPr>
        <w:t>Ibid.</w:t>
      </w:r>
      <w:r w:rsidRPr="000C4229">
        <w:rPr>
          <w:lang w:val="es-419"/>
        </w:rPr>
        <w:t>, vol. 1760, núm. 30619.</w:t>
      </w:r>
    </w:p>
  </w:footnote>
  <w:footnote w:id="59">
    <w:p w14:paraId="1C67BD9A" w14:textId="67BA295D" w:rsidR="00F31D60" w:rsidRPr="000C4229" w:rsidRDefault="00F31D60" w:rsidP="00C54C43">
      <w:pPr>
        <w:pStyle w:val="FootnoteText"/>
        <w:rPr>
          <w:lang w:val="es-419"/>
        </w:rPr>
      </w:pPr>
      <w:r w:rsidRPr="000C4229">
        <w:rPr>
          <w:rStyle w:val="FootnoteReference"/>
          <w:lang w:val="es-419"/>
        </w:rPr>
        <w:footnoteRef/>
      </w:r>
      <w:r w:rsidRPr="000C4229">
        <w:rPr>
          <w:lang w:val="es-419"/>
        </w:rPr>
        <w:t xml:space="preserve"> </w:t>
      </w:r>
      <w:r w:rsidRPr="00F31D60">
        <w:rPr>
          <w:i/>
          <w:lang w:val="es-419"/>
        </w:rPr>
        <w:t>Ibid.</w:t>
      </w:r>
      <w:r w:rsidRPr="000C4229">
        <w:rPr>
          <w:lang w:val="es-419"/>
        </w:rPr>
        <w:t>, vol. 3008, núm. 30619.</w:t>
      </w:r>
    </w:p>
  </w:footnote>
  <w:footnote w:id="60">
    <w:p w14:paraId="74455B21" w14:textId="77777777" w:rsidR="00F31D60" w:rsidRPr="000C4229" w:rsidRDefault="00F31D60" w:rsidP="009A5C24">
      <w:pPr>
        <w:pStyle w:val="FootnoteText"/>
        <w:rPr>
          <w:lang w:val="es-419"/>
        </w:rPr>
      </w:pPr>
      <w:r w:rsidRPr="000C4229">
        <w:rPr>
          <w:rStyle w:val="FootnoteReference"/>
          <w:lang w:val="es-419"/>
        </w:rPr>
        <w:footnoteRef/>
      </w:r>
      <w:r w:rsidRPr="000C4229">
        <w:rPr>
          <w:lang w:val="es-419"/>
        </w:rPr>
        <w:t xml:space="preserve"> Se puede consultar la lista de participantes en el documento </w:t>
      </w:r>
      <w:hyperlink r:id="rId14" w:history="1">
        <w:r w:rsidRPr="000C4229">
          <w:rPr>
            <w:rStyle w:val="Hyperlink"/>
            <w:lang w:val="es-419"/>
          </w:rPr>
          <w:t>CBD/CP/MOP/11/INF/1</w:t>
        </w:r>
      </w:hyperlink>
      <w:r w:rsidRPr="000C4229">
        <w:rPr>
          <w:lang w:val="es-419"/>
        </w:rPr>
        <w:t>.</w:t>
      </w:r>
    </w:p>
  </w:footnote>
  <w:footnote w:id="61">
    <w:p w14:paraId="32092290" w14:textId="2FEB6ADE" w:rsidR="00F31D60" w:rsidRPr="000C4229" w:rsidRDefault="00F31D60" w:rsidP="009A5C24">
      <w:pPr>
        <w:pStyle w:val="FootnoteText"/>
        <w:rPr>
          <w:lang w:val="es-419"/>
        </w:rPr>
      </w:pPr>
      <w:r w:rsidRPr="000C4229">
        <w:rPr>
          <w:rStyle w:val="FootnoteReference"/>
          <w:lang w:val="es-419"/>
        </w:rPr>
        <w:footnoteRef/>
      </w:r>
      <w:r w:rsidRPr="000C4229">
        <w:rPr>
          <w:lang w:val="es-419"/>
        </w:rPr>
        <w:t xml:space="preserve"> Se puede leer un resumen de los discursos de apertura en el documento </w:t>
      </w:r>
      <w:hyperlink r:id="rId15" w:history="1">
        <w:r w:rsidRPr="000C4229">
          <w:rPr>
            <w:rStyle w:val="Hyperlink"/>
            <w:lang w:val="es-419"/>
          </w:rPr>
          <w:t>CBD/COP/16/13</w:t>
        </w:r>
      </w:hyperlink>
      <w:r w:rsidRPr="000C4229">
        <w:rPr>
          <w:lang w:val="es-419"/>
        </w:rPr>
        <w:t>, párrs. 5 a 9.</w:t>
      </w:r>
    </w:p>
  </w:footnote>
  <w:footnote w:id="62">
    <w:p w14:paraId="0427263D" w14:textId="77777777" w:rsidR="00F31D60" w:rsidRPr="000C4229" w:rsidRDefault="00F31D60" w:rsidP="009A5C24">
      <w:pPr>
        <w:pStyle w:val="FootnoteText"/>
        <w:rPr>
          <w:lang w:val="es-419"/>
        </w:rPr>
      </w:pPr>
      <w:r w:rsidRPr="000C4229">
        <w:rPr>
          <w:rStyle w:val="FootnoteReference"/>
          <w:lang w:val="es-419"/>
        </w:rPr>
        <w:footnoteRef/>
      </w:r>
      <w:r w:rsidRPr="000C4229">
        <w:rPr>
          <w:lang w:val="es-419"/>
        </w:rPr>
        <w:t xml:space="preserve"> Véase “Elección de la Presidencia” en el tema 2.</w:t>
      </w:r>
    </w:p>
  </w:footnote>
  <w:footnote w:id="63">
    <w:p w14:paraId="6CF2A3D6" w14:textId="55781E86" w:rsidR="00F31D60" w:rsidRPr="000C4229" w:rsidRDefault="00F31D60" w:rsidP="009A5C24">
      <w:pPr>
        <w:pStyle w:val="FootnoteText"/>
        <w:rPr>
          <w:lang w:val="es-419"/>
        </w:rPr>
      </w:pPr>
      <w:r w:rsidRPr="000C4229">
        <w:rPr>
          <w:rStyle w:val="FootnoteReference"/>
          <w:lang w:val="es-419"/>
        </w:rPr>
        <w:footnoteRef/>
      </w:r>
      <w:r w:rsidRPr="000C4229">
        <w:rPr>
          <w:lang w:val="es-419"/>
        </w:rPr>
        <w:t xml:space="preserve"> La primera continuación de la reunión, correspondiente a la sexta sesión plenaria, se celebró en línea del 3 al 6 de diciembre de 2024</w:t>
      </w:r>
      <w:r>
        <w:rPr>
          <w:lang w:val="es-419"/>
        </w:rPr>
        <w:t>,</w:t>
      </w:r>
      <w:r w:rsidRPr="000C4229">
        <w:rPr>
          <w:lang w:val="es-419"/>
        </w:rPr>
        <w:t xml:space="preserve"> conforme a un procedimiento de acuerdo tácito</w:t>
      </w:r>
      <w:r>
        <w:rPr>
          <w:lang w:val="es-419"/>
        </w:rPr>
        <w:t xml:space="preserve"> </w:t>
      </w:r>
      <w:r w:rsidRPr="000C4229">
        <w:rPr>
          <w:lang w:val="es-419"/>
        </w:rPr>
        <w:t>(véase el tema 6).</w:t>
      </w:r>
    </w:p>
  </w:footnote>
  <w:footnote w:id="64">
    <w:p w14:paraId="788D7B1B" w14:textId="77777777" w:rsidR="00F31D60" w:rsidRPr="000C4229" w:rsidRDefault="00F31D60" w:rsidP="009A5C24">
      <w:pPr>
        <w:pStyle w:val="FootnoteText"/>
        <w:rPr>
          <w:lang w:val="es-419"/>
        </w:rPr>
      </w:pPr>
      <w:r w:rsidRPr="000C4229">
        <w:rPr>
          <w:rStyle w:val="FootnoteReference"/>
          <w:lang w:val="es-419"/>
        </w:rPr>
        <w:footnoteRef/>
      </w:r>
      <w:r w:rsidRPr="000C4229">
        <w:rPr>
          <w:lang w:val="es-419"/>
        </w:rPr>
        <w:t xml:space="preserve"> En el documento </w:t>
      </w:r>
      <w:hyperlink r:id="rId16" w:history="1">
        <w:r w:rsidRPr="000C4229">
          <w:rPr>
            <w:rStyle w:val="Hyperlink"/>
            <w:lang w:val="es-419"/>
          </w:rPr>
          <w:t>CBD/COP/16/13</w:t>
        </w:r>
      </w:hyperlink>
      <w:r w:rsidRPr="000C4229">
        <w:rPr>
          <w:lang w:val="es-419"/>
        </w:rPr>
        <w:t>, párrs. 12 a 14, se puede leer un resumen de los discursos de apertura de la segunda continuación de la reunión.</w:t>
      </w:r>
    </w:p>
  </w:footnote>
  <w:footnote w:id="65">
    <w:p w14:paraId="40E4BF35" w14:textId="77777777" w:rsidR="00F31D60" w:rsidRPr="000C4229" w:rsidRDefault="00F31D60" w:rsidP="008B30B7">
      <w:pPr>
        <w:pStyle w:val="FootnoteText"/>
        <w:rPr>
          <w:lang w:val="es-419"/>
        </w:rPr>
      </w:pPr>
      <w:r w:rsidRPr="000C4229">
        <w:rPr>
          <w:rStyle w:val="FootnoteReference"/>
          <w:lang w:val="es-419"/>
        </w:rPr>
        <w:footnoteRef/>
      </w:r>
      <w:r w:rsidRPr="000C4229">
        <w:rPr>
          <w:lang w:val="es-419"/>
        </w:rPr>
        <w:t xml:space="preserve"> </w:t>
      </w:r>
      <w:hyperlink r:id="rId17" w:history="1">
        <w:r w:rsidRPr="000C4229">
          <w:rPr>
            <w:rStyle w:val="Hyperlink"/>
            <w:lang w:val="es-419"/>
          </w:rPr>
          <w:t>CBD/CP/MOP/11/1</w:t>
        </w:r>
      </w:hyperlink>
      <w:r w:rsidRPr="000C4229">
        <w:rPr>
          <w:lang w:val="es-419"/>
        </w:rPr>
        <w:t>.</w:t>
      </w:r>
    </w:p>
  </w:footnote>
  <w:footnote w:id="66">
    <w:p w14:paraId="22881FDC" w14:textId="77777777" w:rsidR="00F31D60" w:rsidRPr="000C4229" w:rsidRDefault="00F31D60" w:rsidP="008B30B7">
      <w:pPr>
        <w:pStyle w:val="FootnoteText"/>
        <w:rPr>
          <w:lang w:val="es-419"/>
        </w:rPr>
      </w:pPr>
      <w:r w:rsidRPr="000C4229">
        <w:rPr>
          <w:rStyle w:val="FootnoteReference"/>
          <w:lang w:val="es-419"/>
        </w:rPr>
        <w:footnoteRef/>
      </w:r>
      <w:r w:rsidRPr="000C4229">
        <w:rPr>
          <w:lang w:val="es-419"/>
        </w:rPr>
        <w:t xml:space="preserve"> </w:t>
      </w:r>
      <w:hyperlink r:id="rId18" w:history="1">
        <w:r w:rsidRPr="000C4229">
          <w:rPr>
            <w:rStyle w:val="Hyperlink"/>
            <w:lang w:val="es-419"/>
          </w:rPr>
          <w:t>CBD/CP/MOP/11/1/Add.1</w:t>
        </w:r>
      </w:hyperlink>
      <w:r w:rsidRPr="000C4229">
        <w:rPr>
          <w:lang w:val="es-419"/>
        </w:rPr>
        <w:t>.</w:t>
      </w:r>
    </w:p>
  </w:footnote>
  <w:footnote w:id="67">
    <w:p w14:paraId="5B3AF8F6" w14:textId="77777777" w:rsidR="00F31D60" w:rsidRPr="000C4229" w:rsidRDefault="00F31D60" w:rsidP="008B30B7">
      <w:pPr>
        <w:pStyle w:val="FootnoteText"/>
        <w:rPr>
          <w:lang w:val="es-419"/>
        </w:rPr>
      </w:pPr>
      <w:r w:rsidRPr="000C4229">
        <w:rPr>
          <w:rStyle w:val="FootnoteReference"/>
          <w:lang w:val="es-419"/>
        </w:rPr>
        <w:footnoteRef/>
      </w:r>
      <w:r w:rsidRPr="000C4229">
        <w:rPr>
          <w:lang w:val="es-419"/>
        </w:rPr>
        <w:t xml:space="preserve"> </w:t>
      </w:r>
      <w:hyperlink r:id="rId19" w:history="1">
        <w:r w:rsidRPr="000C4229">
          <w:rPr>
            <w:rStyle w:val="Hyperlink"/>
            <w:lang w:val="es-419"/>
          </w:rPr>
          <w:t>CBD/CP/MOP/11/1/Add.2</w:t>
        </w:r>
      </w:hyperlink>
      <w:r w:rsidRPr="000C4229">
        <w:rPr>
          <w:lang w:val="es-419"/>
        </w:rPr>
        <w:t>.</w:t>
      </w:r>
    </w:p>
  </w:footnote>
  <w:footnote w:id="68">
    <w:p w14:paraId="006DDE7F" w14:textId="77777777" w:rsidR="00F31D60" w:rsidRPr="000C4229" w:rsidRDefault="00F31D60" w:rsidP="008B30B7">
      <w:pPr>
        <w:pStyle w:val="FootnoteText"/>
        <w:rPr>
          <w:lang w:val="es-419"/>
        </w:rPr>
      </w:pPr>
      <w:r w:rsidRPr="000C4229">
        <w:rPr>
          <w:rStyle w:val="FootnoteReference"/>
          <w:lang w:val="es-419"/>
        </w:rPr>
        <w:footnoteRef/>
      </w:r>
      <w:r w:rsidRPr="000C4229">
        <w:rPr>
          <w:lang w:val="es-419"/>
        </w:rPr>
        <w:t xml:space="preserve"> </w:t>
      </w:r>
      <w:hyperlink r:id="rId20" w:history="1">
        <w:r w:rsidRPr="000C4229">
          <w:rPr>
            <w:rStyle w:val="Hyperlink"/>
            <w:lang w:val="es-419"/>
          </w:rPr>
          <w:t>CBD/CP/MOP/11/INF/4</w:t>
        </w:r>
      </w:hyperlink>
      <w:r w:rsidRPr="000C4229">
        <w:rPr>
          <w:lang w:val="es-419"/>
        </w:rPr>
        <w:t>.</w:t>
      </w:r>
    </w:p>
  </w:footnote>
  <w:footnote w:id="69">
    <w:p w14:paraId="11FD5B8C" w14:textId="77777777" w:rsidR="00F31D60" w:rsidRPr="000C4229" w:rsidRDefault="00F31D60" w:rsidP="008B30B7">
      <w:pPr>
        <w:pStyle w:val="FootnoteText"/>
        <w:rPr>
          <w:lang w:val="es-419"/>
        </w:rPr>
      </w:pPr>
      <w:r w:rsidRPr="000C4229">
        <w:rPr>
          <w:rStyle w:val="FootnoteReference"/>
          <w:lang w:val="es-419"/>
        </w:rPr>
        <w:footnoteRef/>
      </w:r>
      <w:r w:rsidRPr="000C4229">
        <w:rPr>
          <w:lang w:val="es-419"/>
        </w:rPr>
        <w:t xml:space="preserve"> </w:t>
      </w:r>
      <w:hyperlink r:id="rId21" w:history="1">
        <w:r w:rsidRPr="000C4229">
          <w:rPr>
            <w:rStyle w:val="Hyperlink"/>
            <w:lang w:val="es-419"/>
          </w:rPr>
          <w:t>CBD/CP/MOP/11/WGI/L.1</w:t>
        </w:r>
      </w:hyperlink>
      <w:r w:rsidRPr="000C4229">
        <w:rPr>
          <w:lang w:val="es-419"/>
        </w:rPr>
        <w:t>.</w:t>
      </w:r>
    </w:p>
  </w:footnote>
  <w:footnote w:id="70">
    <w:p w14:paraId="3FADC02F" w14:textId="77777777" w:rsidR="00F31D60" w:rsidRPr="000C4229" w:rsidRDefault="00F31D60" w:rsidP="008B30B7">
      <w:pPr>
        <w:pStyle w:val="FootnoteText"/>
        <w:rPr>
          <w:lang w:val="es-419"/>
        </w:rPr>
      </w:pPr>
      <w:r w:rsidRPr="000C4229">
        <w:rPr>
          <w:rStyle w:val="FootnoteReference"/>
          <w:lang w:val="es-419"/>
        </w:rPr>
        <w:footnoteRef/>
      </w:r>
      <w:r w:rsidRPr="000C4229">
        <w:rPr>
          <w:lang w:val="es-419"/>
        </w:rPr>
        <w:t xml:space="preserve"> </w:t>
      </w:r>
      <w:hyperlink r:id="rId22" w:history="1">
        <w:r w:rsidRPr="000C4229">
          <w:rPr>
            <w:rStyle w:val="Hyperlink"/>
            <w:lang w:val="es-419"/>
          </w:rPr>
          <w:t>CBD/CP/MOP/11/WGII/L.1</w:t>
        </w:r>
      </w:hyperlink>
      <w:r w:rsidRPr="000C4229">
        <w:rPr>
          <w:lang w:val="es-419"/>
        </w:rPr>
        <w:t>.</w:t>
      </w:r>
    </w:p>
  </w:footnote>
  <w:footnote w:id="71">
    <w:p w14:paraId="07B2A481" w14:textId="77777777" w:rsidR="00F31D60" w:rsidRPr="000C4229" w:rsidRDefault="00F31D60" w:rsidP="008B30B7">
      <w:pPr>
        <w:pStyle w:val="FootnoteText"/>
        <w:rPr>
          <w:lang w:val="es-419"/>
        </w:rPr>
      </w:pPr>
      <w:r w:rsidRPr="000C4229">
        <w:rPr>
          <w:rStyle w:val="FootnoteReference"/>
          <w:lang w:val="es-419"/>
        </w:rPr>
        <w:footnoteRef/>
      </w:r>
      <w:r w:rsidRPr="000C4229">
        <w:rPr>
          <w:lang w:val="es-419"/>
        </w:rPr>
        <w:t xml:space="preserve"> Haití, las Islas Cook, Micronesia (Estados Federados de), Vanuatu y algunos Estados de África no son Partes en el Protocolo de Cartagena.</w:t>
      </w:r>
    </w:p>
  </w:footnote>
  <w:footnote w:id="72">
    <w:p w14:paraId="6B5DA75A" w14:textId="77777777" w:rsidR="00F31D60" w:rsidRPr="000C4229" w:rsidRDefault="00F31D60" w:rsidP="008B30B7">
      <w:pPr>
        <w:pStyle w:val="FootnoteText"/>
        <w:rPr>
          <w:lang w:val="es-419"/>
        </w:rPr>
      </w:pPr>
      <w:r w:rsidRPr="000C4229">
        <w:rPr>
          <w:rStyle w:val="FootnoteReference"/>
          <w:lang w:val="es-419"/>
        </w:rPr>
        <w:footnoteRef/>
      </w:r>
      <w:r w:rsidRPr="000C4229">
        <w:rPr>
          <w:lang w:val="es-419"/>
        </w:rPr>
        <w:t xml:space="preserve"> Disponible en </w:t>
      </w:r>
      <w:hyperlink r:id="rId23" w:history="1">
        <w:r w:rsidRPr="000C4229">
          <w:rPr>
            <w:rStyle w:val="Hyperlink"/>
            <w:lang w:val="es-419"/>
          </w:rPr>
          <w:t>www.cbd.int/meetings/CP-MOP-11-R1</w:t>
        </w:r>
      </w:hyperlink>
      <w:r w:rsidRPr="000C4229">
        <w:rPr>
          <w:lang w:val="es-419"/>
        </w:rPr>
        <w:t>, junto con todos los documentos referidos a la continuación de la reunión en línea.</w:t>
      </w:r>
    </w:p>
  </w:footnote>
  <w:footnote w:id="73">
    <w:p w14:paraId="02EA1445" w14:textId="77777777" w:rsidR="00F31D60" w:rsidRPr="000C4229" w:rsidRDefault="00F31D60" w:rsidP="008B30B7">
      <w:pPr>
        <w:pStyle w:val="FootnoteText"/>
        <w:rPr>
          <w:lang w:val="es-419"/>
        </w:rPr>
      </w:pPr>
      <w:r w:rsidRPr="000C4229">
        <w:rPr>
          <w:rStyle w:val="FootnoteReference"/>
          <w:lang w:val="es-419"/>
        </w:rPr>
        <w:footnoteRef/>
      </w:r>
      <w:r w:rsidRPr="000C4229">
        <w:rPr>
          <w:lang w:val="es-419"/>
        </w:rPr>
        <w:t xml:space="preserve"> </w:t>
      </w:r>
      <w:hyperlink r:id="rId24" w:history="1">
        <w:r w:rsidRPr="000C4229">
          <w:rPr>
            <w:rStyle w:val="Hyperlink"/>
            <w:lang w:val="es-419"/>
          </w:rPr>
          <w:t>CBD/CP/MOP/11/1/Add.3</w:t>
        </w:r>
      </w:hyperlink>
      <w:r w:rsidRPr="000C4229">
        <w:rPr>
          <w:lang w:val="es-419"/>
        </w:rPr>
        <w:t>.</w:t>
      </w:r>
    </w:p>
  </w:footnote>
  <w:footnote w:id="74">
    <w:p w14:paraId="6918562F" w14:textId="77777777" w:rsidR="00F31D60" w:rsidRPr="000C4229" w:rsidRDefault="00F31D60" w:rsidP="008B30B7">
      <w:pPr>
        <w:pStyle w:val="FootnoteText"/>
        <w:rPr>
          <w:lang w:val="es-419"/>
        </w:rPr>
      </w:pPr>
      <w:r w:rsidRPr="000C4229">
        <w:rPr>
          <w:rStyle w:val="FootnoteReference"/>
          <w:lang w:val="es-419"/>
        </w:rPr>
        <w:footnoteRef/>
      </w:r>
      <w:r w:rsidRPr="000C4229">
        <w:rPr>
          <w:lang w:val="es-419"/>
        </w:rPr>
        <w:t xml:space="preserve"> </w:t>
      </w:r>
      <w:hyperlink r:id="rId25" w:history="1">
        <w:r w:rsidRPr="000C4229">
          <w:rPr>
            <w:rStyle w:val="Hyperlink"/>
            <w:lang w:val="es-419"/>
          </w:rPr>
          <w:t>CBD/CP/MOP/11/L.12/Rev.1</w:t>
        </w:r>
      </w:hyperlink>
      <w:r w:rsidRPr="000C4229">
        <w:rPr>
          <w:lang w:val="es-419"/>
        </w:rPr>
        <w:t xml:space="preserve"> y </w:t>
      </w:r>
      <w:hyperlink r:id="rId26" w:history="1">
        <w:r w:rsidRPr="000C4229">
          <w:rPr>
            <w:rStyle w:val="Hyperlink"/>
            <w:lang w:val="es-419"/>
          </w:rPr>
          <w:t>CBD/CP/MOP/11/L.13</w:t>
        </w:r>
      </w:hyperlink>
      <w:r w:rsidRPr="000C4229">
        <w:rPr>
          <w:lang w:val="es-419"/>
        </w:rPr>
        <w:t>.</w:t>
      </w:r>
    </w:p>
  </w:footnote>
  <w:footnote w:id="75">
    <w:p w14:paraId="65AF2EFA" w14:textId="77777777" w:rsidR="00F31D60" w:rsidRPr="000C4229" w:rsidRDefault="00F31D60" w:rsidP="008B30B7">
      <w:pPr>
        <w:pStyle w:val="FootnoteText"/>
        <w:rPr>
          <w:lang w:val="es-419"/>
        </w:rPr>
      </w:pPr>
      <w:r w:rsidRPr="000C4229">
        <w:rPr>
          <w:rStyle w:val="FootnoteReference"/>
          <w:lang w:val="es-419"/>
        </w:rPr>
        <w:footnoteRef/>
      </w:r>
      <w:r w:rsidRPr="000C4229">
        <w:rPr>
          <w:lang w:val="es-419"/>
        </w:rPr>
        <w:t xml:space="preserve"> </w:t>
      </w:r>
      <w:bookmarkStart w:id="68" w:name="_Hlk190684059"/>
      <w:r w:rsidRPr="000C4229">
        <w:rPr>
          <w:lang w:val="es-419"/>
        </w:rPr>
        <w:fldChar w:fldCharType="begin"/>
      </w:r>
      <w:r w:rsidRPr="000C4229">
        <w:rPr>
          <w:lang w:val="es-419"/>
        </w:rPr>
        <w:instrText>HYPERLINK "https://www.cbd.int/documents/CBD/COP/16/1/ADD4"</w:instrText>
      </w:r>
      <w:r w:rsidRPr="000C4229">
        <w:rPr>
          <w:lang w:val="es-419"/>
        </w:rPr>
      </w:r>
      <w:r w:rsidRPr="000C4229">
        <w:rPr>
          <w:lang w:val="es-419"/>
        </w:rPr>
        <w:fldChar w:fldCharType="separate"/>
      </w:r>
      <w:r w:rsidRPr="000C4229">
        <w:rPr>
          <w:rStyle w:val="Hyperlink"/>
          <w:lang w:val="es-419"/>
        </w:rPr>
        <w:t>CBD/CP/MOP/11/1/Add.4</w:t>
      </w:r>
      <w:r w:rsidRPr="000C4229">
        <w:rPr>
          <w:lang w:val="es-419"/>
        </w:rPr>
        <w:fldChar w:fldCharType="end"/>
      </w:r>
      <w:r w:rsidRPr="000C4229">
        <w:rPr>
          <w:lang w:val="es-419"/>
        </w:rPr>
        <w:t>.</w:t>
      </w:r>
      <w:bookmarkEnd w:id="68"/>
    </w:p>
  </w:footnote>
  <w:footnote w:id="76">
    <w:p w14:paraId="0CAA1EDD" w14:textId="77777777" w:rsidR="00F31D60" w:rsidRPr="000C4229" w:rsidRDefault="00F31D60" w:rsidP="008B30B7">
      <w:pPr>
        <w:pStyle w:val="FootnoteText"/>
        <w:rPr>
          <w:lang w:val="es-419"/>
        </w:rPr>
      </w:pPr>
      <w:r w:rsidRPr="000C4229">
        <w:rPr>
          <w:rStyle w:val="FootnoteReference"/>
          <w:lang w:val="es-419"/>
        </w:rPr>
        <w:footnoteRef/>
      </w:r>
      <w:r w:rsidRPr="000C4229">
        <w:rPr>
          <w:lang w:val="es-419"/>
        </w:rPr>
        <w:t xml:space="preserve"> </w:t>
      </w:r>
      <w:bookmarkStart w:id="69" w:name="_Hlk190684050"/>
      <w:r w:rsidRPr="000C4229">
        <w:rPr>
          <w:lang w:val="es-419"/>
        </w:rPr>
        <w:fldChar w:fldCharType="begin"/>
      </w:r>
      <w:r w:rsidRPr="000C4229">
        <w:rPr>
          <w:lang w:val="es-419"/>
        </w:rPr>
        <w:instrText>HYPERLINK "https://www.cbd.int/documents/CBD/COP/16/1/ADD5"</w:instrText>
      </w:r>
      <w:r w:rsidRPr="000C4229">
        <w:rPr>
          <w:lang w:val="es-419"/>
        </w:rPr>
      </w:r>
      <w:r w:rsidRPr="000C4229">
        <w:rPr>
          <w:lang w:val="es-419"/>
        </w:rPr>
        <w:fldChar w:fldCharType="separate"/>
      </w:r>
      <w:r w:rsidRPr="000C4229">
        <w:rPr>
          <w:rStyle w:val="Hyperlink"/>
          <w:lang w:val="es-419"/>
        </w:rPr>
        <w:t>CBD/CP/MOP/11/1/Add.5</w:t>
      </w:r>
      <w:r w:rsidRPr="000C4229">
        <w:rPr>
          <w:lang w:val="es-419"/>
        </w:rPr>
        <w:fldChar w:fldCharType="end"/>
      </w:r>
      <w:r w:rsidRPr="000C4229">
        <w:rPr>
          <w:lang w:val="es-419"/>
        </w:rPr>
        <w:t>.</w:t>
      </w:r>
      <w:bookmarkEnd w:id="69"/>
    </w:p>
  </w:footnote>
  <w:footnote w:id="77">
    <w:p w14:paraId="7E244FC2" w14:textId="77777777" w:rsidR="00F31D60" w:rsidRPr="000C4229" w:rsidRDefault="00F31D60" w:rsidP="00A052E7">
      <w:pPr>
        <w:pStyle w:val="FootnoteText"/>
        <w:rPr>
          <w:lang w:val="es-419"/>
        </w:rPr>
      </w:pPr>
      <w:r w:rsidRPr="000C4229">
        <w:rPr>
          <w:rStyle w:val="FootnoteReference"/>
          <w:lang w:val="es-419"/>
        </w:rPr>
        <w:footnoteRef/>
      </w:r>
      <w:r w:rsidRPr="000C4229">
        <w:rPr>
          <w:lang w:val="es-419"/>
        </w:rPr>
        <w:t xml:space="preserve"> </w:t>
      </w:r>
      <w:hyperlink r:id="rId27" w:history="1">
        <w:r w:rsidRPr="000C4229">
          <w:rPr>
            <w:rStyle w:val="Hyperlink"/>
            <w:lang w:val="es-419"/>
          </w:rPr>
          <w:t>CBD/CP/MOP/11/INF/5</w:t>
        </w:r>
      </w:hyperlink>
      <w:r w:rsidRPr="000C4229">
        <w:rPr>
          <w:lang w:val="es-419"/>
        </w:rPr>
        <w:t>, anexo.</w:t>
      </w:r>
    </w:p>
  </w:footnote>
  <w:footnote w:id="78">
    <w:p w14:paraId="5214CBBF" w14:textId="7D75DC05" w:rsidR="00F31D60" w:rsidRPr="000C4229" w:rsidRDefault="00F31D60" w:rsidP="00A052E7">
      <w:pPr>
        <w:pStyle w:val="FootnoteText"/>
        <w:rPr>
          <w:lang w:val="es-419"/>
        </w:rPr>
      </w:pPr>
      <w:r w:rsidRPr="000C4229">
        <w:rPr>
          <w:rStyle w:val="FootnoteReference"/>
          <w:lang w:val="es-419"/>
        </w:rPr>
        <w:footnoteRef/>
      </w:r>
      <w:r w:rsidR="00BD02F6">
        <w:rPr>
          <w:lang w:val="es-419"/>
        </w:rPr>
        <w:t> </w:t>
      </w:r>
      <w:r w:rsidRPr="000C4229">
        <w:rPr>
          <w:lang w:val="es-419"/>
        </w:rPr>
        <w:t>La República Bolivariana de Venezuela presentó</w:t>
      </w:r>
      <w:r>
        <w:rPr>
          <w:lang w:val="es-419"/>
        </w:rPr>
        <w:t xml:space="preserve"> sus</w:t>
      </w:r>
      <w:r w:rsidRPr="000C4229">
        <w:rPr>
          <w:lang w:val="es-419"/>
        </w:rPr>
        <w:t xml:space="preserve"> credenciales luego de publicado el informe </w:t>
      </w:r>
      <w:r>
        <w:rPr>
          <w:lang w:val="es-419"/>
        </w:rPr>
        <w:t xml:space="preserve">sobre las credenciales </w:t>
      </w:r>
      <w:r w:rsidRPr="000C4229">
        <w:rPr>
          <w:lang w:val="es-419"/>
        </w:rPr>
        <w:t xml:space="preserve">y </w:t>
      </w:r>
      <w:r w:rsidRPr="00674E52">
        <w:rPr>
          <w:lang w:val="es-419"/>
        </w:rPr>
        <w:t>posteriormente</w:t>
      </w:r>
      <w:r>
        <w:rPr>
          <w:lang w:val="es-419"/>
        </w:rPr>
        <w:t xml:space="preserve"> </w:t>
      </w:r>
      <w:r w:rsidRPr="000C4229">
        <w:rPr>
          <w:lang w:val="es-419"/>
        </w:rPr>
        <w:t xml:space="preserve">se publicó una versión revisada del informe con </w:t>
      </w:r>
      <w:r>
        <w:rPr>
          <w:lang w:val="es-419"/>
        </w:rPr>
        <w:t xml:space="preserve">los </w:t>
      </w:r>
      <w:r w:rsidRPr="000C4229">
        <w:rPr>
          <w:lang w:val="es-419"/>
        </w:rPr>
        <w:t>datos actualizados (</w:t>
      </w:r>
      <w:hyperlink r:id="rId28" w:history="1">
        <w:r w:rsidRPr="000C4229">
          <w:rPr>
            <w:rStyle w:val="Hyperlink"/>
            <w:lang w:val="es-419"/>
          </w:rPr>
          <w:t>CBD/CP/MOP/11/INF/6/Rev.1</w:t>
        </w:r>
      </w:hyperlink>
      <w:r w:rsidRPr="000C4229">
        <w:rPr>
          <w:lang w:val="es-419"/>
        </w:rPr>
        <w:t>).</w:t>
      </w:r>
    </w:p>
  </w:footnote>
  <w:footnote w:id="79">
    <w:p w14:paraId="02D94B69" w14:textId="6124358E" w:rsidR="00F31D60" w:rsidRPr="000C4229" w:rsidRDefault="00F31D60" w:rsidP="00A052E7">
      <w:pPr>
        <w:pStyle w:val="FootnoteText"/>
        <w:rPr>
          <w:lang w:val="es-419"/>
        </w:rPr>
      </w:pPr>
      <w:r w:rsidRPr="000C4229">
        <w:rPr>
          <w:rStyle w:val="FootnoteReference"/>
          <w:lang w:val="es-419"/>
        </w:rPr>
        <w:footnoteRef/>
      </w:r>
      <w:r w:rsidR="00BD02F6">
        <w:rPr>
          <w:lang w:val="es-419"/>
        </w:rPr>
        <w:t> </w:t>
      </w:r>
      <w:r w:rsidRPr="009047BC">
        <w:rPr>
          <w:spacing w:val="-2"/>
          <w:lang w:val="es-419"/>
        </w:rPr>
        <w:t xml:space="preserve">Argentina, Barbados, Botswana, la República Unida de Tanzanía y Vanuatu presentaron sus credenciales luego </w:t>
      </w:r>
      <w:r>
        <w:rPr>
          <w:spacing w:val="-2"/>
          <w:lang w:val="es-419"/>
        </w:rPr>
        <w:t xml:space="preserve">de </w:t>
      </w:r>
      <w:r w:rsidRPr="009047BC">
        <w:rPr>
          <w:spacing w:val="-2"/>
          <w:lang w:val="es-419"/>
        </w:rPr>
        <w:t>publica</w:t>
      </w:r>
      <w:r w:rsidRPr="000C4229">
        <w:rPr>
          <w:lang w:val="es-419"/>
        </w:rPr>
        <w:t>d</w:t>
      </w:r>
      <w:r>
        <w:rPr>
          <w:lang w:val="es-419"/>
        </w:rPr>
        <w:t xml:space="preserve">o </w:t>
      </w:r>
      <w:r w:rsidRPr="000C4229">
        <w:rPr>
          <w:lang w:val="es-419"/>
        </w:rPr>
        <w:t>el informe sobre las credenciales para la seg</w:t>
      </w:r>
      <w:r>
        <w:rPr>
          <w:lang w:val="es-419"/>
        </w:rPr>
        <w:t>unda continuación de la reunión</w:t>
      </w:r>
      <w:r w:rsidRPr="000C4229">
        <w:rPr>
          <w:lang w:val="es-419"/>
        </w:rPr>
        <w:t xml:space="preserve"> y posteriormente se publicó un informe revisado </w:t>
      </w:r>
      <w:r w:rsidR="00BD02F6" w:rsidRPr="000C4229">
        <w:rPr>
          <w:lang w:val="es-419"/>
        </w:rPr>
        <w:t xml:space="preserve">con los datos actualizados </w:t>
      </w:r>
      <w:r w:rsidRPr="000C4229">
        <w:rPr>
          <w:lang w:val="es-419"/>
        </w:rPr>
        <w:t>(</w:t>
      </w:r>
      <w:hyperlink r:id="rId29" w:history="1">
        <w:r w:rsidRPr="000C4229">
          <w:rPr>
            <w:rStyle w:val="Hyperlink"/>
            <w:lang w:val="es-419"/>
          </w:rPr>
          <w:t>CBD/CP/MOP/11/INF/7/Rev.1</w:t>
        </w:r>
      </w:hyperlink>
      <w:r w:rsidRPr="000C4229">
        <w:rPr>
          <w:lang w:val="es-419"/>
        </w:rPr>
        <w:t>).</w:t>
      </w:r>
    </w:p>
  </w:footnote>
  <w:footnote w:id="80">
    <w:p w14:paraId="4607BAEE" w14:textId="77777777" w:rsidR="00F31D60" w:rsidRPr="000C4229" w:rsidRDefault="00F31D60" w:rsidP="002E6584">
      <w:pPr>
        <w:pStyle w:val="FootnoteText"/>
        <w:rPr>
          <w:lang w:val="es-419"/>
        </w:rPr>
      </w:pPr>
      <w:r w:rsidRPr="000C4229">
        <w:rPr>
          <w:rStyle w:val="FootnoteReference"/>
          <w:lang w:val="es-419"/>
        </w:rPr>
        <w:footnoteRef/>
      </w:r>
      <w:r w:rsidRPr="000C4229">
        <w:rPr>
          <w:lang w:val="es-419"/>
        </w:rPr>
        <w:t xml:space="preserve"> </w:t>
      </w:r>
      <w:hyperlink r:id="rId30" w:history="1">
        <w:r w:rsidRPr="000C4229">
          <w:rPr>
            <w:rStyle w:val="Hyperlink"/>
            <w:rFonts w:asciiTheme="majorBidi" w:hAnsiTheme="majorBidi"/>
            <w:lang w:val="es-419"/>
          </w:rPr>
          <w:t>CBD/SBSTTA/26/9</w:t>
        </w:r>
      </w:hyperlink>
      <w:r w:rsidRPr="000C4229">
        <w:rPr>
          <w:rFonts w:asciiTheme="majorBidi" w:hAnsiTheme="majorBidi"/>
          <w:lang w:val="es-419"/>
        </w:rPr>
        <w:t>.</w:t>
      </w:r>
    </w:p>
  </w:footnote>
  <w:footnote w:id="81">
    <w:p w14:paraId="319B043E" w14:textId="77777777" w:rsidR="00F31D60" w:rsidRPr="000C4229" w:rsidRDefault="00F31D60" w:rsidP="002E6584">
      <w:pPr>
        <w:pStyle w:val="FootnoteText"/>
        <w:rPr>
          <w:lang w:val="es-419"/>
        </w:rPr>
      </w:pPr>
      <w:r w:rsidRPr="000C4229">
        <w:rPr>
          <w:rStyle w:val="FootnoteReference"/>
          <w:lang w:val="es-419"/>
        </w:rPr>
        <w:footnoteRef/>
      </w:r>
      <w:r w:rsidRPr="000C4229">
        <w:rPr>
          <w:lang w:val="es-419"/>
        </w:rPr>
        <w:t xml:space="preserve"> </w:t>
      </w:r>
      <w:hyperlink r:id="rId31" w:history="1">
        <w:r w:rsidRPr="000C4229">
          <w:rPr>
            <w:rStyle w:val="Hyperlink"/>
            <w:snapToGrid w:val="0"/>
            <w:lang w:val="es-419"/>
          </w:rPr>
          <w:t>CBD/SBI/4/17</w:t>
        </w:r>
      </w:hyperlink>
      <w:r w:rsidRPr="000C4229">
        <w:rPr>
          <w:snapToGrid w:val="0"/>
          <w:lang w:val="es-419"/>
        </w:rPr>
        <w:t xml:space="preserve"> y </w:t>
      </w:r>
      <w:hyperlink r:id="rId32" w:history="1">
        <w:r w:rsidRPr="000C4229">
          <w:rPr>
            <w:rStyle w:val="Hyperlink"/>
            <w:rFonts w:asciiTheme="majorBidi" w:hAnsiTheme="majorBidi"/>
            <w:lang w:val="es-419"/>
          </w:rPr>
          <w:t>CBD/SBI/5/4</w:t>
        </w:r>
      </w:hyperlink>
      <w:r w:rsidRPr="000C4229">
        <w:rPr>
          <w:rFonts w:asciiTheme="majorBidi" w:hAnsiTheme="majorBidi"/>
          <w:lang w:val="es-419"/>
        </w:rPr>
        <w:t>, respectivamente.</w:t>
      </w:r>
    </w:p>
  </w:footnote>
  <w:footnote w:id="82">
    <w:p w14:paraId="19D84FFC" w14:textId="77777777" w:rsidR="00F31D60" w:rsidRPr="000C4229" w:rsidRDefault="00F31D60" w:rsidP="00C15D24">
      <w:pPr>
        <w:pStyle w:val="FootnoteText"/>
        <w:rPr>
          <w:lang w:val="es-419"/>
        </w:rPr>
      </w:pPr>
      <w:r w:rsidRPr="000C4229">
        <w:rPr>
          <w:rStyle w:val="FootnoteReference"/>
          <w:lang w:val="es-419"/>
        </w:rPr>
        <w:footnoteRef/>
      </w:r>
      <w:r w:rsidRPr="000C4229">
        <w:rPr>
          <w:lang w:val="es-419"/>
        </w:rPr>
        <w:t xml:space="preserve"> </w:t>
      </w:r>
      <w:hyperlink r:id="rId33" w:history="1">
        <w:r w:rsidRPr="000C4229">
          <w:rPr>
            <w:rStyle w:val="Hyperlink"/>
            <w:lang w:val="es-419"/>
          </w:rPr>
          <w:t>CBD/CP/MOP/11/2</w:t>
        </w:r>
      </w:hyperlink>
      <w:r w:rsidRPr="000C4229">
        <w:rPr>
          <w:lang w:val="es-419"/>
        </w:rPr>
        <w:t>, tema 5.</w:t>
      </w:r>
    </w:p>
  </w:footnote>
  <w:footnote w:id="83">
    <w:p w14:paraId="1A81326B" w14:textId="77777777" w:rsidR="00F31D60" w:rsidRPr="000C4229" w:rsidRDefault="00F31D60" w:rsidP="00C15D24">
      <w:pPr>
        <w:pStyle w:val="FootnoteText"/>
        <w:rPr>
          <w:lang w:val="es-419"/>
        </w:rPr>
      </w:pPr>
      <w:r w:rsidRPr="000C4229">
        <w:rPr>
          <w:rStyle w:val="FootnoteReference"/>
          <w:lang w:val="es-419"/>
        </w:rPr>
        <w:footnoteRef/>
      </w:r>
      <w:r w:rsidRPr="000C4229">
        <w:rPr>
          <w:lang w:val="es-419"/>
        </w:rPr>
        <w:t xml:space="preserve"> </w:t>
      </w:r>
      <w:hyperlink r:id="rId34" w:history="1">
        <w:r w:rsidRPr="000C4229">
          <w:rPr>
            <w:rStyle w:val="Hyperlink"/>
            <w:rFonts w:asciiTheme="majorBidi" w:hAnsiTheme="majorBidi"/>
            <w:lang w:val="es-419"/>
          </w:rPr>
          <w:t>CBD/CP/MOP/11/3</w:t>
        </w:r>
      </w:hyperlink>
      <w:r w:rsidRPr="000C4229">
        <w:rPr>
          <w:rFonts w:asciiTheme="majorBidi" w:hAnsiTheme="majorBidi"/>
          <w:color w:val="000000" w:themeColor="text1"/>
          <w:lang w:val="es-419"/>
        </w:rPr>
        <w:t>.</w:t>
      </w:r>
    </w:p>
  </w:footnote>
  <w:footnote w:id="84">
    <w:p w14:paraId="6977EB5D" w14:textId="77777777" w:rsidR="00F31D60" w:rsidRPr="000C4229" w:rsidRDefault="00F31D60" w:rsidP="00C15D24">
      <w:pPr>
        <w:pStyle w:val="FootnoteText"/>
        <w:rPr>
          <w:lang w:val="es-419"/>
        </w:rPr>
      </w:pPr>
      <w:r w:rsidRPr="000C4229">
        <w:rPr>
          <w:rStyle w:val="FootnoteReference"/>
          <w:lang w:val="es-419"/>
        </w:rPr>
        <w:footnoteRef/>
      </w:r>
      <w:r w:rsidRPr="000C4229">
        <w:rPr>
          <w:lang w:val="es-419"/>
        </w:rPr>
        <w:t xml:space="preserve"> </w:t>
      </w:r>
      <w:hyperlink r:id="rId35" w:history="1">
        <w:r w:rsidRPr="000C4229">
          <w:rPr>
            <w:rStyle w:val="Hyperlink"/>
            <w:lang w:val="es-419"/>
          </w:rPr>
          <w:t>CBD/CP/MOP/11/INF/2</w:t>
        </w:r>
      </w:hyperlink>
      <w:r w:rsidRPr="000C4229">
        <w:rPr>
          <w:lang w:val="es-419"/>
        </w:rPr>
        <w:t>.</w:t>
      </w:r>
    </w:p>
  </w:footnote>
  <w:footnote w:id="85">
    <w:p w14:paraId="4F6B0831" w14:textId="77777777" w:rsidR="00F31D60" w:rsidRPr="000C4229" w:rsidRDefault="00F31D60" w:rsidP="00DA24E6">
      <w:pPr>
        <w:pStyle w:val="FootnoteText"/>
        <w:rPr>
          <w:lang w:val="es-419"/>
        </w:rPr>
      </w:pPr>
      <w:r w:rsidRPr="000C4229">
        <w:rPr>
          <w:rStyle w:val="FootnoteReference"/>
          <w:lang w:val="es-419"/>
        </w:rPr>
        <w:footnoteRef/>
      </w:r>
      <w:r w:rsidRPr="000C4229">
        <w:rPr>
          <w:lang w:val="es-419"/>
        </w:rPr>
        <w:t xml:space="preserve"> </w:t>
      </w:r>
      <w:hyperlink r:id="rId36" w:history="1">
        <w:r w:rsidRPr="000C4229">
          <w:rPr>
            <w:rStyle w:val="Hyperlink"/>
            <w:snapToGrid w:val="0"/>
            <w:lang w:val="es-419"/>
          </w:rPr>
          <w:t>CBD/COP/16/4/Add.1</w:t>
        </w:r>
      </w:hyperlink>
      <w:r w:rsidRPr="000C4229">
        <w:rPr>
          <w:snapToGrid w:val="0"/>
          <w:lang w:val="es-419"/>
        </w:rPr>
        <w:t>, tema 7.</w:t>
      </w:r>
    </w:p>
  </w:footnote>
  <w:footnote w:id="86">
    <w:p w14:paraId="58260D93" w14:textId="77777777" w:rsidR="00F31D60" w:rsidRPr="000C4229" w:rsidRDefault="00F31D60" w:rsidP="00DA24E6">
      <w:pPr>
        <w:pStyle w:val="FootnoteText"/>
        <w:rPr>
          <w:lang w:val="es-419"/>
        </w:rPr>
      </w:pPr>
      <w:r w:rsidRPr="000C4229">
        <w:rPr>
          <w:rStyle w:val="FootnoteReference"/>
          <w:lang w:val="es-419"/>
        </w:rPr>
        <w:footnoteRef/>
      </w:r>
      <w:r w:rsidRPr="000C4229">
        <w:rPr>
          <w:lang w:val="es-419"/>
        </w:rPr>
        <w:t xml:space="preserve"> </w:t>
      </w:r>
      <w:hyperlink r:id="rId37" w:history="1">
        <w:r w:rsidRPr="000C4229">
          <w:rPr>
            <w:rStyle w:val="Hyperlink"/>
            <w:snapToGrid w:val="0"/>
            <w:lang w:val="es-419"/>
          </w:rPr>
          <w:t>CBD/CP/MOP/11/4</w:t>
        </w:r>
      </w:hyperlink>
      <w:r w:rsidRPr="000C4229">
        <w:rPr>
          <w:snapToGrid w:val="0"/>
          <w:lang w:val="es-419"/>
        </w:rPr>
        <w:t>.</w:t>
      </w:r>
    </w:p>
  </w:footnote>
  <w:footnote w:id="87">
    <w:p w14:paraId="46E3AF12" w14:textId="77777777" w:rsidR="00F31D60" w:rsidRPr="000C4229" w:rsidRDefault="00F31D60" w:rsidP="00DA24E6">
      <w:pPr>
        <w:pStyle w:val="FootnoteText"/>
        <w:rPr>
          <w:lang w:val="es-419"/>
        </w:rPr>
      </w:pPr>
      <w:r w:rsidRPr="000C4229">
        <w:rPr>
          <w:rStyle w:val="FootnoteReference"/>
          <w:lang w:val="es-419"/>
        </w:rPr>
        <w:footnoteRef/>
      </w:r>
      <w:r w:rsidRPr="000C4229">
        <w:rPr>
          <w:lang w:val="es-419"/>
        </w:rPr>
        <w:t xml:space="preserve"> </w:t>
      </w:r>
      <w:hyperlink r:id="rId38" w:history="1">
        <w:r w:rsidRPr="000C4229">
          <w:rPr>
            <w:rStyle w:val="Hyperlink"/>
            <w:snapToGrid w:val="0"/>
            <w:lang w:val="es-419"/>
          </w:rPr>
          <w:t>CBD/CP/MOP/11/5</w:t>
        </w:r>
      </w:hyperlink>
      <w:r w:rsidRPr="000C4229">
        <w:rPr>
          <w:snapToGrid w:val="0"/>
          <w:lang w:val="es-419"/>
        </w:rPr>
        <w:t>.</w:t>
      </w:r>
    </w:p>
  </w:footnote>
  <w:footnote w:id="88">
    <w:p w14:paraId="27C02A3F" w14:textId="77777777" w:rsidR="00F31D60" w:rsidRPr="000C4229" w:rsidRDefault="00F31D60" w:rsidP="00DA24E6">
      <w:pPr>
        <w:pStyle w:val="FootnoteText"/>
        <w:rPr>
          <w:lang w:val="es-419"/>
        </w:rPr>
      </w:pPr>
      <w:r w:rsidRPr="000C4229">
        <w:rPr>
          <w:rStyle w:val="FootnoteReference"/>
          <w:lang w:val="es-419"/>
        </w:rPr>
        <w:footnoteRef/>
      </w:r>
      <w:r w:rsidRPr="000C4229">
        <w:rPr>
          <w:lang w:val="es-419"/>
        </w:rPr>
        <w:t xml:space="preserve"> </w:t>
      </w:r>
      <w:hyperlink r:id="rId39" w:history="1">
        <w:r w:rsidRPr="000C4229">
          <w:rPr>
            <w:rStyle w:val="Hyperlink"/>
            <w:lang w:val="es-419"/>
          </w:rPr>
          <w:t>CBD/CP/MOP/11/5/Add.1</w:t>
        </w:r>
      </w:hyperlink>
      <w:r w:rsidRPr="000C4229">
        <w:rPr>
          <w:lang w:val="es-419"/>
        </w:rPr>
        <w:t>.</w:t>
      </w:r>
    </w:p>
  </w:footnote>
  <w:footnote w:id="89">
    <w:p w14:paraId="12216B29" w14:textId="77777777" w:rsidR="00F31D60" w:rsidRPr="000C4229" w:rsidRDefault="00F31D60" w:rsidP="00DA24E6">
      <w:pPr>
        <w:pStyle w:val="FootnoteText"/>
        <w:rPr>
          <w:lang w:val="es-419"/>
        </w:rPr>
      </w:pPr>
      <w:r w:rsidRPr="000C4229">
        <w:rPr>
          <w:rStyle w:val="FootnoteReference"/>
          <w:lang w:val="es-419"/>
        </w:rPr>
        <w:footnoteRef/>
      </w:r>
      <w:r w:rsidRPr="000C4229">
        <w:rPr>
          <w:lang w:val="es-419"/>
        </w:rPr>
        <w:t xml:space="preserve"> </w:t>
      </w:r>
      <w:hyperlink r:id="rId40" w:history="1">
        <w:r w:rsidRPr="000C4229">
          <w:rPr>
            <w:rStyle w:val="Hyperlink"/>
            <w:rFonts w:asciiTheme="majorBidi" w:hAnsiTheme="majorBidi"/>
            <w:lang w:val="es-419"/>
          </w:rPr>
          <w:t>CBD/CP/MOP/11/5/Add.2</w:t>
        </w:r>
      </w:hyperlink>
      <w:r w:rsidRPr="000C4229">
        <w:rPr>
          <w:lang w:val="es-419"/>
        </w:rPr>
        <w:t>.</w:t>
      </w:r>
    </w:p>
  </w:footnote>
  <w:footnote w:id="90">
    <w:p w14:paraId="0A4E5327" w14:textId="77777777" w:rsidR="00F31D60" w:rsidRPr="000C4229" w:rsidRDefault="00F31D60" w:rsidP="00C8664A">
      <w:pPr>
        <w:pStyle w:val="FootnoteText"/>
        <w:rPr>
          <w:lang w:val="es-419"/>
        </w:rPr>
      </w:pPr>
      <w:r w:rsidRPr="000C4229">
        <w:rPr>
          <w:rStyle w:val="FootnoteReference"/>
          <w:lang w:val="es-419"/>
        </w:rPr>
        <w:footnoteRef/>
      </w:r>
      <w:r w:rsidRPr="000C4229">
        <w:rPr>
          <w:lang w:val="es-419"/>
        </w:rPr>
        <w:t xml:space="preserve"> </w:t>
      </w:r>
      <w:hyperlink r:id="rId41" w:history="1">
        <w:r w:rsidRPr="000C4229">
          <w:rPr>
            <w:rStyle w:val="Hyperlink"/>
            <w:lang w:val="es-419"/>
          </w:rPr>
          <w:t>CBD/CP/MOP/11/2</w:t>
        </w:r>
      </w:hyperlink>
      <w:r w:rsidRPr="000C4229">
        <w:rPr>
          <w:lang w:val="es-419"/>
        </w:rPr>
        <w:t>, tema 7.</w:t>
      </w:r>
    </w:p>
  </w:footnote>
  <w:footnote w:id="91">
    <w:p w14:paraId="79D8C30D" w14:textId="77777777" w:rsidR="00F31D60" w:rsidRPr="000C4229" w:rsidRDefault="00F31D60" w:rsidP="00C8664A">
      <w:pPr>
        <w:pStyle w:val="FootnoteText"/>
        <w:rPr>
          <w:lang w:val="es-419"/>
        </w:rPr>
      </w:pPr>
      <w:r w:rsidRPr="000C4229">
        <w:rPr>
          <w:rStyle w:val="FootnoteReference"/>
          <w:lang w:val="es-419"/>
        </w:rPr>
        <w:footnoteRef/>
      </w:r>
      <w:r w:rsidRPr="000C4229">
        <w:rPr>
          <w:lang w:val="es-419"/>
        </w:rPr>
        <w:t xml:space="preserve"> </w:t>
      </w:r>
      <w:hyperlink r:id="rId42" w:history="1">
        <w:r w:rsidRPr="000C4229">
          <w:rPr>
            <w:rStyle w:val="Hyperlink"/>
            <w:lang w:val="es-419"/>
          </w:rPr>
          <w:t>CBD/CP/MOP/11/6</w:t>
        </w:r>
      </w:hyperlink>
      <w:r w:rsidRPr="000C4229">
        <w:rPr>
          <w:lang w:val="es-419"/>
        </w:rPr>
        <w:t>.</w:t>
      </w:r>
    </w:p>
  </w:footnote>
  <w:footnote w:id="92">
    <w:p w14:paraId="52ACC654" w14:textId="77777777" w:rsidR="00F31D60" w:rsidRPr="000C4229" w:rsidRDefault="00F31D60" w:rsidP="00C8664A">
      <w:pPr>
        <w:pStyle w:val="FootnoteText"/>
        <w:rPr>
          <w:lang w:val="es-419"/>
        </w:rPr>
      </w:pPr>
      <w:r w:rsidRPr="000C4229">
        <w:rPr>
          <w:rStyle w:val="FootnoteReference"/>
          <w:lang w:val="es-419"/>
        </w:rPr>
        <w:footnoteRef/>
      </w:r>
      <w:r w:rsidRPr="000C4229">
        <w:rPr>
          <w:lang w:val="es-419"/>
        </w:rPr>
        <w:t xml:space="preserve"> </w:t>
      </w:r>
      <w:hyperlink r:id="rId43" w:history="1">
        <w:r w:rsidRPr="000C4229">
          <w:rPr>
            <w:rStyle w:val="Hyperlink"/>
            <w:lang w:val="es-419"/>
          </w:rPr>
          <w:t>CBD/CP/MOP/11/2</w:t>
        </w:r>
      </w:hyperlink>
      <w:r w:rsidRPr="000C4229">
        <w:rPr>
          <w:lang w:val="es-419"/>
        </w:rPr>
        <w:t>, tema 8.</w:t>
      </w:r>
    </w:p>
  </w:footnote>
  <w:footnote w:id="93">
    <w:p w14:paraId="4941621A" w14:textId="77777777" w:rsidR="00F31D60" w:rsidRPr="000C4229" w:rsidRDefault="00F31D60" w:rsidP="00C8664A">
      <w:pPr>
        <w:pStyle w:val="FootnoteText"/>
        <w:rPr>
          <w:lang w:val="es-419"/>
        </w:rPr>
      </w:pPr>
      <w:r w:rsidRPr="000C4229">
        <w:rPr>
          <w:rStyle w:val="FootnoteReference"/>
          <w:lang w:val="es-419"/>
        </w:rPr>
        <w:footnoteRef/>
      </w:r>
      <w:r w:rsidRPr="000C4229">
        <w:rPr>
          <w:lang w:val="es-419"/>
        </w:rPr>
        <w:t xml:space="preserve"> </w:t>
      </w:r>
      <w:hyperlink r:id="rId44" w:history="1">
        <w:r w:rsidRPr="000C4229">
          <w:rPr>
            <w:rStyle w:val="Hyperlink"/>
            <w:lang w:val="es-419"/>
          </w:rPr>
          <w:t>CBD/CP/MOP/11/7</w:t>
        </w:r>
      </w:hyperlink>
      <w:r w:rsidRPr="000C4229">
        <w:rPr>
          <w:lang w:val="es-419"/>
        </w:rPr>
        <w:t>.</w:t>
      </w:r>
    </w:p>
  </w:footnote>
  <w:footnote w:id="94">
    <w:p w14:paraId="76BAC03D" w14:textId="77777777" w:rsidR="00F31D60" w:rsidRPr="000C4229" w:rsidRDefault="00F31D60" w:rsidP="002A2649">
      <w:pPr>
        <w:pStyle w:val="FootnoteText"/>
        <w:rPr>
          <w:lang w:val="es-419"/>
        </w:rPr>
      </w:pPr>
      <w:r w:rsidRPr="000C4229">
        <w:rPr>
          <w:rStyle w:val="FootnoteReference"/>
          <w:lang w:val="es-419"/>
        </w:rPr>
        <w:footnoteRef/>
      </w:r>
      <w:r w:rsidRPr="000C4229">
        <w:rPr>
          <w:lang w:val="es-419"/>
        </w:rPr>
        <w:t xml:space="preserve"> </w:t>
      </w:r>
      <w:hyperlink r:id="rId45" w:history="1">
        <w:r w:rsidRPr="000C4229">
          <w:rPr>
            <w:rStyle w:val="Hyperlink"/>
            <w:lang w:val="es-419"/>
          </w:rPr>
          <w:t>CBD/CP/MOP/11/8/Rev.1</w:t>
        </w:r>
      </w:hyperlink>
      <w:r w:rsidRPr="000C4229">
        <w:rPr>
          <w:lang w:val="es-419"/>
        </w:rPr>
        <w:t>.</w:t>
      </w:r>
    </w:p>
  </w:footnote>
  <w:footnote w:id="95">
    <w:p w14:paraId="1225C8F1" w14:textId="77777777" w:rsidR="00F31D60" w:rsidRPr="000C4229" w:rsidRDefault="00F31D60" w:rsidP="002A2649">
      <w:pPr>
        <w:pStyle w:val="FootnoteText"/>
        <w:rPr>
          <w:lang w:val="es-419"/>
        </w:rPr>
      </w:pPr>
      <w:r w:rsidRPr="000C4229">
        <w:rPr>
          <w:rStyle w:val="FootnoteReference"/>
          <w:lang w:val="es-419"/>
        </w:rPr>
        <w:footnoteRef/>
      </w:r>
      <w:r w:rsidRPr="000C4229">
        <w:rPr>
          <w:lang w:val="es-419"/>
        </w:rPr>
        <w:t xml:space="preserve"> </w:t>
      </w:r>
      <w:hyperlink r:id="rId46" w:history="1">
        <w:r w:rsidRPr="000C4229">
          <w:rPr>
            <w:rStyle w:val="Hyperlink"/>
            <w:lang w:val="es-419"/>
          </w:rPr>
          <w:t>CBD/CP/MOP/11/2</w:t>
        </w:r>
      </w:hyperlink>
      <w:r w:rsidRPr="000C4229">
        <w:rPr>
          <w:lang w:val="es-419"/>
        </w:rPr>
        <w:t>, tema 10.</w:t>
      </w:r>
    </w:p>
  </w:footnote>
  <w:footnote w:id="96">
    <w:p w14:paraId="26167C5C" w14:textId="77777777" w:rsidR="00F31D60" w:rsidRPr="000C4229" w:rsidRDefault="00F31D60" w:rsidP="00F83D4C">
      <w:pPr>
        <w:pStyle w:val="FootnoteText"/>
        <w:rPr>
          <w:lang w:val="es-419"/>
        </w:rPr>
      </w:pPr>
      <w:r w:rsidRPr="000C4229">
        <w:rPr>
          <w:rStyle w:val="FootnoteReference"/>
          <w:lang w:val="es-419"/>
        </w:rPr>
        <w:footnoteRef/>
      </w:r>
      <w:r w:rsidRPr="000C4229">
        <w:rPr>
          <w:lang w:val="es-419"/>
        </w:rPr>
        <w:t xml:space="preserve"> </w:t>
      </w:r>
      <w:r w:rsidRPr="00F31D60">
        <w:rPr>
          <w:i/>
          <w:lang w:val="es-419"/>
        </w:rPr>
        <w:t>Ibid.</w:t>
      </w:r>
      <w:r w:rsidRPr="000C4229">
        <w:rPr>
          <w:lang w:val="es-419"/>
        </w:rPr>
        <w:t>, tema 11.</w:t>
      </w:r>
    </w:p>
  </w:footnote>
  <w:footnote w:id="97">
    <w:p w14:paraId="47AD9782" w14:textId="77777777" w:rsidR="00F31D60" w:rsidRPr="000C4229" w:rsidRDefault="00F31D60" w:rsidP="00F83D4C">
      <w:pPr>
        <w:pStyle w:val="FootnoteText"/>
        <w:rPr>
          <w:lang w:val="es-419"/>
        </w:rPr>
      </w:pPr>
      <w:r w:rsidRPr="000C4229">
        <w:rPr>
          <w:rStyle w:val="FootnoteReference"/>
          <w:lang w:val="es-419"/>
        </w:rPr>
        <w:footnoteRef/>
      </w:r>
      <w:r w:rsidRPr="000C4229">
        <w:rPr>
          <w:lang w:val="es-419"/>
        </w:rPr>
        <w:t xml:space="preserve"> </w:t>
      </w:r>
      <w:hyperlink r:id="rId47" w:history="1">
        <w:r w:rsidRPr="000C4229">
          <w:rPr>
            <w:rStyle w:val="Hyperlink"/>
            <w:lang w:val="es-419"/>
          </w:rPr>
          <w:t>CBD/CP/MOP/11/9</w:t>
        </w:r>
      </w:hyperlink>
      <w:r w:rsidRPr="000C4229">
        <w:rPr>
          <w:lang w:val="es-419"/>
        </w:rPr>
        <w:t>.</w:t>
      </w:r>
    </w:p>
  </w:footnote>
  <w:footnote w:id="98">
    <w:p w14:paraId="37615635" w14:textId="77777777" w:rsidR="00F31D60" w:rsidRPr="000C4229" w:rsidRDefault="00F31D60" w:rsidP="00F83D4C">
      <w:pPr>
        <w:pStyle w:val="FootnoteText"/>
        <w:rPr>
          <w:lang w:val="es-419"/>
        </w:rPr>
      </w:pPr>
      <w:r w:rsidRPr="000C4229">
        <w:rPr>
          <w:rStyle w:val="FootnoteReference"/>
          <w:lang w:val="es-419"/>
        </w:rPr>
        <w:footnoteRef/>
      </w:r>
      <w:r w:rsidRPr="000C4229">
        <w:rPr>
          <w:lang w:val="es-419"/>
        </w:rPr>
        <w:t xml:space="preserve"> </w:t>
      </w:r>
      <w:hyperlink r:id="rId48" w:history="1">
        <w:r w:rsidRPr="000C4229">
          <w:rPr>
            <w:rStyle w:val="Hyperlink"/>
            <w:lang w:val="es-419"/>
          </w:rPr>
          <w:t>CBD/CP/MOP/11/2</w:t>
        </w:r>
      </w:hyperlink>
      <w:r w:rsidRPr="000C4229">
        <w:rPr>
          <w:lang w:val="es-419"/>
        </w:rPr>
        <w:t>, tema 12.</w:t>
      </w:r>
    </w:p>
  </w:footnote>
  <w:footnote w:id="99">
    <w:p w14:paraId="688B4E86" w14:textId="77777777" w:rsidR="00F31D60" w:rsidRPr="000C4229" w:rsidRDefault="00F31D60" w:rsidP="00F83D4C">
      <w:pPr>
        <w:pStyle w:val="FootnoteText"/>
        <w:rPr>
          <w:lang w:val="es-419"/>
        </w:rPr>
      </w:pPr>
      <w:r w:rsidRPr="000C4229">
        <w:rPr>
          <w:rStyle w:val="FootnoteReference"/>
          <w:lang w:val="es-419"/>
        </w:rPr>
        <w:footnoteRef/>
      </w:r>
      <w:r w:rsidRPr="000C4229">
        <w:rPr>
          <w:lang w:val="es-419"/>
        </w:rPr>
        <w:t xml:space="preserve"> </w:t>
      </w:r>
      <w:r w:rsidRPr="00F31D60">
        <w:rPr>
          <w:i/>
          <w:lang w:val="es-419"/>
        </w:rPr>
        <w:t>Ibid.</w:t>
      </w:r>
      <w:r w:rsidRPr="000C4229">
        <w:rPr>
          <w:lang w:val="es-419"/>
        </w:rPr>
        <w:t>, tema 13.</w:t>
      </w:r>
    </w:p>
  </w:footnote>
  <w:footnote w:id="100">
    <w:p w14:paraId="43505F91" w14:textId="77777777" w:rsidR="00F31D60" w:rsidRPr="000C4229" w:rsidRDefault="00F31D60" w:rsidP="00F83D4C">
      <w:pPr>
        <w:pStyle w:val="FootnoteText"/>
        <w:rPr>
          <w:lang w:val="es-419"/>
        </w:rPr>
      </w:pPr>
      <w:r w:rsidRPr="000C4229">
        <w:rPr>
          <w:rStyle w:val="FootnoteReference"/>
          <w:lang w:val="es-419"/>
        </w:rPr>
        <w:footnoteRef/>
      </w:r>
      <w:r w:rsidRPr="000C4229">
        <w:rPr>
          <w:lang w:val="es-419"/>
        </w:rPr>
        <w:t xml:space="preserve"> </w:t>
      </w:r>
      <w:hyperlink r:id="rId49" w:history="1">
        <w:r w:rsidRPr="000C4229">
          <w:rPr>
            <w:rStyle w:val="Hyperlink"/>
            <w:lang w:val="es-419"/>
          </w:rPr>
          <w:t>CBD/CP/MOP/11/10</w:t>
        </w:r>
      </w:hyperlink>
      <w:r w:rsidRPr="000C4229">
        <w:rPr>
          <w:lang w:val="es-419"/>
        </w:rPr>
        <w:t>.</w:t>
      </w:r>
    </w:p>
  </w:footnote>
  <w:footnote w:id="101">
    <w:p w14:paraId="194E0A6F" w14:textId="77777777" w:rsidR="00F31D60" w:rsidRPr="000C4229" w:rsidRDefault="00F31D60" w:rsidP="00F83D4C">
      <w:pPr>
        <w:pStyle w:val="FootnoteText"/>
        <w:rPr>
          <w:lang w:val="es-419"/>
        </w:rPr>
      </w:pPr>
      <w:r w:rsidRPr="000C4229">
        <w:rPr>
          <w:rStyle w:val="FootnoteReference"/>
          <w:lang w:val="es-419"/>
        </w:rPr>
        <w:footnoteRef/>
      </w:r>
      <w:r w:rsidRPr="000C4229">
        <w:rPr>
          <w:lang w:val="es-419"/>
        </w:rPr>
        <w:t xml:space="preserve"> </w:t>
      </w:r>
      <w:hyperlink r:id="rId50" w:history="1">
        <w:r w:rsidRPr="000C4229">
          <w:rPr>
            <w:rStyle w:val="Hyperlink"/>
            <w:lang w:val="es-419"/>
          </w:rPr>
          <w:t>CBD/CP/MOP/11/2</w:t>
        </w:r>
      </w:hyperlink>
      <w:r w:rsidRPr="000C4229">
        <w:rPr>
          <w:lang w:val="es-419"/>
        </w:rPr>
        <w:t>, tema 14.</w:t>
      </w:r>
    </w:p>
  </w:footnote>
  <w:footnote w:id="102">
    <w:p w14:paraId="61F2FF97" w14:textId="77777777" w:rsidR="00F31D60" w:rsidRPr="000C4229" w:rsidRDefault="00F31D60" w:rsidP="00F83D4C">
      <w:pPr>
        <w:pStyle w:val="FootnoteText"/>
        <w:rPr>
          <w:lang w:val="es-419"/>
        </w:rPr>
      </w:pPr>
      <w:r w:rsidRPr="000C4229">
        <w:rPr>
          <w:rStyle w:val="FootnoteReference"/>
          <w:lang w:val="es-419"/>
        </w:rPr>
        <w:footnoteRef/>
      </w:r>
      <w:r w:rsidRPr="000C4229">
        <w:rPr>
          <w:lang w:val="es-419"/>
        </w:rPr>
        <w:t xml:space="preserve"> </w:t>
      </w:r>
      <w:hyperlink r:id="rId51" w:history="1">
        <w:r w:rsidRPr="000C4229">
          <w:rPr>
            <w:rStyle w:val="Hyperlink"/>
            <w:lang w:val="es-419"/>
          </w:rPr>
          <w:t>CBD/CP/MOP/11/11</w:t>
        </w:r>
      </w:hyperlink>
      <w:r w:rsidRPr="000C4229">
        <w:rPr>
          <w:lang w:val="es-419"/>
        </w:rPr>
        <w:t>.</w:t>
      </w:r>
    </w:p>
  </w:footnote>
  <w:footnote w:id="103">
    <w:p w14:paraId="5CF86803" w14:textId="77777777" w:rsidR="00F31D60" w:rsidRPr="000C4229" w:rsidRDefault="00F31D60" w:rsidP="00065280">
      <w:pPr>
        <w:pStyle w:val="FootnoteText"/>
        <w:rPr>
          <w:lang w:val="es-419"/>
        </w:rPr>
      </w:pPr>
      <w:r w:rsidRPr="000C4229">
        <w:rPr>
          <w:rStyle w:val="FootnoteReference"/>
          <w:lang w:val="es-419"/>
        </w:rPr>
        <w:footnoteRef/>
      </w:r>
      <w:r w:rsidRPr="000C4229">
        <w:rPr>
          <w:lang w:val="es-419"/>
        </w:rPr>
        <w:t xml:space="preserve"> </w:t>
      </w:r>
      <w:hyperlink r:id="rId52" w:history="1">
        <w:r w:rsidRPr="000C4229">
          <w:rPr>
            <w:rStyle w:val="Hyperlink"/>
            <w:lang w:val="es-419"/>
          </w:rPr>
          <w:t>CBD/CP/MOP/11/L.1/Rev.1</w:t>
        </w:r>
      </w:hyperlink>
      <w:r w:rsidRPr="000C4229">
        <w:rPr>
          <w:lang w:val="es-4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14" w:name="_Hlk137802784"/>
  <w:bookmarkStart w:id="115" w:name="_Hlk137802785"/>
  <w:p w14:paraId="2F8A26D5" w14:textId="4D4DDFEF" w:rsidR="00F31D60" w:rsidRPr="00AA1338" w:rsidRDefault="009B5A0D" w:rsidP="002B559C">
    <w:pPr>
      <w:pBdr>
        <w:bottom w:val="single" w:sz="4" w:space="1" w:color="auto"/>
      </w:pBdr>
      <w:spacing w:after="240"/>
      <w:rPr>
        <w:sz w:val="20"/>
        <w:szCs w:val="20"/>
      </w:rPr>
    </w:pPr>
    <w:sdt>
      <w:sdtPr>
        <w:rPr>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F31D60">
          <w:rPr>
            <w:sz w:val="20"/>
            <w:szCs w:val="20"/>
          </w:rPr>
          <w:t>CBD/CP/MOP/11/12</w:t>
        </w:r>
      </w:sdtContent>
    </w:sdt>
    <w:bookmarkEnd w:id="114"/>
    <w:bookmarkEnd w:id="115"/>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47A464FA" w14:textId="3F94B1EF" w:rsidR="00F31D60" w:rsidRPr="00AA1338" w:rsidRDefault="00F31D60" w:rsidP="002B559C">
        <w:pPr>
          <w:pBdr>
            <w:bottom w:val="single" w:sz="4" w:space="1" w:color="auto"/>
          </w:pBdr>
          <w:spacing w:after="240"/>
          <w:jc w:val="right"/>
          <w:rPr>
            <w:sz w:val="20"/>
            <w:szCs w:val="20"/>
          </w:rPr>
        </w:pPr>
        <w:r w:rsidRPr="00AA1338">
          <w:rPr>
            <w:sz w:val="20"/>
            <w:szCs w:val="20"/>
          </w:rPr>
          <w:t>CBD/CP/MOP/11/</w:t>
        </w:r>
        <w:r>
          <w:rPr>
            <w:sz w:val="20"/>
            <w:szCs w:val="20"/>
          </w:rPr>
          <w:t>12</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A281E" w14:textId="77777777" w:rsidR="00F31D60" w:rsidRPr="00AA1338" w:rsidRDefault="00F31D60" w:rsidP="004B552A">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2402AAA"/>
    <w:multiLevelType w:val="singleLevel"/>
    <w:tmpl w:val="9EFE0B9E"/>
    <w:lvl w:ilvl="0">
      <w:start w:val="1"/>
      <w:numFmt w:val="lowerLetter"/>
      <w:lvlRestart w:val="0"/>
      <w:pStyle w:val="Para2"/>
      <w:lvlText w:val="(%1)"/>
      <w:lvlJc w:val="left"/>
      <w:pPr>
        <w:tabs>
          <w:tab w:val="num" w:pos="1080"/>
        </w:tabs>
        <w:ind w:firstLine="720"/>
      </w:pPr>
      <w:rPr>
        <w:rFonts w:cs="Times New Roman" w:hint="default"/>
        <w:b w:val="0"/>
        <w:i w:val="0"/>
      </w:rPr>
    </w:lvl>
  </w:abstractNum>
  <w:abstractNum w:abstractNumId="4" w15:restartNumberingAfterBreak="0">
    <w:nsid w:val="5D943BEE"/>
    <w:multiLevelType w:val="multilevel"/>
    <w:tmpl w:val="222A08B4"/>
    <w:numStyleLink w:val="ListCBD"/>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7"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185633864">
    <w:abstractNumId w:val="7"/>
  </w:num>
  <w:num w:numId="2" w16cid:durableId="956449963">
    <w:abstractNumId w:val="0"/>
  </w:num>
  <w:num w:numId="3" w16cid:durableId="1253200945">
    <w:abstractNumId w:val="2"/>
  </w:num>
  <w:num w:numId="4" w16cid:durableId="480003310">
    <w:abstractNumId w:val="6"/>
  </w:num>
  <w:num w:numId="5" w16cid:durableId="397291841">
    <w:abstractNumId w:val="1"/>
  </w:num>
  <w:num w:numId="6" w16cid:durableId="1920209489">
    <w:abstractNumId w:val="5"/>
  </w:num>
  <w:num w:numId="7" w16cid:durableId="1111047224">
    <w:abstractNumId w:val="4"/>
  </w:num>
  <w:num w:numId="8" w16cid:durableId="1767458733">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 w16cid:durableId="1661228568">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 w16cid:durableId="356004705">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 w16cid:durableId="1948730494">
    <w:abstractNumId w:val="3"/>
  </w:num>
  <w:num w:numId="12" w16cid:durableId="98273493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1044973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7188325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7523168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3698625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0100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6146267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8981616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856768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8413897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9466840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1535675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9706015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6069937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562869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8822568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2788894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6420580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6688220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460954581">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2" w16cid:durableId="1314681525">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3" w16cid:durableId="1903517396">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ttachedTemplate r:id="rId1"/>
  <w:doNotTrackFormatting/>
  <w:defaultTabStop w:val="720"/>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9D1"/>
    <w:rsid w:val="000001F8"/>
    <w:rsid w:val="000008AD"/>
    <w:rsid w:val="000009D1"/>
    <w:rsid w:val="00000B1F"/>
    <w:rsid w:val="00000FDC"/>
    <w:rsid w:val="000011AB"/>
    <w:rsid w:val="00001250"/>
    <w:rsid w:val="00002B05"/>
    <w:rsid w:val="00003E20"/>
    <w:rsid w:val="00004DAA"/>
    <w:rsid w:val="00005AFF"/>
    <w:rsid w:val="00005BCE"/>
    <w:rsid w:val="000103F2"/>
    <w:rsid w:val="00010727"/>
    <w:rsid w:val="00010881"/>
    <w:rsid w:val="00011450"/>
    <w:rsid w:val="00012DE3"/>
    <w:rsid w:val="00013DB2"/>
    <w:rsid w:val="00014A86"/>
    <w:rsid w:val="00016AA5"/>
    <w:rsid w:val="00016B57"/>
    <w:rsid w:val="0001715E"/>
    <w:rsid w:val="000174F9"/>
    <w:rsid w:val="00017B5D"/>
    <w:rsid w:val="00020E2E"/>
    <w:rsid w:val="00022AA4"/>
    <w:rsid w:val="0002373F"/>
    <w:rsid w:val="000243FD"/>
    <w:rsid w:val="0002491C"/>
    <w:rsid w:val="00024982"/>
    <w:rsid w:val="00025E82"/>
    <w:rsid w:val="000300DB"/>
    <w:rsid w:val="000301D9"/>
    <w:rsid w:val="00030465"/>
    <w:rsid w:val="00030AC4"/>
    <w:rsid w:val="0003203C"/>
    <w:rsid w:val="00033DB3"/>
    <w:rsid w:val="000346FF"/>
    <w:rsid w:val="00034A4C"/>
    <w:rsid w:val="00035500"/>
    <w:rsid w:val="000363D0"/>
    <w:rsid w:val="00040598"/>
    <w:rsid w:val="00040D0B"/>
    <w:rsid w:val="0004115E"/>
    <w:rsid w:val="00041AC8"/>
    <w:rsid w:val="00042345"/>
    <w:rsid w:val="0004334E"/>
    <w:rsid w:val="00043CF0"/>
    <w:rsid w:val="00043E83"/>
    <w:rsid w:val="000448CB"/>
    <w:rsid w:val="000456E7"/>
    <w:rsid w:val="00045A72"/>
    <w:rsid w:val="00047D4D"/>
    <w:rsid w:val="00051B37"/>
    <w:rsid w:val="00051B8E"/>
    <w:rsid w:val="0005487B"/>
    <w:rsid w:val="000579E1"/>
    <w:rsid w:val="00057A92"/>
    <w:rsid w:val="00060111"/>
    <w:rsid w:val="00060BCD"/>
    <w:rsid w:val="00060C68"/>
    <w:rsid w:val="00062CC1"/>
    <w:rsid w:val="00064EBA"/>
    <w:rsid w:val="00064F64"/>
    <w:rsid w:val="00065280"/>
    <w:rsid w:val="00065326"/>
    <w:rsid w:val="0006532F"/>
    <w:rsid w:val="0006715F"/>
    <w:rsid w:val="00067189"/>
    <w:rsid w:val="000709B6"/>
    <w:rsid w:val="00070EAC"/>
    <w:rsid w:val="0007149A"/>
    <w:rsid w:val="000714E6"/>
    <w:rsid w:val="0007157A"/>
    <w:rsid w:val="00074C6C"/>
    <w:rsid w:val="00075376"/>
    <w:rsid w:val="00075B94"/>
    <w:rsid w:val="00075DDE"/>
    <w:rsid w:val="00076608"/>
    <w:rsid w:val="00076AD4"/>
    <w:rsid w:val="00076B36"/>
    <w:rsid w:val="00080196"/>
    <w:rsid w:val="00080541"/>
    <w:rsid w:val="000824B8"/>
    <w:rsid w:val="000830F6"/>
    <w:rsid w:val="00083650"/>
    <w:rsid w:val="00083FD2"/>
    <w:rsid w:val="00084964"/>
    <w:rsid w:val="00086066"/>
    <w:rsid w:val="0008720D"/>
    <w:rsid w:val="00090089"/>
    <w:rsid w:val="000903A7"/>
    <w:rsid w:val="00092A78"/>
    <w:rsid w:val="00093ADA"/>
    <w:rsid w:val="000944AD"/>
    <w:rsid w:val="000953AE"/>
    <w:rsid w:val="00095616"/>
    <w:rsid w:val="00096D69"/>
    <w:rsid w:val="00096E44"/>
    <w:rsid w:val="000976E3"/>
    <w:rsid w:val="000A0B73"/>
    <w:rsid w:val="000A0CE9"/>
    <w:rsid w:val="000A14EA"/>
    <w:rsid w:val="000A1749"/>
    <w:rsid w:val="000A1BC6"/>
    <w:rsid w:val="000A1ECB"/>
    <w:rsid w:val="000A2701"/>
    <w:rsid w:val="000A285D"/>
    <w:rsid w:val="000A2D7F"/>
    <w:rsid w:val="000A3C84"/>
    <w:rsid w:val="000A3F7A"/>
    <w:rsid w:val="000A3FCC"/>
    <w:rsid w:val="000A422E"/>
    <w:rsid w:val="000A435E"/>
    <w:rsid w:val="000A4D75"/>
    <w:rsid w:val="000A5A1E"/>
    <w:rsid w:val="000A5DC5"/>
    <w:rsid w:val="000A62CB"/>
    <w:rsid w:val="000A66C2"/>
    <w:rsid w:val="000A7BAC"/>
    <w:rsid w:val="000B13D5"/>
    <w:rsid w:val="000B3850"/>
    <w:rsid w:val="000B3DE5"/>
    <w:rsid w:val="000B433B"/>
    <w:rsid w:val="000B4DFE"/>
    <w:rsid w:val="000B4E83"/>
    <w:rsid w:val="000B5262"/>
    <w:rsid w:val="000B5D52"/>
    <w:rsid w:val="000B6714"/>
    <w:rsid w:val="000B69D1"/>
    <w:rsid w:val="000B734B"/>
    <w:rsid w:val="000C180C"/>
    <w:rsid w:val="000C25A0"/>
    <w:rsid w:val="000C25A5"/>
    <w:rsid w:val="000C25DE"/>
    <w:rsid w:val="000C2759"/>
    <w:rsid w:val="000C34E1"/>
    <w:rsid w:val="000C4229"/>
    <w:rsid w:val="000C4370"/>
    <w:rsid w:val="000C54F7"/>
    <w:rsid w:val="000C658C"/>
    <w:rsid w:val="000C74F9"/>
    <w:rsid w:val="000D16A5"/>
    <w:rsid w:val="000D47B5"/>
    <w:rsid w:val="000D4E61"/>
    <w:rsid w:val="000D4F1B"/>
    <w:rsid w:val="000D648B"/>
    <w:rsid w:val="000D6591"/>
    <w:rsid w:val="000D6B03"/>
    <w:rsid w:val="000D6E91"/>
    <w:rsid w:val="000E0B93"/>
    <w:rsid w:val="000E1404"/>
    <w:rsid w:val="000E1810"/>
    <w:rsid w:val="000E3CF8"/>
    <w:rsid w:val="000E3DAB"/>
    <w:rsid w:val="000E4CCD"/>
    <w:rsid w:val="000E4D43"/>
    <w:rsid w:val="000E705B"/>
    <w:rsid w:val="000E7539"/>
    <w:rsid w:val="000E7BA0"/>
    <w:rsid w:val="000E7F83"/>
    <w:rsid w:val="000F054D"/>
    <w:rsid w:val="000F0E94"/>
    <w:rsid w:val="000F16F9"/>
    <w:rsid w:val="000F1F57"/>
    <w:rsid w:val="000F3090"/>
    <w:rsid w:val="000F5346"/>
    <w:rsid w:val="000F55B7"/>
    <w:rsid w:val="000F5F1C"/>
    <w:rsid w:val="000F62E0"/>
    <w:rsid w:val="000F6361"/>
    <w:rsid w:val="000F6FBB"/>
    <w:rsid w:val="000F70FA"/>
    <w:rsid w:val="000F7213"/>
    <w:rsid w:val="000F773B"/>
    <w:rsid w:val="000F7F8A"/>
    <w:rsid w:val="00102F79"/>
    <w:rsid w:val="001038CE"/>
    <w:rsid w:val="00103ED5"/>
    <w:rsid w:val="00105E1E"/>
    <w:rsid w:val="00106AD0"/>
    <w:rsid w:val="00112162"/>
    <w:rsid w:val="00112CC6"/>
    <w:rsid w:val="001137E6"/>
    <w:rsid w:val="00113BD7"/>
    <w:rsid w:val="0011497F"/>
    <w:rsid w:val="00114EA8"/>
    <w:rsid w:val="00115329"/>
    <w:rsid w:val="00116307"/>
    <w:rsid w:val="0011702E"/>
    <w:rsid w:val="001173F7"/>
    <w:rsid w:val="001179B7"/>
    <w:rsid w:val="0012068A"/>
    <w:rsid w:val="00122024"/>
    <w:rsid w:val="00123376"/>
    <w:rsid w:val="001233FE"/>
    <w:rsid w:val="00123463"/>
    <w:rsid w:val="00123FEF"/>
    <w:rsid w:val="001244A2"/>
    <w:rsid w:val="00124F20"/>
    <w:rsid w:val="00125160"/>
    <w:rsid w:val="00125A40"/>
    <w:rsid w:val="001264D5"/>
    <w:rsid w:val="00126769"/>
    <w:rsid w:val="00126B99"/>
    <w:rsid w:val="001274B6"/>
    <w:rsid w:val="00127EE6"/>
    <w:rsid w:val="00127F29"/>
    <w:rsid w:val="00131910"/>
    <w:rsid w:val="00132581"/>
    <w:rsid w:val="00132C81"/>
    <w:rsid w:val="00133DC2"/>
    <w:rsid w:val="001346B3"/>
    <w:rsid w:val="00136F8A"/>
    <w:rsid w:val="00137121"/>
    <w:rsid w:val="00140021"/>
    <w:rsid w:val="0014075A"/>
    <w:rsid w:val="00143C7A"/>
    <w:rsid w:val="0014784B"/>
    <w:rsid w:val="001478D9"/>
    <w:rsid w:val="00147CE6"/>
    <w:rsid w:val="00147DF8"/>
    <w:rsid w:val="00151C26"/>
    <w:rsid w:val="00152821"/>
    <w:rsid w:val="001531BD"/>
    <w:rsid w:val="00153EAE"/>
    <w:rsid w:val="0015441A"/>
    <w:rsid w:val="00154D76"/>
    <w:rsid w:val="001558EC"/>
    <w:rsid w:val="00155DD1"/>
    <w:rsid w:val="0015660B"/>
    <w:rsid w:val="00156EBD"/>
    <w:rsid w:val="00157F6F"/>
    <w:rsid w:val="0016094A"/>
    <w:rsid w:val="00162592"/>
    <w:rsid w:val="001632C7"/>
    <w:rsid w:val="001633D5"/>
    <w:rsid w:val="001633F8"/>
    <w:rsid w:val="00163993"/>
    <w:rsid w:val="00163D1D"/>
    <w:rsid w:val="00164246"/>
    <w:rsid w:val="00165881"/>
    <w:rsid w:val="0016596A"/>
    <w:rsid w:val="00166EA4"/>
    <w:rsid w:val="00167F60"/>
    <w:rsid w:val="00171C6C"/>
    <w:rsid w:val="00171C84"/>
    <w:rsid w:val="001723F2"/>
    <w:rsid w:val="001729CC"/>
    <w:rsid w:val="00173260"/>
    <w:rsid w:val="001736CA"/>
    <w:rsid w:val="00173D88"/>
    <w:rsid w:val="00174869"/>
    <w:rsid w:val="00174920"/>
    <w:rsid w:val="00174C69"/>
    <w:rsid w:val="00174DC4"/>
    <w:rsid w:val="00175744"/>
    <w:rsid w:val="0017633A"/>
    <w:rsid w:val="00176EF3"/>
    <w:rsid w:val="0017742C"/>
    <w:rsid w:val="00181ECE"/>
    <w:rsid w:val="00182866"/>
    <w:rsid w:val="0018355D"/>
    <w:rsid w:val="00183BB7"/>
    <w:rsid w:val="001842F0"/>
    <w:rsid w:val="00184909"/>
    <w:rsid w:val="00185D1B"/>
    <w:rsid w:val="00187E36"/>
    <w:rsid w:val="00190A94"/>
    <w:rsid w:val="00191171"/>
    <w:rsid w:val="001919AF"/>
    <w:rsid w:val="00191B8B"/>
    <w:rsid w:val="00191C16"/>
    <w:rsid w:val="00193052"/>
    <w:rsid w:val="00193CB8"/>
    <w:rsid w:val="00195B0E"/>
    <w:rsid w:val="00195E09"/>
    <w:rsid w:val="00195FE4"/>
    <w:rsid w:val="0019772A"/>
    <w:rsid w:val="00197820"/>
    <w:rsid w:val="001A0034"/>
    <w:rsid w:val="001A04BF"/>
    <w:rsid w:val="001A063F"/>
    <w:rsid w:val="001A11CB"/>
    <w:rsid w:val="001A1719"/>
    <w:rsid w:val="001A1A04"/>
    <w:rsid w:val="001A2205"/>
    <w:rsid w:val="001A2449"/>
    <w:rsid w:val="001A2565"/>
    <w:rsid w:val="001A34E6"/>
    <w:rsid w:val="001A6DD6"/>
    <w:rsid w:val="001A7813"/>
    <w:rsid w:val="001B0424"/>
    <w:rsid w:val="001B0530"/>
    <w:rsid w:val="001B138C"/>
    <w:rsid w:val="001B153E"/>
    <w:rsid w:val="001B19A3"/>
    <w:rsid w:val="001B272B"/>
    <w:rsid w:val="001B27F1"/>
    <w:rsid w:val="001B4D7A"/>
    <w:rsid w:val="001B619A"/>
    <w:rsid w:val="001B78BD"/>
    <w:rsid w:val="001B7F63"/>
    <w:rsid w:val="001C1AE5"/>
    <w:rsid w:val="001C1D8A"/>
    <w:rsid w:val="001C1EF4"/>
    <w:rsid w:val="001C320F"/>
    <w:rsid w:val="001C3225"/>
    <w:rsid w:val="001C40F9"/>
    <w:rsid w:val="001C5985"/>
    <w:rsid w:val="001C5E3D"/>
    <w:rsid w:val="001C60C8"/>
    <w:rsid w:val="001C6824"/>
    <w:rsid w:val="001C6B05"/>
    <w:rsid w:val="001C710A"/>
    <w:rsid w:val="001C71E0"/>
    <w:rsid w:val="001D2459"/>
    <w:rsid w:val="001D26E1"/>
    <w:rsid w:val="001D2D16"/>
    <w:rsid w:val="001D2DD0"/>
    <w:rsid w:val="001D3912"/>
    <w:rsid w:val="001D458F"/>
    <w:rsid w:val="001D7BB9"/>
    <w:rsid w:val="001E1D93"/>
    <w:rsid w:val="001E1F13"/>
    <w:rsid w:val="001E2F4B"/>
    <w:rsid w:val="001E389B"/>
    <w:rsid w:val="001E3E90"/>
    <w:rsid w:val="001E448E"/>
    <w:rsid w:val="001E4566"/>
    <w:rsid w:val="001E4610"/>
    <w:rsid w:val="001E6A05"/>
    <w:rsid w:val="001F0248"/>
    <w:rsid w:val="001F079B"/>
    <w:rsid w:val="001F08B5"/>
    <w:rsid w:val="001F1A75"/>
    <w:rsid w:val="001F209D"/>
    <w:rsid w:val="001F2A1A"/>
    <w:rsid w:val="001F2EA3"/>
    <w:rsid w:val="001F3A26"/>
    <w:rsid w:val="001F3F0A"/>
    <w:rsid w:val="001F3F92"/>
    <w:rsid w:val="001F44C3"/>
    <w:rsid w:val="001F762D"/>
    <w:rsid w:val="001F7E66"/>
    <w:rsid w:val="002009BD"/>
    <w:rsid w:val="00200A51"/>
    <w:rsid w:val="00200AE2"/>
    <w:rsid w:val="00200D17"/>
    <w:rsid w:val="00201CC1"/>
    <w:rsid w:val="00202BFD"/>
    <w:rsid w:val="0020331A"/>
    <w:rsid w:val="002039C1"/>
    <w:rsid w:val="00204E8B"/>
    <w:rsid w:val="0020668A"/>
    <w:rsid w:val="00207736"/>
    <w:rsid w:val="00207B7C"/>
    <w:rsid w:val="002102C5"/>
    <w:rsid w:val="00211F68"/>
    <w:rsid w:val="0021219F"/>
    <w:rsid w:val="0021241E"/>
    <w:rsid w:val="002133DA"/>
    <w:rsid w:val="0021344F"/>
    <w:rsid w:val="00213780"/>
    <w:rsid w:val="0021408A"/>
    <w:rsid w:val="0021488E"/>
    <w:rsid w:val="00214B5F"/>
    <w:rsid w:val="00214C3A"/>
    <w:rsid w:val="00214D12"/>
    <w:rsid w:val="00215857"/>
    <w:rsid w:val="00215B99"/>
    <w:rsid w:val="00215FC5"/>
    <w:rsid w:val="002170D6"/>
    <w:rsid w:val="00217796"/>
    <w:rsid w:val="00220CD2"/>
    <w:rsid w:val="00221DFE"/>
    <w:rsid w:val="002259F5"/>
    <w:rsid w:val="00226A4A"/>
    <w:rsid w:val="0023094B"/>
    <w:rsid w:val="00230DDB"/>
    <w:rsid w:val="00232C4F"/>
    <w:rsid w:val="00233AEC"/>
    <w:rsid w:val="00233E34"/>
    <w:rsid w:val="00234D17"/>
    <w:rsid w:val="0023504D"/>
    <w:rsid w:val="0023543A"/>
    <w:rsid w:val="002355ED"/>
    <w:rsid w:val="00235A6A"/>
    <w:rsid w:val="00235D84"/>
    <w:rsid w:val="00236944"/>
    <w:rsid w:val="00242BC1"/>
    <w:rsid w:val="002437BA"/>
    <w:rsid w:val="0024417F"/>
    <w:rsid w:val="002446C9"/>
    <w:rsid w:val="00244774"/>
    <w:rsid w:val="00244F30"/>
    <w:rsid w:val="00244F3A"/>
    <w:rsid w:val="00245947"/>
    <w:rsid w:val="002468E0"/>
    <w:rsid w:val="002472F9"/>
    <w:rsid w:val="00247DC6"/>
    <w:rsid w:val="0025062E"/>
    <w:rsid w:val="00252AE4"/>
    <w:rsid w:val="002530CE"/>
    <w:rsid w:val="00253A54"/>
    <w:rsid w:val="002550B1"/>
    <w:rsid w:val="002559A4"/>
    <w:rsid w:val="00256861"/>
    <w:rsid w:val="002572A4"/>
    <w:rsid w:val="00257B18"/>
    <w:rsid w:val="00260381"/>
    <w:rsid w:val="00260D9F"/>
    <w:rsid w:val="00260E0B"/>
    <w:rsid w:val="00261045"/>
    <w:rsid w:val="002619BD"/>
    <w:rsid w:val="00262BA1"/>
    <w:rsid w:val="002630BF"/>
    <w:rsid w:val="002639D4"/>
    <w:rsid w:val="00264248"/>
    <w:rsid w:val="002653F5"/>
    <w:rsid w:val="002656B1"/>
    <w:rsid w:val="002659D5"/>
    <w:rsid w:val="002659EE"/>
    <w:rsid w:val="00265D46"/>
    <w:rsid w:val="002667D4"/>
    <w:rsid w:val="00266D7B"/>
    <w:rsid w:val="00267369"/>
    <w:rsid w:val="00272C63"/>
    <w:rsid w:val="00275921"/>
    <w:rsid w:val="00277657"/>
    <w:rsid w:val="002807DC"/>
    <w:rsid w:val="0028086E"/>
    <w:rsid w:val="00281878"/>
    <w:rsid w:val="00282024"/>
    <w:rsid w:val="0028270A"/>
    <w:rsid w:val="00283009"/>
    <w:rsid w:val="00283152"/>
    <w:rsid w:val="00285780"/>
    <w:rsid w:val="0028646E"/>
    <w:rsid w:val="00287378"/>
    <w:rsid w:val="00287B32"/>
    <w:rsid w:val="0029008A"/>
    <w:rsid w:val="00290BAF"/>
    <w:rsid w:val="00291781"/>
    <w:rsid w:val="00291D23"/>
    <w:rsid w:val="0029297A"/>
    <w:rsid w:val="00292B1E"/>
    <w:rsid w:val="00293CC8"/>
    <w:rsid w:val="002958CC"/>
    <w:rsid w:val="0029718A"/>
    <w:rsid w:val="00297255"/>
    <w:rsid w:val="00297E57"/>
    <w:rsid w:val="002A0866"/>
    <w:rsid w:val="002A2649"/>
    <w:rsid w:val="002A2A23"/>
    <w:rsid w:val="002A458C"/>
    <w:rsid w:val="002A529C"/>
    <w:rsid w:val="002A54F4"/>
    <w:rsid w:val="002A5A2B"/>
    <w:rsid w:val="002A5F62"/>
    <w:rsid w:val="002A740C"/>
    <w:rsid w:val="002A7E1F"/>
    <w:rsid w:val="002B00CA"/>
    <w:rsid w:val="002B015D"/>
    <w:rsid w:val="002B0E50"/>
    <w:rsid w:val="002B15CF"/>
    <w:rsid w:val="002B161A"/>
    <w:rsid w:val="002B1D2E"/>
    <w:rsid w:val="002B1FC9"/>
    <w:rsid w:val="002B2047"/>
    <w:rsid w:val="002B2996"/>
    <w:rsid w:val="002B2DDE"/>
    <w:rsid w:val="002B382D"/>
    <w:rsid w:val="002B38F5"/>
    <w:rsid w:val="002B4709"/>
    <w:rsid w:val="002B559C"/>
    <w:rsid w:val="002B5E7E"/>
    <w:rsid w:val="002B6ED1"/>
    <w:rsid w:val="002B714B"/>
    <w:rsid w:val="002B7BE1"/>
    <w:rsid w:val="002C019E"/>
    <w:rsid w:val="002C0AB0"/>
    <w:rsid w:val="002C1B10"/>
    <w:rsid w:val="002C273F"/>
    <w:rsid w:val="002C2A42"/>
    <w:rsid w:val="002C2FE5"/>
    <w:rsid w:val="002C47DA"/>
    <w:rsid w:val="002C4809"/>
    <w:rsid w:val="002C4EF1"/>
    <w:rsid w:val="002C589A"/>
    <w:rsid w:val="002C5984"/>
    <w:rsid w:val="002C656B"/>
    <w:rsid w:val="002C65CC"/>
    <w:rsid w:val="002C7190"/>
    <w:rsid w:val="002C76E1"/>
    <w:rsid w:val="002D00B0"/>
    <w:rsid w:val="002D1876"/>
    <w:rsid w:val="002D1A51"/>
    <w:rsid w:val="002D202F"/>
    <w:rsid w:val="002D21D8"/>
    <w:rsid w:val="002D2790"/>
    <w:rsid w:val="002D27D9"/>
    <w:rsid w:val="002D402A"/>
    <w:rsid w:val="002D42D0"/>
    <w:rsid w:val="002D533B"/>
    <w:rsid w:val="002D5579"/>
    <w:rsid w:val="002D561A"/>
    <w:rsid w:val="002D6803"/>
    <w:rsid w:val="002D69EF"/>
    <w:rsid w:val="002D6AAF"/>
    <w:rsid w:val="002D70BE"/>
    <w:rsid w:val="002D7EA8"/>
    <w:rsid w:val="002E0734"/>
    <w:rsid w:val="002E0B5E"/>
    <w:rsid w:val="002E0B69"/>
    <w:rsid w:val="002E23E8"/>
    <w:rsid w:val="002E6584"/>
    <w:rsid w:val="002E72E5"/>
    <w:rsid w:val="002F1038"/>
    <w:rsid w:val="002F2308"/>
    <w:rsid w:val="002F3486"/>
    <w:rsid w:val="002F3E86"/>
    <w:rsid w:val="002F44FD"/>
    <w:rsid w:val="002F50DF"/>
    <w:rsid w:val="002F61C8"/>
    <w:rsid w:val="002F6C61"/>
    <w:rsid w:val="002F76E7"/>
    <w:rsid w:val="003002F4"/>
    <w:rsid w:val="0030044E"/>
    <w:rsid w:val="00300817"/>
    <w:rsid w:val="00300CC1"/>
    <w:rsid w:val="00302775"/>
    <w:rsid w:val="003031E2"/>
    <w:rsid w:val="00304C20"/>
    <w:rsid w:val="00304FF9"/>
    <w:rsid w:val="003057C1"/>
    <w:rsid w:val="00305E28"/>
    <w:rsid w:val="0030684B"/>
    <w:rsid w:val="00306E1A"/>
    <w:rsid w:val="00310410"/>
    <w:rsid w:val="00310608"/>
    <w:rsid w:val="003106D1"/>
    <w:rsid w:val="003127EC"/>
    <w:rsid w:val="00313FE3"/>
    <w:rsid w:val="00314360"/>
    <w:rsid w:val="00314632"/>
    <w:rsid w:val="003152EB"/>
    <w:rsid w:val="00316781"/>
    <w:rsid w:val="00316C1D"/>
    <w:rsid w:val="003171D4"/>
    <w:rsid w:val="00317D8E"/>
    <w:rsid w:val="003200AB"/>
    <w:rsid w:val="00320549"/>
    <w:rsid w:val="00320A08"/>
    <w:rsid w:val="00320A4B"/>
    <w:rsid w:val="0032130D"/>
    <w:rsid w:val="00323F22"/>
    <w:rsid w:val="003242BD"/>
    <w:rsid w:val="00325671"/>
    <w:rsid w:val="003263D5"/>
    <w:rsid w:val="0032775F"/>
    <w:rsid w:val="003277BC"/>
    <w:rsid w:val="00330DEA"/>
    <w:rsid w:val="00330ED1"/>
    <w:rsid w:val="00331B4F"/>
    <w:rsid w:val="00331CD2"/>
    <w:rsid w:val="003334F2"/>
    <w:rsid w:val="00334413"/>
    <w:rsid w:val="0033445F"/>
    <w:rsid w:val="003349E4"/>
    <w:rsid w:val="0033573F"/>
    <w:rsid w:val="00336C3F"/>
    <w:rsid w:val="00336E6E"/>
    <w:rsid w:val="0033711F"/>
    <w:rsid w:val="0033718E"/>
    <w:rsid w:val="00337706"/>
    <w:rsid w:val="00337BAF"/>
    <w:rsid w:val="0034007E"/>
    <w:rsid w:val="003405AD"/>
    <w:rsid w:val="00342119"/>
    <w:rsid w:val="00342651"/>
    <w:rsid w:val="0034273A"/>
    <w:rsid w:val="00342B37"/>
    <w:rsid w:val="0034322D"/>
    <w:rsid w:val="00344A6A"/>
    <w:rsid w:val="00344C6A"/>
    <w:rsid w:val="0034625E"/>
    <w:rsid w:val="003476A9"/>
    <w:rsid w:val="00347DAB"/>
    <w:rsid w:val="00350E21"/>
    <w:rsid w:val="0035127C"/>
    <w:rsid w:val="00351372"/>
    <w:rsid w:val="00351B2B"/>
    <w:rsid w:val="00351C22"/>
    <w:rsid w:val="00352E75"/>
    <w:rsid w:val="0035318C"/>
    <w:rsid w:val="003532C4"/>
    <w:rsid w:val="0035381A"/>
    <w:rsid w:val="00353FDA"/>
    <w:rsid w:val="00354FA1"/>
    <w:rsid w:val="00355F9F"/>
    <w:rsid w:val="00356047"/>
    <w:rsid w:val="00356924"/>
    <w:rsid w:val="00356A53"/>
    <w:rsid w:val="00356C27"/>
    <w:rsid w:val="00357198"/>
    <w:rsid w:val="00360382"/>
    <w:rsid w:val="00361661"/>
    <w:rsid w:val="00362FB6"/>
    <w:rsid w:val="00364AA7"/>
    <w:rsid w:val="00366543"/>
    <w:rsid w:val="00366A66"/>
    <w:rsid w:val="00367AB2"/>
    <w:rsid w:val="00367D4D"/>
    <w:rsid w:val="00367F3C"/>
    <w:rsid w:val="003703DE"/>
    <w:rsid w:val="0037065A"/>
    <w:rsid w:val="00370E99"/>
    <w:rsid w:val="00371C42"/>
    <w:rsid w:val="00372D3D"/>
    <w:rsid w:val="00372EE7"/>
    <w:rsid w:val="00373FA5"/>
    <w:rsid w:val="0037543C"/>
    <w:rsid w:val="00376A8A"/>
    <w:rsid w:val="00377528"/>
    <w:rsid w:val="00377F1E"/>
    <w:rsid w:val="0038115A"/>
    <w:rsid w:val="003817A9"/>
    <w:rsid w:val="00381B6F"/>
    <w:rsid w:val="00382290"/>
    <w:rsid w:val="00382596"/>
    <w:rsid w:val="00383F78"/>
    <w:rsid w:val="00386EC3"/>
    <w:rsid w:val="00386FCD"/>
    <w:rsid w:val="00387129"/>
    <w:rsid w:val="003873D4"/>
    <w:rsid w:val="00390537"/>
    <w:rsid w:val="0039062E"/>
    <w:rsid w:val="003907C7"/>
    <w:rsid w:val="00390872"/>
    <w:rsid w:val="00390EE6"/>
    <w:rsid w:val="00390F6D"/>
    <w:rsid w:val="0039118D"/>
    <w:rsid w:val="00391489"/>
    <w:rsid w:val="0039181E"/>
    <w:rsid w:val="0039204A"/>
    <w:rsid w:val="00392785"/>
    <w:rsid w:val="00392FF8"/>
    <w:rsid w:val="003932C1"/>
    <w:rsid w:val="00394B8B"/>
    <w:rsid w:val="00394E70"/>
    <w:rsid w:val="00395884"/>
    <w:rsid w:val="00395D70"/>
    <w:rsid w:val="00396327"/>
    <w:rsid w:val="003A0B9E"/>
    <w:rsid w:val="003A10B3"/>
    <w:rsid w:val="003A1D18"/>
    <w:rsid w:val="003A39B0"/>
    <w:rsid w:val="003A3DDD"/>
    <w:rsid w:val="003A41F5"/>
    <w:rsid w:val="003A53C3"/>
    <w:rsid w:val="003A53FD"/>
    <w:rsid w:val="003A5690"/>
    <w:rsid w:val="003A5F76"/>
    <w:rsid w:val="003A668C"/>
    <w:rsid w:val="003A6925"/>
    <w:rsid w:val="003A6A94"/>
    <w:rsid w:val="003B0604"/>
    <w:rsid w:val="003B10AB"/>
    <w:rsid w:val="003B26FD"/>
    <w:rsid w:val="003B3573"/>
    <w:rsid w:val="003B3636"/>
    <w:rsid w:val="003B4857"/>
    <w:rsid w:val="003B6212"/>
    <w:rsid w:val="003B6BF3"/>
    <w:rsid w:val="003B736C"/>
    <w:rsid w:val="003C002D"/>
    <w:rsid w:val="003C079A"/>
    <w:rsid w:val="003C0A75"/>
    <w:rsid w:val="003C0CEC"/>
    <w:rsid w:val="003C0F0A"/>
    <w:rsid w:val="003C1BEA"/>
    <w:rsid w:val="003C2C3B"/>
    <w:rsid w:val="003C4451"/>
    <w:rsid w:val="003C4D97"/>
    <w:rsid w:val="003C4FA7"/>
    <w:rsid w:val="003C51D3"/>
    <w:rsid w:val="003C6AF1"/>
    <w:rsid w:val="003C6E20"/>
    <w:rsid w:val="003C6F10"/>
    <w:rsid w:val="003C75C5"/>
    <w:rsid w:val="003D03B9"/>
    <w:rsid w:val="003D04C7"/>
    <w:rsid w:val="003D04E7"/>
    <w:rsid w:val="003D04F4"/>
    <w:rsid w:val="003D069E"/>
    <w:rsid w:val="003D1870"/>
    <w:rsid w:val="003D22D7"/>
    <w:rsid w:val="003D240E"/>
    <w:rsid w:val="003D31F0"/>
    <w:rsid w:val="003D359A"/>
    <w:rsid w:val="003D3A68"/>
    <w:rsid w:val="003D3E92"/>
    <w:rsid w:val="003D3ED5"/>
    <w:rsid w:val="003D62DE"/>
    <w:rsid w:val="003D6731"/>
    <w:rsid w:val="003D6FE8"/>
    <w:rsid w:val="003D748F"/>
    <w:rsid w:val="003D7DB4"/>
    <w:rsid w:val="003E1FFF"/>
    <w:rsid w:val="003E3210"/>
    <w:rsid w:val="003E333E"/>
    <w:rsid w:val="003E3BC7"/>
    <w:rsid w:val="003E44D0"/>
    <w:rsid w:val="003E44D7"/>
    <w:rsid w:val="003E5517"/>
    <w:rsid w:val="003E5C01"/>
    <w:rsid w:val="003E6A9F"/>
    <w:rsid w:val="003E717B"/>
    <w:rsid w:val="003E7328"/>
    <w:rsid w:val="003F0082"/>
    <w:rsid w:val="003F0B34"/>
    <w:rsid w:val="003F1315"/>
    <w:rsid w:val="003F17D6"/>
    <w:rsid w:val="003F1CE0"/>
    <w:rsid w:val="003F428E"/>
    <w:rsid w:val="003F4885"/>
    <w:rsid w:val="003F4A35"/>
    <w:rsid w:val="003F6858"/>
    <w:rsid w:val="003F69A1"/>
    <w:rsid w:val="003F6F72"/>
    <w:rsid w:val="003F77F3"/>
    <w:rsid w:val="003F7C9F"/>
    <w:rsid w:val="00400010"/>
    <w:rsid w:val="00400B12"/>
    <w:rsid w:val="00402040"/>
    <w:rsid w:val="00402798"/>
    <w:rsid w:val="00404B5C"/>
    <w:rsid w:val="00404DB0"/>
    <w:rsid w:val="00406035"/>
    <w:rsid w:val="004063FA"/>
    <w:rsid w:val="00414F8C"/>
    <w:rsid w:val="00415323"/>
    <w:rsid w:val="00416906"/>
    <w:rsid w:val="00416C76"/>
    <w:rsid w:val="00417524"/>
    <w:rsid w:val="00420EDD"/>
    <w:rsid w:val="00421456"/>
    <w:rsid w:val="00421A25"/>
    <w:rsid w:val="00423B16"/>
    <w:rsid w:val="00424B2A"/>
    <w:rsid w:val="00425314"/>
    <w:rsid w:val="004259E4"/>
    <w:rsid w:val="00425F19"/>
    <w:rsid w:val="004268A5"/>
    <w:rsid w:val="0042712B"/>
    <w:rsid w:val="00430A2B"/>
    <w:rsid w:val="00430A75"/>
    <w:rsid w:val="00431A9C"/>
    <w:rsid w:val="00432050"/>
    <w:rsid w:val="004335E2"/>
    <w:rsid w:val="004338B9"/>
    <w:rsid w:val="0043420D"/>
    <w:rsid w:val="00435A96"/>
    <w:rsid w:val="00435E81"/>
    <w:rsid w:val="00436778"/>
    <w:rsid w:val="0043718E"/>
    <w:rsid w:val="004372B3"/>
    <w:rsid w:val="00437ED1"/>
    <w:rsid w:val="00441E5C"/>
    <w:rsid w:val="00442C4B"/>
    <w:rsid w:val="00445062"/>
    <w:rsid w:val="00445AE3"/>
    <w:rsid w:val="00445BEA"/>
    <w:rsid w:val="004462F2"/>
    <w:rsid w:val="004470B8"/>
    <w:rsid w:val="004476FB"/>
    <w:rsid w:val="00450AE3"/>
    <w:rsid w:val="00450E0F"/>
    <w:rsid w:val="004517F8"/>
    <w:rsid w:val="00451DFE"/>
    <w:rsid w:val="004521A0"/>
    <w:rsid w:val="004526FA"/>
    <w:rsid w:val="004547FC"/>
    <w:rsid w:val="004566F3"/>
    <w:rsid w:val="00456AE4"/>
    <w:rsid w:val="004570B9"/>
    <w:rsid w:val="00460D9A"/>
    <w:rsid w:val="004616CB"/>
    <w:rsid w:val="004631EB"/>
    <w:rsid w:val="00463779"/>
    <w:rsid w:val="00463BFB"/>
    <w:rsid w:val="00464D4B"/>
    <w:rsid w:val="00466E54"/>
    <w:rsid w:val="00467345"/>
    <w:rsid w:val="004701EE"/>
    <w:rsid w:val="00470496"/>
    <w:rsid w:val="00470634"/>
    <w:rsid w:val="00471154"/>
    <w:rsid w:val="00471CB8"/>
    <w:rsid w:val="00473709"/>
    <w:rsid w:val="00473903"/>
    <w:rsid w:val="00473A27"/>
    <w:rsid w:val="00474A1A"/>
    <w:rsid w:val="00476E03"/>
    <w:rsid w:val="00477D2C"/>
    <w:rsid w:val="004807BA"/>
    <w:rsid w:val="00480D97"/>
    <w:rsid w:val="00481567"/>
    <w:rsid w:val="0048219F"/>
    <w:rsid w:val="00482682"/>
    <w:rsid w:val="00483A69"/>
    <w:rsid w:val="00484381"/>
    <w:rsid w:val="0048440F"/>
    <w:rsid w:val="0048497B"/>
    <w:rsid w:val="00484CBD"/>
    <w:rsid w:val="00485887"/>
    <w:rsid w:val="00486FCE"/>
    <w:rsid w:val="004875E9"/>
    <w:rsid w:val="0049232B"/>
    <w:rsid w:val="0049344D"/>
    <w:rsid w:val="00494F66"/>
    <w:rsid w:val="0049593E"/>
    <w:rsid w:val="00495B95"/>
    <w:rsid w:val="004962F7"/>
    <w:rsid w:val="00496479"/>
    <w:rsid w:val="00496A12"/>
    <w:rsid w:val="00496C71"/>
    <w:rsid w:val="00497538"/>
    <w:rsid w:val="0049771C"/>
    <w:rsid w:val="00497D9A"/>
    <w:rsid w:val="004A0193"/>
    <w:rsid w:val="004A01E6"/>
    <w:rsid w:val="004A085B"/>
    <w:rsid w:val="004A118C"/>
    <w:rsid w:val="004A1A8D"/>
    <w:rsid w:val="004A279C"/>
    <w:rsid w:val="004A2A2D"/>
    <w:rsid w:val="004A4653"/>
    <w:rsid w:val="004A515C"/>
    <w:rsid w:val="004A5870"/>
    <w:rsid w:val="004A5928"/>
    <w:rsid w:val="004A5E02"/>
    <w:rsid w:val="004A6F38"/>
    <w:rsid w:val="004A734C"/>
    <w:rsid w:val="004A77AF"/>
    <w:rsid w:val="004B0886"/>
    <w:rsid w:val="004B20E9"/>
    <w:rsid w:val="004B23A6"/>
    <w:rsid w:val="004B2B90"/>
    <w:rsid w:val="004B3A3D"/>
    <w:rsid w:val="004B3E10"/>
    <w:rsid w:val="004B4247"/>
    <w:rsid w:val="004B4EE2"/>
    <w:rsid w:val="004B5462"/>
    <w:rsid w:val="004B552A"/>
    <w:rsid w:val="004B59E1"/>
    <w:rsid w:val="004B5D31"/>
    <w:rsid w:val="004B7AAB"/>
    <w:rsid w:val="004B7E53"/>
    <w:rsid w:val="004C204E"/>
    <w:rsid w:val="004C28CE"/>
    <w:rsid w:val="004C2B98"/>
    <w:rsid w:val="004C460B"/>
    <w:rsid w:val="004C6AB1"/>
    <w:rsid w:val="004C6E0C"/>
    <w:rsid w:val="004C7B8A"/>
    <w:rsid w:val="004D225E"/>
    <w:rsid w:val="004D3DA1"/>
    <w:rsid w:val="004D3E0D"/>
    <w:rsid w:val="004D488B"/>
    <w:rsid w:val="004D4AA4"/>
    <w:rsid w:val="004D5EEA"/>
    <w:rsid w:val="004D7069"/>
    <w:rsid w:val="004D77BE"/>
    <w:rsid w:val="004E0973"/>
    <w:rsid w:val="004E1939"/>
    <w:rsid w:val="004E1BBC"/>
    <w:rsid w:val="004E1F47"/>
    <w:rsid w:val="004E26AC"/>
    <w:rsid w:val="004E2F25"/>
    <w:rsid w:val="004E4C24"/>
    <w:rsid w:val="004E5C77"/>
    <w:rsid w:val="004E65D4"/>
    <w:rsid w:val="004E6869"/>
    <w:rsid w:val="004E7055"/>
    <w:rsid w:val="004E71D9"/>
    <w:rsid w:val="004F01C4"/>
    <w:rsid w:val="004F044F"/>
    <w:rsid w:val="004F1455"/>
    <w:rsid w:val="004F15BE"/>
    <w:rsid w:val="004F34C0"/>
    <w:rsid w:val="004F37F0"/>
    <w:rsid w:val="004F422E"/>
    <w:rsid w:val="004F5285"/>
    <w:rsid w:val="004F67D2"/>
    <w:rsid w:val="004F7087"/>
    <w:rsid w:val="004F71F6"/>
    <w:rsid w:val="0050239C"/>
    <w:rsid w:val="00503C95"/>
    <w:rsid w:val="00503C98"/>
    <w:rsid w:val="00503F74"/>
    <w:rsid w:val="0050474C"/>
    <w:rsid w:val="00504A35"/>
    <w:rsid w:val="00505E79"/>
    <w:rsid w:val="00505EC7"/>
    <w:rsid w:val="005068CC"/>
    <w:rsid w:val="00506914"/>
    <w:rsid w:val="00507ABA"/>
    <w:rsid w:val="00507DDD"/>
    <w:rsid w:val="0051003B"/>
    <w:rsid w:val="00510BE9"/>
    <w:rsid w:val="00511150"/>
    <w:rsid w:val="00511B45"/>
    <w:rsid w:val="00512136"/>
    <w:rsid w:val="00512CE8"/>
    <w:rsid w:val="00512EE5"/>
    <w:rsid w:val="00513D7B"/>
    <w:rsid w:val="00514031"/>
    <w:rsid w:val="005151A0"/>
    <w:rsid w:val="005156B1"/>
    <w:rsid w:val="00515745"/>
    <w:rsid w:val="00516BBC"/>
    <w:rsid w:val="00516ED7"/>
    <w:rsid w:val="005177C0"/>
    <w:rsid w:val="00520000"/>
    <w:rsid w:val="00520467"/>
    <w:rsid w:val="00520598"/>
    <w:rsid w:val="0052089A"/>
    <w:rsid w:val="0052139A"/>
    <w:rsid w:val="00522669"/>
    <w:rsid w:val="00522961"/>
    <w:rsid w:val="005230A0"/>
    <w:rsid w:val="00523669"/>
    <w:rsid w:val="005236AD"/>
    <w:rsid w:val="00523E07"/>
    <w:rsid w:val="005247E2"/>
    <w:rsid w:val="005259A0"/>
    <w:rsid w:val="00526550"/>
    <w:rsid w:val="005304C9"/>
    <w:rsid w:val="00531721"/>
    <w:rsid w:val="0053275D"/>
    <w:rsid w:val="00532A76"/>
    <w:rsid w:val="00532C83"/>
    <w:rsid w:val="00533165"/>
    <w:rsid w:val="00534EFA"/>
    <w:rsid w:val="00534FA5"/>
    <w:rsid w:val="005357D7"/>
    <w:rsid w:val="00535E0D"/>
    <w:rsid w:val="00535E0F"/>
    <w:rsid w:val="00535E8A"/>
    <w:rsid w:val="005364D9"/>
    <w:rsid w:val="00537248"/>
    <w:rsid w:val="00537419"/>
    <w:rsid w:val="00541159"/>
    <w:rsid w:val="005417F1"/>
    <w:rsid w:val="00541AA8"/>
    <w:rsid w:val="00542C43"/>
    <w:rsid w:val="00545117"/>
    <w:rsid w:val="00546525"/>
    <w:rsid w:val="00546A24"/>
    <w:rsid w:val="00546F72"/>
    <w:rsid w:val="00547C8B"/>
    <w:rsid w:val="00547D0D"/>
    <w:rsid w:val="00550394"/>
    <w:rsid w:val="00551650"/>
    <w:rsid w:val="00552E57"/>
    <w:rsid w:val="00553515"/>
    <w:rsid w:val="00553DC5"/>
    <w:rsid w:val="0055617E"/>
    <w:rsid w:val="00556CF2"/>
    <w:rsid w:val="00557370"/>
    <w:rsid w:val="00557A5E"/>
    <w:rsid w:val="00561F0C"/>
    <w:rsid w:val="0056265D"/>
    <w:rsid w:val="00562F74"/>
    <w:rsid w:val="00563AC9"/>
    <w:rsid w:val="00564BF7"/>
    <w:rsid w:val="00564DB2"/>
    <w:rsid w:val="00564E9F"/>
    <w:rsid w:val="00564FEE"/>
    <w:rsid w:val="00565270"/>
    <w:rsid w:val="005655B4"/>
    <w:rsid w:val="0056750E"/>
    <w:rsid w:val="00567941"/>
    <w:rsid w:val="00570913"/>
    <w:rsid w:val="0057103F"/>
    <w:rsid w:val="00571172"/>
    <w:rsid w:val="00572E1A"/>
    <w:rsid w:val="00573FBD"/>
    <w:rsid w:val="005741ED"/>
    <w:rsid w:val="00574CA3"/>
    <w:rsid w:val="00575A16"/>
    <w:rsid w:val="005769CE"/>
    <w:rsid w:val="00576E1D"/>
    <w:rsid w:val="005778B4"/>
    <w:rsid w:val="005779EB"/>
    <w:rsid w:val="00577C6F"/>
    <w:rsid w:val="00580DCF"/>
    <w:rsid w:val="00580F2D"/>
    <w:rsid w:val="00581804"/>
    <w:rsid w:val="00584E4F"/>
    <w:rsid w:val="005852BD"/>
    <w:rsid w:val="00586722"/>
    <w:rsid w:val="00586D77"/>
    <w:rsid w:val="00587309"/>
    <w:rsid w:val="00590B00"/>
    <w:rsid w:val="0059131D"/>
    <w:rsid w:val="0059159D"/>
    <w:rsid w:val="005921BB"/>
    <w:rsid w:val="00592CD5"/>
    <w:rsid w:val="005930E9"/>
    <w:rsid w:val="00593470"/>
    <w:rsid w:val="00593933"/>
    <w:rsid w:val="00594B4E"/>
    <w:rsid w:val="0059523D"/>
    <w:rsid w:val="00595ADA"/>
    <w:rsid w:val="00596821"/>
    <w:rsid w:val="00596EE4"/>
    <w:rsid w:val="005A0118"/>
    <w:rsid w:val="005A05C8"/>
    <w:rsid w:val="005A089C"/>
    <w:rsid w:val="005A0B25"/>
    <w:rsid w:val="005A116F"/>
    <w:rsid w:val="005A1F8C"/>
    <w:rsid w:val="005A206E"/>
    <w:rsid w:val="005A209C"/>
    <w:rsid w:val="005A2AA0"/>
    <w:rsid w:val="005A3209"/>
    <w:rsid w:val="005A3C23"/>
    <w:rsid w:val="005A4CF5"/>
    <w:rsid w:val="005A56EB"/>
    <w:rsid w:val="005A60E8"/>
    <w:rsid w:val="005B058C"/>
    <w:rsid w:val="005B1CCB"/>
    <w:rsid w:val="005B1F83"/>
    <w:rsid w:val="005B22F5"/>
    <w:rsid w:val="005B2FFA"/>
    <w:rsid w:val="005B3385"/>
    <w:rsid w:val="005B3FCA"/>
    <w:rsid w:val="005B4E4B"/>
    <w:rsid w:val="005B54E4"/>
    <w:rsid w:val="005B7E5E"/>
    <w:rsid w:val="005C0045"/>
    <w:rsid w:val="005C1F1E"/>
    <w:rsid w:val="005C20DB"/>
    <w:rsid w:val="005C26FD"/>
    <w:rsid w:val="005C291A"/>
    <w:rsid w:val="005C337C"/>
    <w:rsid w:val="005C3955"/>
    <w:rsid w:val="005C4A83"/>
    <w:rsid w:val="005C4D7E"/>
    <w:rsid w:val="005C694D"/>
    <w:rsid w:val="005C6F0C"/>
    <w:rsid w:val="005D01EB"/>
    <w:rsid w:val="005D0398"/>
    <w:rsid w:val="005D0B8B"/>
    <w:rsid w:val="005D2CD5"/>
    <w:rsid w:val="005D5039"/>
    <w:rsid w:val="005D551F"/>
    <w:rsid w:val="005E0329"/>
    <w:rsid w:val="005E05A9"/>
    <w:rsid w:val="005E132D"/>
    <w:rsid w:val="005E17F3"/>
    <w:rsid w:val="005E2605"/>
    <w:rsid w:val="005E30AC"/>
    <w:rsid w:val="005E3308"/>
    <w:rsid w:val="005E44DA"/>
    <w:rsid w:val="005E4A59"/>
    <w:rsid w:val="005E5E9E"/>
    <w:rsid w:val="005E6457"/>
    <w:rsid w:val="005E6703"/>
    <w:rsid w:val="005E6B9C"/>
    <w:rsid w:val="005F004F"/>
    <w:rsid w:val="005F1066"/>
    <w:rsid w:val="005F12BA"/>
    <w:rsid w:val="005F26EF"/>
    <w:rsid w:val="005F2770"/>
    <w:rsid w:val="005F3251"/>
    <w:rsid w:val="005F4E87"/>
    <w:rsid w:val="005F5F00"/>
    <w:rsid w:val="005F6331"/>
    <w:rsid w:val="005F6573"/>
    <w:rsid w:val="005F6883"/>
    <w:rsid w:val="005F6A00"/>
    <w:rsid w:val="005F708D"/>
    <w:rsid w:val="005F73BA"/>
    <w:rsid w:val="006008A7"/>
    <w:rsid w:val="006017D1"/>
    <w:rsid w:val="006024A7"/>
    <w:rsid w:val="006031EF"/>
    <w:rsid w:val="00603DFD"/>
    <w:rsid w:val="00603F8B"/>
    <w:rsid w:val="00605200"/>
    <w:rsid w:val="006077F3"/>
    <w:rsid w:val="00610C79"/>
    <w:rsid w:val="006123EF"/>
    <w:rsid w:val="0061367A"/>
    <w:rsid w:val="006143F6"/>
    <w:rsid w:val="00614F60"/>
    <w:rsid w:val="00614FC4"/>
    <w:rsid w:val="00615138"/>
    <w:rsid w:val="00616159"/>
    <w:rsid w:val="00616B9C"/>
    <w:rsid w:val="00617168"/>
    <w:rsid w:val="00620706"/>
    <w:rsid w:val="00620ABF"/>
    <w:rsid w:val="00620CD7"/>
    <w:rsid w:val="00620D2D"/>
    <w:rsid w:val="00621920"/>
    <w:rsid w:val="00622057"/>
    <w:rsid w:val="00622D03"/>
    <w:rsid w:val="006236F9"/>
    <w:rsid w:val="006240F3"/>
    <w:rsid w:val="006246CB"/>
    <w:rsid w:val="00624784"/>
    <w:rsid w:val="006256A6"/>
    <w:rsid w:val="00625C9B"/>
    <w:rsid w:val="006265BB"/>
    <w:rsid w:val="00627404"/>
    <w:rsid w:val="00627556"/>
    <w:rsid w:val="006305AE"/>
    <w:rsid w:val="006306BA"/>
    <w:rsid w:val="006314DB"/>
    <w:rsid w:val="00631DEF"/>
    <w:rsid w:val="00631EE7"/>
    <w:rsid w:val="0063251F"/>
    <w:rsid w:val="0063335D"/>
    <w:rsid w:val="00635040"/>
    <w:rsid w:val="0063528A"/>
    <w:rsid w:val="00637608"/>
    <w:rsid w:val="00637962"/>
    <w:rsid w:val="0064124D"/>
    <w:rsid w:val="006418D5"/>
    <w:rsid w:val="006419E5"/>
    <w:rsid w:val="00642413"/>
    <w:rsid w:val="00642A26"/>
    <w:rsid w:val="00643E3D"/>
    <w:rsid w:val="006443BD"/>
    <w:rsid w:val="006448E0"/>
    <w:rsid w:val="00644AD7"/>
    <w:rsid w:val="0064552E"/>
    <w:rsid w:val="0064559A"/>
    <w:rsid w:val="006456F1"/>
    <w:rsid w:val="0064649B"/>
    <w:rsid w:val="00650039"/>
    <w:rsid w:val="006523B3"/>
    <w:rsid w:val="0065384A"/>
    <w:rsid w:val="0065526C"/>
    <w:rsid w:val="00655BD3"/>
    <w:rsid w:val="00655D19"/>
    <w:rsid w:val="00657D07"/>
    <w:rsid w:val="00657ED6"/>
    <w:rsid w:val="00660948"/>
    <w:rsid w:val="0066179A"/>
    <w:rsid w:val="00661BF2"/>
    <w:rsid w:val="00661C36"/>
    <w:rsid w:val="006630B3"/>
    <w:rsid w:val="00663D2C"/>
    <w:rsid w:val="0066402B"/>
    <w:rsid w:val="00665474"/>
    <w:rsid w:val="00666286"/>
    <w:rsid w:val="00666782"/>
    <w:rsid w:val="006667CD"/>
    <w:rsid w:val="00666E24"/>
    <w:rsid w:val="00667174"/>
    <w:rsid w:val="006709B5"/>
    <w:rsid w:val="00670C74"/>
    <w:rsid w:val="00671289"/>
    <w:rsid w:val="006720BE"/>
    <w:rsid w:val="00672D95"/>
    <w:rsid w:val="0067368A"/>
    <w:rsid w:val="00674E52"/>
    <w:rsid w:val="00675221"/>
    <w:rsid w:val="00675373"/>
    <w:rsid w:val="006759C1"/>
    <w:rsid w:val="00675ADF"/>
    <w:rsid w:val="00675F55"/>
    <w:rsid w:val="0067600B"/>
    <w:rsid w:val="0067671B"/>
    <w:rsid w:val="006800DF"/>
    <w:rsid w:val="00680593"/>
    <w:rsid w:val="00680FB6"/>
    <w:rsid w:val="0068175F"/>
    <w:rsid w:val="006826F9"/>
    <w:rsid w:val="0068292C"/>
    <w:rsid w:val="00682E81"/>
    <w:rsid w:val="0068334D"/>
    <w:rsid w:val="006839F0"/>
    <w:rsid w:val="00684117"/>
    <w:rsid w:val="00684593"/>
    <w:rsid w:val="00684AAF"/>
    <w:rsid w:val="00684CF0"/>
    <w:rsid w:val="00684E3A"/>
    <w:rsid w:val="006857C0"/>
    <w:rsid w:val="00685DFD"/>
    <w:rsid w:val="0068687A"/>
    <w:rsid w:val="00687670"/>
    <w:rsid w:val="006905B0"/>
    <w:rsid w:val="0069082E"/>
    <w:rsid w:val="00690B67"/>
    <w:rsid w:val="00690F39"/>
    <w:rsid w:val="00691611"/>
    <w:rsid w:val="00691CFA"/>
    <w:rsid w:val="00694C51"/>
    <w:rsid w:val="006954EA"/>
    <w:rsid w:val="0069693E"/>
    <w:rsid w:val="00696A42"/>
    <w:rsid w:val="00697042"/>
    <w:rsid w:val="006A1264"/>
    <w:rsid w:val="006A13A8"/>
    <w:rsid w:val="006A1C71"/>
    <w:rsid w:val="006A218B"/>
    <w:rsid w:val="006A24E7"/>
    <w:rsid w:val="006A25D9"/>
    <w:rsid w:val="006A2906"/>
    <w:rsid w:val="006A2EB7"/>
    <w:rsid w:val="006A3C15"/>
    <w:rsid w:val="006A4402"/>
    <w:rsid w:val="006A5260"/>
    <w:rsid w:val="006A60F4"/>
    <w:rsid w:val="006A6489"/>
    <w:rsid w:val="006A6821"/>
    <w:rsid w:val="006A6C73"/>
    <w:rsid w:val="006A75CD"/>
    <w:rsid w:val="006B0221"/>
    <w:rsid w:val="006B040D"/>
    <w:rsid w:val="006B058A"/>
    <w:rsid w:val="006B0911"/>
    <w:rsid w:val="006B0F6D"/>
    <w:rsid w:val="006B12B2"/>
    <w:rsid w:val="006B17C1"/>
    <w:rsid w:val="006B234D"/>
    <w:rsid w:val="006B293D"/>
    <w:rsid w:val="006B30B9"/>
    <w:rsid w:val="006B32A8"/>
    <w:rsid w:val="006B3324"/>
    <w:rsid w:val="006B3D44"/>
    <w:rsid w:val="006B49C8"/>
    <w:rsid w:val="006B50B3"/>
    <w:rsid w:val="006B5209"/>
    <w:rsid w:val="006B5368"/>
    <w:rsid w:val="006B604A"/>
    <w:rsid w:val="006B673C"/>
    <w:rsid w:val="006B6C79"/>
    <w:rsid w:val="006B723A"/>
    <w:rsid w:val="006C0D76"/>
    <w:rsid w:val="006C0F84"/>
    <w:rsid w:val="006C12B1"/>
    <w:rsid w:val="006C13BA"/>
    <w:rsid w:val="006C41E6"/>
    <w:rsid w:val="006C4A60"/>
    <w:rsid w:val="006C5CB9"/>
    <w:rsid w:val="006D0150"/>
    <w:rsid w:val="006D050E"/>
    <w:rsid w:val="006D05A6"/>
    <w:rsid w:val="006D06EC"/>
    <w:rsid w:val="006D1FC0"/>
    <w:rsid w:val="006D2225"/>
    <w:rsid w:val="006D253B"/>
    <w:rsid w:val="006D29BB"/>
    <w:rsid w:val="006D3402"/>
    <w:rsid w:val="006D45E0"/>
    <w:rsid w:val="006D4817"/>
    <w:rsid w:val="006D4E67"/>
    <w:rsid w:val="006D57A3"/>
    <w:rsid w:val="006D57E9"/>
    <w:rsid w:val="006D6C59"/>
    <w:rsid w:val="006D742A"/>
    <w:rsid w:val="006D752D"/>
    <w:rsid w:val="006E02DD"/>
    <w:rsid w:val="006E0832"/>
    <w:rsid w:val="006E0C34"/>
    <w:rsid w:val="006E1286"/>
    <w:rsid w:val="006E32DA"/>
    <w:rsid w:val="006E4489"/>
    <w:rsid w:val="006E44B4"/>
    <w:rsid w:val="006E5EBE"/>
    <w:rsid w:val="006E6886"/>
    <w:rsid w:val="006E71FA"/>
    <w:rsid w:val="006E7820"/>
    <w:rsid w:val="006F0978"/>
    <w:rsid w:val="006F11C3"/>
    <w:rsid w:val="006F2153"/>
    <w:rsid w:val="006F22B0"/>
    <w:rsid w:val="006F3B36"/>
    <w:rsid w:val="006F40D4"/>
    <w:rsid w:val="006F5712"/>
    <w:rsid w:val="006F5DDC"/>
    <w:rsid w:val="006F7367"/>
    <w:rsid w:val="006F791E"/>
    <w:rsid w:val="006F7F9D"/>
    <w:rsid w:val="00700727"/>
    <w:rsid w:val="007008FC"/>
    <w:rsid w:val="00700A64"/>
    <w:rsid w:val="00700DF9"/>
    <w:rsid w:val="0070309F"/>
    <w:rsid w:val="00703450"/>
    <w:rsid w:val="007037D8"/>
    <w:rsid w:val="007040FA"/>
    <w:rsid w:val="0070457B"/>
    <w:rsid w:val="00705BE1"/>
    <w:rsid w:val="007067C5"/>
    <w:rsid w:val="00706B7F"/>
    <w:rsid w:val="00707845"/>
    <w:rsid w:val="00707FE7"/>
    <w:rsid w:val="00710C3A"/>
    <w:rsid w:val="007119DC"/>
    <w:rsid w:val="00711AEE"/>
    <w:rsid w:val="00711B73"/>
    <w:rsid w:val="00712505"/>
    <w:rsid w:val="0071333C"/>
    <w:rsid w:val="007140A9"/>
    <w:rsid w:val="00715BAD"/>
    <w:rsid w:val="00715BD2"/>
    <w:rsid w:val="00715F12"/>
    <w:rsid w:val="007161D8"/>
    <w:rsid w:val="007165A2"/>
    <w:rsid w:val="00716EED"/>
    <w:rsid w:val="00717823"/>
    <w:rsid w:val="007206A2"/>
    <w:rsid w:val="00720B14"/>
    <w:rsid w:val="00720C98"/>
    <w:rsid w:val="00721649"/>
    <w:rsid w:val="007227C5"/>
    <w:rsid w:val="00722CB6"/>
    <w:rsid w:val="00722E81"/>
    <w:rsid w:val="00723C08"/>
    <w:rsid w:val="007244A4"/>
    <w:rsid w:val="00726568"/>
    <w:rsid w:val="00726736"/>
    <w:rsid w:val="00727F9D"/>
    <w:rsid w:val="007300CB"/>
    <w:rsid w:val="00730751"/>
    <w:rsid w:val="00730C2F"/>
    <w:rsid w:val="0073107A"/>
    <w:rsid w:val="00731B58"/>
    <w:rsid w:val="00731F56"/>
    <w:rsid w:val="00733754"/>
    <w:rsid w:val="00733940"/>
    <w:rsid w:val="007339A2"/>
    <w:rsid w:val="00733E21"/>
    <w:rsid w:val="00735005"/>
    <w:rsid w:val="007351C7"/>
    <w:rsid w:val="007363C8"/>
    <w:rsid w:val="00736694"/>
    <w:rsid w:val="00736DCA"/>
    <w:rsid w:val="007378AD"/>
    <w:rsid w:val="007379BE"/>
    <w:rsid w:val="00737A96"/>
    <w:rsid w:val="00740534"/>
    <w:rsid w:val="00740991"/>
    <w:rsid w:val="00740E50"/>
    <w:rsid w:val="0074200E"/>
    <w:rsid w:val="00742AC8"/>
    <w:rsid w:val="007430B8"/>
    <w:rsid w:val="0074412F"/>
    <w:rsid w:val="00745147"/>
    <w:rsid w:val="00746721"/>
    <w:rsid w:val="00746C94"/>
    <w:rsid w:val="00753156"/>
    <w:rsid w:val="00753BAC"/>
    <w:rsid w:val="00754166"/>
    <w:rsid w:val="00754214"/>
    <w:rsid w:val="007544E8"/>
    <w:rsid w:val="0075458F"/>
    <w:rsid w:val="00754801"/>
    <w:rsid w:val="007553C1"/>
    <w:rsid w:val="00755C10"/>
    <w:rsid w:val="00755D74"/>
    <w:rsid w:val="007605DD"/>
    <w:rsid w:val="00761878"/>
    <w:rsid w:val="00761BBE"/>
    <w:rsid w:val="007635D7"/>
    <w:rsid w:val="00763BDA"/>
    <w:rsid w:val="00764EAD"/>
    <w:rsid w:val="007659D7"/>
    <w:rsid w:val="00765A58"/>
    <w:rsid w:val="0076668C"/>
    <w:rsid w:val="00766756"/>
    <w:rsid w:val="007668D6"/>
    <w:rsid w:val="007671BA"/>
    <w:rsid w:val="0076734A"/>
    <w:rsid w:val="00767E1B"/>
    <w:rsid w:val="00767F72"/>
    <w:rsid w:val="00770822"/>
    <w:rsid w:val="007731F3"/>
    <w:rsid w:val="0077454C"/>
    <w:rsid w:val="00774673"/>
    <w:rsid w:val="007751E8"/>
    <w:rsid w:val="00776848"/>
    <w:rsid w:val="0078196D"/>
    <w:rsid w:val="00782D7B"/>
    <w:rsid w:val="00783751"/>
    <w:rsid w:val="0078500E"/>
    <w:rsid w:val="007853F5"/>
    <w:rsid w:val="0078682D"/>
    <w:rsid w:val="00786865"/>
    <w:rsid w:val="00786C61"/>
    <w:rsid w:val="00790CE1"/>
    <w:rsid w:val="00791F0E"/>
    <w:rsid w:val="00793F47"/>
    <w:rsid w:val="00794029"/>
    <w:rsid w:val="007956C4"/>
    <w:rsid w:val="00796045"/>
    <w:rsid w:val="007A04DA"/>
    <w:rsid w:val="007A0F38"/>
    <w:rsid w:val="007A0FC7"/>
    <w:rsid w:val="007A2787"/>
    <w:rsid w:val="007A2895"/>
    <w:rsid w:val="007A51BA"/>
    <w:rsid w:val="007A58E6"/>
    <w:rsid w:val="007A62D0"/>
    <w:rsid w:val="007A6DE7"/>
    <w:rsid w:val="007A7247"/>
    <w:rsid w:val="007A7C08"/>
    <w:rsid w:val="007A7EBD"/>
    <w:rsid w:val="007A7ED7"/>
    <w:rsid w:val="007B0359"/>
    <w:rsid w:val="007B1B95"/>
    <w:rsid w:val="007B4273"/>
    <w:rsid w:val="007B4341"/>
    <w:rsid w:val="007B4840"/>
    <w:rsid w:val="007B5061"/>
    <w:rsid w:val="007B55D5"/>
    <w:rsid w:val="007B58CE"/>
    <w:rsid w:val="007B60F1"/>
    <w:rsid w:val="007B6395"/>
    <w:rsid w:val="007B72EB"/>
    <w:rsid w:val="007C1056"/>
    <w:rsid w:val="007C19EB"/>
    <w:rsid w:val="007C234F"/>
    <w:rsid w:val="007C2D0A"/>
    <w:rsid w:val="007C40EA"/>
    <w:rsid w:val="007C4292"/>
    <w:rsid w:val="007C4A5D"/>
    <w:rsid w:val="007C4D34"/>
    <w:rsid w:val="007C5764"/>
    <w:rsid w:val="007C65DA"/>
    <w:rsid w:val="007C77BC"/>
    <w:rsid w:val="007C7DCE"/>
    <w:rsid w:val="007D0624"/>
    <w:rsid w:val="007D2021"/>
    <w:rsid w:val="007D22B3"/>
    <w:rsid w:val="007D23A7"/>
    <w:rsid w:val="007D2B41"/>
    <w:rsid w:val="007D4E7F"/>
    <w:rsid w:val="007D5AC9"/>
    <w:rsid w:val="007D632D"/>
    <w:rsid w:val="007E028F"/>
    <w:rsid w:val="007E1020"/>
    <w:rsid w:val="007E12C0"/>
    <w:rsid w:val="007E1698"/>
    <w:rsid w:val="007E1DB9"/>
    <w:rsid w:val="007E1F85"/>
    <w:rsid w:val="007E2135"/>
    <w:rsid w:val="007E2342"/>
    <w:rsid w:val="007E2863"/>
    <w:rsid w:val="007E29D9"/>
    <w:rsid w:val="007E2CD8"/>
    <w:rsid w:val="007E32C8"/>
    <w:rsid w:val="007E518E"/>
    <w:rsid w:val="007E593C"/>
    <w:rsid w:val="007F0EC9"/>
    <w:rsid w:val="007F103B"/>
    <w:rsid w:val="007F2922"/>
    <w:rsid w:val="007F4236"/>
    <w:rsid w:val="007F4656"/>
    <w:rsid w:val="007F53D7"/>
    <w:rsid w:val="007F5725"/>
    <w:rsid w:val="007F6452"/>
    <w:rsid w:val="007F6BFD"/>
    <w:rsid w:val="007F7E8B"/>
    <w:rsid w:val="0080009F"/>
    <w:rsid w:val="0080049C"/>
    <w:rsid w:val="00800A4D"/>
    <w:rsid w:val="008014D7"/>
    <w:rsid w:val="00801BB8"/>
    <w:rsid w:val="00803510"/>
    <w:rsid w:val="008047B0"/>
    <w:rsid w:val="00804BA8"/>
    <w:rsid w:val="00805292"/>
    <w:rsid w:val="00805689"/>
    <w:rsid w:val="008060B6"/>
    <w:rsid w:val="0080647C"/>
    <w:rsid w:val="00806BDD"/>
    <w:rsid w:val="008079B4"/>
    <w:rsid w:val="00810EE4"/>
    <w:rsid w:val="00812EE8"/>
    <w:rsid w:val="00814249"/>
    <w:rsid w:val="0081493B"/>
    <w:rsid w:val="00814D5C"/>
    <w:rsid w:val="00814E04"/>
    <w:rsid w:val="0081553B"/>
    <w:rsid w:val="00816162"/>
    <w:rsid w:val="00816F6C"/>
    <w:rsid w:val="00816FD4"/>
    <w:rsid w:val="00820E7D"/>
    <w:rsid w:val="00821AFC"/>
    <w:rsid w:val="00821B9B"/>
    <w:rsid w:val="0082394F"/>
    <w:rsid w:val="00823A9A"/>
    <w:rsid w:val="00823B7B"/>
    <w:rsid w:val="0082433B"/>
    <w:rsid w:val="008249AA"/>
    <w:rsid w:val="00824D08"/>
    <w:rsid w:val="00824DDE"/>
    <w:rsid w:val="008270BA"/>
    <w:rsid w:val="00827AC0"/>
    <w:rsid w:val="00830B8C"/>
    <w:rsid w:val="008313B7"/>
    <w:rsid w:val="0083296A"/>
    <w:rsid w:val="00836ECA"/>
    <w:rsid w:val="00842669"/>
    <w:rsid w:val="00844946"/>
    <w:rsid w:val="0084573E"/>
    <w:rsid w:val="00845875"/>
    <w:rsid w:val="00846FDA"/>
    <w:rsid w:val="008470F9"/>
    <w:rsid w:val="008478BD"/>
    <w:rsid w:val="008479B9"/>
    <w:rsid w:val="00847DE7"/>
    <w:rsid w:val="00850BB6"/>
    <w:rsid w:val="00852C29"/>
    <w:rsid w:val="008554BE"/>
    <w:rsid w:val="00856078"/>
    <w:rsid w:val="0085638E"/>
    <w:rsid w:val="00856C81"/>
    <w:rsid w:val="00856F2F"/>
    <w:rsid w:val="008570CA"/>
    <w:rsid w:val="0086247D"/>
    <w:rsid w:val="00862683"/>
    <w:rsid w:val="00862B5F"/>
    <w:rsid w:val="0086338D"/>
    <w:rsid w:val="00863A09"/>
    <w:rsid w:val="00863B45"/>
    <w:rsid w:val="0086425D"/>
    <w:rsid w:val="0086560A"/>
    <w:rsid w:val="00866DB0"/>
    <w:rsid w:val="008674DE"/>
    <w:rsid w:val="00867986"/>
    <w:rsid w:val="008679F5"/>
    <w:rsid w:val="00870135"/>
    <w:rsid w:val="00870957"/>
    <w:rsid w:val="00870F6E"/>
    <w:rsid w:val="00872012"/>
    <w:rsid w:val="0087307E"/>
    <w:rsid w:val="00873936"/>
    <w:rsid w:val="00874541"/>
    <w:rsid w:val="00874738"/>
    <w:rsid w:val="008766BE"/>
    <w:rsid w:val="00877DEA"/>
    <w:rsid w:val="00880330"/>
    <w:rsid w:val="00881F97"/>
    <w:rsid w:val="00882967"/>
    <w:rsid w:val="00882C67"/>
    <w:rsid w:val="00883C50"/>
    <w:rsid w:val="0088500C"/>
    <w:rsid w:val="0088588B"/>
    <w:rsid w:val="008858F5"/>
    <w:rsid w:val="00886772"/>
    <w:rsid w:val="008873DB"/>
    <w:rsid w:val="00887524"/>
    <w:rsid w:val="008875DE"/>
    <w:rsid w:val="00887C17"/>
    <w:rsid w:val="00887E79"/>
    <w:rsid w:val="00891096"/>
    <w:rsid w:val="00891219"/>
    <w:rsid w:val="00891FD0"/>
    <w:rsid w:val="00892CEB"/>
    <w:rsid w:val="00892F93"/>
    <w:rsid w:val="00894B1E"/>
    <w:rsid w:val="008953EE"/>
    <w:rsid w:val="008964A7"/>
    <w:rsid w:val="00897B0D"/>
    <w:rsid w:val="008A0D72"/>
    <w:rsid w:val="008A136C"/>
    <w:rsid w:val="008A1B55"/>
    <w:rsid w:val="008A1B72"/>
    <w:rsid w:val="008A257E"/>
    <w:rsid w:val="008A325F"/>
    <w:rsid w:val="008A3FF1"/>
    <w:rsid w:val="008A5EED"/>
    <w:rsid w:val="008A6251"/>
    <w:rsid w:val="008A6614"/>
    <w:rsid w:val="008A68D6"/>
    <w:rsid w:val="008A6D9B"/>
    <w:rsid w:val="008A6FA5"/>
    <w:rsid w:val="008A7AD3"/>
    <w:rsid w:val="008B0CA5"/>
    <w:rsid w:val="008B0CD3"/>
    <w:rsid w:val="008B0D6A"/>
    <w:rsid w:val="008B177D"/>
    <w:rsid w:val="008B1EDB"/>
    <w:rsid w:val="008B291B"/>
    <w:rsid w:val="008B30B7"/>
    <w:rsid w:val="008B32A3"/>
    <w:rsid w:val="008B36B0"/>
    <w:rsid w:val="008B36C3"/>
    <w:rsid w:val="008B3A0D"/>
    <w:rsid w:val="008B6068"/>
    <w:rsid w:val="008B6928"/>
    <w:rsid w:val="008C0F7B"/>
    <w:rsid w:val="008C2603"/>
    <w:rsid w:val="008C2CDA"/>
    <w:rsid w:val="008C3705"/>
    <w:rsid w:val="008C39FA"/>
    <w:rsid w:val="008C4AA8"/>
    <w:rsid w:val="008C53E1"/>
    <w:rsid w:val="008C5693"/>
    <w:rsid w:val="008C5F3C"/>
    <w:rsid w:val="008C77CB"/>
    <w:rsid w:val="008C7EAE"/>
    <w:rsid w:val="008D0427"/>
    <w:rsid w:val="008D2345"/>
    <w:rsid w:val="008D2EBD"/>
    <w:rsid w:val="008D3488"/>
    <w:rsid w:val="008D3914"/>
    <w:rsid w:val="008D3B62"/>
    <w:rsid w:val="008D4B8E"/>
    <w:rsid w:val="008D651F"/>
    <w:rsid w:val="008D701B"/>
    <w:rsid w:val="008D7F3C"/>
    <w:rsid w:val="008E0581"/>
    <w:rsid w:val="008E1212"/>
    <w:rsid w:val="008E1477"/>
    <w:rsid w:val="008E18D3"/>
    <w:rsid w:val="008E1F4C"/>
    <w:rsid w:val="008E257B"/>
    <w:rsid w:val="008E3361"/>
    <w:rsid w:val="008E3EDB"/>
    <w:rsid w:val="008E42D8"/>
    <w:rsid w:val="008E530C"/>
    <w:rsid w:val="008E616A"/>
    <w:rsid w:val="008E662F"/>
    <w:rsid w:val="008E70DC"/>
    <w:rsid w:val="008F2FCE"/>
    <w:rsid w:val="008F415C"/>
    <w:rsid w:val="008F42EB"/>
    <w:rsid w:val="008F4E3F"/>
    <w:rsid w:val="008F5D1F"/>
    <w:rsid w:val="008F70F7"/>
    <w:rsid w:val="008F715A"/>
    <w:rsid w:val="008F7427"/>
    <w:rsid w:val="008F7965"/>
    <w:rsid w:val="009006FC"/>
    <w:rsid w:val="009021F3"/>
    <w:rsid w:val="00903066"/>
    <w:rsid w:val="009037F9"/>
    <w:rsid w:val="00903A2F"/>
    <w:rsid w:val="009047BC"/>
    <w:rsid w:val="00904C2E"/>
    <w:rsid w:val="009050B4"/>
    <w:rsid w:val="0090555D"/>
    <w:rsid w:val="00905BEB"/>
    <w:rsid w:val="00907398"/>
    <w:rsid w:val="00907C1A"/>
    <w:rsid w:val="009107B3"/>
    <w:rsid w:val="00910A70"/>
    <w:rsid w:val="00910DF3"/>
    <w:rsid w:val="0091394F"/>
    <w:rsid w:val="009148CF"/>
    <w:rsid w:val="00914F4A"/>
    <w:rsid w:val="00914FFF"/>
    <w:rsid w:val="009159EE"/>
    <w:rsid w:val="00917091"/>
    <w:rsid w:val="00917222"/>
    <w:rsid w:val="00920B95"/>
    <w:rsid w:val="00921320"/>
    <w:rsid w:val="00921865"/>
    <w:rsid w:val="00922304"/>
    <w:rsid w:val="00922554"/>
    <w:rsid w:val="00923238"/>
    <w:rsid w:val="00923746"/>
    <w:rsid w:val="00923A0F"/>
    <w:rsid w:val="00924B82"/>
    <w:rsid w:val="00924D62"/>
    <w:rsid w:val="00925B1C"/>
    <w:rsid w:val="009335A4"/>
    <w:rsid w:val="0093460F"/>
    <w:rsid w:val="0093532A"/>
    <w:rsid w:val="00935461"/>
    <w:rsid w:val="009371E1"/>
    <w:rsid w:val="00937404"/>
    <w:rsid w:val="00940B92"/>
    <w:rsid w:val="009427DA"/>
    <w:rsid w:val="00943622"/>
    <w:rsid w:val="009463B3"/>
    <w:rsid w:val="009464B3"/>
    <w:rsid w:val="009466B1"/>
    <w:rsid w:val="00946D00"/>
    <w:rsid w:val="00946EE1"/>
    <w:rsid w:val="009475F0"/>
    <w:rsid w:val="009477EA"/>
    <w:rsid w:val="00950824"/>
    <w:rsid w:val="0095089E"/>
    <w:rsid w:val="0095137B"/>
    <w:rsid w:val="009515B8"/>
    <w:rsid w:val="00951657"/>
    <w:rsid w:val="00951C0E"/>
    <w:rsid w:val="00953794"/>
    <w:rsid w:val="00953E4C"/>
    <w:rsid w:val="0095460B"/>
    <w:rsid w:val="00955FE8"/>
    <w:rsid w:val="00956177"/>
    <w:rsid w:val="009574F7"/>
    <w:rsid w:val="00957A5C"/>
    <w:rsid w:val="00961919"/>
    <w:rsid w:val="0096246A"/>
    <w:rsid w:val="00962667"/>
    <w:rsid w:val="0096319C"/>
    <w:rsid w:val="00964CBC"/>
    <w:rsid w:val="009659FA"/>
    <w:rsid w:val="00970731"/>
    <w:rsid w:val="0097150A"/>
    <w:rsid w:val="0097184F"/>
    <w:rsid w:val="00971F76"/>
    <w:rsid w:val="00972E1F"/>
    <w:rsid w:val="00973D94"/>
    <w:rsid w:val="00975B33"/>
    <w:rsid w:val="00976893"/>
    <w:rsid w:val="00976E5A"/>
    <w:rsid w:val="00976F92"/>
    <w:rsid w:val="009770D6"/>
    <w:rsid w:val="009776DD"/>
    <w:rsid w:val="00977AE9"/>
    <w:rsid w:val="00980541"/>
    <w:rsid w:val="009805ED"/>
    <w:rsid w:val="00981307"/>
    <w:rsid w:val="009813DA"/>
    <w:rsid w:val="00981686"/>
    <w:rsid w:val="00981C20"/>
    <w:rsid w:val="009822E4"/>
    <w:rsid w:val="00982806"/>
    <w:rsid w:val="009831DC"/>
    <w:rsid w:val="00983C93"/>
    <w:rsid w:val="009858AF"/>
    <w:rsid w:val="009863D2"/>
    <w:rsid w:val="00986A4D"/>
    <w:rsid w:val="00987DD3"/>
    <w:rsid w:val="009911AD"/>
    <w:rsid w:val="00991725"/>
    <w:rsid w:val="00991D9E"/>
    <w:rsid w:val="00992C49"/>
    <w:rsid w:val="00992F32"/>
    <w:rsid w:val="00993FF5"/>
    <w:rsid w:val="009940F0"/>
    <w:rsid w:val="0099552F"/>
    <w:rsid w:val="00995DDC"/>
    <w:rsid w:val="00996709"/>
    <w:rsid w:val="00996865"/>
    <w:rsid w:val="00996A46"/>
    <w:rsid w:val="00997AB1"/>
    <w:rsid w:val="00997C02"/>
    <w:rsid w:val="00997CD4"/>
    <w:rsid w:val="009A26FF"/>
    <w:rsid w:val="009A3350"/>
    <w:rsid w:val="009A467F"/>
    <w:rsid w:val="009A4A6E"/>
    <w:rsid w:val="009A5033"/>
    <w:rsid w:val="009A5C24"/>
    <w:rsid w:val="009A6B1B"/>
    <w:rsid w:val="009A73DC"/>
    <w:rsid w:val="009A745E"/>
    <w:rsid w:val="009B0654"/>
    <w:rsid w:val="009B16DA"/>
    <w:rsid w:val="009B2433"/>
    <w:rsid w:val="009B2D88"/>
    <w:rsid w:val="009B3353"/>
    <w:rsid w:val="009B3FFD"/>
    <w:rsid w:val="009B50F5"/>
    <w:rsid w:val="009B5A0D"/>
    <w:rsid w:val="009C0E85"/>
    <w:rsid w:val="009C10B9"/>
    <w:rsid w:val="009C1114"/>
    <w:rsid w:val="009C147A"/>
    <w:rsid w:val="009C1D0C"/>
    <w:rsid w:val="009C1EFA"/>
    <w:rsid w:val="009C1F59"/>
    <w:rsid w:val="009C237F"/>
    <w:rsid w:val="009C269F"/>
    <w:rsid w:val="009C3137"/>
    <w:rsid w:val="009C3C25"/>
    <w:rsid w:val="009C4230"/>
    <w:rsid w:val="009C52F1"/>
    <w:rsid w:val="009C574E"/>
    <w:rsid w:val="009C5EA0"/>
    <w:rsid w:val="009D0329"/>
    <w:rsid w:val="009D1593"/>
    <w:rsid w:val="009D2B6D"/>
    <w:rsid w:val="009D4FC8"/>
    <w:rsid w:val="009D6407"/>
    <w:rsid w:val="009D7597"/>
    <w:rsid w:val="009E0252"/>
    <w:rsid w:val="009E1D8E"/>
    <w:rsid w:val="009E22AB"/>
    <w:rsid w:val="009E2813"/>
    <w:rsid w:val="009E2BF2"/>
    <w:rsid w:val="009E3565"/>
    <w:rsid w:val="009E3B01"/>
    <w:rsid w:val="009E4185"/>
    <w:rsid w:val="009E4980"/>
    <w:rsid w:val="009E5626"/>
    <w:rsid w:val="009E5687"/>
    <w:rsid w:val="009E6006"/>
    <w:rsid w:val="009E649F"/>
    <w:rsid w:val="009E71CD"/>
    <w:rsid w:val="009E77C6"/>
    <w:rsid w:val="009E7855"/>
    <w:rsid w:val="009E7EFF"/>
    <w:rsid w:val="009F02B6"/>
    <w:rsid w:val="009F02FB"/>
    <w:rsid w:val="009F08DB"/>
    <w:rsid w:val="009F288C"/>
    <w:rsid w:val="009F292A"/>
    <w:rsid w:val="009F2C9B"/>
    <w:rsid w:val="009F34FA"/>
    <w:rsid w:val="009F39BF"/>
    <w:rsid w:val="009F3BCB"/>
    <w:rsid w:val="009F40F5"/>
    <w:rsid w:val="009F61A6"/>
    <w:rsid w:val="009F6EB3"/>
    <w:rsid w:val="009F744B"/>
    <w:rsid w:val="00A0088F"/>
    <w:rsid w:val="00A01926"/>
    <w:rsid w:val="00A01C93"/>
    <w:rsid w:val="00A026BF"/>
    <w:rsid w:val="00A02EDB"/>
    <w:rsid w:val="00A030B1"/>
    <w:rsid w:val="00A03CBE"/>
    <w:rsid w:val="00A052E7"/>
    <w:rsid w:val="00A05E10"/>
    <w:rsid w:val="00A05F16"/>
    <w:rsid w:val="00A06BE5"/>
    <w:rsid w:val="00A07D19"/>
    <w:rsid w:val="00A07F9D"/>
    <w:rsid w:val="00A10099"/>
    <w:rsid w:val="00A10913"/>
    <w:rsid w:val="00A13C10"/>
    <w:rsid w:val="00A16916"/>
    <w:rsid w:val="00A16DAC"/>
    <w:rsid w:val="00A1781B"/>
    <w:rsid w:val="00A205E1"/>
    <w:rsid w:val="00A207D6"/>
    <w:rsid w:val="00A23275"/>
    <w:rsid w:val="00A24D38"/>
    <w:rsid w:val="00A26550"/>
    <w:rsid w:val="00A26734"/>
    <w:rsid w:val="00A26CD4"/>
    <w:rsid w:val="00A2733F"/>
    <w:rsid w:val="00A2746D"/>
    <w:rsid w:val="00A279DB"/>
    <w:rsid w:val="00A321E7"/>
    <w:rsid w:val="00A33221"/>
    <w:rsid w:val="00A3390B"/>
    <w:rsid w:val="00A33BB0"/>
    <w:rsid w:val="00A342DB"/>
    <w:rsid w:val="00A34F9A"/>
    <w:rsid w:val="00A35248"/>
    <w:rsid w:val="00A35754"/>
    <w:rsid w:val="00A358D2"/>
    <w:rsid w:val="00A36493"/>
    <w:rsid w:val="00A366CC"/>
    <w:rsid w:val="00A36DEC"/>
    <w:rsid w:val="00A37031"/>
    <w:rsid w:val="00A37228"/>
    <w:rsid w:val="00A40DE2"/>
    <w:rsid w:val="00A41059"/>
    <w:rsid w:val="00A414DA"/>
    <w:rsid w:val="00A422A1"/>
    <w:rsid w:val="00A4240B"/>
    <w:rsid w:val="00A424C2"/>
    <w:rsid w:val="00A425D5"/>
    <w:rsid w:val="00A4393B"/>
    <w:rsid w:val="00A4589F"/>
    <w:rsid w:val="00A46726"/>
    <w:rsid w:val="00A477F6"/>
    <w:rsid w:val="00A505F3"/>
    <w:rsid w:val="00A507D4"/>
    <w:rsid w:val="00A5086A"/>
    <w:rsid w:val="00A50D48"/>
    <w:rsid w:val="00A5239D"/>
    <w:rsid w:val="00A528C1"/>
    <w:rsid w:val="00A53231"/>
    <w:rsid w:val="00A53739"/>
    <w:rsid w:val="00A53A16"/>
    <w:rsid w:val="00A54FA0"/>
    <w:rsid w:val="00A557F8"/>
    <w:rsid w:val="00A568B6"/>
    <w:rsid w:val="00A57087"/>
    <w:rsid w:val="00A6216A"/>
    <w:rsid w:val="00A621B9"/>
    <w:rsid w:val="00A62573"/>
    <w:rsid w:val="00A625AC"/>
    <w:rsid w:val="00A629DB"/>
    <w:rsid w:val="00A62F65"/>
    <w:rsid w:val="00A63265"/>
    <w:rsid w:val="00A6375D"/>
    <w:rsid w:val="00A642D6"/>
    <w:rsid w:val="00A658CA"/>
    <w:rsid w:val="00A6776A"/>
    <w:rsid w:val="00A67AC8"/>
    <w:rsid w:val="00A71471"/>
    <w:rsid w:val="00A7162F"/>
    <w:rsid w:val="00A71F8E"/>
    <w:rsid w:val="00A72A3E"/>
    <w:rsid w:val="00A73860"/>
    <w:rsid w:val="00A74CD7"/>
    <w:rsid w:val="00A764BB"/>
    <w:rsid w:val="00A80623"/>
    <w:rsid w:val="00A80A0D"/>
    <w:rsid w:val="00A8203F"/>
    <w:rsid w:val="00A8267B"/>
    <w:rsid w:val="00A82E84"/>
    <w:rsid w:val="00A83C37"/>
    <w:rsid w:val="00A8433D"/>
    <w:rsid w:val="00A850C7"/>
    <w:rsid w:val="00A86F28"/>
    <w:rsid w:val="00A873DE"/>
    <w:rsid w:val="00A90C66"/>
    <w:rsid w:val="00A90D3F"/>
    <w:rsid w:val="00A90DFD"/>
    <w:rsid w:val="00A91499"/>
    <w:rsid w:val="00A92513"/>
    <w:rsid w:val="00A939E4"/>
    <w:rsid w:val="00A94064"/>
    <w:rsid w:val="00A94366"/>
    <w:rsid w:val="00A943B1"/>
    <w:rsid w:val="00A94AA9"/>
    <w:rsid w:val="00A94C54"/>
    <w:rsid w:val="00A94C7D"/>
    <w:rsid w:val="00A94EBA"/>
    <w:rsid w:val="00A955DA"/>
    <w:rsid w:val="00A9690D"/>
    <w:rsid w:val="00A96B21"/>
    <w:rsid w:val="00AA1338"/>
    <w:rsid w:val="00AA1D92"/>
    <w:rsid w:val="00AA2647"/>
    <w:rsid w:val="00AA28F3"/>
    <w:rsid w:val="00AA2B1F"/>
    <w:rsid w:val="00AA2CD5"/>
    <w:rsid w:val="00AA3525"/>
    <w:rsid w:val="00AA3533"/>
    <w:rsid w:val="00AA3A3E"/>
    <w:rsid w:val="00AA3AE9"/>
    <w:rsid w:val="00AA4288"/>
    <w:rsid w:val="00AA4395"/>
    <w:rsid w:val="00AA46D0"/>
    <w:rsid w:val="00AA53F3"/>
    <w:rsid w:val="00AA5F2B"/>
    <w:rsid w:val="00AA643B"/>
    <w:rsid w:val="00AA67E0"/>
    <w:rsid w:val="00AA6BAA"/>
    <w:rsid w:val="00AA6F70"/>
    <w:rsid w:val="00AA77F2"/>
    <w:rsid w:val="00AB01AD"/>
    <w:rsid w:val="00AB02D2"/>
    <w:rsid w:val="00AB0490"/>
    <w:rsid w:val="00AB1332"/>
    <w:rsid w:val="00AB1BEE"/>
    <w:rsid w:val="00AB24E2"/>
    <w:rsid w:val="00AB3D6C"/>
    <w:rsid w:val="00AB3F3C"/>
    <w:rsid w:val="00AB5602"/>
    <w:rsid w:val="00AB5B5E"/>
    <w:rsid w:val="00AB5B92"/>
    <w:rsid w:val="00AB7967"/>
    <w:rsid w:val="00AB7AE4"/>
    <w:rsid w:val="00AC03CF"/>
    <w:rsid w:val="00AC06F3"/>
    <w:rsid w:val="00AC0AF4"/>
    <w:rsid w:val="00AC1F1A"/>
    <w:rsid w:val="00AC3431"/>
    <w:rsid w:val="00AC3651"/>
    <w:rsid w:val="00AC43EA"/>
    <w:rsid w:val="00AC4788"/>
    <w:rsid w:val="00AC47D7"/>
    <w:rsid w:val="00AC6B37"/>
    <w:rsid w:val="00AC6E09"/>
    <w:rsid w:val="00AC7192"/>
    <w:rsid w:val="00AC7437"/>
    <w:rsid w:val="00AC7B52"/>
    <w:rsid w:val="00AD01C8"/>
    <w:rsid w:val="00AD27E2"/>
    <w:rsid w:val="00AD4023"/>
    <w:rsid w:val="00AD435A"/>
    <w:rsid w:val="00AD4C0F"/>
    <w:rsid w:val="00AD5455"/>
    <w:rsid w:val="00AD5599"/>
    <w:rsid w:val="00AD78B4"/>
    <w:rsid w:val="00AD7C0F"/>
    <w:rsid w:val="00AE083D"/>
    <w:rsid w:val="00AE196C"/>
    <w:rsid w:val="00AE199C"/>
    <w:rsid w:val="00AE1A95"/>
    <w:rsid w:val="00AE2E80"/>
    <w:rsid w:val="00AE3082"/>
    <w:rsid w:val="00AE380A"/>
    <w:rsid w:val="00AE3870"/>
    <w:rsid w:val="00AE4F18"/>
    <w:rsid w:val="00AE5682"/>
    <w:rsid w:val="00AE5EAE"/>
    <w:rsid w:val="00AE6940"/>
    <w:rsid w:val="00AE6ED5"/>
    <w:rsid w:val="00AE6FAD"/>
    <w:rsid w:val="00AE76B5"/>
    <w:rsid w:val="00AF0F14"/>
    <w:rsid w:val="00AF1638"/>
    <w:rsid w:val="00AF1C96"/>
    <w:rsid w:val="00AF28AC"/>
    <w:rsid w:val="00AF39A8"/>
    <w:rsid w:val="00AF3B7A"/>
    <w:rsid w:val="00AF58ED"/>
    <w:rsid w:val="00AF5A58"/>
    <w:rsid w:val="00AF60BB"/>
    <w:rsid w:val="00AF6C68"/>
    <w:rsid w:val="00AF6E06"/>
    <w:rsid w:val="00B01052"/>
    <w:rsid w:val="00B010F8"/>
    <w:rsid w:val="00B01AA0"/>
    <w:rsid w:val="00B0220B"/>
    <w:rsid w:val="00B0243D"/>
    <w:rsid w:val="00B026B0"/>
    <w:rsid w:val="00B03B6F"/>
    <w:rsid w:val="00B041C0"/>
    <w:rsid w:val="00B04350"/>
    <w:rsid w:val="00B05615"/>
    <w:rsid w:val="00B056FB"/>
    <w:rsid w:val="00B05A6D"/>
    <w:rsid w:val="00B0653D"/>
    <w:rsid w:val="00B06F33"/>
    <w:rsid w:val="00B07FD5"/>
    <w:rsid w:val="00B10462"/>
    <w:rsid w:val="00B105E8"/>
    <w:rsid w:val="00B106AD"/>
    <w:rsid w:val="00B10C7D"/>
    <w:rsid w:val="00B10F5E"/>
    <w:rsid w:val="00B10FEE"/>
    <w:rsid w:val="00B116AF"/>
    <w:rsid w:val="00B119AD"/>
    <w:rsid w:val="00B12B28"/>
    <w:rsid w:val="00B130B5"/>
    <w:rsid w:val="00B134E6"/>
    <w:rsid w:val="00B15572"/>
    <w:rsid w:val="00B20A9F"/>
    <w:rsid w:val="00B22105"/>
    <w:rsid w:val="00B22258"/>
    <w:rsid w:val="00B24E8B"/>
    <w:rsid w:val="00B25654"/>
    <w:rsid w:val="00B26352"/>
    <w:rsid w:val="00B270E2"/>
    <w:rsid w:val="00B27E1C"/>
    <w:rsid w:val="00B31260"/>
    <w:rsid w:val="00B31F68"/>
    <w:rsid w:val="00B320AA"/>
    <w:rsid w:val="00B33C17"/>
    <w:rsid w:val="00B35479"/>
    <w:rsid w:val="00B3566E"/>
    <w:rsid w:val="00B36089"/>
    <w:rsid w:val="00B36214"/>
    <w:rsid w:val="00B36EA9"/>
    <w:rsid w:val="00B37EBF"/>
    <w:rsid w:val="00B4129C"/>
    <w:rsid w:val="00B43ED1"/>
    <w:rsid w:val="00B447CA"/>
    <w:rsid w:val="00B45054"/>
    <w:rsid w:val="00B46256"/>
    <w:rsid w:val="00B47289"/>
    <w:rsid w:val="00B47764"/>
    <w:rsid w:val="00B47A84"/>
    <w:rsid w:val="00B47AAD"/>
    <w:rsid w:val="00B47B5C"/>
    <w:rsid w:val="00B511B7"/>
    <w:rsid w:val="00B54646"/>
    <w:rsid w:val="00B55710"/>
    <w:rsid w:val="00B55D9E"/>
    <w:rsid w:val="00B579B4"/>
    <w:rsid w:val="00B57BFB"/>
    <w:rsid w:val="00B60676"/>
    <w:rsid w:val="00B60858"/>
    <w:rsid w:val="00B60F0C"/>
    <w:rsid w:val="00B60F60"/>
    <w:rsid w:val="00B62CC6"/>
    <w:rsid w:val="00B64533"/>
    <w:rsid w:val="00B6555D"/>
    <w:rsid w:val="00B67283"/>
    <w:rsid w:val="00B6753E"/>
    <w:rsid w:val="00B67571"/>
    <w:rsid w:val="00B67AE3"/>
    <w:rsid w:val="00B67AF0"/>
    <w:rsid w:val="00B67FE3"/>
    <w:rsid w:val="00B7061B"/>
    <w:rsid w:val="00B70B11"/>
    <w:rsid w:val="00B71215"/>
    <w:rsid w:val="00B72655"/>
    <w:rsid w:val="00B728A8"/>
    <w:rsid w:val="00B7298E"/>
    <w:rsid w:val="00B72DAE"/>
    <w:rsid w:val="00B72F16"/>
    <w:rsid w:val="00B74AEC"/>
    <w:rsid w:val="00B75CA2"/>
    <w:rsid w:val="00B775E9"/>
    <w:rsid w:val="00B77898"/>
    <w:rsid w:val="00B77E00"/>
    <w:rsid w:val="00B80230"/>
    <w:rsid w:val="00B8190D"/>
    <w:rsid w:val="00B81A38"/>
    <w:rsid w:val="00B82127"/>
    <w:rsid w:val="00B82767"/>
    <w:rsid w:val="00B829AC"/>
    <w:rsid w:val="00B84A49"/>
    <w:rsid w:val="00B84DDD"/>
    <w:rsid w:val="00B86A82"/>
    <w:rsid w:val="00B86EEC"/>
    <w:rsid w:val="00B871CB"/>
    <w:rsid w:val="00B87232"/>
    <w:rsid w:val="00B93350"/>
    <w:rsid w:val="00B937D8"/>
    <w:rsid w:val="00B9405D"/>
    <w:rsid w:val="00B951A5"/>
    <w:rsid w:val="00B95801"/>
    <w:rsid w:val="00B95A6D"/>
    <w:rsid w:val="00B95A7F"/>
    <w:rsid w:val="00BA41D0"/>
    <w:rsid w:val="00BA4481"/>
    <w:rsid w:val="00BA4BF5"/>
    <w:rsid w:val="00BB00D8"/>
    <w:rsid w:val="00BB0672"/>
    <w:rsid w:val="00BB0AFD"/>
    <w:rsid w:val="00BB10F5"/>
    <w:rsid w:val="00BB2B33"/>
    <w:rsid w:val="00BB2C5C"/>
    <w:rsid w:val="00BB4FBD"/>
    <w:rsid w:val="00BB75FE"/>
    <w:rsid w:val="00BC264E"/>
    <w:rsid w:val="00BC38D7"/>
    <w:rsid w:val="00BC4029"/>
    <w:rsid w:val="00BC4CAC"/>
    <w:rsid w:val="00BC533D"/>
    <w:rsid w:val="00BC5AD7"/>
    <w:rsid w:val="00BC5DCA"/>
    <w:rsid w:val="00BC5E15"/>
    <w:rsid w:val="00BC5F52"/>
    <w:rsid w:val="00BC67C9"/>
    <w:rsid w:val="00BC7971"/>
    <w:rsid w:val="00BD02F6"/>
    <w:rsid w:val="00BD045A"/>
    <w:rsid w:val="00BD1BCB"/>
    <w:rsid w:val="00BD21C5"/>
    <w:rsid w:val="00BD26BF"/>
    <w:rsid w:val="00BD2736"/>
    <w:rsid w:val="00BD2BC1"/>
    <w:rsid w:val="00BD3937"/>
    <w:rsid w:val="00BD4199"/>
    <w:rsid w:val="00BD41A3"/>
    <w:rsid w:val="00BD4806"/>
    <w:rsid w:val="00BD53EE"/>
    <w:rsid w:val="00BD59C7"/>
    <w:rsid w:val="00BD696A"/>
    <w:rsid w:val="00BD6AF0"/>
    <w:rsid w:val="00BD7B97"/>
    <w:rsid w:val="00BE0106"/>
    <w:rsid w:val="00BE0554"/>
    <w:rsid w:val="00BE0AAD"/>
    <w:rsid w:val="00BE0E36"/>
    <w:rsid w:val="00BE3ACE"/>
    <w:rsid w:val="00BE3E9D"/>
    <w:rsid w:val="00BE4891"/>
    <w:rsid w:val="00BE5195"/>
    <w:rsid w:val="00BE7663"/>
    <w:rsid w:val="00BF172F"/>
    <w:rsid w:val="00BF178A"/>
    <w:rsid w:val="00BF19E6"/>
    <w:rsid w:val="00BF1E0E"/>
    <w:rsid w:val="00BF23BA"/>
    <w:rsid w:val="00BF4440"/>
    <w:rsid w:val="00BF4643"/>
    <w:rsid w:val="00BF5251"/>
    <w:rsid w:val="00BF600A"/>
    <w:rsid w:val="00BF60B0"/>
    <w:rsid w:val="00BF678C"/>
    <w:rsid w:val="00BF6C5C"/>
    <w:rsid w:val="00BF6D4C"/>
    <w:rsid w:val="00BF6F3C"/>
    <w:rsid w:val="00BF702F"/>
    <w:rsid w:val="00C000B7"/>
    <w:rsid w:val="00C0180E"/>
    <w:rsid w:val="00C0257E"/>
    <w:rsid w:val="00C0297F"/>
    <w:rsid w:val="00C041AC"/>
    <w:rsid w:val="00C0437C"/>
    <w:rsid w:val="00C04501"/>
    <w:rsid w:val="00C04D8B"/>
    <w:rsid w:val="00C05B19"/>
    <w:rsid w:val="00C063B4"/>
    <w:rsid w:val="00C06F7F"/>
    <w:rsid w:val="00C104BD"/>
    <w:rsid w:val="00C105B0"/>
    <w:rsid w:val="00C10904"/>
    <w:rsid w:val="00C112DF"/>
    <w:rsid w:val="00C11525"/>
    <w:rsid w:val="00C12227"/>
    <w:rsid w:val="00C12958"/>
    <w:rsid w:val="00C1297F"/>
    <w:rsid w:val="00C12BAE"/>
    <w:rsid w:val="00C13845"/>
    <w:rsid w:val="00C15D24"/>
    <w:rsid w:val="00C171E2"/>
    <w:rsid w:val="00C1788F"/>
    <w:rsid w:val="00C20855"/>
    <w:rsid w:val="00C20EB3"/>
    <w:rsid w:val="00C21D7F"/>
    <w:rsid w:val="00C222BF"/>
    <w:rsid w:val="00C22E29"/>
    <w:rsid w:val="00C22F67"/>
    <w:rsid w:val="00C2354A"/>
    <w:rsid w:val="00C239BE"/>
    <w:rsid w:val="00C239DB"/>
    <w:rsid w:val="00C23B05"/>
    <w:rsid w:val="00C23D7E"/>
    <w:rsid w:val="00C24E84"/>
    <w:rsid w:val="00C25CD5"/>
    <w:rsid w:val="00C262DF"/>
    <w:rsid w:val="00C3202F"/>
    <w:rsid w:val="00C32940"/>
    <w:rsid w:val="00C338C3"/>
    <w:rsid w:val="00C33A95"/>
    <w:rsid w:val="00C379EE"/>
    <w:rsid w:val="00C40B76"/>
    <w:rsid w:val="00C40B94"/>
    <w:rsid w:val="00C4242C"/>
    <w:rsid w:val="00C426BE"/>
    <w:rsid w:val="00C42A11"/>
    <w:rsid w:val="00C42CC8"/>
    <w:rsid w:val="00C43204"/>
    <w:rsid w:val="00C43384"/>
    <w:rsid w:val="00C436E8"/>
    <w:rsid w:val="00C44476"/>
    <w:rsid w:val="00C4472F"/>
    <w:rsid w:val="00C44BDD"/>
    <w:rsid w:val="00C45655"/>
    <w:rsid w:val="00C45D2D"/>
    <w:rsid w:val="00C466D3"/>
    <w:rsid w:val="00C4707A"/>
    <w:rsid w:val="00C47791"/>
    <w:rsid w:val="00C50B95"/>
    <w:rsid w:val="00C511E9"/>
    <w:rsid w:val="00C517B1"/>
    <w:rsid w:val="00C51BE6"/>
    <w:rsid w:val="00C51DAC"/>
    <w:rsid w:val="00C524D6"/>
    <w:rsid w:val="00C53351"/>
    <w:rsid w:val="00C53B22"/>
    <w:rsid w:val="00C53F3F"/>
    <w:rsid w:val="00C54134"/>
    <w:rsid w:val="00C5491B"/>
    <w:rsid w:val="00C54C43"/>
    <w:rsid w:val="00C554A6"/>
    <w:rsid w:val="00C55C4A"/>
    <w:rsid w:val="00C56081"/>
    <w:rsid w:val="00C5753F"/>
    <w:rsid w:val="00C57A4C"/>
    <w:rsid w:val="00C605D9"/>
    <w:rsid w:val="00C612C5"/>
    <w:rsid w:val="00C6197B"/>
    <w:rsid w:val="00C61ABC"/>
    <w:rsid w:val="00C6277D"/>
    <w:rsid w:val="00C62B2D"/>
    <w:rsid w:val="00C6393E"/>
    <w:rsid w:val="00C65944"/>
    <w:rsid w:val="00C664D3"/>
    <w:rsid w:val="00C66ACF"/>
    <w:rsid w:val="00C70DA3"/>
    <w:rsid w:val="00C710BC"/>
    <w:rsid w:val="00C72499"/>
    <w:rsid w:val="00C72E07"/>
    <w:rsid w:val="00C747A5"/>
    <w:rsid w:val="00C75BA9"/>
    <w:rsid w:val="00C77FF8"/>
    <w:rsid w:val="00C8007F"/>
    <w:rsid w:val="00C8021B"/>
    <w:rsid w:val="00C80365"/>
    <w:rsid w:val="00C804DB"/>
    <w:rsid w:val="00C80A6D"/>
    <w:rsid w:val="00C80C1C"/>
    <w:rsid w:val="00C80D80"/>
    <w:rsid w:val="00C817A9"/>
    <w:rsid w:val="00C81CDF"/>
    <w:rsid w:val="00C8255F"/>
    <w:rsid w:val="00C842AE"/>
    <w:rsid w:val="00C84634"/>
    <w:rsid w:val="00C84F2D"/>
    <w:rsid w:val="00C859D1"/>
    <w:rsid w:val="00C85ABF"/>
    <w:rsid w:val="00C8664A"/>
    <w:rsid w:val="00C86BCF"/>
    <w:rsid w:val="00C86C76"/>
    <w:rsid w:val="00C87308"/>
    <w:rsid w:val="00C87A9C"/>
    <w:rsid w:val="00C90669"/>
    <w:rsid w:val="00C9088E"/>
    <w:rsid w:val="00C919D4"/>
    <w:rsid w:val="00C9367D"/>
    <w:rsid w:val="00C93828"/>
    <w:rsid w:val="00C94BD9"/>
    <w:rsid w:val="00C955A1"/>
    <w:rsid w:val="00C966AD"/>
    <w:rsid w:val="00C97B30"/>
    <w:rsid w:val="00CA0A1F"/>
    <w:rsid w:val="00CA1215"/>
    <w:rsid w:val="00CA1483"/>
    <w:rsid w:val="00CA1583"/>
    <w:rsid w:val="00CA1A6E"/>
    <w:rsid w:val="00CA1B65"/>
    <w:rsid w:val="00CA1DB0"/>
    <w:rsid w:val="00CA2DED"/>
    <w:rsid w:val="00CA5E82"/>
    <w:rsid w:val="00CA6929"/>
    <w:rsid w:val="00CB02BC"/>
    <w:rsid w:val="00CB0A6D"/>
    <w:rsid w:val="00CB0AD8"/>
    <w:rsid w:val="00CB101D"/>
    <w:rsid w:val="00CB13BF"/>
    <w:rsid w:val="00CB1C46"/>
    <w:rsid w:val="00CB3F41"/>
    <w:rsid w:val="00CB446F"/>
    <w:rsid w:val="00CB4A0D"/>
    <w:rsid w:val="00CB4FEB"/>
    <w:rsid w:val="00CB51FD"/>
    <w:rsid w:val="00CB5C78"/>
    <w:rsid w:val="00CB60CE"/>
    <w:rsid w:val="00CB6448"/>
    <w:rsid w:val="00CB66C2"/>
    <w:rsid w:val="00CB7717"/>
    <w:rsid w:val="00CB7CBF"/>
    <w:rsid w:val="00CC060D"/>
    <w:rsid w:val="00CC086F"/>
    <w:rsid w:val="00CC0BB1"/>
    <w:rsid w:val="00CC0D6D"/>
    <w:rsid w:val="00CC0E72"/>
    <w:rsid w:val="00CC1798"/>
    <w:rsid w:val="00CC2570"/>
    <w:rsid w:val="00CC275A"/>
    <w:rsid w:val="00CC42EE"/>
    <w:rsid w:val="00CC4899"/>
    <w:rsid w:val="00CC5071"/>
    <w:rsid w:val="00CC5899"/>
    <w:rsid w:val="00CC58AE"/>
    <w:rsid w:val="00CC5C11"/>
    <w:rsid w:val="00CC7B72"/>
    <w:rsid w:val="00CD07C8"/>
    <w:rsid w:val="00CD3E49"/>
    <w:rsid w:val="00CD3FAD"/>
    <w:rsid w:val="00CD4BD5"/>
    <w:rsid w:val="00CD5806"/>
    <w:rsid w:val="00CD5EAB"/>
    <w:rsid w:val="00CD68C7"/>
    <w:rsid w:val="00CD6B94"/>
    <w:rsid w:val="00CE041A"/>
    <w:rsid w:val="00CE13D9"/>
    <w:rsid w:val="00CE1E90"/>
    <w:rsid w:val="00CE228B"/>
    <w:rsid w:val="00CE266A"/>
    <w:rsid w:val="00CE3DCE"/>
    <w:rsid w:val="00CE4E30"/>
    <w:rsid w:val="00CE4FA9"/>
    <w:rsid w:val="00CE54EA"/>
    <w:rsid w:val="00CE7460"/>
    <w:rsid w:val="00CF02B2"/>
    <w:rsid w:val="00CF1735"/>
    <w:rsid w:val="00CF1AD7"/>
    <w:rsid w:val="00CF1ADD"/>
    <w:rsid w:val="00CF2117"/>
    <w:rsid w:val="00CF5345"/>
    <w:rsid w:val="00CF55E9"/>
    <w:rsid w:val="00CF5BCC"/>
    <w:rsid w:val="00CF5EE7"/>
    <w:rsid w:val="00CF6A56"/>
    <w:rsid w:val="00CF70AB"/>
    <w:rsid w:val="00CF73E8"/>
    <w:rsid w:val="00CF7A69"/>
    <w:rsid w:val="00D0022B"/>
    <w:rsid w:val="00D0086A"/>
    <w:rsid w:val="00D03E7D"/>
    <w:rsid w:val="00D045EB"/>
    <w:rsid w:val="00D0520A"/>
    <w:rsid w:val="00D061A0"/>
    <w:rsid w:val="00D075F4"/>
    <w:rsid w:val="00D0790A"/>
    <w:rsid w:val="00D10B51"/>
    <w:rsid w:val="00D134DF"/>
    <w:rsid w:val="00D153CC"/>
    <w:rsid w:val="00D154E8"/>
    <w:rsid w:val="00D15693"/>
    <w:rsid w:val="00D163F5"/>
    <w:rsid w:val="00D168C4"/>
    <w:rsid w:val="00D16B95"/>
    <w:rsid w:val="00D17ABE"/>
    <w:rsid w:val="00D2010E"/>
    <w:rsid w:val="00D21433"/>
    <w:rsid w:val="00D21F5C"/>
    <w:rsid w:val="00D2253D"/>
    <w:rsid w:val="00D226DA"/>
    <w:rsid w:val="00D22C36"/>
    <w:rsid w:val="00D22FD9"/>
    <w:rsid w:val="00D2302E"/>
    <w:rsid w:val="00D23E1D"/>
    <w:rsid w:val="00D24095"/>
    <w:rsid w:val="00D245F9"/>
    <w:rsid w:val="00D27D29"/>
    <w:rsid w:val="00D27EFB"/>
    <w:rsid w:val="00D3059B"/>
    <w:rsid w:val="00D30C33"/>
    <w:rsid w:val="00D31087"/>
    <w:rsid w:val="00D311D8"/>
    <w:rsid w:val="00D31A20"/>
    <w:rsid w:val="00D31EF2"/>
    <w:rsid w:val="00D328D3"/>
    <w:rsid w:val="00D328F2"/>
    <w:rsid w:val="00D332D5"/>
    <w:rsid w:val="00D3405F"/>
    <w:rsid w:val="00D34738"/>
    <w:rsid w:val="00D353E8"/>
    <w:rsid w:val="00D36AEB"/>
    <w:rsid w:val="00D37B9F"/>
    <w:rsid w:val="00D37EAA"/>
    <w:rsid w:val="00D40086"/>
    <w:rsid w:val="00D40177"/>
    <w:rsid w:val="00D40F95"/>
    <w:rsid w:val="00D40F99"/>
    <w:rsid w:val="00D41B4A"/>
    <w:rsid w:val="00D41D03"/>
    <w:rsid w:val="00D42311"/>
    <w:rsid w:val="00D42499"/>
    <w:rsid w:val="00D442BA"/>
    <w:rsid w:val="00D47013"/>
    <w:rsid w:val="00D47BEE"/>
    <w:rsid w:val="00D5080E"/>
    <w:rsid w:val="00D509EC"/>
    <w:rsid w:val="00D5120D"/>
    <w:rsid w:val="00D52234"/>
    <w:rsid w:val="00D53403"/>
    <w:rsid w:val="00D537BC"/>
    <w:rsid w:val="00D53AD6"/>
    <w:rsid w:val="00D53C08"/>
    <w:rsid w:val="00D540A8"/>
    <w:rsid w:val="00D5530E"/>
    <w:rsid w:val="00D57423"/>
    <w:rsid w:val="00D57922"/>
    <w:rsid w:val="00D57EFA"/>
    <w:rsid w:val="00D60046"/>
    <w:rsid w:val="00D6066F"/>
    <w:rsid w:val="00D60E14"/>
    <w:rsid w:val="00D61B99"/>
    <w:rsid w:val="00D61FF8"/>
    <w:rsid w:val="00D623A0"/>
    <w:rsid w:val="00D6276C"/>
    <w:rsid w:val="00D6374C"/>
    <w:rsid w:val="00D63EF3"/>
    <w:rsid w:val="00D64106"/>
    <w:rsid w:val="00D64F35"/>
    <w:rsid w:val="00D65551"/>
    <w:rsid w:val="00D65CF6"/>
    <w:rsid w:val="00D66CA9"/>
    <w:rsid w:val="00D71FD3"/>
    <w:rsid w:val="00D71FFB"/>
    <w:rsid w:val="00D7350A"/>
    <w:rsid w:val="00D73C2C"/>
    <w:rsid w:val="00D74663"/>
    <w:rsid w:val="00D751FA"/>
    <w:rsid w:val="00D75E8B"/>
    <w:rsid w:val="00D7633E"/>
    <w:rsid w:val="00D7694D"/>
    <w:rsid w:val="00D773A9"/>
    <w:rsid w:val="00D82DFB"/>
    <w:rsid w:val="00D8501A"/>
    <w:rsid w:val="00D865C6"/>
    <w:rsid w:val="00D86B08"/>
    <w:rsid w:val="00D86CE3"/>
    <w:rsid w:val="00D87063"/>
    <w:rsid w:val="00D902B7"/>
    <w:rsid w:val="00D9044B"/>
    <w:rsid w:val="00D92206"/>
    <w:rsid w:val="00D938BB"/>
    <w:rsid w:val="00D96375"/>
    <w:rsid w:val="00D970D6"/>
    <w:rsid w:val="00D97F39"/>
    <w:rsid w:val="00DA0338"/>
    <w:rsid w:val="00DA0487"/>
    <w:rsid w:val="00DA04BD"/>
    <w:rsid w:val="00DA077E"/>
    <w:rsid w:val="00DA1CB7"/>
    <w:rsid w:val="00DA24E6"/>
    <w:rsid w:val="00DA2858"/>
    <w:rsid w:val="00DA36F5"/>
    <w:rsid w:val="00DA55C0"/>
    <w:rsid w:val="00DA57E0"/>
    <w:rsid w:val="00DA5F4A"/>
    <w:rsid w:val="00DA6AA6"/>
    <w:rsid w:val="00DB0040"/>
    <w:rsid w:val="00DB03F5"/>
    <w:rsid w:val="00DB1015"/>
    <w:rsid w:val="00DB1075"/>
    <w:rsid w:val="00DB16A2"/>
    <w:rsid w:val="00DB38BF"/>
    <w:rsid w:val="00DB4120"/>
    <w:rsid w:val="00DB4AB7"/>
    <w:rsid w:val="00DB5463"/>
    <w:rsid w:val="00DB5E0F"/>
    <w:rsid w:val="00DB7058"/>
    <w:rsid w:val="00DB7FC4"/>
    <w:rsid w:val="00DC092E"/>
    <w:rsid w:val="00DC1A17"/>
    <w:rsid w:val="00DC408C"/>
    <w:rsid w:val="00DC42F3"/>
    <w:rsid w:val="00DC44CE"/>
    <w:rsid w:val="00DC4E81"/>
    <w:rsid w:val="00DC5470"/>
    <w:rsid w:val="00DC7153"/>
    <w:rsid w:val="00DD00FF"/>
    <w:rsid w:val="00DD18BD"/>
    <w:rsid w:val="00DD2333"/>
    <w:rsid w:val="00DD2BBD"/>
    <w:rsid w:val="00DD3751"/>
    <w:rsid w:val="00DD4810"/>
    <w:rsid w:val="00DD5C0D"/>
    <w:rsid w:val="00DD6C07"/>
    <w:rsid w:val="00DD716A"/>
    <w:rsid w:val="00DD77E2"/>
    <w:rsid w:val="00DE02D5"/>
    <w:rsid w:val="00DE0FD1"/>
    <w:rsid w:val="00DE1558"/>
    <w:rsid w:val="00DE161B"/>
    <w:rsid w:val="00DE263F"/>
    <w:rsid w:val="00DE2DA6"/>
    <w:rsid w:val="00DE41B6"/>
    <w:rsid w:val="00DE4480"/>
    <w:rsid w:val="00DE5C7E"/>
    <w:rsid w:val="00DE5F51"/>
    <w:rsid w:val="00DE75A1"/>
    <w:rsid w:val="00DE75A6"/>
    <w:rsid w:val="00DE76A8"/>
    <w:rsid w:val="00DF047C"/>
    <w:rsid w:val="00DF21EE"/>
    <w:rsid w:val="00DF3BD1"/>
    <w:rsid w:val="00DF4DC1"/>
    <w:rsid w:val="00DF4E24"/>
    <w:rsid w:val="00DF56F0"/>
    <w:rsid w:val="00DF5D07"/>
    <w:rsid w:val="00DF61CC"/>
    <w:rsid w:val="00DF6EFB"/>
    <w:rsid w:val="00DF7AA4"/>
    <w:rsid w:val="00E008E0"/>
    <w:rsid w:val="00E018B3"/>
    <w:rsid w:val="00E03400"/>
    <w:rsid w:val="00E04367"/>
    <w:rsid w:val="00E043B3"/>
    <w:rsid w:val="00E050CC"/>
    <w:rsid w:val="00E0573A"/>
    <w:rsid w:val="00E05CEC"/>
    <w:rsid w:val="00E05D6E"/>
    <w:rsid w:val="00E060BD"/>
    <w:rsid w:val="00E100A2"/>
    <w:rsid w:val="00E10F6B"/>
    <w:rsid w:val="00E114C9"/>
    <w:rsid w:val="00E11827"/>
    <w:rsid w:val="00E12613"/>
    <w:rsid w:val="00E12AFF"/>
    <w:rsid w:val="00E12D19"/>
    <w:rsid w:val="00E13C94"/>
    <w:rsid w:val="00E13F00"/>
    <w:rsid w:val="00E1597C"/>
    <w:rsid w:val="00E15DB0"/>
    <w:rsid w:val="00E1724A"/>
    <w:rsid w:val="00E17AA8"/>
    <w:rsid w:val="00E20922"/>
    <w:rsid w:val="00E20CD2"/>
    <w:rsid w:val="00E22841"/>
    <w:rsid w:val="00E22B7B"/>
    <w:rsid w:val="00E22EFB"/>
    <w:rsid w:val="00E22F2B"/>
    <w:rsid w:val="00E242F3"/>
    <w:rsid w:val="00E248CE"/>
    <w:rsid w:val="00E24CAE"/>
    <w:rsid w:val="00E260A8"/>
    <w:rsid w:val="00E26291"/>
    <w:rsid w:val="00E27242"/>
    <w:rsid w:val="00E30C75"/>
    <w:rsid w:val="00E3243A"/>
    <w:rsid w:val="00E3329F"/>
    <w:rsid w:val="00E33564"/>
    <w:rsid w:val="00E34CD6"/>
    <w:rsid w:val="00E40694"/>
    <w:rsid w:val="00E409B1"/>
    <w:rsid w:val="00E41BCC"/>
    <w:rsid w:val="00E42465"/>
    <w:rsid w:val="00E42861"/>
    <w:rsid w:val="00E434D2"/>
    <w:rsid w:val="00E438E6"/>
    <w:rsid w:val="00E44A51"/>
    <w:rsid w:val="00E45599"/>
    <w:rsid w:val="00E47039"/>
    <w:rsid w:val="00E50A27"/>
    <w:rsid w:val="00E516D6"/>
    <w:rsid w:val="00E52C4F"/>
    <w:rsid w:val="00E5364D"/>
    <w:rsid w:val="00E5645C"/>
    <w:rsid w:val="00E564C2"/>
    <w:rsid w:val="00E6036F"/>
    <w:rsid w:val="00E60902"/>
    <w:rsid w:val="00E61C34"/>
    <w:rsid w:val="00E63705"/>
    <w:rsid w:val="00E64439"/>
    <w:rsid w:val="00E6453B"/>
    <w:rsid w:val="00E653F7"/>
    <w:rsid w:val="00E668E6"/>
    <w:rsid w:val="00E67E90"/>
    <w:rsid w:val="00E7090B"/>
    <w:rsid w:val="00E72690"/>
    <w:rsid w:val="00E72699"/>
    <w:rsid w:val="00E75FBE"/>
    <w:rsid w:val="00E765A9"/>
    <w:rsid w:val="00E7677A"/>
    <w:rsid w:val="00E77CAC"/>
    <w:rsid w:val="00E80646"/>
    <w:rsid w:val="00E815FC"/>
    <w:rsid w:val="00E81F63"/>
    <w:rsid w:val="00E823DC"/>
    <w:rsid w:val="00E824E6"/>
    <w:rsid w:val="00E82544"/>
    <w:rsid w:val="00E84BAD"/>
    <w:rsid w:val="00E8601E"/>
    <w:rsid w:val="00E86401"/>
    <w:rsid w:val="00E90C7C"/>
    <w:rsid w:val="00E90DA6"/>
    <w:rsid w:val="00E9372B"/>
    <w:rsid w:val="00E93EE7"/>
    <w:rsid w:val="00E94A15"/>
    <w:rsid w:val="00E97C6B"/>
    <w:rsid w:val="00E97E7A"/>
    <w:rsid w:val="00EA0C1D"/>
    <w:rsid w:val="00EA0E91"/>
    <w:rsid w:val="00EA3DE8"/>
    <w:rsid w:val="00EA4F98"/>
    <w:rsid w:val="00EA5CCD"/>
    <w:rsid w:val="00EA5DEC"/>
    <w:rsid w:val="00EA60FE"/>
    <w:rsid w:val="00EA7642"/>
    <w:rsid w:val="00EB1A67"/>
    <w:rsid w:val="00EB1EB2"/>
    <w:rsid w:val="00EB2C52"/>
    <w:rsid w:val="00EB33DC"/>
    <w:rsid w:val="00EB3E6F"/>
    <w:rsid w:val="00EB4300"/>
    <w:rsid w:val="00EB4343"/>
    <w:rsid w:val="00EB4AC8"/>
    <w:rsid w:val="00EC05CA"/>
    <w:rsid w:val="00EC11A7"/>
    <w:rsid w:val="00EC2124"/>
    <w:rsid w:val="00EC27CD"/>
    <w:rsid w:val="00EC2DEF"/>
    <w:rsid w:val="00EC3289"/>
    <w:rsid w:val="00EC6F1B"/>
    <w:rsid w:val="00EC6FDB"/>
    <w:rsid w:val="00EC7601"/>
    <w:rsid w:val="00ED14F3"/>
    <w:rsid w:val="00ED1A19"/>
    <w:rsid w:val="00ED1F10"/>
    <w:rsid w:val="00ED2610"/>
    <w:rsid w:val="00ED2A5A"/>
    <w:rsid w:val="00ED3288"/>
    <w:rsid w:val="00ED337B"/>
    <w:rsid w:val="00ED3849"/>
    <w:rsid w:val="00ED3AC9"/>
    <w:rsid w:val="00ED4A0D"/>
    <w:rsid w:val="00ED4D08"/>
    <w:rsid w:val="00ED564A"/>
    <w:rsid w:val="00ED64F3"/>
    <w:rsid w:val="00EE1573"/>
    <w:rsid w:val="00EE1BD0"/>
    <w:rsid w:val="00EE265B"/>
    <w:rsid w:val="00EE2FF8"/>
    <w:rsid w:val="00EE378F"/>
    <w:rsid w:val="00EE53C2"/>
    <w:rsid w:val="00EE6354"/>
    <w:rsid w:val="00EE6D3C"/>
    <w:rsid w:val="00EE7338"/>
    <w:rsid w:val="00EF00C3"/>
    <w:rsid w:val="00EF090C"/>
    <w:rsid w:val="00EF0CF3"/>
    <w:rsid w:val="00EF0FD9"/>
    <w:rsid w:val="00EF499A"/>
    <w:rsid w:val="00EF5F74"/>
    <w:rsid w:val="00EF6ABD"/>
    <w:rsid w:val="00EF6CBE"/>
    <w:rsid w:val="00F00343"/>
    <w:rsid w:val="00F00C4B"/>
    <w:rsid w:val="00F00D80"/>
    <w:rsid w:val="00F01432"/>
    <w:rsid w:val="00F02AE4"/>
    <w:rsid w:val="00F03491"/>
    <w:rsid w:val="00F038D6"/>
    <w:rsid w:val="00F03C79"/>
    <w:rsid w:val="00F0605A"/>
    <w:rsid w:val="00F06D0B"/>
    <w:rsid w:val="00F07E9E"/>
    <w:rsid w:val="00F107D0"/>
    <w:rsid w:val="00F108E7"/>
    <w:rsid w:val="00F10CBD"/>
    <w:rsid w:val="00F115FF"/>
    <w:rsid w:val="00F12115"/>
    <w:rsid w:val="00F1345E"/>
    <w:rsid w:val="00F13DE2"/>
    <w:rsid w:val="00F14826"/>
    <w:rsid w:val="00F16080"/>
    <w:rsid w:val="00F16397"/>
    <w:rsid w:val="00F17CFB"/>
    <w:rsid w:val="00F17D17"/>
    <w:rsid w:val="00F2052B"/>
    <w:rsid w:val="00F22823"/>
    <w:rsid w:val="00F2361D"/>
    <w:rsid w:val="00F2406B"/>
    <w:rsid w:val="00F24143"/>
    <w:rsid w:val="00F242CE"/>
    <w:rsid w:val="00F243FF"/>
    <w:rsid w:val="00F24B8A"/>
    <w:rsid w:val="00F258FB"/>
    <w:rsid w:val="00F300D6"/>
    <w:rsid w:val="00F302E7"/>
    <w:rsid w:val="00F3062F"/>
    <w:rsid w:val="00F31B9D"/>
    <w:rsid w:val="00F31D60"/>
    <w:rsid w:val="00F32445"/>
    <w:rsid w:val="00F33162"/>
    <w:rsid w:val="00F33247"/>
    <w:rsid w:val="00F33955"/>
    <w:rsid w:val="00F349B8"/>
    <w:rsid w:val="00F35366"/>
    <w:rsid w:val="00F364A9"/>
    <w:rsid w:val="00F364B6"/>
    <w:rsid w:val="00F36999"/>
    <w:rsid w:val="00F36B27"/>
    <w:rsid w:val="00F371CD"/>
    <w:rsid w:val="00F371DF"/>
    <w:rsid w:val="00F3789D"/>
    <w:rsid w:val="00F37DC6"/>
    <w:rsid w:val="00F40B09"/>
    <w:rsid w:val="00F41639"/>
    <w:rsid w:val="00F417A1"/>
    <w:rsid w:val="00F42664"/>
    <w:rsid w:val="00F428C1"/>
    <w:rsid w:val="00F42BE7"/>
    <w:rsid w:val="00F43BB2"/>
    <w:rsid w:val="00F442FC"/>
    <w:rsid w:val="00F467CC"/>
    <w:rsid w:val="00F46ABF"/>
    <w:rsid w:val="00F505B7"/>
    <w:rsid w:val="00F50F9F"/>
    <w:rsid w:val="00F511EB"/>
    <w:rsid w:val="00F513B0"/>
    <w:rsid w:val="00F5421F"/>
    <w:rsid w:val="00F5561A"/>
    <w:rsid w:val="00F55BC9"/>
    <w:rsid w:val="00F55CF8"/>
    <w:rsid w:val="00F55F81"/>
    <w:rsid w:val="00F57145"/>
    <w:rsid w:val="00F57405"/>
    <w:rsid w:val="00F57AC7"/>
    <w:rsid w:val="00F57CEA"/>
    <w:rsid w:val="00F6167F"/>
    <w:rsid w:val="00F61A2E"/>
    <w:rsid w:val="00F62325"/>
    <w:rsid w:val="00F62CB6"/>
    <w:rsid w:val="00F63366"/>
    <w:rsid w:val="00F6557E"/>
    <w:rsid w:val="00F65851"/>
    <w:rsid w:val="00F65A81"/>
    <w:rsid w:val="00F65CDB"/>
    <w:rsid w:val="00F67A45"/>
    <w:rsid w:val="00F67D43"/>
    <w:rsid w:val="00F70309"/>
    <w:rsid w:val="00F70BE9"/>
    <w:rsid w:val="00F70C83"/>
    <w:rsid w:val="00F7126F"/>
    <w:rsid w:val="00F720F9"/>
    <w:rsid w:val="00F726AF"/>
    <w:rsid w:val="00F72A69"/>
    <w:rsid w:val="00F72B7C"/>
    <w:rsid w:val="00F72FE5"/>
    <w:rsid w:val="00F732DB"/>
    <w:rsid w:val="00F73AED"/>
    <w:rsid w:val="00F73EDE"/>
    <w:rsid w:val="00F74D17"/>
    <w:rsid w:val="00F75DD1"/>
    <w:rsid w:val="00F770F3"/>
    <w:rsid w:val="00F77480"/>
    <w:rsid w:val="00F811ED"/>
    <w:rsid w:val="00F81253"/>
    <w:rsid w:val="00F81709"/>
    <w:rsid w:val="00F81ACB"/>
    <w:rsid w:val="00F82ED5"/>
    <w:rsid w:val="00F835CC"/>
    <w:rsid w:val="00F83C0F"/>
    <w:rsid w:val="00F83D4C"/>
    <w:rsid w:val="00F841F5"/>
    <w:rsid w:val="00F845B2"/>
    <w:rsid w:val="00F84D80"/>
    <w:rsid w:val="00F84E6F"/>
    <w:rsid w:val="00F853AF"/>
    <w:rsid w:val="00F863E3"/>
    <w:rsid w:val="00F8641C"/>
    <w:rsid w:val="00F91415"/>
    <w:rsid w:val="00F91714"/>
    <w:rsid w:val="00F91A57"/>
    <w:rsid w:val="00F924B3"/>
    <w:rsid w:val="00F932BA"/>
    <w:rsid w:val="00F94C37"/>
    <w:rsid w:val="00F96ACA"/>
    <w:rsid w:val="00F9771B"/>
    <w:rsid w:val="00F97751"/>
    <w:rsid w:val="00FA03E7"/>
    <w:rsid w:val="00FA062B"/>
    <w:rsid w:val="00FA0D5C"/>
    <w:rsid w:val="00FA11B2"/>
    <w:rsid w:val="00FA18C9"/>
    <w:rsid w:val="00FA3B06"/>
    <w:rsid w:val="00FA3B37"/>
    <w:rsid w:val="00FA4C3C"/>
    <w:rsid w:val="00FA571B"/>
    <w:rsid w:val="00FA59B4"/>
    <w:rsid w:val="00FA62B7"/>
    <w:rsid w:val="00FA66F9"/>
    <w:rsid w:val="00FA7184"/>
    <w:rsid w:val="00FA7BF3"/>
    <w:rsid w:val="00FB1DB8"/>
    <w:rsid w:val="00FB24DC"/>
    <w:rsid w:val="00FB35E3"/>
    <w:rsid w:val="00FB4C9F"/>
    <w:rsid w:val="00FB5512"/>
    <w:rsid w:val="00FB5B12"/>
    <w:rsid w:val="00FB5CC9"/>
    <w:rsid w:val="00FB645E"/>
    <w:rsid w:val="00FB70C0"/>
    <w:rsid w:val="00FC11AD"/>
    <w:rsid w:val="00FC3455"/>
    <w:rsid w:val="00FC468E"/>
    <w:rsid w:val="00FC5B41"/>
    <w:rsid w:val="00FC6220"/>
    <w:rsid w:val="00FC705C"/>
    <w:rsid w:val="00FC73ED"/>
    <w:rsid w:val="00FC7AF4"/>
    <w:rsid w:val="00FC7CA3"/>
    <w:rsid w:val="00FD08EB"/>
    <w:rsid w:val="00FD0B1C"/>
    <w:rsid w:val="00FD13CC"/>
    <w:rsid w:val="00FD4287"/>
    <w:rsid w:val="00FD5073"/>
    <w:rsid w:val="00FD74CC"/>
    <w:rsid w:val="00FE1011"/>
    <w:rsid w:val="00FE165D"/>
    <w:rsid w:val="00FE2882"/>
    <w:rsid w:val="00FE3749"/>
    <w:rsid w:val="00FE45D0"/>
    <w:rsid w:val="00FE488D"/>
    <w:rsid w:val="00FE60D2"/>
    <w:rsid w:val="00FE6B1B"/>
    <w:rsid w:val="00FE713A"/>
    <w:rsid w:val="00FE7175"/>
    <w:rsid w:val="00FE7255"/>
    <w:rsid w:val="00FE75F3"/>
    <w:rsid w:val="00FE76BF"/>
    <w:rsid w:val="00FE7F7F"/>
    <w:rsid w:val="00FF09CD"/>
    <w:rsid w:val="00FF0D76"/>
    <w:rsid w:val="00FF0E7B"/>
    <w:rsid w:val="00FF115B"/>
    <w:rsid w:val="00FF217A"/>
    <w:rsid w:val="00FF2372"/>
    <w:rsid w:val="00FF2EF7"/>
    <w:rsid w:val="00FF3777"/>
    <w:rsid w:val="4C73E587"/>
    <w:rsid w:val="6DC3CCE5"/>
    <w:rsid w:val="70495286"/>
    <w:rsid w:val="7214FBA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7C494BA"/>
  <w15:chartTrackingRefBased/>
  <w15:docId w15:val="{BD0AD6F1-6E12-4A97-939D-EFB09BB81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1338"/>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AA1338"/>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A1338"/>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A1338"/>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A1338"/>
    <w:pPr>
      <w:keepNext/>
      <w:numPr>
        <w:ilvl w:val="3"/>
        <w:numId w:val="6"/>
      </w:numPr>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AA1338"/>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semiHidden/>
    <w:rsid w:val="00AA1338"/>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AA1338"/>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AA1338"/>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AA1338"/>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AA1338"/>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AA1338"/>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AA1338"/>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AA1338"/>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AA1338"/>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AA1338"/>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AA1338"/>
    <w:rPr>
      <w:vertAlign w:val="superscript"/>
      <w:lang w:val="en-GB"/>
    </w:rPr>
  </w:style>
  <w:style w:type="paragraph" w:customStyle="1" w:styleId="Footnote">
    <w:name w:val="Footnote"/>
    <w:basedOn w:val="FootnoteText"/>
    <w:qFormat/>
    <w:rsid w:val="00AA1338"/>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A7247"/>
    <w:pPr>
      <w:tabs>
        <w:tab w:val="num" w:pos="624"/>
      </w:tabs>
      <w:spacing w:before="120" w:after="120"/>
      <w:ind w:left="1248"/>
    </w:pPr>
  </w:style>
  <w:style w:type="character" w:customStyle="1" w:styleId="Heading2Char">
    <w:name w:val="Heading 2 Char"/>
    <w:basedOn w:val="DefaultParagraphFont"/>
    <w:link w:val="Heading2"/>
    <w:uiPriority w:val="9"/>
    <w:rsid w:val="00AA1338"/>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Footer">
    <w:name w:val="footer"/>
    <w:basedOn w:val="Normal"/>
    <w:link w:val="FooterChar"/>
    <w:uiPriority w:val="99"/>
    <w:rsid w:val="00AA1338"/>
    <w:pPr>
      <w:tabs>
        <w:tab w:val="center" w:pos="4680"/>
        <w:tab w:val="right" w:pos="9360"/>
      </w:tabs>
    </w:pPr>
    <w:rPr>
      <w:sz w:val="20"/>
    </w:rPr>
  </w:style>
  <w:style w:type="character" w:customStyle="1" w:styleId="FooterChar">
    <w:name w:val="Footer Char"/>
    <w:basedOn w:val="DefaultParagraphFont"/>
    <w:link w:val="Footer"/>
    <w:uiPriority w:val="99"/>
    <w:rsid w:val="00AA1338"/>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AA1338"/>
    <w:rPr>
      <w:rFonts w:ascii="Times New Roman" w:eastAsiaTheme="majorEastAsia" w:hAnsi="Times New Roman" w:cs="Times New Roman"/>
      <w:b/>
      <w:bCs/>
      <w:kern w:val="0"/>
      <w:lang w:val="en-GB"/>
      <w14:ligatures w14:val="none"/>
    </w:rPr>
  </w:style>
  <w:style w:type="paragraph" w:customStyle="1" w:styleId="Para20">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AA1338"/>
    <w:pPr>
      <w:spacing w:after="240"/>
    </w:pPr>
    <w:rPr>
      <w:b/>
      <w:sz w:val="28"/>
    </w:rPr>
  </w:style>
  <w:style w:type="paragraph" w:customStyle="1" w:styleId="Para30">
    <w:name w:val="Para 3"/>
    <w:basedOn w:val="Normal"/>
    <w:qFormat/>
    <w:rsid w:val="002B00CA"/>
    <w:pPr>
      <w:numPr>
        <w:numId w:val="1"/>
      </w:numPr>
      <w:spacing w:before="120" w:after="120"/>
      <w:ind w:left="1134" w:firstLine="0"/>
    </w:pPr>
  </w:style>
  <w:style w:type="character" w:customStyle="1" w:styleId="Heading4Char">
    <w:name w:val="Heading 4 Char"/>
    <w:basedOn w:val="DefaultParagraphFont"/>
    <w:link w:val="Heading4"/>
    <w:uiPriority w:val="9"/>
    <w:rsid w:val="00AA1338"/>
    <w:rPr>
      <w:rFonts w:ascii="Times New Roman" w:eastAsiaTheme="majorEastAsia" w:hAnsi="Times New Roman" w:cs="Times New Roman"/>
      <w:b/>
      <w:bCs/>
      <w:kern w:val="0"/>
      <w:lang w:val="en-GB"/>
      <w14:ligatures w14:val="none"/>
    </w:rPr>
  </w:style>
  <w:style w:type="character" w:customStyle="1" w:styleId="Heading5Char">
    <w:name w:val="Heading 5 Char"/>
    <w:aliases w:val="Heading 5 - GTI Char"/>
    <w:basedOn w:val="DefaultParagraphFont"/>
    <w:link w:val="Heading5"/>
    <w:uiPriority w:val="9"/>
    <w:rsid w:val="00AA1338"/>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unhideWhenUsed/>
    <w:rsid w:val="00AA1338"/>
    <w:rPr>
      <w:sz w:val="16"/>
      <w:szCs w:val="16"/>
      <w:lang w:val="en-GB"/>
    </w:rPr>
  </w:style>
  <w:style w:type="paragraph" w:styleId="CommentText">
    <w:name w:val="annotation text"/>
    <w:basedOn w:val="Normal"/>
    <w:link w:val="CommentTextChar"/>
    <w:uiPriority w:val="99"/>
    <w:rsid w:val="00AA1338"/>
    <w:rPr>
      <w:sz w:val="20"/>
      <w:szCs w:val="20"/>
    </w:rPr>
  </w:style>
  <w:style w:type="character" w:customStyle="1" w:styleId="CommentTextChar">
    <w:name w:val="Comment Text Char"/>
    <w:basedOn w:val="DefaultParagraphFont"/>
    <w:link w:val="CommentText"/>
    <w:uiPriority w:val="99"/>
    <w:rsid w:val="00AA1338"/>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AA1338"/>
    <w:rPr>
      <w:b/>
      <w:bCs/>
    </w:rPr>
  </w:style>
  <w:style w:type="character" w:customStyle="1" w:styleId="CommentSubjectChar">
    <w:name w:val="Comment Subject Char"/>
    <w:basedOn w:val="CommentTextChar"/>
    <w:link w:val="CommentSubject"/>
    <w:uiPriority w:val="99"/>
    <w:semiHidden/>
    <w:rsid w:val="00AA1338"/>
    <w:rPr>
      <w:rFonts w:ascii="Times New Roman" w:eastAsia="SimSun" w:hAnsi="Times New Roman" w:cs="Times New Roman"/>
      <w:b/>
      <w:bCs/>
      <w:kern w:val="0"/>
      <w:sz w:val="20"/>
      <w:szCs w:val="20"/>
      <w:lang w:val="en-GB"/>
      <w14:ligatures w14:val="none"/>
    </w:rPr>
  </w:style>
  <w:style w:type="paragraph" w:styleId="Revision">
    <w:name w:val="Revision"/>
    <w:hidden/>
    <w:uiPriority w:val="99"/>
    <w:semiHidden/>
    <w:rsid w:val="00AA1338"/>
    <w:pPr>
      <w:spacing w:after="0" w:line="240" w:lineRule="auto"/>
    </w:pPr>
    <w:rPr>
      <w:rFonts w:ascii="Simplified Arabic" w:eastAsia="Times New Roman" w:hAnsi="Simplified Arabic" w:cs="Simplified Arabic"/>
      <w:noProof/>
      <w:kern w:val="0"/>
      <w:sz w:val="24"/>
      <w:szCs w:val="24"/>
      <w:lang w:val="en-US"/>
      <w14:ligatures w14:val="none"/>
    </w:rPr>
  </w:style>
  <w:style w:type="character" w:styleId="PageNumber">
    <w:name w:val="page number"/>
    <w:uiPriority w:val="99"/>
    <w:rsid w:val="00557370"/>
    <w:rPr>
      <w:rFonts w:ascii="Times New Roman" w:hAnsi="Times New Roman"/>
      <w:sz w:val="22"/>
      <w:lang w:val="en-GB"/>
    </w:rPr>
  </w:style>
  <w:style w:type="paragraph" w:customStyle="1" w:styleId="Para3">
    <w:name w:val="Para3"/>
    <w:basedOn w:val="Normal"/>
    <w:rsid w:val="00557370"/>
    <w:pPr>
      <w:numPr>
        <w:ilvl w:val="2"/>
        <w:numId w:val="3"/>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AA1338"/>
    <w:rPr>
      <w:rFonts w:ascii="Times New Roman" w:hAnsi="Times New Roman"/>
      <w:color w:val="0563C1" w:themeColor="hyperlink"/>
      <w:u w:val="single"/>
      <w:lang w:val="en-GB"/>
    </w:rPr>
  </w:style>
  <w:style w:type="character" w:customStyle="1" w:styleId="UnresolvedMention1">
    <w:name w:val="Unresolved Mention1"/>
    <w:basedOn w:val="DefaultParagraphFont"/>
    <w:uiPriority w:val="99"/>
    <w:semiHidden/>
    <w:unhideWhenUsed/>
    <w:rsid w:val="00C664D3"/>
    <w:rPr>
      <w:color w:val="605E5C"/>
      <w:shd w:val="clear" w:color="auto" w:fill="E1DFDD"/>
      <w:lang w:val="en-GB"/>
    </w:rPr>
  </w:style>
  <w:style w:type="character" w:styleId="FollowedHyperlink">
    <w:name w:val="FollowedHyperlink"/>
    <w:basedOn w:val="DefaultParagraphFont"/>
    <w:uiPriority w:val="99"/>
    <w:semiHidden/>
    <w:unhideWhenUsed/>
    <w:rsid w:val="00051B37"/>
    <w:rPr>
      <w:color w:val="954F72" w:themeColor="followedHyperlink"/>
      <w:u w:val="single"/>
      <w:lang w:val="en-GB"/>
    </w:rPr>
  </w:style>
  <w:style w:type="paragraph" w:styleId="BodyTextIndent">
    <w:name w:val="Body Text Indent"/>
    <w:basedOn w:val="Normal"/>
    <w:link w:val="BodyTextIndentChar"/>
    <w:uiPriority w:val="99"/>
    <w:semiHidden/>
    <w:unhideWhenUsed/>
    <w:rsid w:val="00435E81"/>
    <w:pPr>
      <w:spacing w:after="120"/>
      <w:ind w:left="360"/>
    </w:pPr>
  </w:style>
  <w:style w:type="character" w:customStyle="1" w:styleId="BodyTextIndentChar">
    <w:name w:val="Body Text Indent Char"/>
    <w:basedOn w:val="DefaultParagraphFont"/>
    <w:link w:val="BodyTextIndent"/>
    <w:uiPriority w:val="99"/>
    <w:semiHidden/>
    <w:rsid w:val="00435E81"/>
    <w:rPr>
      <w:rFonts w:ascii="Times New Roman" w:eastAsia="SimSun" w:hAnsi="Times New Roman" w:cs="Times New Roman"/>
      <w:kern w:val="0"/>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AA1338"/>
    <w:pPr>
      <w:ind w:left="720"/>
      <w:contextualSpacing/>
    </w:p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SimSun" w:hAnsi="Times New Roman" w:cs="Times New Roman"/>
      <w:snapToGrid w:val="0"/>
      <w:kern w:val="0"/>
      <w:szCs w:val="18"/>
      <w:lang w:val="en-GB"/>
      <w14:ligatures w14:val="none"/>
    </w:rPr>
  </w:style>
  <w:style w:type="paragraph" w:styleId="Header">
    <w:name w:val="header"/>
    <w:basedOn w:val="Normal"/>
    <w:link w:val="HeaderChar"/>
    <w:rsid w:val="00AA1338"/>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AA1338"/>
    <w:rPr>
      <w:rFonts w:ascii="Times New Roman" w:eastAsia="SimSun" w:hAnsi="Times New Roman" w:cs="Times New Roman"/>
      <w:kern w:val="0"/>
      <w:sz w:val="20"/>
      <w:lang w:val="en-GB"/>
      <w14:ligatures w14:val="none"/>
    </w:rPr>
  </w:style>
  <w:style w:type="character" w:customStyle="1" w:styleId="Heading6Char">
    <w:name w:val="Heading 6 Char"/>
    <w:basedOn w:val="DefaultParagraphFont"/>
    <w:link w:val="Heading6"/>
    <w:semiHidden/>
    <w:rsid w:val="00AA1338"/>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AA1338"/>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AA1338"/>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AA1338"/>
    <w:rPr>
      <w:rFonts w:ascii="Times New Roman" w:eastAsia="SimSun" w:hAnsi="Times New Roman" w:cs="Times New Roman"/>
      <w:snapToGrid w:val="0"/>
      <w:kern w:val="0"/>
      <w:u w:val="single"/>
      <w:lang w:val="en-GB"/>
      <w14:ligatures w14:val="none"/>
    </w:rPr>
  </w:style>
  <w:style w:type="paragraph" w:customStyle="1" w:styleId="DarkList-Accent31">
    <w:name w:val="Dark List - Accent 31"/>
    <w:hidden/>
    <w:uiPriority w:val="99"/>
    <w:semiHidden/>
    <w:rsid w:val="00AA1338"/>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AA1338"/>
    <w:pPr>
      <w:spacing w:after="120"/>
      <w:ind w:left="567"/>
    </w:pPr>
  </w:style>
  <w:style w:type="paragraph" w:customStyle="1" w:styleId="ABSymbol">
    <w:name w:val="AB_Symbol"/>
    <w:basedOn w:val="Normal"/>
    <w:qFormat/>
    <w:rsid w:val="00AA1338"/>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AA1338"/>
    <w:pPr>
      <w:numPr>
        <w:numId w:val="7"/>
      </w:numPr>
      <w:tabs>
        <w:tab w:val="left" w:pos="3969"/>
      </w:tabs>
      <w:spacing w:before="120" w:after="120"/>
    </w:pPr>
  </w:style>
  <w:style w:type="paragraph" w:customStyle="1" w:styleId="AFCorNotNormal">
    <w:name w:val="AF_CorNotNormal"/>
    <w:basedOn w:val="Normal"/>
    <w:unhideWhenUsed/>
    <w:rsid w:val="002B38F5"/>
  </w:style>
  <w:style w:type="paragraph" w:customStyle="1" w:styleId="AEDistrNormal">
    <w:name w:val="AE_DistrNormal"/>
    <w:basedOn w:val="Normal"/>
    <w:unhideWhenUsed/>
    <w:rsid w:val="00AA1338"/>
    <w:pPr>
      <w:jc w:val="left"/>
    </w:pPr>
  </w:style>
  <w:style w:type="paragraph" w:customStyle="1" w:styleId="AASmallLogo">
    <w:name w:val="AA_SmallLogo"/>
    <w:basedOn w:val="AEDistrNormal"/>
    <w:unhideWhenUsed/>
    <w:rsid w:val="00AA1338"/>
    <w:pPr>
      <w:spacing w:before="40"/>
    </w:pPr>
    <w:rPr>
      <w:sz w:val="4"/>
    </w:rPr>
  </w:style>
  <w:style w:type="paragraph" w:customStyle="1" w:styleId="ACLargeLogo">
    <w:name w:val="AC_LargeLogo"/>
    <w:basedOn w:val="AFCorNNormal"/>
    <w:next w:val="AISpacer"/>
    <w:unhideWhenUsed/>
    <w:rsid w:val="00AA1338"/>
    <w:pPr>
      <w:spacing w:before="120"/>
      <w:contextualSpacing/>
    </w:pPr>
    <w:rPr>
      <w:sz w:val="8"/>
    </w:rPr>
  </w:style>
  <w:style w:type="paragraph" w:customStyle="1" w:styleId="CBDNormal">
    <w:name w:val="CBD_Normal"/>
    <w:unhideWhenUsed/>
    <w:qFormat/>
    <w:rsid w:val="00AA1338"/>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AA1338"/>
    <w:pPr>
      <w:contextualSpacing/>
    </w:pPr>
  </w:style>
  <w:style w:type="numbering" w:customStyle="1" w:styleId="ListCBD">
    <w:name w:val="ListCBD"/>
    <w:basedOn w:val="NoList"/>
    <w:uiPriority w:val="99"/>
    <w:rsid w:val="00AA1338"/>
    <w:pPr>
      <w:numPr>
        <w:numId w:val="5"/>
      </w:numPr>
    </w:pPr>
  </w:style>
  <w:style w:type="numbering" w:customStyle="1" w:styleId="CBDHeadings">
    <w:name w:val="CBD_Headings"/>
    <w:basedOn w:val="ListCBD"/>
    <w:uiPriority w:val="99"/>
    <w:rsid w:val="00AA1338"/>
    <w:pPr>
      <w:numPr>
        <w:numId w:val="6"/>
      </w:numPr>
    </w:pPr>
  </w:style>
  <w:style w:type="paragraph" w:customStyle="1" w:styleId="AISpacer">
    <w:name w:val="AI_Spacer"/>
    <w:next w:val="Normal"/>
    <w:unhideWhenUsed/>
    <w:qFormat/>
    <w:rsid w:val="00AA1338"/>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AA1338"/>
    <w:pPr>
      <w:spacing w:before="120"/>
    </w:pPr>
  </w:style>
  <w:style w:type="paragraph" w:customStyle="1" w:styleId="AFCorNotBold">
    <w:name w:val="AF_CorNotBold"/>
    <w:basedOn w:val="AFCorNotNormal"/>
    <w:next w:val="AFCorNotNormal"/>
    <w:unhideWhenUsed/>
    <w:qFormat/>
    <w:rsid w:val="002B38F5"/>
    <w:rPr>
      <w:b/>
    </w:rPr>
  </w:style>
  <w:style w:type="paragraph" w:customStyle="1" w:styleId="AFCorNot12Bold">
    <w:name w:val="AF_CorNot12Bold"/>
    <w:basedOn w:val="AFCorNotNormal"/>
    <w:next w:val="AFCorNotNormal"/>
    <w:unhideWhenUsed/>
    <w:qFormat/>
    <w:rsid w:val="002B38F5"/>
    <w:pPr>
      <w:jc w:val="left"/>
    </w:pPr>
    <w:rPr>
      <w:b/>
      <w:sz w:val="24"/>
    </w:rPr>
  </w:style>
  <w:style w:type="paragraph" w:customStyle="1" w:styleId="CBDAgendaItem">
    <w:name w:val="CBD_AgendaItem"/>
    <w:basedOn w:val="Normal"/>
    <w:qFormat/>
    <w:rsid w:val="00AA1338"/>
    <w:pPr>
      <w:keepNext/>
      <w:keepLines/>
      <w:spacing w:before="240" w:after="120"/>
      <w:jc w:val="left"/>
    </w:pPr>
    <w:rPr>
      <w:b/>
      <w:sz w:val="24"/>
    </w:rPr>
  </w:style>
  <w:style w:type="paragraph" w:customStyle="1" w:styleId="CBDDesicionText">
    <w:name w:val="CBD_DesicionText"/>
    <w:basedOn w:val="CBDNormal"/>
    <w:qFormat/>
    <w:rsid w:val="00AA1338"/>
    <w:pPr>
      <w:spacing w:after="120"/>
      <w:ind w:left="567" w:firstLine="567"/>
    </w:pPr>
  </w:style>
  <w:style w:type="paragraph" w:customStyle="1" w:styleId="CBDDesicionAnnex">
    <w:name w:val="CBD_DesicionAnnex"/>
    <w:basedOn w:val="CBDNormal"/>
    <w:next w:val="CBDDesicionText"/>
    <w:qFormat/>
    <w:rsid w:val="00AA1338"/>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paragraph" w:customStyle="1" w:styleId="CBDAnnex">
    <w:name w:val="CBD_Annex"/>
    <w:basedOn w:val="CBDNormal"/>
    <w:next w:val="CBDTitle"/>
    <w:qFormat/>
    <w:rsid w:val="00AA1338"/>
    <w:pPr>
      <w:keepNext/>
      <w:keepLines/>
      <w:spacing w:after="240"/>
      <w:jc w:val="left"/>
    </w:pPr>
    <w:rPr>
      <w:b/>
      <w:sz w:val="28"/>
      <w:lang w:bidi="ar-SY"/>
    </w:rPr>
  </w:style>
  <w:style w:type="paragraph" w:customStyle="1" w:styleId="CBDSubTitle">
    <w:name w:val="CBD_SubTitle"/>
    <w:basedOn w:val="CBDNormal"/>
    <w:qFormat/>
    <w:rsid w:val="00AA1338"/>
    <w:pPr>
      <w:keepNext/>
      <w:keepLines/>
      <w:spacing w:before="240" w:after="240"/>
      <w:ind w:left="567"/>
      <w:jc w:val="left"/>
    </w:pPr>
    <w:rPr>
      <w:b/>
    </w:rPr>
  </w:style>
  <w:style w:type="paragraph" w:customStyle="1" w:styleId="CBDTitle">
    <w:name w:val="CBD_Title"/>
    <w:basedOn w:val="CBDNormal"/>
    <w:next w:val="CBDSubTitle"/>
    <w:qFormat/>
    <w:rsid w:val="00AA1338"/>
    <w:pPr>
      <w:keepNext/>
      <w:keepLines/>
      <w:spacing w:before="240" w:after="240"/>
      <w:ind w:left="567"/>
      <w:jc w:val="left"/>
    </w:pPr>
    <w:rPr>
      <w:b/>
      <w:sz w:val="28"/>
    </w:rPr>
  </w:style>
  <w:style w:type="paragraph" w:customStyle="1" w:styleId="AENormal">
    <w:name w:val="AE_Normal"/>
    <w:basedOn w:val="Normal"/>
    <w:rsid w:val="00AA1338"/>
  </w:style>
  <w:style w:type="paragraph" w:customStyle="1" w:styleId="CBDH1">
    <w:name w:val="CBD_H1"/>
    <w:basedOn w:val="CBDNormal"/>
    <w:qFormat/>
    <w:rsid w:val="00AA1338"/>
    <w:pPr>
      <w:keepNext/>
      <w:keepLines/>
      <w:spacing w:before="240" w:after="120"/>
      <w:ind w:left="567" w:hanging="567"/>
      <w:jc w:val="left"/>
      <w:outlineLvl w:val="0"/>
    </w:pPr>
    <w:rPr>
      <w:b/>
      <w:sz w:val="28"/>
    </w:rPr>
  </w:style>
  <w:style w:type="paragraph" w:customStyle="1" w:styleId="CBDH2">
    <w:name w:val="CBD_H2"/>
    <w:basedOn w:val="CBDNormalNumber"/>
    <w:qFormat/>
    <w:rsid w:val="00AA1338"/>
    <w:pPr>
      <w:keepNext/>
      <w:keepLines/>
      <w:numPr>
        <w:numId w:val="0"/>
      </w:numPr>
      <w:ind w:left="567" w:hanging="567"/>
    </w:pPr>
    <w:rPr>
      <w:b/>
      <w:sz w:val="24"/>
    </w:rPr>
  </w:style>
  <w:style w:type="paragraph" w:customStyle="1" w:styleId="CBDFootnoteText">
    <w:name w:val="CBD_Footnote_Text"/>
    <w:basedOn w:val="CBDNormal"/>
    <w:qFormat/>
    <w:rsid w:val="00AA1338"/>
    <w:pPr>
      <w:jc w:val="left"/>
    </w:pPr>
    <w:rPr>
      <w:sz w:val="18"/>
    </w:rPr>
  </w:style>
  <w:style w:type="paragraph" w:customStyle="1" w:styleId="CBDFooter">
    <w:name w:val="CBD_Footer"/>
    <w:basedOn w:val="CBDNormal"/>
    <w:qFormat/>
    <w:rsid w:val="00AA1338"/>
    <w:rPr>
      <w:sz w:val="20"/>
    </w:rPr>
  </w:style>
  <w:style w:type="paragraph" w:customStyle="1" w:styleId="CBDHeader">
    <w:name w:val="CBD_Header"/>
    <w:basedOn w:val="CBDNormal"/>
    <w:next w:val="CBDFooter"/>
    <w:qFormat/>
    <w:rsid w:val="00AA1338"/>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AA1338"/>
    <w:pPr>
      <w:keepNext/>
      <w:keepLines/>
      <w:spacing w:before="120" w:after="120"/>
      <w:ind w:left="567" w:hanging="567"/>
      <w:jc w:val="left"/>
    </w:pPr>
    <w:rPr>
      <w:b/>
    </w:rPr>
  </w:style>
  <w:style w:type="paragraph" w:customStyle="1" w:styleId="CBDH4">
    <w:name w:val="CBD_H4"/>
    <w:basedOn w:val="CBDNormal"/>
    <w:rsid w:val="00AA1338"/>
    <w:pPr>
      <w:keepNext/>
      <w:keepLines/>
      <w:spacing w:before="120" w:after="120"/>
      <w:ind w:left="567" w:hanging="567"/>
      <w:jc w:val="left"/>
    </w:pPr>
    <w:rPr>
      <w:b/>
    </w:rPr>
  </w:style>
  <w:style w:type="paragraph" w:customStyle="1" w:styleId="CBDH5">
    <w:name w:val="CBD_H5"/>
    <w:basedOn w:val="CBDNormal"/>
    <w:qFormat/>
    <w:rsid w:val="00AA1338"/>
    <w:pPr>
      <w:keepNext/>
      <w:keepLines/>
      <w:spacing w:before="120" w:after="120"/>
      <w:ind w:left="567" w:hanging="567"/>
      <w:jc w:val="left"/>
    </w:pPr>
    <w:rPr>
      <w:i/>
    </w:rPr>
  </w:style>
  <w:style w:type="paragraph" w:customStyle="1" w:styleId="CBDTableNormal">
    <w:name w:val="CBD_TableNormal"/>
    <w:basedOn w:val="CBDNormal"/>
    <w:qFormat/>
    <w:rsid w:val="00AA1338"/>
    <w:pPr>
      <w:spacing w:before="40" w:after="80"/>
      <w:jc w:val="left"/>
    </w:pPr>
    <w:rPr>
      <w:sz w:val="20"/>
    </w:rPr>
  </w:style>
  <w:style w:type="paragraph" w:customStyle="1" w:styleId="CBDTableTitle">
    <w:name w:val="CBD_TableTitle"/>
    <w:basedOn w:val="CBDNormal"/>
    <w:qFormat/>
    <w:rsid w:val="00AA1338"/>
    <w:pPr>
      <w:keepNext/>
      <w:keepLines/>
      <w:spacing w:before="120" w:after="60"/>
      <w:ind w:left="567"/>
      <w:jc w:val="left"/>
    </w:pPr>
    <w:rPr>
      <w:b/>
    </w:rPr>
  </w:style>
  <w:style w:type="paragraph" w:customStyle="1" w:styleId="CBDFigureTitle">
    <w:name w:val="CBD_FigureTitle"/>
    <w:basedOn w:val="CBDNormal"/>
    <w:next w:val="CBDNormalNoNumber"/>
    <w:qFormat/>
    <w:rsid w:val="00AA1338"/>
    <w:pPr>
      <w:keepNext/>
      <w:keepLines/>
      <w:spacing w:before="120" w:after="60"/>
      <w:ind w:left="567"/>
      <w:jc w:val="left"/>
    </w:pPr>
    <w:rPr>
      <w:b/>
    </w:rPr>
  </w:style>
  <w:style w:type="paragraph" w:styleId="BalloonText">
    <w:name w:val="Balloon Text"/>
    <w:basedOn w:val="Normal"/>
    <w:link w:val="BalloonTextChar"/>
    <w:uiPriority w:val="99"/>
    <w:semiHidden/>
    <w:unhideWhenUsed/>
    <w:rsid w:val="002B38F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38F5"/>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2B38F5"/>
  </w:style>
  <w:style w:type="paragraph" w:styleId="BlockText">
    <w:name w:val="Block Text"/>
    <w:basedOn w:val="Normal"/>
    <w:uiPriority w:val="99"/>
    <w:semiHidden/>
    <w:unhideWhenUsed/>
    <w:rsid w:val="002B38F5"/>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2B38F5"/>
    <w:pPr>
      <w:spacing w:after="120" w:line="480" w:lineRule="auto"/>
    </w:pPr>
  </w:style>
  <w:style w:type="character" w:customStyle="1" w:styleId="BodyText2Char">
    <w:name w:val="Body Text 2 Char"/>
    <w:basedOn w:val="DefaultParagraphFont"/>
    <w:link w:val="BodyText2"/>
    <w:uiPriority w:val="99"/>
    <w:semiHidden/>
    <w:rsid w:val="002B38F5"/>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2B38F5"/>
    <w:pPr>
      <w:spacing w:after="120"/>
    </w:pPr>
    <w:rPr>
      <w:sz w:val="16"/>
      <w:szCs w:val="16"/>
    </w:rPr>
  </w:style>
  <w:style w:type="character" w:customStyle="1" w:styleId="BodyText3Char">
    <w:name w:val="Body Text 3 Char"/>
    <w:basedOn w:val="DefaultParagraphFont"/>
    <w:link w:val="BodyText3"/>
    <w:uiPriority w:val="99"/>
    <w:semiHidden/>
    <w:rsid w:val="002B38F5"/>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2B38F5"/>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2B38F5"/>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2B38F5"/>
    <w:pPr>
      <w:spacing w:after="0"/>
      <w:ind w:firstLine="360"/>
    </w:pPr>
  </w:style>
  <w:style w:type="character" w:customStyle="1" w:styleId="BodyTextFirstIndent2Char">
    <w:name w:val="Body Text First Indent 2 Char"/>
    <w:basedOn w:val="BodyTextIndentChar"/>
    <w:link w:val="BodyTextFirstIndent2"/>
    <w:uiPriority w:val="99"/>
    <w:semiHidden/>
    <w:rsid w:val="002B38F5"/>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2B38F5"/>
    <w:pPr>
      <w:spacing w:after="120" w:line="480" w:lineRule="auto"/>
      <w:ind w:left="360"/>
    </w:pPr>
  </w:style>
  <w:style w:type="character" w:customStyle="1" w:styleId="BodyTextIndent2Char">
    <w:name w:val="Body Text Indent 2 Char"/>
    <w:basedOn w:val="DefaultParagraphFont"/>
    <w:link w:val="BodyTextIndent2"/>
    <w:uiPriority w:val="99"/>
    <w:semiHidden/>
    <w:rsid w:val="002B38F5"/>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2B38F5"/>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2B38F5"/>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2B38F5"/>
    <w:rPr>
      <w:b/>
      <w:bCs/>
      <w:i/>
      <w:iCs/>
      <w:spacing w:val="5"/>
      <w:lang w:val="en-GB"/>
    </w:rPr>
  </w:style>
  <w:style w:type="paragraph" w:styleId="Caption">
    <w:name w:val="caption"/>
    <w:basedOn w:val="Normal"/>
    <w:next w:val="Normal"/>
    <w:uiPriority w:val="35"/>
    <w:semiHidden/>
    <w:unhideWhenUsed/>
    <w:qFormat/>
    <w:rsid w:val="002B38F5"/>
    <w:pPr>
      <w:spacing w:after="200"/>
    </w:pPr>
    <w:rPr>
      <w:i/>
      <w:iCs/>
      <w:color w:val="44546A" w:themeColor="text2"/>
      <w:sz w:val="18"/>
      <w:szCs w:val="18"/>
    </w:rPr>
  </w:style>
  <w:style w:type="paragraph" w:styleId="Closing">
    <w:name w:val="Closing"/>
    <w:basedOn w:val="Normal"/>
    <w:link w:val="ClosingChar"/>
    <w:uiPriority w:val="99"/>
    <w:semiHidden/>
    <w:unhideWhenUsed/>
    <w:rsid w:val="002B38F5"/>
    <w:pPr>
      <w:ind w:left="4320"/>
    </w:pPr>
  </w:style>
  <w:style w:type="character" w:customStyle="1" w:styleId="ClosingChar">
    <w:name w:val="Closing Char"/>
    <w:basedOn w:val="DefaultParagraphFont"/>
    <w:link w:val="Closing"/>
    <w:uiPriority w:val="99"/>
    <w:semiHidden/>
    <w:rsid w:val="002B38F5"/>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2B38F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B38F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2B38F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2B38F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2B38F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2B38F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2B38F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2B38F5"/>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B38F5"/>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2B38F5"/>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2B38F5"/>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2B38F5"/>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2B38F5"/>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2B38F5"/>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2B38F5"/>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B38F5"/>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B38F5"/>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B38F5"/>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2B38F5"/>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B38F5"/>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B38F5"/>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2B38F5"/>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B38F5"/>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2B38F5"/>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2B38F5"/>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2B38F5"/>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2B38F5"/>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2B38F5"/>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2B38F5"/>
  </w:style>
  <w:style w:type="character" w:customStyle="1" w:styleId="DateChar">
    <w:name w:val="Date Char"/>
    <w:basedOn w:val="DefaultParagraphFont"/>
    <w:link w:val="Date"/>
    <w:uiPriority w:val="99"/>
    <w:semiHidden/>
    <w:rsid w:val="002B38F5"/>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2B38F5"/>
    <w:rPr>
      <w:rFonts w:ascii="Segoe UI" w:hAnsi="Segoe UI" w:cs="Segoe UI"/>
      <w:sz w:val="16"/>
      <w:szCs w:val="16"/>
    </w:rPr>
  </w:style>
  <w:style w:type="character" w:customStyle="1" w:styleId="DocumentMapChar">
    <w:name w:val="Document Map Char"/>
    <w:basedOn w:val="DefaultParagraphFont"/>
    <w:link w:val="DocumentMap"/>
    <w:uiPriority w:val="99"/>
    <w:semiHidden/>
    <w:rsid w:val="002B38F5"/>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2B38F5"/>
  </w:style>
  <w:style w:type="character" w:customStyle="1" w:styleId="E-mailSignatureChar">
    <w:name w:val="E-mail Signature Char"/>
    <w:basedOn w:val="DefaultParagraphFont"/>
    <w:link w:val="E-mailSignature"/>
    <w:uiPriority w:val="99"/>
    <w:semiHidden/>
    <w:rsid w:val="002B38F5"/>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2B38F5"/>
    <w:rPr>
      <w:i/>
      <w:iCs/>
      <w:lang w:val="en-GB"/>
    </w:rPr>
  </w:style>
  <w:style w:type="character" w:styleId="EndnoteReference">
    <w:name w:val="endnote reference"/>
    <w:basedOn w:val="DefaultParagraphFont"/>
    <w:uiPriority w:val="99"/>
    <w:semiHidden/>
    <w:unhideWhenUsed/>
    <w:rsid w:val="002B38F5"/>
    <w:rPr>
      <w:vertAlign w:val="superscript"/>
      <w:lang w:val="en-GB"/>
    </w:rPr>
  </w:style>
  <w:style w:type="paragraph" w:styleId="EndnoteText">
    <w:name w:val="endnote text"/>
    <w:basedOn w:val="Normal"/>
    <w:link w:val="EndnoteTextChar"/>
    <w:uiPriority w:val="99"/>
    <w:semiHidden/>
    <w:unhideWhenUsed/>
    <w:rsid w:val="002B38F5"/>
    <w:rPr>
      <w:sz w:val="20"/>
      <w:szCs w:val="20"/>
    </w:rPr>
  </w:style>
  <w:style w:type="character" w:customStyle="1" w:styleId="EndnoteTextChar">
    <w:name w:val="Endnote Text Char"/>
    <w:basedOn w:val="DefaultParagraphFont"/>
    <w:link w:val="EndnoteText"/>
    <w:uiPriority w:val="99"/>
    <w:semiHidden/>
    <w:rsid w:val="002B38F5"/>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2B38F5"/>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2B38F5"/>
    <w:rPr>
      <w:rFonts w:asciiTheme="majorHAnsi" w:eastAsiaTheme="majorEastAsia" w:hAnsiTheme="majorHAnsi" w:cstheme="majorBidi"/>
      <w:sz w:val="20"/>
      <w:szCs w:val="20"/>
    </w:rPr>
  </w:style>
  <w:style w:type="table" w:styleId="GridTable1Light">
    <w:name w:val="Grid Table 1 Light"/>
    <w:basedOn w:val="TableNormal"/>
    <w:uiPriority w:val="46"/>
    <w:rsid w:val="002B38F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B38F5"/>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B38F5"/>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B38F5"/>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B38F5"/>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B38F5"/>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B38F5"/>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B38F5"/>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B38F5"/>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2B38F5"/>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2B38F5"/>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2B38F5"/>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2B38F5"/>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2B38F5"/>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2B38F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B38F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2B38F5"/>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2B38F5"/>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2B38F5"/>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2B38F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2B38F5"/>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2B38F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B38F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2B38F5"/>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2B38F5"/>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2B38F5"/>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2B38F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2B38F5"/>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2B38F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B38F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2B38F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2B38F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2B38F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2B38F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2B38F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2B38F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B38F5"/>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2B38F5"/>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2B38F5"/>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2B38F5"/>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2B38F5"/>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2B38F5"/>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2B38F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B38F5"/>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2B38F5"/>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2B38F5"/>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2B38F5"/>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2B38F5"/>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2B38F5"/>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1">
    <w:name w:val="Hashtag1"/>
    <w:basedOn w:val="DefaultParagraphFont"/>
    <w:uiPriority w:val="99"/>
    <w:semiHidden/>
    <w:unhideWhenUsed/>
    <w:rsid w:val="002B38F5"/>
    <w:rPr>
      <w:color w:val="2B579A"/>
      <w:shd w:val="clear" w:color="auto" w:fill="E1DFDD"/>
      <w:lang w:val="en-GB"/>
    </w:rPr>
  </w:style>
  <w:style w:type="character" w:styleId="HTMLAcronym">
    <w:name w:val="HTML Acronym"/>
    <w:basedOn w:val="DefaultParagraphFont"/>
    <w:uiPriority w:val="99"/>
    <w:semiHidden/>
    <w:unhideWhenUsed/>
    <w:rsid w:val="002B38F5"/>
    <w:rPr>
      <w:lang w:val="en-GB"/>
    </w:rPr>
  </w:style>
  <w:style w:type="paragraph" w:styleId="HTMLAddress">
    <w:name w:val="HTML Address"/>
    <w:basedOn w:val="Normal"/>
    <w:link w:val="HTMLAddressChar"/>
    <w:uiPriority w:val="99"/>
    <w:semiHidden/>
    <w:unhideWhenUsed/>
    <w:rsid w:val="002B38F5"/>
    <w:rPr>
      <w:i/>
      <w:iCs/>
    </w:rPr>
  </w:style>
  <w:style w:type="character" w:customStyle="1" w:styleId="HTMLAddressChar">
    <w:name w:val="HTML Address Char"/>
    <w:basedOn w:val="DefaultParagraphFont"/>
    <w:link w:val="HTMLAddress"/>
    <w:uiPriority w:val="99"/>
    <w:semiHidden/>
    <w:rsid w:val="002B38F5"/>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2B38F5"/>
    <w:rPr>
      <w:i/>
      <w:iCs/>
      <w:lang w:val="en-GB"/>
    </w:rPr>
  </w:style>
  <w:style w:type="character" w:styleId="HTMLCode">
    <w:name w:val="HTML Code"/>
    <w:basedOn w:val="DefaultParagraphFont"/>
    <w:uiPriority w:val="99"/>
    <w:semiHidden/>
    <w:unhideWhenUsed/>
    <w:rsid w:val="002B38F5"/>
    <w:rPr>
      <w:rFonts w:ascii="Consolas" w:hAnsi="Consolas"/>
      <w:sz w:val="20"/>
      <w:szCs w:val="20"/>
      <w:lang w:val="en-GB"/>
    </w:rPr>
  </w:style>
  <w:style w:type="character" w:styleId="HTMLDefinition">
    <w:name w:val="HTML Definition"/>
    <w:basedOn w:val="DefaultParagraphFont"/>
    <w:uiPriority w:val="99"/>
    <w:semiHidden/>
    <w:unhideWhenUsed/>
    <w:rsid w:val="002B38F5"/>
    <w:rPr>
      <w:i/>
      <w:iCs/>
      <w:lang w:val="en-GB"/>
    </w:rPr>
  </w:style>
  <w:style w:type="character" w:styleId="HTMLKeyboard">
    <w:name w:val="HTML Keyboard"/>
    <w:basedOn w:val="DefaultParagraphFont"/>
    <w:uiPriority w:val="99"/>
    <w:semiHidden/>
    <w:unhideWhenUsed/>
    <w:rsid w:val="002B38F5"/>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2B38F5"/>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B38F5"/>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2B38F5"/>
    <w:rPr>
      <w:rFonts w:ascii="Consolas" w:hAnsi="Consolas"/>
      <w:sz w:val="24"/>
      <w:szCs w:val="24"/>
      <w:lang w:val="en-GB"/>
    </w:rPr>
  </w:style>
  <w:style w:type="character" w:styleId="HTMLTypewriter">
    <w:name w:val="HTML Typewriter"/>
    <w:basedOn w:val="DefaultParagraphFont"/>
    <w:uiPriority w:val="99"/>
    <w:semiHidden/>
    <w:unhideWhenUsed/>
    <w:rsid w:val="002B38F5"/>
    <w:rPr>
      <w:rFonts w:ascii="Consolas" w:hAnsi="Consolas"/>
      <w:sz w:val="20"/>
      <w:szCs w:val="20"/>
      <w:lang w:val="en-GB"/>
    </w:rPr>
  </w:style>
  <w:style w:type="character" w:styleId="HTMLVariable">
    <w:name w:val="HTML Variable"/>
    <w:basedOn w:val="DefaultParagraphFont"/>
    <w:uiPriority w:val="99"/>
    <w:semiHidden/>
    <w:unhideWhenUsed/>
    <w:rsid w:val="002B38F5"/>
    <w:rPr>
      <w:i/>
      <w:iCs/>
      <w:lang w:val="en-GB"/>
    </w:rPr>
  </w:style>
  <w:style w:type="paragraph" w:styleId="Index1">
    <w:name w:val="index 1"/>
    <w:basedOn w:val="Normal"/>
    <w:next w:val="Normal"/>
    <w:autoRedefine/>
    <w:uiPriority w:val="99"/>
    <w:semiHidden/>
    <w:unhideWhenUsed/>
    <w:rsid w:val="002B38F5"/>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2B38F5"/>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2B38F5"/>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2B38F5"/>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2B38F5"/>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2B38F5"/>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2B38F5"/>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2B38F5"/>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2B38F5"/>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2B38F5"/>
    <w:rPr>
      <w:rFonts w:asciiTheme="majorHAnsi" w:eastAsiaTheme="majorEastAsia" w:hAnsiTheme="majorHAnsi" w:cstheme="majorBidi"/>
      <w:b/>
      <w:bCs/>
    </w:rPr>
  </w:style>
  <w:style w:type="character" w:styleId="IntenseEmphasis">
    <w:name w:val="Intense Emphasis"/>
    <w:basedOn w:val="DefaultParagraphFont"/>
    <w:uiPriority w:val="21"/>
    <w:qFormat/>
    <w:rsid w:val="002B38F5"/>
    <w:rPr>
      <w:i/>
      <w:iCs/>
      <w:color w:val="4472C4" w:themeColor="accent1"/>
      <w:lang w:val="en-GB"/>
    </w:rPr>
  </w:style>
  <w:style w:type="paragraph" w:styleId="IntenseQuote">
    <w:name w:val="Intense Quote"/>
    <w:basedOn w:val="Normal"/>
    <w:next w:val="Normal"/>
    <w:link w:val="IntenseQuoteChar"/>
    <w:uiPriority w:val="30"/>
    <w:qFormat/>
    <w:rsid w:val="002B38F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2B38F5"/>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2B38F5"/>
    <w:rPr>
      <w:b/>
      <w:bCs/>
      <w:smallCaps/>
      <w:color w:val="4472C4" w:themeColor="accent1"/>
      <w:spacing w:val="5"/>
      <w:lang w:val="en-GB"/>
    </w:rPr>
  </w:style>
  <w:style w:type="table" w:styleId="LightGrid">
    <w:name w:val="Light Grid"/>
    <w:basedOn w:val="TableNormal"/>
    <w:uiPriority w:val="62"/>
    <w:semiHidden/>
    <w:unhideWhenUsed/>
    <w:rsid w:val="002B38F5"/>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B38F5"/>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2B38F5"/>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2B38F5"/>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2B38F5"/>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2B38F5"/>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2B38F5"/>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2B38F5"/>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B38F5"/>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2B38F5"/>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2B38F5"/>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2B38F5"/>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2B38F5"/>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2B38F5"/>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2B38F5"/>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B38F5"/>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2B38F5"/>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2B38F5"/>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2B38F5"/>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2B38F5"/>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2B38F5"/>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2B38F5"/>
    <w:rPr>
      <w:lang w:val="en-GB"/>
    </w:rPr>
  </w:style>
  <w:style w:type="paragraph" w:styleId="List2">
    <w:name w:val="List 2"/>
    <w:basedOn w:val="Normal"/>
    <w:uiPriority w:val="99"/>
    <w:semiHidden/>
    <w:unhideWhenUsed/>
    <w:rsid w:val="002B38F5"/>
    <w:pPr>
      <w:ind w:left="720" w:hanging="360"/>
      <w:contextualSpacing/>
    </w:pPr>
  </w:style>
  <w:style w:type="paragraph" w:styleId="List3">
    <w:name w:val="List 3"/>
    <w:basedOn w:val="Normal"/>
    <w:uiPriority w:val="99"/>
    <w:semiHidden/>
    <w:unhideWhenUsed/>
    <w:rsid w:val="002B38F5"/>
    <w:pPr>
      <w:ind w:left="1080" w:hanging="360"/>
      <w:contextualSpacing/>
    </w:pPr>
  </w:style>
  <w:style w:type="paragraph" w:styleId="List4">
    <w:name w:val="List 4"/>
    <w:basedOn w:val="Normal"/>
    <w:uiPriority w:val="99"/>
    <w:semiHidden/>
    <w:unhideWhenUsed/>
    <w:rsid w:val="002B38F5"/>
    <w:pPr>
      <w:ind w:left="1440" w:hanging="360"/>
      <w:contextualSpacing/>
    </w:pPr>
  </w:style>
  <w:style w:type="paragraph" w:styleId="List5">
    <w:name w:val="List 5"/>
    <w:basedOn w:val="Normal"/>
    <w:uiPriority w:val="99"/>
    <w:semiHidden/>
    <w:unhideWhenUsed/>
    <w:rsid w:val="002B38F5"/>
    <w:pPr>
      <w:ind w:left="1800" w:hanging="360"/>
      <w:contextualSpacing/>
    </w:pPr>
  </w:style>
  <w:style w:type="paragraph" w:styleId="ListBullet">
    <w:name w:val="List Bullet"/>
    <w:basedOn w:val="Normal"/>
    <w:uiPriority w:val="99"/>
    <w:semiHidden/>
    <w:unhideWhenUsed/>
    <w:rsid w:val="002B38F5"/>
    <w:pPr>
      <w:tabs>
        <w:tab w:val="num" w:pos="360"/>
      </w:tabs>
      <w:ind w:left="360" w:hanging="360"/>
      <w:contextualSpacing/>
    </w:pPr>
  </w:style>
  <w:style w:type="paragraph" w:styleId="ListBullet2">
    <w:name w:val="List Bullet 2"/>
    <w:basedOn w:val="Normal"/>
    <w:uiPriority w:val="99"/>
    <w:semiHidden/>
    <w:unhideWhenUsed/>
    <w:rsid w:val="002B38F5"/>
    <w:pPr>
      <w:tabs>
        <w:tab w:val="num" w:pos="643"/>
      </w:tabs>
      <w:ind w:left="643" w:hanging="360"/>
      <w:contextualSpacing/>
    </w:pPr>
  </w:style>
  <w:style w:type="paragraph" w:styleId="ListBullet3">
    <w:name w:val="List Bullet 3"/>
    <w:basedOn w:val="Normal"/>
    <w:uiPriority w:val="99"/>
    <w:semiHidden/>
    <w:unhideWhenUsed/>
    <w:rsid w:val="002B38F5"/>
    <w:pPr>
      <w:tabs>
        <w:tab w:val="num" w:pos="926"/>
      </w:tabs>
      <w:ind w:left="926" w:hanging="360"/>
      <w:contextualSpacing/>
    </w:pPr>
  </w:style>
  <w:style w:type="paragraph" w:styleId="ListBullet4">
    <w:name w:val="List Bullet 4"/>
    <w:basedOn w:val="Normal"/>
    <w:uiPriority w:val="99"/>
    <w:semiHidden/>
    <w:unhideWhenUsed/>
    <w:rsid w:val="002B38F5"/>
    <w:pPr>
      <w:tabs>
        <w:tab w:val="num" w:pos="1209"/>
      </w:tabs>
      <w:ind w:left="1209" w:hanging="360"/>
      <w:contextualSpacing/>
    </w:pPr>
  </w:style>
  <w:style w:type="paragraph" w:styleId="ListBullet5">
    <w:name w:val="List Bullet 5"/>
    <w:basedOn w:val="Normal"/>
    <w:uiPriority w:val="99"/>
    <w:semiHidden/>
    <w:unhideWhenUsed/>
    <w:rsid w:val="002B38F5"/>
    <w:pPr>
      <w:tabs>
        <w:tab w:val="num" w:pos="1492"/>
      </w:tabs>
      <w:ind w:left="1492" w:hanging="360"/>
      <w:contextualSpacing/>
    </w:pPr>
  </w:style>
  <w:style w:type="paragraph" w:styleId="ListContinue">
    <w:name w:val="List Continue"/>
    <w:basedOn w:val="Normal"/>
    <w:uiPriority w:val="99"/>
    <w:semiHidden/>
    <w:unhideWhenUsed/>
    <w:rsid w:val="002B38F5"/>
    <w:pPr>
      <w:spacing w:after="120"/>
      <w:ind w:left="360"/>
      <w:contextualSpacing/>
    </w:pPr>
  </w:style>
  <w:style w:type="paragraph" w:styleId="ListContinue2">
    <w:name w:val="List Continue 2"/>
    <w:basedOn w:val="Normal"/>
    <w:uiPriority w:val="99"/>
    <w:semiHidden/>
    <w:unhideWhenUsed/>
    <w:rsid w:val="002B38F5"/>
    <w:pPr>
      <w:spacing w:after="120"/>
      <w:ind w:left="720"/>
      <w:contextualSpacing/>
    </w:pPr>
  </w:style>
  <w:style w:type="paragraph" w:styleId="ListContinue3">
    <w:name w:val="List Continue 3"/>
    <w:basedOn w:val="Normal"/>
    <w:uiPriority w:val="99"/>
    <w:semiHidden/>
    <w:unhideWhenUsed/>
    <w:rsid w:val="002B38F5"/>
    <w:pPr>
      <w:spacing w:after="120"/>
      <w:ind w:left="1080"/>
      <w:contextualSpacing/>
    </w:pPr>
  </w:style>
  <w:style w:type="paragraph" w:styleId="ListContinue4">
    <w:name w:val="List Continue 4"/>
    <w:basedOn w:val="Normal"/>
    <w:uiPriority w:val="99"/>
    <w:semiHidden/>
    <w:unhideWhenUsed/>
    <w:rsid w:val="002B38F5"/>
    <w:pPr>
      <w:spacing w:after="120"/>
      <w:ind w:left="1440"/>
      <w:contextualSpacing/>
    </w:pPr>
  </w:style>
  <w:style w:type="paragraph" w:styleId="ListContinue5">
    <w:name w:val="List Continue 5"/>
    <w:basedOn w:val="Normal"/>
    <w:uiPriority w:val="99"/>
    <w:semiHidden/>
    <w:unhideWhenUsed/>
    <w:rsid w:val="002B38F5"/>
    <w:pPr>
      <w:spacing w:after="120"/>
      <w:ind w:left="1800"/>
      <w:contextualSpacing/>
    </w:pPr>
  </w:style>
  <w:style w:type="paragraph" w:styleId="ListNumber">
    <w:name w:val="List Number"/>
    <w:basedOn w:val="Normal"/>
    <w:uiPriority w:val="99"/>
    <w:semiHidden/>
    <w:unhideWhenUsed/>
    <w:rsid w:val="002B38F5"/>
    <w:pPr>
      <w:tabs>
        <w:tab w:val="num" w:pos="360"/>
      </w:tabs>
      <w:ind w:left="360" w:hanging="360"/>
      <w:contextualSpacing/>
    </w:pPr>
  </w:style>
  <w:style w:type="paragraph" w:styleId="ListNumber2">
    <w:name w:val="List Number 2"/>
    <w:basedOn w:val="Normal"/>
    <w:uiPriority w:val="99"/>
    <w:semiHidden/>
    <w:unhideWhenUsed/>
    <w:rsid w:val="002B38F5"/>
    <w:pPr>
      <w:tabs>
        <w:tab w:val="num" w:pos="643"/>
      </w:tabs>
      <w:ind w:left="643" w:hanging="360"/>
      <w:contextualSpacing/>
    </w:pPr>
  </w:style>
  <w:style w:type="paragraph" w:styleId="ListNumber3">
    <w:name w:val="List Number 3"/>
    <w:basedOn w:val="Normal"/>
    <w:uiPriority w:val="99"/>
    <w:semiHidden/>
    <w:unhideWhenUsed/>
    <w:rsid w:val="002B38F5"/>
    <w:pPr>
      <w:tabs>
        <w:tab w:val="num" w:pos="926"/>
      </w:tabs>
      <w:ind w:left="926" w:hanging="360"/>
      <w:contextualSpacing/>
    </w:pPr>
  </w:style>
  <w:style w:type="paragraph" w:styleId="ListNumber4">
    <w:name w:val="List Number 4"/>
    <w:basedOn w:val="Normal"/>
    <w:uiPriority w:val="99"/>
    <w:semiHidden/>
    <w:unhideWhenUsed/>
    <w:rsid w:val="002B38F5"/>
    <w:pPr>
      <w:tabs>
        <w:tab w:val="num" w:pos="1209"/>
      </w:tabs>
      <w:ind w:left="1209" w:hanging="360"/>
      <w:contextualSpacing/>
    </w:pPr>
  </w:style>
  <w:style w:type="paragraph" w:styleId="ListNumber5">
    <w:name w:val="List Number 5"/>
    <w:basedOn w:val="Normal"/>
    <w:uiPriority w:val="99"/>
    <w:semiHidden/>
    <w:unhideWhenUsed/>
    <w:rsid w:val="002B38F5"/>
    <w:pPr>
      <w:tabs>
        <w:tab w:val="num" w:pos="1800"/>
      </w:tabs>
      <w:ind w:left="1800" w:hanging="360"/>
      <w:contextualSpacing/>
    </w:pPr>
  </w:style>
  <w:style w:type="table" w:styleId="ListTable1Light">
    <w:name w:val="List Table 1 Light"/>
    <w:basedOn w:val="TableNormal"/>
    <w:uiPriority w:val="46"/>
    <w:rsid w:val="002B38F5"/>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B38F5"/>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2B38F5"/>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2B38F5"/>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2B38F5"/>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2B38F5"/>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2B38F5"/>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2B38F5"/>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B38F5"/>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2B38F5"/>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2B38F5"/>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2B38F5"/>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2B38F5"/>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2B38F5"/>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2B38F5"/>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B38F5"/>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2B38F5"/>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2B38F5"/>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2B38F5"/>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2B38F5"/>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2B38F5"/>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2B38F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B38F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2B38F5"/>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2B38F5"/>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2B38F5"/>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2B38F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2B38F5"/>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2B38F5"/>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B38F5"/>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B38F5"/>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B38F5"/>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B38F5"/>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B38F5"/>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B38F5"/>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2B38F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2B38F5"/>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2B38F5"/>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2B38F5"/>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2B38F5"/>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2B38F5"/>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2B38F5"/>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2B38F5"/>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B38F5"/>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B38F5"/>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B38F5"/>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B38F5"/>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B38F5"/>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B38F5"/>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2B38F5"/>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2B38F5"/>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2B38F5"/>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B38F5"/>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2B38F5"/>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2B38F5"/>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2B38F5"/>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2B38F5"/>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2B38F5"/>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B38F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B38F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2B38F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2B38F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2B38F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2B38F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2B38F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2B38F5"/>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B38F5"/>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2B38F5"/>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2B38F5"/>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2B38F5"/>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2B38F5"/>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2B38F5"/>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B38F5"/>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B38F5"/>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B38F5"/>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B38F5"/>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B38F5"/>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B38F5"/>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B38F5"/>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B38F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2B38F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2B38F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2B38F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2B38F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2B38F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2B38F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2B38F5"/>
    <w:rPr>
      <w:color w:val="2B579A"/>
      <w:shd w:val="clear" w:color="auto" w:fill="E1DFDD"/>
      <w:lang w:val="en-GB"/>
    </w:rPr>
  </w:style>
  <w:style w:type="paragraph" w:styleId="MessageHeader">
    <w:name w:val="Message Header"/>
    <w:basedOn w:val="Normal"/>
    <w:link w:val="MessageHeaderChar"/>
    <w:uiPriority w:val="99"/>
    <w:semiHidden/>
    <w:unhideWhenUsed/>
    <w:rsid w:val="002B38F5"/>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2B38F5"/>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2B38F5"/>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unhideWhenUsed/>
    <w:rsid w:val="002B38F5"/>
    <w:rPr>
      <w:sz w:val="24"/>
      <w:szCs w:val="24"/>
    </w:rPr>
  </w:style>
  <w:style w:type="paragraph" w:styleId="NormalIndent">
    <w:name w:val="Normal Indent"/>
    <w:basedOn w:val="Normal"/>
    <w:uiPriority w:val="99"/>
    <w:semiHidden/>
    <w:unhideWhenUsed/>
    <w:rsid w:val="002B38F5"/>
    <w:pPr>
      <w:ind w:left="720"/>
    </w:pPr>
  </w:style>
  <w:style w:type="paragraph" w:styleId="NoteHeading">
    <w:name w:val="Note Heading"/>
    <w:basedOn w:val="Normal"/>
    <w:next w:val="Normal"/>
    <w:link w:val="NoteHeadingChar"/>
    <w:uiPriority w:val="99"/>
    <w:semiHidden/>
    <w:unhideWhenUsed/>
    <w:rsid w:val="002B38F5"/>
  </w:style>
  <w:style w:type="character" w:customStyle="1" w:styleId="NoteHeadingChar">
    <w:name w:val="Note Heading Char"/>
    <w:basedOn w:val="DefaultParagraphFont"/>
    <w:link w:val="NoteHeading"/>
    <w:uiPriority w:val="99"/>
    <w:semiHidden/>
    <w:rsid w:val="002B38F5"/>
    <w:rPr>
      <w:rFonts w:ascii="Times New Roman" w:eastAsia="SimSun" w:hAnsi="Times New Roman" w:cs="Times New Roman"/>
      <w:kern w:val="0"/>
      <w:lang w:val="en-GB"/>
      <w14:ligatures w14:val="none"/>
    </w:rPr>
  </w:style>
  <w:style w:type="table" w:styleId="PlainTable1">
    <w:name w:val="Plain Table 1"/>
    <w:basedOn w:val="TableNormal"/>
    <w:uiPriority w:val="41"/>
    <w:rsid w:val="002B38F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B38F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B38F5"/>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B38F5"/>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B38F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2B38F5"/>
    <w:rPr>
      <w:rFonts w:ascii="Consolas" w:hAnsi="Consolas"/>
      <w:sz w:val="21"/>
      <w:szCs w:val="21"/>
    </w:rPr>
  </w:style>
  <w:style w:type="character" w:customStyle="1" w:styleId="PlainTextChar">
    <w:name w:val="Plain Text Char"/>
    <w:basedOn w:val="DefaultParagraphFont"/>
    <w:link w:val="PlainText"/>
    <w:uiPriority w:val="99"/>
    <w:semiHidden/>
    <w:rsid w:val="002B38F5"/>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2B38F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B38F5"/>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2B38F5"/>
  </w:style>
  <w:style w:type="character" w:customStyle="1" w:styleId="SalutationChar">
    <w:name w:val="Salutation Char"/>
    <w:basedOn w:val="DefaultParagraphFont"/>
    <w:link w:val="Salutation"/>
    <w:uiPriority w:val="99"/>
    <w:semiHidden/>
    <w:rsid w:val="002B38F5"/>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2B38F5"/>
    <w:pPr>
      <w:ind w:left="4320"/>
    </w:pPr>
  </w:style>
  <w:style w:type="character" w:customStyle="1" w:styleId="SignatureChar">
    <w:name w:val="Signature Char"/>
    <w:basedOn w:val="DefaultParagraphFont"/>
    <w:link w:val="Signature"/>
    <w:uiPriority w:val="99"/>
    <w:semiHidden/>
    <w:rsid w:val="002B38F5"/>
    <w:rPr>
      <w:rFonts w:ascii="Times New Roman" w:eastAsia="SimSun" w:hAnsi="Times New Roman" w:cs="Times New Roman"/>
      <w:kern w:val="0"/>
      <w:lang w:val="en-GB"/>
      <w14:ligatures w14:val="none"/>
    </w:rPr>
  </w:style>
  <w:style w:type="character" w:customStyle="1" w:styleId="SmartHyperlink1">
    <w:name w:val="Smart Hyperlink1"/>
    <w:basedOn w:val="DefaultParagraphFont"/>
    <w:uiPriority w:val="99"/>
    <w:semiHidden/>
    <w:unhideWhenUsed/>
    <w:rsid w:val="002B38F5"/>
    <w:rPr>
      <w:u w:val="dotted"/>
      <w:lang w:val="en-GB"/>
    </w:rPr>
  </w:style>
  <w:style w:type="character" w:customStyle="1" w:styleId="SmartLink1">
    <w:name w:val="SmartLink1"/>
    <w:basedOn w:val="DefaultParagraphFont"/>
    <w:uiPriority w:val="99"/>
    <w:semiHidden/>
    <w:unhideWhenUsed/>
    <w:rsid w:val="002B38F5"/>
    <w:rPr>
      <w:color w:val="0000FF"/>
      <w:u w:val="single"/>
      <w:shd w:val="clear" w:color="auto" w:fill="F3F2F1"/>
      <w:lang w:val="en-GB"/>
    </w:rPr>
  </w:style>
  <w:style w:type="character" w:styleId="Strong">
    <w:name w:val="Strong"/>
    <w:basedOn w:val="DefaultParagraphFont"/>
    <w:uiPriority w:val="22"/>
    <w:qFormat/>
    <w:rsid w:val="002B38F5"/>
    <w:rPr>
      <w:b/>
      <w:bCs/>
      <w:lang w:val="en-GB"/>
    </w:rPr>
  </w:style>
  <w:style w:type="character" w:styleId="SubtleEmphasis">
    <w:name w:val="Subtle Emphasis"/>
    <w:basedOn w:val="DefaultParagraphFont"/>
    <w:uiPriority w:val="19"/>
    <w:qFormat/>
    <w:rsid w:val="002B38F5"/>
    <w:rPr>
      <w:i/>
      <w:iCs/>
      <w:color w:val="404040" w:themeColor="text1" w:themeTint="BF"/>
      <w:lang w:val="en-GB"/>
    </w:rPr>
  </w:style>
  <w:style w:type="character" w:styleId="SubtleReference">
    <w:name w:val="Subtle Reference"/>
    <w:basedOn w:val="DefaultParagraphFont"/>
    <w:uiPriority w:val="31"/>
    <w:qFormat/>
    <w:rsid w:val="002B38F5"/>
    <w:rPr>
      <w:smallCaps/>
      <w:color w:val="5A5A5A" w:themeColor="text1" w:themeTint="A5"/>
      <w:lang w:val="en-GB"/>
    </w:rPr>
  </w:style>
  <w:style w:type="table" w:styleId="Table3Deffects1">
    <w:name w:val="Table 3D effects 1"/>
    <w:basedOn w:val="TableNormal"/>
    <w:uiPriority w:val="99"/>
    <w:semiHidden/>
    <w:unhideWhenUsed/>
    <w:rsid w:val="002B38F5"/>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B38F5"/>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B38F5"/>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B38F5"/>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B38F5"/>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B38F5"/>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B38F5"/>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B38F5"/>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B38F5"/>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B38F5"/>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B38F5"/>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B38F5"/>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B38F5"/>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B38F5"/>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B38F5"/>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2B38F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2B38F5"/>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B38F5"/>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B38F5"/>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B38F5"/>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B38F5"/>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2B38F5"/>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2B38F5"/>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B38F5"/>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B38F5"/>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B38F5"/>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B38F5"/>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B38F5"/>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B38F5"/>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2B38F5"/>
    <w:pPr>
      <w:spacing w:before="120"/>
    </w:pPr>
    <w:rPr>
      <w:rFonts w:asciiTheme="majorHAnsi" w:eastAsiaTheme="majorEastAsia" w:hAnsiTheme="majorHAnsi" w:cstheme="majorBidi"/>
      <w:b/>
      <w:bCs/>
      <w:sz w:val="24"/>
      <w:szCs w:val="24"/>
    </w:rPr>
  </w:style>
  <w:style w:type="paragraph" w:styleId="TOC1">
    <w:name w:val="toc 1"/>
    <w:basedOn w:val="CBDNormal"/>
    <w:next w:val="Normal"/>
    <w:autoRedefine/>
    <w:uiPriority w:val="39"/>
    <w:unhideWhenUsed/>
    <w:rsid w:val="00496A12"/>
    <w:pPr>
      <w:tabs>
        <w:tab w:val="clear" w:pos="567"/>
        <w:tab w:val="clear" w:pos="1701"/>
        <w:tab w:val="clear" w:pos="2268"/>
        <w:tab w:val="left" w:pos="624"/>
        <w:tab w:val="right" w:leader="dot" w:pos="9486"/>
      </w:tabs>
      <w:adjustRightInd w:val="0"/>
      <w:snapToGrid w:val="0"/>
      <w:spacing w:before="120"/>
      <w:ind w:left="1134" w:hanging="567"/>
      <w:jc w:val="left"/>
    </w:pPr>
    <w:rPr>
      <w:rFonts w:eastAsia="Times New Roman"/>
      <w:b/>
      <w:noProof/>
      <w:szCs w:val="20"/>
    </w:rPr>
  </w:style>
  <w:style w:type="paragraph" w:styleId="TOC2">
    <w:name w:val="toc 2"/>
    <w:basedOn w:val="CBDNormal"/>
    <w:next w:val="Normal"/>
    <w:uiPriority w:val="39"/>
    <w:unhideWhenUsed/>
    <w:rsid w:val="00AA1338"/>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AA1338"/>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AA1338"/>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AA1338"/>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AA133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AA133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AA133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AA133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OCHeading">
    <w:name w:val="TOC Heading"/>
    <w:basedOn w:val="Heading1"/>
    <w:next w:val="Normal"/>
    <w:uiPriority w:val="39"/>
    <w:semiHidden/>
    <w:unhideWhenUsed/>
    <w:qFormat/>
    <w:rsid w:val="002B38F5"/>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paragraph" w:customStyle="1" w:styleId="xl53">
    <w:name w:val="xl53"/>
    <w:basedOn w:val="Normal"/>
    <w:rsid w:val="003703DE"/>
    <w:pPr>
      <w:pBdr>
        <w:left w:val="single" w:sz="8" w:space="0" w:color="auto"/>
        <w:right w:val="single" w:sz="8" w:space="0" w:color="auto"/>
      </w:pBdr>
      <w:tabs>
        <w:tab w:val="clear" w:pos="567"/>
        <w:tab w:val="clear" w:pos="1134"/>
        <w:tab w:val="clear" w:pos="1701"/>
        <w:tab w:val="clear" w:pos="2268"/>
      </w:tabs>
      <w:spacing w:before="100" w:beforeAutospacing="1" w:after="100" w:afterAutospacing="1"/>
    </w:pPr>
    <w:rPr>
      <w:rFonts w:eastAsia="Arial Unicode MS" w:cs="Angsana New"/>
    </w:rPr>
  </w:style>
  <w:style w:type="character" w:customStyle="1" w:styleId="Para1Char1">
    <w:name w:val="Para1 Char1"/>
    <w:rsid w:val="003703DE"/>
    <w:rPr>
      <w:snapToGrid w:val="0"/>
      <w:kern w:val="22"/>
      <w:sz w:val="22"/>
      <w:szCs w:val="22"/>
      <w:lang w:val="en-GB"/>
    </w:rPr>
  </w:style>
  <w:style w:type="paragraph" w:customStyle="1" w:styleId="Para2">
    <w:name w:val="Para2"/>
    <w:basedOn w:val="Normal"/>
    <w:rsid w:val="00A0088F"/>
    <w:pPr>
      <w:numPr>
        <w:numId w:val="11"/>
      </w:numPr>
      <w:tabs>
        <w:tab w:val="clear" w:pos="567"/>
        <w:tab w:val="clear" w:pos="1134"/>
        <w:tab w:val="clear" w:pos="1701"/>
        <w:tab w:val="clear" w:pos="2268"/>
      </w:tabs>
      <w:autoSpaceDE w:val="0"/>
      <w:autoSpaceDN w:val="0"/>
      <w:spacing w:before="120" w:after="120"/>
    </w:pPr>
    <w:rPr>
      <w:rFonts w:eastAsia="Times New Roman"/>
      <w:szCs w:val="18"/>
    </w:rPr>
  </w:style>
  <w:style w:type="paragraph" w:customStyle="1" w:styleId="AFCorNNormal">
    <w:name w:val="AF_CorNNormal"/>
    <w:basedOn w:val="Normal"/>
    <w:unhideWhenUsed/>
    <w:rsid w:val="00AA1338"/>
    <w:pPr>
      <w:jc w:val="left"/>
    </w:pPr>
  </w:style>
  <w:style w:type="paragraph" w:customStyle="1" w:styleId="AFCorNBold">
    <w:name w:val="AF_CorNBold"/>
    <w:basedOn w:val="AFCorNNormal"/>
    <w:next w:val="AFCorNNormal"/>
    <w:unhideWhenUsed/>
    <w:qFormat/>
    <w:rsid w:val="00AA1338"/>
    <w:rPr>
      <w:b/>
    </w:rPr>
  </w:style>
  <w:style w:type="paragraph" w:customStyle="1" w:styleId="AFCorN12Bold">
    <w:name w:val="AF_CorN12Bold"/>
    <w:basedOn w:val="AFCorNNormal"/>
    <w:next w:val="AFCorNNormal"/>
    <w:unhideWhenUsed/>
    <w:qFormat/>
    <w:rsid w:val="00AA1338"/>
    <w:rPr>
      <w:b/>
      <w:sz w:val="24"/>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080196"/>
    <w:rPr>
      <w:rFonts w:ascii="Times New Roman" w:eastAsia="SimSun" w:hAnsi="Times New Roman" w:cs="Times New Roman"/>
      <w:kern w:val="0"/>
      <w:lang w:val="en-GB"/>
      <w14:ligatures w14:val="none"/>
    </w:rPr>
  </w:style>
  <w:style w:type="character" w:customStyle="1" w:styleId="None">
    <w:name w:val="None"/>
    <w:rsid w:val="00080196"/>
    <w:rPr>
      <w:lang w:val="en-GB"/>
    </w:rPr>
  </w:style>
  <w:style w:type="character" w:customStyle="1" w:styleId="SmartLink10">
    <w:name w:val="SmartLink1"/>
    <w:basedOn w:val="DefaultParagraphFont"/>
    <w:uiPriority w:val="99"/>
    <w:semiHidden/>
    <w:unhideWhenUsed/>
    <w:rsid w:val="00080196"/>
    <w:rPr>
      <w:color w:val="0000FF"/>
      <w:u w:val="single"/>
      <w:shd w:val="clear" w:color="auto" w:fill="F3F2F1"/>
      <w:lang w:val="en-GB"/>
    </w:rPr>
  </w:style>
  <w:style w:type="paragraph" w:customStyle="1" w:styleId="msonormal0">
    <w:name w:val="msonormal"/>
    <w:basedOn w:val="Normal"/>
    <w:rsid w:val="00080196"/>
    <w:pPr>
      <w:tabs>
        <w:tab w:val="clear" w:pos="567"/>
        <w:tab w:val="clear" w:pos="1134"/>
        <w:tab w:val="clear" w:pos="1701"/>
        <w:tab w:val="clear" w:pos="2268"/>
      </w:tabs>
      <w:spacing w:before="100" w:beforeAutospacing="1" w:after="100" w:afterAutospacing="1"/>
      <w:jc w:val="left"/>
    </w:pPr>
    <w:rPr>
      <w:rFonts w:eastAsia="Times New Roman"/>
      <w:sz w:val="24"/>
      <w:szCs w:val="24"/>
      <w:lang w:eastAsia="en-CA"/>
    </w:rPr>
  </w:style>
  <w:style w:type="paragraph" w:customStyle="1" w:styleId="xl65">
    <w:name w:val="xl65"/>
    <w:basedOn w:val="Normal"/>
    <w:rsid w:val="00080196"/>
    <w:pP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66">
    <w:name w:val="xl66"/>
    <w:basedOn w:val="Normal"/>
    <w:rsid w:val="00080196"/>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67">
    <w:name w:val="xl67"/>
    <w:basedOn w:val="Normal"/>
    <w:rsid w:val="00080196"/>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68">
    <w:name w:val="xl68"/>
    <w:basedOn w:val="Normal"/>
    <w:rsid w:val="00080196"/>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eastAsia="en-CA"/>
    </w:rPr>
  </w:style>
  <w:style w:type="paragraph" w:customStyle="1" w:styleId="xl69">
    <w:name w:val="xl69"/>
    <w:basedOn w:val="Normal"/>
    <w:rsid w:val="00080196"/>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eastAsia="en-CA"/>
    </w:rPr>
  </w:style>
  <w:style w:type="paragraph" w:customStyle="1" w:styleId="xl70">
    <w:name w:val="xl70"/>
    <w:basedOn w:val="Normal"/>
    <w:rsid w:val="00080196"/>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71">
    <w:name w:val="xl71"/>
    <w:basedOn w:val="Normal"/>
    <w:rsid w:val="00080196"/>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000000"/>
      <w:sz w:val="18"/>
      <w:szCs w:val="18"/>
      <w:lang w:eastAsia="en-CA"/>
    </w:rPr>
  </w:style>
  <w:style w:type="paragraph" w:customStyle="1" w:styleId="xl72">
    <w:name w:val="xl72"/>
    <w:basedOn w:val="Normal"/>
    <w:rsid w:val="00080196"/>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color w:val="FF0000"/>
      <w:sz w:val="18"/>
      <w:szCs w:val="18"/>
      <w:lang w:eastAsia="en-CA"/>
    </w:rPr>
  </w:style>
  <w:style w:type="paragraph" w:customStyle="1" w:styleId="xl73">
    <w:name w:val="xl73"/>
    <w:basedOn w:val="Normal"/>
    <w:rsid w:val="00080196"/>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74">
    <w:name w:val="xl74"/>
    <w:basedOn w:val="Normal"/>
    <w:rsid w:val="00080196"/>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color w:val="000000"/>
      <w:sz w:val="18"/>
      <w:szCs w:val="18"/>
      <w:lang w:eastAsia="en-CA"/>
    </w:rPr>
  </w:style>
  <w:style w:type="paragraph" w:customStyle="1" w:styleId="xl75">
    <w:name w:val="xl75"/>
    <w:basedOn w:val="Normal"/>
    <w:rsid w:val="00080196"/>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color w:val="000000"/>
      <w:sz w:val="18"/>
      <w:szCs w:val="18"/>
      <w:lang w:eastAsia="en-CA"/>
    </w:rPr>
  </w:style>
  <w:style w:type="paragraph" w:customStyle="1" w:styleId="xl76">
    <w:name w:val="xl76"/>
    <w:basedOn w:val="Normal"/>
    <w:rsid w:val="00080196"/>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77">
    <w:name w:val="xl77"/>
    <w:basedOn w:val="Normal"/>
    <w:rsid w:val="00080196"/>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78">
    <w:name w:val="xl78"/>
    <w:basedOn w:val="Normal"/>
    <w:rsid w:val="00080196"/>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79">
    <w:name w:val="xl79"/>
    <w:basedOn w:val="Normal"/>
    <w:rsid w:val="00080196"/>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80">
    <w:name w:val="xl80"/>
    <w:basedOn w:val="Normal"/>
    <w:rsid w:val="00080196"/>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CBDsub-decision">
    <w:name w:val="CBD_sub-decision"/>
    <w:basedOn w:val="CBDDesicionAnnex"/>
    <w:qFormat/>
    <w:rsid w:val="00166E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3259416">
      <w:bodyDiv w:val="1"/>
      <w:marLeft w:val="0"/>
      <w:marRight w:val="0"/>
      <w:marTop w:val="0"/>
      <w:marBottom w:val="0"/>
      <w:divBdr>
        <w:top w:val="none" w:sz="0" w:space="0" w:color="auto"/>
        <w:left w:val="none" w:sz="0" w:space="0" w:color="auto"/>
        <w:bottom w:val="none" w:sz="0" w:space="0" w:color="auto"/>
        <w:right w:val="none" w:sz="0" w:space="0" w:color="auto"/>
      </w:divBdr>
    </w:div>
    <w:div w:id="1586526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bd.int/doc/decisions/cp-mop-10/cp-mop-10-dec-10-es.pdf" TargetMode="External"/><Relationship Id="rId21" Type="http://schemas.openxmlformats.org/officeDocument/2006/relationships/hyperlink" Target="https://bch.cbd.int/protocol/decisions?decisionID=8284" TargetMode="External"/><Relationship Id="rId34" Type="http://schemas.openxmlformats.org/officeDocument/2006/relationships/hyperlink" Target="https://www.cbd.int/doc/decisions/cp-mop-10/cp-mop-10-dec-07-es.pdf" TargetMode="External"/><Relationship Id="rId42" Type="http://schemas.openxmlformats.org/officeDocument/2006/relationships/hyperlink" Target="https://www.cbd.int/doc/decisions/cp-mop-11/cp-mop-11-dec-04-en.pdf" TargetMode="External"/><Relationship Id="rId47" Type="http://schemas.openxmlformats.org/officeDocument/2006/relationships/hyperlink" Target="https://www.cbd.int/documents/CBD/CP/MOP/11/L12/REV1" TargetMode="External"/><Relationship Id="rId50" Type="http://schemas.openxmlformats.org/officeDocument/2006/relationships/hyperlink" Target="https://www.cbd.int/decisions/mop/?m=cp-mop-11" TargetMode="External"/><Relationship Id="rId55" Type="http://schemas.openxmlformats.org/officeDocument/2006/relationships/hyperlink" Target="https://www.cbd.int/decisions/mop/?m=cp-mop-11" TargetMode="External"/><Relationship Id="rId63" Type="http://schemas.openxmlformats.org/officeDocument/2006/relationships/footer" Target="foot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bch.cbd.int/protocol/decisions?decisionID=12314" TargetMode="External"/><Relationship Id="rId29" Type="http://schemas.openxmlformats.org/officeDocument/2006/relationships/hyperlink" Target="https://www.cbd.int/doc/decisions/cp-mop-09/cp-mop-09-dec-13-es.pdf" TargetMode="External"/><Relationship Id="rId11" Type="http://schemas.openxmlformats.org/officeDocument/2006/relationships/image" Target="media/image1.emf"/><Relationship Id="rId24" Type="http://schemas.openxmlformats.org/officeDocument/2006/relationships/hyperlink" Target="https://www.cbd.int/doc/recommendations/sbi-04/sbi-04-rec-12-es.pdf" TargetMode="External"/><Relationship Id="rId32" Type="http://schemas.openxmlformats.org/officeDocument/2006/relationships/hyperlink" Target="https://www.cbd.int/doc/decisions/cop-14/cop-14-dec-33-es.pdf" TargetMode="External"/><Relationship Id="rId37" Type="http://schemas.openxmlformats.org/officeDocument/2006/relationships/hyperlink" Target="https://www.cbd.int/doc/decisions/cp-mop-10/cp-mop-10-dec-04-es.pdf" TargetMode="External"/><Relationship Id="rId40" Type="http://schemas.openxmlformats.org/officeDocument/2006/relationships/hyperlink" Target="https://www.cbd.int/doc/decisions/cp-mop-10/cp-mop-10-dec-13-es.pdf" TargetMode="External"/><Relationship Id="rId45" Type="http://schemas.openxmlformats.org/officeDocument/2006/relationships/hyperlink" Target="https://www.cbd.int/doc/notifications/2024/ntf-2024-092-abs-bs-en.pdf" TargetMode="External"/><Relationship Id="rId53" Type="http://schemas.openxmlformats.org/officeDocument/2006/relationships/hyperlink" Target="https://www.cbd.int/decisions/mop/?m=cp-mop-11" TargetMode="External"/><Relationship Id="rId58" Type="http://schemas.openxmlformats.org/officeDocument/2006/relationships/hyperlink" Target="https://www.cbd.int/decisions/mop/?m=cp-mop-11" TargetMode="External"/><Relationship Id="rId66" Type="http://schemas.openxmlformats.org/officeDocument/2006/relationships/glossaryDocument" Target="glossary/document.xml"/><Relationship Id="rId5" Type="http://schemas.openxmlformats.org/officeDocument/2006/relationships/numbering" Target="numbering.xml"/><Relationship Id="rId61" Type="http://schemas.openxmlformats.org/officeDocument/2006/relationships/header" Target="header2.xml"/><Relationship Id="rId19" Type="http://schemas.openxmlformats.org/officeDocument/2006/relationships/hyperlink" Target="https://www.cbd.int/doc/decisions/cp-mop-09/cp-mop-09-dec-02-es.pdf" TargetMode="External"/><Relationship Id="rId14" Type="http://schemas.openxmlformats.org/officeDocument/2006/relationships/hyperlink" Target="https://bch.cbd.int/protocol/decisions?decisionID=8289" TargetMode="External"/><Relationship Id="rId22" Type="http://schemas.openxmlformats.org/officeDocument/2006/relationships/hyperlink" Target="https://www.cbd.int/doc/decisions/cp-mop-10/cp-mop-10-dec-08-es.pdf" TargetMode="External"/><Relationship Id="rId27" Type="http://schemas.openxmlformats.org/officeDocument/2006/relationships/hyperlink" Target="https://www.cbd.int/doc/decisions/cp-mop-09/cp-mop-09-dec-13-es.pdf" TargetMode="External"/><Relationship Id="rId30" Type="http://schemas.openxmlformats.org/officeDocument/2006/relationships/hyperlink" Target="https://www.cbd.int/doc/decisions/cp-mop-09/cp-mop-09-dec-13-es.pdf" TargetMode="External"/><Relationship Id="rId35" Type="http://schemas.openxmlformats.org/officeDocument/2006/relationships/hyperlink" Target="https://www.cbd.int/doc/decisions/cp-mop-10/cp-mop-10-dec-11-es.pdf" TargetMode="External"/><Relationship Id="rId43" Type="http://schemas.openxmlformats.org/officeDocument/2006/relationships/hyperlink" Target="https://www.cbd.int/decisions/cop/?m=cop-16" TargetMode="External"/><Relationship Id="rId48" Type="http://schemas.openxmlformats.org/officeDocument/2006/relationships/hyperlink" Target="https://www.cbd.int/documents/CBD/CP/MOP/11/L13" TargetMode="External"/><Relationship Id="rId56" Type="http://schemas.openxmlformats.org/officeDocument/2006/relationships/hyperlink" Target="https://www.cbd.int/decisions/mop/?m=cp-mop-11" TargetMode="External"/><Relationship Id="rId64" Type="http://schemas.openxmlformats.org/officeDocument/2006/relationships/header" Target="header3.xml"/><Relationship Id="rId8" Type="http://schemas.openxmlformats.org/officeDocument/2006/relationships/webSettings" Target="webSettings.xml"/><Relationship Id="rId51" Type="http://schemas.openxmlformats.org/officeDocument/2006/relationships/hyperlink" Target="https://www.cbd.int/decisions/mop/?m=cp-mop-11"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bd.int/documents/CBD/CP/MOP/11/3" TargetMode="External"/><Relationship Id="rId25" Type="http://schemas.openxmlformats.org/officeDocument/2006/relationships/hyperlink" Target="https://www.cbd.int/doc/decisions/cp-mop-09/cp-mop-09-dec-10-es.pdf" TargetMode="External"/><Relationship Id="rId33" Type="http://schemas.openxmlformats.org/officeDocument/2006/relationships/hyperlink" Target="https://www.cbd.int/doc/decisions/cp-mop-09/cp-mop-09-dec-13-es.pdf" TargetMode="External"/><Relationship Id="rId38" Type="http://schemas.openxmlformats.org/officeDocument/2006/relationships/hyperlink" Target="https://www.cbd.int/doc/decisions/cp-mop-09/cp-mop-09-dec-14-es.pdf" TargetMode="External"/><Relationship Id="rId46" Type="http://schemas.openxmlformats.org/officeDocument/2006/relationships/hyperlink" Target="https://www.cbd.int/decisions/mop/?m=cp-mop-11" TargetMode="External"/><Relationship Id="rId59" Type="http://schemas.openxmlformats.org/officeDocument/2006/relationships/hyperlink" Target="https://www.cbd.int/decisions/mop/?m=cp-mop-11" TargetMode="External"/><Relationship Id="rId67" Type="http://schemas.openxmlformats.org/officeDocument/2006/relationships/theme" Target="theme/theme1.xml"/><Relationship Id="rId20" Type="http://schemas.openxmlformats.org/officeDocument/2006/relationships/hyperlink" Target="https://bch.cbd.int/protocol/decisions?decisionID=8284" TargetMode="External"/><Relationship Id="rId41" Type="http://schemas.openxmlformats.org/officeDocument/2006/relationships/hyperlink" Target="https://www.cbd.int/doc/decisions/cp-mop-10/cp-mop-10-dec-13-es.pdf" TargetMode="External"/><Relationship Id="rId54" Type="http://schemas.openxmlformats.org/officeDocument/2006/relationships/hyperlink" Target="https://www.cbd.int/decisions/mop/?m=cp-mop-11" TargetMode="External"/><Relationship Id="rId62"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bch.cbd.int/protocol/decisions?decisionID=12314" TargetMode="External"/><Relationship Id="rId23" Type="http://schemas.openxmlformats.org/officeDocument/2006/relationships/hyperlink" Target="https://www.cbd.int/documents/CBD/SBI/4/11" TargetMode="External"/><Relationship Id="rId28" Type="http://schemas.openxmlformats.org/officeDocument/2006/relationships/hyperlink" Target="https://www.cbd.int/doc/decisions/cop-14/cop-14-dec-19-es.pdf" TargetMode="External"/><Relationship Id="rId36" Type="http://schemas.openxmlformats.org/officeDocument/2006/relationships/hyperlink" Target="https://www.cbd.int/doc/decisions/cp-mop-10/cp-mop-10-dec-03-es.pdf" TargetMode="External"/><Relationship Id="rId49" Type="http://schemas.openxmlformats.org/officeDocument/2006/relationships/hyperlink" Target="https://www.cbd.int/decisions/mop/?m=cp-mop-11" TargetMode="External"/><Relationship Id="rId57" Type="http://schemas.openxmlformats.org/officeDocument/2006/relationships/hyperlink" Target="https://www.cbd.int/decisions/mop/?m=cp-mop-11" TargetMode="External"/><Relationship Id="rId10" Type="http://schemas.openxmlformats.org/officeDocument/2006/relationships/endnotes" Target="endnotes.xml"/><Relationship Id="rId31" Type="http://schemas.openxmlformats.org/officeDocument/2006/relationships/hyperlink" Target="https://www.cbd.int/doc/decisions/cp-mop-09/cp-mop-09-dec-13-es.pdf" TargetMode="External"/><Relationship Id="rId44" Type="http://schemas.openxmlformats.org/officeDocument/2006/relationships/hyperlink" Target="https://www.cbd.int/documents/CBD/CP/MOP/11/INF/7" TargetMode="External"/><Relationship Id="rId52" Type="http://schemas.openxmlformats.org/officeDocument/2006/relationships/hyperlink" Target="https://www.cbd.int/decisions/mop/?m=cp-mop-11" TargetMode="External"/><Relationship Id="rId60" Type="http://schemas.openxmlformats.org/officeDocument/2006/relationships/header" Target="header1.xml"/><Relationship Id="rId65"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yperlink" Target="https://www.cbd.int/decisions/cop/?m=cop-15" TargetMode="External"/><Relationship Id="rId39" Type="http://schemas.openxmlformats.org/officeDocument/2006/relationships/hyperlink" Target="https://www.cbd.int/doc/decisions/cp-mop-10/cp-mop-10-dec-12-es.pdf"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s://www.cbd.int/decisions/mop/?m=cp-mop-10" TargetMode="External"/><Relationship Id="rId18" Type="http://schemas.openxmlformats.org/officeDocument/2006/relationships/hyperlink" Target="https://www.cbd.int/documents/CBD/CP/MOP/11/1/ADD1" TargetMode="External"/><Relationship Id="rId26" Type="http://schemas.openxmlformats.org/officeDocument/2006/relationships/hyperlink" Target="https://www.cbd.int/documents/CBD/CP/MOP/11/L13" TargetMode="External"/><Relationship Id="rId39" Type="http://schemas.openxmlformats.org/officeDocument/2006/relationships/hyperlink" Target="https://www.cbd.int/documents/CBD/CP/MOP/11/5/ADD1" TargetMode="External"/><Relationship Id="rId21" Type="http://schemas.openxmlformats.org/officeDocument/2006/relationships/hyperlink" Target="https://www.cbd.int/documents/CBD/CP/MOP/11/WGI/L1" TargetMode="External"/><Relationship Id="rId34" Type="http://schemas.openxmlformats.org/officeDocument/2006/relationships/hyperlink" Target="https://www.cbd.int/documents/CBD/CP/MOP/11/3" TargetMode="External"/><Relationship Id="rId42" Type="http://schemas.openxmlformats.org/officeDocument/2006/relationships/hyperlink" Target="https://www.cbd.int/documents/CBD/CP/MOP/11/6" TargetMode="External"/><Relationship Id="rId47" Type="http://schemas.openxmlformats.org/officeDocument/2006/relationships/hyperlink" Target="https://www.cbd.int/documents/CBD/CP/MOP/11/9" TargetMode="External"/><Relationship Id="rId50" Type="http://schemas.openxmlformats.org/officeDocument/2006/relationships/hyperlink" Target="https://www.cbd.int/documents/CBD/CP/MOP/11/2" TargetMode="External"/><Relationship Id="rId7" Type="http://schemas.openxmlformats.org/officeDocument/2006/relationships/hyperlink" Target="https://www.cbd.int/decisions/mop/?m=cp-mop-10" TargetMode="External"/><Relationship Id="rId2" Type="http://schemas.openxmlformats.org/officeDocument/2006/relationships/hyperlink" Target="https://www.cbd.int/documents/CBD/COP/16/INF/25" TargetMode="External"/><Relationship Id="rId16" Type="http://schemas.openxmlformats.org/officeDocument/2006/relationships/hyperlink" Target="https://www.cbd.int/documents/CBD/COP/16/13" TargetMode="External"/><Relationship Id="rId29" Type="http://schemas.openxmlformats.org/officeDocument/2006/relationships/hyperlink" Target="https://www.cbd.int/documents/CBD/CP/MOP/11/INF/6/REV1" TargetMode="External"/><Relationship Id="rId11" Type="http://schemas.openxmlformats.org/officeDocument/2006/relationships/hyperlink" Target="https://www.cbd.int/decisions/mop/?m=cp-mop-10" TargetMode="External"/><Relationship Id="rId24" Type="http://schemas.openxmlformats.org/officeDocument/2006/relationships/hyperlink" Target="https://www.cbd.int/documents/CBD/CP/MOP/11/1/ADD3" TargetMode="External"/><Relationship Id="rId32" Type="http://schemas.openxmlformats.org/officeDocument/2006/relationships/hyperlink" Target="https://www.cbd.int/documents/CBD/SBI/5/4" TargetMode="External"/><Relationship Id="rId37" Type="http://schemas.openxmlformats.org/officeDocument/2006/relationships/hyperlink" Target="https://www.cbd.int/documents/CBD/CP/MOP/11/4" TargetMode="External"/><Relationship Id="rId40" Type="http://schemas.openxmlformats.org/officeDocument/2006/relationships/hyperlink" Target="https://www.cbd.int/documents/CBD/CP/MOP/11/5/ADD2" TargetMode="External"/><Relationship Id="rId45" Type="http://schemas.openxmlformats.org/officeDocument/2006/relationships/hyperlink" Target="https://www.cbd.int/documents/CBD/CP/MOP/11/8/REV1" TargetMode="External"/><Relationship Id="rId5" Type="http://schemas.openxmlformats.org/officeDocument/2006/relationships/hyperlink" Target="http://www.cbd.int/doc/decisions/cop-14/cop-14-dec-33-es.pdf" TargetMode="External"/><Relationship Id="rId15" Type="http://schemas.openxmlformats.org/officeDocument/2006/relationships/hyperlink" Target="https://www.cbd.int/documents/CBD/COP/16/13" TargetMode="External"/><Relationship Id="rId23" Type="http://schemas.openxmlformats.org/officeDocument/2006/relationships/hyperlink" Target="https://www.cbd.int/meetings/CP-MOP-11-R1" TargetMode="External"/><Relationship Id="rId28" Type="http://schemas.openxmlformats.org/officeDocument/2006/relationships/hyperlink" Target="https://www.cbd.int/documents/CBD/CP/MOP/11/INF/6/REV1" TargetMode="External"/><Relationship Id="rId36" Type="http://schemas.openxmlformats.org/officeDocument/2006/relationships/hyperlink" Target="https://www.cbd.int/documents/CBD/COP/16/4/ADD1" TargetMode="External"/><Relationship Id="rId49" Type="http://schemas.openxmlformats.org/officeDocument/2006/relationships/hyperlink" Target="https://www.cbd.int/documents/CBD/CP/MOP/11/10" TargetMode="External"/><Relationship Id="rId10" Type="http://schemas.openxmlformats.org/officeDocument/2006/relationships/hyperlink" Target="https://bch.cbd.int/onlineconferences/portal_art26/Activities2023-2024.shtml" TargetMode="External"/><Relationship Id="rId19" Type="http://schemas.openxmlformats.org/officeDocument/2006/relationships/hyperlink" Target="https://www.cbd.int/documents/CBD/CP/MOP/11/1/ADD2" TargetMode="External"/><Relationship Id="rId31" Type="http://schemas.openxmlformats.org/officeDocument/2006/relationships/hyperlink" Target="https://www.cbd.int/documents/CBD/SBI/4/17" TargetMode="External"/><Relationship Id="rId44" Type="http://schemas.openxmlformats.org/officeDocument/2006/relationships/hyperlink" Target="https://www.cbd.int/documents/CBD/CP/MOP/11/7" TargetMode="External"/><Relationship Id="rId52" Type="http://schemas.openxmlformats.org/officeDocument/2006/relationships/hyperlink" Target="https://www.cbd.int/documents/CBD/CP/MOP/11/L1/REV1" TargetMode="External"/><Relationship Id="rId4" Type="http://schemas.openxmlformats.org/officeDocument/2006/relationships/hyperlink" Target="https://www.cbd.int/documents/CBD/SBI/4/11/ADD1" TargetMode="External"/><Relationship Id="rId9" Type="http://schemas.openxmlformats.org/officeDocument/2006/relationships/hyperlink" Target="http://www.cbd.int/notifications/2023-133" TargetMode="External"/><Relationship Id="rId14" Type="http://schemas.openxmlformats.org/officeDocument/2006/relationships/hyperlink" Target="https://www.cbd.int/documents/CBD/CP/MOP/11/INF/1" TargetMode="External"/><Relationship Id="rId22" Type="http://schemas.openxmlformats.org/officeDocument/2006/relationships/hyperlink" Target="https://www.cbd.int/documents/CBD/CP/MOP/11/WGII/L1" TargetMode="External"/><Relationship Id="rId27" Type="http://schemas.openxmlformats.org/officeDocument/2006/relationships/hyperlink" Target="https://www.cbd.int/documents/CBD/CP/MOP/11/INF/5" TargetMode="External"/><Relationship Id="rId30" Type="http://schemas.openxmlformats.org/officeDocument/2006/relationships/hyperlink" Target="https://www.cbd.int/documents/CBD/SBSTTA/26/9" TargetMode="External"/><Relationship Id="rId35" Type="http://schemas.openxmlformats.org/officeDocument/2006/relationships/hyperlink" Target="https://www.cbd.int/documents/CBD/CP/MOP/11/INF/2" TargetMode="External"/><Relationship Id="rId43" Type="http://schemas.openxmlformats.org/officeDocument/2006/relationships/hyperlink" Target="https://www.cbd.int/documents/CBD/CP/MOP/11/2" TargetMode="External"/><Relationship Id="rId48" Type="http://schemas.openxmlformats.org/officeDocument/2006/relationships/hyperlink" Target="https://www.cbd.int/documents/CBD/CP/MOP/11/2" TargetMode="External"/><Relationship Id="rId8" Type="http://schemas.openxmlformats.org/officeDocument/2006/relationships/hyperlink" Target="https://www.cbd.int/decisions/mop/?m=cp-mop-10" TargetMode="External"/><Relationship Id="rId51" Type="http://schemas.openxmlformats.org/officeDocument/2006/relationships/hyperlink" Target="https://www.cbd.int/documents/CBD/CP/MOP/11/11" TargetMode="External"/><Relationship Id="rId3" Type="http://schemas.openxmlformats.org/officeDocument/2006/relationships/hyperlink" Target="https://www.cbd.int/decisions/cop/?m=cop-15" TargetMode="External"/><Relationship Id="rId12" Type="http://schemas.openxmlformats.org/officeDocument/2006/relationships/hyperlink" Target="https://www.cbd.int/decisions/mop/?m=cp-mop-10" TargetMode="External"/><Relationship Id="rId17" Type="http://schemas.openxmlformats.org/officeDocument/2006/relationships/hyperlink" Target="https://www.cbd.int/documents/CBD/CP/MOP/11/1" TargetMode="External"/><Relationship Id="rId25" Type="http://schemas.openxmlformats.org/officeDocument/2006/relationships/hyperlink" Target="https://www.cbd.int/documents/CBD/CP/MOP/11/L12/REV1" TargetMode="External"/><Relationship Id="rId33" Type="http://schemas.openxmlformats.org/officeDocument/2006/relationships/hyperlink" Target="https://www.cbd.int/documents/CBD/CP/MOP/11/2" TargetMode="External"/><Relationship Id="rId38" Type="http://schemas.openxmlformats.org/officeDocument/2006/relationships/hyperlink" Target="https://www.cbd.int/documents/CBD/CP/MOP/11/5" TargetMode="External"/><Relationship Id="rId46" Type="http://schemas.openxmlformats.org/officeDocument/2006/relationships/hyperlink" Target="https://www.cbd.int/documents/CBD/CP/MOP/11/2" TargetMode="External"/><Relationship Id="rId20" Type="http://schemas.openxmlformats.org/officeDocument/2006/relationships/hyperlink" Target="https://www.cbd.int/documents/CBD/CP/MOP/11/INF/4" TargetMode="External"/><Relationship Id="rId41" Type="http://schemas.openxmlformats.org/officeDocument/2006/relationships/hyperlink" Target="https://www.cbd.int/documents/CBD/CP/MOP/11/2" TargetMode="External"/><Relationship Id="rId1" Type="http://schemas.openxmlformats.org/officeDocument/2006/relationships/hyperlink" Target="https://www.cbd.int/documents/CBD/COP/16/8/REV1" TargetMode="External"/><Relationship Id="rId6" Type="http://schemas.openxmlformats.org/officeDocument/2006/relationships/hyperlink" Target="https://www.cbd.int/documents/CBD/CP/MOP/9/1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Angsana New">
    <w:panose1 w:val="02020603050405020304"/>
    <w:charset w:val="DE"/>
    <w:family w:val="roman"/>
    <w:pitch w:val="variable"/>
    <w:sig w:usb0="81000003" w:usb1="00000000" w:usb2="00000000" w:usb3="00000000" w:csb0="00010001" w:csb1="00000000"/>
  </w:font>
  <w:font w:name="TimesNewRomanPS">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19BD"/>
    <w:rsid w:val="0001715E"/>
    <w:rsid w:val="00020E2E"/>
    <w:rsid w:val="0002343F"/>
    <w:rsid w:val="0003653F"/>
    <w:rsid w:val="00040D0B"/>
    <w:rsid w:val="00084331"/>
    <w:rsid w:val="00090089"/>
    <w:rsid w:val="000B2F24"/>
    <w:rsid w:val="000B434F"/>
    <w:rsid w:val="00112CC6"/>
    <w:rsid w:val="001305D0"/>
    <w:rsid w:val="00151699"/>
    <w:rsid w:val="001A5340"/>
    <w:rsid w:val="001B0D3A"/>
    <w:rsid w:val="001B5E85"/>
    <w:rsid w:val="001C1AE5"/>
    <w:rsid w:val="001D3912"/>
    <w:rsid w:val="001D5F7F"/>
    <w:rsid w:val="001D79EB"/>
    <w:rsid w:val="001E269D"/>
    <w:rsid w:val="002039C1"/>
    <w:rsid w:val="00221DFE"/>
    <w:rsid w:val="002619BD"/>
    <w:rsid w:val="0028646E"/>
    <w:rsid w:val="002A76C8"/>
    <w:rsid w:val="002C3D9A"/>
    <w:rsid w:val="002C7190"/>
    <w:rsid w:val="002F1BC0"/>
    <w:rsid w:val="002F1C76"/>
    <w:rsid w:val="003002F4"/>
    <w:rsid w:val="003242BD"/>
    <w:rsid w:val="00330ED1"/>
    <w:rsid w:val="00334413"/>
    <w:rsid w:val="00372D3D"/>
    <w:rsid w:val="00375B43"/>
    <w:rsid w:val="0037652D"/>
    <w:rsid w:val="003A39B0"/>
    <w:rsid w:val="003C6AF1"/>
    <w:rsid w:val="003D5E70"/>
    <w:rsid w:val="003D6731"/>
    <w:rsid w:val="003E7DC4"/>
    <w:rsid w:val="00445AE3"/>
    <w:rsid w:val="00445BEA"/>
    <w:rsid w:val="00496E68"/>
    <w:rsid w:val="004E4E80"/>
    <w:rsid w:val="004F7087"/>
    <w:rsid w:val="00503FAB"/>
    <w:rsid w:val="005053BE"/>
    <w:rsid w:val="0051700B"/>
    <w:rsid w:val="005357D7"/>
    <w:rsid w:val="00565C0B"/>
    <w:rsid w:val="00582E19"/>
    <w:rsid w:val="005A0CF3"/>
    <w:rsid w:val="005E132D"/>
    <w:rsid w:val="005E294E"/>
    <w:rsid w:val="005F1066"/>
    <w:rsid w:val="005F38C4"/>
    <w:rsid w:val="005F6A00"/>
    <w:rsid w:val="00604043"/>
    <w:rsid w:val="00620ABF"/>
    <w:rsid w:val="00637962"/>
    <w:rsid w:val="006443BD"/>
    <w:rsid w:val="00674C41"/>
    <w:rsid w:val="00675ADF"/>
    <w:rsid w:val="0068367C"/>
    <w:rsid w:val="006B5209"/>
    <w:rsid w:val="006D78D3"/>
    <w:rsid w:val="007068E8"/>
    <w:rsid w:val="00715F12"/>
    <w:rsid w:val="00720C98"/>
    <w:rsid w:val="00763BDA"/>
    <w:rsid w:val="00780BDB"/>
    <w:rsid w:val="007936B9"/>
    <w:rsid w:val="007960BB"/>
    <w:rsid w:val="007C4D34"/>
    <w:rsid w:val="007D7422"/>
    <w:rsid w:val="007E3C8F"/>
    <w:rsid w:val="007E4C1B"/>
    <w:rsid w:val="00820765"/>
    <w:rsid w:val="00821AFC"/>
    <w:rsid w:val="0084050F"/>
    <w:rsid w:val="00852C29"/>
    <w:rsid w:val="00854B9B"/>
    <w:rsid w:val="00880330"/>
    <w:rsid w:val="00891096"/>
    <w:rsid w:val="008D2345"/>
    <w:rsid w:val="008D68C6"/>
    <w:rsid w:val="008E20A6"/>
    <w:rsid w:val="008E70DC"/>
    <w:rsid w:val="009115BE"/>
    <w:rsid w:val="009406B9"/>
    <w:rsid w:val="00986547"/>
    <w:rsid w:val="009960AE"/>
    <w:rsid w:val="009B302D"/>
    <w:rsid w:val="009C269F"/>
    <w:rsid w:val="009D06BB"/>
    <w:rsid w:val="009E71CD"/>
    <w:rsid w:val="00A105AD"/>
    <w:rsid w:val="00A11D7A"/>
    <w:rsid w:val="00A20B2B"/>
    <w:rsid w:val="00A25885"/>
    <w:rsid w:val="00A37C76"/>
    <w:rsid w:val="00A548A1"/>
    <w:rsid w:val="00A6758D"/>
    <w:rsid w:val="00A92513"/>
    <w:rsid w:val="00A93DEB"/>
    <w:rsid w:val="00A94AA9"/>
    <w:rsid w:val="00AA2647"/>
    <w:rsid w:val="00AA67E0"/>
    <w:rsid w:val="00AC0AF4"/>
    <w:rsid w:val="00AD4254"/>
    <w:rsid w:val="00AE564C"/>
    <w:rsid w:val="00B01052"/>
    <w:rsid w:val="00B0243D"/>
    <w:rsid w:val="00B04B78"/>
    <w:rsid w:val="00B40B22"/>
    <w:rsid w:val="00B54646"/>
    <w:rsid w:val="00B6753E"/>
    <w:rsid w:val="00B84D7A"/>
    <w:rsid w:val="00B85BB8"/>
    <w:rsid w:val="00B94B46"/>
    <w:rsid w:val="00BA5015"/>
    <w:rsid w:val="00BB10F5"/>
    <w:rsid w:val="00BC28E5"/>
    <w:rsid w:val="00BC2940"/>
    <w:rsid w:val="00BF0A09"/>
    <w:rsid w:val="00BF2A1F"/>
    <w:rsid w:val="00C06F7F"/>
    <w:rsid w:val="00C43384"/>
    <w:rsid w:val="00C436E8"/>
    <w:rsid w:val="00C50B95"/>
    <w:rsid w:val="00C86C76"/>
    <w:rsid w:val="00CD6A15"/>
    <w:rsid w:val="00CF2117"/>
    <w:rsid w:val="00D01E81"/>
    <w:rsid w:val="00D134DF"/>
    <w:rsid w:val="00D154E8"/>
    <w:rsid w:val="00D30C33"/>
    <w:rsid w:val="00D3539E"/>
    <w:rsid w:val="00D3691B"/>
    <w:rsid w:val="00D74942"/>
    <w:rsid w:val="00D74D66"/>
    <w:rsid w:val="00D91C65"/>
    <w:rsid w:val="00DA3BB5"/>
    <w:rsid w:val="00DB16A2"/>
    <w:rsid w:val="00DB5E0F"/>
    <w:rsid w:val="00DC1683"/>
    <w:rsid w:val="00DF0E72"/>
    <w:rsid w:val="00DF21EE"/>
    <w:rsid w:val="00DF6DCA"/>
    <w:rsid w:val="00E13158"/>
    <w:rsid w:val="00E13C94"/>
    <w:rsid w:val="00E22B7B"/>
    <w:rsid w:val="00E24CAE"/>
    <w:rsid w:val="00E44A51"/>
    <w:rsid w:val="00E64439"/>
    <w:rsid w:val="00E90BAD"/>
    <w:rsid w:val="00EA1CF5"/>
    <w:rsid w:val="00F01432"/>
    <w:rsid w:val="00F05EFA"/>
    <w:rsid w:val="00F40B09"/>
    <w:rsid w:val="00F52C84"/>
    <w:rsid w:val="00F72A69"/>
    <w:rsid w:val="00F95D34"/>
    <w:rsid w:val="00FA571B"/>
    <w:rsid w:val="00FA5CAC"/>
    <w:rsid w:val="00FC468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4B2DF830-CD0D-4D58-8030-0CA1926BD8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173E53E-D5B8-444E-A54A-2ECA7E3B6086}">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sbstta-template.dotm</Template>
  <TotalTime>1</TotalTime>
  <Pages>42</Pages>
  <Words>17641</Words>
  <Characters>100560</Characters>
  <Application>Microsoft Office Word</Application>
  <DocSecurity>0</DocSecurity>
  <Lines>838</Lines>
  <Paragraphs>235</Paragraphs>
  <ScaleCrop>false</ScaleCrop>
  <Company/>
  <LinksUpToDate>false</LinksUpToDate>
  <CharactersWithSpaces>117966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la 11ª reunión de la Conferencia de las Partes que actúa como reunión de las Partes en el Protocolo de Cartagena sobre Seguridad de la Biotecnología</dc:title>
  <dc:subject>CBD/CP/MOP/11/12</dc:subject>
  <dc:creator>Secretariat of the Convention on Biological Diversity</dc:creator>
  <cp:keywords>Conference of the Parties serving as the meeting of the Parties to the Cartagena Protocol on Biosafety</cp:keywords>
  <dc:description/>
  <cp:lastModifiedBy>Veronique Lefebvre</cp:lastModifiedBy>
  <cp:revision>3</cp:revision>
  <cp:lastPrinted>2025-05-25T15:05:00Z</cp:lastPrinted>
  <dcterms:created xsi:type="dcterms:W3CDTF">2025-06-02T17:15:00Z</dcterms:created>
  <dcterms:modified xsi:type="dcterms:W3CDTF">2025-06-02T17:16:00Z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CBD-Category">
    <vt:lpwstr>CBD</vt:lpwstr>
  </property>
  <property fmtid="{D5CDD505-2E9C-101B-9397-08002B2CF9AE}" pid="5" name="CBD-Language">
    <vt:lpwstr>EN</vt:lpwstr>
  </property>
  <property fmtid="{D5CDD505-2E9C-101B-9397-08002B2CF9AE}" pid="6" name="CBD-Generator">
    <vt:lpwstr>0</vt:lpwstr>
  </property>
</Properties>
</file>