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8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1"/>
        <w:gridCol w:w="4169"/>
      </w:tblGrid>
      <w:tr w:rsidR="00660CB5" w:rsidRPr="009926FC" w:rsidTr="0054574A">
        <w:trPr>
          <w:trHeight w:val="709"/>
        </w:trPr>
        <w:tc>
          <w:tcPr>
            <w:tcW w:w="977" w:type="dxa"/>
            <w:tcBorders>
              <w:bottom w:val="single" w:sz="12" w:space="0" w:color="auto"/>
            </w:tcBorders>
          </w:tcPr>
          <w:p w:rsidR="00660CB5" w:rsidRPr="009926FC" w:rsidRDefault="00660CB5" w:rsidP="00614B67">
            <w:pPr>
              <w:rPr>
                <w:noProof/>
                <w:kern w:val="22"/>
                <w:lang w:val="fr-CA"/>
              </w:rPr>
            </w:pPr>
            <w:r w:rsidRPr="009926FC">
              <w:rPr>
                <w:noProof/>
                <w:kern w:val="22"/>
                <w:lang w:val="fr-CA" w:eastAsia="fr-CA"/>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660CB5" w:rsidRPr="009926FC" w:rsidRDefault="00660CB5" w:rsidP="00614B67">
            <w:pPr>
              <w:rPr>
                <w:noProof/>
                <w:kern w:val="22"/>
                <w:lang w:val="fr-CA"/>
              </w:rPr>
            </w:pPr>
            <w:r w:rsidRPr="009926FC">
              <w:rPr>
                <w:noProof/>
                <w:lang w:val="fr-CA" w:eastAsia="fr-CA"/>
              </w:rPr>
              <w:drawing>
                <wp:inline distT="0" distB="0" distL="0" distR="0">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r w:rsidR="00C64379" w:rsidRPr="009926FC">
              <w:rPr>
                <w:noProof/>
                <w:lang w:val="fr-CA"/>
              </w:rPr>
              <w:t xml:space="preserve"> </w:t>
            </w:r>
          </w:p>
        </w:tc>
        <w:tc>
          <w:tcPr>
            <w:tcW w:w="4169" w:type="dxa"/>
            <w:tcBorders>
              <w:bottom w:val="single" w:sz="12" w:space="0" w:color="auto"/>
            </w:tcBorders>
          </w:tcPr>
          <w:p w:rsidR="00660CB5" w:rsidRPr="009926FC" w:rsidRDefault="00660CB5" w:rsidP="00614B67">
            <w:pPr>
              <w:jc w:val="right"/>
              <w:rPr>
                <w:rFonts w:ascii="Arial" w:hAnsi="Arial" w:cs="Arial"/>
                <w:b/>
                <w:noProof/>
                <w:kern w:val="22"/>
                <w:sz w:val="32"/>
                <w:szCs w:val="32"/>
                <w:lang w:val="fr-CA"/>
              </w:rPr>
            </w:pPr>
            <w:r w:rsidRPr="009926FC">
              <w:rPr>
                <w:rFonts w:ascii="Arial" w:hAnsi="Arial" w:cs="Arial"/>
                <w:b/>
                <w:noProof/>
                <w:kern w:val="22"/>
                <w:sz w:val="32"/>
                <w:szCs w:val="32"/>
                <w:lang w:val="fr-CA"/>
              </w:rPr>
              <w:t>CBD</w:t>
            </w:r>
          </w:p>
        </w:tc>
      </w:tr>
      <w:tr w:rsidR="00660CB5" w:rsidRPr="009926FC" w:rsidTr="0054574A">
        <w:tc>
          <w:tcPr>
            <w:tcW w:w="6118" w:type="dxa"/>
            <w:gridSpan w:val="2"/>
            <w:tcBorders>
              <w:top w:val="single" w:sz="12" w:space="0" w:color="auto"/>
              <w:bottom w:val="single" w:sz="36" w:space="0" w:color="auto"/>
            </w:tcBorders>
            <w:vAlign w:val="center"/>
          </w:tcPr>
          <w:p w:rsidR="00660CB5" w:rsidRPr="009926FC" w:rsidRDefault="0054574A" w:rsidP="00614B67">
            <w:pPr>
              <w:rPr>
                <w:noProof/>
                <w:kern w:val="22"/>
                <w:lang w:val="fr-CA"/>
              </w:rPr>
            </w:pPr>
            <w:r w:rsidRPr="009926FC">
              <w:rPr>
                <w:noProof/>
                <w:kern w:val="22"/>
                <w:lang w:val="fr-CA" w:eastAsia="fr-CA"/>
              </w:rPr>
              <w:drawing>
                <wp:inline distT="0" distB="0" distL="0" distR="0">
                  <wp:extent cx="2358390" cy="939800"/>
                  <wp:effectExtent l="0" t="0" r="0" b="0"/>
                  <wp:docPr id="3" name="Image 3"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8390" cy="939800"/>
                          </a:xfrm>
                          <a:prstGeom prst="rect">
                            <a:avLst/>
                          </a:prstGeom>
                          <a:noFill/>
                          <a:ln>
                            <a:noFill/>
                          </a:ln>
                        </pic:spPr>
                      </pic:pic>
                    </a:graphicData>
                  </a:graphic>
                </wp:inline>
              </w:drawing>
            </w:r>
          </w:p>
        </w:tc>
        <w:tc>
          <w:tcPr>
            <w:tcW w:w="4169" w:type="dxa"/>
            <w:tcBorders>
              <w:top w:val="single" w:sz="12" w:space="0" w:color="auto"/>
              <w:bottom w:val="single" w:sz="36" w:space="0" w:color="auto"/>
            </w:tcBorders>
          </w:tcPr>
          <w:p w:rsidR="00DC47A0" w:rsidRPr="009926FC" w:rsidRDefault="00DC47A0" w:rsidP="00DC47A0">
            <w:pPr>
              <w:ind w:left="1575"/>
              <w:rPr>
                <w:noProof/>
                <w:szCs w:val="22"/>
                <w:lang w:val="fr-CA"/>
              </w:rPr>
            </w:pPr>
            <w:r w:rsidRPr="009926FC">
              <w:rPr>
                <w:noProof/>
                <w:szCs w:val="22"/>
                <w:lang w:val="fr-CA"/>
              </w:rPr>
              <w:t>Distr.</w:t>
            </w:r>
          </w:p>
          <w:p w:rsidR="00660CB5" w:rsidRPr="009926FC" w:rsidRDefault="00DC47A0" w:rsidP="00DC47A0">
            <w:pPr>
              <w:ind w:left="1575"/>
              <w:rPr>
                <w:noProof/>
                <w:kern w:val="22"/>
                <w:szCs w:val="22"/>
                <w:lang w:val="fr-CA"/>
              </w:rPr>
            </w:pPr>
            <w:r w:rsidRPr="009926FC">
              <w:rPr>
                <w:caps/>
                <w:noProof/>
                <w:szCs w:val="22"/>
                <w:lang w:val="fr-CA"/>
              </w:rPr>
              <w:t>GÉNÉRALE</w:t>
            </w:r>
          </w:p>
          <w:p w:rsidR="00660CB5" w:rsidRPr="009926FC" w:rsidRDefault="00660CB5" w:rsidP="00614B67">
            <w:pPr>
              <w:ind w:left="1575"/>
              <w:rPr>
                <w:noProof/>
                <w:kern w:val="22"/>
                <w:szCs w:val="22"/>
                <w:lang w:val="fr-CA"/>
              </w:rPr>
            </w:pPr>
          </w:p>
          <w:p w:rsidR="00660CB5" w:rsidRPr="009926FC" w:rsidRDefault="000B02CB" w:rsidP="00614B67">
            <w:pPr>
              <w:ind w:left="1575"/>
              <w:rPr>
                <w:noProof/>
                <w:kern w:val="22"/>
                <w:szCs w:val="22"/>
                <w:lang w:val="fr-CA"/>
              </w:rPr>
            </w:pPr>
            <w:sdt>
              <w:sdtPr>
                <w:rPr>
                  <w:noProof/>
                  <w:kern w:val="22"/>
                  <w:lang w:val="fr-CA"/>
                </w:rPr>
                <w:alias w:val="Subject"/>
                <w:tag w:val=""/>
                <w:id w:val="2137136483"/>
                <w:placeholder>
                  <w:docPart w:val="0FBA093D03AA40D3B5552A05951AFA73"/>
                </w:placeholder>
                <w:dataBinding w:prefixMappings="xmlns:ns0='http://purl.org/dc/elements/1.1/' xmlns:ns1='http://schemas.openxmlformats.org/package/2006/metadata/core-properties' " w:xpath="/ns1:coreProperties[1]/ns0:subject[1]" w:storeItemID="{6C3C8BC8-F283-45AE-878A-BAB7291924A1}"/>
                <w:text/>
              </w:sdtPr>
              <w:sdtEndPr/>
              <w:sdtContent>
                <w:r w:rsidR="00176586" w:rsidRPr="009926FC">
                  <w:rPr>
                    <w:noProof/>
                    <w:kern w:val="22"/>
                    <w:lang w:val="fr-CA"/>
                  </w:rPr>
                  <w:t>CBD/CP/MOP/10/1/</w:t>
                </w:r>
                <w:r w:rsidR="003A11A6" w:rsidRPr="009926FC">
                  <w:rPr>
                    <w:noProof/>
                    <w:kern w:val="22"/>
                    <w:lang w:val="fr-CA"/>
                  </w:rPr>
                  <w:t>Add</w:t>
                </w:r>
                <w:r w:rsidR="00176586" w:rsidRPr="009926FC">
                  <w:rPr>
                    <w:noProof/>
                    <w:kern w:val="22"/>
                    <w:lang w:val="fr-CA"/>
                  </w:rPr>
                  <w:t>.1</w:t>
                </w:r>
              </w:sdtContent>
            </w:sdt>
          </w:p>
          <w:p w:rsidR="00660CB5" w:rsidRPr="009926FC" w:rsidRDefault="003A11A6" w:rsidP="00614B67">
            <w:pPr>
              <w:ind w:left="1575"/>
              <w:rPr>
                <w:noProof/>
                <w:kern w:val="22"/>
                <w:szCs w:val="22"/>
                <w:lang w:val="fr-CA"/>
              </w:rPr>
            </w:pPr>
            <w:r w:rsidRPr="009926FC">
              <w:rPr>
                <w:noProof/>
                <w:kern w:val="22"/>
                <w:szCs w:val="22"/>
                <w:lang w:val="fr-CA"/>
              </w:rPr>
              <w:t>20</w:t>
            </w:r>
            <w:r w:rsidR="0054574A" w:rsidRPr="009926FC">
              <w:rPr>
                <w:noProof/>
                <w:kern w:val="22"/>
                <w:szCs w:val="22"/>
                <w:lang w:val="fr-CA"/>
              </w:rPr>
              <w:t> août </w:t>
            </w:r>
            <w:r w:rsidR="00660CB5" w:rsidRPr="009926FC">
              <w:rPr>
                <w:noProof/>
                <w:kern w:val="22"/>
                <w:szCs w:val="22"/>
                <w:lang w:val="fr-CA"/>
              </w:rPr>
              <w:t>2021</w:t>
            </w:r>
          </w:p>
          <w:p w:rsidR="00660CB5" w:rsidRPr="009926FC" w:rsidRDefault="00660CB5" w:rsidP="00614B67">
            <w:pPr>
              <w:ind w:left="1575"/>
              <w:rPr>
                <w:noProof/>
                <w:kern w:val="22"/>
                <w:szCs w:val="22"/>
                <w:lang w:val="fr-CA"/>
              </w:rPr>
            </w:pPr>
          </w:p>
          <w:p w:rsidR="0054574A" w:rsidRPr="009926FC" w:rsidRDefault="0054574A" w:rsidP="0054574A">
            <w:pPr>
              <w:ind w:left="1575"/>
              <w:rPr>
                <w:noProof/>
                <w:szCs w:val="22"/>
                <w:lang w:val="fr-CA"/>
              </w:rPr>
            </w:pPr>
            <w:r w:rsidRPr="009926FC">
              <w:rPr>
                <w:noProof/>
                <w:szCs w:val="22"/>
                <w:lang w:val="fr-CA"/>
              </w:rPr>
              <w:t>FRANÇAIS</w:t>
            </w:r>
          </w:p>
          <w:p w:rsidR="00660CB5" w:rsidRPr="009926FC" w:rsidRDefault="0054574A" w:rsidP="0054574A">
            <w:pPr>
              <w:spacing w:after="120"/>
              <w:ind w:left="1575"/>
              <w:rPr>
                <w:noProof/>
                <w:kern w:val="22"/>
                <w:lang w:val="fr-CA"/>
              </w:rPr>
            </w:pPr>
            <w:r w:rsidRPr="009926FC">
              <w:rPr>
                <w:noProof/>
                <w:szCs w:val="22"/>
                <w:lang w:val="fr-CA"/>
              </w:rPr>
              <w:t>ORIGINAL : ANGLAIS</w:t>
            </w:r>
          </w:p>
        </w:tc>
      </w:tr>
    </w:tbl>
    <w:p w:rsidR="001C3FBA" w:rsidRPr="009926FC" w:rsidRDefault="0054574A" w:rsidP="005B25AE">
      <w:pPr>
        <w:pStyle w:val="Cornernotation"/>
        <w:kinsoku w:val="0"/>
        <w:overflowPunct w:val="0"/>
        <w:autoSpaceDE w:val="0"/>
        <w:autoSpaceDN w:val="0"/>
        <w:spacing w:before="60"/>
        <w:ind w:left="227" w:right="4302" w:hanging="227"/>
        <w:rPr>
          <w:noProof/>
          <w:snapToGrid w:val="0"/>
          <w:kern w:val="22"/>
          <w:lang w:val="fr-CA"/>
        </w:rPr>
      </w:pPr>
      <w:r w:rsidRPr="009926FC">
        <w:rPr>
          <w:noProof/>
          <w:snapToGrid w:val="0"/>
          <w:kern w:val="22"/>
          <w:lang w:val="fr-CA"/>
        </w:rPr>
        <w:t>CONFÉRENCE DES PARTIES À LA CONVENTION SUR LA DIVERSITÉ BIOLOGIQUE SIÉGEANT EN TANT QUE RÉUNION DES PARTIES AU PROTOCOLE DE CARTAGENA SUR LA PRÉVENTION DES RISQUES BIOTECHNOLOGIQUES</w:t>
      </w:r>
    </w:p>
    <w:p w:rsidR="00660370" w:rsidRPr="009926FC" w:rsidRDefault="0054574A" w:rsidP="00910961">
      <w:pPr>
        <w:pStyle w:val="Cornernotation"/>
        <w:kinsoku w:val="0"/>
        <w:overflowPunct w:val="0"/>
        <w:autoSpaceDE w:val="0"/>
        <w:autoSpaceDN w:val="0"/>
        <w:ind w:left="0" w:right="4512" w:firstLine="0"/>
        <w:rPr>
          <w:noProof/>
          <w:snapToGrid w:val="0"/>
          <w:kern w:val="22"/>
          <w:lang w:val="fr-CA"/>
        </w:rPr>
      </w:pPr>
      <w:r w:rsidRPr="009926FC">
        <w:rPr>
          <w:noProof/>
          <w:snapToGrid w:val="0"/>
          <w:kern w:val="22"/>
          <w:lang w:val="fr-CA"/>
        </w:rPr>
        <w:t>Dixième réunion</w:t>
      </w:r>
    </w:p>
    <w:p w:rsidR="003A1274" w:rsidRPr="009926FC" w:rsidRDefault="0054574A" w:rsidP="00660CB5">
      <w:pPr>
        <w:pStyle w:val="Cornernotation"/>
        <w:kinsoku w:val="0"/>
        <w:overflowPunct w:val="0"/>
        <w:autoSpaceDE w:val="0"/>
        <w:autoSpaceDN w:val="0"/>
        <w:ind w:left="227" w:right="4512" w:hanging="227"/>
        <w:rPr>
          <w:noProof/>
          <w:snapToGrid w:val="0"/>
          <w:kern w:val="22"/>
          <w:szCs w:val="22"/>
          <w:lang w:val="fr-CA" w:eastAsia="nb-NO"/>
        </w:rPr>
      </w:pPr>
      <w:bookmarkStart w:id="0" w:name="_Hlk505863673"/>
      <w:r w:rsidRPr="009926FC">
        <w:rPr>
          <w:noProof/>
          <w:snapToGrid w:val="0"/>
          <w:kern w:val="22"/>
          <w:szCs w:val="22"/>
          <w:lang w:val="fr-CA" w:eastAsia="nb-NO"/>
        </w:rPr>
        <w:t xml:space="preserve">Kunming </w:t>
      </w:r>
      <w:bookmarkEnd w:id="0"/>
      <w:r w:rsidRPr="009926FC">
        <w:rPr>
          <w:noProof/>
          <w:snapToGrid w:val="0"/>
          <w:kern w:val="22"/>
          <w:szCs w:val="22"/>
          <w:lang w:val="fr-CA" w:eastAsia="nb-NO"/>
        </w:rPr>
        <w:t>(Chine), 11</w:t>
      </w:r>
      <w:r w:rsidR="00E838F6" w:rsidRPr="009926FC">
        <w:rPr>
          <w:noProof/>
          <w:snapToGrid w:val="0"/>
          <w:kern w:val="22"/>
          <w:szCs w:val="22"/>
          <w:lang w:val="fr-CA" w:eastAsia="nb-NO"/>
        </w:rPr>
        <w:noBreakHyphen/>
      </w:r>
      <w:r w:rsidRPr="009926FC">
        <w:rPr>
          <w:noProof/>
          <w:snapToGrid w:val="0"/>
          <w:kern w:val="22"/>
          <w:szCs w:val="22"/>
          <w:lang w:val="fr-CA" w:eastAsia="nb-NO"/>
        </w:rPr>
        <w:t>15 octobre 2021</w:t>
      </w:r>
    </w:p>
    <w:p w:rsidR="00360039" w:rsidRPr="009926FC" w:rsidRDefault="0054574A" w:rsidP="007C3B23">
      <w:pPr>
        <w:pStyle w:val="Cornernotation"/>
        <w:kinsoku w:val="0"/>
        <w:overflowPunct w:val="0"/>
        <w:autoSpaceDE w:val="0"/>
        <w:autoSpaceDN w:val="0"/>
        <w:ind w:left="0" w:right="4512" w:firstLine="199"/>
        <w:rPr>
          <w:noProof/>
          <w:snapToGrid w:val="0"/>
          <w:kern w:val="22"/>
          <w:szCs w:val="22"/>
          <w:lang w:val="fr-CA" w:eastAsia="nb-NO"/>
        </w:rPr>
      </w:pPr>
      <w:r w:rsidRPr="009926FC">
        <w:rPr>
          <w:noProof/>
          <w:snapToGrid w:val="0"/>
          <w:kern w:val="22"/>
          <w:szCs w:val="22"/>
          <w:lang w:val="fr-CA" w:eastAsia="nb-NO"/>
        </w:rPr>
        <w:t>et 25 avril au 8 mai 2022</w:t>
      </w:r>
    </w:p>
    <w:p w:rsidR="00176CEE" w:rsidRPr="009926FC" w:rsidRDefault="0054574A" w:rsidP="00A23AD0">
      <w:pPr>
        <w:kinsoku w:val="0"/>
        <w:overflowPunct w:val="0"/>
        <w:autoSpaceDE w:val="0"/>
        <w:autoSpaceDN w:val="0"/>
        <w:spacing w:before="240" w:after="120"/>
        <w:jc w:val="center"/>
        <w:rPr>
          <w:rFonts w:cs="Times New Roman Bold"/>
          <w:b/>
          <w:bCs/>
          <w:caps/>
          <w:noProof/>
          <w:snapToGrid w:val="0"/>
          <w:kern w:val="22"/>
          <w:lang w:val="fr-CA"/>
        </w:rPr>
      </w:pPr>
      <w:r w:rsidRPr="009926FC">
        <w:rPr>
          <w:rStyle w:val="Heading1Char"/>
          <w:noProof/>
          <w:lang w:val="fr-CA"/>
        </w:rPr>
        <w:t>ORDRE DU JOUR PROVISOIRE Annoté</w:t>
      </w:r>
    </w:p>
    <w:p w:rsidR="003A11A6" w:rsidRPr="009926FC" w:rsidRDefault="003A11A6" w:rsidP="003A11A6">
      <w:pPr>
        <w:keepNext/>
        <w:kinsoku w:val="0"/>
        <w:overflowPunct w:val="0"/>
        <w:autoSpaceDE w:val="0"/>
        <w:autoSpaceDN w:val="0"/>
        <w:spacing w:before="120" w:after="120"/>
        <w:jc w:val="center"/>
        <w:outlineLvl w:val="0"/>
        <w:rPr>
          <w:rFonts w:ascii="Times New Roman Bold" w:hAnsi="Times New Roman Bold" w:cs="Times New Roman Bold"/>
          <w:b/>
          <w:noProof/>
          <w:snapToGrid w:val="0"/>
          <w:kern w:val="22"/>
          <w:szCs w:val="22"/>
          <w:lang w:val="fr-CA"/>
        </w:rPr>
      </w:pPr>
      <w:r w:rsidRPr="009926FC">
        <w:rPr>
          <w:rFonts w:ascii="Times New Roman Bold" w:hAnsi="Times New Roman Bold" w:cs="Times New Roman Bold"/>
          <w:b/>
          <w:noProof/>
          <w:snapToGrid w:val="0"/>
          <w:kern w:val="22"/>
          <w:szCs w:val="22"/>
          <w:lang w:val="fr-CA"/>
        </w:rPr>
        <w:t>INTRODUCTION</w:t>
      </w:r>
    </w:p>
    <w:p w:rsidR="003A11A6" w:rsidRPr="009926FC" w:rsidRDefault="001540C9"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Suite à l’invitation du gouvernement chinois et tel que décidé par la Conférence des Parties dans sa décision</w:t>
      </w:r>
      <w:r w:rsidRPr="009926FC">
        <w:rPr>
          <w:noProof/>
          <w:lang w:val="fr-CA"/>
        </w:rPr>
        <w:t> </w:t>
      </w:r>
      <w:r w:rsidRPr="009926FC">
        <w:rPr>
          <w:noProof/>
          <w:snapToGrid w:val="0"/>
          <w:kern w:val="22"/>
          <w:szCs w:val="22"/>
          <w:lang w:val="fr-CA"/>
        </w:rPr>
        <w:t xml:space="preserve">XIII/33, </w:t>
      </w:r>
      <w:r w:rsidR="00FF706E" w:rsidRPr="009926FC">
        <w:rPr>
          <w:noProof/>
          <w:snapToGrid w:val="0"/>
          <w:kern w:val="22"/>
          <w:szCs w:val="22"/>
          <w:lang w:val="fr-CA"/>
        </w:rPr>
        <w:t xml:space="preserve">la dixième réunion de la </w:t>
      </w:r>
      <w:r w:rsidR="00CD698D" w:rsidRPr="009926FC">
        <w:rPr>
          <w:noProof/>
          <w:snapToGrid w:val="0"/>
          <w:kern w:val="22"/>
          <w:szCs w:val="22"/>
          <w:lang w:val="fr-CA"/>
        </w:rPr>
        <w:t xml:space="preserve">Conférence des Parties siégeant en tant que réunion des Parties au Protocole de Cartagena sur la prévention des risques biotechnologiques </w:t>
      </w:r>
      <w:r w:rsidR="00384F37" w:rsidRPr="009926FC">
        <w:rPr>
          <w:noProof/>
          <w:snapToGrid w:val="0"/>
          <w:kern w:val="22"/>
          <w:szCs w:val="22"/>
          <w:lang w:val="fr-CA"/>
        </w:rPr>
        <w:t>devait</w:t>
      </w:r>
      <w:r w:rsidR="00FF706E" w:rsidRPr="009926FC">
        <w:rPr>
          <w:noProof/>
          <w:snapToGrid w:val="0"/>
          <w:kern w:val="22"/>
          <w:szCs w:val="22"/>
          <w:lang w:val="fr-CA"/>
        </w:rPr>
        <w:t xml:space="preserve"> avoir lieu à Kunming (province de Yunnan, Chine), du 15 au 28 octobre 2020. La réunion aurait dû se tenir en parallèle avec la quinzième réunion de la Conférence des Parties à la Convention sur la diversité biologique</w:t>
      </w:r>
      <w:r w:rsidR="00681E9E" w:rsidRPr="009926FC">
        <w:rPr>
          <w:noProof/>
          <w:snapToGrid w:val="0"/>
          <w:kern w:val="22"/>
          <w:szCs w:val="22"/>
          <w:lang w:val="fr-CA"/>
        </w:rPr>
        <w:t xml:space="preserve"> et la quatrième</w:t>
      </w:r>
      <w:r w:rsidR="00CD698D" w:rsidRPr="009926FC">
        <w:rPr>
          <w:noProof/>
          <w:snapToGrid w:val="0"/>
          <w:kern w:val="22"/>
          <w:szCs w:val="22"/>
          <w:lang w:val="fr-CA"/>
        </w:rPr>
        <w:t xml:space="preserve"> réunion de la Conférence des Parties des Parties siégeant en tant que Réunion des Parties au Protocole de Nagoya sur l’accès aux ressources génétiques et le partage juste et équitable des avantages de leur utilisation. Cependant, en raison de la pandémie actuelle de COVID</w:t>
      </w:r>
      <w:r w:rsidR="00E838F6" w:rsidRPr="009926FC">
        <w:rPr>
          <w:noProof/>
          <w:snapToGrid w:val="0"/>
          <w:kern w:val="22"/>
          <w:szCs w:val="22"/>
          <w:lang w:val="fr-CA"/>
        </w:rPr>
        <w:noBreakHyphen/>
      </w:r>
      <w:r w:rsidR="00CD698D" w:rsidRPr="009926FC">
        <w:rPr>
          <w:noProof/>
          <w:snapToGrid w:val="0"/>
          <w:kern w:val="22"/>
          <w:szCs w:val="22"/>
          <w:lang w:val="fr-CA"/>
        </w:rPr>
        <w:t>19, ces réunion</w:t>
      </w:r>
      <w:r w:rsidR="00E27BAD" w:rsidRPr="009926FC">
        <w:rPr>
          <w:noProof/>
          <w:snapToGrid w:val="0"/>
          <w:kern w:val="22"/>
          <w:szCs w:val="22"/>
          <w:lang w:val="fr-CA"/>
        </w:rPr>
        <w:t>s ont été reportées (pour de plus amples renseignements</w:t>
      </w:r>
      <w:r w:rsidR="00CD698D" w:rsidRPr="009926FC">
        <w:rPr>
          <w:noProof/>
          <w:snapToGrid w:val="0"/>
          <w:kern w:val="22"/>
          <w:szCs w:val="22"/>
          <w:lang w:val="fr-CA"/>
        </w:rPr>
        <w:t>, voir l’ordre du jour provisoire annoté pour la Partie I de la quinzième réunion de la Conférence des Parties à la Convention (CBD/COP/15/1/Add.1)).</w:t>
      </w:r>
    </w:p>
    <w:p w:rsidR="003A11A6" w:rsidRPr="009926FC" w:rsidRDefault="00E413EC"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 xml:space="preserve">À sa réunion du 19 juillet 2021, à l’issue de consultations approfondies et compte tenu des défis que la situation de pandémie impose encore en ce qui concerne l’organisation de réunions en personne, le Bureau a convenu de tenir la dixième réunion des Parties au Protocole de Cartagena, la quinzième réunion de la Conférence des Parties et la quatrième réunion des Parties au Protocole de Nagoya en deux parties : la première partie (Partie I) se tiendra en ligne du 11 au 15 octobre 2021, et la seconde (Partie II) aura lieu en personne à </w:t>
      </w:r>
      <w:r w:rsidR="003C3047" w:rsidRPr="009926FC">
        <w:rPr>
          <w:noProof/>
          <w:snapToGrid w:val="0"/>
          <w:kern w:val="22"/>
          <w:szCs w:val="22"/>
          <w:lang w:val="fr-CA"/>
        </w:rPr>
        <w:t>Kunming (Chine), du 25 avril au 8 mai 2022.</w:t>
      </w:r>
      <w:r w:rsidR="000D2917" w:rsidRPr="009926FC">
        <w:rPr>
          <w:noProof/>
          <w:snapToGrid w:val="0"/>
          <w:kern w:val="22"/>
          <w:szCs w:val="22"/>
          <w:lang w:val="fr-CA"/>
        </w:rPr>
        <w:t xml:space="preserve"> La Partie I de la réunion, bien que convoquée virtuellement, comprendra également la présence d’un nombre restreint de délégués à Kunming (Chine).</w:t>
      </w:r>
      <w:r w:rsidRPr="009926FC">
        <w:rPr>
          <w:noProof/>
          <w:snapToGrid w:val="0"/>
          <w:kern w:val="22"/>
          <w:szCs w:val="22"/>
          <w:lang w:val="fr-CA"/>
        </w:rPr>
        <w:t xml:space="preserve"> </w:t>
      </w:r>
      <w:r w:rsidR="000C73C6" w:rsidRPr="009926FC">
        <w:rPr>
          <w:noProof/>
          <w:snapToGrid w:val="0"/>
          <w:kern w:val="22"/>
          <w:szCs w:val="22"/>
          <w:lang w:val="fr-CA"/>
        </w:rPr>
        <w:t xml:space="preserve">Le Bureau, le pays hôte et le Secrétariat continueront de surveiller de près l’évolution de la situation de la pandémie en vue de prendre d’autres dispositions au cas où les modalités et le calendrier de la Partie II de la réunion devant se tenir en personne à Kunming (Chine) deviennent irréalisables. </w:t>
      </w:r>
    </w:p>
    <w:p w:rsidR="003A11A6" w:rsidRPr="009926FC" w:rsidRDefault="00F67E62"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spacing w:val="-2"/>
          <w:kern w:val="22"/>
          <w:szCs w:val="22"/>
          <w:lang w:val="fr-CA"/>
        </w:rPr>
      </w:pPr>
      <w:r w:rsidRPr="009926FC">
        <w:rPr>
          <w:noProof/>
          <w:snapToGrid w:val="0"/>
          <w:spacing w:val="-2"/>
          <w:kern w:val="22"/>
          <w:szCs w:val="22"/>
          <w:lang w:val="fr-CA"/>
        </w:rPr>
        <w:t>Le Bureau a examiné et finalisé l’ordre du jour provisoire pour la réunion (CBD/CP/MOP/10/1/Rev.1) lors de sa réunion, tenue en ligne, du 26 avril 2021. Il a également examiné l</w:t>
      </w:r>
      <w:r w:rsidR="000C47F2" w:rsidRPr="009926FC">
        <w:rPr>
          <w:noProof/>
          <w:snapToGrid w:val="0"/>
          <w:spacing w:val="-2"/>
          <w:kern w:val="22"/>
          <w:szCs w:val="22"/>
          <w:lang w:val="fr-CA"/>
        </w:rPr>
        <w:t>a version préliminaire des annotations. Les annotations pour les points à l’ordre du jour devant être abordés au cours de la Partie II de la réunion seront complétées et mises à jour à la lumière des résultats de la vingt</w:t>
      </w:r>
      <w:r w:rsidR="00E838F6" w:rsidRPr="009926FC">
        <w:rPr>
          <w:noProof/>
          <w:snapToGrid w:val="0"/>
          <w:spacing w:val="-2"/>
          <w:kern w:val="22"/>
          <w:szCs w:val="22"/>
          <w:lang w:val="fr-CA"/>
        </w:rPr>
        <w:noBreakHyphen/>
      </w:r>
      <w:r w:rsidR="000C47F2" w:rsidRPr="009926FC">
        <w:rPr>
          <w:noProof/>
          <w:snapToGrid w:val="0"/>
          <w:spacing w:val="-2"/>
          <w:kern w:val="22"/>
          <w:szCs w:val="22"/>
          <w:lang w:val="fr-CA"/>
        </w:rPr>
        <w:t xml:space="preserve">quatrième réunion de l’Organe subsidiaire chargé de fournir des avis scientifiques, techniques et technologiques, de la troisième réunion de l’Organe subsidiaire chargé de l’application et </w:t>
      </w:r>
      <w:r w:rsidR="00002B39" w:rsidRPr="009926FC">
        <w:rPr>
          <w:noProof/>
          <w:snapToGrid w:val="0"/>
          <w:spacing w:val="-2"/>
          <w:kern w:val="22"/>
          <w:szCs w:val="22"/>
          <w:lang w:val="fr-CA"/>
        </w:rPr>
        <w:t>d’une réunion additionnelle du G</w:t>
      </w:r>
      <w:r w:rsidR="000C47F2" w:rsidRPr="009926FC">
        <w:rPr>
          <w:noProof/>
          <w:snapToGrid w:val="0"/>
          <w:spacing w:val="-2"/>
          <w:kern w:val="22"/>
          <w:szCs w:val="22"/>
          <w:lang w:val="fr-CA"/>
        </w:rPr>
        <w:t xml:space="preserve">roupe de travail à composition non limitée sur le cadre mondial de la </w:t>
      </w:r>
      <w:r w:rsidR="00002B39" w:rsidRPr="009926FC">
        <w:rPr>
          <w:noProof/>
          <w:snapToGrid w:val="0"/>
          <w:spacing w:val="-2"/>
          <w:kern w:val="22"/>
          <w:szCs w:val="22"/>
          <w:lang w:val="fr-CA"/>
        </w:rPr>
        <w:t>biodiversité pour l’après</w:t>
      </w:r>
      <w:r w:rsidR="00E838F6" w:rsidRPr="009926FC">
        <w:rPr>
          <w:noProof/>
          <w:snapToGrid w:val="0"/>
          <w:spacing w:val="-2"/>
          <w:kern w:val="22"/>
          <w:szCs w:val="22"/>
          <w:lang w:val="fr-CA"/>
        </w:rPr>
        <w:noBreakHyphen/>
      </w:r>
      <w:r w:rsidR="00002B39" w:rsidRPr="009926FC">
        <w:rPr>
          <w:noProof/>
          <w:snapToGrid w:val="0"/>
          <w:spacing w:val="-2"/>
          <w:kern w:val="22"/>
          <w:szCs w:val="22"/>
          <w:lang w:val="fr-CA"/>
        </w:rPr>
        <w:t>2020.</w:t>
      </w:r>
    </w:p>
    <w:p w:rsidR="003A11A6" w:rsidRPr="009926FC" w:rsidRDefault="000C47F2"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 xml:space="preserve">Les points à l’ordre du jour suivants seront abordés au cours de la Partie I de la réunion : </w:t>
      </w:r>
      <w:r w:rsidRPr="009926FC">
        <w:rPr>
          <w:bCs/>
          <w:noProof/>
          <w:snapToGrid w:val="0"/>
          <w:kern w:val="22"/>
          <w:szCs w:val="22"/>
          <w:lang w:val="fr-CA"/>
        </w:rPr>
        <w:t>1 (ouverture de la réunion); 2 (questions d’organisation); 3 (rapport sur les pouvoirs des représentants à la dixième réunion de la Conférence des Parties siégeant en tant que réunion des Parties au Protocole de Cartagena); 4 (rapports des organes subsidiaires); 5 (</w:t>
      </w:r>
      <w:r w:rsidRPr="009926FC">
        <w:rPr>
          <w:bCs/>
          <w:noProof/>
          <w:snapToGrid w:val="0"/>
          <w:kern w:val="22"/>
          <w:lang w:val="fr-CA"/>
        </w:rPr>
        <w:t>rapport du Comité d’examen du respect des dispositions); 6 (</w:t>
      </w:r>
      <w:r w:rsidRPr="009926FC">
        <w:rPr>
          <w:bCs/>
          <w:noProof/>
          <w:snapToGrid w:val="0"/>
          <w:kern w:val="22"/>
          <w:szCs w:val="22"/>
          <w:lang w:val="fr-CA"/>
        </w:rPr>
        <w:t xml:space="preserve">administration du </w:t>
      </w:r>
      <w:r w:rsidRPr="009926FC">
        <w:rPr>
          <w:bCs/>
          <w:noProof/>
          <w:snapToGrid w:val="0"/>
          <w:kern w:val="22"/>
          <w:szCs w:val="22"/>
          <w:lang w:val="fr-CA"/>
        </w:rPr>
        <w:lastRenderedPageBreak/>
        <w:t>Protocole et budget des Fonds d’affectation spéciale);</w:t>
      </w:r>
      <w:r w:rsidRPr="009926FC">
        <w:rPr>
          <w:noProof/>
          <w:snapToGrid w:val="0"/>
          <w:kern w:val="22"/>
          <w:szCs w:val="22"/>
          <w:lang w:val="fr-CA"/>
        </w:rPr>
        <w:t xml:space="preserve"> ainsi que le</w:t>
      </w:r>
      <w:r w:rsidR="00DB13AC" w:rsidRPr="009926FC">
        <w:rPr>
          <w:noProof/>
          <w:snapToGrid w:val="0"/>
          <w:kern w:val="22"/>
          <w:szCs w:val="22"/>
          <w:lang w:val="fr-CA"/>
        </w:rPr>
        <w:t>s</w:t>
      </w:r>
      <w:r w:rsidRPr="009926FC">
        <w:rPr>
          <w:noProof/>
          <w:snapToGrid w:val="0"/>
          <w:kern w:val="22"/>
          <w:szCs w:val="22"/>
          <w:lang w:val="fr-CA"/>
        </w:rPr>
        <w:t xml:space="preserve"> point</w:t>
      </w:r>
      <w:r w:rsidR="00DB13AC" w:rsidRPr="009926FC">
        <w:rPr>
          <w:noProof/>
          <w:snapToGrid w:val="0"/>
          <w:kern w:val="22"/>
          <w:szCs w:val="22"/>
          <w:lang w:val="fr-CA"/>
        </w:rPr>
        <w:t>s</w:t>
      </w:r>
      <w:r w:rsidRPr="009926FC">
        <w:rPr>
          <w:noProof/>
          <w:snapToGrid w:val="0"/>
          <w:kern w:val="22"/>
          <w:szCs w:val="22"/>
          <w:lang w:val="fr-CA"/>
        </w:rPr>
        <w:t> 18 (</w:t>
      </w:r>
      <w:r w:rsidRPr="009926FC">
        <w:rPr>
          <w:bCs/>
          <w:noProof/>
          <w:snapToGrid w:val="0"/>
          <w:kern w:val="22"/>
          <w:szCs w:val="22"/>
          <w:lang w:val="fr-CA"/>
        </w:rPr>
        <w:t>questions diverses)</w:t>
      </w:r>
      <w:r w:rsidR="00DB13AC" w:rsidRPr="009926FC">
        <w:rPr>
          <w:bCs/>
          <w:noProof/>
          <w:snapToGrid w:val="0"/>
          <w:kern w:val="22"/>
          <w:szCs w:val="22"/>
          <w:lang w:val="fr-CA"/>
        </w:rPr>
        <w:t>; 19 (adoption du rapport)</w:t>
      </w:r>
      <w:r w:rsidRPr="009926FC">
        <w:rPr>
          <w:noProof/>
          <w:snapToGrid w:val="0"/>
          <w:kern w:val="22"/>
          <w:szCs w:val="22"/>
          <w:lang w:val="fr-CA"/>
        </w:rPr>
        <w:t xml:space="preserve"> </w:t>
      </w:r>
      <w:r w:rsidR="00DB13AC" w:rsidRPr="009926FC">
        <w:rPr>
          <w:noProof/>
          <w:snapToGrid w:val="0"/>
          <w:kern w:val="22"/>
          <w:szCs w:val="22"/>
          <w:lang w:val="fr-CA"/>
        </w:rPr>
        <w:t>et 20 (</w:t>
      </w:r>
      <w:r w:rsidR="00DB13AC" w:rsidRPr="009926FC">
        <w:rPr>
          <w:bCs/>
          <w:noProof/>
          <w:snapToGrid w:val="0"/>
          <w:kern w:val="22"/>
          <w:szCs w:val="22"/>
          <w:lang w:val="fr-CA"/>
        </w:rPr>
        <w:t>clôture de la réunion).</w:t>
      </w:r>
      <w:r w:rsidRPr="009926FC">
        <w:rPr>
          <w:noProof/>
          <w:snapToGrid w:val="0"/>
          <w:kern w:val="22"/>
          <w:szCs w:val="22"/>
          <w:lang w:val="fr-CA"/>
        </w:rPr>
        <w:t xml:space="preserve"> </w:t>
      </w:r>
      <w:r w:rsidR="00DB13AC" w:rsidRPr="009926FC">
        <w:rPr>
          <w:noProof/>
          <w:snapToGrid w:val="0"/>
          <w:kern w:val="22"/>
          <w:szCs w:val="22"/>
          <w:lang w:val="fr-CA"/>
        </w:rPr>
        <w:t xml:space="preserve">Sauf pour le point 1, il est prévu que ces points </w:t>
      </w:r>
      <w:r w:rsidR="00BA6BFE" w:rsidRPr="009926FC">
        <w:rPr>
          <w:noProof/>
          <w:snapToGrid w:val="0"/>
          <w:kern w:val="22"/>
          <w:szCs w:val="22"/>
          <w:lang w:val="fr-CA"/>
        </w:rPr>
        <w:t>soient</w:t>
      </w:r>
      <w:r w:rsidR="00DB13AC" w:rsidRPr="009926FC">
        <w:rPr>
          <w:noProof/>
          <w:snapToGrid w:val="0"/>
          <w:kern w:val="22"/>
          <w:szCs w:val="22"/>
          <w:lang w:val="fr-CA"/>
        </w:rPr>
        <w:t xml:space="preserve"> approfondis au cours de la Partie II de la réunion. Les points 7 à 17 seront également abordés durant la Partie II de la réunion.</w:t>
      </w:r>
    </w:p>
    <w:p w:rsidR="003A11A6" w:rsidRPr="009926FC" w:rsidRDefault="00DB13AC"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Des débats ministériels de haut niveau seront organisés par le pays hôte au cours des deux parties de la réunion en consultation avec le Secrétariat et le Bureau. Les débats de haut niveau prévus pour la première partie de la réunion se tiendront les 12 et</w:t>
      </w:r>
      <w:r w:rsidR="0016307D" w:rsidRPr="009926FC">
        <w:rPr>
          <w:noProof/>
          <w:snapToGrid w:val="0"/>
          <w:kern w:val="22"/>
          <w:szCs w:val="22"/>
          <w:lang w:val="fr-CA"/>
        </w:rPr>
        <w:t xml:space="preserve"> 13 octobre 2021.</w:t>
      </w:r>
    </w:p>
    <w:p w:rsidR="003A11A6" w:rsidRPr="009926FC" w:rsidRDefault="002008D2"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Conformément à la pratique établie, la Secrétaire exécutive préparera une compilation des projets de décisions qui seront proposés par les organes subsidiaires au cours des réunions intersessions ou élaborés par la Secrétaire exécutive à la lumière des décisions et recommandations précédentes</w:t>
      </w:r>
      <w:r w:rsidR="0044699D" w:rsidRPr="009926FC">
        <w:rPr>
          <w:noProof/>
          <w:snapToGrid w:val="0"/>
          <w:kern w:val="22"/>
          <w:szCs w:val="22"/>
          <w:lang w:val="fr-CA"/>
        </w:rPr>
        <w:t xml:space="preserve">, et elle préparera un résumé des incidences financières des projets de décisions et mettra </w:t>
      </w:r>
      <w:r w:rsidR="002854B4" w:rsidRPr="009926FC">
        <w:rPr>
          <w:noProof/>
          <w:snapToGrid w:val="0"/>
          <w:kern w:val="22"/>
          <w:szCs w:val="22"/>
          <w:lang w:val="fr-CA"/>
        </w:rPr>
        <w:t xml:space="preserve">à disposition </w:t>
      </w:r>
      <w:r w:rsidR="0044699D" w:rsidRPr="009926FC">
        <w:rPr>
          <w:noProof/>
          <w:snapToGrid w:val="0"/>
          <w:kern w:val="22"/>
          <w:szCs w:val="22"/>
          <w:lang w:val="fr-CA"/>
        </w:rPr>
        <w:t>la compilation et le résumé six semaines avant la tenue de la Partie II de la ré</w:t>
      </w:r>
      <w:r w:rsidR="002854B4" w:rsidRPr="009926FC">
        <w:rPr>
          <w:noProof/>
          <w:snapToGrid w:val="0"/>
          <w:kern w:val="22"/>
          <w:szCs w:val="22"/>
          <w:lang w:val="fr-CA"/>
        </w:rPr>
        <w:t>union.</w:t>
      </w:r>
    </w:p>
    <w:p w:rsidR="003A11A6" w:rsidRPr="009926FC" w:rsidRDefault="0040534E" w:rsidP="00A23AD0">
      <w:pPr>
        <w:keepNext/>
        <w:suppressLineNumbers/>
        <w:tabs>
          <w:tab w:val="left" w:pos="851"/>
        </w:tabs>
        <w:suppressAutoHyphens/>
        <w:kinsoku w:val="0"/>
        <w:overflowPunct w:val="0"/>
        <w:autoSpaceDE w:val="0"/>
        <w:autoSpaceDN w:val="0"/>
        <w:adjustRightInd w:val="0"/>
        <w:snapToGrid w:val="0"/>
        <w:spacing w:before="120" w:after="120"/>
        <w:jc w:val="center"/>
        <w:outlineLvl w:val="0"/>
        <w:rPr>
          <w:b/>
          <w:bCs/>
          <w:iCs/>
          <w:noProof/>
          <w:snapToGrid w:val="0"/>
          <w:kern w:val="22"/>
          <w:szCs w:val="22"/>
          <w:lang w:val="fr-CA"/>
        </w:rPr>
      </w:pPr>
      <w:bookmarkStart w:id="1" w:name="Item01"/>
      <w:r w:rsidRPr="009926FC">
        <w:rPr>
          <w:b/>
          <w:bCs/>
          <w:iCs/>
          <w:noProof/>
          <w:snapToGrid w:val="0"/>
          <w:kern w:val="22"/>
          <w:szCs w:val="22"/>
          <w:lang w:val="fr-CA"/>
        </w:rPr>
        <w:t>Point</w:t>
      </w:r>
      <w:r w:rsidR="003A11A6" w:rsidRPr="009926FC">
        <w:rPr>
          <w:b/>
          <w:bCs/>
          <w:iCs/>
          <w:noProof/>
          <w:snapToGrid w:val="0"/>
          <w:kern w:val="22"/>
          <w:szCs w:val="22"/>
          <w:lang w:val="fr-CA"/>
        </w:rPr>
        <w:t xml:space="preserve"> 1.</w:t>
      </w:r>
      <w:r w:rsidR="003A11A6" w:rsidRPr="009926FC">
        <w:rPr>
          <w:b/>
          <w:bCs/>
          <w:iCs/>
          <w:noProof/>
          <w:snapToGrid w:val="0"/>
          <w:kern w:val="22"/>
          <w:szCs w:val="22"/>
          <w:lang w:val="fr-CA"/>
        </w:rPr>
        <w:tab/>
      </w:r>
      <w:r w:rsidRPr="009926FC">
        <w:rPr>
          <w:b/>
          <w:bCs/>
          <w:iCs/>
          <w:noProof/>
          <w:snapToGrid w:val="0"/>
          <w:kern w:val="22"/>
          <w:szCs w:val="22"/>
          <w:lang w:val="fr-CA"/>
        </w:rPr>
        <w:t>Ouverture de la réunion</w:t>
      </w:r>
    </w:p>
    <w:bookmarkEnd w:id="1"/>
    <w:p w:rsidR="003A11A6" w:rsidRPr="009926FC" w:rsidRDefault="00A071F2"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 xml:space="preserve">La cérémonie d’ouverture aura lieu à 15 heures (heure locale de Kunming (Chine)), le lundi 11 octobre 2021. L’ouverture de la réunion se poursuivra immédiatement après et sera entreprise conjointement avec l’ouverture de la quinzième réunion de la Conférence des Parties à la Convention et </w:t>
      </w:r>
      <w:r w:rsidR="00BA6BFE" w:rsidRPr="009926FC">
        <w:rPr>
          <w:noProof/>
          <w:snapToGrid w:val="0"/>
          <w:kern w:val="22"/>
          <w:szCs w:val="22"/>
          <w:lang w:val="fr-CA"/>
        </w:rPr>
        <w:t xml:space="preserve">de </w:t>
      </w:r>
      <w:r w:rsidRPr="009926FC">
        <w:rPr>
          <w:noProof/>
          <w:snapToGrid w:val="0"/>
          <w:kern w:val="22"/>
          <w:szCs w:val="22"/>
          <w:lang w:val="fr-CA"/>
        </w:rPr>
        <w:t>la quatrième réunion des Parties au Protocole de Nagoya.</w:t>
      </w:r>
      <w:r w:rsidRPr="009926FC">
        <w:rPr>
          <w:noProof/>
          <w:snapToGrid w:val="0"/>
          <w:kern w:val="22"/>
          <w:szCs w:val="22"/>
          <w:vertAlign w:val="superscript"/>
          <w:lang w:val="fr-CA"/>
        </w:rPr>
        <w:footnoteReference w:id="2"/>
      </w:r>
    </w:p>
    <w:p w:rsidR="003A11A6" w:rsidRPr="009926FC" w:rsidRDefault="00A071F2"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La réunion sera ouverte par la présidente de la quatorzième réunion de la Conférence des Parties ou par son représentant. Au cours de la séance d’ouverture, la Convention entendra un discours de bienvenue par les représentants du gouvernement chinois et des autorités locales.</w:t>
      </w:r>
    </w:p>
    <w:p w:rsidR="003A11A6" w:rsidRPr="009926FC" w:rsidRDefault="00A071F2"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 xml:space="preserve">La Secrétaire exécutive s’adressera à la réunion et </w:t>
      </w:r>
      <w:r w:rsidR="008D41C9" w:rsidRPr="009926FC">
        <w:rPr>
          <w:noProof/>
          <w:snapToGrid w:val="0"/>
          <w:kern w:val="22"/>
          <w:szCs w:val="22"/>
          <w:lang w:val="fr-CA"/>
        </w:rPr>
        <w:t>fera ressortir les principales questions dont sera saisie la Conférence des Parties.</w:t>
      </w:r>
    </w:p>
    <w:p w:rsidR="003A11A6" w:rsidRPr="009926FC" w:rsidRDefault="008D41C9"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Des représentants de groupes régionaux, de peuples autochtones et de communautés locales et un nombre limité d’autres groupes pourront également prendre la parole.</w:t>
      </w:r>
    </w:p>
    <w:p w:rsidR="003A11A6" w:rsidRPr="009926FC" w:rsidRDefault="0040534E" w:rsidP="00A23AD0">
      <w:pPr>
        <w:keepNext/>
        <w:suppressLineNumbers/>
        <w:tabs>
          <w:tab w:val="left" w:pos="851"/>
        </w:tabs>
        <w:suppressAutoHyphens/>
        <w:kinsoku w:val="0"/>
        <w:overflowPunct w:val="0"/>
        <w:autoSpaceDE w:val="0"/>
        <w:autoSpaceDN w:val="0"/>
        <w:adjustRightInd w:val="0"/>
        <w:snapToGrid w:val="0"/>
        <w:spacing w:before="120" w:after="120"/>
        <w:jc w:val="center"/>
        <w:outlineLvl w:val="0"/>
        <w:rPr>
          <w:b/>
          <w:noProof/>
          <w:kern w:val="22"/>
          <w:szCs w:val="22"/>
          <w:lang w:val="fr-CA"/>
        </w:rPr>
      </w:pPr>
      <w:r w:rsidRPr="009926FC">
        <w:rPr>
          <w:b/>
          <w:noProof/>
          <w:kern w:val="22"/>
          <w:szCs w:val="22"/>
          <w:lang w:val="fr-CA"/>
        </w:rPr>
        <w:t>Point</w:t>
      </w:r>
      <w:r w:rsidR="003A11A6" w:rsidRPr="009926FC">
        <w:rPr>
          <w:b/>
          <w:noProof/>
          <w:kern w:val="22"/>
          <w:szCs w:val="22"/>
          <w:lang w:val="fr-CA"/>
        </w:rPr>
        <w:t xml:space="preserve"> 2.</w:t>
      </w:r>
      <w:r w:rsidR="003A11A6" w:rsidRPr="009926FC">
        <w:rPr>
          <w:b/>
          <w:noProof/>
          <w:kern w:val="22"/>
          <w:szCs w:val="22"/>
          <w:lang w:val="fr-CA"/>
        </w:rPr>
        <w:tab/>
      </w:r>
      <w:r w:rsidRPr="009926FC">
        <w:rPr>
          <w:b/>
          <w:bCs/>
          <w:noProof/>
          <w:snapToGrid w:val="0"/>
          <w:kern w:val="22"/>
          <w:szCs w:val="22"/>
          <w:lang w:val="fr-CA"/>
        </w:rPr>
        <w:t>Questions d’organisation</w:t>
      </w:r>
    </w:p>
    <w:p w:rsidR="003A11A6" w:rsidRPr="009926FC" w:rsidRDefault="00D75B8D" w:rsidP="00A23AD0">
      <w:pPr>
        <w:keepNext/>
        <w:suppressLineNumbers/>
        <w:suppressAutoHyphens/>
        <w:kinsoku w:val="0"/>
        <w:overflowPunct w:val="0"/>
        <w:autoSpaceDE w:val="0"/>
        <w:autoSpaceDN w:val="0"/>
        <w:adjustRightInd w:val="0"/>
        <w:snapToGrid w:val="0"/>
        <w:spacing w:before="120" w:after="120"/>
        <w:outlineLvl w:val="1"/>
        <w:rPr>
          <w:i/>
          <w:iCs/>
          <w:noProof/>
          <w:snapToGrid w:val="0"/>
          <w:kern w:val="22"/>
          <w:szCs w:val="22"/>
          <w:lang w:val="fr-CA"/>
        </w:rPr>
      </w:pPr>
      <w:r w:rsidRPr="009926FC">
        <w:rPr>
          <w:i/>
          <w:iCs/>
          <w:noProof/>
          <w:snapToGrid w:val="0"/>
          <w:kern w:val="22"/>
          <w:szCs w:val="22"/>
          <w:lang w:val="fr-CA"/>
        </w:rPr>
        <w:t>É</w:t>
      </w:r>
      <w:r w:rsidR="003A11A6" w:rsidRPr="009926FC">
        <w:rPr>
          <w:i/>
          <w:iCs/>
          <w:noProof/>
          <w:snapToGrid w:val="0"/>
          <w:kern w:val="22"/>
          <w:szCs w:val="22"/>
          <w:lang w:val="fr-CA"/>
        </w:rPr>
        <w:t xml:space="preserve">lection </w:t>
      </w:r>
      <w:r w:rsidRPr="009926FC">
        <w:rPr>
          <w:i/>
          <w:iCs/>
          <w:noProof/>
          <w:snapToGrid w:val="0"/>
          <w:kern w:val="22"/>
          <w:szCs w:val="22"/>
          <w:lang w:val="fr-CA"/>
        </w:rPr>
        <w:t>du pré</w:t>
      </w:r>
      <w:r w:rsidR="003A11A6" w:rsidRPr="009926FC">
        <w:rPr>
          <w:i/>
          <w:iCs/>
          <w:noProof/>
          <w:snapToGrid w:val="0"/>
          <w:kern w:val="22"/>
          <w:szCs w:val="22"/>
          <w:lang w:val="fr-CA"/>
        </w:rPr>
        <w:t>sident</w:t>
      </w:r>
    </w:p>
    <w:p w:rsidR="003A11A6" w:rsidRPr="009926FC" w:rsidRDefault="005D60BF"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 xml:space="preserve">Il est prévu qu’au cours de la séance d’ouverture, la présidente de la quatorzième réunion de la Conférence des Parties, ou son représentant, </w:t>
      </w:r>
      <w:r w:rsidR="00CD0F37" w:rsidRPr="009926FC">
        <w:rPr>
          <w:noProof/>
          <w:snapToGrid w:val="0"/>
          <w:kern w:val="22"/>
          <w:szCs w:val="22"/>
          <w:lang w:val="fr-CA"/>
        </w:rPr>
        <w:t xml:space="preserve">demande qu’un représentant du pays hôte soit élu à la fonction de président de la quinzième réunion. </w:t>
      </w:r>
      <w:r w:rsidR="00426426" w:rsidRPr="009926FC">
        <w:rPr>
          <w:noProof/>
          <w:snapToGrid w:val="0"/>
          <w:kern w:val="22"/>
          <w:szCs w:val="22"/>
          <w:lang w:val="fr-CA"/>
        </w:rPr>
        <w:t xml:space="preserve">Le </w:t>
      </w:r>
      <w:r w:rsidR="00CD0F37" w:rsidRPr="009926FC">
        <w:rPr>
          <w:noProof/>
          <w:snapToGrid w:val="0"/>
          <w:kern w:val="22"/>
          <w:szCs w:val="22"/>
          <w:lang w:val="fr-CA"/>
        </w:rPr>
        <w:t xml:space="preserve">mandat du président ou de la présidente débutera immédiatement après son élection à la quinzième réunion de la Conférence des Parties et </w:t>
      </w:r>
      <w:r w:rsidR="009C5B1D" w:rsidRPr="009926FC">
        <w:rPr>
          <w:noProof/>
          <w:snapToGrid w:val="0"/>
          <w:kern w:val="22"/>
          <w:szCs w:val="22"/>
          <w:lang w:val="fr-CA"/>
        </w:rPr>
        <w:t>s’achèvera</w:t>
      </w:r>
      <w:r w:rsidR="00CD0F37" w:rsidRPr="009926FC">
        <w:rPr>
          <w:noProof/>
          <w:snapToGrid w:val="0"/>
          <w:kern w:val="22"/>
          <w:szCs w:val="22"/>
          <w:lang w:val="fr-CA"/>
        </w:rPr>
        <w:t xml:space="preserve"> avec l’élection de son successeur à la seizième réunion.</w:t>
      </w:r>
    </w:p>
    <w:p w:rsidR="003A11A6" w:rsidRPr="009926FC" w:rsidRDefault="00426426" w:rsidP="00A23AD0">
      <w:pPr>
        <w:keepNext/>
        <w:suppressLineNumbers/>
        <w:suppressAutoHyphens/>
        <w:kinsoku w:val="0"/>
        <w:overflowPunct w:val="0"/>
        <w:autoSpaceDE w:val="0"/>
        <w:autoSpaceDN w:val="0"/>
        <w:adjustRightInd w:val="0"/>
        <w:snapToGrid w:val="0"/>
        <w:spacing w:before="120" w:after="120"/>
        <w:outlineLvl w:val="1"/>
        <w:rPr>
          <w:i/>
          <w:iCs/>
          <w:noProof/>
          <w:snapToGrid w:val="0"/>
          <w:kern w:val="22"/>
          <w:szCs w:val="22"/>
          <w:lang w:val="fr-CA"/>
        </w:rPr>
      </w:pPr>
      <w:r w:rsidRPr="009926FC">
        <w:rPr>
          <w:i/>
          <w:iCs/>
          <w:noProof/>
          <w:snapToGrid w:val="0"/>
          <w:kern w:val="22"/>
          <w:szCs w:val="22"/>
          <w:lang w:val="fr-CA"/>
        </w:rPr>
        <w:t>É</w:t>
      </w:r>
      <w:r w:rsidR="003A11A6" w:rsidRPr="009926FC">
        <w:rPr>
          <w:i/>
          <w:iCs/>
          <w:noProof/>
          <w:snapToGrid w:val="0"/>
          <w:kern w:val="22"/>
          <w:szCs w:val="22"/>
          <w:lang w:val="fr-CA"/>
        </w:rPr>
        <w:t>lection</w:t>
      </w:r>
      <w:r w:rsidR="004A328F" w:rsidRPr="009926FC">
        <w:rPr>
          <w:i/>
          <w:iCs/>
          <w:noProof/>
          <w:snapToGrid w:val="0"/>
          <w:kern w:val="22"/>
          <w:szCs w:val="22"/>
          <w:lang w:val="fr-CA"/>
        </w:rPr>
        <w:t xml:space="preserve"> de</w:t>
      </w:r>
      <w:r w:rsidRPr="009926FC">
        <w:rPr>
          <w:i/>
          <w:iCs/>
          <w:noProof/>
          <w:snapToGrid w:val="0"/>
          <w:kern w:val="22"/>
          <w:szCs w:val="22"/>
          <w:lang w:val="fr-CA"/>
        </w:rPr>
        <w:t xml:space="preserve"> membres </w:t>
      </w:r>
      <w:r w:rsidR="004A328F" w:rsidRPr="009926FC">
        <w:rPr>
          <w:i/>
          <w:iCs/>
          <w:noProof/>
          <w:snapToGrid w:val="0"/>
          <w:kern w:val="22"/>
          <w:szCs w:val="22"/>
          <w:lang w:val="fr-CA"/>
        </w:rPr>
        <w:t>remplaçant</w:t>
      </w:r>
      <w:r w:rsidR="009C5B1D" w:rsidRPr="009926FC">
        <w:rPr>
          <w:i/>
          <w:iCs/>
          <w:noProof/>
          <w:snapToGrid w:val="0"/>
          <w:kern w:val="22"/>
          <w:szCs w:val="22"/>
          <w:lang w:val="fr-CA"/>
        </w:rPr>
        <w:t>s</w:t>
      </w:r>
    </w:p>
    <w:p w:rsidR="003A11A6" w:rsidRPr="009926FC" w:rsidRDefault="0042642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 xml:space="preserve">Conformément à l’article 21 du règlement intérieur (tel qu’adopté par la décision </w:t>
      </w:r>
      <w:hyperlink r:id="rId15" w:history="1">
        <w:r w:rsidR="004A328F" w:rsidRPr="009926FC">
          <w:rPr>
            <w:rStyle w:val="Hyperlink"/>
            <w:noProof/>
            <w:snapToGrid w:val="0"/>
            <w:kern w:val="22"/>
            <w:sz w:val="22"/>
            <w:szCs w:val="22"/>
            <w:lang w:val="fr-CA"/>
          </w:rPr>
          <w:t>I/1</w:t>
        </w:r>
      </w:hyperlink>
      <w:r w:rsidR="004A328F" w:rsidRPr="009926FC">
        <w:rPr>
          <w:noProof/>
          <w:snapToGrid w:val="0"/>
          <w:kern w:val="22"/>
          <w:szCs w:val="22"/>
          <w:lang w:val="fr-CA"/>
        </w:rPr>
        <w:t xml:space="preserve"> </w:t>
      </w:r>
      <w:r w:rsidRPr="009926FC">
        <w:rPr>
          <w:noProof/>
          <w:snapToGrid w:val="0"/>
          <w:kern w:val="22"/>
          <w:szCs w:val="22"/>
          <w:lang w:val="fr-CA"/>
        </w:rPr>
        <w:t xml:space="preserve">et amendé par la décision </w:t>
      </w:r>
      <w:hyperlink r:id="rId16" w:history="1">
        <w:r w:rsidR="004A328F" w:rsidRPr="009926FC">
          <w:rPr>
            <w:rStyle w:val="Hyperlink"/>
            <w:noProof/>
            <w:sz w:val="22"/>
            <w:lang w:val="fr-CA"/>
          </w:rPr>
          <w:t>V/20</w:t>
        </w:r>
      </w:hyperlink>
      <w:r w:rsidRPr="009926FC">
        <w:rPr>
          <w:noProof/>
          <w:lang w:val="fr-CA"/>
        </w:rPr>
        <w:t>), outre le président, dix vice</w:t>
      </w:r>
      <w:r w:rsidR="00E838F6" w:rsidRPr="009926FC">
        <w:rPr>
          <w:noProof/>
          <w:lang w:val="fr-CA"/>
        </w:rPr>
        <w:noBreakHyphen/>
      </w:r>
      <w:r w:rsidRPr="009926FC">
        <w:rPr>
          <w:noProof/>
          <w:lang w:val="fr-CA"/>
        </w:rPr>
        <w:t xml:space="preserve">présidents, dont l’un rempli les fonctions de rapporteur, </w:t>
      </w:r>
      <w:r w:rsidR="004A328F" w:rsidRPr="009926FC">
        <w:rPr>
          <w:noProof/>
          <w:lang w:val="fr-CA"/>
        </w:rPr>
        <w:t xml:space="preserve">choisis parmi les représentants des Parties présents à la réunion </w:t>
      </w:r>
      <w:r w:rsidRPr="009926FC">
        <w:rPr>
          <w:noProof/>
          <w:lang w:val="fr-CA"/>
        </w:rPr>
        <w:t>doivent être élus par la Conférence des Parties</w:t>
      </w:r>
      <w:r w:rsidR="004A328F" w:rsidRPr="009926FC">
        <w:rPr>
          <w:noProof/>
          <w:lang w:val="fr-CA"/>
        </w:rPr>
        <w:t>. Le mandat des vice</w:t>
      </w:r>
      <w:r w:rsidR="00E838F6" w:rsidRPr="009926FC">
        <w:rPr>
          <w:noProof/>
          <w:lang w:val="fr-CA"/>
        </w:rPr>
        <w:noBreakHyphen/>
      </w:r>
      <w:r w:rsidR="004A328F" w:rsidRPr="009926FC">
        <w:rPr>
          <w:noProof/>
          <w:lang w:val="fr-CA"/>
        </w:rPr>
        <w:t>présidents débute à la clôture de la quinzième réunion de la Conférence des Parties et prend fin à la clôture de la seizième réunion.</w:t>
      </w:r>
    </w:p>
    <w:p w:rsidR="003A11A6" w:rsidRPr="009926FC" w:rsidRDefault="004A328F"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 xml:space="preserve">Le Bureau de la Conférence des Parties à la Convention fait office de Bureau de la Conférence des Parties siégeant en tant que réunion des Parties au Protocole de Cartagena. Conformément au paragraphe 3 de l’article 29 du Protocole de Cartagena, tout membre du Bureau de la Conférence des Parties représentant une Partie à la Convention qui n’est pas Partie au Protocole de Cartagena sera remplacé par un membre </w:t>
      </w:r>
      <w:r w:rsidR="004F19CD" w:rsidRPr="009926FC">
        <w:rPr>
          <w:noProof/>
          <w:snapToGrid w:val="0"/>
          <w:kern w:val="22"/>
          <w:szCs w:val="22"/>
          <w:lang w:val="fr-CA"/>
        </w:rPr>
        <w:t>choisi</w:t>
      </w:r>
      <w:r w:rsidR="00DD616E" w:rsidRPr="009926FC">
        <w:rPr>
          <w:noProof/>
          <w:snapToGrid w:val="0"/>
          <w:kern w:val="22"/>
          <w:szCs w:val="22"/>
          <w:lang w:val="fr-CA"/>
        </w:rPr>
        <w:t xml:space="preserve"> parmi les Parties au Protocole et </w:t>
      </w:r>
      <w:r w:rsidR="004F19CD" w:rsidRPr="009926FC">
        <w:rPr>
          <w:noProof/>
          <w:snapToGrid w:val="0"/>
          <w:kern w:val="22"/>
          <w:szCs w:val="22"/>
          <w:lang w:val="fr-CA"/>
        </w:rPr>
        <w:t xml:space="preserve">élu </w:t>
      </w:r>
      <w:r w:rsidR="00DD616E" w:rsidRPr="009926FC">
        <w:rPr>
          <w:noProof/>
          <w:snapToGrid w:val="0"/>
          <w:kern w:val="22"/>
          <w:szCs w:val="22"/>
          <w:lang w:val="fr-CA"/>
        </w:rPr>
        <w:t>par les Parties au Protocole de Cartagena</w:t>
      </w:r>
      <w:r w:rsidR="003A11A6" w:rsidRPr="009926FC">
        <w:rPr>
          <w:noProof/>
          <w:snapToGrid w:val="0"/>
          <w:kern w:val="22"/>
          <w:szCs w:val="22"/>
          <w:lang w:val="fr-CA"/>
        </w:rPr>
        <w:t>.</w:t>
      </w:r>
    </w:p>
    <w:p w:rsidR="003A11A6" w:rsidRPr="009926FC" w:rsidRDefault="004F19CD"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À sa quatorzième réunion, la Conférence des Parties a élu dix vice</w:t>
      </w:r>
      <w:r w:rsidR="00E838F6" w:rsidRPr="009926FC">
        <w:rPr>
          <w:noProof/>
          <w:snapToGrid w:val="0"/>
          <w:kern w:val="22"/>
          <w:szCs w:val="22"/>
          <w:lang w:val="fr-CA"/>
        </w:rPr>
        <w:noBreakHyphen/>
      </w:r>
      <w:r w:rsidRPr="009926FC">
        <w:rPr>
          <w:noProof/>
          <w:snapToGrid w:val="0"/>
          <w:kern w:val="22"/>
          <w:szCs w:val="22"/>
          <w:lang w:val="fr-CA"/>
        </w:rPr>
        <w:t>présidents pour un mandat débutant à la clôture de la quatorzième réunion et se terminant à la clôture de la quinzième réunion.</w:t>
      </w:r>
      <w:r w:rsidRPr="009926FC">
        <w:rPr>
          <w:rStyle w:val="FootnoteReference"/>
          <w:noProof/>
          <w:snapToGrid w:val="0"/>
          <w:kern w:val="22"/>
          <w:sz w:val="22"/>
          <w:szCs w:val="22"/>
          <w:u w:val="none"/>
          <w:vertAlign w:val="superscript"/>
          <w:lang w:val="fr-CA"/>
        </w:rPr>
        <w:footnoteReference w:id="3"/>
      </w:r>
      <w:r w:rsidRPr="009926FC">
        <w:rPr>
          <w:noProof/>
          <w:snapToGrid w:val="0"/>
          <w:kern w:val="22"/>
          <w:szCs w:val="22"/>
          <w:lang w:val="fr-CA"/>
        </w:rPr>
        <w:t xml:space="preserve"> Tous les pays </w:t>
      </w:r>
      <w:r w:rsidRPr="009926FC">
        <w:rPr>
          <w:noProof/>
          <w:snapToGrid w:val="0"/>
          <w:kern w:val="22"/>
          <w:szCs w:val="22"/>
          <w:lang w:val="fr-CA"/>
        </w:rPr>
        <w:lastRenderedPageBreak/>
        <w:t>représentés étant Parties au Protocole, le Bureau fait également office de Bureau de la Conférence des Parties siégeant en tant que réunion des Pa</w:t>
      </w:r>
      <w:r w:rsidR="006E310C" w:rsidRPr="009926FC">
        <w:rPr>
          <w:noProof/>
          <w:snapToGrid w:val="0"/>
          <w:kern w:val="22"/>
          <w:szCs w:val="22"/>
          <w:lang w:val="fr-CA"/>
        </w:rPr>
        <w:t>rties au Protocole de Cartagena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5670"/>
      </w:tblGrid>
      <w:tr w:rsidR="003A11A6" w:rsidRPr="009926FC" w:rsidTr="00A23AD0">
        <w:trPr>
          <w:jc w:val="center"/>
        </w:trPr>
        <w:tc>
          <w:tcPr>
            <w:tcW w:w="535" w:type="dxa"/>
          </w:tcPr>
          <w:p w:rsidR="003A11A6" w:rsidRPr="009926FC" w:rsidRDefault="003A11A6" w:rsidP="00A23AD0">
            <w:pPr>
              <w:keepNext/>
              <w:suppressLineNumbers/>
              <w:suppressAutoHyphens/>
              <w:kinsoku w:val="0"/>
              <w:overflowPunct w:val="0"/>
              <w:autoSpaceDE w:val="0"/>
              <w:autoSpaceDN w:val="0"/>
              <w:adjustRightInd w:val="0"/>
              <w:snapToGrid w:val="0"/>
              <w:rPr>
                <w:b/>
                <w:noProof/>
                <w:snapToGrid w:val="0"/>
                <w:kern w:val="22"/>
                <w:szCs w:val="22"/>
                <w:lang w:val="fr-CA"/>
              </w:rPr>
            </w:pPr>
            <w:bookmarkStart w:id="2" w:name="_Hlk78552629"/>
          </w:p>
        </w:tc>
        <w:tc>
          <w:tcPr>
            <w:tcW w:w="5670" w:type="dxa"/>
          </w:tcPr>
          <w:p w:rsidR="003A11A6" w:rsidRPr="009926FC" w:rsidRDefault="00384F37" w:rsidP="00384F37">
            <w:pPr>
              <w:keepNext/>
              <w:suppressLineNumbers/>
              <w:suppressAutoHyphens/>
              <w:kinsoku w:val="0"/>
              <w:overflowPunct w:val="0"/>
              <w:autoSpaceDE w:val="0"/>
              <w:autoSpaceDN w:val="0"/>
              <w:adjustRightInd w:val="0"/>
              <w:snapToGrid w:val="0"/>
              <w:spacing w:after="120"/>
              <w:rPr>
                <w:b/>
                <w:noProof/>
                <w:snapToGrid w:val="0"/>
                <w:kern w:val="22"/>
                <w:szCs w:val="22"/>
                <w:lang w:val="fr-CA"/>
              </w:rPr>
            </w:pPr>
            <w:r w:rsidRPr="009926FC">
              <w:rPr>
                <w:b/>
                <w:noProof/>
                <w:snapToGrid w:val="0"/>
                <w:kern w:val="22"/>
                <w:szCs w:val="22"/>
                <w:lang w:val="fr-CA"/>
              </w:rPr>
              <w:t xml:space="preserve">Membres du Bureau </w:t>
            </w:r>
          </w:p>
        </w:tc>
      </w:tr>
      <w:tr w:rsidR="003A11A6" w:rsidRPr="009926FC" w:rsidTr="00A23AD0">
        <w:trPr>
          <w:jc w:val="center"/>
        </w:trPr>
        <w:tc>
          <w:tcPr>
            <w:tcW w:w="535" w:type="dxa"/>
          </w:tcPr>
          <w:p w:rsidR="003A11A6" w:rsidRPr="009926FC" w:rsidRDefault="003A11A6" w:rsidP="00A23AD0">
            <w:pPr>
              <w:keepNext/>
              <w:suppressLineNumbers/>
              <w:suppressAutoHyphens/>
              <w:kinsoku w:val="0"/>
              <w:overflowPunct w:val="0"/>
              <w:autoSpaceDE w:val="0"/>
              <w:autoSpaceDN w:val="0"/>
              <w:adjustRightInd w:val="0"/>
              <w:snapToGrid w:val="0"/>
              <w:ind w:right="144"/>
              <w:jc w:val="right"/>
              <w:rPr>
                <w:noProof/>
                <w:snapToGrid w:val="0"/>
                <w:kern w:val="22"/>
                <w:szCs w:val="22"/>
                <w:lang w:val="fr-CA"/>
              </w:rPr>
            </w:pPr>
            <w:r w:rsidRPr="009926FC">
              <w:rPr>
                <w:noProof/>
                <w:snapToGrid w:val="0"/>
                <w:kern w:val="22"/>
                <w:szCs w:val="22"/>
                <w:lang w:val="fr-CA"/>
              </w:rPr>
              <w:t>1</w:t>
            </w:r>
          </w:p>
        </w:tc>
        <w:tc>
          <w:tcPr>
            <w:tcW w:w="5670" w:type="dxa"/>
          </w:tcPr>
          <w:p w:rsidR="003A11A6" w:rsidRPr="009926FC" w:rsidRDefault="00384F37" w:rsidP="00A23AD0">
            <w:pPr>
              <w:keepNext/>
              <w:suppressLineNumbers/>
              <w:suppressAutoHyphens/>
              <w:kinsoku w:val="0"/>
              <w:overflowPunct w:val="0"/>
              <w:autoSpaceDE w:val="0"/>
              <w:autoSpaceDN w:val="0"/>
              <w:adjustRightInd w:val="0"/>
              <w:snapToGrid w:val="0"/>
              <w:rPr>
                <w:noProof/>
                <w:snapToGrid w:val="0"/>
                <w:kern w:val="22"/>
                <w:szCs w:val="22"/>
                <w:lang w:val="fr-CA"/>
              </w:rPr>
            </w:pPr>
            <w:r w:rsidRPr="009926FC">
              <w:rPr>
                <w:noProof/>
                <w:snapToGrid w:val="0"/>
                <w:kern w:val="22"/>
                <w:szCs w:val="22"/>
                <w:lang w:val="fr-CA"/>
              </w:rPr>
              <w:t>M. Eric </w:t>
            </w:r>
            <w:r w:rsidR="003A11A6" w:rsidRPr="009926FC">
              <w:rPr>
                <w:noProof/>
                <w:snapToGrid w:val="0"/>
                <w:kern w:val="22"/>
                <w:szCs w:val="22"/>
                <w:lang w:val="fr-CA"/>
              </w:rPr>
              <w:t>Okoree (Ghana)</w:t>
            </w:r>
          </w:p>
        </w:tc>
      </w:tr>
      <w:tr w:rsidR="003A11A6" w:rsidRPr="009926FC" w:rsidTr="00A23AD0">
        <w:trPr>
          <w:jc w:val="center"/>
        </w:trPr>
        <w:tc>
          <w:tcPr>
            <w:tcW w:w="535" w:type="dxa"/>
          </w:tcPr>
          <w:p w:rsidR="003A11A6" w:rsidRPr="009926FC" w:rsidRDefault="003A11A6" w:rsidP="00A23AD0">
            <w:pPr>
              <w:keepNext/>
              <w:suppressLineNumbers/>
              <w:suppressAutoHyphens/>
              <w:kinsoku w:val="0"/>
              <w:overflowPunct w:val="0"/>
              <w:autoSpaceDE w:val="0"/>
              <w:autoSpaceDN w:val="0"/>
              <w:adjustRightInd w:val="0"/>
              <w:snapToGrid w:val="0"/>
              <w:ind w:right="144"/>
              <w:jc w:val="right"/>
              <w:rPr>
                <w:noProof/>
                <w:snapToGrid w:val="0"/>
                <w:kern w:val="22"/>
                <w:szCs w:val="22"/>
                <w:lang w:val="fr-CA"/>
              </w:rPr>
            </w:pPr>
            <w:r w:rsidRPr="009926FC">
              <w:rPr>
                <w:noProof/>
                <w:snapToGrid w:val="0"/>
                <w:kern w:val="22"/>
                <w:szCs w:val="22"/>
                <w:lang w:val="fr-CA"/>
              </w:rPr>
              <w:t>2</w:t>
            </w:r>
          </w:p>
        </w:tc>
        <w:tc>
          <w:tcPr>
            <w:tcW w:w="5670" w:type="dxa"/>
          </w:tcPr>
          <w:p w:rsidR="003A11A6" w:rsidRPr="009926FC" w:rsidRDefault="00384F37" w:rsidP="00A23AD0">
            <w:pPr>
              <w:keepNext/>
              <w:suppressLineNumbers/>
              <w:suppressAutoHyphens/>
              <w:kinsoku w:val="0"/>
              <w:overflowPunct w:val="0"/>
              <w:autoSpaceDE w:val="0"/>
              <w:autoSpaceDN w:val="0"/>
              <w:adjustRightInd w:val="0"/>
              <w:snapToGrid w:val="0"/>
              <w:rPr>
                <w:noProof/>
                <w:snapToGrid w:val="0"/>
                <w:kern w:val="22"/>
                <w:szCs w:val="22"/>
                <w:lang w:val="fr-CA"/>
              </w:rPr>
            </w:pPr>
            <w:r w:rsidRPr="009926FC">
              <w:rPr>
                <w:noProof/>
                <w:snapToGrid w:val="0"/>
                <w:kern w:val="22"/>
                <w:szCs w:val="22"/>
                <w:lang w:val="fr-CA"/>
              </w:rPr>
              <w:t>M. Melesse Maryo (Éthiopie</w:t>
            </w:r>
            <w:r w:rsidR="003A11A6" w:rsidRPr="009926FC">
              <w:rPr>
                <w:noProof/>
                <w:snapToGrid w:val="0"/>
                <w:kern w:val="22"/>
                <w:szCs w:val="22"/>
                <w:lang w:val="fr-CA"/>
              </w:rPr>
              <w:t>)</w:t>
            </w:r>
          </w:p>
        </w:tc>
      </w:tr>
      <w:tr w:rsidR="003A11A6" w:rsidRPr="000B02CB" w:rsidTr="00A23AD0">
        <w:trPr>
          <w:jc w:val="center"/>
        </w:trPr>
        <w:tc>
          <w:tcPr>
            <w:tcW w:w="535" w:type="dxa"/>
          </w:tcPr>
          <w:p w:rsidR="003A11A6" w:rsidRPr="009926FC" w:rsidRDefault="003A11A6" w:rsidP="00A23AD0">
            <w:pPr>
              <w:keepNext/>
              <w:suppressLineNumbers/>
              <w:suppressAutoHyphens/>
              <w:kinsoku w:val="0"/>
              <w:overflowPunct w:val="0"/>
              <w:autoSpaceDE w:val="0"/>
              <w:autoSpaceDN w:val="0"/>
              <w:adjustRightInd w:val="0"/>
              <w:snapToGrid w:val="0"/>
              <w:ind w:right="144"/>
              <w:jc w:val="right"/>
              <w:rPr>
                <w:noProof/>
                <w:snapToGrid w:val="0"/>
                <w:kern w:val="22"/>
                <w:szCs w:val="22"/>
                <w:lang w:val="fr-CA"/>
              </w:rPr>
            </w:pPr>
            <w:r w:rsidRPr="009926FC">
              <w:rPr>
                <w:noProof/>
                <w:snapToGrid w:val="0"/>
                <w:kern w:val="22"/>
                <w:szCs w:val="22"/>
                <w:lang w:val="fr-CA"/>
              </w:rPr>
              <w:t>3</w:t>
            </w:r>
          </w:p>
        </w:tc>
        <w:tc>
          <w:tcPr>
            <w:tcW w:w="5670" w:type="dxa"/>
          </w:tcPr>
          <w:p w:rsidR="003A11A6" w:rsidRPr="009926FC" w:rsidRDefault="00384F37" w:rsidP="00A23AD0">
            <w:pPr>
              <w:keepNext/>
              <w:suppressLineNumbers/>
              <w:suppressAutoHyphens/>
              <w:kinsoku w:val="0"/>
              <w:overflowPunct w:val="0"/>
              <w:autoSpaceDE w:val="0"/>
              <w:autoSpaceDN w:val="0"/>
              <w:adjustRightInd w:val="0"/>
              <w:snapToGrid w:val="0"/>
              <w:rPr>
                <w:noProof/>
                <w:snapToGrid w:val="0"/>
                <w:kern w:val="22"/>
                <w:szCs w:val="22"/>
                <w:lang w:val="fr-CA"/>
              </w:rPr>
            </w:pPr>
            <w:r w:rsidRPr="009926FC">
              <w:rPr>
                <w:noProof/>
                <w:snapToGrid w:val="0"/>
                <w:kern w:val="22"/>
                <w:szCs w:val="22"/>
                <w:lang w:val="fr-CA"/>
              </w:rPr>
              <w:t>Mme Sujata Arora (Inde</w:t>
            </w:r>
            <w:r w:rsidR="003A11A6" w:rsidRPr="009926FC">
              <w:rPr>
                <w:noProof/>
                <w:snapToGrid w:val="0"/>
                <w:kern w:val="22"/>
                <w:szCs w:val="22"/>
                <w:lang w:val="fr-CA"/>
              </w:rPr>
              <w:t>)</w:t>
            </w:r>
          </w:p>
          <w:p w:rsidR="003A11A6" w:rsidRPr="009926FC" w:rsidRDefault="00384F37" w:rsidP="00384F37">
            <w:pPr>
              <w:keepNext/>
              <w:suppressLineNumbers/>
              <w:suppressAutoHyphens/>
              <w:kinsoku w:val="0"/>
              <w:overflowPunct w:val="0"/>
              <w:autoSpaceDE w:val="0"/>
              <w:autoSpaceDN w:val="0"/>
              <w:adjustRightInd w:val="0"/>
              <w:snapToGrid w:val="0"/>
              <w:rPr>
                <w:noProof/>
                <w:snapToGrid w:val="0"/>
                <w:kern w:val="22"/>
                <w:szCs w:val="22"/>
                <w:lang w:val="fr-CA"/>
              </w:rPr>
            </w:pPr>
            <w:r w:rsidRPr="009926FC">
              <w:rPr>
                <w:noProof/>
                <w:snapToGrid w:val="0"/>
                <w:kern w:val="22"/>
                <w:szCs w:val="22"/>
                <w:lang w:val="fr-CA"/>
              </w:rPr>
              <w:t>remplacée plus tard par M. Vinod Mathur (Inde</w:t>
            </w:r>
            <w:r w:rsidR="003A11A6" w:rsidRPr="009926FC">
              <w:rPr>
                <w:noProof/>
                <w:snapToGrid w:val="0"/>
                <w:kern w:val="22"/>
                <w:szCs w:val="22"/>
                <w:lang w:val="fr-CA"/>
              </w:rPr>
              <w:t>)</w:t>
            </w:r>
          </w:p>
        </w:tc>
      </w:tr>
      <w:tr w:rsidR="003A11A6" w:rsidRPr="000B02CB" w:rsidTr="00A23AD0">
        <w:trPr>
          <w:jc w:val="center"/>
        </w:trPr>
        <w:tc>
          <w:tcPr>
            <w:tcW w:w="535" w:type="dxa"/>
          </w:tcPr>
          <w:p w:rsidR="003A11A6" w:rsidRPr="009926FC" w:rsidRDefault="003A11A6" w:rsidP="00A23AD0">
            <w:pPr>
              <w:keepNext/>
              <w:suppressLineNumbers/>
              <w:suppressAutoHyphens/>
              <w:kinsoku w:val="0"/>
              <w:overflowPunct w:val="0"/>
              <w:autoSpaceDE w:val="0"/>
              <w:autoSpaceDN w:val="0"/>
              <w:adjustRightInd w:val="0"/>
              <w:snapToGrid w:val="0"/>
              <w:ind w:right="144"/>
              <w:jc w:val="right"/>
              <w:rPr>
                <w:noProof/>
                <w:snapToGrid w:val="0"/>
                <w:kern w:val="22"/>
                <w:szCs w:val="22"/>
                <w:lang w:val="fr-CA"/>
              </w:rPr>
            </w:pPr>
            <w:r w:rsidRPr="009926FC">
              <w:rPr>
                <w:noProof/>
                <w:snapToGrid w:val="0"/>
                <w:kern w:val="22"/>
                <w:szCs w:val="22"/>
                <w:lang w:val="fr-CA"/>
              </w:rPr>
              <w:t>4</w:t>
            </w:r>
          </w:p>
        </w:tc>
        <w:tc>
          <w:tcPr>
            <w:tcW w:w="5670" w:type="dxa"/>
          </w:tcPr>
          <w:p w:rsidR="003A11A6" w:rsidRPr="009926FC" w:rsidRDefault="00384F37" w:rsidP="00A23AD0">
            <w:pPr>
              <w:keepNext/>
              <w:suppressLineNumbers/>
              <w:suppressAutoHyphens/>
              <w:kinsoku w:val="0"/>
              <w:overflowPunct w:val="0"/>
              <w:autoSpaceDE w:val="0"/>
              <w:autoSpaceDN w:val="0"/>
              <w:adjustRightInd w:val="0"/>
              <w:snapToGrid w:val="0"/>
              <w:rPr>
                <w:noProof/>
                <w:snapToGrid w:val="0"/>
                <w:kern w:val="22"/>
                <w:szCs w:val="22"/>
                <w:lang w:val="fr-CA"/>
              </w:rPr>
            </w:pPr>
            <w:r w:rsidRPr="009926FC">
              <w:rPr>
                <w:noProof/>
                <w:snapToGrid w:val="0"/>
                <w:kern w:val="22"/>
                <w:szCs w:val="22"/>
                <w:lang w:val="fr-CA"/>
              </w:rPr>
              <w:t>Mme Leina </w:t>
            </w:r>
            <w:r w:rsidR="003A11A6" w:rsidRPr="009926FC">
              <w:rPr>
                <w:noProof/>
                <w:snapToGrid w:val="0"/>
                <w:kern w:val="22"/>
                <w:szCs w:val="22"/>
                <w:lang w:val="fr-CA"/>
              </w:rPr>
              <w:t>El</w:t>
            </w:r>
            <w:r w:rsidR="00E838F6" w:rsidRPr="009926FC">
              <w:rPr>
                <w:noProof/>
                <w:snapToGrid w:val="0"/>
                <w:kern w:val="22"/>
                <w:szCs w:val="22"/>
                <w:lang w:val="fr-CA"/>
              </w:rPr>
              <w:noBreakHyphen/>
            </w:r>
            <w:r w:rsidR="003A11A6" w:rsidRPr="009926FC">
              <w:rPr>
                <w:noProof/>
                <w:snapToGrid w:val="0"/>
                <w:kern w:val="22"/>
                <w:szCs w:val="22"/>
                <w:lang w:val="fr-CA"/>
              </w:rPr>
              <w:t>Awadhi</w:t>
            </w:r>
            <w:r w:rsidRPr="009926FC">
              <w:rPr>
                <w:noProof/>
                <w:snapToGrid w:val="0"/>
                <w:kern w:val="22"/>
                <w:szCs w:val="22"/>
                <w:lang w:val="fr-CA"/>
              </w:rPr>
              <w:t xml:space="preserve"> (Kuweï</w:t>
            </w:r>
            <w:r w:rsidR="003A11A6" w:rsidRPr="009926FC">
              <w:rPr>
                <w:noProof/>
                <w:snapToGrid w:val="0"/>
                <w:kern w:val="22"/>
                <w:szCs w:val="22"/>
                <w:lang w:val="fr-CA"/>
              </w:rPr>
              <w:t>t)</w:t>
            </w:r>
          </w:p>
        </w:tc>
      </w:tr>
      <w:tr w:rsidR="003A11A6" w:rsidRPr="009926FC" w:rsidTr="00A23AD0">
        <w:trPr>
          <w:jc w:val="center"/>
        </w:trPr>
        <w:tc>
          <w:tcPr>
            <w:tcW w:w="535" w:type="dxa"/>
          </w:tcPr>
          <w:p w:rsidR="003A11A6" w:rsidRPr="009926FC" w:rsidRDefault="003A11A6" w:rsidP="00A23AD0">
            <w:pPr>
              <w:keepNext/>
              <w:suppressLineNumbers/>
              <w:suppressAutoHyphens/>
              <w:kinsoku w:val="0"/>
              <w:overflowPunct w:val="0"/>
              <w:autoSpaceDE w:val="0"/>
              <w:autoSpaceDN w:val="0"/>
              <w:adjustRightInd w:val="0"/>
              <w:snapToGrid w:val="0"/>
              <w:ind w:right="144"/>
              <w:jc w:val="right"/>
              <w:rPr>
                <w:noProof/>
                <w:snapToGrid w:val="0"/>
                <w:kern w:val="22"/>
                <w:szCs w:val="22"/>
                <w:lang w:val="fr-CA"/>
              </w:rPr>
            </w:pPr>
            <w:r w:rsidRPr="009926FC">
              <w:rPr>
                <w:noProof/>
                <w:snapToGrid w:val="0"/>
                <w:kern w:val="22"/>
                <w:szCs w:val="22"/>
                <w:lang w:val="fr-CA"/>
              </w:rPr>
              <w:t>5</w:t>
            </w:r>
          </w:p>
        </w:tc>
        <w:tc>
          <w:tcPr>
            <w:tcW w:w="5670" w:type="dxa"/>
          </w:tcPr>
          <w:p w:rsidR="003A11A6" w:rsidRPr="009926FC" w:rsidRDefault="00384F37" w:rsidP="00A23AD0">
            <w:pPr>
              <w:keepNext/>
              <w:suppressLineNumbers/>
              <w:suppressAutoHyphens/>
              <w:kinsoku w:val="0"/>
              <w:overflowPunct w:val="0"/>
              <w:autoSpaceDE w:val="0"/>
              <w:autoSpaceDN w:val="0"/>
              <w:adjustRightInd w:val="0"/>
              <w:snapToGrid w:val="0"/>
              <w:rPr>
                <w:noProof/>
                <w:snapToGrid w:val="0"/>
                <w:kern w:val="22"/>
                <w:szCs w:val="22"/>
                <w:lang w:val="fr-CA"/>
              </w:rPr>
            </w:pPr>
            <w:r w:rsidRPr="009926FC">
              <w:rPr>
                <w:noProof/>
                <w:lang w:val="fr-CA"/>
              </w:rPr>
              <w:t>Mme </w:t>
            </w:r>
            <w:r w:rsidR="003A11A6" w:rsidRPr="009926FC">
              <w:rPr>
                <w:noProof/>
                <w:lang w:val="fr-CA"/>
              </w:rPr>
              <w:t>Teona</w:t>
            </w:r>
            <w:r w:rsidRPr="009926FC">
              <w:rPr>
                <w:noProof/>
                <w:snapToGrid w:val="0"/>
                <w:kern w:val="22"/>
                <w:szCs w:val="22"/>
                <w:lang w:val="fr-CA"/>
              </w:rPr>
              <w:t> </w:t>
            </w:r>
            <w:r w:rsidR="003A11A6" w:rsidRPr="009926FC">
              <w:rPr>
                <w:noProof/>
                <w:snapToGrid w:val="0"/>
                <w:kern w:val="22"/>
                <w:szCs w:val="22"/>
                <w:lang w:val="fr-CA"/>
              </w:rPr>
              <w:t>Karchava</w:t>
            </w:r>
            <w:r w:rsidRPr="009926FC">
              <w:rPr>
                <w:noProof/>
                <w:snapToGrid w:val="0"/>
                <w:kern w:val="22"/>
                <w:szCs w:val="22"/>
                <w:lang w:val="fr-CA"/>
              </w:rPr>
              <w:t xml:space="preserve"> (Géorgie</w:t>
            </w:r>
            <w:r w:rsidR="003A11A6" w:rsidRPr="009926FC">
              <w:rPr>
                <w:noProof/>
                <w:snapToGrid w:val="0"/>
                <w:kern w:val="22"/>
                <w:szCs w:val="22"/>
                <w:lang w:val="fr-CA"/>
              </w:rPr>
              <w:t>)</w:t>
            </w:r>
          </w:p>
        </w:tc>
      </w:tr>
      <w:tr w:rsidR="003A11A6" w:rsidRPr="009926FC" w:rsidTr="00A23AD0">
        <w:trPr>
          <w:jc w:val="center"/>
        </w:trPr>
        <w:tc>
          <w:tcPr>
            <w:tcW w:w="535" w:type="dxa"/>
          </w:tcPr>
          <w:p w:rsidR="003A11A6" w:rsidRPr="009926FC" w:rsidRDefault="003A11A6" w:rsidP="00A23AD0">
            <w:pPr>
              <w:keepNext/>
              <w:suppressLineNumbers/>
              <w:suppressAutoHyphens/>
              <w:kinsoku w:val="0"/>
              <w:overflowPunct w:val="0"/>
              <w:autoSpaceDE w:val="0"/>
              <w:autoSpaceDN w:val="0"/>
              <w:adjustRightInd w:val="0"/>
              <w:snapToGrid w:val="0"/>
              <w:ind w:right="144"/>
              <w:jc w:val="right"/>
              <w:rPr>
                <w:noProof/>
                <w:snapToGrid w:val="0"/>
                <w:kern w:val="22"/>
                <w:szCs w:val="22"/>
                <w:lang w:val="fr-CA"/>
              </w:rPr>
            </w:pPr>
            <w:r w:rsidRPr="009926FC">
              <w:rPr>
                <w:noProof/>
                <w:snapToGrid w:val="0"/>
                <w:kern w:val="22"/>
                <w:szCs w:val="22"/>
                <w:lang w:val="fr-CA"/>
              </w:rPr>
              <w:t>6</w:t>
            </w:r>
          </w:p>
        </w:tc>
        <w:tc>
          <w:tcPr>
            <w:tcW w:w="5670" w:type="dxa"/>
          </w:tcPr>
          <w:p w:rsidR="003A11A6" w:rsidRPr="009926FC" w:rsidRDefault="00384F37" w:rsidP="00A23AD0">
            <w:pPr>
              <w:keepNext/>
              <w:suppressLineNumbers/>
              <w:suppressAutoHyphens/>
              <w:kinsoku w:val="0"/>
              <w:overflowPunct w:val="0"/>
              <w:autoSpaceDE w:val="0"/>
              <w:autoSpaceDN w:val="0"/>
              <w:adjustRightInd w:val="0"/>
              <w:snapToGrid w:val="0"/>
              <w:rPr>
                <w:noProof/>
                <w:snapToGrid w:val="0"/>
                <w:kern w:val="22"/>
                <w:szCs w:val="22"/>
                <w:lang w:val="fr-CA"/>
              </w:rPr>
            </w:pPr>
            <w:r w:rsidRPr="009926FC">
              <w:rPr>
                <w:noProof/>
                <w:snapToGrid w:val="0"/>
                <w:kern w:val="22"/>
                <w:szCs w:val="22"/>
                <w:lang w:val="fr-CA"/>
              </w:rPr>
              <w:t>Mme Elvana </w:t>
            </w:r>
            <w:r w:rsidR="003A11A6" w:rsidRPr="009926FC">
              <w:rPr>
                <w:noProof/>
                <w:snapToGrid w:val="0"/>
                <w:kern w:val="22"/>
                <w:szCs w:val="22"/>
                <w:lang w:val="fr-CA"/>
              </w:rPr>
              <w:t>Ramaj</w:t>
            </w:r>
            <w:r w:rsidRPr="009926FC">
              <w:rPr>
                <w:noProof/>
                <w:snapToGrid w:val="0"/>
                <w:kern w:val="22"/>
                <w:szCs w:val="22"/>
                <w:lang w:val="fr-CA"/>
              </w:rPr>
              <w:t xml:space="preserve"> (Albanie</w:t>
            </w:r>
            <w:r w:rsidR="003A11A6" w:rsidRPr="009926FC">
              <w:rPr>
                <w:noProof/>
                <w:snapToGrid w:val="0"/>
                <w:kern w:val="22"/>
                <w:szCs w:val="22"/>
                <w:lang w:val="fr-CA"/>
              </w:rPr>
              <w:t>)</w:t>
            </w:r>
          </w:p>
        </w:tc>
      </w:tr>
      <w:tr w:rsidR="003A11A6" w:rsidRPr="000B02CB" w:rsidTr="00A23AD0">
        <w:trPr>
          <w:jc w:val="center"/>
        </w:trPr>
        <w:tc>
          <w:tcPr>
            <w:tcW w:w="535" w:type="dxa"/>
          </w:tcPr>
          <w:p w:rsidR="003A11A6" w:rsidRPr="009926FC" w:rsidRDefault="003A11A6" w:rsidP="00A23AD0">
            <w:pPr>
              <w:keepNext/>
              <w:suppressLineNumbers/>
              <w:suppressAutoHyphens/>
              <w:kinsoku w:val="0"/>
              <w:overflowPunct w:val="0"/>
              <w:autoSpaceDE w:val="0"/>
              <w:autoSpaceDN w:val="0"/>
              <w:adjustRightInd w:val="0"/>
              <w:snapToGrid w:val="0"/>
              <w:ind w:right="144"/>
              <w:jc w:val="right"/>
              <w:rPr>
                <w:noProof/>
                <w:snapToGrid w:val="0"/>
                <w:kern w:val="22"/>
                <w:szCs w:val="22"/>
                <w:lang w:val="fr-CA"/>
              </w:rPr>
            </w:pPr>
            <w:r w:rsidRPr="009926FC">
              <w:rPr>
                <w:noProof/>
                <w:snapToGrid w:val="0"/>
                <w:kern w:val="22"/>
                <w:szCs w:val="22"/>
                <w:lang w:val="fr-CA"/>
              </w:rPr>
              <w:t>7</w:t>
            </w:r>
          </w:p>
        </w:tc>
        <w:tc>
          <w:tcPr>
            <w:tcW w:w="5670" w:type="dxa"/>
          </w:tcPr>
          <w:p w:rsidR="003A11A6" w:rsidRPr="009926FC" w:rsidRDefault="003A11A6" w:rsidP="00A23AD0">
            <w:pPr>
              <w:keepNext/>
              <w:suppressLineNumbers/>
              <w:suppressAutoHyphens/>
              <w:kinsoku w:val="0"/>
              <w:overflowPunct w:val="0"/>
              <w:autoSpaceDE w:val="0"/>
              <w:autoSpaceDN w:val="0"/>
              <w:adjustRightInd w:val="0"/>
              <w:snapToGrid w:val="0"/>
              <w:rPr>
                <w:noProof/>
                <w:snapToGrid w:val="0"/>
                <w:kern w:val="22"/>
                <w:szCs w:val="22"/>
                <w:lang w:val="fr-CA"/>
              </w:rPr>
            </w:pPr>
            <w:r w:rsidRPr="009926FC">
              <w:rPr>
                <w:noProof/>
                <w:snapToGrid w:val="0"/>
                <w:kern w:val="22"/>
                <w:szCs w:val="22"/>
                <w:lang w:val="fr-CA"/>
              </w:rPr>
              <w:t>M</w:t>
            </w:r>
            <w:r w:rsidR="00384F37" w:rsidRPr="009926FC">
              <w:rPr>
                <w:noProof/>
                <w:snapToGrid w:val="0"/>
                <w:kern w:val="22"/>
                <w:szCs w:val="22"/>
                <w:lang w:val="fr-CA"/>
              </w:rPr>
              <w:t>. Carlos Manuel </w:t>
            </w:r>
            <w:r w:rsidRPr="009926FC">
              <w:rPr>
                <w:noProof/>
                <w:snapToGrid w:val="0"/>
                <w:kern w:val="22"/>
                <w:szCs w:val="22"/>
                <w:lang w:val="fr-CA"/>
              </w:rPr>
              <w:t>Rodriguez</w:t>
            </w:r>
            <w:r w:rsidR="00384F37" w:rsidRPr="009926FC">
              <w:rPr>
                <w:noProof/>
                <w:snapToGrid w:val="0"/>
                <w:kern w:val="22"/>
                <w:szCs w:val="22"/>
                <w:lang w:val="fr-CA"/>
              </w:rPr>
              <w:t xml:space="preserve"> (Costa </w:t>
            </w:r>
            <w:r w:rsidRPr="009926FC">
              <w:rPr>
                <w:noProof/>
                <w:snapToGrid w:val="0"/>
                <w:kern w:val="22"/>
                <w:szCs w:val="22"/>
                <w:lang w:val="fr-CA"/>
              </w:rPr>
              <w:t>Rica)</w:t>
            </w:r>
          </w:p>
          <w:p w:rsidR="003A11A6" w:rsidRPr="009926FC" w:rsidRDefault="00384F37" w:rsidP="00A23AD0">
            <w:pPr>
              <w:keepNext/>
              <w:suppressLineNumbers/>
              <w:suppressAutoHyphens/>
              <w:kinsoku w:val="0"/>
              <w:overflowPunct w:val="0"/>
              <w:autoSpaceDE w:val="0"/>
              <w:autoSpaceDN w:val="0"/>
              <w:adjustRightInd w:val="0"/>
              <w:snapToGrid w:val="0"/>
              <w:rPr>
                <w:noProof/>
                <w:snapToGrid w:val="0"/>
                <w:kern w:val="22"/>
                <w:szCs w:val="22"/>
                <w:lang w:val="fr-CA"/>
              </w:rPr>
            </w:pPr>
            <w:r w:rsidRPr="009926FC">
              <w:rPr>
                <w:noProof/>
                <w:snapToGrid w:val="0"/>
                <w:kern w:val="22"/>
                <w:szCs w:val="22"/>
                <w:lang w:val="fr-CA"/>
              </w:rPr>
              <w:t>remplacé plus tard par Mme Andrea Meza </w:t>
            </w:r>
            <w:r w:rsidR="003A11A6" w:rsidRPr="009926FC">
              <w:rPr>
                <w:noProof/>
                <w:snapToGrid w:val="0"/>
                <w:kern w:val="22"/>
                <w:szCs w:val="22"/>
                <w:lang w:val="fr-CA"/>
              </w:rPr>
              <w:t>Murillo</w:t>
            </w:r>
            <w:r w:rsidRPr="009926FC">
              <w:rPr>
                <w:noProof/>
                <w:snapToGrid w:val="0"/>
                <w:kern w:val="22"/>
                <w:szCs w:val="22"/>
                <w:lang w:val="fr-CA"/>
              </w:rPr>
              <w:t xml:space="preserve"> (Costa </w:t>
            </w:r>
            <w:r w:rsidR="003A11A6" w:rsidRPr="009926FC">
              <w:rPr>
                <w:noProof/>
                <w:snapToGrid w:val="0"/>
                <w:kern w:val="22"/>
                <w:szCs w:val="22"/>
                <w:lang w:val="fr-CA"/>
              </w:rPr>
              <w:t>Rica)</w:t>
            </w:r>
          </w:p>
        </w:tc>
      </w:tr>
      <w:tr w:rsidR="003A11A6" w:rsidRPr="009926FC" w:rsidTr="00A23AD0">
        <w:trPr>
          <w:jc w:val="center"/>
        </w:trPr>
        <w:tc>
          <w:tcPr>
            <w:tcW w:w="535" w:type="dxa"/>
          </w:tcPr>
          <w:p w:rsidR="003A11A6" w:rsidRPr="009926FC" w:rsidRDefault="003A11A6" w:rsidP="00A23AD0">
            <w:pPr>
              <w:keepNext/>
              <w:suppressLineNumbers/>
              <w:suppressAutoHyphens/>
              <w:kinsoku w:val="0"/>
              <w:overflowPunct w:val="0"/>
              <w:autoSpaceDE w:val="0"/>
              <w:autoSpaceDN w:val="0"/>
              <w:adjustRightInd w:val="0"/>
              <w:snapToGrid w:val="0"/>
              <w:ind w:right="144"/>
              <w:jc w:val="right"/>
              <w:rPr>
                <w:noProof/>
                <w:snapToGrid w:val="0"/>
                <w:kern w:val="22"/>
                <w:szCs w:val="22"/>
                <w:lang w:val="fr-CA"/>
              </w:rPr>
            </w:pPr>
            <w:r w:rsidRPr="009926FC">
              <w:rPr>
                <w:noProof/>
                <w:snapToGrid w:val="0"/>
                <w:kern w:val="22"/>
                <w:szCs w:val="22"/>
                <w:lang w:val="fr-CA"/>
              </w:rPr>
              <w:t>8</w:t>
            </w:r>
          </w:p>
        </w:tc>
        <w:tc>
          <w:tcPr>
            <w:tcW w:w="5670" w:type="dxa"/>
          </w:tcPr>
          <w:p w:rsidR="003A11A6" w:rsidRPr="009926FC" w:rsidRDefault="00384F37" w:rsidP="00A23AD0">
            <w:pPr>
              <w:keepNext/>
              <w:suppressLineNumbers/>
              <w:suppressAutoHyphens/>
              <w:kinsoku w:val="0"/>
              <w:overflowPunct w:val="0"/>
              <w:autoSpaceDE w:val="0"/>
              <w:autoSpaceDN w:val="0"/>
              <w:adjustRightInd w:val="0"/>
              <w:snapToGrid w:val="0"/>
              <w:rPr>
                <w:noProof/>
                <w:snapToGrid w:val="0"/>
                <w:kern w:val="22"/>
                <w:szCs w:val="22"/>
                <w:lang w:val="fr-CA"/>
              </w:rPr>
            </w:pPr>
            <w:r w:rsidRPr="009926FC">
              <w:rPr>
                <w:noProof/>
                <w:snapToGrid w:val="0"/>
                <w:kern w:val="22"/>
                <w:szCs w:val="22"/>
                <w:lang w:val="fr-CA"/>
              </w:rPr>
              <w:t>Mme Helena Jeffery Brown (Antigua</w:t>
            </w:r>
            <w:r w:rsidR="00E838F6" w:rsidRPr="009926FC">
              <w:rPr>
                <w:noProof/>
                <w:snapToGrid w:val="0"/>
                <w:kern w:val="22"/>
                <w:szCs w:val="22"/>
                <w:lang w:val="fr-CA"/>
              </w:rPr>
              <w:noBreakHyphen/>
            </w:r>
            <w:r w:rsidRPr="009926FC">
              <w:rPr>
                <w:noProof/>
                <w:snapToGrid w:val="0"/>
                <w:kern w:val="22"/>
                <w:szCs w:val="22"/>
                <w:lang w:val="fr-CA"/>
              </w:rPr>
              <w:t>et</w:t>
            </w:r>
            <w:r w:rsidR="00E838F6" w:rsidRPr="009926FC">
              <w:rPr>
                <w:noProof/>
                <w:snapToGrid w:val="0"/>
                <w:kern w:val="22"/>
                <w:szCs w:val="22"/>
                <w:lang w:val="fr-CA"/>
              </w:rPr>
              <w:noBreakHyphen/>
            </w:r>
            <w:r w:rsidR="003A11A6" w:rsidRPr="009926FC">
              <w:rPr>
                <w:noProof/>
                <w:snapToGrid w:val="0"/>
                <w:kern w:val="22"/>
                <w:szCs w:val="22"/>
                <w:lang w:val="fr-CA"/>
              </w:rPr>
              <w:t>Barbuda)</w:t>
            </w:r>
          </w:p>
        </w:tc>
      </w:tr>
      <w:tr w:rsidR="003A11A6" w:rsidRPr="009926FC" w:rsidTr="00A23AD0">
        <w:trPr>
          <w:jc w:val="center"/>
        </w:trPr>
        <w:tc>
          <w:tcPr>
            <w:tcW w:w="535" w:type="dxa"/>
          </w:tcPr>
          <w:p w:rsidR="003A11A6" w:rsidRPr="009926FC" w:rsidRDefault="003A11A6" w:rsidP="00A23AD0">
            <w:pPr>
              <w:keepNext/>
              <w:suppressLineNumbers/>
              <w:suppressAutoHyphens/>
              <w:kinsoku w:val="0"/>
              <w:overflowPunct w:val="0"/>
              <w:autoSpaceDE w:val="0"/>
              <w:autoSpaceDN w:val="0"/>
              <w:adjustRightInd w:val="0"/>
              <w:snapToGrid w:val="0"/>
              <w:ind w:right="144"/>
              <w:jc w:val="right"/>
              <w:rPr>
                <w:noProof/>
                <w:snapToGrid w:val="0"/>
                <w:kern w:val="22"/>
                <w:szCs w:val="22"/>
                <w:lang w:val="fr-CA"/>
              </w:rPr>
            </w:pPr>
            <w:r w:rsidRPr="009926FC">
              <w:rPr>
                <w:noProof/>
                <w:snapToGrid w:val="0"/>
                <w:kern w:val="22"/>
                <w:szCs w:val="22"/>
                <w:lang w:val="fr-CA"/>
              </w:rPr>
              <w:t>9</w:t>
            </w:r>
          </w:p>
        </w:tc>
        <w:tc>
          <w:tcPr>
            <w:tcW w:w="5670" w:type="dxa"/>
          </w:tcPr>
          <w:p w:rsidR="003A11A6" w:rsidRPr="009926FC" w:rsidRDefault="00384F37" w:rsidP="00A23AD0">
            <w:pPr>
              <w:keepNext/>
              <w:suppressLineNumbers/>
              <w:suppressAutoHyphens/>
              <w:kinsoku w:val="0"/>
              <w:overflowPunct w:val="0"/>
              <w:autoSpaceDE w:val="0"/>
              <w:autoSpaceDN w:val="0"/>
              <w:adjustRightInd w:val="0"/>
              <w:snapToGrid w:val="0"/>
              <w:rPr>
                <w:noProof/>
                <w:snapToGrid w:val="0"/>
                <w:kern w:val="22"/>
                <w:szCs w:val="22"/>
                <w:lang w:val="fr-CA"/>
              </w:rPr>
            </w:pPr>
            <w:r w:rsidRPr="009926FC">
              <w:rPr>
                <w:noProof/>
                <w:snapToGrid w:val="0"/>
                <w:kern w:val="22"/>
                <w:szCs w:val="22"/>
                <w:lang w:val="fr-CA"/>
              </w:rPr>
              <w:t>Mme Gabriele </w:t>
            </w:r>
            <w:r w:rsidR="003A11A6" w:rsidRPr="009926FC">
              <w:rPr>
                <w:noProof/>
                <w:snapToGrid w:val="0"/>
                <w:kern w:val="22"/>
                <w:szCs w:val="22"/>
                <w:lang w:val="fr-CA"/>
              </w:rPr>
              <w:t>Obermayr (</w:t>
            </w:r>
            <w:r w:rsidRPr="009926FC">
              <w:rPr>
                <w:noProof/>
                <w:snapToGrid w:val="0"/>
                <w:kern w:val="22"/>
                <w:szCs w:val="22"/>
                <w:lang w:val="fr-CA"/>
              </w:rPr>
              <w:t>Autriche)</w:t>
            </w:r>
          </w:p>
        </w:tc>
      </w:tr>
      <w:tr w:rsidR="003A11A6" w:rsidRPr="000B02CB" w:rsidTr="00A23AD0">
        <w:trPr>
          <w:trHeight w:val="422"/>
          <w:jc w:val="center"/>
        </w:trPr>
        <w:tc>
          <w:tcPr>
            <w:tcW w:w="535" w:type="dxa"/>
          </w:tcPr>
          <w:p w:rsidR="003A11A6" w:rsidRPr="009926FC" w:rsidRDefault="003A11A6" w:rsidP="00A23AD0">
            <w:pPr>
              <w:suppressLineNumbers/>
              <w:suppressAutoHyphens/>
              <w:kinsoku w:val="0"/>
              <w:overflowPunct w:val="0"/>
              <w:autoSpaceDE w:val="0"/>
              <w:autoSpaceDN w:val="0"/>
              <w:adjustRightInd w:val="0"/>
              <w:snapToGrid w:val="0"/>
              <w:ind w:right="144"/>
              <w:jc w:val="right"/>
              <w:rPr>
                <w:noProof/>
                <w:snapToGrid w:val="0"/>
                <w:kern w:val="22"/>
                <w:szCs w:val="22"/>
                <w:lang w:val="fr-CA"/>
              </w:rPr>
            </w:pPr>
            <w:r w:rsidRPr="009926FC">
              <w:rPr>
                <w:noProof/>
                <w:snapToGrid w:val="0"/>
                <w:kern w:val="22"/>
                <w:szCs w:val="22"/>
                <w:lang w:val="fr-CA"/>
              </w:rPr>
              <w:t>10</w:t>
            </w:r>
          </w:p>
        </w:tc>
        <w:tc>
          <w:tcPr>
            <w:tcW w:w="5670" w:type="dxa"/>
          </w:tcPr>
          <w:p w:rsidR="003A11A6" w:rsidRPr="009926FC" w:rsidRDefault="00384F37" w:rsidP="00384F37">
            <w:pPr>
              <w:suppressLineNumbers/>
              <w:suppressAutoHyphens/>
              <w:kinsoku w:val="0"/>
              <w:overflowPunct w:val="0"/>
              <w:autoSpaceDE w:val="0"/>
              <w:autoSpaceDN w:val="0"/>
              <w:adjustRightInd w:val="0"/>
              <w:snapToGrid w:val="0"/>
              <w:rPr>
                <w:noProof/>
                <w:snapToGrid w:val="0"/>
                <w:kern w:val="22"/>
                <w:szCs w:val="22"/>
                <w:lang w:val="fr-CA"/>
              </w:rPr>
            </w:pPr>
            <w:r w:rsidRPr="009926FC">
              <w:rPr>
                <w:noProof/>
                <w:snapToGrid w:val="0"/>
                <w:kern w:val="22"/>
                <w:szCs w:val="22"/>
                <w:lang w:val="fr-CA"/>
              </w:rPr>
              <w:t>Mme Rosemary </w:t>
            </w:r>
            <w:r w:rsidR="003A11A6" w:rsidRPr="009926FC">
              <w:rPr>
                <w:noProof/>
                <w:snapToGrid w:val="0"/>
                <w:kern w:val="22"/>
                <w:szCs w:val="22"/>
                <w:lang w:val="fr-CA"/>
              </w:rPr>
              <w:t>Paterson (</w:t>
            </w:r>
            <w:r w:rsidRPr="009926FC">
              <w:rPr>
                <w:noProof/>
                <w:snapToGrid w:val="0"/>
                <w:kern w:val="22"/>
                <w:szCs w:val="22"/>
                <w:lang w:val="fr-CA"/>
              </w:rPr>
              <w:t>Nouvelle</w:t>
            </w:r>
            <w:r w:rsidR="00E838F6" w:rsidRPr="009926FC">
              <w:rPr>
                <w:noProof/>
                <w:snapToGrid w:val="0"/>
                <w:kern w:val="22"/>
                <w:szCs w:val="22"/>
                <w:lang w:val="fr-CA"/>
              </w:rPr>
              <w:noBreakHyphen/>
            </w:r>
            <w:r w:rsidRPr="009926FC">
              <w:rPr>
                <w:noProof/>
                <w:snapToGrid w:val="0"/>
                <w:kern w:val="22"/>
                <w:szCs w:val="22"/>
                <w:lang w:val="fr-CA"/>
              </w:rPr>
              <w:t>Zélande</w:t>
            </w:r>
            <w:r w:rsidR="003A11A6" w:rsidRPr="009926FC">
              <w:rPr>
                <w:noProof/>
                <w:snapToGrid w:val="0"/>
                <w:kern w:val="22"/>
                <w:szCs w:val="22"/>
                <w:lang w:val="fr-CA"/>
              </w:rPr>
              <w:t>)</w:t>
            </w:r>
          </w:p>
        </w:tc>
      </w:tr>
    </w:tbl>
    <w:bookmarkEnd w:id="2"/>
    <w:p w:rsidR="003A11A6" w:rsidRPr="009926FC" w:rsidRDefault="00885D8C"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Il est demandé aux groupe</w:t>
      </w:r>
      <w:r w:rsidR="006E310C" w:rsidRPr="009926FC">
        <w:rPr>
          <w:noProof/>
          <w:snapToGrid w:val="0"/>
          <w:kern w:val="22"/>
          <w:szCs w:val="22"/>
          <w:lang w:val="fr-CA"/>
        </w:rPr>
        <w:t>s</w:t>
      </w:r>
      <w:r w:rsidRPr="009926FC">
        <w:rPr>
          <w:noProof/>
          <w:snapToGrid w:val="0"/>
          <w:kern w:val="22"/>
          <w:szCs w:val="22"/>
          <w:lang w:val="fr-CA"/>
        </w:rPr>
        <w:t xml:space="preserve"> régionaux de soumettre leurs nominations, de préférence avant la Partie II de la réunion</w:t>
      </w:r>
      <w:r w:rsidR="006E310C" w:rsidRPr="009926FC">
        <w:rPr>
          <w:noProof/>
          <w:snapToGrid w:val="0"/>
          <w:kern w:val="22"/>
          <w:szCs w:val="22"/>
          <w:lang w:val="fr-CA"/>
        </w:rPr>
        <w:t>,</w:t>
      </w:r>
      <w:r w:rsidRPr="009926FC">
        <w:rPr>
          <w:noProof/>
          <w:snapToGrid w:val="0"/>
          <w:kern w:val="22"/>
          <w:szCs w:val="22"/>
          <w:lang w:val="fr-CA"/>
        </w:rPr>
        <w:t xml:space="preserve"> en 2022. </w:t>
      </w:r>
      <w:r w:rsidR="009A6FE0" w:rsidRPr="009926FC">
        <w:rPr>
          <w:noProof/>
          <w:snapToGrid w:val="0"/>
          <w:kern w:val="22"/>
          <w:szCs w:val="22"/>
          <w:lang w:val="fr-CA"/>
        </w:rPr>
        <w:t>De promptes</w:t>
      </w:r>
      <w:r w:rsidR="00827E56" w:rsidRPr="009926FC">
        <w:rPr>
          <w:noProof/>
          <w:snapToGrid w:val="0"/>
          <w:kern w:val="22"/>
          <w:szCs w:val="22"/>
          <w:lang w:val="fr-CA"/>
        </w:rPr>
        <w:t xml:space="preserve"> nominations permettraient aux membres du Bureau nouvellement élus de participer, en qualité d’observateurs, aux réunions du Bureau qui se tiendront au cours de la Partie II de la réunion de la Conférence des Parties</w:t>
      </w:r>
      <w:r w:rsidR="009A6FE0" w:rsidRPr="009926FC">
        <w:rPr>
          <w:noProof/>
          <w:snapToGrid w:val="0"/>
          <w:kern w:val="22"/>
          <w:szCs w:val="22"/>
          <w:lang w:val="fr-CA"/>
        </w:rPr>
        <w:t xml:space="preserve">, pour </w:t>
      </w:r>
      <w:r w:rsidR="00827E56" w:rsidRPr="009926FC">
        <w:rPr>
          <w:noProof/>
          <w:snapToGrid w:val="0"/>
          <w:kern w:val="22"/>
          <w:szCs w:val="22"/>
          <w:lang w:val="fr-CA"/>
        </w:rPr>
        <w:t>assurer une transition harmonieuse entre les membres sortants et les nouveaux membres</w:t>
      </w:r>
      <w:r w:rsidR="009A6FE0" w:rsidRPr="009926FC">
        <w:rPr>
          <w:noProof/>
          <w:snapToGrid w:val="0"/>
          <w:kern w:val="22"/>
          <w:szCs w:val="22"/>
          <w:lang w:val="fr-CA"/>
        </w:rPr>
        <w:t xml:space="preserve"> du Bureau</w:t>
      </w:r>
      <w:r w:rsidR="00827E56" w:rsidRPr="009926FC">
        <w:rPr>
          <w:noProof/>
          <w:snapToGrid w:val="0"/>
          <w:kern w:val="22"/>
          <w:szCs w:val="22"/>
          <w:lang w:val="fr-CA"/>
        </w:rPr>
        <w:t>.</w:t>
      </w:r>
    </w:p>
    <w:p w:rsidR="003A11A6" w:rsidRPr="009926FC" w:rsidRDefault="00AB3495"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Au besoin, des membres remplaçants seront élus par la Conférence des Parties siégeant en tant que dixième réunion des Parties au Protocole de Cartagena et la Conférence des Parties siégeant en tant que quatrième réunion des Parties au Protocole de Nagoya au cours de la Partie II de la réunion, en 2022.</w:t>
      </w:r>
    </w:p>
    <w:p w:rsidR="003A11A6" w:rsidRPr="009926FC" w:rsidRDefault="00AB3495" w:rsidP="00A23AD0">
      <w:pPr>
        <w:keepNext/>
        <w:suppressLineNumbers/>
        <w:suppressAutoHyphens/>
        <w:kinsoku w:val="0"/>
        <w:overflowPunct w:val="0"/>
        <w:autoSpaceDE w:val="0"/>
        <w:autoSpaceDN w:val="0"/>
        <w:adjustRightInd w:val="0"/>
        <w:snapToGrid w:val="0"/>
        <w:spacing w:before="120" w:after="120"/>
        <w:outlineLvl w:val="1"/>
        <w:rPr>
          <w:i/>
          <w:iCs/>
          <w:noProof/>
          <w:snapToGrid w:val="0"/>
          <w:kern w:val="22"/>
          <w:szCs w:val="22"/>
          <w:lang w:val="fr-CA"/>
        </w:rPr>
      </w:pPr>
      <w:r w:rsidRPr="009926FC">
        <w:rPr>
          <w:i/>
          <w:noProof/>
          <w:szCs w:val="22"/>
          <w:lang w:val="fr-CA"/>
        </w:rPr>
        <w:t>Élection des membres des organes subsidiaire</w:t>
      </w:r>
      <w:r w:rsidR="00D74055" w:rsidRPr="009926FC">
        <w:rPr>
          <w:i/>
          <w:noProof/>
          <w:szCs w:val="22"/>
          <w:lang w:val="fr-CA"/>
        </w:rPr>
        <w:t>s</w:t>
      </w:r>
    </w:p>
    <w:p w:rsidR="003A11A6" w:rsidRPr="009926FC" w:rsidRDefault="00AB3495"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zCs w:val="22"/>
          <w:lang w:val="fr-CA"/>
        </w:rPr>
        <w:t>Conformément à l’article 26 du règlement intérieur, le président de tout organe subsidiaire est élu par la Conférence des Parties. Par conséquent, la Conférence des Parties devra élire le président de l’Organe subsidiaire chargé de fournir des avis scientifiques, techniques et technologiques et le président de l’Organe subsidiaire chargé de l’application pour un mandat qui</w:t>
      </w:r>
      <w:r w:rsidR="001E43F5" w:rsidRPr="009926FC">
        <w:rPr>
          <w:noProof/>
          <w:szCs w:val="22"/>
          <w:lang w:val="fr-CA"/>
        </w:rPr>
        <w:t xml:space="preserve"> débutera</w:t>
      </w:r>
      <w:r w:rsidRPr="009926FC">
        <w:rPr>
          <w:noProof/>
          <w:szCs w:val="22"/>
          <w:lang w:val="fr-CA"/>
        </w:rPr>
        <w:t xml:space="preserve"> à la fin de la quinzième réunion de la Conférence des Parties</w:t>
      </w:r>
      <w:r w:rsidR="001E43F5" w:rsidRPr="009926FC">
        <w:rPr>
          <w:noProof/>
          <w:szCs w:val="22"/>
          <w:lang w:val="fr-CA"/>
        </w:rPr>
        <w:t xml:space="preserve"> et s’achèvera à la fin de la seizième réunion. Conformément à la pratique de roulement régional en vigueur, il est prévu que le président de l’Organe subsidiaire chargé de fournir des avis scientifiques, techniques et technologiques soit élu à partir du groupe des pays d’Europe centrale et orientale et que le président de l’Organe subsidiaire chargé de l’application soit élu à partir du groupe des États de la région </w:t>
      </w:r>
      <w:bookmarkStart w:id="3" w:name="_Hlk508782738"/>
      <w:r w:rsidR="00D5147F" w:rsidRPr="009926FC">
        <w:rPr>
          <w:noProof/>
          <w:szCs w:val="22"/>
          <w:lang w:val="fr-CA"/>
        </w:rPr>
        <w:t>Asie et Pacifique.</w:t>
      </w:r>
    </w:p>
    <w:bookmarkEnd w:id="3"/>
    <w:p w:rsidR="003A11A6" w:rsidRPr="009926FC" w:rsidRDefault="001E43F5"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 xml:space="preserve">L’élection de ces membres aura lieu au cours de la Partie II de la réunion de la Conférence des Parties, en 2022. </w:t>
      </w:r>
      <w:r w:rsidR="00B25275" w:rsidRPr="009926FC">
        <w:rPr>
          <w:noProof/>
          <w:snapToGrid w:val="0"/>
          <w:kern w:val="22"/>
          <w:szCs w:val="22"/>
          <w:lang w:val="fr-CA"/>
        </w:rPr>
        <w:t>Étant donné qu’autant l’Organe subsidiaire chargé de fournir des avis scientifiques, techniques et technologiques que l’Organe subsidiaire chargé de l</w:t>
      </w:r>
      <w:r w:rsidR="00D5147F" w:rsidRPr="009926FC">
        <w:rPr>
          <w:noProof/>
          <w:snapToGrid w:val="0"/>
          <w:kern w:val="22"/>
          <w:szCs w:val="22"/>
          <w:lang w:val="fr-CA"/>
        </w:rPr>
        <w:t>’application agissent à titre d</w:t>
      </w:r>
      <w:r w:rsidR="00B25275" w:rsidRPr="009926FC">
        <w:rPr>
          <w:noProof/>
          <w:snapToGrid w:val="0"/>
          <w:kern w:val="22"/>
          <w:szCs w:val="22"/>
          <w:lang w:val="fr-CA"/>
        </w:rPr>
        <w:t>’organes subsidiaires du Protocole, il est préférable que les présidents élus soient choisis parmi les Parties au Protocole.</w:t>
      </w:r>
    </w:p>
    <w:p w:rsidR="003A11A6" w:rsidRPr="009926FC" w:rsidRDefault="00D131D0"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i/>
          <w:iCs/>
          <w:noProof/>
          <w:snapToGrid w:val="0"/>
          <w:kern w:val="22"/>
          <w:szCs w:val="22"/>
          <w:lang w:val="fr-CA"/>
        </w:rPr>
      </w:pPr>
      <w:r w:rsidRPr="009926FC">
        <w:rPr>
          <w:noProof/>
          <w:snapToGrid w:val="0"/>
          <w:kern w:val="22"/>
          <w:szCs w:val="22"/>
          <w:lang w:val="fr-CA"/>
        </w:rPr>
        <w:t>Les présidents actuels demeureront en fonction jusqu’à la fin de la Partie II de la réunion. Il est prévu que les vice</w:t>
      </w:r>
      <w:r w:rsidR="00E838F6" w:rsidRPr="009926FC">
        <w:rPr>
          <w:noProof/>
          <w:snapToGrid w:val="0"/>
          <w:kern w:val="22"/>
          <w:szCs w:val="22"/>
          <w:lang w:val="fr-CA"/>
        </w:rPr>
        <w:noBreakHyphen/>
      </w:r>
      <w:r w:rsidRPr="009926FC">
        <w:rPr>
          <w:noProof/>
          <w:snapToGrid w:val="0"/>
          <w:kern w:val="22"/>
          <w:szCs w:val="22"/>
          <w:lang w:val="fr-CA"/>
        </w:rPr>
        <w:t>pr</w:t>
      </w:r>
      <w:r w:rsidR="00C01C73" w:rsidRPr="009926FC">
        <w:rPr>
          <w:noProof/>
          <w:snapToGrid w:val="0"/>
          <w:kern w:val="22"/>
          <w:szCs w:val="22"/>
          <w:lang w:val="fr-CA"/>
        </w:rPr>
        <w:t>ésidents du G</w:t>
      </w:r>
      <w:r w:rsidRPr="009926FC">
        <w:rPr>
          <w:noProof/>
          <w:snapToGrid w:val="0"/>
          <w:kern w:val="22"/>
          <w:szCs w:val="22"/>
          <w:lang w:val="fr-CA"/>
        </w:rPr>
        <w:t>roupe de travail à composition non limitée sur le cadre mondial de la biodiversité pour l’après</w:t>
      </w:r>
      <w:r w:rsidR="00E838F6" w:rsidRPr="009926FC">
        <w:rPr>
          <w:noProof/>
          <w:snapToGrid w:val="0"/>
          <w:kern w:val="22"/>
          <w:szCs w:val="22"/>
          <w:lang w:val="fr-CA"/>
        </w:rPr>
        <w:noBreakHyphen/>
      </w:r>
      <w:r w:rsidRPr="009926FC">
        <w:rPr>
          <w:noProof/>
          <w:snapToGrid w:val="0"/>
          <w:kern w:val="22"/>
          <w:szCs w:val="22"/>
          <w:lang w:val="fr-CA"/>
        </w:rPr>
        <w:t>2020 restent en fonction jusqu’à la seconde partie de la réunion.</w:t>
      </w:r>
    </w:p>
    <w:p w:rsidR="003A11A6" w:rsidRPr="009926FC" w:rsidRDefault="003A11A6" w:rsidP="00A23AD0">
      <w:pPr>
        <w:keepNext/>
        <w:suppressLineNumbers/>
        <w:suppressAutoHyphens/>
        <w:kinsoku w:val="0"/>
        <w:overflowPunct w:val="0"/>
        <w:autoSpaceDE w:val="0"/>
        <w:autoSpaceDN w:val="0"/>
        <w:adjustRightInd w:val="0"/>
        <w:snapToGrid w:val="0"/>
        <w:spacing w:before="120" w:after="120"/>
        <w:outlineLvl w:val="1"/>
        <w:rPr>
          <w:i/>
          <w:iCs/>
          <w:noProof/>
          <w:snapToGrid w:val="0"/>
          <w:kern w:val="22"/>
          <w:szCs w:val="22"/>
          <w:lang w:val="fr-CA"/>
        </w:rPr>
      </w:pPr>
      <w:bookmarkStart w:id="4" w:name="Item03"/>
      <w:r w:rsidRPr="009926FC">
        <w:rPr>
          <w:i/>
          <w:iCs/>
          <w:noProof/>
          <w:snapToGrid w:val="0"/>
          <w:kern w:val="22"/>
          <w:szCs w:val="22"/>
          <w:lang w:val="fr-CA"/>
        </w:rPr>
        <w:t xml:space="preserve">Adoption </w:t>
      </w:r>
      <w:r w:rsidR="00D131D0" w:rsidRPr="009926FC">
        <w:rPr>
          <w:i/>
          <w:iCs/>
          <w:noProof/>
          <w:snapToGrid w:val="0"/>
          <w:kern w:val="22"/>
          <w:szCs w:val="22"/>
          <w:lang w:val="fr-CA"/>
        </w:rPr>
        <w:t>de l’ordre du jour</w:t>
      </w:r>
    </w:p>
    <w:bookmarkEnd w:id="4"/>
    <w:p w:rsidR="003A11A6" w:rsidRPr="009926FC" w:rsidRDefault="000C022B" w:rsidP="00A23AD0">
      <w:pPr>
        <w:numPr>
          <w:ilvl w:val="0"/>
          <w:numId w:val="36"/>
        </w:numPr>
        <w:suppressLineNumbers/>
        <w:tabs>
          <w:tab w:val="clear" w:pos="450"/>
        </w:tabs>
        <w:suppressAutoHyphens/>
        <w:kinsoku w:val="0"/>
        <w:overflowPunct w:val="0"/>
        <w:autoSpaceDE w:val="0"/>
        <w:autoSpaceDN w:val="0"/>
        <w:adjustRightInd w:val="0"/>
        <w:snapToGrid w:val="0"/>
        <w:spacing w:before="120" w:after="120"/>
        <w:ind w:left="0"/>
        <w:rPr>
          <w:noProof/>
          <w:snapToGrid w:val="0"/>
          <w:color w:val="000000"/>
          <w:kern w:val="22"/>
          <w:szCs w:val="22"/>
          <w:lang w:val="fr-CA"/>
        </w:rPr>
      </w:pPr>
      <w:r w:rsidRPr="009926FC">
        <w:rPr>
          <w:noProof/>
          <w:szCs w:val="22"/>
          <w:lang w:val="fr-CA"/>
        </w:rPr>
        <w:t>L’ordre du jour (</w:t>
      </w:r>
      <w:r w:rsidRPr="009926FC">
        <w:rPr>
          <w:noProof/>
          <w:snapToGrid w:val="0"/>
          <w:kern w:val="22"/>
          <w:szCs w:val="22"/>
          <w:lang w:val="fr-CA"/>
        </w:rPr>
        <w:t>CBD/CP/MOP/10/1/Rev.1</w:t>
      </w:r>
      <w:r w:rsidRPr="009926FC">
        <w:rPr>
          <w:noProof/>
          <w:szCs w:val="22"/>
          <w:lang w:val="fr-CA"/>
        </w:rPr>
        <w:t>) a été approuvé par le Bureau de la Conférence des Parties. Il a été établi par la Secrétaire exécutive, en application des articles 8 et 9 du règlement intérieur, sous la direction du Bureau et en tenant compte des questions découlant de décisions antérieures des Parties au Protocole de Cartagena.</w:t>
      </w:r>
    </w:p>
    <w:p w:rsidR="003A11A6" w:rsidRPr="009926FC" w:rsidRDefault="000C022B"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bookmarkStart w:id="5" w:name="TEN"/>
      <w:bookmarkEnd w:id="5"/>
      <w:r w:rsidRPr="009926FC">
        <w:rPr>
          <w:noProof/>
          <w:kern w:val="22"/>
          <w:szCs w:val="22"/>
          <w:lang w:val="fr-CA"/>
        </w:rPr>
        <w:lastRenderedPageBreak/>
        <w:t>La Conférence des Parties siégeant en tant que réunion des Parties au Protocole de Cartagena pourrait souhaiter adopter l’ordre du jour pour sa réunion, en application du règlement intérieur, sur la base de l’ordre du jour provisoire</w:t>
      </w:r>
      <w:r w:rsidR="004D3278" w:rsidRPr="009926FC">
        <w:rPr>
          <w:noProof/>
          <w:kern w:val="22"/>
          <w:szCs w:val="22"/>
          <w:lang w:val="fr-CA"/>
        </w:rPr>
        <w:t xml:space="preserve"> figurant</w:t>
      </w:r>
      <w:r w:rsidRPr="009926FC">
        <w:rPr>
          <w:noProof/>
          <w:kern w:val="22"/>
          <w:szCs w:val="22"/>
          <w:lang w:val="fr-CA"/>
        </w:rPr>
        <w:t xml:space="preserve"> dans le document </w:t>
      </w:r>
      <w:r w:rsidRPr="009926FC">
        <w:rPr>
          <w:noProof/>
          <w:snapToGrid w:val="0"/>
          <w:kern w:val="22"/>
          <w:szCs w:val="22"/>
          <w:lang w:val="fr-CA"/>
        </w:rPr>
        <w:t>CBD/CP/MOP/10/1/Rev.1.</w:t>
      </w:r>
    </w:p>
    <w:p w:rsidR="003A11A6" w:rsidRPr="009926FC" w:rsidRDefault="00A678A7" w:rsidP="00A23AD0">
      <w:pPr>
        <w:keepNext/>
        <w:suppressLineNumbers/>
        <w:suppressAutoHyphens/>
        <w:kinsoku w:val="0"/>
        <w:overflowPunct w:val="0"/>
        <w:autoSpaceDE w:val="0"/>
        <w:autoSpaceDN w:val="0"/>
        <w:adjustRightInd w:val="0"/>
        <w:snapToGrid w:val="0"/>
        <w:spacing w:before="120" w:after="120"/>
        <w:outlineLvl w:val="1"/>
        <w:rPr>
          <w:b/>
          <w:bCs/>
          <w:i/>
          <w:iCs/>
          <w:noProof/>
          <w:snapToGrid w:val="0"/>
          <w:kern w:val="22"/>
          <w:szCs w:val="22"/>
          <w:lang w:val="fr-CA"/>
        </w:rPr>
      </w:pPr>
      <w:bookmarkStart w:id="6" w:name="Item04"/>
      <w:r w:rsidRPr="009926FC">
        <w:rPr>
          <w:i/>
          <w:noProof/>
          <w:szCs w:val="22"/>
          <w:lang w:val="fr-CA"/>
        </w:rPr>
        <w:t>Organisation des travaux</w:t>
      </w:r>
    </w:p>
    <w:bookmarkEnd w:id="6"/>
    <w:p w:rsidR="003A11A6" w:rsidRPr="009926FC" w:rsidRDefault="004A7C81"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La Partie I de la réunion devrait aborder tous ses points en plénière. Conformément à la pratique établie, la Conférence des Parties pourrait souhaiter créer deux groupes de travail pour appuyer les travaux de la plénière au cours de la deuxième partie de sa réunion. Si les deux groupes de travail sont créés, la Conférence des Parties devra élire un président ou des coprésidents pour chacun d’eux au début de la Partie II de sa réunion.</w:t>
      </w:r>
    </w:p>
    <w:p w:rsidR="003A11A6" w:rsidRPr="009926FC" w:rsidRDefault="008423BF"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 xml:space="preserve">Tel que décidé par la Conférence des Parties au paragraphe 3 de sa décision </w:t>
      </w:r>
      <w:hyperlink r:id="rId17" w:history="1">
        <w:r w:rsidRPr="009926FC">
          <w:rPr>
            <w:rStyle w:val="Hyperlink"/>
            <w:noProof/>
            <w:snapToGrid w:val="0"/>
            <w:kern w:val="22"/>
            <w:sz w:val="22"/>
            <w:szCs w:val="22"/>
            <w:lang w:val="fr-CA"/>
          </w:rPr>
          <w:t>XII/27</w:t>
        </w:r>
      </w:hyperlink>
      <w:r w:rsidR="00531205" w:rsidRPr="009926FC">
        <w:rPr>
          <w:noProof/>
          <w:snapToGrid w:val="0"/>
          <w:kern w:val="22"/>
          <w:szCs w:val="22"/>
          <w:lang w:val="fr-CA"/>
        </w:rPr>
        <w:t>,</w:t>
      </w:r>
      <w:r w:rsidRPr="009926FC">
        <w:rPr>
          <w:noProof/>
          <w:snapToGrid w:val="0"/>
          <w:kern w:val="22"/>
          <w:szCs w:val="22"/>
          <w:lang w:val="fr-CA"/>
        </w:rPr>
        <w:t xml:space="preserve"> et convenu par la </w:t>
      </w:r>
      <w:r w:rsidR="00531205" w:rsidRPr="009926FC">
        <w:rPr>
          <w:noProof/>
          <w:snapToGrid w:val="0"/>
          <w:kern w:val="22"/>
          <w:szCs w:val="22"/>
          <w:lang w:val="fr-CA"/>
        </w:rPr>
        <w:t xml:space="preserve">Conférence des Parties siégeant en tant que réunion des Parties au Protocole de Cartagena au paragraphe 1 de sa décision </w:t>
      </w:r>
      <w:hyperlink r:id="rId18" w:history="1">
        <w:r w:rsidR="00531205" w:rsidRPr="009926FC">
          <w:rPr>
            <w:rStyle w:val="Hyperlink"/>
            <w:noProof/>
            <w:snapToGrid w:val="0"/>
            <w:kern w:val="22"/>
            <w:sz w:val="22"/>
            <w:szCs w:val="22"/>
            <w:lang w:val="fr-CA"/>
          </w:rPr>
          <w:t>BS</w:t>
        </w:r>
        <w:r w:rsidR="00E838F6" w:rsidRPr="009926FC">
          <w:rPr>
            <w:rStyle w:val="Hyperlink"/>
            <w:noProof/>
            <w:snapToGrid w:val="0"/>
            <w:kern w:val="22"/>
            <w:sz w:val="22"/>
            <w:szCs w:val="22"/>
            <w:lang w:val="fr-CA"/>
          </w:rPr>
          <w:noBreakHyphen/>
        </w:r>
        <w:r w:rsidR="00531205" w:rsidRPr="009926FC">
          <w:rPr>
            <w:rStyle w:val="Hyperlink"/>
            <w:noProof/>
            <w:snapToGrid w:val="0"/>
            <w:kern w:val="22"/>
            <w:sz w:val="22"/>
            <w:szCs w:val="22"/>
            <w:lang w:val="fr-CA"/>
          </w:rPr>
          <w:t>VII/9</w:t>
        </w:r>
      </w:hyperlink>
      <w:r w:rsidR="00531205" w:rsidRPr="009926FC">
        <w:rPr>
          <w:noProof/>
          <w:snapToGrid w:val="0"/>
          <w:kern w:val="22"/>
          <w:szCs w:val="22"/>
          <w:lang w:val="fr-CA"/>
        </w:rPr>
        <w:t xml:space="preserve">, ainsi que par la Conférence des Parties siégeant en tant que Réunion des Parties au Protocole de Nagoya au paragraphe 1 de la décision </w:t>
      </w:r>
      <w:hyperlink r:id="rId19" w:history="1">
        <w:r w:rsidR="00531205" w:rsidRPr="009926FC">
          <w:rPr>
            <w:rStyle w:val="Hyperlink"/>
            <w:noProof/>
            <w:snapToGrid w:val="0"/>
            <w:kern w:val="22"/>
            <w:sz w:val="22"/>
            <w:szCs w:val="22"/>
            <w:lang w:val="fr-CA"/>
          </w:rPr>
          <w:t>NP</w:t>
        </w:r>
        <w:r w:rsidR="00E838F6" w:rsidRPr="009926FC">
          <w:rPr>
            <w:rStyle w:val="Hyperlink"/>
            <w:noProof/>
            <w:snapToGrid w:val="0"/>
            <w:kern w:val="22"/>
            <w:sz w:val="22"/>
            <w:szCs w:val="22"/>
            <w:lang w:val="fr-CA"/>
          </w:rPr>
          <w:noBreakHyphen/>
        </w:r>
        <w:r w:rsidR="00531205" w:rsidRPr="009926FC">
          <w:rPr>
            <w:rStyle w:val="Hyperlink"/>
            <w:noProof/>
            <w:snapToGrid w:val="0"/>
            <w:kern w:val="22"/>
            <w:sz w:val="22"/>
            <w:szCs w:val="22"/>
            <w:lang w:val="fr-CA"/>
          </w:rPr>
          <w:t>1/12</w:t>
        </w:r>
      </w:hyperlink>
      <w:r w:rsidR="00531205" w:rsidRPr="009926FC">
        <w:rPr>
          <w:noProof/>
          <w:snapToGrid w:val="0"/>
          <w:kern w:val="22"/>
          <w:szCs w:val="22"/>
          <w:lang w:val="fr-CA"/>
        </w:rPr>
        <w:t xml:space="preserve">, </w:t>
      </w:r>
      <w:r w:rsidR="00531205" w:rsidRPr="009926FC">
        <w:rPr>
          <w:noProof/>
          <w:szCs w:val="22"/>
          <w:lang w:val="fr-CA"/>
        </w:rPr>
        <w:t>les réunions ordinaires de la Conférence des Parties se tiendront durant une période de deux semaines qui comprendra également les réunions de la Conférence des Parties siégeant en tant que réunion des Parties au Protocole de Cartagena, ainsi que les réunions des Parties au Protocole de Nagoya. Il est donc envisagé que les deux groupes de travail examinent aussi les questions relatives au Protocole de Cartagena et au Protocole de Nagoya qui leur sont renvoyées par les réunions respectives des Parties aux deux Protocoles.</w:t>
      </w:r>
    </w:p>
    <w:p w:rsidR="003A11A6" w:rsidRPr="009926FC" w:rsidRDefault="00531205"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kern w:val="22"/>
          <w:szCs w:val="22"/>
          <w:lang w:val="fr-CA"/>
        </w:rPr>
        <w:t>L’organisation des travaux proposée pour la Partie I des réunions concomitantes de la Conférence des Parties et</w:t>
      </w:r>
      <w:r w:rsidR="00AC792E" w:rsidRPr="009926FC">
        <w:rPr>
          <w:noProof/>
          <w:kern w:val="22"/>
          <w:szCs w:val="22"/>
          <w:lang w:val="fr-CA"/>
        </w:rPr>
        <w:t xml:space="preserve"> des Parties aux Protocoles figure dans le document </w:t>
      </w:r>
      <w:r w:rsidR="00AC792E" w:rsidRPr="009926FC">
        <w:rPr>
          <w:noProof/>
          <w:snapToGrid w:val="0"/>
          <w:kern w:val="22"/>
          <w:szCs w:val="22"/>
          <w:lang w:val="fr-CA"/>
        </w:rPr>
        <w:t>CBD/COP/15/1/Add.2. Ce document sera mis à jour et mis à disposition au moins six semaines avant le début de la Partie I</w:t>
      </w:r>
      <w:r w:rsidR="009D2F3A" w:rsidRPr="009926FC">
        <w:rPr>
          <w:noProof/>
          <w:snapToGrid w:val="0"/>
          <w:kern w:val="22"/>
          <w:szCs w:val="22"/>
          <w:lang w:val="fr-CA"/>
        </w:rPr>
        <w:t>I</w:t>
      </w:r>
      <w:r w:rsidR="00AC792E" w:rsidRPr="009926FC">
        <w:rPr>
          <w:noProof/>
          <w:snapToGrid w:val="0"/>
          <w:kern w:val="22"/>
          <w:szCs w:val="22"/>
          <w:lang w:val="fr-CA"/>
        </w:rPr>
        <w:t xml:space="preserve"> de la réunion, en 2022. La mise à jour comprendra, selon la pratique habituelle, la répartition des travaux proposée entre la plénière et les deux groupes de travail.</w:t>
      </w:r>
    </w:p>
    <w:p w:rsidR="003A11A6" w:rsidRPr="009926FC" w:rsidRDefault="0040534E" w:rsidP="00A23AD0">
      <w:pPr>
        <w:keepNext/>
        <w:suppressLineNumbers/>
        <w:suppressAutoHyphens/>
        <w:kinsoku w:val="0"/>
        <w:overflowPunct w:val="0"/>
        <w:autoSpaceDE w:val="0"/>
        <w:autoSpaceDN w:val="0"/>
        <w:adjustRightInd w:val="0"/>
        <w:snapToGrid w:val="0"/>
        <w:spacing w:before="120" w:after="120"/>
        <w:ind w:left="1584" w:hanging="864"/>
        <w:jc w:val="left"/>
        <w:outlineLvl w:val="0"/>
        <w:rPr>
          <w:b/>
          <w:noProof/>
          <w:kern w:val="22"/>
          <w:szCs w:val="22"/>
          <w:lang w:val="fr-CA"/>
        </w:rPr>
      </w:pPr>
      <w:r w:rsidRPr="009926FC">
        <w:rPr>
          <w:b/>
          <w:noProof/>
          <w:kern w:val="22"/>
          <w:szCs w:val="22"/>
          <w:lang w:val="fr-CA"/>
        </w:rPr>
        <w:t>Point</w:t>
      </w:r>
      <w:r w:rsidR="003A11A6" w:rsidRPr="009926FC">
        <w:rPr>
          <w:b/>
          <w:noProof/>
          <w:kern w:val="22"/>
          <w:szCs w:val="22"/>
          <w:lang w:val="fr-CA"/>
        </w:rPr>
        <w:t xml:space="preserve"> 3.</w:t>
      </w:r>
      <w:r w:rsidR="003A11A6" w:rsidRPr="009926FC">
        <w:rPr>
          <w:b/>
          <w:noProof/>
          <w:kern w:val="22"/>
          <w:szCs w:val="22"/>
          <w:lang w:val="fr-CA"/>
        </w:rPr>
        <w:tab/>
      </w:r>
      <w:r w:rsidRPr="009926FC">
        <w:rPr>
          <w:b/>
          <w:bCs/>
          <w:noProof/>
          <w:snapToGrid w:val="0"/>
          <w:kern w:val="22"/>
          <w:szCs w:val="22"/>
          <w:lang w:val="fr-CA"/>
        </w:rPr>
        <w:t>Rapport sur les pouvoirs des représentants à la dixième réunion de la Conférence des Parties siégeant en tant que réunion des Parties au Protocole de Cartagena</w:t>
      </w:r>
    </w:p>
    <w:p w:rsidR="003A11A6" w:rsidRPr="009926FC" w:rsidRDefault="00AC792E" w:rsidP="00A23AD0">
      <w:pPr>
        <w:pStyle w:val="ListParagraph"/>
        <w:numPr>
          <w:ilvl w:val="0"/>
          <w:numId w:val="37"/>
        </w:numPr>
        <w:suppressLineNumbers/>
        <w:tabs>
          <w:tab w:val="clear" w:pos="450"/>
        </w:tabs>
        <w:suppressAutoHyphens/>
        <w:kinsoku w:val="0"/>
        <w:overflowPunct w:val="0"/>
        <w:autoSpaceDE w:val="0"/>
        <w:autoSpaceDN w:val="0"/>
        <w:adjustRightInd w:val="0"/>
        <w:snapToGrid w:val="0"/>
        <w:spacing w:before="120" w:after="120"/>
        <w:ind w:left="0"/>
        <w:contextualSpacing w:val="0"/>
        <w:jc w:val="left"/>
        <w:rPr>
          <w:noProof/>
          <w:snapToGrid w:val="0"/>
          <w:kern w:val="22"/>
          <w:szCs w:val="22"/>
          <w:lang w:val="fr-CA"/>
        </w:rPr>
      </w:pPr>
      <w:r w:rsidRPr="009926FC">
        <w:rPr>
          <w:noProof/>
          <w:szCs w:val="22"/>
          <w:lang w:val="fr-CA"/>
        </w:rPr>
        <w:t>L’article 18 du règlement intérieur des réunions de la Conférence des Parties dispose que </w:t>
      </w:r>
      <w:r w:rsidR="003A11A6" w:rsidRPr="009926FC">
        <w:rPr>
          <w:noProof/>
          <w:snapToGrid w:val="0"/>
          <w:kern w:val="22"/>
          <w:szCs w:val="22"/>
          <w:lang w:val="fr-CA"/>
        </w:rPr>
        <w:t>:</w:t>
      </w:r>
    </w:p>
    <w:p w:rsidR="003A11A6" w:rsidRPr="009926FC" w:rsidRDefault="00AC792E" w:rsidP="00A23AD0">
      <w:pPr>
        <w:suppressLineNumbers/>
        <w:suppressAutoHyphens/>
        <w:kinsoku w:val="0"/>
        <w:overflowPunct w:val="0"/>
        <w:autoSpaceDE w:val="0"/>
        <w:autoSpaceDN w:val="0"/>
        <w:adjustRightInd w:val="0"/>
        <w:snapToGrid w:val="0"/>
        <w:spacing w:before="120" w:after="120"/>
        <w:ind w:left="720" w:right="-36"/>
        <w:rPr>
          <w:noProof/>
          <w:snapToGrid w:val="0"/>
          <w:spacing w:val="-2"/>
          <w:kern w:val="22"/>
          <w:szCs w:val="22"/>
          <w:lang w:val="fr-CA"/>
        </w:rPr>
      </w:pPr>
      <w:r w:rsidRPr="009926FC">
        <w:rPr>
          <w:noProof/>
          <w:snapToGrid w:val="0"/>
          <w:spacing w:val="-2"/>
          <w:kern w:val="22"/>
          <w:szCs w:val="22"/>
          <w:lang w:val="fr-CA"/>
        </w:rPr>
        <w:t>« </w:t>
      </w:r>
      <w:r w:rsidRPr="009926FC">
        <w:rPr>
          <w:noProof/>
          <w:kern w:val="22"/>
          <w:szCs w:val="22"/>
          <w:lang w:val="fr-CA"/>
        </w:rPr>
        <w:t>Les pouvoirs des représentants et les noms des suppléants et des conseillers sont communiqués au Secrétaire exécutif de la Conférence des Parties ou au représentant du Secrétaire exécutif si possible vingt</w:t>
      </w:r>
      <w:r w:rsidR="00E838F6" w:rsidRPr="009926FC">
        <w:rPr>
          <w:noProof/>
          <w:kern w:val="22"/>
          <w:szCs w:val="22"/>
          <w:lang w:val="fr-CA"/>
        </w:rPr>
        <w:noBreakHyphen/>
      </w:r>
      <w:r w:rsidRPr="009926FC">
        <w:rPr>
          <w:noProof/>
          <w:kern w:val="22"/>
          <w:szCs w:val="22"/>
          <w:lang w:val="fr-CA"/>
        </w:rPr>
        <w:t>quatre heures au plus tard après l’ouverture de la réunion. Toute modification ultérieure de la composition des délégations est également communiquée au Secrétaire exécutif ou au représentant du Secrétaire exécutif. Les pouvoirs doivent émaner soit du chef de l’État ou du chef du gouvernement, soit du ministre des Affaires étrangères ou, dans le cas d'une organisation d'intégration économique, de l'autorité compétente de cette organisation</w:t>
      </w:r>
      <w:r w:rsidRPr="009926FC">
        <w:rPr>
          <w:noProof/>
          <w:snapToGrid w:val="0"/>
          <w:spacing w:val="-2"/>
          <w:kern w:val="22"/>
          <w:szCs w:val="22"/>
          <w:lang w:val="fr-CA"/>
        </w:rPr>
        <w:t>. »</w:t>
      </w:r>
    </w:p>
    <w:p w:rsidR="003A11A6" w:rsidRPr="009926FC" w:rsidRDefault="00AC792E"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zCs w:val="22"/>
          <w:lang w:val="fr-CA"/>
        </w:rPr>
        <w:t>L’article 19 dispose que « le Bureau de la réunion examine les pouvoirs et fait rapport à la Conférence des Parties pour décision »</w:t>
      </w:r>
      <w:r w:rsidR="003A11A6" w:rsidRPr="009926FC">
        <w:rPr>
          <w:noProof/>
          <w:snapToGrid w:val="0"/>
          <w:kern w:val="22"/>
          <w:szCs w:val="22"/>
          <w:lang w:val="fr-CA"/>
        </w:rPr>
        <w:t>.</w:t>
      </w:r>
    </w:p>
    <w:p w:rsidR="003A11A6" w:rsidRPr="009926FC" w:rsidRDefault="00AC792E"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zCs w:val="22"/>
          <w:lang w:val="fr-CA"/>
        </w:rPr>
        <w:t>Afin d’aider les Parties à satisf</w:t>
      </w:r>
      <w:r w:rsidR="00637BE0" w:rsidRPr="009926FC">
        <w:rPr>
          <w:noProof/>
          <w:szCs w:val="22"/>
          <w:lang w:val="fr-CA"/>
        </w:rPr>
        <w:t>aire aux exigences de l’article </w:t>
      </w:r>
      <w:r w:rsidRPr="009926FC">
        <w:rPr>
          <w:noProof/>
          <w:szCs w:val="22"/>
          <w:lang w:val="fr-CA"/>
        </w:rPr>
        <w:t>18, la Secrétaire exécutive émettra une notification et distribuera aux correspondants nationaux un exemple de modèle de pouvoirs adéquat</w:t>
      </w:r>
      <w:r w:rsidR="003A11A6" w:rsidRPr="009926FC">
        <w:rPr>
          <w:noProof/>
          <w:snapToGrid w:val="0"/>
          <w:kern w:val="22"/>
          <w:szCs w:val="22"/>
          <w:lang w:val="fr-CA"/>
        </w:rPr>
        <w:t>.</w:t>
      </w:r>
    </w:p>
    <w:p w:rsidR="003A11A6" w:rsidRPr="009926FC" w:rsidRDefault="00AC792E"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 xml:space="preserve">La Conférence des Parties siégeant en tant que réunion des Partie au Protocole pourrait souhaiter examiner </w:t>
      </w:r>
      <w:r w:rsidRPr="009926FC">
        <w:rPr>
          <w:noProof/>
          <w:szCs w:val="22"/>
          <w:lang w:val="fr-CA"/>
        </w:rPr>
        <w:t>et adopter le rapport de vérification des pouvoirs que lui remettra le Bureau.</w:t>
      </w:r>
    </w:p>
    <w:p w:rsidR="003A11A6" w:rsidRPr="009926FC" w:rsidRDefault="0040534E"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noProof/>
          <w:kern w:val="22"/>
          <w:szCs w:val="22"/>
          <w:lang w:val="fr-CA"/>
        </w:rPr>
      </w:pPr>
      <w:r w:rsidRPr="009926FC">
        <w:rPr>
          <w:b/>
          <w:noProof/>
          <w:kern w:val="22"/>
          <w:szCs w:val="22"/>
          <w:lang w:val="fr-CA"/>
        </w:rPr>
        <w:t>Point</w:t>
      </w:r>
      <w:r w:rsidR="003A11A6" w:rsidRPr="009926FC">
        <w:rPr>
          <w:b/>
          <w:noProof/>
          <w:kern w:val="22"/>
          <w:szCs w:val="22"/>
          <w:lang w:val="fr-CA"/>
        </w:rPr>
        <w:t xml:space="preserve"> 4.</w:t>
      </w:r>
      <w:r w:rsidR="003A11A6" w:rsidRPr="009926FC">
        <w:rPr>
          <w:b/>
          <w:noProof/>
          <w:kern w:val="22"/>
          <w:szCs w:val="22"/>
          <w:lang w:val="fr-CA"/>
        </w:rPr>
        <w:tab/>
      </w:r>
      <w:r w:rsidRPr="009926FC">
        <w:rPr>
          <w:b/>
          <w:bCs/>
          <w:noProof/>
          <w:snapToGrid w:val="0"/>
          <w:kern w:val="22"/>
          <w:szCs w:val="22"/>
          <w:lang w:val="fr-CA"/>
        </w:rPr>
        <w:t>Rapports des organes subsidiaires</w:t>
      </w:r>
    </w:p>
    <w:p w:rsidR="003A11A6" w:rsidRPr="009926FC" w:rsidRDefault="00CD3C4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Le paragraphe  1 de l’article 30 du Protocole de Cartagena dispose que « </w:t>
      </w:r>
      <w:r w:rsidR="00637BE0" w:rsidRPr="009926FC">
        <w:rPr>
          <w:noProof/>
          <w:snapToGrid w:val="0"/>
          <w:kern w:val="22"/>
          <w:szCs w:val="22"/>
          <w:lang w:val="fr-CA"/>
        </w:rPr>
        <w:t>[t]</w:t>
      </w:r>
      <w:r w:rsidRPr="009926FC">
        <w:rPr>
          <w:noProof/>
          <w:snapToGrid w:val="0"/>
          <w:kern w:val="22"/>
          <w:szCs w:val="22"/>
          <w:lang w:val="fr-CA"/>
        </w:rPr>
        <w:t>out organe subsidiaire créé par, ou en vertu de, la Convention peut, sur décision de la Conférence des Parties siégeant en tant que Réunion des Parties au présent Protocole, s'acquitter de fonctions au titre du Protocole, auquel cas la Réunion des Parties spécifie les fonctions exercées par cet organe. »</w:t>
      </w:r>
    </w:p>
    <w:p w:rsidR="003A11A6" w:rsidRPr="009926FC" w:rsidRDefault="00CD3C4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Au titre de ce point, le président informera la Conférence des Parties siégeant en tant que réunion des Parties au Protocole de Cartagena des réunions des organes subsidiaires tenues durant la période intersessions et des rapports correspondants, étant entendu que les questions de fond qui en découlent seront abordées au titre du poi</w:t>
      </w:r>
      <w:r w:rsidR="00A000F3" w:rsidRPr="009926FC">
        <w:rPr>
          <w:noProof/>
          <w:snapToGrid w:val="0"/>
          <w:kern w:val="22"/>
          <w:szCs w:val="22"/>
          <w:lang w:val="fr-CA"/>
        </w:rPr>
        <w:t>nt à l’ordre du jour approprié.</w:t>
      </w:r>
    </w:p>
    <w:p w:rsidR="003A11A6" w:rsidRPr="009926FC" w:rsidRDefault="0082024A" w:rsidP="00A23AD0">
      <w:pPr>
        <w:pStyle w:val="ListParagraph"/>
        <w:numPr>
          <w:ilvl w:val="0"/>
          <w:numId w:val="37"/>
        </w:numPr>
        <w:tabs>
          <w:tab w:val="clear" w:pos="450"/>
        </w:tabs>
        <w:adjustRightInd w:val="0"/>
        <w:snapToGrid w:val="0"/>
        <w:spacing w:before="120" w:after="120"/>
        <w:ind w:left="0"/>
        <w:contextualSpacing w:val="0"/>
        <w:rPr>
          <w:noProof/>
          <w:lang w:val="fr-CA"/>
        </w:rPr>
      </w:pPr>
      <w:r w:rsidRPr="009926FC">
        <w:rPr>
          <w:noProof/>
          <w:lang w:val="fr-CA"/>
        </w:rPr>
        <w:t>Les rapports sur les première, deu</w:t>
      </w:r>
      <w:r w:rsidR="00A000F3" w:rsidRPr="009926FC">
        <w:rPr>
          <w:noProof/>
          <w:lang w:val="fr-CA"/>
        </w:rPr>
        <w:t>xième et troisième réunions du G</w:t>
      </w:r>
      <w:r w:rsidRPr="009926FC">
        <w:rPr>
          <w:noProof/>
          <w:lang w:val="fr-CA"/>
        </w:rPr>
        <w:t>roupe de travail à composition non limitée sur le cadre mondial de la biodiversité pour l’après</w:t>
      </w:r>
      <w:r w:rsidR="00E838F6" w:rsidRPr="009926FC">
        <w:rPr>
          <w:noProof/>
          <w:lang w:val="fr-CA"/>
        </w:rPr>
        <w:noBreakHyphen/>
      </w:r>
      <w:r w:rsidRPr="009926FC">
        <w:rPr>
          <w:noProof/>
          <w:lang w:val="fr-CA"/>
        </w:rPr>
        <w:t>2020 compteront parmi les rapports présentés à la Conférence des Parties au cours de la Partie I de sa quinzième réunion.</w:t>
      </w:r>
    </w:p>
    <w:p w:rsidR="003A11A6" w:rsidRPr="009926FC" w:rsidRDefault="009D2F3A"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Les coprésidents du G</w:t>
      </w:r>
      <w:r w:rsidR="000F5537" w:rsidRPr="009926FC">
        <w:rPr>
          <w:noProof/>
          <w:snapToGrid w:val="0"/>
          <w:kern w:val="22"/>
          <w:szCs w:val="22"/>
          <w:lang w:val="fr-CA"/>
        </w:rPr>
        <w:t>roupe de travail à composition non limitée sur le cadre mondial de la biodiversité pour l’après</w:t>
      </w:r>
      <w:r w:rsidR="00E838F6" w:rsidRPr="009926FC">
        <w:rPr>
          <w:noProof/>
          <w:snapToGrid w:val="0"/>
          <w:kern w:val="22"/>
          <w:szCs w:val="22"/>
          <w:lang w:val="fr-CA"/>
        </w:rPr>
        <w:noBreakHyphen/>
      </w:r>
      <w:r w:rsidR="000F5537" w:rsidRPr="009926FC">
        <w:rPr>
          <w:noProof/>
          <w:snapToGrid w:val="0"/>
          <w:kern w:val="22"/>
          <w:szCs w:val="22"/>
          <w:lang w:val="fr-CA"/>
        </w:rPr>
        <w:t xml:space="preserve">2020 feront rapport sur l’état d’avancement des </w:t>
      </w:r>
      <w:r w:rsidRPr="009926FC">
        <w:rPr>
          <w:noProof/>
          <w:snapToGrid w:val="0"/>
          <w:kern w:val="22"/>
          <w:szCs w:val="22"/>
          <w:lang w:val="fr-CA"/>
        </w:rPr>
        <w:t>travaux d’élaboration du cadre.</w:t>
      </w:r>
    </w:p>
    <w:p w:rsidR="003A11A6" w:rsidRPr="009926FC" w:rsidRDefault="000F5537"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Les rapports de l’Organe subsidiaire chargé de fournir des avis scientifiques, techniques et technologiques sur sa vingt</w:t>
      </w:r>
      <w:r w:rsidR="00E838F6" w:rsidRPr="009926FC">
        <w:rPr>
          <w:noProof/>
          <w:snapToGrid w:val="0"/>
          <w:kern w:val="22"/>
          <w:szCs w:val="22"/>
          <w:lang w:val="fr-CA"/>
        </w:rPr>
        <w:noBreakHyphen/>
      </w:r>
      <w:r w:rsidRPr="009926FC">
        <w:rPr>
          <w:noProof/>
          <w:snapToGrid w:val="0"/>
          <w:kern w:val="22"/>
          <w:szCs w:val="22"/>
          <w:lang w:val="fr-CA"/>
        </w:rPr>
        <w:t>quatrième réunion et de l’Organe subsidiaire chargé de l’application sur sa troisième réunion seront présentés à la Conférence des Parties siégeant en tant que réunion des Parties au Protocole de Cartagena au cours de la Partie II de la réunion, en 2022.</w:t>
      </w:r>
    </w:p>
    <w:p w:rsidR="003A11A6" w:rsidRPr="009926FC" w:rsidRDefault="0040534E"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noProof/>
          <w:kern w:val="22"/>
          <w:szCs w:val="22"/>
          <w:lang w:val="fr-CA"/>
        </w:rPr>
      </w:pPr>
      <w:r w:rsidRPr="009926FC">
        <w:rPr>
          <w:b/>
          <w:noProof/>
          <w:kern w:val="22"/>
          <w:szCs w:val="22"/>
          <w:lang w:val="fr-CA"/>
        </w:rPr>
        <w:t>Point</w:t>
      </w:r>
      <w:r w:rsidR="003A11A6" w:rsidRPr="009926FC">
        <w:rPr>
          <w:b/>
          <w:noProof/>
          <w:kern w:val="22"/>
          <w:szCs w:val="22"/>
          <w:lang w:val="fr-CA"/>
        </w:rPr>
        <w:t xml:space="preserve"> 5.</w:t>
      </w:r>
      <w:r w:rsidR="003A11A6" w:rsidRPr="009926FC">
        <w:rPr>
          <w:b/>
          <w:noProof/>
          <w:kern w:val="22"/>
          <w:szCs w:val="22"/>
          <w:lang w:val="fr-CA"/>
        </w:rPr>
        <w:tab/>
      </w:r>
      <w:r w:rsidRPr="009926FC">
        <w:rPr>
          <w:b/>
          <w:bCs/>
          <w:noProof/>
          <w:snapToGrid w:val="0"/>
          <w:kern w:val="22"/>
          <w:lang w:val="fr-CA"/>
        </w:rPr>
        <w:t>Rapport du Comité d’examen du respect des dispositions</w:t>
      </w:r>
    </w:p>
    <w:p w:rsidR="003A11A6" w:rsidRPr="009926FC" w:rsidRDefault="00CA1F59"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 xml:space="preserve">Le </w:t>
      </w:r>
      <w:r w:rsidRPr="009926FC">
        <w:rPr>
          <w:bCs/>
          <w:noProof/>
          <w:snapToGrid w:val="0"/>
          <w:kern w:val="22"/>
          <w:lang w:val="fr-CA"/>
        </w:rPr>
        <w:t xml:space="preserve">Comité d’examen du respect des dispositions au titre du Protocole de Cartagena </w:t>
      </w:r>
      <w:r w:rsidR="001325D5" w:rsidRPr="009926FC">
        <w:rPr>
          <w:bCs/>
          <w:noProof/>
          <w:snapToGrid w:val="0"/>
          <w:kern w:val="22"/>
          <w:lang w:val="fr-CA"/>
        </w:rPr>
        <w:t>est chargé de</w:t>
      </w:r>
      <w:r w:rsidRPr="009926FC">
        <w:rPr>
          <w:bCs/>
          <w:noProof/>
          <w:snapToGrid w:val="0"/>
          <w:kern w:val="22"/>
          <w:lang w:val="fr-CA"/>
        </w:rPr>
        <w:t xml:space="preserve"> faire rapport et </w:t>
      </w:r>
      <w:r w:rsidR="001325D5" w:rsidRPr="009926FC">
        <w:rPr>
          <w:bCs/>
          <w:noProof/>
          <w:snapToGrid w:val="0"/>
          <w:kern w:val="22"/>
          <w:lang w:val="fr-CA"/>
        </w:rPr>
        <w:t xml:space="preserve">de </w:t>
      </w:r>
      <w:r w:rsidRPr="009926FC">
        <w:rPr>
          <w:bCs/>
          <w:noProof/>
          <w:snapToGrid w:val="0"/>
          <w:kern w:val="22"/>
          <w:lang w:val="fr-CA"/>
        </w:rPr>
        <w:t>soumettre ses recommandations</w:t>
      </w:r>
      <w:r w:rsidR="001325D5" w:rsidRPr="009926FC">
        <w:rPr>
          <w:bCs/>
          <w:noProof/>
          <w:snapToGrid w:val="0"/>
          <w:kern w:val="22"/>
          <w:lang w:val="fr-CA"/>
        </w:rPr>
        <w:t xml:space="preserve"> à la </w:t>
      </w:r>
      <w:r w:rsidR="00384F37" w:rsidRPr="009926FC">
        <w:rPr>
          <w:bCs/>
          <w:noProof/>
          <w:snapToGrid w:val="0"/>
          <w:kern w:val="22"/>
          <w:lang w:val="fr-CA"/>
        </w:rPr>
        <w:t>Conférence des Parties siégeant en tant que Réunion des Parties au Protocole</w:t>
      </w:r>
      <w:r w:rsidR="00CA4298" w:rsidRPr="009926FC">
        <w:rPr>
          <w:bCs/>
          <w:noProof/>
          <w:snapToGrid w:val="0"/>
          <w:kern w:val="22"/>
          <w:lang w:val="fr-CA"/>
        </w:rPr>
        <w:t>. Par conséquent, le comité soumettra son rapport sur les travaux qu’il a entrepris suite à la neuvième réunion des Parties au Protocole.</w:t>
      </w:r>
    </w:p>
    <w:p w:rsidR="003A11A6" w:rsidRPr="009926FC" w:rsidRDefault="00CA4298"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 xml:space="preserve">Il est prévu que le rapport et les recommandations du Comité d’examen </w:t>
      </w:r>
      <w:r w:rsidR="008F03ED" w:rsidRPr="009926FC">
        <w:rPr>
          <w:noProof/>
          <w:snapToGrid w:val="0"/>
          <w:kern w:val="22"/>
          <w:szCs w:val="22"/>
          <w:lang w:val="fr-CA"/>
        </w:rPr>
        <w:t>du respect des dispositions soie</w:t>
      </w:r>
      <w:r w:rsidRPr="009926FC">
        <w:rPr>
          <w:noProof/>
          <w:snapToGrid w:val="0"/>
          <w:kern w:val="22"/>
          <w:szCs w:val="22"/>
          <w:lang w:val="fr-CA"/>
        </w:rPr>
        <w:t>nt examinés au cours de la Partie II de la réunion.</w:t>
      </w:r>
    </w:p>
    <w:p w:rsidR="003A11A6" w:rsidRPr="009926FC" w:rsidRDefault="00CA4298"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kern w:val="22"/>
          <w:szCs w:val="22"/>
          <w:lang w:val="fr-CA"/>
        </w:rPr>
      </w:pPr>
      <w:r w:rsidRPr="009926FC">
        <w:rPr>
          <w:noProof/>
          <w:snapToGrid w:val="0"/>
          <w:kern w:val="22"/>
          <w:szCs w:val="22"/>
          <w:lang w:val="fr-CA"/>
        </w:rPr>
        <w:t>La Conférence des Parties siégeant en tant que réunion des Parties au Protocole de Cartagena sera également invitée à élire de nouveaux membres au Comité d’examen du respect des dispositions au cours de la Partie II de la ré</w:t>
      </w:r>
      <w:r w:rsidR="008F03ED" w:rsidRPr="009926FC">
        <w:rPr>
          <w:noProof/>
          <w:snapToGrid w:val="0"/>
          <w:kern w:val="22"/>
          <w:szCs w:val="22"/>
          <w:lang w:val="fr-CA"/>
        </w:rPr>
        <w:t>union.</w:t>
      </w:r>
    </w:p>
    <w:p w:rsidR="003A11A6" w:rsidRPr="009926FC" w:rsidRDefault="0040534E"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noProof/>
          <w:kern w:val="22"/>
          <w:szCs w:val="22"/>
          <w:lang w:val="fr-CA"/>
        </w:rPr>
      </w:pPr>
      <w:r w:rsidRPr="009926FC">
        <w:rPr>
          <w:b/>
          <w:noProof/>
          <w:kern w:val="22"/>
          <w:szCs w:val="22"/>
          <w:lang w:val="fr-CA"/>
        </w:rPr>
        <w:t>Point</w:t>
      </w:r>
      <w:r w:rsidR="003A11A6" w:rsidRPr="009926FC">
        <w:rPr>
          <w:b/>
          <w:noProof/>
          <w:kern w:val="22"/>
          <w:szCs w:val="22"/>
          <w:lang w:val="fr-CA"/>
        </w:rPr>
        <w:t xml:space="preserve"> 6.</w:t>
      </w:r>
      <w:r w:rsidR="003A11A6" w:rsidRPr="009926FC">
        <w:rPr>
          <w:b/>
          <w:noProof/>
          <w:kern w:val="22"/>
          <w:szCs w:val="22"/>
          <w:lang w:val="fr-CA"/>
        </w:rPr>
        <w:tab/>
      </w:r>
      <w:r w:rsidR="00CA1F59" w:rsidRPr="009926FC">
        <w:rPr>
          <w:b/>
          <w:bCs/>
          <w:noProof/>
          <w:snapToGrid w:val="0"/>
          <w:kern w:val="22"/>
          <w:szCs w:val="22"/>
          <w:lang w:val="fr-CA"/>
        </w:rPr>
        <w:t>Administration du Protocole et budget des Fonds d’affectation spéciale</w:t>
      </w:r>
    </w:p>
    <w:p w:rsidR="003A11A6" w:rsidRPr="009926FC" w:rsidRDefault="003854A8"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 xml:space="preserve">La Conférence des Parties siégeant en tant que réunion des Parties au Protocole de Cartagena sera saisie d’un rapport intérimaire de la Secrétaire exécutive sur l’administration de la Convention et de ses Protocoles, notamment sur le budget des Fonds d’affectation spéciale respectifs. Au cours de la Partie I de la réunion, en octobre 2021, la Conférence des Parties siégeant en tant que Réunion des Parties au Protocole </w:t>
      </w:r>
      <w:r w:rsidR="006261F8" w:rsidRPr="009926FC">
        <w:rPr>
          <w:noProof/>
          <w:snapToGrid w:val="0"/>
          <w:kern w:val="22"/>
          <w:szCs w:val="22"/>
          <w:lang w:val="fr-CA"/>
        </w:rPr>
        <w:t>pourrait souhaiter examiner et adopter un budget intérimaire pour 2022.</w:t>
      </w:r>
    </w:p>
    <w:p w:rsidR="003A11A6" w:rsidRPr="009926FC" w:rsidRDefault="006261F8"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 xml:space="preserve">La Conférence des Parties siégeant en tant que réunion des Parties au Protocole de Cartagena pourrait souhaiter renvoyer le budget intérimaire proposé pour 2022 au groupe de contact sur le budget qui devrait être créé par la Conférence des Parties à la Convention </w:t>
      </w:r>
      <w:r w:rsidR="0027459B" w:rsidRPr="009926FC">
        <w:rPr>
          <w:noProof/>
          <w:snapToGrid w:val="0"/>
          <w:kern w:val="22"/>
          <w:szCs w:val="22"/>
          <w:lang w:val="fr-CA"/>
        </w:rPr>
        <w:t>au cours de</w:t>
      </w:r>
      <w:r w:rsidRPr="009926FC">
        <w:rPr>
          <w:noProof/>
          <w:snapToGrid w:val="0"/>
          <w:kern w:val="22"/>
          <w:szCs w:val="22"/>
          <w:lang w:val="fr-CA"/>
        </w:rPr>
        <w:t xml:space="preserve"> sa première séance plénière.</w:t>
      </w:r>
    </w:p>
    <w:p w:rsidR="003A11A6" w:rsidRPr="009926FC" w:rsidRDefault="0040534E"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noProof/>
          <w:kern w:val="22"/>
          <w:szCs w:val="22"/>
          <w:lang w:val="fr-CA"/>
        </w:rPr>
      </w:pPr>
      <w:bookmarkStart w:id="7" w:name="_heading=h.gjdgxs" w:colFirst="0" w:colLast="0"/>
      <w:bookmarkStart w:id="8" w:name="_heading=h.30j0zll" w:colFirst="0" w:colLast="0"/>
      <w:bookmarkStart w:id="9" w:name="_heading=h.xuy1qui6wltd" w:colFirst="0" w:colLast="0"/>
      <w:bookmarkStart w:id="10" w:name="_heading=h.nkgw0ii72cmr" w:colFirst="0" w:colLast="0"/>
      <w:bookmarkStart w:id="11" w:name="_heading=h.3znysh7" w:colFirst="0" w:colLast="0"/>
      <w:bookmarkEnd w:id="7"/>
      <w:bookmarkEnd w:id="8"/>
      <w:bookmarkEnd w:id="9"/>
      <w:bookmarkEnd w:id="10"/>
      <w:bookmarkEnd w:id="11"/>
      <w:r w:rsidRPr="009926FC">
        <w:rPr>
          <w:b/>
          <w:noProof/>
          <w:kern w:val="22"/>
          <w:szCs w:val="22"/>
          <w:lang w:val="fr-CA"/>
        </w:rPr>
        <w:t>Point</w:t>
      </w:r>
      <w:r w:rsidR="003A11A6" w:rsidRPr="009926FC">
        <w:rPr>
          <w:b/>
          <w:noProof/>
          <w:kern w:val="22"/>
          <w:szCs w:val="22"/>
          <w:lang w:val="fr-CA"/>
        </w:rPr>
        <w:t xml:space="preserve"> 18.</w:t>
      </w:r>
      <w:r w:rsidR="003A11A6" w:rsidRPr="009926FC">
        <w:rPr>
          <w:b/>
          <w:noProof/>
          <w:kern w:val="22"/>
          <w:szCs w:val="22"/>
          <w:lang w:val="fr-CA"/>
        </w:rPr>
        <w:tab/>
      </w:r>
      <w:r w:rsidR="00CA1F59" w:rsidRPr="009926FC">
        <w:rPr>
          <w:b/>
          <w:bCs/>
          <w:noProof/>
          <w:snapToGrid w:val="0"/>
          <w:kern w:val="22"/>
          <w:szCs w:val="22"/>
          <w:lang w:val="fr-CA"/>
        </w:rPr>
        <w:t>Questions diverses</w:t>
      </w:r>
    </w:p>
    <w:p w:rsidR="003A11A6" w:rsidRPr="009926FC" w:rsidRDefault="002810AB"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La Conférence des Parties siégeant en tant que réunion des Parties au Protocole de Cartagena pourrait souhaiter examiner d’autres questions soulevées et acceptées pour débat, conformément à l’article 12 du règlement intérieur et au paragraphe 7 de la décision </w:t>
      </w:r>
      <w:hyperlink r:id="rId20" w:history="1">
        <w:r w:rsidRPr="009926FC">
          <w:rPr>
            <w:noProof/>
            <w:snapToGrid w:val="0"/>
            <w:color w:val="0000FF"/>
            <w:kern w:val="22"/>
            <w:szCs w:val="22"/>
            <w:u w:val="single"/>
            <w:lang w:val="fr-CA"/>
          </w:rPr>
          <w:t>IV/16</w:t>
        </w:r>
      </w:hyperlink>
      <w:bookmarkStart w:id="12" w:name="_GoBack"/>
      <w:bookmarkEnd w:id="12"/>
      <w:r w:rsidRPr="009926FC">
        <w:rPr>
          <w:noProof/>
          <w:lang w:val="fr-CA"/>
        </w:rPr>
        <w:t>.</w:t>
      </w:r>
    </w:p>
    <w:p w:rsidR="003A11A6" w:rsidRPr="009926FC" w:rsidRDefault="002810AB"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Au titre de ce point à l’ordre du jour, il est prévu que le président informe la plénière des résultats du débat de haut niveau t</w:t>
      </w:r>
      <w:r w:rsidR="0027459B" w:rsidRPr="009926FC">
        <w:rPr>
          <w:noProof/>
          <w:snapToGrid w:val="0"/>
          <w:kern w:val="22"/>
          <w:szCs w:val="22"/>
          <w:lang w:val="fr-CA"/>
        </w:rPr>
        <w:t>enu les 12 et 13 octobre 2021.</w:t>
      </w:r>
    </w:p>
    <w:p w:rsidR="003A11A6" w:rsidRPr="009926FC" w:rsidRDefault="0040534E"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noProof/>
          <w:kern w:val="22"/>
          <w:szCs w:val="22"/>
          <w:lang w:val="fr-CA"/>
        </w:rPr>
      </w:pPr>
      <w:r w:rsidRPr="009926FC">
        <w:rPr>
          <w:b/>
          <w:noProof/>
          <w:kern w:val="22"/>
          <w:szCs w:val="22"/>
          <w:lang w:val="fr-CA"/>
        </w:rPr>
        <w:t>Point</w:t>
      </w:r>
      <w:r w:rsidR="003A11A6" w:rsidRPr="009926FC">
        <w:rPr>
          <w:b/>
          <w:noProof/>
          <w:kern w:val="22"/>
          <w:szCs w:val="22"/>
          <w:lang w:val="fr-CA"/>
        </w:rPr>
        <w:t xml:space="preserve"> 19. </w:t>
      </w:r>
      <w:r w:rsidR="003A11A6" w:rsidRPr="009926FC">
        <w:rPr>
          <w:b/>
          <w:noProof/>
          <w:kern w:val="22"/>
          <w:szCs w:val="22"/>
          <w:lang w:val="fr-CA"/>
        </w:rPr>
        <w:tab/>
      </w:r>
      <w:r w:rsidR="00CA1F59" w:rsidRPr="009926FC">
        <w:rPr>
          <w:b/>
          <w:bCs/>
          <w:noProof/>
          <w:snapToGrid w:val="0"/>
          <w:kern w:val="22"/>
          <w:szCs w:val="22"/>
          <w:lang w:val="fr-CA"/>
        </w:rPr>
        <w:t>Adoption du rapport</w:t>
      </w:r>
    </w:p>
    <w:p w:rsidR="003A11A6" w:rsidRPr="009926FC" w:rsidRDefault="002810AB"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La Conférence des Parties siégeant en tant que réunion des Parties au Protocole de Cartagena pourrait souhaiter examiner et adopter le rapport sur les travaux de la première partie de sa réunion sur la base du projet de rap</w:t>
      </w:r>
      <w:r w:rsidR="003D56A0" w:rsidRPr="009926FC">
        <w:rPr>
          <w:noProof/>
          <w:snapToGrid w:val="0"/>
          <w:kern w:val="22"/>
          <w:szCs w:val="22"/>
          <w:lang w:val="fr-CA"/>
        </w:rPr>
        <w:t>port préparé par le rapporteur.</w:t>
      </w:r>
    </w:p>
    <w:p w:rsidR="003A11A6" w:rsidRPr="009926FC" w:rsidRDefault="002810AB"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 xml:space="preserve">Au cours de la seconde partie de sa réunion, en 2022, la Conférence des Parties siégeant en tant que </w:t>
      </w:r>
      <w:r w:rsidR="00B73046" w:rsidRPr="009926FC">
        <w:rPr>
          <w:noProof/>
          <w:snapToGrid w:val="0"/>
          <w:kern w:val="22"/>
          <w:szCs w:val="22"/>
          <w:lang w:val="fr-CA"/>
        </w:rPr>
        <w:t xml:space="preserve">Réunion des Parties pourrait souhaiter examiner et adopter un rapport complémentaire sur la base d’une ébauche qui sera élaborée par le rapporteur et des rapports des deux groupes de travail reflétant les travaux de la seconde partie de sa réunion, qui s’est déroulée en personne. Ensemble, les rapports des deux parties de la réunion constitueront les </w:t>
      </w:r>
      <w:r w:rsidR="003D56A0" w:rsidRPr="009926FC">
        <w:rPr>
          <w:noProof/>
          <w:snapToGrid w:val="0"/>
          <w:kern w:val="22"/>
          <w:szCs w:val="22"/>
          <w:lang w:val="fr-CA"/>
        </w:rPr>
        <w:t>actes</w:t>
      </w:r>
      <w:r w:rsidR="00B73046" w:rsidRPr="009926FC">
        <w:rPr>
          <w:noProof/>
          <w:snapToGrid w:val="0"/>
          <w:kern w:val="22"/>
          <w:szCs w:val="22"/>
          <w:lang w:val="fr-CA"/>
        </w:rPr>
        <w:t xml:space="preserve"> de la réunion.</w:t>
      </w:r>
    </w:p>
    <w:p w:rsidR="003A11A6" w:rsidRPr="009926FC" w:rsidRDefault="0040534E"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noProof/>
          <w:kern w:val="22"/>
          <w:szCs w:val="22"/>
          <w:lang w:val="fr-CA"/>
        </w:rPr>
      </w:pPr>
      <w:r w:rsidRPr="009926FC">
        <w:rPr>
          <w:b/>
          <w:noProof/>
          <w:kern w:val="22"/>
          <w:szCs w:val="22"/>
          <w:lang w:val="fr-CA"/>
        </w:rPr>
        <w:t>Point</w:t>
      </w:r>
      <w:r w:rsidR="003A11A6" w:rsidRPr="009926FC">
        <w:rPr>
          <w:b/>
          <w:noProof/>
          <w:kern w:val="22"/>
          <w:szCs w:val="22"/>
          <w:lang w:val="fr-CA"/>
        </w:rPr>
        <w:t xml:space="preserve"> 20. </w:t>
      </w:r>
      <w:r w:rsidR="003A11A6" w:rsidRPr="009926FC">
        <w:rPr>
          <w:b/>
          <w:noProof/>
          <w:kern w:val="22"/>
          <w:szCs w:val="22"/>
          <w:lang w:val="fr-CA"/>
        </w:rPr>
        <w:tab/>
      </w:r>
      <w:r w:rsidR="00CA1F59" w:rsidRPr="009926FC">
        <w:rPr>
          <w:b/>
          <w:bCs/>
          <w:noProof/>
          <w:snapToGrid w:val="0"/>
          <w:kern w:val="22"/>
          <w:szCs w:val="22"/>
          <w:lang w:val="fr-CA"/>
        </w:rPr>
        <w:t>Clôture de la réunion</w:t>
      </w:r>
    </w:p>
    <w:p w:rsidR="003A11A6" w:rsidRPr="009926FC" w:rsidRDefault="00B73046" w:rsidP="00A23AD0">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noProof/>
          <w:snapToGrid w:val="0"/>
          <w:kern w:val="22"/>
          <w:szCs w:val="22"/>
          <w:lang w:val="fr-CA"/>
        </w:rPr>
      </w:pPr>
      <w:r w:rsidRPr="009926FC">
        <w:rPr>
          <w:noProof/>
          <w:snapToGrid w:val="0"/>
          <w:kern w:val="22"/>
          <w:szCs w:val="22"/>
          <w:lang w:val="fr-CA"/>
        </w:rPr>
        <w:t xml:space="preserve">Il est </w:t>
      </w:r>
      <w:r w:rsidR="003D62E6" w:rsidRPr="009926FC">
        <w:rPr>
          <w:noProof/>
          <w:snapToGrid w:val="0"/>
          <w:kern w:val="22"/>
          <w:szCs w:val="22"/>
          <w:lang w:val="fr-CA"/>
        </w:rPr>
        <w:t>prévu que le président suspende</w:t>
      </w:r>
      <w:r w:rsidRPr="009926FC">
        <w:rPr>
          <w:noProof/>
          <w:snapToGrid w:val="0"/>
          <w:kern w:val="22"/>
          <w:szCs w:val="22"/>
          <w:lang w:val="fr-CA"/>
        </w:rPr>
        <w:t xml:space="preserve"> la réunion</w:t>
      </w:r>
      <w:r w:rsidR="00161F3B" w:rsidRPr="009926FC">
        <w:rPr>
          <w:noProof/>
          <w:snapToGrid w:val="0"/>
          <w:kern w:val="22"/>
          <w:szCs w:val="22"/>
          <w:lang w:val="fr-CA"/>
        </w:rPr>
        <w:t xml:space="preserve"> à</w:t>
      </w:r>
      <w:r w:rsidR="003D62E6" w:rsidRPr="009926FC">
        <w:rPr>
          <w:noProof/>
          <w:snapToGrid w:val="0"/>
          <w:kern w:val="22"/>
          <w:szCs w:val="22"/>
          <w:lang w:val="fr-CA"/>
        </w:rPr>
        <w:t>, ou avant,</w:t>
      </w:r>
      <w:r w:rsidR="00161F3B" w:rsidRPr="009926FC">
        <w:rPr>
          <w:noProof/>
          <w:snapToGrid w:val="0"/>
          <w:kern w:val="22"/>
          <w:szCs w:val="22"/>
          <w:lang w:val="fr-CA"/>
        </w:rPr>
        <w:t xml:space="preserve"> </w:t>
      </w:r>
      <w:r w:rsidRPr="009926FC">
        <w:rPr>
          <w:noProof/>
          <w:snapToGrid w:val="0"/>
          <w:kern w:val="22"/>
          <w:szCs w:val="22"/>
          <w:lang w:val="fr-CA"/>
        </w:rPr>
        <w:t>17 heures (heure locale de Kunming (Chine)), le vendredi 15 octobre 2</w:t>
      </w:r>
      <w:r w:rsidR="003D62E6" w:rsidRPr="009926FC">
        <w:rPr>
          <w:noProof/>
          <w:snapToGrid w:val="0"/>
          <w:kern w:val="22"/>
          <w:szCs w:val="22"/>
          <w:lang w:val="fr-CA"/>
        </w:rPr>
        <w:t>021, et que la réunion reprenne</w:t>
      </w:r>
      <w:r w:rsidRPr="009926FC">
        <w:rPr>
          <w:noProof/>
          <w:snapToGrid w:val="0"/>
          <w:kern w:val="22"/>
          <w:szCs w:val="22"/>
          <w:lang w:val="fr-CA"/>
        </w:rPr>
        <w:t xml:space="preserve"> en personne (Partie II), du 25 avril au 8 mai 2022, à Ku</w:t>
      </w:r>
      <w:r w:rsidR="00A4793C" w:rsidRPr="009926FC">
        <w:rPr>
          <w:noProof/>
          <w:snapToGrid w:val="0"/>
          <w:kern w:val="22"/>
          <w:szCs w:val="22"/>
          <w:lang w:val="fr-CA"/>
        </w:rPr>
        <w:t>nming (Chine). L</w:t>
      </w:r>
      <w:r w:rsidRPr="009926FC">
        <w:rPr>
          <w:noProof/>
          <w:snapToGrid w:val="0"/>
          <w:kern w:val="22"/>
          <w:szCs w:val="22"/>
          <w:lang w:val="fr-CA"/>
        </w:rPr>
        <w:t>a réunion</w:t>
      </w:r>
      <w:r w:rsidR="00EB3C9A" w:rsidRPr="009926FC">
        <w:rPr>
          <w:noProof/>
          <w:snapToGrid w:val="0"/>
          <w:kern w:val="22"/>
          <w:szCs w:val="22"/>
          <w:lang w:val="fr-CA"/>
        </w:rPr>
        <w:t xml:space="preserve"> sera</w:t>
      </w:r>
      <w:r w:rsidR="00A4793C" w:rsidRPr="009926FC">
        <w:rPr>
          <w:noProof/>
          <w:snapToGrid w:val="0"/>
          <w:kern w:val="22"/>
          <w:szCs w:val="22"/>
          <w:lang w:val="fr-CA"/>
        </w:rPr>
        <w:t xml:space="preserve"> donc</w:t>
      </w:r>
      <w:r w:rsidR="00EB3C9A" w:rsidRPr="009926FC">
        <w:rPr>
          <w:noProof/>
          <w:snapToGrid w:val="0"/>
          <w:kern w:val="22"/>
          <w:szCs w:val="22"/>
          <w:lang w:val="fr-CA"/>
        </w:rPr>
        <w:t xml:space="preserve"> officiellement levée à la conclusion de la Partie II de</w:t>
      </w:r>
      <w:r w:rsidR="009926FC">
        <w:rPr>
          <w:noProof/>
          <w:snapToGrid w:val="0"/>
          <w:kern w:val="22"/>
          <w:szCs w:val="22"/>
          <w:lang w:val="fr-CA"/>
        </w:rPr>
        <w:t xml:space="preserve"> la réunion, soit le 8 mai 2022</w:t>
      </w:r>
      <w:r w:rsidR="001172B3">
        <w:rPr>
          <w:noProof/>
          <w:snapToGrid w:val="0"/>
          <w:kern w:val="22"/>
          <w:szCs w:val="22"/>
          <w:lang w:val="fr-CA"/>
        </w:rPr>
        <w:t>.</w:t>
      </w:r>
    </w:p>
    <w:p w:rsidR="00B3778F" w:rsidRPr="009926FC" w:rsidRDefault="004409A7" w:rsidP="00A23AD0">
      <w:pPr>
        <w:pStyle w:val="bodytextnoindent"/>
        <w:suppressLineNumbers/>
        <w:suppressAutoHyphens/>
        <w:kinsoku w:val="0"/>
        <w:overflowPunct w:val="0"/>
        <w:autoSpaceDE w:val="0"/>
        <w:autoSpaceDN w:val="0"/>
        <w:adjustRightInd w:val="0"/>
        <w:snapToGrid w:val="0"/>
        <w:spacing w:before="120" w:after="120"/>
        <w:ind w:left="0" w:firstLine="0"/>
        <w:jc w:val="center"/>
        <w:rPr>
          <w:noProof/>
          <w:snapToGrid w:val="0"/>
          <w:kern w:val="22"/>
          <w:szCs w:val="22"/>
          <w:lang w:val="fr-CA"/>
        </w:rPr>
      </w:pPr>
      <w:r w:rsidRPr="009926FC">
        <w:rPr>
          <w:noProof/>
          <w:snapToGrid w:val="0"/>
          <w:kern w:val="22"/>
          <w:szCs w:val="22"/>
          <w:lang w:val="fr-CA"/>
        </w:rPr>
        <w:t>__________</w:t>
      </w:r>
    </w:p>
    <w:sectPr w:rsidR="00B3778F" w:rsidRPr="009926FC" w:rsidSect="005B25AE">
      <w:headerReference w:type="even" r:id="rId21"/>
      <w:headerReference w:type="default" r:id="rId22"/>
      <w:type w:val="continuous"/>
      <w:pgSz w:w="12240" w:h="15840"/>
      <w:pgMar w:top="567" w:right="1134" w:bottom="1021" w:left="1134"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DB2" w:rsidRDefault="008E6DB2" w:rsidP="00CF1848">
      <w:r>
        <w:separator/>
      </w:r>
    </w:p>
  </w:endnote>
  <w:endnote w:type="continuationSeparator" w:id="0">
    <w:p w:rsidR="008E6DB2" w:rsidRDefault="008E6DB2" w:rsidP="00CF1848">
      <w:r>
        <w:continuationSeparator/>
      </w:r>
    </w:p>
  </w:endnote>
  <w:endnote w:type="continuationNotice" w:id="1">
    <w:p w:rsidR="008E6DB2" w:rsidRDefault="008E6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DB2" w:rsidRDefault="008E6DB2" w:rsidP="00CF1848">
      <w:r>
        <w:separator/>
      </w:r>
    </w:p>
  </w:footnote>
  <w:footnote w:type="continuationSeparator" w:id="0">
    <w:p w:rsidR="008E6DB2" w:rsidRDefault="008E6DB2" w:rsidP="00CF1848">
      <w:r>
        <w:continuationSeparator/>
      </w:r>
    </w:p>
  </w:footnote>
  <w:footnote w:type="continuationNotice" w:id="1">
    <w:p w:rsidR="008E6DB2" w:rsidRDefault="008E6DB2"/>
  </w:footnote>
  <w:footnote w:id="2">
    <w:p w:rsidR="00426426" w:rsidRPr="00A071F2" w:rsidRDefault="00426426" w:rsidP="00A071F2">
      <w:pPr>
        <w:pStyle w:val="FootnoteText"/>
        <w:kinsoku w:val="0"/>
        <w:overflowPunct w:val="0"/>
        <w:autoSpaceDE w:val="0"/>
        <w:autoSpaceDN w:val="0"/>
        <w:ind w:firstLine="0"/>
        <w:jc w:val="left"/>
        <w:rPr>
          <w:kern w:val="18"/>
          <w:szCs w:val="18"/>
          <w:lang w:val="fr-CA"/>
        </w:rPr>
      </w:pPr>
      <w:r w:rsidRPr="00A071F2">
        <w:rPr>
          <w:rStyle w:val="FootnoteReference"/>
          <w:kern w:val="18"/>
          <w:szCs w:val="18"/>
          <w:u w:val="none"/>
          <w:vertAlign w:val="superscript"/>
          <w:lang w:val="fr-CA"/>
        </w:rPr>
        <w:footnoteRef/>
      </w:r>
      <w:r w:rsidRPr="00A071F2">
        <w:rPr>
          <w:kern w:val="18"/>
          <w:szCs w:val="18"/>
          <w:vertAlign w:val="superscript"/>
          <w:lang w:val="fr-CA"/>
        </w:rPr>
        <w:t xml:space="preserve"> </w:t>
      </w:r>
      <w:r w:rsidRPr="00A071F2">
        <w:rPr>
          <w:kern w:val="18"/>
          <w:szCs w:val="18"/>
          <w:lang w:val="fr-CA"/>
        </w:rPr>
        <w:t>Voir CBD/COP/15/1/Add.2.</w:t>
      </w:r>
    </w:p>
  </w:footnote>
  <w:footnote w:id="3">
    <w:p w:rsidR="004F19CD" w:rsidRPr="00A071F2" w:rsidRDefault="004F19CD" w:rsidP="004F19CD">
      <w:pPr>
        <w:pStyle w:val="FootnoteText"/>
        <w:kinsoku w:val="0"/>
        <w:overflowPunct w:val="0"/>
        <w:autoSpaceDE w:val="0"/>
        <w:autoSpaceDN w:val="0"/>
        <w:ind w:firstLine="0"/>
        <w:jc w:val="left"/>
        <w:rPr>
          <w:kern w:val="18"/>
          <w:lang w:val="fr-CA"/>
        </w:rPr>
      </w:pPr>
      <w:r w:rsidRPr="00A071F2">
        <w:rPr>
          <w:rStyle w:val="FootnoteReference"/>
          <w:kern w:val="18"/>
          <w:u w:val="none"/>
          <w:vertAlign w:val="superscript"/>
          <w:lang w:val="fr-CA"/>
        </w:rPr>
        <w:footnoteRef/>
      </w:r>
      <w:r w:rsidRPr="00A071F2">
        <w:rPr>
          <w:kern w:val="18"/>
          <w:lang w:val="fr-CA"/>
        </w:rPr>
        <w:t xml:space="preserve"> Voir CBD/COP/14/14, par.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rsidR="00426426" w:rsidRPr="00A23AD0" w:rsidRDefault="00426426" w:rsidP="00A23AD0">
        <w:pPr>
          <w:pStyle w:val="Header"/>
          <w:tabs>
            <w:tab w:val="clear" w:pos="4320"/>
            <w:tab w:val="clear" w:pos="8640"/>
          </w:tabs>
          <w:jc w:val="left"/>
          <w:rPr>
            <w:noProof/>
          </w:rPr>
        </w:pPr>
        <w:r w:rsidRPr="00186C29">
          <w:rPr>
            <w:noProof/>
          </w:rPr>
          <w:t>CBD/CP/MOP/10/1/Add.1</w:t>
        </w:r>
      </w:p>
    </w:sdtContent>
  </w:sdt>
  <w:p w:rsidR="00426426" w:rsidRPr="00A23AD0" w:rsidRDefault="00426426" w:rsidP="00A23AD0">
    <w:pPr>
      <w:pStyle w:val="Header"/>
      <w:tabs>
        <w:tab w:val="clear" w:pos="4320"/>
        <w:tab w:val="clear" w:pos="8640"/>
      </w:tabs>
      <w:jc w:val="left"/>
      <w:rPr>
        <w:noProof/>
      </w:rPr>
    </w:pPr>
    <w:r w:rsidRPr="00A23AD0">
      <w:rPr>
        <w:noProof/>
      </w:rPr>
      <w:t xml:space="preserve">Page </w:t>
    </w:r>
    <w:r w:rsidR="00C13007" w:rsidRPr="00A23AD0">
      <w:rPr>
        <w:noProof/>
      </w:rPr>
      <w:fldChar w:fldCharType="begin"/>
    </w:r>
    <w:r w:rsidRPr="00A23AD0">
      <w:rPr>
        <w:noProof/>
      </w:rPr>
      <w:instrText xml:space="preserve"> PAGE   \* MERGEFORMAT </w:instrText>
    </w:r>
    <w:r w:rsidR="00C13007" w:rsidRPr="00A23AD0">
      <w:rPr>
        <w:noProof/>
      </w:rPr>
      <w:fldChar w:fldCharType="separate"/>
    </w:r>
    <w:r w:rsidR="001172B3">
      <w:rPr>
        <w:noProof/>
      </w:rPr>
      <w:t>6</w:t>
    </w:r>
    <w:r w:rsidR="00C13007" w:rsidRPr="00A23AD0">
      <w:rPr>
        <w:noProof/>
      </w:rPr>
      <w:fldChar w:fldCharType="end"/>
    </w:r>
  </w:p>
  <w:p w:rsidR="00426426" w:rsidRPr="00A23AD0" w:rsidRDefault="00426426" w:rsidP="00A23AD0">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rsidR="00426426" w:rsidRPr="00A23AD0" w:rsidRDefault="00426426" w:rsidP="00A23AD0">
        <w:pPr>
          <w:pStyle w:val="Header"/>
          <w:tabs>
            <w:tab w:val="clear" w:pos="4320"/>
            <w:tab w:val="clear" w:pos="8640"/>
          </w:tabs>
          <w:jc w:val="right"/>
          <w:rPr>
            <w:noProof/>
          </w:rPr>
        </w:pPr>
        <w:r w:rsidRPr="00186C29">
          <w:rPr>
            <w:noProof/>
          </w:rPr>
          <w:t>CBD/CP/MOP/10/1/Add.1</w:t>
        </w:r>
      </w:p>
    </w:sdtContent>
  </w:sdt>
  <w:p w:rsidR="00426426" w:rsidRPr="00A23AD0" w:rsidRDefault="00426426" w:rsidP="00A23AD0">
    <w:pPr>
      <w:pStyle w:val="Header"/>
      <w:tabs>
        <w:tab w:val="clear" w:pos="4320"/>
        <w:tab w:val="clear" w:pos="8640"/>
      </w:tabs>
      <w:jc w:val="right"/>
      <w:rPr>
        <w:noProof/>
      </w:rPr>
    </w:pPr>
    <w:r w:rsidRPr="00A23AD0">
      <w:rPr>
        <w:noProof/>
      </w:rPr>
      <w:t xml:space="preserve">Page </w:t>
    </w:r>
    <w:r w:rsidR="00C13007" w:rsidRPr="00A23AD0">
      <w:rPr>
        <w:noProof/>
      </w:rPr>
      <w:fldChar w:fldCharType="begin"/>
    </w:r>
    <w:r w:rsidRPr="00A23AD0">
      <w:rPr>
        <w:noProof/>
      </w:rPr>
      <w:instrText xml:space="preserve"> PAGE   \* MERGEFORMAT </w:instrText>
    </w:r>
    <w:r w:rsidR="00C13007" w:rsidRPr="00A23AD0">
      <w:rPr>
        <w:noProof/>
      </w:rPr>
      <w:fldChar w:fldCharType="separate"/>
    </w:r>
    <w:r w:rsidR="001172B3">
      <w:rPr>
        <w:noProof/>
      </w:rPr>
      <w:t>5</w:t>
    </w:r>
    <w:r w:rsidR="00C13007" w:rsidRPr="00A23AD0">
      <w:rPr>
        <w:noProof/>
      </w:rPr>
      <w:fldChar w:fldCharType="end"/>
    </w:r>
  </w:p>
  <w:p w:rsidR="00426426" w:rsidRPr="00A23AD0" w:rsidRDefault="00426426" w:rsidP="00A23AD0">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D21"/>
    <w:multiLevelType w:val="hybridMultilevel"/>
    <w:tmpl w:val="768077D8"/>
    <w:lvl w:ilvl="0" w:tplc="EB6E5B9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4D42A9"/>
    <w:multiLevelType w:val="hybridMultilevel"/>
    <w:tmpl w:val="0EA8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82506"/>
    <w:multiLevelType w:val="hybridMultilevel"/>
    <w:tmpl w:val="2452D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A356D"/>
    <w:multiLevelType w:val="hybridMultilevel"/>
    <w:tmpl w:val="83C6A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747EAD"/>
    <w:multiLevelType w:val="multilevel"/>
    <w:tmpl w:val="060AF368"/>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5"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177056"/>
    <w:multiLevelType w:val="hybridMultilevel"/>
    <w:tmpl w:val="CA7C8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CC7928"/>
    <w:multiLevelType w:val="hybridMultilevel"/>
    <w:tmpl w:val="867E2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F8708E"/>
    <w:multiLevelType w:val="multilevel"/>
    <w:tmpl w:val="7848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B693F2D"/>
    <w:multiLevelType w:val="hybridMultilevel"/>
    <w:tmpl w:val="E43A47A4"/>
    <w:lvl w:ilvl="0" w:tplc="10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660570"/>
    <w:multiLevelType w:val="hybridMultilevel"/>
    <w:tmpl w:val="0A467666"/>
    <w:lvl w:ilvl="0" w:tplc="E30E0F4A">
      <w:start w:val="8"/>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7896A5D"/>
    <w:multiLevelType w:val="hybridMultilevel"/>
    <w:tmpl w:val="7D20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748C4"/>
    <w:multiLevelType w:val="hybridMultilevel"/>
    <w:tmpl w:val="B01A8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0FB3AC6"/>
    <w:multiLevelType w:val="hybridMultilevel"/>
    <w:tmpl w:val="1C8C8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0A2C6D"/>
    <w:multiLevelType w:val="multilevel"/>
    <w:tmpl w:val="0F8E0504"/>
    <w:lvl w:ilvl="0">
      <w:start w:val="7"/>
      <w:numFmt w:val="decimal"/>
      <w:lvlText w:val="%1"/>
      <w:lvlJc w:val="left"/>
      <w:pPr>
        <w:ind w:left="360" w:hanging="360"/>
      </w:pPr>
      <w:rPr>
        <w:rFonts w:hint="default"/>
      </w:rPr>
    </w:lvl>
    <w:lvl w:ilvl="1">
      <w:start w:val="3"/>
      <w:numFmt w:val="decimal"/>
      <w:lvlText w:val="%1.%2"/>
      <w:lvlJc w:val="left"/>
      <w:pPr>
        <w:ind w:left="177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D536C58"/>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22"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6C3870A6"/>
    <w:multiLevelType w:val="hybridMultilevel"/>
    <w:tmpl w:val="E64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57C6E"/>
    <w:multiLevelType w:val="multilevel"/>
    <w:tmpl w:val="747AF608"/>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5" w15:restartNumberingAfterBreak="0">
    <w:nsid w:val="6E8B1526"/>
    <w:multiLevelType w:val="multilevel"/>
    <w:tmpl w:val="2E42DF30"/>
    <w:lvl w:ilvl="0">
      <w:start w:val="7"/>
      <w:numFmt w:val="decimal"/>
      <w:lvlText w:val="%1"/>
      <w:lvlJc w:val="left"/>
      <w:pPr>
        <w:ind w:left="360" w:hanging="360"/>
      </w:pPr>
      <w:rPr>
        <w:rFonts w:hint="default"/>
      </w:rPr>
    </w:lvl>
    <w:lvl w:ilvl="1">
      <w:start w:val="2"/>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2776" w:hanging="1440"/>
      </w:pPr>
      <w:rPr>
        <w:rFonts w:hint="default"/>
      </w:r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161CEE"/>
    <w:multiLevelType w:val="hybridMultilevel"/>
    <w:tmpl w:val="5FACD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D01785"/>
    <w:multiLevelType w:val="hybridMultilevel"/>
    <w:tmpl w:val="F61049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F780233"/>
    <w:multiLevelType w:val="hybridMultilevel"/>
    <w:tmpl w:val="237A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8"/>
  </w:num>
  <w:num w:numId="4">
    <w:abstractNumId w:val="20"/>
  </w:num>
  <w:num w:numId="5">
    <w:abstractNumId w:val="19"/>
  </w:num>
  <w:num w:numId="6">
    <w:abstractNumId w:val="5"/>
  </w:num>
  <w:num w:numId="7">
    <w:abstractNumId w:val="9"/>
  </w:num>
  <w:num w:numId="8">
    <w:abstractNumId w:val="18"/>
    <w:lvlOverride w:ilvl="0">
      <w:startOverride w:val="1"/>
    </w:lvlOverride>
  </w:num>
  <w:num w:numId="9">
    <w:abstractNumId w:val="26"/>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11"/>
  </w:num>
  <w:num w:numId="19">
    <w:abstractNumId w:val="28"/>
  </w:num>
  <w:num w:numId="20">
    <w:abstractNumId w:val="7"/>
  </w:num>
  <w:num w:numId="21">
    <w:abstractNumId w:val="3"/>
  </w:num>
  <w:num w:numId="22">
    <w:abstractNumId w:val="13"/>
  </w:num>
  <w:num w:numId="23">
    <w:abstractNumId w:val="15"/>
  </w:num>
  <w:num w:numId="24">
    <w:abstractNumId w:val="6"/>
  </w:num>
  <w:num w:numId="25">
    <w:abstractNumId w:val="29"/>
  </w:num>
  <w:num w:numId="26">
    <w:abstractNumId w:val="2"/>
  </w:num>
  <w:num w:numId="27">
    <w:abstractNumId w:val="12"/>
  </w:num>
  <w:num w:numId="28">
    <w:abstractNumId w:val="23"/>
  </w:num>
  <w:num w:numId="29">
    <w:abstractNumId w:val="1"/>
  </w:num>
  <w:num w:numId="30">
    <w:abstractNumId w:val="27"/>
  </w:num>
  <w:num w:numId="31">
    <w:abstractNumId w:val="0"/>
  </w:num>
  <w:num w:numId="32">
    <w:abstractNumId w:val="8"/>
  </w:num>
  <w:num w:numId="33">
    <w:abstractNumId w:val="16"/>
  </w:num>
  <w:num w:numId="34">
    <w:abstractNumId w:val="10"/>
  </w:num>
  <w:num w:numId="35">
    <w:abstractNumId w:val="25"/>
  </w:num>
  <w:num w:numId="36">
    <w:abstractNumId w:val="22"/>
  </w:num>
  <w:num w:numId="3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2B39"/>
    <w:rsid w:val="00006729"/>
    <w:rsid w:val="0000775E"/>
    <w:rsid w:val="00013696"/>
    <w:rsid w:val="00022609"/>
    <w:rsid w:val="00030EE3"/>
    <w:rsid w:val="00046BDF"/>
    <w:rsid w:val="00046E2B"/>
    <w:rsid w:val="000473BD"/>
    <w:rsid w:val="00066E12"/>
    <w:rsid w:val="000713A8"/>
    <w:rsid w:val="000725B7"/>
    <w:rsid w:val="00075B74"/>
    <w:rsid w:val="00077BE8"/>
    <w:rsid w:val="0008014A"/>
    <w:rsid w:val="00081454"/>
    <w:rsid w:val="000957F6"/>
    <w:rsid w:val="00095A2C"/>
    <w:rsid w:val="00097770"/>
    <w:rsid w:val="00097F5F"/>
    <w:rsid w:val="000A0830"/>
    <w:rsid w:val="000A0AC1"/>
    <w:rsid w:val="000A3D17"/>
    <w:rsid w:val="000A4B3A"/>
    <w:rsid w:val="000A709E"/>
    <w:rsid w:val="000B02CB"/>
    <w:rsid w:val="000B1DED"/>
    <w:rsid w:val="000B2EAF"/>
    <w:rsid w:val="000B5ECA"/>
    <w:rsid w:val="000C022B"/>
    <w:rsid w:val="000C47F2"/>
    <w:rsid w:val="000C73C6"/>
    <w:rsid w:val="000D0253"/>
    <w:rsid w:val="000D2917"/>
    <w:rsid w:val="000E673A"/>
    <w:rsid w:val="000F460F"/>
    <w:rsid w:val="000F5537"/>
    <w:rsid w:val="000F74F5"/>
    <w:rsid w:val="000F766A"/>
    <w:rsid w:val="0010133C"/>
    <w:rsid w:val="00105372"/>
    <w:rsid w:val="00112792"/>
    <w:rsid w:val="001172B3"/>
    <w:rsid w:val="00121613"/>
    <w:rsid w:val="00131881"/>
    <w:rsid w:val="00131C42"/>
    <w:rsid w:val="00131E7A"/>
    <w:rsid w:val="001325D5"/>
    <w:rsid w:val="00134717"/>
    <w:rsid w:val="00137CFB"/>
    <w:rsid w:val="00151E2B"/>
    <w:rsid w:val="001540C9"/>
    <w:rsid w:val="00161F3B"/>
    <w:rsid w:val="0016307D"/>
    <w:rsid w:val="001640F1"/>
    <w:rsid w:val="00164649"/>
    <w:rsid w:val="00165323"/>
    <w:rsid w:val="0016624E"/>
    <w:rsid w:val="00172AF6"/>
    <w:rsid w:val="00176586"/>
    <w:rsid w:val="00176CEE"/>
    <w:rsid w:val="00186C29"/>
    <w:rsid w:val="00190281"/>
    <w:rsid w:val="00194439"/>
    <w:rsid w:val="001B09F5"/>
    <w:rsid w:val="001B18F7"/>
    <w:rsid w:val="001B5293"/>
    <w:rsid w:val="001C083C"/>
    <w:rsid w:val="001C3FBA"/>
    <w:rsid w:val="001D281F"/>
    <w:rsid w:val="001D2F60"/>
    <w:rsid w:val="001D32B0"/>
    <w:rsid w:val="001E43F5"/>
    <w:rsid w:val="001F20DA"/>
    <w:rsid w:val="001F470B"/>
    <w:rsid w:val="001F544B"/>
    <w:rsid w:val="001F603D"/>
    <w:rsid w:val="002008D2"/>
    <w:rsid w:val="00203C2D"/>
    <w:rsid w:val="00207B73"/>
    <w:rsid w:val="00222239"/>
    <w:rsid w:val="00230661"/>
    <w:rsid w:val="00235217"/>
    <w:rsid w:val="00235276"/>
    <w:rsid w:val="00235C05"/>
    <w:rsid w:val="00243CD9"/>
    <w:rsid w:val="00245596"/>
    <w:rsid w:val="00270151"/>
    <w:rsid w:val="00273893"/>
    <w:rsid w:val="0027459B"/>
    <w:rsid w:val="002759AB"/>
    <w:rsid w:val="002810AB"/>
    <w:rsid w:val="002851AD"/>
    <w:rsid w:val="002854B4"/>
    <w:rsid w:val="00287CD5"/>
    <w:rsid w:val="0029038C"/>
    <w:rsid w:val="00291953"/>
    <w:rsid w:val="00295DF4"/>
    <w:rsid w:val="002B4F91"/>
    <w:rsid w:val="002C1F3A"/>
    <w:rsid w:val="002D0AE8"/>
    <w:rsid w:val="002D10FC"/>
    <w:rsid w:val="002D3222"/>
    <w:rsid w:val="002D6108"/>
    <w:rsid w:val="002E1DB0"/>
    <w:rsid w:val="002E398E"/>
    <w:rsid w:val="002F0551"/>
    <w:rsid w:val="002F26BA"/>
    <w:rsid w:val="002F422E"/>
    <w:rsid w:val="003001BA"/>
    <w:rsid w:val="00301168"/>
    <w:rsid w:val="0030131F"/>
    <w:rsid w:val="00302A9B"/>
    <w:rsid w:val="00302E3E"/>
    <w:rsid w:val="00305FDC"/>
    <w:rsid w:val="003165F0"/>
    <w:rsid w:val="0032181E"/>
    <w:rsid w:val="00327478"/>
    <w:rsid w:val="00330889"/>
    <w:rsid w:val="003312C4"/>
    <w:rsid w:val="00334674"/>
    <w:rsid w:val="00341403"/>
    <w:rsid w:val="003509AE"/>
    <w:rsid w:val="00353E3C"/>
    <w:rsid w:val="00360039"/>
    <w:rsid w:val="0036503A"/>
    <w:rsid w:val="00372F74"/>
    <w:rsid w:val="003768E5"/>
    <w:rsid w:val="0038131D"/>
    <w:rsid w:val="003819BA"/>
    <w:rsid w:val="003842FC"/>
    <w:rsid w:val="00384F37"/>
    <w:rsid w:val="003854A8"/>
    <w:rsid w:val="00386392"/>
    <w:rsid w:val="00393029"/>
    <w:rsid w:val="00395487"/>
    <w:rsid w:val="003A11A6"/>
    <w:rsid w:val="003A1274"/>
    <w:rsid w:val="003B13F7"/>
    <w:rsid w:val="003B74B8"/>
    <w:rsid w:val="003C3047"/>
    <w:rsid w:val="003C4261"/>
    <w:rsid w:val="003D56A0"/>
    <w:rsid w:val="003D62E6"/>
    <w:rsid w:val="003D7504"/>
    <w:rsid w:val="003E056F"/>
    <w:rsid w:val="003E7594"/>
    <w:rsid w:val="003F0FD3"/>
    <w:rsid w:val="003F1BC1"/>
    <w:rsid w:val="003F4329"/>
    <w:rsid w:val="003F44EA"/>
    <w:rsid w:val="00401AF1"/>
    <w:rsid w:val="00402494"/>
    <w:rsid w:val="00404734"/>
    <w:rsid w:val="0040534E"/>
    <w:rsid w:val="00415390"/>
    <w:rsid w:val="00417B2F"/>
    <w:rsid w:val="00421DC1"/>
    <w:rsid w:val="00426426"/>
    <w:rsid w:val="00430251"/>
    <w:rsid w:val="0043074A"/>
    <w:rsid w:val="00430A97"/>
    <w:rsid w:val="00437E78"/>
    <w:rsid w:val="00440612"/>
    <w:rsid w:val="004409A7"/>
    <w:rsid w:val="00441585"/>
    <w:rsid w:val="0044699D"/>
    <w:rsid w:val="004521D2"/>
    <w:rsid w:val="004529D0"/>
    <w:rsid w:val="00455731"/>
    <w:rsid w:val="00455F1D"/>
    <w:rsid w:val="00462374"/>
    <w:rsid w:val="00462967"/>
    <w:rsid w:val="004644C2"/>
    <w:rsid w:val="00473757"/>
    <w:rsid w:val="004854EA"/>
    <w:rsid w:val="0049624C"/>
    <w:rsid w:val="00497AB5"/>
    <w:rsid w:val="004A153B"/>
    <w:rsid w:val="004A328F"/>
    <w:rsid w:val="004A7C81"/>
    <w:rsid w:val="004B4451"/>
    <w:rsid w:val="004C04CF"/>
    <w:rsid w:val="004D0309"/>
    <w:rsid w:val="004D3278"/>
    <w:rsid w:val="004E336C"/>
    <w:rsid w:val="004E4D3E"/>
    <w:rsid w:val="004F19CD"/>
    <w:rsid w:val="004F221B"/>
    <w:rsid w:val="004F39C9"/>
    <w:rsid w:val="004F5B46"/>
    <w:rsid w:val="00505F5C"/>
    <w:rsid w:val="0051658D"/>
    <w:rsid w:val="005229D8"/>
    <w:rsid w:val="00523E4C"/>
    <w:rsid w:val="0052410F"/>
    <w:rsid w:val="005268FB"/>
    <w:rsid w:val="00530B24"/>
    <w:rsid w:val="00531205"/>
    <w:rsid w:val="00534681"/>
    <w:rsid w:val="0053472E"/>
    <w:rsid w:val="00541C1F"/>
    <w:rsid w:val="005430AD"/>
    <w:rsid w:val="0054574A"/>
    <w:rsid w:val="005567D2"/>
    <w:rsid w:val="005579C7"/>
    <w:rsid w:val="00564767"/>
    <w:rsid w:val="00573EC9"/>
    <w:rsid w:val="00576351"/>
    <w:rsid w:val="00584A88"/>
    <w:rsid w:val="00587489"/>
    <w:rsid w:val="005935F0"/>
    <w:rsid w:val="005A36B8"/>
    <w:rsid w:val="005B25AE"/>
    <w:rsid w:val="005C4FB3"/>
    <w:rsid w:val="005C50AF"/>
    <w:rsid w:val="005D1D39"/>
    <w:rsid w:val="005D20FA"/>
    <w:rsid w:val="005D4C71"/>
    <w:rsid w:val="005D5A8F"/>
    <w:rsid w:val="005D60BF"/>
    <w:rsid w:val="005E052A"/>
    <w:rsid w:val="005E1DC0"/>
    <w:rsid w:val="005E7475"/>
    <w:rsid w:val="005F7B3C"/>
    <w:rsid w:val="00600824"/>
    <w:rsid w:val="00610955"/>
    <w:rsid w:val="00614B67"/>
    <w:rsid w:val="00616AFF"/>
    <w:rsid w:val="006209F0"/>
    <w:rsid w:val="00621BB2"/>
    <w:rsid w:val="00621BE3"/>
    <w:rsid w:val="006261F8"/>
    <w:rsid w:val="00637BE0"/>
    <w:rsid w:val="0064459E"/>
    <w:rsid w:val="00660370"/>
    <w:rsid w:val="00660CB5"/>
    <w:rsid w:val="00664120"/>
    <w:rsid w:val="00681E9E"/>
    <w:rsid w:val="006913EA"/>
    <w:rsid w:val="00692A1A"/>
    <w:rsid w:val="006951C1"/>
    <w:rsid w:val="006A054E"/>
    <w:rsid w:val="006A1DE3"/>
    <w:rsid w:val="006A4F4B"/>
    <w:rsid w:val="006A6DAD"/>
    <w:rsid w:val="006A7708"/>
    <w:rsid w:val="006B70E1"/>
    <w:rsid w:val="006B75A0"/>
    <w:rsid w:val="006C15A9"/>
    <w:rsid w:val="006C2038"/>
    <w:rsid w:val="006E033D"/>
    <w:rsid w:val="006E0D16"/>
    <w:rsid w:val="006E1EFF"/>
    <w:rsid w:val="006E2A11"/>
    <w:rsid w:val="006E310C"/>
    <w:rsid w:val="006F02BF"/>
    <w:rsid w:val="006F474D"/>
    <w:rsid w:val="00710D1F"/>
    <w:rsid w:val="007143AF"/>
    <w:rsid w:val="00714E40"/>
    <w:rsid w:val="00717D88"/>
    <w:rsid w:val="007224D4"/>
    <w:rsid w:val="007266B0"/>
    <w:rsid w:val="00727C83"/>
    <w:rsid w:val="007342E5"/>
    <w:rsid w:val="00745039"/>
    <w:rsid w:val="00751800"/>
    <w:rsid w:val="007518EE"/>
    <w:rsid w:val="00766799"/>
    <w:rsid w:val="00773FB7"/>
    <w:rsid w:val="00781715"/>
    <w:rsid w:val="00781AB7"/>
    <w:rsid w:val="00785A5C"/>
    <w:rsid w:val="0079079C"/>
    <w:rsid w:val="0079246D"/>
    <w:rsid w:val="007942D3"/>
    <w:rsid w:val="007A19C4"/>
    <w:rsid w:val="007A2D42"/>
    <w:rsid w:val="007B6C09"/>
    <w:rsid w:val="007B7EDB"/>
    <w:rsid w:val="007C3B23"/>
    <w:rsid w:val="007C4AD7"/>
    <w:rsid w:val="007C60A1"/>
    <w:rsid w:val="007D6677"/>
    <w:rsid w:val="007E09DA"/>
    <w:rsid w:val="007E1A48"/>
    <w:rsid w:val="007F0719"/>
    <w:rsid w:val="0081195A"/>
    <w:rsid w:val="00813D36"/>
    <w:rsid w:val="00816BA8"/>
    <w:rsid w:val="008178B6"/>
    <w:rsid w:val="0082024A"/>
    <w:rsid w:val="00822824"/>
    <w:rsid w:val="00827E56"/>
    <w:rsid w:val="00827FC7"/>
    <w:rsid w:val="00837704"/>
    <w:rsid w:val="008423BF"/>
    <w:rsid w:val="0085428A"/>
    <w:rsid w:val="0087016E"/>
    <w:rsid w:val="008707A9"/>
    <w:rsid w:val="008720C2"/>
    <w:rsid w:val="008772D3"/>
    <w:rsid w:val="0088375F"/>
    <w:rsid w:val="00885D8C"/>
    <w:rsid w:val="008909F8"/>
    <w:rsid w:val="00890C67"/>
    <w:rsid w:val="008A2241"/>
    <w:rsid w:val="008A5ED5"/>
    <w:rsid w:val="008A5F16"/>
    <w:rsid w:val="008C00DF"/>
    <w:rsid w:val="008C52BD"/>
    <w:rsid w:val="008C5AD5"/>
    <w:rsid w:val="008D41C9"/>
    <w:rsid w:val="008D6A02"/>
    <w:rsid w:val="008E6DB2"/>
    <w:rsid w:val="008F03ED"/>
    <w:rsid w:val="008F091D"/>
    <w:rsid w:val="008F5851"/>
    <w:rsid w:val="008F718F"/>
    <w:rsid w:val="0090161B"/>
    <w:rsid w:val="00901D49"/>
    <w:rsid w:val="00902894"/>
    <w:rsid w:val="00910961"/>
    <w:rsid w:val="00911742"/>
    <w:rsid w:val="009207B7"/>
    <w:rsid w:val="00922FA4"/>
    <w:rsid w:val="0092572A"/>
    <w:rsid w:val="009505C9"/>
    <w:rsid w:val="00951655"/>
    <w:rsid w:val="00952A0F"/>
    <w:rsid w:val="00952F27"/>
    <w:rsid w:val="0095586D"/>
    <w:rsid w:val="0096078A"/>
    <w:rsid w:val="00970FC0"/>
    <w:rsid w:val="00973926"/>
    <w:rsid w:val="00975A5D"/>
    <w:rsid w:val="009802CE"/>
    <w:rsid w:val="009926FC"/>
    <w:rsid w:val="00992F67"/>
    <w:rsid w:val="009A6FE0"/>
    <w:rsid w:val="009B0D25"/>
    <w:rsid w:val="009B56FD"/>
    <w:rsid w:val="009B762F"/>
    <w:rsid w:val="009C27EB"/>
    <w:rsid w:val="009C5B1D"/>
    <w:rsid w:val="009D2F3A"/>
    <w:rsid w:val="009D662F"/>
    <w:rsid w:val="009D7BCC"/>
    <w:rsid w:val="009E1635"/>
    <w:rsid w:val="009E2075"/>
    <w:rsid w:val="009E3E4B"/>
    <w:rsid w:val="009F1B34"/>
    <w:rsid w:val="009F65D9"/>
    <w:rsid w:val="00A000F3"/>
    <w:rsid w:val="00A071F2"/>
    <w:rsid w:val="00A07494"/>
    <w:rsid w:val="00A11B01"/>
    <w:rsid w:val="00A13439"/>
    <w:rsid w:val="00A1521A"/>
    <w:rsid w:val="00A17437"/>
    <w:rsid w:val="00A177A5"/>
    <w:rsid w:val="00A21FE4"/>
    <w:rsid w:val="00A22FC5"/>
    <w:rsid w:val="00A23AD0"/>
    <w:rsid w:val="00A25E86"/>
    <w:rsid w:val="00A32C8F"/>
    <w:rsid w:val="00A33009"/>
    <w:rsid w:val="00A352AF"/>
    <w:rsid w:val="00A44625"/>
    <w:rsid w:val="00A4793C"/>
    <w:rsid w:val="00A53F6B"/>
    <w:rsid w:val="00A63333"/>
    <w:rsid w:val="00A678A7"/>
    <w:rsid w:val="00A67ED9"/>
    <w:rsid w:val="00A7078E"/>
    <w:rsid w:val="00A7435F"/>
    <w:rsid w:val="00A750DE"/>
    <w:rsid w:val="00A91271"/>
    <w:rsid w:val="00AA3C77"/>
    <w:rsid w:val="00AA525E"/>
    <w:rsid w:val="00AB0627"/>
    <w:rsid w:val="00AB3495"/>
    <w:rsid w:val="00AC0A8F"/>
    <w:rsid w:val="00AC792E"/>
    <w:rsid w:val="00AD3AFD"/>
    <w:rsid w:val="00AD4EC2"/>
    <w:rsid w:val="00AE4124"/>
    <w:rsid w:val="00AE45CC"/>
    <w:rsid w:val="00AE5F55"/>
    <w:rsid w:val="00AF3C69"/>
    <w:rsid w:val="00B01B7B"/>
    <w:rsid w:val="00B0326A"/>
    <w:rsid w:val="00B050D9"/>
    <w:rsid w:val="00B05600"/>
    <w:rsid w:val="00B16DF7"/>
    <w:rsid w:val="00B21237"/>
    <w:rsid w:val="00B21E66"/>
    <w:rsid w:val="00B2513F"/>
    <w:rsid w:val="00B25275"/>
    <w:rsid w:val="00B26568"/>
    <w:rsid w:val="00B27ABC"/>
    <w:rsid w:val="00B3369F"/>
    <w:rsid w:val="00B365FC"/>
    <w:rsid w:val="00B3778F"/>
    <w:rsid w:val="00B42390"/>
    <w:rsid w:val="00B47E13"/>
    <w:rsid w:val="00B56957"/>
    <w:rsid w:val="00B73046"/>
    <w:rsid w:val="00B80657"/>
    <w:rsid w:val="00B82703"/>
    <w:rsid w:val="00B8277A"/>
    <w:rsid w:val="00B82E8B"/>
    <w:rsid w:val="00B843E2"/>
    <w:rsid w:val="00B87697"/>
    <w:rsid w:val="00B90DD5"/>
    <w:rsid w:val="00B91087"/>
    <w:rsid w:val="00BA0BBA"/>
    <w:rsid w:val="00BA6BFE"/>
    <w:rsid w:val="00BB219E"/>
    <w:rsid w:val="00BB5533"/>
    <w:rsid w:val="00BC05E7"/>
    <w:rsid w:val="00BD0F52"/>
    <w:rsid w:val="00BD2EC3"/>
    <w:rsid w:val="00BE01CC"/>
    <w:rsid w:val="00BF102B"/>
    <w:rsid w:val="00BF3657"/>
    <w:rsid w:val="00BF6F62"/>
    <w:rsid w:val="00C01C73"/>
    <w:rsid w:val="00C02309"/>
    <w:rsid w:val="00C13007"/>
    <w:rsid w:val="00C20047"/>
    <w:rsid w:val="00C2409F"/>
    <w:rsid w:val="00C254BA"/>
    <w:rsid w:val="00C40DD5"/>
    <w:rsid w:val="00C61588"/>
    <w:rsid w:val="00C64379"/>
    <w:rsid w:val="00C71E6F"/>
    <w:rsid w:val="00C83552"/>
    <w:rsid w:val="00C83CA2"/>
    <w:rsid w:val="00C85B3F"/>
    <w:rsid w:val="00C9161D"/>
    <w:rsid w:val="00C97673"/>
    <w:rsid w:val="00CA1F10"/>
    <w:rsid w:val="00CA1F59"/>
    <w:rsid w:val="00CA4298"/>
    <w:rsid w:val="00CA4C41"/>
    <w:rsid w:val="00CA69C8"/>
    <w:rsid w:val="00CA7B0D"/>
    <w:rsid w:val="00CB6BBD"/>
    <w:rsid w:val="00CB7C2C"/>
    <w:rsid w:val="00CC15F1"/>
    <w:rsid w:val="00CD0F37"/>
    <w:rsid w:val="00CD1D29"/>
    <w:rsid w:val="00CD3C46"/>
    <w:rsid w:val="00CD698D"/>
    <w:rsid w:val="00CE4896"/>
    <w:rsid w:val="00CE6656"/>
    <w:rsid w:val="00CF1848"/>
    <w:rsid w:val="00D07676"/>
    <w:rsid w:val="00D0790F"/>
    <w:rsid w:val="00D131D0"/>
    <w:rsid w:val="00D1340F"/>
    <w:rsid w:val="00D168CC"/>
    <w:rsid w:val="00D20A27"/>
    <w:rsid w:val="00D20F60"/>
    <w:rsid w:val="00D21B5D"/>
    <w:rsid w:val="00D25F6A"/>
    <w:rsid w:val="00D33AC1"/>
    <w:rsid w:val="00D35172"/>
    <w:rsid w:val="00D43D95"/>
    <w:rsid w:val="00D4601B"/>
    <w:rsid w:val="00D46349"/>
    <w:rsid w:val="00D5147F"/>
    <w:rsid w:val="00D574A1"/>
    <w:rsid w:val="00D623E5"/>
    <w:rsid w:val="00D65909"/>
    <w:rsid w:val="00D669A5"/>
    <w:rsid w:val="00D74055"/>
    <w:rsid w:val="00D75B8D"/>
    <w:rsid w:val="00D76A18"/>
    <w:rsid w:val="00D80894"/>
    <w:rsid w:val="00D947B8"/>
    <w:rsid w:val="00DA0E47"/>
    <w:rsid w:val="00DA70B9"/>
    <w:rsid w:val="00DB13AC"/>
    <w:rsid w:val="00DC18C8"/>
    <w:rsid w:val="00DC21FE"/>
    <w:rsid w:val="00DC4430"/>
    <w:rsid w:val="00DC47A0"/>
    <w:rsid w:val="00DC526E"/>
    <w:rsid w:val="00DC568F"/>
    <w:rsid w:val="00DC75E8"/>
    <w:rsid w:val="00DD118C"/>
    <w:rsid w:val="00DD616E"/>
    <w:rsid w:val="00DD7CFA"/>
    <w:rsid w:val="00DE6043"/>
    <w:rsid w:val="00DE6D8D"/>
    <w:rsid w:val="00DE7E9F"/>
    <w:rsid w:val="00DF1E5F"/>
    <w:rsid w:val="00DF6980"/>
    <w:rsid w:val="00DF6EFD"/>
    <w:rsid w:val="00E00BE0"/>
    <w:rsid w:val="00E172F1"/>
    <w:rsid w:val="00E27BAD"/>
    <w:rsid w:val="00E308A2"/>
    <w:rsid w:val="00E413EC"/>
    <w:rsid w:val="00E46D50"/>
    <w:rsid w:val="00E47E1D"/>
    <w:rsid w:val="00E50633"/>
    <w:rsid w:val="00E50D01"/>
    <w:rsid w:val="00E636CF"/>
    <w:rsid w:val="00E66235"/>
    <w:rsid w:val="00E719BC"/>
    <w:rsid w:val="00E74E41"/>
    <w:rsid w:val="00E766CB"/>
    <w:rsid w:val="00E77ED7"/>
    <w:rsid w:val="00E838F6"/>
    <w:rsid w:val="00E83C24"/>
    <w:rsid w:val="00E8644F"/>
    <w:rsid w:val="00E90D3A"/>
    <w:rsid w:val="00E972F4"/>
    <w:rsid w:val="00EB29DB"/>
    <w:rsid w:val="00EB3C9A"/>
    <w:rsid w:val="00ED20DB"/>
    <w:rsid w:val="00ED2D34"/>
    <w:rsid w:val="00ED732A"/>
    <w:rsid w:val="00EE1719"/>
    <w:rsid w:val="00EE2561"/>
    <w:rsid w:val="00EE6B2E"/>
    <w:rsid w:val="00EF02C0"/>
    <w:rsid w:val="00EF6419"/>
    <w:rsid w:val="00F00A9E"/>
    <w:rsid w:val="00F00F99"/>
    <w:rsid w:val="00F15D34"/>
    <w:rsid w:val="00F1794F"/>
    <w:rsid w:val="00F2157C"/>
    <w:rsid w:val="00F27BE1"/>
    <w:rsid w:val="00F343FB"/>
    <w:rsid w:val="00F365BB"/>
    <w:rsid w:val="00F43E3C"/>
    <w:rsid w:val="00F50069"/>
    <w:rsid w:val="00F61693"/>
    <w:rsid w:val="00F67E62"/>
    <w:rsid w:val="00F738A2"/>
    <w:rsid w:val="00F7575B"/>
    <w:rsid w:val="00F83862"/>
    <w:rsid w:val="00F867B5"/>
    <w:rsid w:val="00F87977"/>
    <w:rsid w:val="00F90C9D"/>
    <w:rsid w:val="00F91D46"/>
    <w:rsid w:val="00F94774"/>
    <w:rsid w:val="00FA2874"/>
    <w:rsid w:val="00FB0B34"/>
    <w:rsid w:val="00FB23D2"/>
    <w:rsid w:val="00FB3E99"/>
    <w:rsid w:val="00FC5347"/>
    <w:rsid w:val="00FC53DB"/>
    <w:rsid w:val="00FC5D64"/>
    <w:rsid w:val="00FD7FFB"/>
    <w:rsid w:val="00FE3941"/>
    <w:rsid w:val="00FE78C2"/>
    <w:rsid w:val="00FE7AC9"/>
    <w:rsid w:val="00FF706E"/>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252D94A8-A5F5-4FC4-B94B-60B7D112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B3778F"/>
    <w:pPr>
      <w:spacing w:before="140" w:after="140"/>
      <w:ind w:left="720" w:hanging="720"/>
    </w:pPr>
  </w:style>
  <w:style w:type="paragraph" w:styleId="ListParagraph">
    <w:name w:val="List Paragraph"/>
    <w:basedOn w:val="Normal"/>
    <w:uiPriority w:val="34"/>
    <w:qFormat/>
    <w:rsid w:val="00B3778F"/>
    <w:pPr>
      <w:ind w:left="720"/>
      <w:contextualSpacing/>
    </w:pPr>
  </w:style>
  <w:style w:type="paragraph" w:styleId="CommentSubject">
    <w:name w:val="annotation subject"/>
    <w:basedOn w:val="CommentText"/>
    <w:next w:val="CommentText"/>
    <w:link w:val="CommentSubjectChar"/>
    <w:uiPriority w:val="99"/>
    <w:semiHidden/>
    <w:unhideWhenUsed/>
    <w:rsid w:val="00C40DD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40DD5"/>
    <w:rPr>
      <w:rFonts w:ascii="Times New Roman" w:eastAsia="Times New Roman" w:hAnsi="Times New Roman" w:cs="Times New Roman"/>
      <w:b/>
      <w:bCs/>
      <w:sz w:val="20"/>
      <w:szCs w:val="20"/>
      <w:lang w:val="en-GB"/>
    </w:rPr>
  </w:style>
  <w:style w:type="character" w:customStyle="1" w:styleId="apple-converted-space">
    <w:name w:val="apple-converted-space"/>
    <w:basedOn w:val="DefaultParagraphFont"/>
    <w:rsid w:val="00230661"/>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3A11A6"/>
    <w:pPr>
      <w:spacing w:after="160" w:line="240" w:lineRule="exact"/>
    </w:pPr>
    <w:rPr>
      <w:rFonts w:asciiTheme="minorHAnsi" w:eastAsiaTheme="minorEastAsia" w:hAnsiTheme="minorHAnsi" w:cstheme="minorBidi"/>
      <w:sz w:val="18"/>
      <w:u w:val="single"/>
      <w:lang w:val="fr-CA"/>
    </w:rPr>
  </w:style>
  <w:style w:type="character" w:customStyle="1" w:styleId="UnresolvedMention1">
    <w:name w:val="Unresolved Mention1"/>
    <w:basedOn w:val="DefaultParagraphFont"/>
    <w:uiPriority w:val="99"/>
    <w:semiHidden/>
    <w:unhideWhenUsed/>
    <w:rsid w:val="00166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8465">
      <w:bodyDiv w:val="1"/>
      <w:marLeft w:val="0"/>
      <w:marRight w:val="0"/>
      <w:marTop w:val="0"/>
      <w:marBottom w:val="0"/>
      <w:divBdr>
        <w:top w:val="none" w:sz="0" w:space="0" w:color="auto"/>
        <w:left w:val="none" w:sz="0" w:space="0" w:color="auto"/>
        <w:bottom w:val="none" w:sz="0" w:space="0" w:color="auto"/>
        <w:right w:val="none" w:sz="0" w:space="0" w:color="auto"/>
      </w:divBdr>
    </w:div>
    <w:div w:id="67653691">
      <w:bodyDiv w:val="1"/>
      <w:marLeft w:val="0"/>
      <w:marRight w:val="0"/>
      <w:marTop w:val="0"/>
      <w:marBottom w:val="0"/>
      <w:divBdr>
        <w:top w:val="none" w:sz="0" w:space="0" w:color="auto"/>
        <w:left w:val="none" w:sz="0" w:space="0" w:color="auto"/>
        <w:bottom w:val="none" w:sz="0" w:space="0" w:color="auto"/>
        <w:right w:val="none" w:sz="0" w:space="0" w:color="auto"/>
      </w:divBdr>
    </w:div>
    <w:div w:id="204412490">
      <w:bodyDiv w:val="1"/>
      <w:marLeft w:val="0"/>
      <w:marRight w:val="0"/>
      <w:marTop w:val="0"/>
      <w:marBottom w:val="0"/>
      <w:divBdr>
        <w:top w:val="none" w:sz="0" w:space="0" w:color="auto"/>
        <w:left w:val="none" w:sz="0" w:space="0" w:color="auto"/>
        <w:bottom w:val="none" w:sz="0" w:space="0" w:color="auto"/>
        <w:right w:val="none" w:sz="0" w:space="0" w:color="auto"/>
      </w:divBdr>
    </w:div>
    <w:div w:id="967665463">
      <w:bodyDiv w:val="1"/>
      <w:marLeft w:val="0"/>
      <w:marRight w:val="0"/>
      <w:marTop w:val="0"/>
      <w:marBottom w:val="0"/>
      <w:divBdr>
        <w:top w:val="none" w:sz="0" w:space="0" w:color="auto"/>
        <w:left w:val="none" w:sz="0" w:space="0" w:color="auto"/>
        <w:bottom w:val="none" w:sz="0" w:space="0" w:color="auto"/>
        <w:right w:val="none" w:sz="0" w:space="0" w:color="auto"/>
      </w:divBdr>
    </w:div>
    <w:div w:id="1708407163">
      <w:bodyDiv w:val="1"/>
      <w:marLeft w:val="0"/>
      <w:marRight w:val="0"/>
      <w:marTop w:val="0"/>
      <w:marBottom w:val="0"/>
      <w:divBdr>
        <w:top w:val="none" w:sz="0" w:space="0" w:color="auto"/>
        <w:left w:val="none" w:sz="0" w:space="0" w:color="auto"/>
        <w:bottom w:val="none" w:sz="0" w:space="0" w:color="auto"/>
        <w:right w:val="none" w:sz="0" w:space="0" w:color="auto"/>
      </w:divBdr>
    </w:div>
    <w:div w:id="2088575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mop-07/mop-07-dec-09-fr.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2/cop-12-dec-27-fr.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05/full/cop-05-dec-fr.pdf" TargetMode="External"/><Relationship Id="rId20" Type="http://schemas.openxmlformats.org/officeDocument/2006/relationships/hyperlink" Target="https://www.cbd.int/doc/decisions/cop-04/full/cop-04-dec-f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oc/decisions/cop-01/full/cop-01-dec-fr.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bd.int/doc/decisions/np-mop-01/np-mop-01-dec-12-f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0FBA093D03AA40D3B5552A05951AFA73"/>
        <w:category>
          <w:name w:val="General"/>
          <w:gallery w:val="placeholder"/>
        </w:category>
        <w:types>
          <w:type w:val="bbPlcHdr"/>
        </w:types>
        <w:behaviors>
          <w:behavior w:val="content"/>
        </w:behaviors>
        <w:guid w:val="{AD17EC66-0AE3-4371-89EE-26C8ED7B7079}"/>
      </w:docPartPr>
      <w:docPartBody>
        <w:p w:rsidR="00D43F44" w:rsidRDefault="007C4396" w:rsidP="007C4396">
          <w:pPr>
            <w:pStyle w:val="0FBA093D03AA40D3B5552A05951AFA73"/>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1335D"/>
    <w:rsid w:val="00025FA8"/>
    <w:rsid w:val="0004371D"/>
    <w:rsid w:val="000C44F5"/>
    <w:rsid w:val="000E2DF7"/>
    <w:rsid w:val="001077FD"/>
    <w:rsid w:val="0018788D"/>
    <w:rsid w:val="00197679"/>
    <w:rsid w:val="00204ED8"/>
    <w:rsid w:val="00293EF7"/>
    <w:rsid w:val="00334D4E"/>
    <w:rsid w:val="004F086B"/>
    <w:rsid w:val="00500A2B"/>
    <w:rsid w:val="005153C5"/>
    <w:rsid w:val="0058288D"/>
    <w:rsid w:val="00590CF3"/>
    <w:rsid w:val="005910B9"/>
    <w:rsid w:val="005E1DAB"/>
    <w:rsid w:val="0061507A"/>
    <w:rsid w:val="006801B3"/>
    <w:rsid w:val="007743E0"/>
    <w:rsid w:val="007C4396"/>
    <w:rsid w:val="00810A55"/>
    <w:rsid w:val="008350F9"/>
    <w:rsid w:val="00840476"/>
    <w:rsid w:val="008C6619"/>
    <w:rsid w:val="008D420E"/>
    <w:rsid w:val="00944794"/>
    <w:rsid w:val="0098642F"/>
    <w:rsid w:val="00C9570A"/>
    <w:rsid w:val="00CD0B52"/>
    <w:rsid w:val="00D10070"/>
    <w:rsid w:val="00D43F44"/>
    <w:rsid w:val="00DC5AE1"/>
    <w:rsid w:val="00E42A32"/>
    <w:rsid w:val="00E75D63"/>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1335D"/>
    <w:rPr>
      <w:color w:val="808080"/>
    </w:rPr>
  </w:style>
  <w:style w:type="paragraph" w:customStyle="1" w:styleId="0FBA093D03AA40D3B5552A05951AFA73">
    <w:name w:val="0FBA093D03AA40D3B5552A05951AFA73"/>
    <w:rsid w:val="007C43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2019-02-11T00:00:00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2B8975-8984-4405-AA1D-8DA4D37FC4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C14649-4B9D-4417-B7FD-B496CDD69B33}">
  <ds:schemaRefs>
    <ds:schemaRef ds:uri="http://schemas.microsoft.com/sharepoint/v3/contenttype/forms"/>
  </ds:schemaRefs>
</ds:datastoreItem>
</file>

<file path=customXml/itemProps4.xml><?xml version="1.0" encoding="utf-8"?>
<ds:datastoreItem xmlns:ds="http://schemas.openxmlformats.org/officeDocument/2006/customXml" ds:itemID="{4DB9E2B0-80B2-43A0-9435-F05D44B6C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1EA121-BAB5-4DA1-B89B-402653D4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6</Pages>
  <Words>2955</Words>
  <Characters>16849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19765</CharactersWithSpaces>
  <SharedDoc>false</SharedDoc>
  <HLinks>
    <vt:vector size="42" baseType="variant">
      <vt:variant>
        <vt:i4>7274593</vt:i4>
      </vt:variant>
      <vt:variant>
        <vt:i4>18</vt:i4>
      </vt:variant>
      <vt:variant>
        <vt:i4>0</vt:i4>
      </vt:variant>
      <vt:variant>
        <vt:i4>5</vt:i4>
      </vt:variant>
      <vt:variant>
        <vt:lpwstr>https://www.cbd.int/decisions/cop/?m=cop-04</vt:lpwstr>
      </vt:variant>
      <vt:variant>
        <vt:lpwstr/>
      </vt:variant>
      <vt:variant>
        <vt:i4>7733296</vt:i4>
      </vt:variant>
      <vt:variant>
        <vt:i4>15</vt:i4>
      </vt:variant>
      <vt:variant>
        <vt:i4>0</vt:i4>
      </vt:variant>
      <vt:variant>
        <vt:i4>5</vt:i4>
      </vt:variant>
      <vt:variant>
        <vt:lpwstr>https://www.cbd.int/doc/decisions/np-mop-01/np-mop-01-dec-12-en.pdf</vt:lpwstr>
      </vt:variant>
      <vt:variant>
        <vt:lpwstr/>
      </vt:variant>
      <vt:variant>
        <vt:i4>655430</vt:i4>
      </vt:variant>
      <vt:variant>
        <vt:i4>12</vt:i4>
      </vt:variant>
      <vt:variant>
        <vt:i4>0</vt:i4>
      </vt:variant>
      <vt:variant>
        <vt:i4>5</vt:i4>
      </vt:variant>
      <vt:variant>
        <vt:lpwstr>https://www.cbd.int/doc/decisions/mop-07/mop-07-dec-09-en.pdf</vt:lpwstr>
      </vt:variant>
      <vt:variant>
        <vt:lpwstr/>
      </vt:variant>
      <vt:variant>
        <vt:i4>917582</vt:i4>
      </vt:variant>
      <vt:variant>
        <vt:i4>9</vt:i4>
      </vt:variant>
      <vt:variant>
        <vt:i4>0</vt:i4>
      </vt:variant>
      <vt:variant>
        <vt:i4>5</vt:i4>
      </vt:variant>
      <vt:variant>
        <vt:lpwstr>https://www.cbd.int/doc/decisions/cop-12/cop-12-dec-27-en.pdf</vt:lpwstr>
      </vt:variant>
      <vt:variant>
        <vt:lpwstr/>
      </vt:variant>
      <vt:variant>
        <vt:i4>458827</vt:i4>
      </vt:variant>
      <vt:variant>
        <vt:i4>6</vt:i4>
      </vt:variant>
      <vt:variant>
        <vt:i4>0</vt:i4>
      </vt:variant>
      <vt:variant>
        <vt:i4>5</vt:i4>
      </vt:variant>
      <vt:variant>
        <vt:lpwstr>https://www.cbd.int/decision/cop/?id=7162</vt:lpwstr>
      </vt:variant>
      <vt:variant>
        <vt:lpwstr/>
      </vt:variant>
      <vt:variant>
        <vt:i4>655438</vt:i4>
      </vt:variant>
      <vt:variant>
        <vt:i4>3</vt:i4>
      </vt:variant>
      <vt:variant>
        <vt:i4>0</vt:i4>
      </vt:variant>
      <vt:variant>
        <vt:i4>5</vt:i4>
      </vt:variant>
      <vt:variant>
        <vt:lpwstr>https://www.cbd.int/doc/decisions/cop-01/cop-01-dec-01-en.pdf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CBD/CP/MOP/10/1/Add.1</dc:subject>
  <dc:creator>SCBD</dc:creator>
  <cp:keywords>Conference of the Parties serving as the meeting of the Parties to the Cartagena Protocol on Biosafety, tenth meeting, Kunming, China, 11-15 October 2021</cp:keywords>
  <cp:lastModifiedBy>Angela Xuehe Yan</cp:lastModifiedBy>
  <cp:revision>56</cp:revision>
  <cp:lastPrinted>2019-03-11T19:24:00Z</cp:lastPrinted>
  <dcterms:created xsi:type="dcterms:W3CDTF">2021-09-01T15:51:00Z</dcterms:created>
  <dcterms:modified xsi:type="dcterms:W3CDTF">2021-09-02T19:54:00Z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