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76"/>
        <w:gridCol w:w="5141"/>
        <w:gridCol w:w="4090"/>
      </w:tblGrid>
      <w:tr w:rsidR="00FC0BD6">
        <w:trPr>
          <w:trHeight w:val="844"/>
        </w:trPr>
        <w:tc>
          <w:tcPr>
            <w:tcW w:w="976" w:type="dxa"/>
            <w:tcBorders>
              <w:bottom w:val="single" w:sz="12" w:space="0" w:color="auto"/>
            </w:tcBorders>
          </w:tcPr>
          <w:p w:rsidR="00FC0BD6" w:rsidRDefault="00D66167">
            <w:pPr>
              <w:suppressLineNumbers/>
              <w:suppressAutoHyphens/>
              <w:rPr>
                <w:rFonts w:eastAsia="Times New Roman"/>
                <w:kern w:val="22"/>
                <w:lang/>
              </w:rPr>
            </w:pPr>
            <w:r>
              <w:rPr>
                <w:noProof/>
                <w:snapToGrid/>
                <w:lang w:val="en-US" w:eastAsia="en-US"/>
              </w:rPr>
              <w:drawing>
                <wp:anchor distT="0" distB="0" distL="114300" distR="114300" simplePos="0" relativeHeight="251657728" behindDoc="0" locked="0" layoutInCell="1" allowOverlap="1">
                  <wp:simplePos x="0" y="0"/>
                  <wp:positionH relativeFrom="column">
                    <wp:posOffset>635</wp:posOffset>
                  </wp:positionH>
                  <wp:positionV relativeFrom="page">
                    <wp:posOffset>0</wp:posOffset>
                  </wp:positionV>
                  <wp:extent cx="476250" cy="402590"/>
                  <wp:effectExtent l="19050" t="0" r="0" b="0"/>
                  <wp:wrapNone/>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5141" w:type="dxa"/>
            <w:tcBorders>
              <w:bottom w:val="single" w:sz="12" w:space="0" w:color="auto"/>
            </w:tcBorders>
            <w:tcFitText/>
          </w:tcPr>
          <w:p w:rsidR="00FC0BD6" w:rsidRDefault="00D66167">
            <w:pPr>
              <w:suppressLineNumbers/>
              <w:suppressAutoHyphens/>
              <w:rPr>
                <w:rFonts w:eastAsia="Times New Roman"/>
                <w:kern w:val="22"/>
                <w:lang/>
              </w:rPr>
            </w:pPr>
            <w:r>
              <w:rPr>
                <w:rFonts w:eastAsia="Times New Roman"/>
                <w:noProof/>
                <w:snapToGrid/>
                <w:kern w:val="22"/>
                <w:lang w:val="en-US" w:eastAsia="en-US"/>
              </w:rPr>
              <w:drawing>
                <wp:inline distT="0" distB="0" distL="0" distR="0">
                  <wp:extent cx="699135" cy="397510"/>
                  <wp:effectExtent l="19050" t="0" r="571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9913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FC0BD6" w:rsidRDefault="00FC0BD6">
            <w:pPr>
              <w:suppressLineNumbers/>
              <w:suppressAutoHyphens/>
              <w:jc w:val="right"/>
              <w:rPr>
                <w:rFonts w:ascii="Arial" w:eastAsia="Times New Roman" w:hAnsi="Arial" w:cs="Arial"/>
                <w:b/>
                <w:bCs/>
                <w:kern w:val="22"/>
                <w:sz w:val="32"/>
                <w:szCs w:val="32"/>
                <w:lang/>
              </w:rPr>
            </w:pPr>
            <w:r>
              <w:rPr>
                <w:rFonts w:ascii="Arial" w:eastAsia="Times New Roman" w:hAnsi="Arial" w:cs="Arial"/>
                <w:b/>
                <w:bCs/>
                <w:noProof/>
                <w:kern w:val="22"/>
                <w:sz w:val="32"/>
                <w:szCs w:val="32"/>
                <w:lang/>
              </w:rPr>
              <w:t>CBD</w:t>
            </w:r>
          </w:p>
        </w:tc>
      </w:tr>
      <w:tr w:rsidR="00FC0BD6">
        <w:tc>
          <w:tcPr>
            <w:tcW w:w="6117" w:type="dxa"/>
            <w:gridSpan w:val="2"/>
            <w:tcBorders>
              <w:top w:val="single" w:sz="12" w:space="0" w:color="auto"/>
              <w:bottom w:val="single" w:sz="36" w:space="0" w:color="auto"/>
            </w:tcBorders>
            <w:vAlign w:val="center"/>
          </w:tcPr>
          <w:p w:rsidR="00FC0BD6" w:rsidRDefault="00D66167">
            <w:pPr>
              <w:suppressLineNumbers/>
              <w:suppressAutoHyphens/>
              <w:rPr>
                <w:rFonts w:eastAsia="Times New Roman"/>
                <w:kern w:val="22"/>
                <w:lang/>
              </w:rPr>
            </w:pPr>
            <w:r>
              <w:rPr>
                <w:rFonts w:eastAsia="Times New Roman"/>
                <w:noProof/>
                <w:snapToGrid/>
                <w:kern w:val="22"/>
                <w:lang w:val="en-US" w:eastAsia="en-US"/>
              </w:rPr>
              <w:drawing>
                <wp:inline distT="0" distB="0" distL="0" distR="0">
                  <wp:extent cx="2904490" cy="105918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2904490" cy="10591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FC0BD6" w:rsidRDefault="00FC0BD6">
            <w:pPr>
              <w:suppressLineNumbers/>
              <w:suppressAutoHyphens/>
              <w:ind w:left="1215"/>
              <w:rPr>
                <w:rFonts w:eastAsia="Times New Roman"/>
                <w:kern w:val="22"/>
                <w:lang/>
              </w:rPr>
            </w:pPr>
            <w:r>
              <w:rPr>
                <w:rFonts w:eastAsia="Times New Roman"/>
                <w:noProof/>
                <w:kern w:val="22"/>
                <w:lang/>
              </w:rPr>
              <w:t>Distr.</w:t>
            </w:r>
          </w:p>
          <w:p w:rsidR="00FC0BD6" w:rsidRDefault="00FC0BD6">
            <w:pPr>
              <w:suppressLineNumbers/>
              <w:suppressAutoHyphens/>
              <w:ind w:left="1215"/>
              <w:jc w:val="left"/>
              <w:rPr>
                <w:rFonts w:eastAsia="Times New Roman"/>
                <w:kern w:val="22"/>
                <w:lang/>
              </w:rPr>
            </w:pPr>
            <w:r>
              <w:rPr>
                <w:rFonts w:eastAsia="Times New Roman"/>
                <w:noProof/>
                <w:kern w:val="22"/>
                <w:lang/>
              </w:rPr>
              <w:t>GENERAL</w:t>
            </w:r>
          </w:p>
          <w:p w:rsidR="00FC0BD6" w:rsidRDefault="00FC0BD6">
            <w:pPr>
              <w:suppressLineNumbers/>
              <w:suppressAutoHyphens/>
              <w:ind w:left="1215"/>
              <w:rPr>
                <w:rFonts w:eastAsia="Times New Roman"/>
                <w:kern w:val="22"/>
                <w:lang/>
              </w:rPr>
            </w:pPr>
          </w:p>
          <w:p w:rsidR="00FC0BD6" w:rsidRDefault="00FC0BD6">
            <w:pPr>
              <w:suppressLineNumbers/>
              <w:suppressAutoHyphens/>
              <w:ind w:left="1215"/>
              <w:rPr>
                <w:rFonts w:eastAsia="Times New Roman"/>
                <w:kern w:val="22"/>
                <w:lang/>
              </w:rPr>
            </w:pPr>
            <w:r>
              <w:rPr>
                <w:rFonts w:eastAsia="Times New Roman"/>
                <w:noProof/>
                <w:kern w:val="22"/>
                <w:lang/>
              </w:rPr>
              <w:t>CBD/WG2020/4/1/Add.1</w:t>
            </w:r>
          </w:p>
          <w:p w:rsidR="00FC0BD6" w:rsidRDefault="00FC0BD6">
            <w:pPr>
              <w:suppressLineNumbers/>
              <w:suppressAutoHyphens/>
              <w:ind w:left="1215"/>
              <w:jc w:val="left"/>
              <w:rPr>
                <w:rFonts w:eastAsia="Times New Roman"/>
                <w:kern w:val="22"/>
                <w:lang/>
              </w:rPr>
            </w:pPr>
            <w:r>
              <w:rPr>
                <w:rFonts w:eastAsia="Times New Roman"/>
                <w:noProof/>
                <w:kern w:val="22"/>
                <w:lang/>
              </w:rPr>
              <w:t>20 de abril de 2022</w:t>
            </w:r>
          </w:p>
          <w:p w:rsidR="00FC0BD6" w:rsidRDefault="00FC0BD6">
            <w:pPr>
              <w:suppressLineNumbers/>
              <w:suppressAutoHyphens/>
              <w:ind w:left="1215"/>
              <w:rPr>
                <w:rFonts w:eastAsia="Times New Roman"/>
                <w:kern w:val="22"/>
                <w:lang/>
              </w:rPr>
            </w:pPr>
          </w:p>
          <w:p w:rsidR="00FC0BD6" w:rsidRDefault="00FC0BD6">
            <w:pPr>
              <w:suppressLineNumbers/>
              <w:suppressAutoHyphens/>
              <w:ind w:left="1215"/>
              <w:rPr>
                <w:rFonts w:eastAsia="Times New Roman"/>
                <w:kern w:val="22"/>
                <w:lang/>
              </w:rPr>
            </w:pPr>
            <w:r>
              <w:rPr>
                <w:rFonts w:eastAsia="Times New Roman"/>
                <w:noProof/>
                <w:kern w:val="22"/>
                <w:lang/>
              </w:rPr>
              <w:t>ESPAÑOL</w:t>
            </w:r>
          </w:p>
          <w:p w:rsidR="00FC0BD6" w:rsidRDefault="00FC0BD6">
            <w:pPr>
              <w:suppressLineNumbers/>
              <w:suppressAutoHyphens/>
              <w:ind w:left="1215"/>
              <w:rPr>
                <w:rFonts w:eastAsia="Times New Roman"/>
                <w:kern w:val="22"/>
                <w:lang/>
              </w:rPr>
            </w:pPr>
            <w:r>
              <w:rPr>
                <w:rFonts w:eastAsia="Times New Roman"/>
                <w:noProof/>
                <w:kern w:val="22"/>
                <w:lang/>
              </w:rPr>
              <w:t>ORIGINAL:</w:t>
            </w:r>
            <w:r>
              <w:rPr>
                <w:rFonts w:eastAsia="Times New Roman"/>
                <w:kern w:val="22"/>
                <w:lang/>
              </w:rPr>
              <w:t xml:space="preserve"> </w:t>
            </w:r>
            <w:r>
              <w:rPr>
                <w:rFonts w:eastAsia="Times New Roman"/>
                <w:noProof/>
                <w:kern w:val="22"/>
                <w:lang/>
              </w:rPr>
              <w:t>INGLÉS</w:t>
            </w:r>
          </w:p>
          <w:p w:rsidR="00FC0BD6" w:rsidRDefault="00FC0BD6">
            <w:pPr>
              <w:suppressLineNumbers/>
              <w:suppressAutoHyphens/>
              <w:rPr>
                <w:rFonts w:eastAsia="Times New Roman"/>
                <w:kern w:val="22"/>
                <w:lang/>
              </w:rPr>
            </w:pPr>
          </w:p>
        </w:tc>
      </w:tr>
    </w:tbl>
    <w:p w:rsidR="00FC0BD6" w:rsidRPr="00A660B8" w:rsidRDefault="00FC0BD6">
      <w:pPr>
        <w:pStyle w:val="meetingname"/>
        <w:suppressLineNumbers/>
        <w:suppressAutoHyphens/>
        <w:ind w:right="5876"/>
        <w:jc w:val="left"/>
        <w:rPr>
          <w:rFonts w:eastAsia="Times New Roman"/>
          <w:caps w:val="0"/>
          <w:kern w:val="22"/>
          <w:lang/>
        </w:rPr>
      </w:pPr>
      <w:r w:rsidRPr="00A660B8">
        <w:rPr>
          <w:rFonts w:eastAsia="Times New Roman"/>
          <w:caps w:val="0"/>
          <w:noProof/>
          <w:lang/>
        </w:rPr>
        <w:t>GRUPO DE TRABAJO DE COMPOSICIÓN ABIERTA SOBRE EL MARCO MUNDIAL DE LA DIVERSIDAD BIOLÓGICA POSTERIOR A 2020</w:t>
      </w:r>
    </w:p>
    <w:p w:rsidR="00FC0BD6" w:rsidRPr="00A660B8" w:rsidRDefault="00FC0BD6">
      <w:pPr>
        <w:suppressLineNumbers/>
        <w:suppressAutoHyphens/>
        <w:ind w:left="142" w:right="4824" w:hanging="142"/>
        <w:jc w:val="left"/>
        <w:rPr>
          <w:rFonts w:eastAsia="Times New Roman"/>
          <w:kern w:val="22"/>
          <w:lang/>
        </w:rPr>
      </w:pPr>
      <w:r w:rsidRPr="00A660B8">
        <w:rPr>
          <w:rFonts w:eastAsia="Times New Roman"/>
          <w:noProof/>
          <w:kern w:val="22"/>
          <w:lang/>
        </w:rPr>
        <w:t>Cuarta reunión</w:t>
      </w:r>
    </w:p>
    <w:p w:rsidR="00FC0BD6" w:rsidRPr="00A660B8" w:rsidRDefault="00FC0BD6">
      <w:pPr>
        <w:suppressLineNumbers/>
        <w:suppressAutoHyphens/>
        <w:ind w:left="142" w:right="4824" w:hanging="142"/>
        <w:jc w:val="left"/>
        <w:rPr>
          <w:rFonts w:eastAsia="Times New Roman"/>
          <w:kern w:val="22"/>
          <w:lang/>
        </w:rPr>
      </w:pPr>
      <w:r w:rsidRPr="00A660B8">
        <w:rPr>
          <w:rFonts w:eastAsia="Times New Roman"/>
          <w:noProof/>
          <w:kern w:val="22"/>
          <w:lang/>
        </w:rPr>
        <w:t>Nairobi, 21 a 26 de junio de 2022</w:t>
      </w:r>
    </w:p>
    <w:p w:rsidR="00FC0BD6" w:rsidRPr="00A660B8" w:rsidRDefault="00FC0BD6">
      <w:pPr>
        <w:pStyle w:val="Heading1"/>
        <w:tabs>
          <w:tab w:val="clear" w:pos="720"/>
        </w:tabs>
        <w:rPr>
          <w:rFonts w:eastAsia="Times New Roman"/>
          <w:kern w:val="22"/>
          <w:lang/>
        </w:rPr>
      </w:pPr>
      <w:r w:rsidRPr="00A660B8">
        <w:rPr>
          <w:rFonts w:eastAsia="Times New Roman"/>
          <w:kern w:val="22"/>
          <w:lang/>
        </w:rPr>
        <w:t>Anotaciones al programa provisional</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lang/>
        </w:rPr>
      </w:pPr>
      <w:r w:rsidRPr="00A660B8">
        <w:rPr>
          <w:rFonts w:eastAsia="Times New Roman"/>
          <w:lang/>
        </w:rPr>
        <w:t>En su 14ª reunión, la Conferencia de las Partes adoptó el proceso preparatorio para la elaboración del marco mundial de la diversidad biológica posterior a 2020 (decisión</w:t>
      </w:r>
      <w:r w:rsidR="004A3F7E" w:rsidRPr="00A660B8">
        <w:rPr>
          <w:rFonts w:eastAsia="Times New Roman"/>
          <w:lang/>
        </w:rPr>
        <w:t> </w:t>
      </w:r>
      <w:hyperlink r:id="rId10" w:history="1">
        <w:r w:rsidRPr="00A660B8">
          <w:rPr>
            <w:rStyle w:val="Hyperlink"/>
            <w:rFonts w:eastAsia="Times New Roman"/>
            <w:sz w:val="22"/>
            <w:szCs w:val="22"/>
            <w:lang/>
          </w:rPr>
          <w:t>14/34</w:t>
        </w:r>
      </w:hyperlink>
      <w:r w:rsidRPr="00A660B8">
        <w:rPr>
          <w:rFonts w:eastAsia="Times New Roman"/>
          <w:lang/>
        </w:rPr>
        <w:t>) y estableció un grupo de trabajo de composición abierta entre períodos de sesiones para apoyar la preparación del marco mundial de la diversidad biológica posterior a 2020.</w:t>
      </w:r>
      <w:r w:rsidRPr="00A660B8">
        <w:rPr>
          <w:rFonts w:eastAsia="Times New Roman"/>
          <w:kern w:val="22"/>
          <w:lang/>
        </w:rPr>
        <w:t xml:space="preserve"> </w:t>
      </w:r>
      <w:r w:rsidRPr="00A660B8">
        <w:rPr>
          <w:rFonts w:eastAsia="Times New Roman"/>
          <w:lang/>
        </w:rPr>
        <w:t>La Conferencia de las Partes que actúa como reunión de las Partes en el Protocolo de Cartagena sobre Seguridad de la Biotecnología destacó que la seguridad de la biotecnología debería estar incluida en el marco mundial de la diversidad biológica posterior a 2020 y estableció los pasos para la preparación del componente de seguridad de la biotecnología del marco mundial de la diversidad biológica posterior a 2020 (decisión</w:t>
      </w:r>
      <w:r w:rsidR="004A3F7E" w:rsidRPr="00A660B8">
        <w:rPr>
          <w:rFonts w:eastAsia="Times New Roman"/>
          <w:lang/>
        </w:rPr>
        <w:t> </w:t>
      </w:r>
      <w:hyperlink r:id="rId11" w:history="1">
        <w:r w:rsidRPr="00A660B8">
          <w:rPr>
            <w:rStyle w:val="Hyperlink"/>
            <w:rFonts w:eastAsia="Times New Roman"/>
            <w:sz w:val="22"/>
            <w:szCs w:val="22"/>
            <w:lang/>
          </w:rPr>
          <w:t>CP-9/7</w:t>
        </w:r>
      </w:hyperlink>
      <w:r w:rsidRPr="00A660B8">
        <w:rPr>
          <w:rFonts w:eastAsia="Times New Roman"/>
          <w:lang/>
        </w:rPr>
        <w:t>).</w:t>
      </w:r>
      <w:r w:rsidRPr="00A660B8">
        <w:rPr>
          <w:rFonts w:eastAsia="Times New Roman"/>
          <w:kern w:val="22"/>
          <w:lang/>
        </w:rPr>
        <w:t xml:space="preserve"> </w:t>
      </w:r>
      <w:r w:rsidRPr="00A660B8">
        <w:rPr>
          <w:rFonts w:eastAsia="Times New Roman"/>
          <w:lang/>
        </w:rPr>
        <w:t>La Conferencia de las Partes que actúa como reunión de las Partes en el Protocolo de Nagoya invitó a las Partes en el Protocolo a participar en el proceso de elaboración del marco mundial de la diversidad biológica posterior a 2020 (decisión</w:t>
      </w:r>
      <w:r w:rsidR="004A3F7E" w:rsidRPr="00A660B8">
        <w:rPr>
          <w:rFonts w:eastAsia="Times New Roman"/>
          <w:lang/>
        </w:rPr>
        <w:t> </w:t>
      </w:r>
      <w:hyperlink r:id="rId12" w:history="1">
        <w:r w:rsidRPr="00A660B8">
          <w:rPr>
            <w:rStyle w:val="Hyperlink"/>
            <w:rFonts w:eastAsia="Times New Roman"/>
            <w:sz w:val="22"/>
            <w:szCs w:val="22"/>
            <w:lang/>
          </w:rPr>
          <w:t>NP-3/15</w:t>
        </w:r>
      </w:hyperlink>
      <w:r w:rsidRPr="00A660B8">
        <w:rPr>
          <w:rFonts w:eastAsia="Times New Roman"/>
          <w:lang/>
        </w:rPr>
        <w:t>).</w:t>
      </w:r>
      <w:r w:rsidRPr="00A660B8">
        <w:rPr>
          <w:rFonts w:eastAsia="Times New Roman"/>
          <w:kern w:val="22"/>
          <w:lang/>
        </w:rPr>
        <w:t xml:space="preserve"> </w:t>
      </w:r>
      <w:r w:rsidRPr="00A660B8">
        <w:rPr>
          <w:rFonts w:eastAsia="Times New Roman"/>
          <w:lang/>
        </w:rPr>
        <w:t>Otras decisiones de la Conferencia de las Partes incluyen elementos pertinentes para la preparación del marco mundial de la diversidad biológica posterior a 2020</w:t>
      </w:r>
      <w:r w:rsidRPr="00A660B8">
        <w:rPr>
          <w:rStyle w:val="FootnoteReference"/>
          <w:rFonts w:eastAsia="Times New Roman"/>
          <w:kern w:val="22"/>
          <w:lang/>
        </w:rPr>
        <w:footnoteReference w:id="2"/>
      </w:r>
      <w:r w:rsidRPr="00A660B8">
        <w:rPr>
          <w:rFonts w:eastAsia="Times New Roman"/>
          <w:kern w:val="22"/>
          <w:lang/>
        </w:rPr>
        <w:t>.</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lang/>
        </w:rPr>
      </w:pPr>
      <w:r w:rsidRPr="00A660B8">
        <w:rPr>
          <w:rFonts w:eastAsia="Times New Roman"/>
          <w:lang/>
        </w:rPr>
        <w:t xml:space="preserve">La Conferencia de las Partes designó a los Sres. Francis Ogwal (Uganda) y Basile van Havre (Canadá) para oficiar </w:t>
      </w:r>
      <w:r w:rsidR="004A3F7E" w:rsidRPr="00A660B8">
        <w:rPr>
          <w:rFonts w:eastAsia="Times New Roman"/>
          <w:lang/>
        </w:rPr>
        <w:t>de</w:t>
      </w:r>
      <w:r w:rsidRPr="00A660B8">
        <w:rPr>
          <w:rFonts w:eastAsia="Times New Roman"/>
          <w:lang/>
        </w:rPr>
        <w:t xml:space="preserve"> Copresidentes del Grupo de Trabajo</w:t>
      </w:r>
      <w:r w:rsidRPr="00A660B8">
        <w:rPr>
          <w:rStyle w:val="FootnoteReference"/>
          <w:rFonts w:eastAsia="Times New Roman"/>
          <w:kern w:val="22"/>
          <w:lang/>
        </w:rPr>
        <w:footnoteReference w:id="3"/>
      </w:r>
      <w:r w:rsidRPr="00A660B8">
        <w:rPr>
          <w:rFonts w:eastAsia="Times New Roman"/>
          <w:kern w:val="22"/>
          <w:lang/>
        </w:rPr>
        <w:t>. De conformidad con el reglamento, la Mesa de la Conferencia de las Partes oficiaría de Mesa del Grupo de Trabajo.</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kern w:val="22"/>
          <w:lang/>
        </w:rPr>
      </w:pPr>
      <w:r w:rsidRPr="00A660B8">
        <w:rPr>
          <w:rFonts w:eastAsia="Times New Roman"/>
          <w:kern w:val="22"/>
          <w:lang/>
        </w:rPr>
        <w:t>Como se indica en el anexo de la decisión 14/34, el Grupo de Trabajo está integrado por representantes de las Partes en el Convenio y en los Protocolos y está abierto a observadores.</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kern w:val="22"/>
          <w:lang/>
        </w:rPr>
      </w:pPr>
      <w:r w:rsidRPr="00A660B8">
        <w:rPr>
          <w:rFonts w:eastAsia="Times New Roman"/>
          <w:lang/>
        </w:rPr>
        <w:t>El proceso de negociación culminará cuando la Conferencia de las Partes adopte un marco mundial de la diversidad biológica posterior a 2020 en su 15ª reunión y la Conferencia de las Partes que actúa como reuniones de las Partes en los Protocolos lo haga suyo en sus respectivas reuniones</w:t>
      </w:r>
      <w:r w:rsidRPr="00A660B8">
        <w:rPr>
          <w:rStyle w:val="FootnoteReference"/>
          <w:rFonts w:eastAsia="Times New Roman"/>
          <w:kern w:val="22"/>
          <w:lang/>
        </w:rPr>
        <w:footnoteReference w:id="4"/>
      </w:r>
      <w:r w:rsidRPr="00A660B8">
        <w:rPr>
          <w:rFonts w:eastAsia="Times New Roman"/>
          <w:kern w:val="22"/>
          <w:lang/>
        </w:rPr>
        <w:t>.</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kern w:val="22"/>
          <w:lang/>
        </w:rPr>
      </w:pPr>
      <w:r w:rsidRPr="00A660B8">
        <w:rPr>
          <w:rFonts w:eastAsia="Times New Roman"/>
          <w:kern w:val="22"/>
          <w:lang/>
        </w:rPr>
        <w:t>La primera reunión del Grupo de Trabajo se celebró del 27 al 30 de agosto de 2019, en Nairobi. El</w:t>
      </w:r>
      <w:r w:rsidR="00534F12" w:rsidRPr="00A660B8">
        <w:rPr>
          <w:rFonts w:eastAsia="Times New Roman"/>
          <w:kern w:val="22"/>
          <w:lang/>
        </w:rPr>
        <w:t> </w:t>
      </w:r>
      <w:r w:rsidRPr="00A660B8">
        <w:rPr>
          <w:rFonts w:eastAsia="Times New Roman"/>
          <w:kern w:val="22"/>
          <w:lang/>
        </w:rPr>
        <w:t xml:space="preserve">informe de la reunión figura en el documento </w:t>
      </w:r>
      <w:hyperlink r:id="rId13" w:history="1">
        <w:r w:rsidRPr="00A660B8">
          <w:rPr>
            <w:rStyle w:val="Hyperlink"/>
            <w:rFonts w:eastAsia="Times New Roman"/>
            <w:sz w:val="22"/>
            <w:szCs w:val="22"/>
            <w:lang/>
          </w:rPr>
          <w:t>CBD/WG2020/1/5</w:t>
        </w:r>
      </w:hyperlink>
      <w:r w:rsidRPr="00A660B8">
        <w:rPr>
          <w:rFonts w:eastAsia="Times New Roman"/>
          <w:kern w:val="22"/>
          <w:lang/>
        </w:rPr>
        <w:t>.</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kern w:val="22"/>
          <w:lang/>
        </w:rPr>
      </w:pPr>
      <w:r w:rsidRPr="00A660B8">
        <w:rPr>
          <w:rFonts w:eastAsia="Times New Roman"/>
          <w:kern w:val="22"/>
          <w:lang/>
        </w:rPr>
        <w:t>La segunda reunión del Grupo de Trabajo se celebró del 24 al 29 de febrero de 2020, en Roma. El</w:t>
      </w:r>
      <w:r w:rsidR="00534F12" w:rsidRPr="00A660B8">
        <w:rPr>
          <w:rFonts w:eastAsia="Times New Roman"/>
          <w:kern w:val="22"/>
          <w:lang/>
        </w:rPr>
        <w:t> </w:t>
      </w:r>
      <w:r w:rsidRPr="00A660B8">
        <w:rPr>
          <w:rFonts w:eastAsia="Times New Roman"/>
          <w:kern w:val="22"/>
          <w:lang/>
        </w:rPr>
        <w:t xml:space="preserve">informe de la reunión figura en el documento </w:t>
      </w:r>
      <w:hyperlink r:id="rId14" w:history="1">
        <w:r w:rsidRPr="00A660B8">
          <w:rPr>
            <w:rStyle w:val="Hyperlink"/>
            <w:rFonts w:eastAsia="Times New Roman"/>
            <w:sz w:val="22"/>
            <w:szCs w:val="22"/>
            <w:lang/>
          </w:rPr>
          <w:t>CBD/WG2020/2/4</w:t>
        </w:r>
      </w:hyperlink>
      <w:r w:rsidRPr="00A660B8">
        <w:rPr>
          <w:rFonts w:eastAsia="Times New Roman"/>
          <w:kern w:val="22"/>
          <w:lang/>
        </w:rPr>
        <w:t>.</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lang/>
        </w:rPr>
      </w:pPr>
      <w:r w:rsidRPr="00A660B8">
        <w:rPr>
          <w:rFonts w:eastAsia="Times New Roman"/>
          <w:kern w:val="22"/>
          <w:lang/>
        </w:rPr>
        <w:t xml:space="preserve">La tercera reunión del Grupo de Trabajo se celebró en dos partes. </w:t>
      </w:r>
      <w:r w:rsidRPr="00A660B8">
        <w:rPr>
          <w:rFonts w:eastAsia="Times New Roman"/>
          <w:kern w:val="22"/>
          <w:lang w:val="es-ES"/>
        </w:rPr>
        <w:t xml:space="preserve">La primera parte </w:t>
      </w:r>
      <w:r w:rsidR="004A3F7E" w:rsidRPr="00A660B8">
        <w:rPr>
          <w:rFonts w:eastAsia="Times New Roman"/>
          <w:kern w:val="22"/>
          <w:lang w:val="es-ES"/>
        </w:rPr>
        <w:t>fue</w:t>
      </w:r>
      <w:r w:rsidRPr="00A660B8">
        <w:rPr>
          <w:rFonts w:eastAsia="Times New Roman"/>
          <w:kern w:val="22"/>
          <w:lang w:val="es-ES"/>
        </w:rPr>
        <w:t xml:space="preserve"> en modalidad virtual del </w:t>
      </w:r>
      <w:r w:rsidRPr="00A660B8">
        <w:rPr>
          <w:rFonts w:eastAsia="Times New Roman"/>
          <w:lang w:val="es-ES"/>
        </w:rPr>
        <w:t>23</w:t>
      </w:r>
      <w:r w:rsidR="004A3F7E" w:rsidRPr="00A660B8">
        <w:rPr>
          <w:rFonts w:eastAsia="Times New Roman"/>
          <w:lang w:val="es-ES"/>
        </w:rPr>
        <w:t> </w:t>
      </w:r>
      <w:r w:rsidRPr="00A660B8">
        <w:rPr>
          <w:rFonts w:eastAsia="Times New Roman"/>
          <w:lang w:val="es-ES"/>
        </w:rPr>
        <w:t>de agosto de 2021 al 3</w:t>
      </w:r>
      <w:r w:rsidR="004A3F7E" w:rsidRPr="00A660B8">
        <w:rPr>
          <w:rFonts w:eastAsia="Times New Roman"/>
          <w:lang w:val="es-ES"/>
        </w:rPr>
        <w:t> </w:t>
      </w:r>
      <w:r w:rsidRPr="00A660B8">
        <w:rPr>
          <w:rFonts w:eastAsia="Times New Roman"/>
          <w:lang w:val="es-ES"/>
        </w:rPr>
        <w:t>de septiembre de 2021</w:t>
      </w:r>
      <w:r w:rsidRPr="00A660B8">
        <w:rPr>
          <w:rStyle w:val="FootnoteReference"/>
          <w:rFonts w:eastAsia="Times New Roman"/>
          <w:lang w:val="es-ES"/>
        </w:rPr>
        <w:footnoteReference w:id="5"/>
      </w:r>
      <w:r w:rsidRPr="00A660B8">
        <w:rPr>
          <w:rFonts w:eastAsia="Times New Roman"/>
          <w:kern w:val="22"/>
          <w:lang w:val="es-ES"/>
        </w:rPr>
        <w:t xml:space="preserve"> y la segunda parte </w:t>
      </w:r>
      <w:r w:rsidR="004A3F7E" w:rsidRPr="00A660B8">
        <w:rPr>
          <w:rFonts w:eastAsia="Times New Roman"/>
          <w:kern w:val="22"/>
          <w:lang w:val="es-ES"/>
        </w:rPr>
        <w:t>fue</w:t>
      </w:r>
      <w:r w:rsidRPr="00A660B8">
        <w:rPr>
          <w:rFonts w:eastAsia="Times New Roman"/>
          <w:kern w:val="22"/>
          <w:lang w:val="es-ES"/>
        </w:rPr>
        <w:t xml:space="preserve"> en Ginebra </w:t>
      </w:r>
      <w:r w:rsidRPr="00A660B8">
        <w:rPr>
          <w:rFonts w:eastAsia="Times New Roman"/>
          <w:kern w:val="22"/>
          <w:lang w:val="es-ES"/>
        </w:rPr>
        <w:lastRenderedPageBreak/>
        <w:t>(Suiza) del 14 al 29 de marzo de 2022.</w:t>
      </w:r>
      <w:r w:rsidRPr="00A660B8">
        <w:rPr>
          <w:rFonts w:eastAsia="Times New Roman"/>
          <w:kern w:val="22"/>
          <w:lang/>
        </w:rPr>
        <w:t xml:space="preserve"> </w:t>
      </w:r>
      <w:r w:rsidRPr="00A660B8">
        <w:rPr>
          <w:rFonts w:eastAsia="Times New Roman"/>
          <w:kern w:val="22"/>
          <w:lang w:val="es-ES"/>
        </w:rPr>
        <w:t>El informe de la reunión estará disponible como documento CBD/WG2020/3/7.</w:t>
      </w:r>
    </w:p>
    <w:p w:rsidR="00FC0BD6" w:rsidRPr="00A660B8" w:rsidRDefault="00FC0BD6">
      <w:pPr>
        <w:pStyle w:val="Para1"/>
        <w:numPr>
          <w:ilvl w:val="0"/>
          <w:numId w:val="23"/>
        </w:numPr>
        <w:suppressLineNumbers/>
        <w:tabs>
          <w:tab w:val="clear" w:pos="360"/>
          <w:tab w:val="left" w:pos="720"/>
        </w:tabs>
        <w:suppressAutoHyphens/>
        <w:snapToGrid w:val="0"/>
        <w:rPr>
          <w:rFonts w:eastAsia="Times New Roman"/>
          <w:lang/>
        </w:rPr>
      </w:pPr>
      <w:r w:rsidRPr="00A660B8">
        <w:rPr>
          <w:rFonts w:eastAsia="Times New Roman"/>
          <w:kern w:val="22"/>
          <w:lang w:val="es-ES"/>
        </w:rPr>
        <w:t xml:space="preserve">En su tercera reunión, el Grupo de Trabajo decidió por recomendación 3/3 convocar una cuarta reunión </w:t>
      </w:r>
      <w:r w:rsidR="00534F12" w:rsidRPr="00A660B8">
        <w:rPr>
          <w:rFonts w:eastAsia="Times New Roman"/>
          <w:kern w:val="22"/>
          <w:lang w:val="es-ES"/>
        </w:rPr>
        <w:t xml:space="preserve">para </w:t>
      </w:r>
      <w:r w:rsidRPr="00A660B8">
        <w:rPr>
          <w:rFonts w:eastAsia="Times New Roman"/>
          <w:kern w:val="22"/>
          <w:lang w:val="es-ES"/>
        </w:rPr>
        <w:t>el 21 al 26 de junio de 2022, en Nairobi.</w:t>
      </w:r>
      <w:r w:rsidRPr="00A660B8">
        <w:rPr>
          <w:rFonts w:eastAsia="Times New Roman"/>
          <w:kern w:val="22"/>
          <w:lang/>
        </w:rPr>
        <w:t xml:space="preserve"> </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1.</w:t>
      </w:r>
      <w:r w:rsidRPr="00A660B8">
        <w:rPr>
          <w:rFonts w:eastAsia="Times New Roman"/>
          <w:kern w:val="22"/>
          <w:lang w:val="es-ES"/>
        </w:rPr>
        <w:tab/>
        <w:t>APERTURA DE LA REUNIÓN</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La reunión será inaugurada por los Copresidentes del Grupo de Trabajo. Luego de la inauguración, el Presidente de la COP-15, la Directora Ejecutiva del Programa de las Naciones Unidas para el Medio Ambiente y la Secretaria Ejecutiva pronunciarán unas breves palabras de apertura.</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 xml:space="preserve">TEMA 2. </w:t>
      </w:r>
      <w:r w:rsidRPr="00A660B8">
        <w:rPr>
          <w:rFonts w:eastAsia="Times New Roman"/>
          <w:kern w:val="22"/>
          <w:lang w:val="es-ES"/>
        </w:rPr>
        <w:tab/>
        <w:t>ORGANIZACIÓN DE LOS TRABAJOS</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El Grupo de Trabajo elegirá al Relator sobre la base de una recomendación de la Mesa.</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El programa provisional fue preparado por la Secretaria Ejecutiva en consulta con los Copresidentes del Grupo de Trabajo y la Mesa, con arreglo a los párrafos 8 y 9 del reglamento de las reuniones de la Conferencia de las Partes, teniendo en cuenta el proceso preparatorio descrito en el anexo de la decisión 14/34 y los resultados de las reuniones 1ª, 2ª y 3ª del Grupo de Trabajo.</w:t>
      </w:r>
    </w:p>
    <w:p w:rsidR="00FC0BD6" w:rsidRPr="00A660B8" w:rsidRDefault="00FC0BD6">
      <w:pPr>
        <w:pStyle w:val="Para1"/>
        <w:suppressLineNumbers/>
        <w:tabs>
          <w:tab w:val="clear" w:pos="360"/>
        </w:tabs>
        <w:suppressAutoHyphens/>
        <w:rPr>
          <w:rFonts w:eastAsia="Times New Roman"/>
          <w:lang/>
        </w:rPr>
      </w:pPr>
      <w:r w:rsidRPr="00A660B8">
        <w:rPr>
          <w:rFonts w:eastAsia="Times New Roman"/>
          <w:kern w:val="22"/>
          <w:lang w:val="es-ES"/>
        </w:rPr>
        <w:t>Está previsto que la labor de la cuarta reunión del Grupo de Trabajo se desarrolle en sesión plenaria con apoyo de los grupos de contacto que sean necesarios para avanzar en esa labor.</w:t>
      </w:r>
      <w:r w:rsidRPr="00A660B8">
        <w:rPr>
          <w:rFonts w:eastAsia="Times New Roman"/>
          <w:kern w:val="22"/>
          <w:lang/>
        </w:rPr>
        <w:t xml:space="preserve"> </w:t>
      </w:r>
      <w:r w:rsidRPr="00A660B8">
        <w:rPr>
          <w:rFonts w:eastAsia="Times New Roman"/>
          <w:kern w:val="22"/>
          <w:lang w:val="es-ES"/>
        </w:rPr>
        <w:t>Se ofrecerán servicios de interpretación para las sesiones plenarias en los seis idiomas oficiales de las Naciones Unidas.</w:t>
      </w:r>
      <w:r w:rsidRPr="00A660B8">
        <w:rPr>
          <w:rFonts w:eastAsia="Times New Roman"/>
          <w:kern w:val="22"/>
          <w:lang/>
        </w:rPr>
        <w:t xml:space="preserve"> </w:t>
      </w:r>
      <w:r w:rsidRPr="00A660B8">
        <w:rPr>
          <w:rFonts w:eastAsia="Times New Roman"/>
          <w:kern w:val="22"/>
          <w:lang w:val="es-ES"/>
        </w:rPr>
        <w:t>En otra adición se brindará una propuesta de organización de los trabajos.</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Se invitará al Grupo de Trabajo a adoptar la propuesta de organización de los trabajos.</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En el anexo se brinda la lista de documentos para la cuarta reunión del Grupo de Trabajo.</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3.</w:t>
      </w:r>
      <w:r w:rsidRPr="00A660B8">
        <w:rPr>
          <w:rFonts w:eastAsia="Times New Roman"/>
          <w:kern w:val="22"/>
          <w:lang w:val="es-ES"/>
        </w:rPr>
        <w:tab/>
        <w:t>informes de los órganos Subsidiarios</w:t>
      </w:r>
    </w:p>
    <w:p w:rsidR="00FC0BD6" w:rsidRPr="00A660B8" w:rsidRDefault="00FC0BD6">
      <w:pPr>
        <w:pStyle w:val="Para1"/>
        <w:suppressLineNumbers/>
        <w:tabs>
          <w:tab w:val="clear" w:pos="360"/>
        </w:tabs>
        <w:suppressAutoHyphens/>
        <w:rPr>
          <w:rFonts w:eastAsia="Times New Roman"/>
          <w:lang/>
        </w:rPr>
      </w:pPr>
      <w:r w:rsidRPr="00A660B8">
        <w:rPr>
          <w:rFonts w:eastAsia="Times New Roman"/>
          <w:kern w:val="22"/>
          <w:lang w:val="es-ES"/>
        </w:rPr>
        <w:t>En relación con este tema del programa, el Grupo de Trabajo escuchará informes de las Presidencias del Órgano Subsidiario sobre la Aplicación y el Órgano Subsidiario de Asesoramiento Científico, Técnico y Tecnológico.</w:t>
      </w:r>
      <w:r w:rsidRPr="00A660B8">
        <w:rPr>
          <w:rFonts w:eastAsia="Times New Roman"/>
          <w:kern w:val="22"/>
          <w:lang/>
        </w:rPr>
        <w:t xml:space="preserve"> </w:t>
      </w:r>
      <w:r w:rsidRPr="00A660B8">
        <w:rPr>
          <w:rFonts w:eastAsia="Times New Roman"/>
          <w:kern w:val="22"/>
          <w:lang w:val="es-ES"/>
        </w:rPr>
        <w:t xml:space="preserve">El Grupo de Trabajo escuchará </w:t>
      </w:r>
      <w:r w:rsidR="00534F12" w:rsidRPr="00A660B8">
        <w:rPr>
          <w:rFonts w:eastAsia="Times New Roman"/>
          <w:kern w:val="22"/>
          <w:lang w:val="es-ES"/>
        </w:rPr>
        <w:t xml:space="preserve">también </w:t>
      </w:r>
      <w:r w:rsidRPr="00A660B8">
        <w:rPr>
          <w:rFonts w:eastAsia="Times New Roman"/>
          <w:kern w:val="22"/>
          <w:lang w:val="es-ES"/>
        </w:rPr>
        <w:t>informes sobre el trabajo pertinente desarrollado en el período entre sesiones.</w:t>
      </w:r>
      <w:r w:rsidRPr="00A660B8">
        <w:rPr>
          <w:rFonts w:eastAsia="Times New Roman"/>
          <w:kern w:val="22"/>
          <w:lang/>
        </w:rPr>
        <w:t xml:space="preserve"> </w:t>
      </w:r>
      <w:r w:rsidRPr="00A660B8">
        <w:rPr>
          <w:rFonts w:eastAsia="Times New Roman"/>
          <w:kern w:val="22"/>
          <w:lang w:val="es-ES"/>
        </w:rPr>
        <w:t xml:space="preserve">El Grupo de Trabajo tendrá </w:t>
      </w:r>
      <w:r w:rsidR="00534F12" w:rsidRPr="00A660B8">
        <w:rPr>
          <w:rFonts w:eastAsia="Times New Roman"/>
          <w:kern w:val="22"/>
          <w:lang w:val="es-ES"/>
        </w:rPr>
        <w:t xml:space="preserve">además </w:t>
      </w:r>
      <w:r w:rsidRPr="00A660B8">
        <w:rPr>
          <w:rFonts w:eastAsia="Times New Roman"/>
          <w:kern w:val="22"/>
          <w:lang w:val="es-ES"/>
        </w:rPr>
        <w:t>ante sí documentación pertinente sobre estos procesos.</w:t>
      </w:r>
      <w:r w:rsidRPr="00A660B8">
        <w:rPr>
          <w:rFonts w:eastAsia="Times New Roman"/>
          <w:kern w:val="22"/>
          <w:lang/>
        </w:rPr>
        <w:t xml:space="preserve"> </w:t>
      </w:r>
    </w:p>
    <w:p w:rsidR="00FC0BD6" w:rsidRPr="00A660B8" w:rsidRDefault="00FC0BD6">
      <w:pPr>
        <w:pStyle w:val="Para1"/>
        <w:suppressLineNumbers/>
        <w:tabs>
          <w:tab w:val="clear" w:pos="360"/>
          <w:tab w:val="num" w:pos="720"/>
        </w:tabs>
        <w:suppressAutoHyphens/>
        <w:rPr>
          <w:rFonts w:eastAsia="Times New Roman"/>
          <w:kern w:val="22"/>
          <w:lang/>
        </w:rPr>
      </w:pPr>
      <w:r w:rsidRPr="00A660B8">
        <w:rPr>
          <w:rFonts w:eastAsia="Times New Roman"/>
          <w:kern w:val="22"/>
          <w:lang w:val="es-ES"/>
        </w:rPr>
        <w:t>Está previsto que el Grupo de Trabajo evalúe los resultados de estos procesos y sus implicaciones para el desarrollo ulterior del proceso posterior a 2020.</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4.</w:t>
      </w:r>
      <w:r w:rsidRPr="00A660B8">
        <w:rPr>
          <w:rFonts w:eastAsia="Times New Roman"/>
          <w:kern w:val="22"/>
          <w:lang w:val="es-ES"/>
        </w:rPr>
        <w:tab/>
        <w:t>marco mundial de la diversidad biológica Posterior a 2020</w:t>
      </w:r>
    </w:p>
    <w:p w:rsidR="00FC0BD6" w:rsidRPr="00A660B8" w:rsidRDefault="00FC0BD6">
      <w:pPr>
        <w:pStyle w:val="Para1"/>
        <w:suppressLineNumbers/>
        <w:tabs>
          <w:tab w:val="clear" w:pos="360"/>
        </w:tabs>
        <w:suppressAutoHyphens/>
        <w:rPr>
          <w:rFonts w:eastAsia="Times New Roman"/>
          <w:lang/>
        </w:rPr>
      </w:pPr>
      <w:r w:rsidRPr="00A660B8">
        <w:rPr>
          <w:rFonts w:eastAsia="Times New Roman"/>
          <w:kern w:val="22"/>
          <w:lang w:val="es-ES"/>
        </w:rPr>
        <w:t>En su tercera reunión, el Grupo de Trabajo examinó el primer proyecto del marco mundial de la diversidad biológica posterior a 2020 (CBD/WG2020/3/3).</w:t>
      </w:r>
      <w:r w:rsidRPr="00A660B8">
        <w:rPr>
          <w:rFonts w:eastAsia="Times New Roman"/>
          <w:kern w:val="22"/>
          <w:lang/>
        </w:rPr>
        <w:t xml:space="preserve"> </w:t>
      </w:r>
      <w:r w:rsidRPr="00A660B8">
        <w:rPr>
          <w:rFonts w:eastAsia="Times New Roman"/>
          <w:kern w:val="22"/>
          <w:lang w:val="es-ES"/>
        </w:rPr>
        <w:t>Los resultados de ese examen se exponen en el anexo de su recomendación 3/1.</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El Grupo de Trabajo emprenderá su labor en este tema del programa tomando como base los resultados de la 3ª reunión del Grupo de Trabajo y valiéndose, cuando proceda, del primer proyecto de</w:t>
      </w:r>
      <w:r w:rsidR="00534F12" w:rsidRPr="00A660B8">
        <w:rPr>
          <w:rFonts w:eastAsia="Times New Roman"/>
          <w:kern w:val="22"/>
          <w:lang w:val="es-ES"/>
        </w:rPr>
        <w:t>l</w:t>
      </w:r>
      <w:r w:rsidRPr="00A660B8">
        <w:rPr>
          <w:rFonts w:eastAsia="Times New Roman"/>
          <w:kern w:val="22"/>
          <w:lang w:val="es-ES"/>
        </w:rPr>
        <w:t xml:space="preserve"> marco y los informes de la 3ª reunión del Órgano Subsidiario sobre la Aplicación y la 24ª reunión del Órgano Subsidiario de Asesoramiento Científico, Técnico y Tecnológico, así como de los resultados de procesos pertinentes del período entre sesiones, como se indica en el tema 3 del programa.</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5.</w:t>
      </w:r>
      <w:r w:rsidRPr="00A660B8">
        <w:rPr>
          <w:rFonts w:eastAsia="Times New Roman"/>
          <w:kern w:val="22"/>
          <w:lang w:val="es-ES"/>
        </w:rPr>
        <w:tab/>
        <w:t>Información digital sobre secuencias de recursos genéticos</w:t>
      </w:r>
    </w:p>
    <w:p w:rsidR="00FC0BD6" w:rsidRPr="00A660B8" w:rsidRDefault="00FC0BD6">
      <w:pPr>
        <w:pStyle w:val="Para1"/>
        <w:tabs>
          <w:tab w:val="clear" w:pos="360"/>
        </w:tabs>
        <w:rPr>
          <w:rFonts w:eastAsia="Times New Roman"/>
          <w:lang/>
        </w:rPr>
      </w:pPr>
      <w:r w:rsidRPr="00A660B8">
        <w:rPr>
          <w:rFonts w:eastAsia="Times New Roman"/>
          <w:kern w:val="22"/>
          <w:lang w:val="es-ES"/>
        </w:rPr>
        <w:t xml:space="preserve">En la decisión </w:t>
      </w:r>
      <w:hyperlink r:id="rId15" w:history="1">
        <w:r w:rsidRPr="00A660B8">
          <w:rPr>
            <w:rStyle w:val="Hyperlink"/>
            <w:rFonts w:eastAsia="Times New Roman"/>
            <w:kern w:val="22"/>
            <w:sz w:val="22"/>
            <w:szCs w:val="22"/>
            <w:lang w:val="es-ES"/>
          </w:rPr>
          <w:t>14/20</w:t>
        </w:r>
      </w:hyperlink>
      <w:r w:rsidRPr="00A660B8">
        <w:rPr>
          <w:rFonts w:eastAsia="Times New Roman"/>
          <w:kern w:val="22"/>
          <w:lang w:val="es-ES"/>
        </w:rPr>
        <w:t xml:space="preserve">, párrafo 6, las Partes se comprometieron a trabajar en la resolución de la divergencia de opiniones con respecto a la participación en los beneficios derivados del uso de información sobre secuencias de recursos genéticos y a esos efectos establecieron un proceso que incluía la presentación </w:t>
      </w:r>
      <w:r w:rsidRPr="00A660B8">
        <w:rPr>
          <w:rFonts w:eastAsia="Times New Roman"/>
          <w:kern w:val="22"/>
          <w:lang w:val="es-ES"/>
        </w:rPr>
        <w:lastRenderedPageBreak/>
        <w:t>de opiniones, el encargo de estudios y la convocatoria a una reunión de un Grupo Especial de Expertos Técnicos ampliado.</w:t>
      </w:r>
      <w:r w:rsidRPr="00A660B8">
        <w:rPr>
          <w:rFonts w:eastAsia="Times New Roman"/>
          <w:kern w:val="22"/>
          <w:lang/>
        </w:rPr>
        <w:t xml:space="preserve"> </w:t>
      </w:r>
      <w:r w:rsidRPr="00A660B8">
        <w:rPr>
          <w:rFonts w:eastAsia="Times New Roman"/>
          <w:kern w:val="22"/>
          <w:lang w:val="es-ES"/>
        </w:rPr>
        <w:t>En su tercera reunión, el Grupo de Trabajo examinó este asunto y formuló la recomendación 3/2.</w:t>
      </w:r>
    </w:p>
    <w:p w:rsidR="00FC0BD6" w:rsidRPr="00A660B8" w:rsidRDefault="00FC0BD6">
      <w:pPr>
        <w:pStyle w:val="Para1"/>
        <w:tabs>
          <w:tab w:val="clear" w:pos="360"/>
        </w:tabs>
        <w:rPr>
          <w:rFonts w:eastAsia="Times New Roman"/>
          <w:lang/>
        </w:rPr>
      </w:pPr>
      <w:r w:rsidRPr="00A660B8">
        <w:rPr>
          <w:rFonts w:eastAsia="Times New Roman"/>
          <w:kern w:val="22"/>
          <w:lang w:val="es-ES"/>
        </w:rPr>
        <w:t>En relación con este tema, está previsto que el Grupo de Trabajo prepare un proyecto de decisión para su ulterior consideración por la Conferencia de las Partes en su 15ª reunión.</w:t>
      </w:r>
      <w:r w:rsidRPr="00A660B8">
        <w:rPr>
          <w:rFonts w:eastAsia="Times New Roman"/>
          <w:kern w:val="22"/>
          <w:lang/>
        </w:rPr>
        <w:t xml:space="preserve"> </w:t>
      </w:r>
      <w:r w:rsidRPr="00A660B8">
        <w:rPr>
          <w:rFonts w:eastAsia="Times New Roman"/>
          <w:kern w:val="22"/>
          <w:lang w:val="es-ES"/>
        </w:rPr>
        <w:t>Se prevé que el Grupo de Trabajo aborde su trabajo partiendo de los resultados de su tercera reunión y tomando en cuenta los resultados de la labor del Grupo Asesor Oficioso de los Copresidentes y otras actividades pertinentes.</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6.</w:t>
      </w:r>
      <w:r w:rsidRPr="00A660B8">
        <w:rPr>
          <w:rFonts w:eastAsia="Times New Roman"/>
          <w:kern w:val="22"/>
          <w:lang w:val="es-ES"/>
        </w:rPr>
        <w:tab/>
        <w:t>Otros asuntos</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En este tema, el Grupo de Trabajo podrá abordar otros asuntos relacionados con el tema de la reunión.</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7.</w:t>
      </w:r>
      <w:r w:rsidRPr="00A660B8">
        <w:rPr>
          <w:rFonts w:eastAsia="Times New Roman"/>
          <w:kern w:val="22"/>
          <w:lang w:val="es-ES"/>
        </w:rPr>
        <w:tab/>
        <w:t>aDOPCIÓN DEL INFORME</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Se invitará al Grupo de Trabajo a considerar y adoptar el informe sobre el trabajo de su cuarta reunión, sobre la base del proyecto de informe preparado por el Relator.</w:t>
      </w:r>
    </w:p>
    <w:p w:rsidR="00FC0BD6" w:rsidRPr="00A660B8" w:rsidRDefault="00FC0BD6">
      <w:pPr>
        <w:pStyle w:val="Heading1"/>
        <w:suppressLineNumbers/>
        <w:tabs>
          <w:tab w:val="clear" w:pos="720"/>
          <w:tab w:val="left" w:pos="993"/>
        </w:tabs>
        <w:suppressAutoHyphens/>
        <w:spacing w:before="120"/>
        <w:rPr>
          <w:rFonts w:eastAsia="Times New Roman"/>
          <w:kern w:val="22"/>
          <w:lang/>
        </w:rPr>
      </w:pPr>
      <w:r w:rsidRPr="00A660B8">
        <w:rPr>
          <w:rFonts w:eastAsia="Times New Roman"/>
          <w:kern w:val="22"/>
          <w:lang w:val="es-ES"/>
        </w:rPr>
        <w:t>Tema 8.</w:t>
      </w:r>
      <w:r w:rsidRPr="00A660B8">
        <w:rPr>
          <w:rFonts w:eastAsia="Times New Roman"/>
          <w:kern w:val="22"/>
          <w:lang w:val="es-ES"/>
        </w:rPr>
        <w:tab/>
        <w:t>DECLARACIONES DE Clausura</w:t>
      </w:r>
    </w:p>
    <w:p w:rsidR="00FC0BD6" w:rsidRPr="00A660B8" w:rsidRDefault="00FC0BD6">
      <w:pPr>
        <w:pStyle w:val="Para1"/>
        <w:suppressLineNumbers/>
        <w:tabs>
          <w:tab w:val="clear" w:pos="360"/>
        </w:tabs>
        <w:suppressAutoHyphens/>
        <w:rPr>
          <w:rFonts w:eastAsia="Times New Roman"/>
          <w:kern w:val="22"/>
          <w:lang/>
        </w:rPr>
      </w:pPr>
      <w:r w:rsidRPr="00A660B8">
        <w:rPr>
          <w:rFonts w:eastAsia="Times New Roman"/>
          <w:kern w:val="22"/>
          <w:lang w:val="es-ES"/>
        </w:rPr>
        <w:t>Está previsto que la reunión se clausure a las 18.00 horas del 26 de junio de 2022.</w:t>
      </w:r>
    </w:p>
    <w:p w:rsidR="00FC0BD6" w:rsidRPr="00A660B8" w:rsidRDefault="00FC0BD6">
      <w:pPr>
        <w:jc w:val="left"/>
        <w:rPr>
          <w:rFonts w:eastAsia="Times New Roman"/>
          <w:kern w:val="22"/>
          <w:lang/>
        </w:rPr>
      </w:pPr>
      <w:r w:rsidRPr="00A660B8">
        <w:rPr>
          <w:rFonts w:eastAsia="Times New Roman"/>
          <w:kern w:val="22"/>
          <w:lang/>
        </w:rPr>
        <w:br w:type="page"/>
      </w:r>
    </w:p>
    <w:p w:rsidR="00FC0BD6" w:rsidRPr="00A660B8" w:rsidRDefault="00FC0BD6">
      <w:pPr>
        <w:pStyle w:val="Para1"/>
        <w:numPr>
          <w:ilvl w:val="0"/>
          <w:numId w:val="0"/>
        </w:numPr>
        <w:suppressLineNumbers/>
        <w:suppressAutoHyphens/>
        <w:spacing w:before="0"/>
        <w:jc w:val="center"/>
        <w:rPr>
          <w:rFonts w:eastAsia="Times New Roman"/>
          <w:i/>
          <w:iCs/>
          <w:kern w:val="22"/>
          <w:lang/>
        </w:rPr>
      </w:pPr>
      <w:r w:rsidRPr="00A660B8">
        <w:rPr>
          <w:rFonts w:eastAsia="Times New Roman"/>
          <w:i/>
          <w:iCs/>
          <w:kern w:val="22"/>
          <w:lang w:val="es-ES"/>
        </w:rPr>
        <w:lastRenderedPageBreak/>
        <w:t>Anexo</w:t>
      </w:r>
    </w:p>
    <w:p w:rsidR="00FC0BD6" w:rsidRPr="00A660B8" w:rsidRDefault="00FC0BD6">
      <w:pPr>
        <w:pStyle w:val="Heading1"/>
        <w:keepNext w:val="0"/>
        <w:suppressLineNumbers/>
        <w:suppressAutoHyphens/>
        <w:spacing w:before="120"/>
        <w:rPr>
          <w:rFonts w:eastAsia="Times New Roman"/>
          <w:kern w:val="22"/>
          <w:lang/>
        </w:rPr>
      </w:pPr>
      <w:r w:rsidRPr="00A660B8">
        <w:rPr>
          <w:rFonts w:eastAsia="Times New Roman"/>
          <w:kern w:val="22"/>
          <w:lang w:val="es-ES"/>
        </w:rPr>
        <w:t>Lista de documentos</w:t>
      </w:r>
    </w:p>
    <w:tbl>
      <w:tblPr>
        <w:tblW w:w="0" w:type="auto"/>
        <w:tblLayout w:type="fixed"/>
        <w:tblLook w:val="00A0"/>
      </w:tblPr>
      <w:tblGrid>
        <w:gridCol w:w="3119"/>
        <w:gridCol w:w="6231"/>
      </w:tblGrid>
      <w:tr w:rsidR="00FC0BD6" w:rsidRPr="00A660B8">
        <w:tc>
          <w:tcPr>
            <w:tcW w:w="3119"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CBD/WG2020/4/1</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Programa provisional</w:t>
            </w:r>
          </w:p>
        </w:tc>
      </w:tr>
      <w:tr w:rsidR="00FC0BD6" w:rsidRPr="00A660B8">
        <w:tc>
          <w:tcPr>
            <w:tcW w:w="3119"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CBD/WG2020/4/1/Add.1</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Anotaciones al programa provisional</w:t>
            </w:r>
          </w:p>
        </w:tc>
      </w:tr>
      <w:tr w:rsidR="00FC0BD6" w:rsidRPr="00A660B8">
        <w:tc>
          <w:tcPr>
            <w:tcW w:w="3119"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noProof/>
                <w:kern w:val="22"/>
              </w:rPr>
              <w:t>CBD/WG2020/4/1/Add.2</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Nota con posible esquema para la reunión</w:t>
            </w:r>
          </w:p>
        </w:tc>
      </w:tr>
      <w:tr w:rsidR="00FC0BD6" w:rsidRPr="00A660B8">
        <w:trPr>
          <w:trHeight w:val="60"/>
        </w:trPr>
        <w:tc>
          <w:tcPr>
            <w:tcW w:w="3119" w:type="dxa"/>
          </w:tcPr>
          <w:p w:rsidR="00FC0BD6" w:rsidRPr="00A660B8" w:rsidRDefault="00FC0BD6">
            <w:pPr>
              <w:pStyle w:val="Para1"/>
              <w:numPr>
                <w:ilvl w:val="0"/>
                <w:numId w:val="0"/>
              </w:numPr>
              <w:suppressLineNumbers/>
              <w:suppressAutoHyphens/>
              <w:jc w:val="left"/>
              <w:rPr>
                <w:rFonts w:eastAsia="Times New Roman"/>
                <w:kern w:val="22"/>
                <w:lang/>
              </w:rPr>
            </w:pPr>
            <w:r w:rsidRPr="00A660B8">
              <w:rPr>
                <w:rFonts w:eastAsia="Times New Roman"/>
                <w:noProof/>
                <w:kern w:val="22"/>
                <w:lang/>
              </w:rPr>
              <w:t>CBD/WG2020/4/1/Add.3</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Organización provisional de los trabajos</w:t>
            </w:r>
          </w:p>
        </w:tc>
      </w:tr>
      <w:tr w:rsidR="00FC0BD6" w:rsidRPr="00A660B8">
        <w:tc>
          <w:tcPr>
            <w:tcW w:w="3119"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Recomendación WG2020-3/1</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Preparación del marco mundial de la diversidad biológica posterior a 2020</w:t>
            </w:r>
          </w:p>
        </w:tc>
      </w:tr>
      <w:tr w:rsidR="00FC0BD6" w:rsidRPr="00A660B8">
        <w:tc>
          <w:tcPr>
            <w:tcW w:w="3119"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CBD/WG2020/3/3</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Primer proyecto del marco mundial de la diversidad biológica posterior a 2020</w:t>
            </w:r>
          </w:p>
        </w:tc>
      </w:tr>
      <w:tr w:rsidR="00FC0BD6" w:rsidRPr="00A660B8">
        <w:tc>
          <w:tcPr>
            <w:tcW w:w="3119"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CBD/WG2020/3/7</w:t>
            </w:r>
          </w:p>
        </w:tc>
        <w:tc>
          <w:tcPr>
            <w:tcW w:w="6231" w:type="dxa"/>
          </w:tcPr>
          <w:p w:rsidR="00FC0BD6" w:rsidRPr="00A660B8" w:rsidRDefault="00FC0BD6">
            <w:pPr>
              <w:pStyle w:val="Para1"/>
              <w:numPr>
                <w:ilvl w:val="0"/>
                <w:numId w:val="0"/>
              </w:numPr>
              <w:suppressLineNumbers/>
              <w:suppressAutoHyphens/>
              <w:jc w:val="left"/>
              <w:rPr>
                <w:rFonts w:eastAsia="Times New Roman"/>
              </w:rPr>
            </w:pPr>
            <w:r w:rsidRPr="00A660B8">
              <w:rPr>
                <w:rFonts w:eastAsia="Times New Roman"/>
                <w:kern w:val="22"/>
                <w:lang w:val="es-ES"/>
              </w:rPr>
              <w:t>Informe de la tercera reunión (parte II) del Grupo de Trabajo de Composición Abierta sobre el Marco Mundial de la Diversidad Biológica posterior a 2020</w:t>
            </w:r>
          </w:p>
        </w:tc>
      </w:tr>
    </w:tbl>
    <w:p w:rsidR="00FC0BD6" w:rsidRPr="00A660B8" w:rsidRDefault="00FC0BD6">
      <w:pPr>
        <w:suppressLineNumbers/>
        <w:suppressAutoHyphens/>
        <w:jc w:val="center"/>
        <w:rPr>
          <w:rFonts w:eastAsia="Times New Roman"/>
          <w:kern w:val="22"/>
          <w:lang/>
        </w:rPr>
      </w:pPr>
      <w:r w:rsidRPr="00A660B8">
        <w:rPr>
          <w:rFonts w:eastAsia="Times New Roman"/>
          <w:kern w:val="22"/>
          <w:lang/>
        </w:rPr>
        <w:t>__________</w:t>
      </w:r>
    </w:p>
    <w:sectPr w:rsidR="00FC0BD6" w:rsidRPr="00A660B8">
      <w:headerReference w:type="even" r:id="rId16"/>
      <w:headerReference w:type="default" r:id="rId17"/>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F1" w:rsidRDefault="00517AF1">
      <w:pPr>
        <w:rPr>
          <w:rFonts w:eastAsia="Times New Roman"/>
        </w:rPr>
      </w:pPr>
      <w:r>
        <w:rPr>
          <w:rFonts w:eastAsia="Times New Roman"/>
        </w:rPr>
        <w:separator/>
      </w:r>
    </w:p>
  </w:endnote>
  <w:endnote w:type="continuationSeparator" w:id="1">
    <w:p w:rsidR="00517AF1" w:rsidRDefault="00517AF1">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F1" w:rsidRDefault="00517AF1">
      <w:pPr>
        <w:rPr>
          <w:rFonts w:eastAsia="Times New Roman"/>
        </w:rPr>
      </w:pPr>
      <w:r>
        <w:rPr>
          <w:rFonts w:eastAsia="Times New Roman"/>
        </w:rPr>
        <w:separator/>
      </w:r>
    </w:p>
  </w:footnote>
  <w:footnote w:type="continuationSeparator" w:id="1">
    <w:p w:rsidR="00517AF1" w:rsidRDefault="00517AF1">
      <w:pPr>
        <w:rPr>
          <w:rFonts w:eastAsia="Times New Roman"/>
        </w:rPr>
      </w:pPr>
      <w:r>
        <w:rPr>
          <w:rFonts w:eastAsia="Times New Roman"/>
        </w:rPr>
        <w:continuationSeparator/>
      </w:r>
    </w:p>
  </w:footnote>
  <w:footnote w:id="2">
    <w:p w:rsidR="00FC0BD6" w:rsidRDefault="00FC0BD6">
      <w:pPr>
        <w:pStyle w:val="FootnoteText"/>
        <w:suppressLineNumbers/>
        <w:suppressAutoHyphens/>
        <w:ind w:firstLine="0"/>
        <w:jc w:val="left"/>
        <w:rPr>
          <w:rFonts w:eastAsia="Times New Roman"/>
        </w:rPr>
      </w:pPr>
      <w:r>
        <w:rPr>
          <w:rStyle w:val="FootnoteReference"/>
          <w:rFonts w:eastAsia="Times New Roman"/>
          <w:kern w:val="18"/>
        </w:rPr>
        <w:footnoteRef/>
      </w:r>
      <w:r>
        <w:rPr>
          <w:rStyle w:val="FootnoteReference"/>
          <w:rFonts w:eastAsia="Times New Roman"/>
          <w:kern w:val="18"/>
        </w:rPr>
        <w:t xml:space="preserve"> </w:t>
      </w:r>
      <w:r>
        <w:rPr>
          <w:rFonts w:eastAsia="Times New Roman"/>
          <w:lang w:val="es-ES"/>
        </w:rPr>
        <w:t xml:space="preserve">Para consultar una reseña de estas decisiones, véase </w:t>
      </w:r>
      <w:hyperlink r:id="rId1" w:history="1">
        <w:r>
          <w:rPr>
            <w:rStyle w:val="Hyperlink"/>
            <w:rFonts w:eastAsia="Times New Roman"/>
            <w:lang w:val="es-ES"/>
          </w:rPr>
          <w:t>CBD/POST2020/PREP/1/1</w:t>
        </w:r>
      </w:hyperlink>
      <w:r>
        <w:rPr>
          <w:rFonts w:eastAsia="Times New Roman"/>
          <w:lang w:val="es-ES"/>
        </w:rPr>
        <w:t>.</w:t>
      </w:r>
    </w:p>
  </w:footnote>
  <w:footnote w:id="3">
    <w:p w:rsidR="00FC0BD6" w:rsidRDefault="00FC0BD6">
      <w:pPr>
        <w:pStyle w:val="FootnoteText"/>
        <w:suppressLineNumbers/>
        <w:suppressAutoHyphens/>
        <w:ind w:firstLine="0"/>
        <w:jc w:val="left"/>
        <w:rPr>
          <w:rFonts w:eastAsia="Times New Roman"/>
        </w:rPr>
      </w:pPr>
      <w:r>
        <w:rPr>
          <w:rStyle w:val="FootnoteReference"/>
          <w:rFonts w:eastAsia="Times New Roman"/>
          <w:kern w:val="18"/>
        </w:rPr>
        <w:footnoteRef/>
      </w:r>
      <w:r>
        <w:rPr>
          <w:rStyle w:val="FootnoteReference"/>
          <w:rFonts w:eastAsia="Times New Roman"/>
          <w:kern w:val="18"/>
          <w:lang w:val="es-ES"/>
        </w:rPr>
        <w:t xml:space="preserve"> </w:t>
      </w:r>
      <w:r>
        <w:rPr>
          <w:rFonts w:eastAsia="Times New Roman"/>
          <w:kern w:val="18"/>
          <w:lang w:val="es-ES"/>
        </w:rPr>
        <w:t>Véase la decisión 14/34, anexo, párr. 2.</w:t>
      </w:r>
    </w:p>
  </w:footnote>
  <w:footnote w:id="4">
    <w:p w:rsidR="00FC0BD6" w:rsidRDefault="00FC0BD6">
      <w:pPr>
        <w:pStyle w:val="FootnoteText"/>
        <w:suppressLineNumbers/>
        <w:suppressAutoHyphens/>
        <w:ind w:firstLine="0"/>
        <w:jc w:val="left"/>
        <w:rPr>
          <w:rFonts w:eastAsia="Times New Roman"/>
        </w:rPr>
      </w:pPr>
      <w:r>
        <w:rPr>
          <w:rStyle w:val="FootnoteReference"/>
          <w:rFonts w:eastAsia="Times New Roman"/>
          <w:kern w:val="18"/>
        </w:rPr>
        <w:footnoteRef/>
      </w:r>
      <w:r>
        <w:rPr>
          <w:rFonts w:eastAsia="Times New Roman"/>
          <w:kern w:val="18"/>
        </w:rPr>
        <w:t xml:space="preserve"> </w:t>
      </w:r>
      <w:r w:rsidRPr="00C21882">
        <w:rPr>
          <w:rFonts w:eastAsia="Times New Roman"/>
          <w:i/>
          <w:kern w:val="18"/>
          <w:lang w:val="es-ES"/>
        </w:rPr>
        <w:t>Ib</w:t>
      </w:r>
      <w:r w:rsidR="00C21882" w:rsidRPr="00C21882">
        <w:rPr>
          <w:rFonts w:eastAsia="Times New Roman"/>
          <w:i/>
          <w:kern w:val="18"/>
          <w:lang w:val="es-ES"/>
        </w:rPr>
        <w:t>i</w:t>
      </w:r>
      <w:r w:rsidRPr="00C21882">
        <w:rPr>
          <w:rFonts w:eastAsia="Times New Roman"/>
          <w:i/>
          <w:kern w:val="18"/>
          <w:lang w:val="es-ES"/>
        </w:rPr>
        <w:t>d</w:t>
      </w:r>
      <w:r>
        <w:rPr>
          <w:rFonts w:eastAsia="Times New Roman"/>
          <w:kern w:val="18"/>
          <w:lang w:val="es-ES"/>
        </w:rPr>
        <w:t>., párr. 3.</w:t>
      </w:r>
    </w:p>
  </w:footnote>
  <w:footnote w:id="5">
    <w:p w:rsidR="00FC0BD6" w:rsidRDefault="00FC0BD6">
      <w:pPr>
        <w:pStyle w:val="FootnoteText"/>
        <w:ind w:firstLine="0"/>
        <w:rPr>
          <w:rFonts w:eastAsia="Times New Roman"/>
        </w:rPr>
      </w:pPr>
      <w:r>
        <w:rPr>
          <w:rStyle w:val="FootnoteReference"/>
          <w:rFonts w:eastAsia="Times New Roman"/>
        </w:rPr>
        <w:footnoteRef/>
      </w:r>
      <w:r>
        <w:rPr>
          <w:rFonts w:eastAsia="Times New Roman"/>
        </w:rPr>
        <w:t xml:space="preserve"> </w:t>
      </w:r>
      <w:r>
        <w:rPr>
          <w:rFonts w:eastAsia="Times New Roman"/>
          <w:lang w:val="es-ES"/>
        </w:rPr>
        <w:t>Informe de la tercera reunión (parte I) del Grupo de Trabajo de Composición Abierta sobre el Marco Mundial de la Diversidad Biológica posterior a 2020 (CBD/WG2020/3/5).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D6" w:rsidRDefault="00FC0BD6">
    <w:pPr>
      <w:pStyle w:val="Header"/>
      <w:suppressLineNumbers/>
      <w:tabs>
        <w:tab w:val="clear" w:pos="4320"/>
        <w:tab w:val="clear" w:pos="8640"/>
      </w:tabs>
      <w:suppressAutoHyphens/>
      <w:jc w:val="left"/>
      <w:rPr>
        <w:rFonts w:eastAsia="Times New Roman"/>
        <w:noProof/>
        <w:kern w:val="22"/>
        <w:lang w:val="en-US"/>
      </w:rPr>
    </w:pPr>
    <w:r>
      <w:rPr>
        <w:rFonts w:eastAsia="Times New Roman"/>
        <w:noProof/>
        <w:kern w:val="22"/>
        <w:lang w:val="en-US"/>
      </w:rPr>
      <w:t>CBD/WG2020/4/1/Add.1</w:t>
    </w:r>
  </w:p>
  <w:p w:rsidR="00FC0BD6" w:rsidRDefault="00FC0BD6">
    <w:pPr>
      <w:pStyle w:val="Header"/>
      <w:suppressLineNumbers/>
      <w:tabs>
        <w:tab w:val="clear" w:pos="4320"/>
        <w:tab w:val="clear" w:pos="8640"/>
      </w:tabs>
      <w:suppressAutoHyphens/>
      <w:jc w:val="left"/>
      <w:rPr>
        <w:rFonts w:eastAsia="Times New Roman"/>
        <w:noProof/>
        <w:kern w:val="22"/>
        <w:lang w:val="en-US"/>
      </w:rPr>
    </w:pPr>
    <w:r>
      <w:rPr>
        <w:rFonts w:eastAsia="Times New Roman"/>
        <w:noProof/>
        <w:kern w:val="22"/>
        <w:lang w:val="en-US"/>
      </w:rPr>
      <w:t xml:space="preserve">Página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sidR="00A660B8">
      <w:rPr>
        <w:rFonts w:eastAsia="Times New Roman"/>
        <w:noProof/>
        <w:kern w:val="22"/>
        <w:lang w:val="en-US"/>
      </w:rPr>
      <w:t>2</w:t>
    </w:r>
    <w:r>
      <w:rPr>
        <w:rFonts w:eastAsia="Times New Roman"/>
        <w:noProof/>
        <w:kern w:val="22"/>
        <w:lang w:val="en-US"/>
      </w:rPr>
      <w:fldChar w:fldCharType="end"/>
    </w:r>
  </w:p>
  <w:p w:rsidR="00FC0BD6" w:rsidRDefault="00FC0BD6">
    <w:pPr>
      <w:pStyle w:val="Header"/>
      <w:suppressLineNumbers/>
      <w:tabs>
        <w:tab w:val="clear" w:pos="4320"/>
        <w:tab w:val="clear" w:pos="8640"/>
      </w:tabs>
      <w:suppressAutoHyphens/>
      <w:jc w:val="left"/>
      <w:rPr>
        <w:rFonts w:eastAsia="Times New Roman"/>
        <w:noProof/>
        <w:kern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D6" w:rsidRDefault="00FC0BD6">
    <w:pPr>
      <w:pStyle w:val="Header"/>
      <w:suppressLineNumbers/>
      <w:tabs>
        <w:tab w:val="clear" w:pos="4320"/>
        <w:tab w:val="clear" w:pos="8640"/>
      </w:tabs>
      <w:suppressAutoHyphens/>
      <w:jc w:val="right"/>
      <w:rPr>
        <w:rFonts w:eastAsia="Times New Roman"/>
        <w:noProof/>
        <w:kern w:val="22"/>
        <w:lang w:val="en-US"/>
      </w:rPr>
    </w:pPr>
    <w:r>
      <w:rPr>
        <w:rFonts w:eastAsia="Times New Roman"/>
        <w:noProof/>
        <w:kern w:val="22"/>
        <w:lang w:val="en-US"/>
      </w:rPr>
      <w:t>CBD/WG2020/4/1/Add.1</w:t>
    </w:r>
  </w:p>
  <w:p w:rsidR="00FC0BD6" w:rsidRDefault="00FC0BD6">
    <w:pPr>
      <w:pStyle w:val="Header"/>
      <w:suppressLineNumbers/>
      <w:tabs>
        <w:tab w:val="clear" w:pos="4320"/>
        <w:tab w:val="clear" w:pos="8640"/>
      </w:tabs>
      <w:suppressAutoHyphens/>
      <w:jc w:val="right"/>
      <w:rPr>
        <w:rFonts w:eastAsia="Times New Roman"/>
        <w:noProof/>
        <w:kern w:val="22"/>
        <w:lang w:val="en-US"/>
      </w:rPr>
    </w:pPr>
    <w:r>
      <w:rPr>
        <w:rFonts w:eastAsia="Times New Roman"/>
        <w:noProof/>
        <w:kern w:val="22"/>
        <w:lang w:val="en-US"/>
      </w:rPr>
      <w:t xml:space="preserve">Página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sidR="00A660B8">
      <w:rPr>
        <w:rFonts w:eastAsia="Times New Roman"/>
        <w:noProof/>
        <w:kern w:val="22"/>
        <w:lang w:val="en-US"/>
      </w:rPr>
      <w:t>3</w:t>
    </w:r>
    <w:r>
      <w:rPr>
        <w:rFonts w:eastAsia="Times New Roman"/>
        <w:noProof/>
        <w:kern w:val="22"/>
        <w:lang w:val="en-US"/>
      </w:rPr>
      <w:fldChar w:fldCharType="end"/>
    </w:r>
  </w:p>
  <w:p w:rsidR="00FC0BD6" w:rsidRDefault="00FC0BD6">
    <w:pPr>
      <w:pStyle w:val="Header"/>
      <w:suppressLineNumbers/>
      <w:tabs>
        <w:tab w:val="clear" w:pos="4320"/>
        <w:tab w:val="clear" w:pos="8640"/>
      </w:tabs>
      <w:suppressAutoHyphens/>
      <w:jc w:val="right"/>
      <w:rPr>
        <w:rFonts w:eastAsia="Times New Roman"/>
        <w:noProof/>
        <w:kern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bCs/>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7">
    <w:nsid w:val="3CA410CD"/>
    <w:multiLevelType w:val="hybridMultilevel"/>
    <w:tmpl w:val="FA427772"/>
    <w:lvl w:ilvl="0" w:tplc="6E482212">
      <w:start w:val="1"/>
      <w:numFmt w:val="decimal"/>
      <w:pStyle w:val="CBD-Para"/>
      <w:lvlText w:val="%1."/>
      <w:lvlJc w:val="left"/>
      <w:pPr>
        <w:tabs>
          <w:tab w:val="num" w:pos="720"/>
        </w:tabs>
      </w:pPr>
      <w:rPr>
        <w:b w:val="0"/>
        <w:bCs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45B61A11"/>
    <w:multiLevelType w:val="hybridMultilevel"/>
    <w:tmpl w:val="7A72D4DA"/>
    <w:lvl w:ilvl="0" w:tplc="442EEA8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03078A"/>
    <w:multiLevelType w:val="hybridMultilevel"/>
    <w:tmpl w:val="9B5CB722"/>
    <w:lvl w:ilvl="0" w:tplc="37A4127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265376"/>
    <w:multiLevelType w:val="hybridMultilevel"/>
    <w:tmpl w:val="8766BC96"/>
    <w:lvl w:ilvl="0" w:tplc="56B2537C">
      <w:start w:val="1"/>
      <w:numFmt w:val="decimal"/>
      <w:lvlText w:val="%1."/>
      <w:lvlJc w:val="left"/>
      <w:pPr>
        <w:ind w:left="360" w:hanging="360"/>
      </w:pPr>
      <w:rPr>
        <w:b w:val="0"/>
        <w:bCs w:val="0"/>
        <w:i w:val="0"/>
        <w:iCs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65F7"/>
    <w:rsid w:val="00021097"/>
    <w:rsid w:val="00032200"/>
    <w:rsid w:val="00045306"/>
    <w:rsid w:val="00052FDA"/>
    <w:rsid w:val="0005410E"/>
    <w:rsid w:val="00054A50"/>
    <w:rsid w:val="00060C0E"/>
    <w:rsid w:val="00070DA8"/>
    <w:rsid w:val="000715B3"/>
    <w:rsid w:val="0007171B"/>
    <w:rsid w:val="0007395D"/>
    <w:rsid w:val="00083BDB"/>
    <w:rsid w:val="00092D21"/>
    <w:rsid w:val="00092E93"/>
    <w:rsid w:val="000A72BA"/>
    <w:rsid w:val="000B3A74"/>
    <w:rsid w:val="000B61C9"/>
    <w:rsid w:val="000B6E78"/>
    <w:rsid w:val="000C2701"/>
    <w:rsid w:val="000C4C1C"/>
    <w:rsid w:val="000C6D7F"/>
    <w:rsid w:val="000E4A5A"/>
    <w:rsid w:val="000E673A"/>
    <w:rsid w:val="000E7787"/>
    <w:rsid w:val="000F31AB"/>
    <w:rsid w:val="000F74F5"/>
    <w:rsid w:val="001010CE"/>
    <w:rsid w:val="00105372"/>
    <w:rsid w:val="001135FB"/>
    <w:rsid w:val="00115DC3"/>
    <w:rsid w:val="001312AD"/>
    <w:rsid w:val="00131E7A"/>
    <w:rsid w:val="00134846"/>
    <w:rsid w:val="001462D9"/>
    <w:rsid w:val="0015269A"/>
    <w:rsid w:val="00162CCB"/>
    <w:rsid w:val="00165834"/>
    <w:rsid w:val="00166D79"/>
    <w:rsid w:val="00167A47"/>
    <w:rsid w:val="00172AF6"/>
    <w:rsid w:val="00176CEE"/>
    <w:rsid w:val="001811A4"/>
    <w:rsid w:val="00181AF3"/>
    <w:rsid w:val="00186969"/>
    <w:rsid w:val="00186DD8"/>
    <w:rsid w:val="00193848"/>
    <w:rsid w:val="00193B0B"/>
    <w:rsid w:val="001A0BE9"/>
    <w:rsid w:val="001A33AA"/>
    <w:rsid w:val="001B13FE"/>
    <w:rsid w:val="001C4E88"/>
    <w:rsid w:val="001D0BDC"/>
    <w:rsid w:val="001D3A4D"/>
    <w:rsid w:val="001D582F"/>
    <w:rsid w:val="001E1882"/>
    <w:rsid w:val="001E764D"/>
    <w:rsid w:val="001E7C97"/>
    <w:rsid w:val="001F42F8"/>
    <w:rsid w:val="0020075F"/>
    <w:rsid w:val="00203654"/>
    <w:rsid w:val="00220BA9"/>
    <w:rsid w:val="002229C7"/>
    <w:rsid w:val="0022410B"/>
    <w:rsid w:val="00227885"/>
    <w:rsid w:val="00227F24"/>
    <w:rsid w:val="00231DA2"/>
    <w:rsid w:val="00237D15"/>
    <w:rsid w:val="00261F4B"/>
    <w:rsid w:val="00287080"/>
    <w:rsid w:val="00292E0E"/>
    <w:rsid w:val="002A7AF0"/>
    <w:rsid w:val="002C1FA1"/>
    <w:rsid w:val="002C34FE"/>
    <w:rsid w:val="002C4770"/>
    <w:rsid w:val="002D469D"/>
    <w:rsid w:val="002E3E82"/>
    <w:rsid w:val="0030169D"/>
    <w:rsid w:val="00304E69"/>
    <w:rsid w:val="003060EB"/>
    <w:rsid w:val="0030667E"/>
    <w:rsid w:val="00311A24"/>
    <w:rsid w:val="00311F35"/>
    <w:rsid w:val="003153EB"/>
    <w:rsid w:val="00321985"/>
    <w:rsid w:val="00330714"/>
    <w:rsid w:val="0034158A"/>
    <w:rsid w:val="00351205"/>
    <w:rsid w:val="00362AE0"/>
    <w:rsid w:val="00363016"/>
    <w:rsid w:val="0036742C"/>
    <w:rsid w:val="00372F74"/>
    <w:rsid w:val="003768C3"/>
    <w:rsid w:val="003A4837"/>
    <w:rsid w:val="003B416B"/>
    <w:rsid w:val="003B41B6"/>
    <w:rsid w:val="003B5508"/>
    <w:rsid w:val="003C034F"/>
    <w:rsid w:val="003C0E5B"/>
    <w:rsid w:val="003C2C3C"/>
    <w:rsid w:val="003D3915"/>
    <w:rsid w:val="003E4113"/>
    <w:rsid w:val="003F13CE"/>
    <w:rsid w:val="003F7224"/>
    <w:rsid w:val="00404C94"/>
    <w:rsid w:val="0041065B"/>
    <w:rsid w:val="00426EC4"/>
    <w:rsid w:val="00427D21"/>
    <w:rsid w:val="00430AEE"/>
    <w:rsid w:val="00433495"/>
    <w:rsid w:val="00441045"/>
    <w:rsid w:val="004415E8"/>
    <w:rsid w:val="00454F39"/>
    <w:rsid w:val="004644C2"/>
    <w:rsid w:val="00467F9C"/>
    <w:rsid w:val="00472208"/>
    <w:rsid w:val="004740B0"/>
    <w:rsid w:val="00474D5D"/>
    <w:rsid w:val="004772A5"/>
    <w:rsid w:val="004A2EA2"/>
    <w:rsid w:val="004A3F7E"/>
    <w:rsid w:val="004B590C"/>
    <w:rsid w:val="004C6BF9"/>
    <w:rsid w:val="004D7BC4"/>
    <w:rsid w:val="004E0858"/>
    <w:rsid w:val="004E2CC3"/>
    <w:rsid w:val="004E5006"/>
    <w:rsid w:val="004F6AB3"/>
    <w:rsid w:val="00503F01"/>
    <w:rsid w:val="00514852"/>
    <w:rsid w:val="00516F9D"/>
    <w:rsid w:val="00517AF1"/>
    <w:rsid w:val="00521AA5"/>
    <w:rsid w:val="00521EDA"/>
    <w:rsid w:val="00525099"/>
    <w:rsid w:val="0052581E"/>
    <w:rsid w:val="00530337"/>
    <w:rsid w:val="00533276"/>
    <w:rsid w:val="00534681"/>
    <w:rsid w:val="00534F12"/>
    <w:rsid w:val="00536820"/>
    <w:rsid w:val="00546814"/>
    <w:rsid w:val="00551872"/>
    <w:rsid w:val="00563442"/>
    <w:rsid w:val="00565B42"/>
    <w:rsid w:val="00566264"/>
    <w:rsid w:val="005826CE"/>
    <w:rsid w:val="005A4CFA"/>
    <w:rsid w:val="005B3C1D"/>
    <w:rsid w:val="005B5F5F"/>
    <w:rsid w:val="005C2926"/>
    <w:rsid w:val="005C35E1"/>
    <w:rsid w:val="005C4CE6"/>
    <w:rsid w:val="005D0750"/>
    <w:rsid w:val="005D3FD3"/>
    <w:rsid w:val="005D5AE6"/>
    <w:rsid w:val="005D7DEA"/>
    <w:rsid w:val="005F174A"/>
    <w:rsid w:val="0061102D"/>
    <w:rsid w:val="006122BA"/>
    <w:rsid w:val="00622D64"/>
    <w:rsid w:val="006264AB"/>
    <w:rsid w:val="00644B89"/>
    <w:rsid w:val="00645CE2"/>
    <w:rsid w:val="00646980"/>
    <w:rsid w:val="0065227E"/>
    <w:rsid w:val="00656344"/>
    <w:rsid w:val="00662A05"/>
    <w:rsid w:val="00662DA7"/>
    <w:rsid w:val="0066540A"/>
    <w:rsid w:val="00685EAB"/>
    <w:rsid w:val="00687BBF"/>
    <w:rsid w:val="006929F4"/>
    <w:rsid w:val="00696272"/>
    <w:rsid w:val="00697237"/>
    <w:rsid w:val="00697658"/>
    <w:rsid w:val="006A31B1"/>
    <w:rsid w:val="006A3878"/>
    <w:rsid w:val="006A5B7E"/>
    <w:rsid w:val="006B2290"/>
    <w:rsid w:val="006B30A9"/>
    <w:rsid w:val="006C2ACD"/>
    <w:rsid w:val="006E0D3B"/>
    <w:rsid w:val="006E15A3"/>
    <w:rsid w:val="006E6DFB"/>
    <w:rsid w:val="006F3ABF"/>
    <w:rsid w:val="006F527B"/>
    <w:rsid w:val="006F5ABE"/>
    <w:rsid w:val="00705387"/>
    <w:rsid w:val="00705967"/>
    <w:rsid w:val="007119BE"/>
    <w:rsid w:val="007128F1"/>
    <w:rsid w:val="00714E1E"/>
    <w:rsid w:val="00717D88"/>
    <w:rsid w:val="00725CCB"/>
    <w:rsid w:val="00726834"/>
    <w:rsid w:val="00727096"/>
    <w:rsid w:val="00727739"/>
    <w:rsid w:val="00733032"/>
    <w:rsid w:val="00737BB0"/>
    <w:rsid w:val="0074356D"/>
    <w:rsid w:val="0074765E"/>
    <w:rsid w:val="00764BD2"/>
    <w:rsid w:val="00770FE3"/>
    <w:rsid w:val="007803F4"/>
    <w:rsid w:val="00786056"/>
    <w:rsid w:val="007942D3"/>
    <w:rsid w:val="007A2F45"/>
    <w:rsid w:val="007B2099"/>
    <w:rsid w:val="007B64BC"/>
    <w:rsid w:val="007B6C09"/>
    <w:rsid w:val="007B7741"/>
    <w:rsid w:val="007D691B"/>
    <w:rsid w:val="007E05B3"/>
    <w:rsid w:val="007E09DA"/>
    <w:rsid w:val="007E158D"/>
    <w:rsid w:val="007E2E2E"/>
    <w:rsid w:val="007E628C"/>
    <w:rsid w:val="007F6342"/>
    <w:rsid w:val="00806C8E"/>
    <w:rsid w:val="0081093C"/>
    <w:rsid w:val="008178B6"/>
    <w:rsid w:val="00824506"/>
    <w:rsid w:val="00824F27"/>
    <w:rsid w:val="00833C73"/>
    <w:rsid w:val="00847D76"/>
    <w:rsid w:val="00851AA0"/>
    <w:rsid w:val="00854C9D"/>
    <w:rsid w:val="00861472"/>
    <w:rsid w:val="00861A6C"/>
    <w:rsid w:val="00865B74"/>
    <w:rsid w:val="00871432"/>
    <w:rsid w:val="008813DC"/>
    <w:rsid w:val="008974F0"/>
    <w:rsid w:val="008B012A"/>
    <w:rsid w:val="008C03EB"/>
    <w:rsid w:val="008E410D"/>
    <w:rsid w:val="008E5A67"/>
    <w:rsid w:val="008E69DC"/>
    <w:rsid w:val="008F1E6C"/>
    <w:rsid w:val="00906E17"/>
    <w:rsid w:val="0091443D"/>
    <w:rsid w:val="009222D2"/>
    <w:rsid w:val="00923C09"/>
    <w:rsid w:val="00930BA1"/>
    <w:rsid w:val="0093169E"/>
    <w:rsid w:val="009340D3"/>
    <w:rsid w:val="0093461D"/>
    <w:rsid w:val="00934F93"/>
    <w:rsid w:val="009505C9"/>
    <w:rsid w:val="00950752"/>
    <w:rsid w:val="00957954"/>
    <w:rsid w:val="009614C8"/>
    <w:rsid w:val="00966424"/>
    <w:rsid w:val="009753DA"/>
    <w:rsid w:val="00976015"/>
    <w:rsid w:val="00980886"/>
    <w:rsid w:val="009813C1"/>
    <w:rsid w:val="0098166E"/>
    <w:rsid w:val="009A3F46"/>
    <w:rsid w:val="009A7D0B"/>
    <w:rsid w:val="009B6B01"/>
    <w:rsid w:val="009C2DE6"/>
    <w:rsid w:val="009C72A8"/>
    <w:rsid w:val="009D25B3"/>
    <w:rsid w:val="009D7878"/>
    <w:rsid w:val="009E7712"/>
    <w:rsid w:val="009F335F"/>
    <w:rsid w:val="00A11525"/>
    <w:rsid w:val="00A13E91"/>
    <w:rsid w:val="00A17C4D"/>
    <w:rsid w:val="00A2016B"/>
    <w:rsid w:val="00A225D4"/>
    <w:rsid w:val="00A2671D"/>
    <w:rsid w:val="00A40419"/>
    <w:rsid w:val="00A45606"/>
    <w:rsid w:val="00A4766A"/>
    <w:rsid w:val="00A53024"/>
    <w:rsid w:val="00A660B8"/>
    <w:rsid w:val="00A70ABE"/>
    <w:rsid w:val="00A80646"/>
    <w:rsid w:val="00A81175"/>
    <w:rsid w:val="00A83F10"/>
    <w:rsid w:val="00A900A7"/>
    <w:rsid w:val="00AA57BF"/>
    <w:rsid w:val="00AA6F92"/>
    <w:rsid w:val="00AB4F48"/>
    <w:rsid w:val="00AB6934"/>
    <w:rsid w:val="00AC4C55"/>
    <w:rsid w:val="00AD04F5"/>
    <w:rsid w:val="00AD3356"/>
    <w:rsid w:val="00AD530A"/>
    <w:rsid w:val="00AF42DE"/>
    <w:rsid w:val="00B07380"/>
    <w:rsid w:val="00B2193A"/>
    <w:rsid w:val="00B25084"/>
    <w:rsid w:val="00B25155"/>
    <w:rsid w:val="00B3369F"/>
    <w:rsid w:val="00B3525D"/>
    <w:rsid w:val="00B4121B"/>
    <w:rsid w:val="00B435FA"/>
    <w:rsid w:val="00B46D6C"/>
    <w:rsid w:val="00B86D17"/>
    <w:rsid w:val="00B9092F"/>
    <w:rsid w:val="00B94B79"/>
    <w:rsid w:val="00B94E6C"/>
    <w:rsid w:val="00B95ED6"/>
    <w:rsid w:val="00BA125C"/>
    <w:rsid w:val="00BA4E49"/>
    <w:rsid w:val="00BB4606"/>
    <w:rsid w:val="00BB517D"/>
    <w:rsid w:val="00BB6BC1"/>
    <w:rsid w:val="00BC0C45"/>
    <w:rsid w:val="00BD7BE7"/>
    <w:rsid w:val="00BE0EBA"/>
    <w:rsid w:val="00BE1C83"/>
    <w:rsid w:val="00BE6050"/>
    <w:rsid w:val="00BF024E"/>
    <w:rsid w:val="00BF61BE"/>
    <w:rsid w:val="00C03C82"/>
    <w:rsid w:val="00C21882"/>
    <w:rsid w:val="00C22F4F"/>
    <w:rsid w:val="00C23D2F"/>
    <w:rsid w:val="00C2769D"/>
    <w:rsid w:val="00C3611C"/>
    <w:rsid w:val="00C37C9C"/>
    <w:rsid w:val="00C406CA"/>
    <w:rsid w:val="00C443BD"/>
    <w:rsid w:val="00C451C5"/>
    <w:rsid w:val="00C50F52"/>
    <w:rsid w:val="00C565EB"/>
    <w:rsid w:val="00C609C2"/>
    <w:rsid w:val="00C624B9"/>
    <w:rsid w:val="00C630C8"/>
    <w:rsid w:val="00C6457E"/>
    <w:rsid w:val="00C71B3E"/>
    <w:rsid w:val="00C737BD"/>
    <w:rsid w:val="00C8786E"/>
    <w:rsid w:val="00C90134"/>
    <w:rsid w:val="00C90D7F"/>
    <w:rsid w:val="00C9161D"/>
    <w:rsid w:val="00C918F6"/>
    <w:rsid w:val="00CA0C1D"/>
    <w:rsid w:val="00CB0040"/>
    <w:rsid w:val="00CB0A89"/>
    <w:rsid w:val="00CB10DE"/>
    <w:rsid w:val="00CB27B3"/>
    <w:rsid w:val="00CC23CC"/>
    <w:rsid w:val="00CE7021"/>
    <w:rsid w:val="00CF1848"/>
    <w:rsid w:val="00D023F2"/>
    <w:rsid w:val="00D1159F"/>
    <w:rsid w:val="00D12044"/>
    <w:rsid w:val="00D14524"/>
    <w:rsid w:val="00D211A0"/>
    <w:rsid w:val="00D32D4B"/>
    <w:rsid w:val="00D33EFC"/>
    <w:rsid w:val="00D37AE7"/>
    <w:rsid w:val="00D40DBC"/>
    <w:rsid w:val="00D40F72"/>
    <w:rsid w:val="00D47521"/>
    <w:rsid w:val="00D514AB"/>
    <w:rsid w:val="00D66167"/>
    <w:rsid w:val="00D70637"/>
    <w:rsid w:val="00D72067"/>
    <w:rsid w:val="00D7493C"/>
    <w:rsid w:val="00D76A18"/>
    <w:rsid w:val="00D80849"/>
    <w:rsid w:val="00D81B4C"/>
    <w:rsid w:val="00D82E8F"/>
    <w:rsid w:val="00D84136"/>
    <w:rsid w:val="00DA5AE6"/>
    <w:rsid w:val="00DB1EA7"/>
    <w:rsid w:val="00DB4BED"/>
    <w:rsid w:val="00DD118C"/>
    <w:rsid w:val="00DD5BC1"/>
    <w:rsid w:val="00DD6529"/>
    <w:rsid w:val="00DE24F6"/>
    <w:rsid w:val="00E1567C"/>
    <w:rsid w:val="00E16550"/>
    <w:rsid w:val="00E21739"/>
    <w:rsid w:val="00E52E90"/>
    <w:rsid w:val="00E65B51"/>
    <w:rsid w:val="00E66235"/>
    <w:rsid w:val="00E83C24"/>
    <w:rsid w:val="00E9318D"/>
    <w:rsid w:val="00EA47D5"/>
    <w:rsid w:val="00EB11DA"/>
    <w:rsid w:val="00EB5E8A"/>
    <w:rsid w:val="00EC4B8B"/>
    <w:rsid w:val="00EC6B28"/>
    <w:rsid w:val="00ED06B2"/>
    <w:rsid w:val="00ED2B84"/>
    <w:rsid w:val="00ED340D"/>
    <w:rsid w:val="00EE746A"/>
    <w:rsid w:val="00F04BE7"/>
    <w:rsid w:val="00F1479A"/>
    <w:rsid w:val="00F233C2"/>
    <w:rsid w:val="00F24C45"/>
    <w:rsid w:val="00F262E7"/>
    <w:rsid w:val="00F274C4"/>
    <w:rsid w:val="00F275A4"/>
    <w:rsid w:val="00F34805"/>
    <w:rsid w:val="00F53193"/>
    <w:rsid w:val="00F570A8"/>
    <w:rsid w:val="00F6586C"/>
    <w:rsid w:val="00F66369"/>
    <w:rsid w:val="00F675B6"/>
    <w:rsid w:val="00F7530C"/>
    <w:rsid w:val="00F77BB8"/>
    <w:rsid w:val="00F83AC7"/>
    <w:rsid w:val="00F9089E"/>
    <w:rsid w:val="00F94774"/>
    <w:rsid w:val="00F96E97"/>
    <w:rsid w:val="00FA4103"/>
    <w:rsid w:val="00FA5583"/>
    <w:rsid w:val="00FA663B"/>
    <w:rsid w:val="00FB48F4"/>
    <w:rsid w:val="00FB72BF"/>
    <w:rsid w:val="00FC0BD6"/>
    <w:rsid w:val="00FC0F4F"/>
    <w:rsid w:val="00FC53DB"/>
    <w:rsid w:val="00FC55FD"/>
    <w:rsid w:val="00FC70A3"/>
    <w:rsid w:val="00FC796A"/>
    <w:rsid w:val="00FD70B8"/>
    <w:rsid w:val="00FD7A62"/>
    <w:rsid w:val="00FF1AFD"/>
    <w:rsid w:val="00FF1F0A"/>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CBD-ParaCharChar"/>
    <w:pPr>
      <w:spacing w:after="160" w:line="240" w:lineRule="exact"/>
      <w:jc w:val="left"/>
    </w:pPr>
    <w:rPr>
      <w:vertAlign w:val="superscript"/>
      <w:lang w:val="en-US"/>
    </w:rPr>
  </w:style>
  <w:style w:type="paragraph" w:customStyle="1" w:styleId="CBD-Para">
    <w:name w:val="CBD-Para"/>
    <w:basedOn w:val="Normal"/>
    <w:pPr>
      <w:keepLines/>
      <w:numPr>
        <w:numId w:val="21"/>
      </w:numPr>
      <w:spacing w:before="120" w:after="120"/>
    </w:pPr>
    <w:rPr>
      <w:lang w:val="en-US"/>
    </w:rPr>
  </w:style>
  <w:style w:type="character" w:customStyle="1" w:styleId="CBD-ParaCharChar">
    <w:name w:val="CBD-Para Char Char"/>
    <w:link w:val="BVIfnrChar"/>
    <w:locked/>
    <w:rPr>
      <w:rFonts w:ascii="Times New Roman" w:hAnsi="Times New Roman" w:cs="Times New Roman"/>
      <w:sz w:val="22"/>
      <w:szCs w:val="22"/>
      <w:lang w:val="en-US"/>
    </w:rPr>
  </w:style>
  <w:style w:type="character" w:customStyle="1" w:styleId="UnresolvedMention">
    <w:name w:val="Unresolved Mention"/>
    <w:basedOn w:val="DefaultParagraphFont"/>
    <w:semiHidden/>
    <w:rPr>
      <w:color w:val="auto"/>
      <w:shd w:val="clear" w:color="auto" w:fill="auto"/>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b/>
      <w:bCs/>
      <w:sz w:val="20"/>
      <w:szCs w:val="20"/>
    </w:rPr>
  </w:style>
  <w:style w:type="character" w:customStyle="1" w:styleId="ng-binding">
    <w:name w:val="ng-binding"/>
    <w:basedOn w:val="DefaultParagraphFont"/>
  </w:style>
  <w:style w:type="paragraph" w:styleId="Revision">
    <w:name w:val="Revision"/>
    <w:hidden/>
    <w:semiHidden/>
    <w:rPr>
      <w:rFonts w:eastAsia="MS Mincho" w:cs="Times New Roman"/>
      <w:snapToGrid w:val="0"/>
      <w:sz w:val="22"/>
      <w:szCs w:val="22"/>
      <w:lang w:val="en-GB" w:eastAsia="ko-KR"/>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0a93/9d4b/a1d78c3ab310cdd42dbce674/wg2020-01-05-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np-mop-03/np-mop-03-dec-15-e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07-es.pdf" TargetMode="External"/><Relationship Id="rId5" Type="http://schemas.openxmlformats.org/officeDocument/2006/relationships/footnotes" Target="footnotes.xml"/><Relationship Id="rId15" Type="http://schemas.openxmlformats.org/officeDocument/2006/relationships/hyperlink" Target="https://www.cbd.int/doc/decisions/cop-14/cop-14-dec-20-es.pdf" TargetMode="External"/><Relationship Id="rId10" Type="http://schemas.openxmlformats.org/officeDocument/2006/relationships/hyperlink" Target="https://www.cbd.int/doc/decisions/cop-14/cop-14-dec-34-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c/4fdc/81b1/1047b3fbc0af7aeba5ea7e99/wg2020-02-04-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dd5d/e5bd/e1f869b5632529d79f79937e/post2020-prep-01-0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1288</Words>
  <Characters>7077</Characters>
  <Application>Microsoft Office Word</Application>
  <DocSecurity>0</DocSecurity>
  <Lines>471</Lines>
  <Paragraphs>334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8031</CharactersWithSpaces>
  <SharedDoc>false</SharedDoc>
  <HLinks>
    <vt:vector size="42" baseType="variant">
      <vt:variant>
        <vt:i4>983125</vt:i4>
      </vt:variant>
      <vt:variant>
        <vt:i4>15</vt:i4>
      </vt:variant>
      <vt:variant>
        <vt:i4>0</vt:i4>
      </vt:variant>
      <vt:variant>
        <vt:i4>5</vt:i4>
      </vt:variant>
      <vt:variant>
        <vt:lpwstr>https://www.cbd.int/doc/decisions/cop-14/cop-14-dec-20-es.pdf</vt:lpwstr>
      </vt:variant>
      <vt:variant>
        <vt:lpwstr/>
      </vt:variant>
      <vt:variant>
        <vt:i4>4259924</vt:i4>
      </vt:variant>
      <vt:variant>
        <vt:i4>12</vt:i4>
      </vt:variant>
      <vt:variant>
        <vt:i4>0</vt:i4>
      </vt:variant>
      <vt:variant>
        <vt:i4>5</vt:i4>
      </vt:variant>
      <vt:variant>
        <vt:lpwstr>https://www.cbd.int/doc/c/4fdc/81b1/1047b3fbc0af7aeba5ea7e99/wg2020-02-04-es.pdf</vt:lpwstr>
      </vt:variant>
      <vt:variant>
        <vt:lpwstr/>
      </vt:variant>
      <vt:variant>
        <vt:i4>1769481</vt:i4>
      </vt:variant>
      <vt:variant>
        <vt:i4>9</vt:i4>
      </vt:variant>
      <vt:variant>
        <vt:i4>0</vt:i4>
      </vt:variant>
      <vt:variant>
        <vt:i4>5</vt:i4>
      </vt:variant>
      <vt:variant>
        <vt:lpwstr>https://www.cbd.int/doc/c/0a93/9d4b/a1d78c3ab310cdd42dbce674/wg2020-01-05-es.pdf</vt:lpwstr>
      </vt:variant>
      <vt:variant>
        <vt:lpwstr/>
      </vt:variant>
      <vt:variant>
        <vt:i4>7405613</vt:i4>
      </vt:variant>
      <vt:variant>
        <vt:i4>6</vt:i4>
      </vt:variant>
      <vt:variant>
        <vt:i4>0</vt:i4>
      </vt:variant>
      <vt:variant>
        <vt:i4>5</vt:i4>
      </vt:variant>
      <vt:variant>
        <vt:lpwstr>https://www.cbd.int/doc/decisions/np-mop-03/np-mop-03-dec-15-es.pdf</vt:lpwstr>
      </vt:variant>
      <vt:variant>
        <vt:lpwstr/>
      </vt:variant>
      <vt:variant>
        <vt:i4>7536684</vt:i4>
      </vt:variant>
      <vt:variant>
        <vt:i4>3</vt:i4>
      </vt:variant>
      <vt:variant>
        <vt:i4>0</vt:i4>
      </vt:variant>
      <vt:variant>
        <vt:i4>5</vt:i4>
      </vt:variant>
      <vt:variant>
        <vt:lpwstr>https://www.cbd.int/doc/decisions/cp-mop-09/cp-mop-09-dec-07-es.pdf</vt:lpwstr>
      </vt:variant>
      <vt:variant>
        <vt:lpwstr/>
      </vt:variant>
      <vt:variant>
        <vt:i4>720980</vt:i4>
      </vt:variant>
      <vt:variant>
        <vt:i4>0</vt:i4>
      </vt:variant>
      <vt:variant>
        <vt:i4>0</vt:i4>
      </vt:variant>
      <vt:variant>
        <vt:i4>5</vt:i4>
      </vt:variant>
      <vt:variant>
        <vt:lpwstr>https://www.cbd.int/doc/decisions/cop-14/cop-14-dec-34-es.pdf</vt:lpwstr>
      </vt:variant>
      <vt:variant>
        <vt:lpwstr/>
      </vt:variant>
      <vt:variant>
        <vt:i4>2687031</vt:i4>
      </vt:variant>
      <vt:variant>
        <vt:i4>0</vt:i4>
      </vt:variant>
      <vt:variant>
        <vt:i4>0</vt:i4>
      </vt:variant>
      <vt:variant>
        <vt:i4>5</vt:i4>
      </vt:variant>
      <vt:variant>
        <vt:lpwstr>https://www.cbd.int/doc/c/dd5d/e5bd/e1f869b5632529d79f79937e/post2020-prep-01-01-es.pdf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CBD/WG2020/4/1/Add.1</dc:subject>
  <dc:creator>SCBD</dc:creator>
  <cp:keywords>Open-ended Working Group on the Post-2020 Global Biodiversity Framework, third meeting, Convention on Biological Diversity</cp:keywords>
  <cp:lastModifiedBy>Laura Perez</cp:lastModifiedBy>
  <cp:revision>5</cp:revision>
  <cp:lastPrinted>2022-04-27T20:25:00Z</cp:lastPrinted>
  <dcterms:created xsi:type="dcterms:W3CDTF">2022-04-28T13:07:00Z</dcterms:created>
  <dcterms:modified xsi:type="dcterms:W3CDTF">2022-04-28T13:50:00Z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