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3844"/>
        <w:gridCol w:w="5598"/>
      </w:tblGrid>
      <w:tr w:rsidR="00A96B21" w:rsidRPr="00EA442C" w14:paraId="30B6BF68" w14:textId="77777777" w:rsidTr="00A113A6">
        <w:trPr>
          <w:trHeight w:val="851"/>
        </w:trPr>
        <w:tc>
          <w:tcPr>
            <w:tcW w:w="456" w:type="pct"/>
            <w:tcBorders>
              <w:bottom w:val="single" w:sz="8" w:space="0" w:color="auto"/>
            </w:tcBorders>
            <w:vAlign w:val="bottom"/>
          </w:tcPr>
          <w:p w14:paraId="3889057A" w14:textId="14E00794" w:rsidR="00A96B21" w:rsidRPr="00550DCE" w:rsidRDefault="00A96B21" w:rsidP="00740DEE">
            <w:pPr>
              <w:spacing w:after="120"/>
              <w:jc w:val="left"/>
            </w:pPr>
            <w:bookmarkStart w:id="0" w:name="_Hlk137651738"/>
            <w:r w:rsidRPr="00550DCE">
              <w:rPr>
                <w:noProof/>
              </w:rPr>
              <w:drawing>
                <wp:inline distT="0" distB="0" distL="0" distR="0" wp14:anchorId="07AC4956" wp14:editId="77862A07">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0" w:type="pct"/>
            <w:tcBorders>
              <w:bottom w:val="single" w:sz="8" w:space="0" w:color="auto"/>
            </w:tcBorders>
            <w:shd w:val="clear" w:color="auto" w:fill="auto"/>
            <w:tcFitText/>
            <w:vAlign w:val="bottom"/>
          </w:tcPr>
          <w:p w14:paraId="7BA3EECF" w14:textId="77777777" w:rsidR="00A96B21" w:rsidRPr="00550DCE" w:rsidRDefault="00A96B21" w:rsidP="00740DEE">
            <w:pPr>
              <w:spacing w:after="120"/>
              <w:jc w:val="left"/>
            </w:pPr>
            <w:r w:rsidRPr="009C48A2">
              <w:rPr>
                <w:noProof/>
              </w:rPr>
              <w:drawing>
                <wp:inline distT="0" distB="0" distL="0" distR="0" wp14:anchorId="71073AD0" wp14:editId="3D682989">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94" w:type="pct"/>
            <w:tcBorders>
              <w:bottom w:val="single" w:sz="8" w:space="0" w:color="auto"/>
            </w:tcBorders>
            <w:vAlign w:val="bottom"/>
          </w:tcPr>
          <w:p w14:paraId="5B0D8511" w14:textId="6163AB5B" w:rsidR="00A96B21" w:rsidRPr="00550DCE" w:rsidRDefault="00A96B21" w:rsidP="00184909">
            <w:pPr>
              <w:spacing w:after="120"/>
              <w:ind w:left="2021"/>
              <w:jc w:val="right"/>
              <w:rPr>
                <w:szCs w:val="22"/>
              </w:rPr>
            </w:pPr>
            <w:bookmarkStart w:id="1" w:name="_Hlk142404623"/>
            <w:r w:rsidRPr="003F0146">
              <w:rPr>
                <w:sz w:val="40"/>
                <w:szCs w:val="40"/>
              </w:rPr>
              <w:t>CBD</w:t>
            </w:r>
            <w:r w:rsidRPr="00550DCE">
              <w:rPr>
                <w:szCs w:val="22"/>
              </w:rPr>
              <w:t>/</w:t>
            </w:r>
            <w:r w:rsidR="00B9458A">
              <w:rPr>
                <w:szCs w:val="22"/>
              </w:rPr>
              <w:t>FM/</w:t>
            </w:r>
            <w:r w:rsidR="00003549">
              <w:rPr>
                <w:szCs w:val="22"/>
              </w:rPr>
              <w:t>TEG</w:t>
            </w:r>
            <w:r w:rsidR="00E36719">
              <w:rPr>
                <w:szCs w:val="22"/>
              </w:rPr>
              <w:t>/2023</w:t>
            </w:r>
            <w:r w:rsidR="00C97F5A">
              <w:rPr>
                <w:szCs w:val="22"/>
              </w:rPr>
              <w:t>/</w:t>
            </w:r>
            <w:r w:rsidR="00E36719">
              <w:rPr>
                <w:szCs w:val="22"/>
              </w:rPr>
              <w:t>1</w:t>
            </w:r>
            <w:r w:rsidR="0069778B">
              <w:rPr>
                <w:szCs w:val="22"/>
              </w:rPr>
              <w:t>/</w:t>
            </w:r>
            <w:bookmarkEnd w:id="1"/>
            <w:r w:rsidR="00B9458A">
              <w:rPr>
                <w:szCs w:val="22"/>
              </w:rPr>
              <w:t>2</w:t>
            </w:r>
          </w:p>
        </w:tc>
      </w:tr>
      <w:tr w:rsidR="00A96B21" w:rsidRPr="00EA442C" w14:paraId="425663CA" w14:textId="77777777" w:rsidTr="00A113A6">
        <w:tc>
          <w:tcPr>
            <w:tcW w:w="2306" w:type="pct"/>
            <w:gridSpan w:val="2"/>
            <w:tcBorders>
              <w:top w:val="single" w:sz="8" w:space="0" w:color="auto"/>
              <w:bottom w:val="single" w:sz="12" w:space="0" w:color="auto"/>
            </w:tcBorders>
          </w:tcPr>
          <w:p w14:paraId="6DD9D7A3" w14:textId="77777777" w:rsidR="00A96B21" w:rsidRPr="00550DCE" w:rsidRDefault="00A96B21" w:rsidP="00740DEE">
            <w:pPr>
              <w:pStyle w:val="Cornernotation"/>
              <w:suppressLineNumbers/>
              <w:suppressAutoHyphens/>
              <w:spacing w:before="120" w:after="120"/>
              <w:ind w:left="0" w:right="0" w:firstLine="0"/>
            </w:pPr>
            <w:r w:rsidRPr="00550DCE">
              <w:rPr>
                <w:b w:val="0"/>
                <w:bCs/>
                <w:noProof/>
              </w:rPr>
              <w:drawing>
                <wp:inline distT="0" distB="0" distL="0" distR="0" wp14:anchorId="600E3CDE" wp14:editId="1D41F129">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94" w:type="pct"/>
            <w:tcBorders>
              <w:top w:val="single" w:sz="8" w:space="0" w:color="auto"/>
              <w:bottom w:val="single" w:sz="12" w:space="0" w:color="auto"/>
            </w:tcBorders>
          </w:tcPr>
          <w:p w14:paraId="593286C4" w14:textId="77777777" w:rsidR="00A96B21" w:rsidRPr="00C97F5A" w:rsidRDefault="00A96B21" w:rsidP="003C6F10">
            <w:pPr>
              <w:ind w:left="2584"/>
              <w:rPr>
                <w:sz w:val="22"/>
                <w:szCs w:val="22"/>
                <w:lang w:val="en-US"/>
              </w:rPr>
            </w:pPr>
            <w:r w:rsidRPr="00C97F5A">
              <w:rPr>
                <w:sz w:val="22"/>
                <w:szCs w:val="22"/>
                <w:lang w:val="en-US"/>
              </w:rPr>
              <w:t>Distr.: General</w:t>
            </w:r>
          </w:p>
          <w:p w14:paraId="02690578" w14:textId="6EFDED79" w:rsidR="00A96B21" w:rsidRPr="00C97F5A" w:rsidRDefault="005B1080" w:rsidP="003C6F10">
            <w:pPr>
              <w:ind w:left="2584"/>
              <w:rPr>
                <w:sz w:val="22"/>
                <w:szCs w:val="22"/>
                <w:lang w:val="en-US"/>
              </w:rPr>
            </w:pPr>
            <w:r w:rsidRPr="00C97F5A">
              <w:rPr>
                <w:sz w:val="22"/>
                <w:szCs w:val="22"/>
                <w:lang w:val="en-US"/>
              </w:rPr>
              <w:t>1</w:t>
            </w:r>
            <w:r w:rsidR="00900A10">
              <w:rPr>
                <w:sz w:val="22"/>
                <w:szCs w:val="22"/>
                <w:lang w:val="en-US"/>
              </w:rPr>
              <w:t>0</w:t>
            </w:r>
            <w:r w:rsidR="0069778B" w:rsidRPr="00C97F5A">
              <w:rPr>
                <w:sz w:val="22"/>
                <w:szCs w:val="22"/>
                <w:lang w:val="en-US"/>
              </w:rPr>
              <w:t xml:space="preserve"> </w:t>
            </w:r>
            <w:r w:rsidR="00900A10">
              <w:rPr>
                <w:sz w:val="22"/>
                <w:szCs w:val="22"/>
                <w:lang w:val="en-US"/>
              </w:rPr>
              <w:t>October</w:t>
            </w:r>
            <w:r w:rsidR="00A96B21" w:rsidRPr="00C97F5A">
              <w:rPr>
                <w:sz w:val="22"/>
                <w:szCs w:val="22"/>
                <w:lang w:val="en-US"/>
              </w:rPr>
              <w:t xml:space="preserve"> 2023</w:t>
            </w:r>
          </w:p>
          <w:p w14:paraId="066A75BD" w14:textId="77777777" w:rsidR="00327144" w:rsidRPr="00C97F5A" w:rsidRDefault="00327144" w:rsidP="003C6F10">
            <w:pPr>
              <w:ind w:left="2584"/>
              <w:rPr>
                <w:sz w:val="22"/>
                <w:szCs w:val="22"/>
                <w:lang w:val="en-US"/>
              </w:rPr>
            </w:pPr>
          </w:p>
          <w:p w14:paraId="28A60320" w14:textId="4F87CEFF" w:rsidR="00A96B21" w:rsidRPr="00C97F5A" w:rsidRDefault="00A96B21" w:rsidP="003C6F10">
            <w:pPr>
              <w:ind w:left="2584"/>
              <w:rPr>
                <w:sz w:val="22"/>
                <w:szCs w:val="22"/>
              </w:rPr>
            </w:pPr>
            <w:r w:rsidRPr="00C97F5A">
              <w:rPr>
                <w:sz w:val="22"/>
                <w:szCs w:val="22"/>
              </w:rPr>
              <w:t>English</w:t>
            </w:r>
            <w:r w:rsidR="00935411" w:rsidRPr="00C97F5A">
              <w:rPr>
                <w:sz w:val="22"/>
                <w:szCs w:val="22"/>
              </w:rPr>
              <w:t xml:space="preserve"> only</w:t>
            </w:r>
          </w:p>
          <w:p w14:paraId="03D2A025" w14:textId="77777777" w:rsidR="00A96B21" w:rsidRPr="00550DCE" w:rsidRDefault="00A96B21" w:rsidP="00740DEE"/>
        </w:tc>
      </w:tr>
    </w:tbl>
    <w:p w14:paraId="073F06A4" w14:textId="1732B1FF" w:rsidR="00874541" w:rsidRDefault="00A113A6" w:rsidP="00E36719">
      <w:pPr>
        <w:pStyle w:val="Cornernotation"/>
        <w:ind w:left="0" w:right="4398" w:firstLine="0"/>
        <w:rPr>
          <w:bCs/>
        </w:rPr>
      </w:pPr>
      <w:r>
        <w:rPr>
          <w:bCs/>
        </w:rPr>
        <w:t xml:space="preserve">Meeting of the </w:t>
      </w:r>
      <w:r w:rsidR="00D578AC">
        <w:rPr>
          <w:bCs/>
        </w:rPr>
        <w:t>Technical Expert Group on Financial Reporting</w:t>
      </w:r>
    </w:p>
    <w:p w14:paraId="5FB20763" w14:textId="77777777" w:rsidR="00AA5034" w:rsidRPr="004960CF" w:rsidRDefault="00AA5034" w:rsidP="00A96B21">
      <w:pPr>
        <w:pStyle w:val="Venuedate"/>
        <w:rPr>
          <w:b/>
          <w:bCs w:val="0"/>
        </w:rPr>
      </w:pPr>
      <w:r w:rsidRPr="004960CF">
        <w:rPr>
          <w:b/>
          <w:bCs w:val="0"/>
        </w:rPr>
        <w:t xml:space="preserve">First meeting </w:t>
      </w:r>
    </w:p>
    <w:p w14:paraId="32160B5F" w14:textId="62662CCF" w:rsidR="00A96B21" w:rsidRDefault="005C2691" w:rsidP="00A96B21">
      <w:pPr>
        <w:pStyle w:val="Venuedate"/>
        <w:rPr>
          <w:lang w:val="en-CA"/>
        </w:rPr>
      </w:pPr>
      <w:r>
        <w:rPr>
          <w:lang w:val="en-CA"/>
        </w:rPr>
        <w:t>Montreal</w:t>
      </w:r>
      <w:r w:rsidR="005B1080">
        <w:rPr>
          <w:lang w:val="en-CA"/>
        </w:rPr>
        <w:t xml:space="preserve">, </w:t>
      </w:r>
      <w:r w:rsidR="00D578AC">
        <w:rPr>
          <w:lang w:val="en-CA"/>
        </w:rPr>
        <w:t>2</w:t>
      </w:r>
      <w:r>
        <w:rPr>
          <w:lang w:val="en-CA"/>
        </w:rPr>
        <w:t>7 November</w:t>
      </w:r>
      <w:r w:rsidR="009C3234">
        <w:rPr>
          <w:lang w:val="en-CA"/>
        </w:rPr>
        <w:t>–</w:t>
      </w:r>
      <w:r>
        <w:rPr>
          <w:lang w:val="en-CA"/>
        </w:rPr>
        <w:t>1 December</w:t>
      </w:r>
      <w:r w:rsidR="00327144">
        <w:rPr>
          <w:lang w:val="en-CA"/>
        </w:rPr>
        <w:t xml:space="preserve"> 2023</w:t>
      </w:r>
      <w:r w:rsidR="00935461" w:rsidRPr="00935461">
        <w:rPr>
          <w:lang w:val="en-CA"/>
        </w:rPr>
        <w:t xml:space="preserve"> </w:t>
      </w:r>
    </w:p>
    <w:p w14:paraId="1878D869" w14:textId="4D2E70DC" w:rsidR="005B1080" w:rsidRDefault="005B1080" w:rsidP="00A96B21">
      <w:pPr>
        <w:pStyle w:val="Venuedate"/>
        <w:rPr>
          <w:lang w:val="en-CA"/>
        </w:rPr>
      </w:pPr>
      <w:r>
        <w:rPr>
          <w:lang w:val="en-CA"/>
        </w:rPr>
        <w:t xml:space="preserve">Item </w:t>
      </w:r>
      <w:r w:rsidR="000E39ED">
        <w:rPr>
          <w:lang w:val="en-CA"/>
        </w:rPr>
        <w:t>3</w:t>
      </w:r>
      <w:r w:rsidR="00DE229E">
        <w:rPr>
          <w:lang w:val="en-CA"/>
        </w:rPr>
        <w:t xml:space="preserve"> of the provisional agenda</w:t>
      </w:r>
      <w:r w:rsidR="00A42507">
        <w:rPr>
          <w:rStyle w:val="FootnoteReference"/>
          <w:lang w:val="en-CA"/>
        </w:rPr>
        <w:footnoteReference w:customMarkFollows="1" w:id="2"/>
        <w:t>*</w:t>
      </w:r>
    </w:p>
    <w:p w14:paraId="798F9DDF" w14:textId="43822496" w:rsidR="0082078B" w:rsidRPr="005913ED" w:rsidRDefault="0082078B" w:rsidP="004960CF">
      <w:pPr>
        <w:pStyle w:val="Para10"/>
        <w:spacing w:before="0"/>
        <w:ind w:right="5585"/>
        <w:rPr>
          <w:b/>
          <w:bCs/>
          <w:szCs w:val="22"/>
        </w:rPr>
      </w:pPr>
      <w:r w:rsidRPr="005913ED">
        <w:rPr>
          <w:b/>
          <w:bCs/>
        </w:rPr>
        <w:t xml:space="preserve">Consideration </w:t>
      </w:r>
      <w:r w:rsidRPr="005913ED">
        <w:rPr>
          <w:b/>
          <w:bCs/>
          <w:szCs w:val="22"/>
        </w:rPr>
        <w:t xml:space="preserve">of </w:t>
      </w:r>
      <w:r w:rsidR="009C48A2">
        <w:rPr>
          <w:b/>
          <w:bCs/>
          <w:szCs w:val="22"/>
        </w:rPr>
        <w:t>relevant indicators</w:t>
      </w:r>
    </w:p>
    <w:bookmarkEnd w:id="0"/>
    <w:p w14:paraId="27BD073C" w14:textId="27852191" w:rsidR="00A96B21" w:rsidRDefault="009C3234" w:rsidP="00E36719">
      <w:pPr>
        <w:pStyle w:val="Title"/>
        <w:jc w:val="left"/>
        <w:rPr>
          <w:rFonts w:hint="eastAsia"/>
        </w:rPr>
      </w:pPr>
      <w:sdt>
        <w:sdtPr>
          <w:rPr>
            <w:szCs w:val="22"/>
          </w:rPr>
          <w:alias w:val="Title"/>
          <w:tag w:val=""/>
          <w:id w:val="-1975355689"/>
          <w:placeholder>
            <w:docPart w:val="2B862CD122DD4E09BB79ED6C965EF364"/>
          </w:placeholder>
          <w:dataBinding w:prefixMappings="xmlns:ns0='http://purl.org/dc/elements/1.1/' xmlns:ns1='http://schemas.openxmlformats.org/package/2006/metadata/core-properties' " w:xpath="/ns1:coreProperties[1]/ns0:title[1]" w:storeItemID="{6C3C8BC8-F283-45AE-878A-BAB7291924A1}"/>
          <w:text/>
        </w:sdtPr>
        <w:sdtEndPr/>
        <w:sdtContent>
          <w:r w:rsidR="009C48A2">
            <w:rPr>
              <w:szCs w:val="22"/>
            </w:rPr>
            <w:t>Background material</w:t>
          </w:r>
          <w:r w:rsidR="00CF13AE">
            <w:rPr>
              <w:szCs w:val="22"/>
            </w:rPr>
            <w:t xml:space="preserve"> to support the </w:t>
          </w:r>
          <w:r w:rsidR="0082078B" w:rsidRPr="0082078B">
            <w:rPr>
              <w:szCs w:val="22"/>
            </w:rPr>
            <w:t xml:space="preserve">work </w:t>
          </w:r>
          <w:r w:rsidR="00B407C4">
            <w:rPr>
              <w:szCs w:val="22"/>
            </w:rPr>
            <w:t xml:space="preserve">of the </w:t>
          </w:r>
          <w:r w:rsidR="0082078B" w:rsidRPr="0082078B">
            <w:rPr>
              <w:szCs w:val="22"/>
            </w:rPr>
            <w:t>Technical Expert Group on Financial Reporting</w:t>
          </w:r>
        </w:sdtContent>
      </w:sdt>
    </w:p>
    <w:p w14:paraId="1DF79275" w14:textId="6D7AE9EC" w:rsidR="007C3FB6" w:rsidRPr="00E77728" w:rsidRDefault="007C3FB6" w:rsidP="003F0146">
      <w:pPr>
        <w:pStyle w:val="Subtitle"/>
        <w:spacing w:before="120" w:after="120"/>
        <w:ind w:left="567"/>
        <w:jc w:val="left"/>
        <w:rPr>
          <w:rFonts w:hint="eastAsia"/>
          <w:lang w:eastAsia="zh-CN"/>
        </w:rPr>
      </w:pPr>
      <w:r w:rsidRPr="003F0146">
        <w:rPr>
          <w:rFonts w:ascii="Times New Roman" w:hAnsi="Times New Roman" w:cs="Times New Roman"/>
          <w:color w:val="auto"/>
        </w:rPr>
        <w:t>Introduction</w:t>
      </w:r>
    </w:p>
    <w:p w14:paraId="2A48D652" w14:textId="62E108C6" w:rsidR="006A5CA2" w:rsidRDefault="00CC56DB" w:rsidP="00663F78">
      <w:pPr>
        <w:pStyle w:val="Para10"/>
        <w:numPr>
          <w:ilvl w:val="0"/>
          <w:numId w:val="4"/>
        </w:numPr>
        <w:tabs>
          <w:tab w:val="clear" w:pos="927"/>
        </w:tabs>
        <w:rPr>
          <w:lang w:eastAsia="zh-CN"/>
        </w:rPr>
      </w:pPr>
      <w:r>
        <w:t xml:space="preserve">At its fifteenth meeting, </w:t>
      </w:r>
      <w:r w:rsidR="000B7443">
        <w:t xml:space="preserve">by its decision 15/7, on resource mobilization, </w:t>
      </w:r>
      <w:r>
        <w:t xml:space="preserve">the Conference of the Parties to the Convention on Biological Diversity decided to establish a technical expert group, with a time-bound mandate until the sixteenth meeting of the Conference of the Parties, on the financial reporting elements of the monitoring framework of the Kunming-Montreal Global Biodiversity Framework. </w:t>
      </w:r>
    </w:p>
    <w:p w14:paraId="2909580F" w14:textId="6205AE97" w:rsidR="00650068" w:rsidRPr="001C5AED" w:rsidRDefault="00754F28" w:rsidP="003C1C4F">
      <w:pPr>
        <w:pStyle w:val="Para1"/>
        <w:tabs>
          <w:tab w:val="clear" w:pos="927"/>
          <w:tab w:val="left" w:pos="1134"/>
        </w:tabs>
      </w:pPr>
      <w:r w:rsidRPr="00B731E6">
        <w:t xml:space="preserve">The Technical </w:t>
      </w:r>
      <w:r w:rsidRPr="00B731E6">
        <w:rPr>
          <w:spacing w:val="-2"/>
        </w:rPr>
        <w:t xml:space="preserve">Expert </w:t>
      </w:r>
      <w:r w:rsidRPr="00B731E6">
        <w:t>Group will contribute to the work of the Ad Hoc Technical Expert Group on Indicators for the Kunming-Montreal Global Biodiversity Framework that was established to advise on the further operationalization of the monitoring framework for the Kunming-Montreal Global Biodiversity Framework, in accordance with paragraph 6 of the terms of reference of that group</w:t>
      </w:r>
      <w:r w:rsidR="000B0B48">
        <w:t>.</w:t>
      </w:r>
      <w:r>
        <w:rPr>
          <w:vertAlign w:val="superscript"/>
        </w:rPr>
        <w:footnoteReference w:id="3"/>
      </w:r>
      <w:r w:rsidRPr="00B731E6">
        <w:t xml:space="preserve"> </w:t>
      </w:r>
      <w:r w:rsidR="00650068" w:rsidRPr="00650068">
        <w:t>T</w:t>
      </w:r>
      <w:r w:rsidR="00650068">
        <w:t>hus, t</w:t>
      </w:r>
      <w:r w:rsidR="00650068" w:rsidRPr="00650068">
        <w:t xml:space="preserve">he Technical Expert Group </w:t>
      </w:r>
      <w:r w:rsidR="00650068">
        <w:t xml:space="preserve">is expected to </w:t>
      </w:r>
      <w:r w:rsidR="00650068" w:rsidRPr="00650068">
        <w:t xml:space="preserve">coordinate closely with the </w:t>
      </w:r>
      <w:bookmarkStart w:id="2" w:name="_Hlk148112226"/>
      <w:r w:rsidR="00650068" w:rsidRPr="00650068">
        <w:t>Ad Hoc Technical Expert Group on Indicators for the Kunming-Montreal Global Biodiversity Framework</w:t>
      </w:r>
      <w:bookmarkEnd w:id="2"/>
      <w:r w:rsidR="00650068" w:rsidRPr="00650068">
        <w:t>, in order to avoid overlapping mandates and the duplication of work.</w:t>
      </w:r>
      <w:r w:rsidR="00811492">
        <w:t xml:space="preserve"> </w:t>
      </w:r>
      <w:r w:rsidR="00811492">
        <w:rPr>
          <w:color w:val="000000" w:themeColor="text1"/>
          <w:kern w:val="22"/>
          <w:szCs w:val="22"/>
        </w:rPr>
        <w:t>It would report on its work through the Ad Hoc Technical Expert Group on Indicators to the Subsidiary Body on Implementation and the Subsidiary Body on Scientific, Technical and Technological Advice at meetings held prior to the sixteenth meeting of the Conference of the Parties.</w:t>
      </w:r>
    </w:p>
    <w:p w14:paraId="7FB8D7FC" w14:textId="50B59C2F" w:rsidR="001C5AED" w:rsidRPr="00E9122C" w:rsidRDefault="00AF5168" w:rsidP="00BD6AD6">
      <w:pPr>
        <w:pStyle w:val="Para1"/>
        <w:tabs>
          <w:tab w:val="clear" w:pos="927"/>
          <w:tab w:val="left" w:pos="1134"/>
        </w:tabs>
      </w:pPr>
      <w:r>
        <w:rPr>
          <w:color w:val="000000" w:themeColor="text1"/>
          <w:kern w:val="22"/>
          <w:szCs w:val="22"/>
        </w:rPr>
        <w:t xml:space="preserve">The present document provides background information and material to support the </w:t>
      </w:r>
      <w:r w:rsidR="00EB4809">
        <w:rPr>
          <w:color w:val="000000" w:themeColor="text1"/>
          <w:kern w:val="22"/>
          <w:szCs w:val="22"/>
        </w:rPr>
        <w:t>E</w:t>
      </w:r>
      <w:r>
        <w:rPr>
          <w:color w:val="000000" w:themeColor="text1"/>
          <w:kern w:val="22"/>
          <w:szCs w:val="22"/>
        </w:rPr>
        <w:t xml:space="preserve">xpert </w:t>
      </w:r>
      <w:r w:rsidR="00EB4809">
        <w:rPr>
          <w:color w:val="000000" w:themeColor="text1"/>
          <w:kern w:val="22"/>
          <w:szCs w:val="22"/>
        </w:rPr>
        <w:t>G</w:t>
      </w:r>
      <w:r>
        <w:rPr>
          <w:color w:val="000000" w:themeColor="text1"/>
          <w:kern w:val="22"/>
          <w:szCs w:val="22"/>
        </w:rPr>
        <w:t xml:space="preserve">roup in </w:t>
      </w:r>
      <w:r w:rsidR="00952669">
        <w:rPr>
          <w:color w:val="000000" w:themeColor="text1"/>
          <w:kern w:val="22"/>
          <w:szCs w:val="22"/>
        </w:rPr>
        <w:t>its work</w:t>
      </w:r>
      <w:r w:rsidR="00D97C7C">
        <w:rPr>
          <w:color w:val="000000" w:themeColor="text1"/>
          <w:kern w:val="22"/>
          <w:szCs w:val="22"/>
        </w:rPr>
        <w:t>. Section I provides background information on the monitoring framework and the mandate of the Ad</w:t>
      </w:r>
      <w:r w:rsidR="001C6924">
        <w:rPr>
          <w:color w:val="000000" w:themeColor="text1"/>
          <w:kern w:val="22"/>
          <w:szCs w:val="22"/>
        </w:rPr>
        <w:t xml:space="preserve"> Hoc Technical Expert Group on Indicators. Section II</w:t>
      </w:r>
      <w:r w:rsidR="00AB7CDA">
        <w:rPr>
          <w:color w:val="000000" w:themeColor="text1"/>
          <w:kern w:val="22"/>
          <w:szCs w:val="22"/>
        </w:rPr>
        <w:t xml:space="preserve"> provides a structured summary of the mandate of the </w:t>
      </w:r>
      <w:r w:rsidR="00980CAB">
        <w:rPr>
          <w:color w:val="000000" w:themeColor="text1"/>
          <w:kern w:val="22"/>
          <w:szCs w:val="22"/>
        </w:rPr>
        <w:t>T</w:t>
      </w:r>
      <w:r w:rsidR="00AB7CDA">
        <w:rPr>
          <w:color w:val="000000" w:themeColor="text1"/>
          <w:kern w:val="22"/>
          <w:szCs w:val="22"/>
        </w:rPr>
        <w:t xml:space="preserve">echnical </w:t>
      </w:r>
      <w:r w:rsidR="00980CAB">
        <w:rPr>
          <w:color w:val="000000" w:themeColor="text1"/>
          <w:kern w:val="22"/>
          <w:szCs w:val="22"/>
        </w:rPr>
        <w:t>E</w:t>
      </w:r>
      <w:r w:rsidR="00AB7CDA">
        <w:rPr>
          <w:color w:val="000000" w:themeColor="text1"/>
          <w:kern w:val="22"/>
          <w:szCs w:val="22"/>
        </w:rPr>
        <w:t xml:space="preserve">xpert </w:t>
      </w:r>
      <w:r w:rsidR="00980CAB">
        <w:rPr>
          <w:color w:val="000000" w:themeColor="text1"/>
          <w:kern w:val="22"/>
          <w:szCs w:val="22"/>
        </w:rPr>
        <w:t>G</w:t>
      </w:r>
      <w:r w:rsidR="00AB7CDA">
        <w:rPr>
          <w:color w:val="000000" w:themeColor="text1"/>
          <w:kern w:val="22"/>
          <w:szCs w:val="22"/>
        </w:rPr>
        <w:t xml:space="preserve">roup on </w:t>
      </w:r>
      <w:r w:rsidR="00980CAB">
        <w:rPr>
          <w:color w:val="000000" w:themeColor="text1"/>
          <w:kern w:val="22"/>
          <w:szCs w:val="22"/>
        </w:rPr>
        <w:t>F</w:t>
      </w:r>
      <w:r w:rsidR="00AB7CDA">
        <w:rPr>
          <w:color w:val="000000" w:themeColor="text1"/>
          <w:kern w:val="22"/>
          <w:szCs w:val="22"/>
        </w:rPr>
        <w:t xml:space="preserve">inancial </w:t>
      </w:r>
      <w:r w:rsidR="00980CAB">
        <w:rPr>
          <w:color w:val="000000" w:themeColor="text1"/>
          <w:kern w:val="22"/>
          <w:szCs w:val="22"/>
        </w:rPr>
        <w:t>Reporting</w:t>
      </w:r>
      <w:r w:rsidR="009D6745">
        <w:rPr>
          <w:color w:val="000000" w:themeColor="text1"/>
          <w:kern w:val="22"/>
          <w:szCs w:val="22"/>
        </w:rPr>
        <w:t xml:space="preserve">, while its complete terms of reference as contained in </w:t>
      </w:r>
      <w:r w:rsidR="00B17B7C">
        <w:rPr>
          <w:color w:val="000000" w:themeColor="text1"/>
          <w:kern w:val="22"/>
          <w:szCs w:val="22"/>
        </w:rPr>
        <w:t>a</w:t>
      </w:r>
      <w:r w:rsidR="009D6745">
        <w:rPr>
          <w:color w:val="000000" w:themeColor="text1"/>
          <w:kern w:val="22"/>
          <w:szCs w:val="22"/>
        </w:rPr>
        <w:t xml:space="preserve">nnex II </w:t>
      </w:r>
      <w:r w:rsidR="00B17B7C">
        <w:rPr>
          <w:color w:val="000000" w:themeColor="text1"/>
          <w:kern w:val="22"/>
          <w:szCs w:val="22"/>
        </w:rPr>
        <w:t xml:space="preserve">to </w:t>
      </w:r>
      <w:r w:rsidR="009D6745">
        <w:rPr>
          <w:color w:val="000000" w:themeColor="text1"/>
          <w:kern w:val="22"/>
          <w:szCs w:val="22"/>
        </w:rPr>
        <w:t>decision 15/7</w:t>
      </w:r>
      <w:r w:rsidR="00DD24C1">
        <w:rPr>
          <w:color w:val="000000" w:themeColor="text1"/>
          <w:kern w:val="22"/>
          <w:szCs w:val="22"/>
        </w:rPr>
        <w:t xml:space="preserve"> are reproduced verbatim in </w:t>
      </w:r>
      <w:r w:rsidR="002F249A">
        <w:rPr>
          <w:color w:val="000000" w:themeColor="text1"/>
          <w:kern w:val="22"/>
          <w:szCs w:val="22"/>
        </w:rPr>
        <w:t>a</w:t>
      </w:r>
      <w:r w:rsidR="00DD24C1">
        <w:rPr>
          <w:color w:val="000000" w:themeColor="text1"/>
          <w:kern w:val="22"/>
          <w:szCs w:val="22"/>
        </w:rPr>
        <w:t xml:space="preserve">nnex </w:t>
      </w:r>
      <w:r w:rsidR="006337E6">
        <w:rPr>
          <w:color w:val="000000" w:themeColor="text1"/>
          <w:kern w:val="22"/>
          <w:szCs w:val="22"/>
        </w:rPr>
        <w:t xml:space="preserve">I </w:t>
      </w:r>
      <w:r w:rsidR="002F249A">
        <w:rPr>
          <w:color w:val="000000" w:themeColor="text1"/>
          <w:kern w:val="22"/>
          <w:szCs w:val="22"/>
        </w:rPr>
        <w:t xml:space="preserve">to </w:t>
      </w:r>
      <w:r w:rsidR="006337E6">
        <w:rPr>
          <w:color w:val="000000" w:themeColor="text1"/>
          <w:kern w:val="22"/>
          <w:szCs w:val="22"/>
        </w:rPr>
        <w:t>the present document.</w:t>
      </w:r>
      <w:r w:rsidR="005F426B">
        <w:rPr>
          <w:color w:val="000000" w:themeColor="text1"/>
          <w:kern w:val="22"/>
          <w:szCs w:val="22"/>
        </w:rPr>
        <w:t xml:space="preserve"> Annex II provides verbatim reproduction</w:t>
      </w:r>
      <w:r w:rsidR="00BD6AD6">
        <w:rPr>
          <w:color w:val="000000" w:themeColor="text1"/>
          <w:kern w:val="22"/>
          <w:szCs w:val="22"/>
        </w:rPr>
        <w:t>s</w:t>
      </w:r>
      <w:r w:rsidR="005F426B">
        <w:rPr>
          <w:color w:val="000000" w:themeColor="text1"/>
          <w:kern w:val="22"/>
          <w:szCs w:val="22"/>
        </w:rPr>
        <w:t xml:space="preserve"> of </w:t>
      </w:r>
      <w:r w:rsidR="00BD6AD6">
        <w:rPr>
          <w:color w:val="000000" w:themeColor="text1"/>
          <w:kern w:val="22"/>
          <w:szCs w:val="22"/>
        </w:rPr>
        <w:t>the</w:t>
      </w:r>
      <w:r w:rsidR="00DD24C1" w:rsidRPr="00BD6AD6">
        <w:rPr>
          <w:color w:val="000000" w:themeColor="text1"/>
          <w:kern w:val="22"/>
          <w:szCs w:val="22"/>
        </w:rPr>
        <w:t xml:space="preserve"> </w:t>
      </w:r>
      <w:r w:rsidR="00BD6AD6" w:rsidRPr="00BD6AD6">
        <w:rPr>
          <w:color w:val="000000" w:themeColor="text1"/>
          <w:kern w:val="22"/>
          <w:szCs w:val="22"/>
        </w:rPr>
        <w:t xml:space="preserve">headline, </w:t>
      </w:r>
      <w:proofErr w:type="gramStart"/>
      <w:r w:rsidR="00BD6AD6" w:rsidRPr="00BD6AD6">
        <w:rPr>
          <w:color w:val="000000" w:themeColor="text1"/>
          <w:kern w:val="22"/>
          <w:szCs w:val="22"/>
        </w:rPr>
        <w:t>component</w:t>
      </w:r>
      <w:proofErr w:type="gramEnd"/>
      <w:r w:rsidR="00BD6AD6" w:rsidRPr="00BD6AD6">
        <w:rPr>
          <w:color w:val="000000" w:themeColor="text1"/>
          <w:kern w:val="22"/>
          <w:szCs w:val="22"/>
        </w:rPr>
        <w:t xml:space="preserve"> and complementary indicators for Target 18 as well as Goal D and Target 19 of the Kunming-Montreal Global Biodiversity Framework</w:t>
      </w:r>
      <w:r w:rsidR="00FC2100">
        <w:rPr>
          <w:color w:val="000000" w:themeColor="text1"/>
          <w:kern w:val="22"/>
          <w:szCs w:val="22"/>
        </w:rPr>
        <w:t>.</w:t>
      </w:r>
      <w:r w:rsidR="009D6745" w:rsidRPr="00BD6AD6">
        <w:rPr>
          <w:color w:val="000000" w:themeColor="text1"/>
          <w:kern w:val="22"/>
          <w:szCs w:val="22"/>
        </w:rPr>
        <w:t xml:space="preserve"> </w:t>
      </w:r>
    </w:p>
    <w:p w14:paraId="2DB40DF3" w14:textId="248C3C57" w:rsidR="00E9122C" w:rsidRPr="003C1C4F" w:rsidRDefault="00E9122C" w:rsidP="008013E2">
      <w:pPr>
        <w:pStyle w:val="Para1"/>
        <w:keepNext/>
        <w:numPr>
          <w:ilvl w:val="0"/>
          <w:numId w:val="16"/>
        </w:numPr>
        <w:ind w:left="562" w:hanging="562"/>
        <w:rPr>
          <w:b/>
          <w:bCs/>
          <w:sz w:val="28"/>
          <w:szCs w:val="28"/>
        </w:rPr>
      </w:pPr>
      <w:r w:rsidRPr="003C1C4F">
        <w:rPr>
          <w:b/>
          <w:bCs/>
          <w:color w:val="000000" w:themeColor="text1"/>
          <w:kern w:val="22"/>
          <w:sz w:val="28"/>
          <w:szCs w:val="28"/>
        </w:rPr>
        <w:lastRenderedPageBreak/>
        <w:t xml:space="preserve">Background information on the monitoring framework and the mandate of the </w:t>
      </w:r>
      <w:r w:rsidR="00A109B0" w:rsidRPr="003C1C4F">
        <w:rPr>
          <w:b/>
          <w:bCs/>
          <w:sz w:val="28"/>
          <w:szCs w:val="28"/>
        </w:rPr>
        <w:t>Ad Hoc Technical Expert Group on Indicators</w:t>
      </w:r>
    </w:p>
    <w:p w14:paraId="702D3B52" w14:textId="26C5942F" w:rsidR="00A436EF" w:rsidRDefault="00A436EF" w:rsidP="003C1C4F">
      <w:pPr>
        <w:pStyle w:val="Para1"/>
        <w:tabs>
          <w:tab w:val="clear" w:pos="927"/>
          <w:tab w:val="num" w:pos="1134"/>
        </w:tabs>
      </w:pPr>
      <w:r>
        <w:t xml:space="preserve">The monitoring framework </w:t>
      </w:r>
      <w:r w:rsidR="00B466E3">
        <w:t xml:space="preserve">for the Kunming-Montreal Global Biodiversity Framework, as adopted by decision 15/5, </w:t>
      </w:r>
      <w:r>
        <w:t>is composed of:</w:t>
      </w:r>
    </w:p>
    <w:p w14:paraId="1249AF67" w14:textId="77777777" w:rsidR="00A436EF" w:rsidRDefault="00A436EF" w:rsidP="00B848AB">
      <w:pPr>
        <w:pStyle w:val="Para1"/>
        <w:numPr>
          <w:ilvl w:val="1"/>
          <w:numId w:val="4"/>
        </w:numPr>
        <w:ind w:firstLine="567"/>
      </w:pPr>
      <w:r>
        <w:t xml:space="preserve">Headline indicators. These indicators represent a minimum set of high-level indicators that capture the overall scope of the goals and targets of the Kunming-Montreal Global Biodiversity Framework and are to be used for planning and monitoring progress, in compliance with decision 15/6. They are nationally, regionally and globally relevant indicators validated by Parties and can also be used for communication purposes; </w:t>
      </w:r>
    </w:p>
    <w:p w14:paraId="2FDACA93" w14:textId="77777777" w:rsidR="00A436EF" w:rsidRDefault="00A436EF" w:rsidP="00B848AB">
      <w:pPr>
        <w:pStyle w:val="Para1"/>
        <w:numPr>
          <w:ilvl w:val="1"/>
          <w:numId w:val="4"/>
        </w:numPr>
        <w:ind w:firstLine="567"/>
      </w:pPr>
      <w:r>
        <w:t xml:space="preserve">Global-level indicators. These indicators will be collated from “yes/no” responses to binary questions to be included in the national reporting template. They will provide a count of the number of countries that have undertaken specified activities; </w:t>
      </w:r>
    </w:p>
    <w:p w14:paraId="779A402B" w14:textId="77777777" w:rsidR="00A436EF" w:rsidRDefault="00A436EF" w:rsidP="00B848AB">
      <w:pPr>
        <w:pStyle w:val="Para1"/>
        <w:numPr>
          <w:ilvl w:val="1"/>
          <w:numId w:val="4"/>
        </w:numPr>
        <w:ind w:firstLine="567"/>
      </w:pPr>
      <w:r>
        <w:t>Component indicators. These indicators are optional indicators which, together with the headline indicators, will cover all components of the goals and targets of the Framework. They may be applicable at the global, regional, national and subnational levels;</w:t>
      </w:r>
    </w:p>
    <w:p w14:paraId="739C987F" w14:textId="04D2895F" w:rsidR="00A436EF" w:rsidRDefault="00A436EF" w:rsidP="00B848AB">
      <w:pPr>
        <w:pStyle w:val="Para1"/>
        <w:numPr>
          <w:ilvl w:val="1"/>
          <w:numId w:val="4"/>
        </w:numPr>
        <w:ind w:firstLine="567"/>
      </w:pPr>
      <w:r>
        <w:t>Complementary indicators. These indicators are optional indicators for a thematic or in-depth analysis of each goal and target. They may be applicable at the global, regional, national and subnational levels</w:t>
      </w:r>
      <w:r w:rsidR="00891D10">
        <w:t>.</w:t>
      </w:r>
    </w:p>
    <w:p w14:paraId="5993291C" w14:textId="77777777" w:rsidR="00A436EF" w:rsidRDefault="00A436EF" w:rsidP="00C67A3D">
      <w:pPr>
        <w:pStyle w:val="Para1"/>
        <w:tabs>
          <w:tab w:val="clear" w:pos="927"/>
          <w:tab w:val="num" w:pos="1134"/>
        </w:tabs>
      </w:pPr>
      <w:r>
        <w:t>The Conference of the Parties recognized in the monitoring framework that all goals and targets of the Framework would be monitored through headline and/or binary indicators complemented by component and complimentary indicators. However, some of the headline indicators that have been identified are not yet operational, and additional efforts are required to develop them so that they can be used by Parties.</w:t>
      </w:r>
    </w:p>
    <w:p w14:paraId="7D9D0371" w14:textId="1E15A626" w:rsidR="00A436EF" w:rsidRDefault="00A436EF" w:rsidP="00C67A3D">
      <w:pPr>
        <w:pStyle w:val="Para1"/>
        <w:tabs>
          <w:tab w:val="clear" w:pos="927"/>
          <w:tab w:val="num" w:pos="1134"/>
        </w:tabs>
      </w:pPr>
      <w:r>
        <w:t xml:space="preserve">In order to operationalize the monitoring framework, the Conference of the Parties established </w:t>
      </w:r>
      <w:r w:rsidR="009817D8">
        <w:t xml:space="preserve">the </w:t>
      </w:r>
      <w:r w:rsidR="002E2C06">
        <w:t>A</w:t>
      </w:r>
      <w:r>
        <w:t xml:space="preserve">d </w:t>
      </w:r>
      <w:r w:rsidR="002E2C06">
        <w:t>H</w:t>
      </w:r>
      <w:r>
        <w:t xml:space="preserve">oc </w:t>
      </w:r>
      <w:r w:rsidR="002E2C06">
        <w:t>T</w:t>
      </w:r>
      <w:r>
        <w:t xml:space="preserve">echnical </w:t>
      </w:r>
      <w:r w:rsidR="002E2C06">
        <w:t>E</w:t>
      </w:r>
      <w:r>
        <w:t xml:space="preserve">xpert </w:t>
      </w:r>
      <w:r w:rsidR="002E2C06">
        <w:t>G</w:t>
      </w:r>
      <w:r>
        <w:t xml:space="preserve">roup on </w:t>
      </w:r>
      <w:r w:rsidR="002E2C06">
        <w:t>I</w:t>
      </w:r>
      <w:r>
        <w:t xml:space="preserve">ndicators for the Kunming Montreal Global Biodiversity Framework. </w:t>
      </w:r>
      <w:r w:rsidR="006D663D">
        <w:t>According to t</w:t>
      </w:r>
      <w:r>
        <w:t>he terms of reference for the Expert Group</w:t>
      </w:r>
      <w:r w:rsidR="006D663D">
        <w:t xml:space="preserve">, as </w:t>
      </w:r>
      <w:r>
        <w:t>contained in annex II to decision</w:t>
      </w:r>
      <w:r w:rsidR="006D663D">
        <w:t xml:space="preserve"> 15/5, t</w:t>
      </w:r>
      <w:r>
        <w:t>he Group has four main tasks:</w:t>
      </w:r>
    </w:p>
    <w:p w14:paraId="0B99F1F3" w14:textId="6B9DF8FC" w:rsidR="00A436EF" w:rsidRDefault="00A436EF" w:rsidP="00C67A3D">
      <w:pPr>
        <w:pStyle w:val="Para1"/>
        <w:numPr>
          <w:ilvl w:val="1"/>
          <w:numId w:val="4"/>
        </w:numPr>
        <w:tabs>
          <w:tab w:val="clear" w:pos="2007"/>
          <w:tab w:val="num" w:pos="1701"/>
        </w:tabs>
        <w:ind w:firstLine="567"/>
      </w:pPr>
      <w:r>
        <w:t xml:space="preserve">To provide technical advice on remaining and unresolved issues relating to the monitoring framework, as outlined by the Conference of the Parties at its fifteenth meeting, and to </w:t>
      </w:r>
      <w:r w:rsidRPr="00861A68">
        <w:t>prioritize work</w:t>
      </w:r>
      <w:r>
        <w:t xml:space="preserve"> on the following elements leading up to the sixteenth meeting of the Conference of the Parties:</w:t>
      </w:r>
    </w:p>
    <w:p w14:paraId="2BE3C055" w14:textId="77777777" w:rsidR="00A436EF" w:rsidRDefault="00A436EF" w:rsidP="00342DAB">
      <w:pPr>
        <w:pStyle w:val="Para1"/>
        <w:numPr>
          <w:ilvl w:val="2"/>
          <w:numId w:val="4"/>
        </w:numPr>
        <w:tabs>
          <w:tab w:val="clear" w:pos="2007"/>
        </w:tabs>
        <w:spacing w:before="0"/>
        <w:ind w:left="1985" w:hanging="567"/>
      </w:pPr>
      <w:r>
        <w:t>Support the work to address critical gaps to improve the monitoring framework, in particular on headline indicators that do not have an existing methodology, and advise on their implementation at the national level. Attention should be paid to fill gaps under Goals B, C and D and Targets 2, 13 and 14 to 22, given the imbalance in available headline indicators and their interlinkages across goals and targets of the Framework;</w:t>
      </w:r>
    </w:p>
    <w:p w14:paraId="5B565A8A" w14:textId="77777777" w:rsidR="00A436EF" w:rsidRDefault="00A436EF" w:rsidP="00342DAB">
      <w:pPr>
        <w:pStyle w:val="Para1"/>
        <w:numPr>
          <w:ilvl w:val="2"/>
          <w:numId w:val="4"/>
        </w:numPr>
        <w:tabs>
          <w:tab w:val="clear" w:pos="2007"/>
        </w:tabs>
        <w:spacing w:before="0"/>
        <w:ind w:left="1985" w:hanging="567"/>
      </w:pPr>
      <w:r>
        <w:t xml:space="preserve">Support the identification of important aspects related to disaggregation and aggregation for each headline indicator, as applicable, including any methodological improvements, as appropriate; </w:t>
      </w:r>
    </w:p>
    <w:p w14:paraId="1ADC3BEC" w14:textId="77777777" w:rsidR="00A436EF" w:rsidRDefault="00A436EF" w:rsidP="00342DAB">
      <w:pPr>
        <w:pStyle w:val="Para1"/>
        <w:numPr>
          <w:ilvl w:val="2"/>
          <w:numId w:val="4"/>
        </w:numPr>
        <w:tabs>
          <w:tab w:val="clear" w:pos="2007"/>
        </w:tabs>
        <w:spacing w:before="0"/>
        <w:ind w:left="1985" w:hanging="567"/>
      </w:pPr>
      <w:r>
        <w:t xml:space="preserve">Identify gaps in terms of the operationalization of each headline indicator and the management of data flows, and advise on implementation at the national level; </w:t>
      </w:r>
    </w:p>
    <w:p w14:paraId="0DF393C5" w14:textId="77777777" w:rsidR="00A436EF" w:rsidRDefault="00A436EF" w:rsidP="00342DAB">
      <w:pPr>
        <w:pStyle w:val="Para1"/>
        <w:numPr>
          <w:ilvl w:val="2"/>
          <w:numId w:val="4"/>
        </w:numPr>
        <w:tabs>
          <w:tab w:val="clear" w:pos="2007"/>
        </w:tabs>
        <w:spacing w:before="0"/>
        <w:ind w:left="1985" w:hanging="567"/>
      </w:pPr>
      <w:r>
        <w:t>Keep the list of binary, component and complementary indicators under review;</w:t>
      </w:r>
    </w:p>
    <w:p w14:paraId="5478A789" w14:textId="77777777" w:rsidR="00A436EF" w:rsidRDefault="00A436EF" w:rsidP="00342DAB">
      <w:pPr>
        <w:pStyle w:val="Para1"/>
        <w:numPr>
          <w:ilvl w:val="2"/>
          <w:numId w:val="4"/>
        </w:numPr>
        <w:tabs>
          <w:tab w:val="clear" w:pos="2007"/>
        </w:tabs>
        <w:spacing w:before="0"/>
        <w:ind w:left="1985" w:hanging="567"/>
      </w:pPr>
      <w:r>
        <w:t>Advise on the wording of questions to construct binary indicators to be used in national reports, building upon the table in annex II to decision 15/5;</w:t>
      </w:r>
    </w:p>
    <w:p w14:paraId="33C00ABD" w14:textId="77777777" w:rsidR="00A436EF" w:rsidRDefault="00A436EF" w:rsidP="004960CF">
      <w:pPr>
        <w:pStyle w:val="Para1"/>
        <w:numPr>
          <w:ilvl w:val="1"/>
          <w:numId w:val="4"/>
        </w:numPr>
        <w:tabs>
          <w:tab w:val="clear" w:pos="2007"/>
          <w:tab w:val="num" w:pos="1701"/>
        </w:tabs>
        <w:ind w:firstLine="567"/>
      </w:pPr>
      <w:r>
        <w:lastRenderedPageBreak/>
        <w:t xml:space="preserve">To provide guidance to Parties on the use of indicators in national planning and reporting, including by reviewing how indicators are proposed for capture in the Online Reporting Tool for national </w:t>
      </w:r>
      <w:proofErr w:type="gramStart"/>
      <w:r>
        <w:t>reporting;</w:t>
      </w:r>
      <w:proofErr w:type="gramEnd"/>
      <w:r>
        <w:t xml:space="preserve"> </w:t>
      </w:r>
    </w:p>
    <w:p w14:paraId="6968B193" w14:textId="723D102F" w:rsidR="00A436EF" w:rsidRDefault="00A436EF" w:rsidP="004960CF">
      <w:pPr>
        <w:pStyle w:val="Para1"/>
        <w:numPr>
          <w:ilvl w:val="1"/>
          <w:numId w:val="4"/>
        </w:numPr>
        <w:tabs>
          <w:tab w:val="clear" w:pos="2007"/>
          <w:tab w:val="num" w:pos="1701"/>
        </w:tabs>
        <w:ind w:firstLine="567"/>
      </w:pPr>
      <w:r>
        <w:t xml:space="preserve">To provide guidance to Parties on ways to fill temporal and spatial data gaps, including through the use of big data, citizen science, community-based monitoring and information systems, remote sensing, modelling and statistical analysis, and other forms of data and other knowledge systems, recognizing the specific challenges faced by developing country Parties to develop and access information </w:t>
      </w:r>
      <w:proofErr w:type="gramStart"/>
      <w:r>
        <w:t>tools;</w:t>
      </w:r>
      <w:proofErr w:type="gramEnd"/>
    </w:p>
    <w:p w14:paraId="70714817" w14:textId="77777777" w:rsidR="00A436EF" w:rsidRDefault="00A436EF" w:rsidP="004960CF">
      <w:pPr>
        <w:pStyle w:val="Para1"/>
        <w:numPr>
          <w:ilvl w:val="1"/>
          <w:numId w:val="4"/>
        </w:numPr>
        <w:tabs>
          <w:tab w:val="clear" w:pos="2007"/>
          <w:tab w:val="num" w:pos="1701"/>
        </w:tabs>
        <w:ind w:firstLine="567"/>
      </w:pPr>
      <w:r>
        <w:t>To provide advice on the existing capacity, gaps and needs in terms of capacity development, technology transfer and financing needs related to the monitoring of the Framework.</w:t>
      </w:r>
    </w:p>
    <w:p w14:paraId="7ED4B52C" w14:textId="28CCC466" w:rsidR="00BF47C4" w:rsidRPr="00C67A3D" w:rsidRDefault="00B13468" w:rsidP="00C67A3D">
      <w:pPr>
        <w:pStyle w:val="Para1"/>
        <w:numPr>
          <w:ilvl w:val="0"/>
          <w:numId w:val="16"/>
        </w:numPr>
        <w:ind w:left="567" w:hanging="567"/>
        <w:rPr>
          <w:b/>
          <w:bCs/>
          <w:sz w:val="28"/>
          <w:szCs w:val="28"/>
        </w:rPr>
      </w:pPr>
      <w:r w:rsidRPr="00C67A3D">
        <w:rPr>
          <w:b/>
          <w:bCs/>
          <w:sz w:val="28"/>
          <w:szCs w:val="28"/>
        </w:rPr>
        <w:t>Mandat</w:t>
      </w:r>
      <w:r w:rsidR="00467A5D" w:rsidRPr="00C67A3D">
        <w:rPr>
          <w:b/>
          <w:bCs/>
          <w:sz w:val="28"/>
          <w:szCs w:val="28"/>
        </w:rPr>
        <w:t xml:space="preserve">e of the </w:t>
      </w:r>
      <w:r w:rsidR="000E2894" w:rsidRPr="00C67A3D">
        <w:rPr>
          <w:b/>
          <w:bCs/>
          <w:sz w:val="28"/>
          <w:szCs w:val="28"/>
        </w:rPr>
        <w:t>technical expert group on financial reporting</w:t>
      </w:r>
    </w:p>
    <w:p w14:paraId="076ED83E" w14:textId="3D3E8495" w:rsidR="00D46483" w:rsidRDefault="00AC0FDA" w:rsidP="00663F78">
      <w:pPr>
        <w:pStyle w:val="Para10"/>
        <w:numPr>
          <w:ilvl w:val="0"/>
          <w:numId w:val="4"/>
        </w:numPr>
        <w:tabs>
          <w:tab w:val="clear" w:pos="927"/>
        </w:tabs>
      </w:pPr>
      <w:r>
        <w:t xml:space="preserve">The terms of reference for the expert group are contained in annex III </w:t>
      </w:r>
      <w:r w:rsidR="0021288D">
        <w:t xml:space="preserve">to </w:t>
      </w:r>
      <w:r w:rsidR="000E2894">
        <w:t>decision 15/7, on resource mobilization</w:t>
      </w:r>
      <w:r>
        <w:t xml:space="preserve">, reproduced in </w:t>
      </w:r>
      <w:r w:rsidR="00C53931">
        <w:t>a</w:t>
      </w:r>
      <w:r>
        <w:t xml:space="preserve">nnex </w:t>
      </w:r>
      <w:r w:rsidR="00CB48C9">
        <w:t xml:space="preserve">I </w:t>
      </w:r>
      <w:r w:rsidR="00C53931">
        <w:t xml:space="preserve">to </w:t>
      </w:r>
      <w:r>
        <w:t>th</w:t>
      </w:r>
      <w:r w:rsidR="0021288D">
        <w:t>e present</w:t>
      </w:r>
      <w:r>
        <w:t xml:space="preserve"> document. Below</w:t>
      </w:r>
      <w:r w:rsidR="00D46483">
        <w:t xml:space="preserve"> is a structured summary of its mandate.</w:t>
      </w:r>
    </w:p>
    <w:p w14:paraId="5826FDE6" w14:textId="3C240BA6" w:rsidR="00811492" w:rsidRPr="005E20C3" w:rsidRDefault="005A0C23" w:rsidP="00663F78">
      <w:pPr>
        <w:pStyle w:val="Para10"/>
        <w:numPr>
          <w:ilvl w:val="0"/>
          <w:numId w:val="4"/>
        </w:numPr>
        <w:tabs>
          <w:tab w:val="clear" w:pos="927"/>
        </w:tabs>
      </w:pPr>
      <w:r w:rsidRPr="008D42C6">
        <w:rPr>
          <w:i/>
          <w:iCs/>
          <w:snapToGrid w:val="0"/>
          <w:kern w:val="22"/>
          <w:szCs w:val="22"/>
        </w:rPr>
        <w:t>Overall scope</w:t>
      </w:r>
      <w:r>
        <w:rPr>
          <w:snapToGrid w:val="0"/>
          <w:kern w:val="22"/>
          <w:szCs w:val="22"/>
        </w:rPr>
        <w:t xml:space="preserve">. The group shall address </w:t>
      </w:r>
      <w:r w:rsidRPr="004D3619">
        <w:rPr>
          <w:i/>
          <w:iCs/>
          <w:snapToGrid w:val="0"/>
          <w:kern w:val="22"/>
          <w:szCs w:val="22"/>
        </w:rPr>
        <w:t>“</w:t>
      </w:r>
      <w:r w:rsidR="00467A5D" w:rsidRPr="004960CF">
        <w:rPr>
          <w:snapToGrid w:val="0"/>
          <w:kern w:val="22"/>
          <w:szCs w:val="22"/>
        </w:rPr>
        <w:t xml:space="preserve">indicators for the goals and targets that are relevant for resource mobilization, in particular for public expenditures and private investments, and other targets relevant for resource mobilization, in the monitoring framework for the Kunming-Montreal Global Biodiversity </w:t>
      </w:r>
      <w:r w:rsidRPr="004960CF">
        <w:rPr>
          <w:snapToGrid w:val="0"/>
          <w:kern w:val="22"/>
          <w:szCs w:val="22"/>
        </w:rPr>
        <w:t>Framework.</w:t>
      </w:r>
      <w:r w:rsidRPr="004D3619">
        <w:rPr>
          <w:i/>
          <w:iCs/>
          <w:snapToGrid w:val="0"/>
          <w:kern w:val="22"/>
          <w:szCs w:val="22"/>
        </w:rPr>
        <w:t>”</w:t>
      </w:r>
      <w:r w:rsidR="004D3619">
        <w:rPr>
          <w:i/>
          <w:iCs/>
          <w:snapToGrid w:val="0"/>
          <w:kern w:val="22"/>
          <w:szCs w:val="22"/>
        </w:rPr>
        <w:t xml:space="preserve"> </w:t>
      </w:r>
      <w:r w:rsidR="00161C98">
        <w:rPr>
          <w:snapToGrid w:val="0"/>
          <w:kern w:val="22"/>
          <w:szCs w:val="22"/>
        </w:rPr>
        <w:t xml:space="preserve">Guided by the </w:t>
      </w:r>
      <w:r w:rsidR="00161C98">
        <w:rPr>
          <w:snapToGrid w:val="0"/>
          <w:color w:val="000000" w:themeColor="text1"/>
          <w:kern w:val="22"/>
          <w:szCs w:val="22"/>
        </w:rPr>
        <w:t xml:space="preserve">Ad Hoc Technical Expert Group on </w:t>
      </w:r>
      <w:proofErr w:type="gramStart"/>
      <w:r w:rsidR="00161C98">
        <w:rPr>
          <w:snapToGrid w:val="0"/>
          <w:color w:val="000000" w:themeColor="text1"/>
          <w:kern w:val="22"/>
          <w:szCs w:val="22"/>
        </w:rPr>
        <w:t xml:space="preserve">Indicators, </w:t>
      </w:r>
      <w:r w:rsidR="00E233AF">
        <w:rPr>
          <w:snapToGrid w:val="0"/>
          <w:color w:val="000000" w:themeColor="text1"/>
          <w:kern w:val="22"/>
          <w:szCs w:val="22"/>
        </w:rPr>
        <w:t>and</w:t>
      </w:r>
      <w:proofErr w:type="gramEnd"/>
      <w:r w:rsidR="00E233AF">
        <w:rPr>
          <w:snapToGrid w:val="0"/>
          <w:color w:val="000000" w:themeColor="text1"/>
          <w:kern w:val="22"/>
          <w:szCs w:val="22"/>
        </w:rPr>
        <w:t xml:space="preserve"> bearing in mind </w:t>
      </w:r>
      <w:r w:rsidR="002D62DB">
        <w:rPr>
          <w:snapToGrid w:val="0"/>
          <w:color w:val="000000" w:themeColor="text1"/>
          <w:kern w:val="22"/>
          <w:szCs w:val="22"/>
        </w:rPr>
        <w:t xml:space="preserve">the similar economic and financial expertise required, </w:t>
      </w:r>
      <w:r w:rsidR="00161C98">
        <w:rPr>
          <w:snapToGrid w:val="0"/>
          <w:color w:val="000000" w:themeColor="text1"/>
          <w:kern w:val="22"/>
          <w:szCs w:val="22"/>
        </w:rPr>
        <w:t xml:space="preserve">this work </w:t>
      </w:r>
      <w:r w:rsidR="003A6285">
        <w:rPr>
          <w:snapToGrid w:val="0"/>
          <w:color w:val="000000" w:themeColor="text1"/>
          <w:kern w:val="22"/>
          <w:szCs w:val="22"/>
        </w:rPr>
        <w:t>w</w:t>
      </w:r>
      <w:r w:rsidR="007F706F">
        <w:rPr>
          <w:snapToGrid w:val="0"/>
          <w:color w:val="000000" w:themeColor="text1"/>
          <w:kern w:val="22"/>
          <w:szCs w:val="22"/>
        </w:rPr>
        <w:t xml:space="preserve">ill </w:t>
      </w:r>
      <w:r w:rsidR="00161C98">
        <w:rPr>
          <w:snapToGrid w:val="0"/>
          <w:color w:val="000000" w:themeColor="text1"/>
          <w:kern w:val="22"/>
          <w:szCs w:val="22"/>
        </w:rPr>
        <w:t xml:space="preserve">cover indicators for </w:t>
      </w:r>
      <w:r w:rsidR="00574065">
        <w:rPr>
          <w:snapToGrid w:val="0"/>
          <w:color w:val="000000" w:themeColor="text1"/>
          <w:kern w:val="22"/>
          <w:szCs w:val="22"/>
        </w:rPr>
        <w:t xml:space="preserve">the relevant elements of </w:t>
      </w:r>
      <w:r w:rsidR="00BD3378">
        <w:rPr>
          <w:snapToGrid w:val="0"/>
          <w:color w:val="000000" w:themeColor="text1"/>
          <w:kern w:val="22"/>
          <w:szCs w:val="22"/>
        </w:rPr>
        <w:t>Goal D</w:t>
      </w:r>
      <w:r w:rsidR="00574065">
        <w:rPr>
          <w:snapToGrid w:val="0"/>
          <w:color w:val="000000" w:themeColor="text1"/>
          <w:kern w:val="22"/>
          <w:szCs w:val="22"/>
        </w:rPr>
        <w:t xml:space="preserve">, </w:t>
      </w:r>
      <w:r w:rsidR="001F6D48">
        <w:rPr>
          <w:snapToGrid w:val="0"/>
          <w:color w:val="000000" w:themeColor="text1"/>
          <w:kern w:val="22"/>
          <w:szCs w:val="22"/>
        </w:rPr>
        <w:t xml:space="preserve">for </w:t>
      </w:r>
      <w:r w:rsidR="00BD3378">
        <w:rPr>
          <w:snapToGrid w:val="0"/>
          <w:color w:val="000000" w:themeColor="text1"/>
          <w:kern w:val="22"/>
          <w:szCs w:val="22"/>
        </w:rPr>
        <w:t>Target 19</w:t>
      </w:r>
      <w:r w:rsidR="00E233AF">
        <w:rPr>
          <w:snapToGrid w:val="0"/>
          <w:color w:val="000000" w:themeColor="text1"/>
          <w:kern w:val="22"/>
          <w:szCs w:val="22"/>
        </w:rPr>
        <w:t xml:space="preserve">, as well as </w:t>
      </w:r>
      <w:r w:rsidR="002D62DB">
        <w:rPr>
          <w:snapToGrid w:val="0"/>
          <w:color w:val="000000" w:themeColor="text1"/>
          <w:kern w:val="22"/>
          <w:szCs w:val="22"/>
        </w:rPr>
        <w:t xml:space="preserve">for </w:t>
      </w:r>
      <w:r w:rsidR="00E233AF">
        <w:rPr>
          <w:snapToGrid w:val="0"/>
          <w:color w:val="000000" w:themeColor="text1"/>
          <w:kern w:val="22"/>
          <w:szCs w:val="22"/>
        </w:rPr>
        <w:t>Target</w:t>
      </w:r>
      <w:r w:rsidR="002D62DB">
        <w:rPr>
          <w:snapToGrid w:val="0"/>
          <w:color w:val="000000" w:themeColor="text1"/>
          <w:kern w:val="22"/>
          <w:szCs w:val="22"/>
        </w:rPr>
        <w:t xml:space="preserve"> 18</w:t>
      </w:r>
      <w:r w:rsidR="00E233AF">
        <w:rPr>
          <w:snapToGrid w:val="0"/>
          <w:color w:val="000000" w:themeColor="text1"/>
          <w:kern w:val="22"/>
          <w:szCs w:val="22"/>
        </w:rPr>
        <w:t>.</w:t>
      </w:r>
      <w:r w:rsidR="003A6285">
        <w:rPr>
          <w:rStyle w:val="FootnoteReference"/>
          <w:snapToGrid w:val="0"/>
          <w:color w:val="000000" w:themeColor="text1"/>
          <w:kern w:val="22"/>
          <w:szCs w:val="22"/>
        </w:rPr>
        <w:footnoteReference w:id="4"/>
      </w:r>
      <w:r w:rsidR="007545DC">
        <w:rPr>
          <w:snapToGrid w:val="0"/>
          <w:color w:val="000000" w:themeColor="text1"/>
          <w:kern w:val="22"/>
          <w:szCs w:val="22"/>
        </w:rPr>
        <w:t xml:space="preserve"> In the present monit</w:t>
      </w:r>
      <w:r w:rsidR="004A3453">
        <w:rPr>
          <w:snapToGrid w:val="0"/>
          <w:color w:val="000000" w:themeColor="text1"/>
          <w:kern w:val="22"/>
          <w:szCs w:val="22"/>
        </w:rPr>
        <w:t xml:space="preserve">oring framework, </w:t>
      </w:r>
      <w:r w:rsidR="005225A0">
        <w:rPr>
          <w:snapToGrid w:val="0"/>
          <w:color w:val="000000" w:themeColor="text1"/>
          <w:kern w:val="22"/>
          <w:szCs w:val="22"/>
        </w:rPr>
        <w:t xml:space="preserve">as adopted in decision 15/5, </w:t>
      </w:r>
      <w:r w:rsidR="004A3453">
        <w:rPr>
          <w:snapToGrid w:val="0"/>
          <w:color w:val="000000" w:themeColor="text1"/>
          <w:kern w:val="22"/>
          <w:szCs w:val="22"/>
        </w:rPr>
        <w:t xml:space="preserve">the indicators provided for Goal D and </w:t>
      </w:r>
      <w:r w:rsidR="005225A0">
        <w:rPr>
          <w:snapToGrid w:val="0"/>
          <w:color w:val="000000" w:themeColor="text1"/>
          <w:kern w:val="22"/>
          <w:szCs w:val="22"/>
        </w:rPr>
        <w:t xml:space="preserve">for </w:t>
      </w:r>
      <w:r w:rsidR="004A3453">
        <w:rPr>
          <w:snapToGrid w:val="0"/>
          <w:color w:val="000000" w:themeColor="text1"/>
          <w:kern w:val="22"/>
          <w:szCs w:val="22"/>
        </w:rPr>
        <w:t xml:space="preserve">Target 19 </w:t>
      </w:r>
      <w:r w:rsidR="007545DC">
        <w:rPr>
          <w:snapToGrid w:val="0"/>
          <w:color w:val="000000" w:themeColor="text1"/>
          <w:kern w:val="22"/>
          <w:szCs w:val="22"/>
        </w:rPr>
        <w:t>are identical</w:t>
      </w:r>
      <w:r w:rsidR="004A3453">
        <w:rPr>
          <w:snapToGrid w:val="0"/>
          <w:color w:val="000000" w:themeColor="text1"/>
          <w:kern w:val="22"/>
          <w:szCs w:val="22"/>
        </w:rPr>
        <w:t>.</w:t>
      </w:r>
    </w:p>
    <w:p w14:paraId="6C6C9BF3" w14:textId="22712CAF" w:rsidR="005B6727" w:rsidRPr="005B6727" w:rsidRDefault="00756C8F" w:rsidP="00663F78">
      <w:pPr>
        <w:pStyle w:val="Para10"/>
        <w:numPr>
          <w:ilvl w:val="0"/>
          <w:numId w:val="4"/>
        </w:numPr>
        <w:tabs>
          <w:tab w:val="clear" w:pos="927"/>
        </w:tabs>
        <w:rPr>
          <w:snapToGrid w:val="0"/>
          <w:color w:val="000000" w:themeColor="text1"/>
          <w:kern w:val="22"/>
          <w:szCs w:val="22"/>
          <w:lang w:val="en-US"/>
        </w:rPr>
      </w:pPr>
      <w:r w:rsidRPr="006418C0">
        <w:rPr>
          <w:i/>
          <w:iCs/>
          <w:snapToGrid w:val="0"/>
          <w:color w:val="000000" w:themeColor="text1"/>
          <w:kern w:val="22"/>
          <w:szCs w:val="22"/>
        </w:rPr>
        <w:t xml:space="preserve">Tasks. </w:t>
      </w:r>
      <w:r w:rsidR="009456B9">
        <w:rPr>
          <w:snapToGrid w:val="0"/>
          <w:color w:val="000000" w:themeColor="text1"/>
          <w:kern w:val="22"/>
          <w:szCs w:val="22"/>
        </w:rPr>
        <w:t xml:space="preserve">As per its terms of reference, the </w:t>
      </w:r>
      <w:r w:rsidR="00AB5EAE">
        <w:rPr>
          <w:snapToGrid w:val="0"/>
          <w:color w:val="000000" w:themeColor="text1"/>
          <w:kern w:val="22"/>
          <w:szCs w:val="22"/>
        </w:rPr>
        <w:t>G</w:t>
      </w:r>
      <w:r w:rsidR="009456B9">
        <w:rPr>
          <w:snapToGrid w:val="0"/>
          <w:color w:val="000000" w:themeColor="text1"/>
          <w:kern w:val="22"/>
          <w:szCs w:val="22"/>
        </w:rPr>
        <w:t xml:space="preserve">roup </w:t>
      </w:r>
      <w:r w:rsidR="005B6727">
        <w:rPr>
          <w:snapToGrid w:val="0"/>
          <w:color w:val="000000" w:themeColor="text1"/>
          <w:kern w:val="22"/>
          <w:szCs w:val="22"/>
        </w:rPr>
        <w:t>shall:</w:t>
      </w:r>
    </w:p>
    <w:p w14:paraId="20B9A2C4" w14:textId="3E88E03E" w:rsidR="009456B9" w:rsidRPr="009456B9" w:rsidRDefault="009456B9" w:rsidP="00C67A3D">
      <w:pPr>
        <w:pStyle w:val="Para10"/>
        <w:numPr>
          <w:ilvl w:val="1"/>
          <w:numId w:val="4"/>
        </w:numPr>
        <w:tabs>
          <w:tab w:val="clear" w:pos="1134"/>
          <w:tab w:val="clear" w:pos="2007"/>
          <w:tab w:val="num" w:pos="1701"/>
        </w:tabs>
        <w:ind w:firstLine="567"/>
        <w:rPr>
          <w:snapToGrid w:val="0"/>
          <w:color w:val="000000" w:themeColor="text1"/>
          <w:kern w:val="22"/>
          <w:szCs w:val="22"/>
          <w:lang w:val="en-US"/>
        </w:rPr>
      </w:pPr>
      <w:r w:rsidRPr="009456B9">
        <w:rPr>
          <w:snapToGrid w:val="0"/>
          <w:color w:val="000000" w:themeColor="text1"/>
          <w:kern w:val="22"/>
          <w:szCs w:val="22"/>
          <w:lang w:val="en-US"/>
        </w:rPr>
        <w:t>Identify detailed metadata and information</w:t>
      </w:r>
      <w:r w:rsidR="00EE5EB9">
        <w:rPr>
          <w:snapToGrid w:val="0"/>
          <w:color w:val="000000" w:themeColor="text1"/>
          <w:kern w:val="22"/>
          <w:szCs w:val="22"/>
          <w:lang w:val="en-US"/>
        </w:rPr>
        <w:t>, with a view to</w:t>
      </w:r>
      <w:r w:rsidRPr="009456B9">
        <w:rPr>
          <w:snapToGrid w:val="0"/>
          <w:color w:val="000000" w:themeColor="text1"/>
          <w:kern w:val="22"/>
          <w:szCs w:val="22"/>
          <w:lang w:val="en-US"/>
        </w:rPr>
        <w:t>:</w:t>
      </w:r>
    </w:p>
    <w:p w14:paraId="0CA6093B" w14:textId="240F73A8" w:rsidR="009456B9" w:rsidRPr="009456B9" w:rsidRDefault="009456B9" w:rsidP="008B1351">
      <w:pPr>
        <w:pStyle w:val="Para10"/>
        <w:numPr>
          <w:ilvl w:val="2"/>
          <w:numId w:val="4"/>
        </w:numPr>
        <w:tabs>
          <w:tab w:val="clear" w:pos="1134"/>
          <w:tab w:val="clear" w:pos="2007"/>
        </w:tabs>
        <w:ind w:left="2268" w:hanging="425"/>
        <w:rPr>
          <w:snapToGrid w:val="0"/>
          <w:color w:val="000000" w:themeColor="text1"/>
          <w:kern w:val="22"/>
          <w:szCs w:val="22"/>
          <w:lang w:val="en-US"/>
        </w:rPr>
      </w:pPr>
      <w:r w:rsidRPr="009456B9">
        <w:rPr>
          <w:snapToGrid w:val="0"/>
          <w:color w:val="000000" w:themeColor="text1"/>
          <w:kern w:val="22"/>
          <w:szCs w:val="22"/>
          <w:lang w:val="en-US"/>
        </w:rPr>
        <w:t xml:space="preserve">Filling gaps in indicators for goals and targets that </w:t>
      </w:r>
      <w:r w:rsidRPr="00C67A3D">
        <w:rPr>
          <w:snapToGrid w:val="0"/>
          <w:color w:val="000000" w:themeColor="text1"/>
          <w:kern w:val="22"/>
          <w:szCs w:val="22"/>
          <w:lang w:val="en-US"/>
        </w:rPr>
        <w:t>are relevant for resource mobilization</w:t>
      </w:r>
      <w:r w:rsidRPr="009456B9">
        <w:rPr>
          <w:snapToGrid w:val="0"/>
          <w:color w:val="000000" w:themeColor="text1"/>
          <w:kern w:val="22"/>
          <w:szCs w:val="22"/>
          <w:lang w:val="en-US"/>
        </w:rPr>
        <w:t xml:space="preserve">, in particular public expenditures and private </w:t>
      </w:r>
      <w:proofErr w:type="gramStart"/>
      <w:r w:rsidRPr="009456B9">
        <w:rPr>
          <w:snapToGrid w:val="0"/>
          <w:color w:val="000000" w:themeColor="text1"/>
          <w:kern w:val="22"/>
          <w:szCs w:val="22"/>
          <w:lang w:val="en-US"/>
        </w:rPr>
        <w:t>investments</w:t>
      </w:r>
      <w:r w:rsidR="00EE5EB9">
        <w:rPr>
          <w:snapToGrid w:val="0"/>
          <w:color w:val="000000" w:themeColor="text1"/>
          <w:kern w:val="22"/>
          <w:szCs w:val="22"/>
          <w:lang w:val="en-US"/>
        </w:rPr>
        <w:t>;</w:t>
      </w:r>
      <w:proofErr w:type="gramEnd"/>
    </w:p>
    <w:p w14:paraId="58BCDB1C" w14:textId="6ACC0645" w:rsidR="009456B9" w:rsidRDefault="00EE5EB9" w:rsidP="008B1351">
      <w:pPr>
        <w:pStyle w:val="Para10"/>
        <w:numPr>
          <w:ilvl w:val="2"/>
          <w:numId w:val="4"/>
        </w:numPr>
        <w:tabs>
          <w:tab w:val="clear" w:pos="1134"/>
          <w:tab w:val="clear" w:pos="2007"/>
        </w:tabs>
        <w:ind w:left="2268" w:hanging="425"/>
        <w:rPr>
          <w:snapToGrid w:val="0"/>
          <w:color w:val="000000" w:themeColor="text1"/>
          <w:kern w:val="22"/>
          <w:szCs w:val="22"/>
          <w:lang w:val="en-US"/>
        </w:rPr>
      </w:pPr>
      <w:r>
        <w:rPr>
          <w:snapToGrid w:val="0"/>
          <w:color w:val="000000" w:themeColor="text1"/>
          <w:kern w:val="22"/>
          <w:szCs w:val="22"/>
          <w:lang w:val="en-US"/>
        </w:rPr>
        <w:t>Identify</w:t>
      </w:r>
      <w:r w:rsidR="006418C0">
        <w:rPr>
          <w:snapToGrid w:val="0"/>
          <w:color w:val="000000" w:themeColor="text1"/>
          <w:kern w:val="22"/>
          <w:szCs w:val="22"/>
          <w:lang w:val="en-US"/>
        </w:rPr>
        <w:t>ing</w:t>
      </w:r>
      <w:r>
        <w:rPr>
          <w:snapToGrid w:val="0"/>
          <w:color w:val="000000" w:themeColor="text1"/>
          <w:kern w:val="22"/>
          <w:szCs w:val="22"/>
          <w:lang w:val="en-US"/>
        </w:rPr>
        <w:t xml:space="preserve"> </w:t>
      </w:r>
      <w:r w:rsidR="00105206">
        <w:rPr>
          <w:snapToGrid w:val="0"/>
          <w:color w:val="000000" w:themeColor="text1"/>
          <w:kern w:val="22"/>
          <w:szCs w:val="22"/>
          <w:lang w:val="en-US"/>
        </w:rPr>
        <w:t>c</w:t>
      </w:r>
      <w:r w:rsidR="009456B9" w:rsidRPr="009456B9">
        <w:rPr>
          <w:snapToGrid w:val="0"/>
          <w:color w:val="000000" w:themeColor="text1"/>
          <w:kern w:val="22"/>
          <w:szCs w:val="22"/>
          <w:lang w:val="en-US"/>
        </w:rPr>
        <w:t>apacity</w:t>
      </w:r>
      <w:r w:rsidR="003A1A4B">
        <w:rPr>
          <w:snapToGrid w:val="0"/>
          <w:color w:val="000000" w:themeColor="text1"/>
          <w:kern w:val="22"/>
          <w:szCs w:val="22"/>
          <w:lang w:val="en-US"/>
        </w:rPr>
        <w:t>-</w:t>
      </w:r>
      <w:r w:rsidR="009456B9" w:rsidRPr="009456B9">
        <w:rPr>
          <w:snapToGrid w:val="0"/>
          <w:color w:val="000000" w:themeColor="text1"/>
          <w:kern w:val="22"/>
          <w:szCs w:val="22"/>
          <w:lang w:val="en-US"/>
        </w:rPr>
        <w:t>building needs for monitoring</w:t>
      </w:r>
      <w:r>
        <w:rPr>
          <w:snapToGrid w:val="0"/>
          <w:color w:val="000000" w:themeColor="text1"/>
          <w:kern w:val="22"/>
          <w:szCs w:val="22"/>
          <w:lang w:val="en-US"/>
        </w:rPr>
        <w:t>.</w:t>
      </w:r>
    </w:p>
    <w:p w14:paraId="7988A66E" w14:textId="460C50F6" w:rsidR="009456B9" w:rsidRPr="009456B9" w:rsidRDefault="009456B9" w:rsidP="00C67A3D">
      <w:pPr>
        <w:pStyle w:val="Para10"/>
        <w:numPr>
          <w:ilvl w:val="1"/>
          <w:numId w:val="4"/>
        </w:numPr>
        <w:tabs>
          <w:tab w:val="clear" w:pos="1134"/>
          <w:tab w:val="clear" w:pos="2007"/>
          <w:tab w:val="num" w:pos="1701"/>
        </w:tabs>
        <w:ind w:firstLine="567"/>
        <w:rPr>
          <w:snapToGrid w:val="0"/>
          <w:color w:val="000000" w:themeColor="text1"/>
          <w:kern w:val="22"/>
          <w:szCs w:val="22"/>
          <w:lang w:val="en-US"/>
        </w:rPr>
      </w:pPr>
      <w:r w:rsidRPr="009456B9">
        <w:rPr>
          <w:snapToGrid w:val="0"/>
          <w:color w:val="000000" w:themeColor="text1"/>
          <w:kern w:val="22"/>
          <w:szCs w:val="22"/>
          <w:lang w:val="en-US"/>
        </w:rPr>
        <w:t>Provide technical advice and guidance on monitoring resource mobilization</w:t>
      </w:r>
      <w:r w:rsidR="00EF5757">
        <w:rPr>
          <w:snapToGrid w:val="0"/>
          <w:color w:val="000000" w:themeColor="text1"/>
          <w:kern w:val="22"/>
          <w:szCs w:val="22"/>
          <w:lang w:val="en-US"/>
        </w:rPr>
        <w:t xml:space="preserve">, </w:t>
      </w:r>
      <w:proofErr w:type="gramStart"/>
      <w:r w:rsidR="00105206">
        <w:rPr>
          <w:snapToGrid w:val="0"/>
          <w:color w:val="000000" w:themeColor="text1"/>
          <w:kern w:val="22"/>
          <w:szCs w:val="22"/>
          <w:lang w:val="en-US"/>
        </w:rPr>
        <w:t>with regard to</w:t>
      </w:r>
      <w:proofErr w:type="gramEnd"/>
      <w:r w:rsidR="00105206">
        <w:rPr>
          <w:snapToGrid w:val="0"/>
          <w:color w:val="000000" w:themeColor="text1"/>
          <w:kern w:val="22"/>
          <w:szCs w:val="22"/>
          <w:lang w:val="en-US"/>
        </w:rPr>
        <w:t>:</w:t>
      </w:r>
    </w:p>
    <w:p w14:paraId="0A65B988" w14:textId="45DA472B" w:rsidR="009456B9" w:rsidRPr="009456B9" w:rsidRDefault="00105206" w:rsidP="00C67A3D">
      <w:pPr>
        <w:pStyle w:val="Para10"/>
        <w:numPr>
          <w:ilvl w:val="2"/>
          <w:numId w:val="4"/>
        </w:numPr>
        <w:tabs>
          <w:tab w:val="clear" w:pos="1134"/>
          <w:tab w:val="clear" w:pos="2007"/>
        </w:tabs>
        <w:ind w:left="2268" w:hanging="425"/>
        <w:rPr>
          <w:snapToGrid w:val="0"/>
          <w:color w:val="000000" w:themeColor="text1"/>
          <w:kern w:val="22"/>
          <w:szCs w:val="22"/>
          <w:lang w:val="en-US"/>
        </w:rPr>
      </w:pPr>
      <w:r>
        <w:rPr>
          <w:snapToGrid w:val="0"/>
          <w:color w:val="000000" w:themeColor="text1"/>
          <w:kern w:val="22"/>
          <w:szCs w:val="22"/>
          <w:lang w:val="en-US"/>
        </w:rPr>
        <w:t>The i</w:t>
      </w:r>
      <w:r w:rsidR="009456B9" w:rsidRPr="009456B9">
        <w:rPr>
          <w:snapToGrid w:val="0"/>
          <w:color w:val="000000" w:themeColor="text1"/>
          <w:kern w:val="22"/>
          <w:szCs w:val="22"/>
          <w:lang w:val="en-US"/>
        </w:rPr>
        <w:t xml:space="preserve">mplementation of </w:t>
      </w:r>
      <w:proofErr w:type="gramStart"/>
      <w:r w:rsidR="009456B9" w:rsidRPr="009456B9">
        <w:rPr>
          <w:snapToGrid w:val="0"/>
          <w:color w:val="000000" w:themeColor="text1"/>
          <w:kern w:val="22"/>
          <w:szCs w:val="22"/>
          <w:lang w:val="en-US"/>
        </w:rPr>
        <w:t>indicators</w:t>
      </w:r>
      <w:r w:rsidR="00485795">
        <w:rPr>
          <w:snapToGrid w:val="0"/>
          <w:color w:val="000000" w:themeColor="text1"/>
          <w:kern w:val="22"/>
          <w:szCs w:val="22"/>
          <w:lang w:val="en-US"/>
        </w:rPr>
        <w:t>;</w:t>
      </w:r>
      <w:proofErr w:type="gramEnd"/>
    </w:p>
    <w:p w14:paraId="7B8B5BB6" w14:textId="61E91423" w:rsidR="009456B9" w:rsidRPr="009456B9" w:rsidRDefault="009456B9" w:rsidP="00C67A3D">
      <w:pPr>
        <w:pStyle w:val="Para10"/>
        <w:numPr>
          <w:ilvl w:val="2"/>
          <w:numId w:val="4"/>
        </w:numPr>
        <w:tabs>
          <w:tab w:val="clear" w:pos="1134"/>
          <w:tab w:val="clear" w:pos="2007"/>
        </w:tabs>
        <w:ind w:left="2268" w:hanging="425"/>
        <w:rPr>
          <w:snapToGrid w:val="0"/>
          <w:color w:val="000000" w:themeColor="text1"/>
          <w:kern w:val="22"/>
          <w:szCs w:val="22"/>
          <w:lang w:val="en-US"/>
        </w:rPr>
      </w:pPr>
      <w:r w:rsidRPr="009456B9">
        <w:rPr>
          <w:snapToGrid w:val="0"/>
          <w:color w:val="000000" w:themeColor="text1"/>
          <w:kern w:val="22"/>
          <w:szCs w:val="22"/>
          <w:lang w:val="en-US"/>
        </w:rPr>
        <w:t xml:space="preserve">Harmonized and agreed indicator </w:t>
      </w:r>
      <w:proofErr w:type="gramStart"/>
      <w:r w:rsidRPr="009456B9">
        <w:rPr>
          <w:snapToGrid w:val="0"/>
          <w:color w:val="000000" w:themeColor="text1"/>
          <w:kern w:val="22"/>
          <w:szCs w:val="22"/>
          <w:lang w:val="en-US"/>
        </w:rPr>
        <w:t>definitions</w:t>
      </w:r>
      <w:r w:rsidR="00485795">
        <w:rPr>
          <w:snapToGrid w:val="0"/>
          <w:color w:val="000000" w:themeColor="text1"/>
          <w:kern w:val="22"/>
          <w:szCs w:val="22"/>
          <w:lang w:val="en-US"/>
        </w:rPr>
        <w:t>;</w:t>
      </w:r>
      <w:proofErr w:type="gramEnd"/>
    </w:p>
    <w:p w14:paraId="2C4A55FF" w14:textId="45B6628C" w:rsidR="009456B9" w:rsidRPr="009456B9" w:rsidRDefault="009456B9" w:rsidP="00C67A3D">
      <w:pPr>
        <w:pStyle w:val="Para10"/>
        <w:numPr>
          <w:ilvl w:val="2"/>
          <w:numId w:val="4"/>
        </w:numPr>
        <w:tabs>
          <w:tab w:val="clear" w:pos="1134"/>
          <w:tab w:val="clear" w:pos="2007"/>
        </w:tabs>
        <w:ind w:left="2268" w:hanging="425"/>
        <w:rPr>
          <w:snapToGrid w:val="0"/>
          <w:color w:val="000000" w:themeColor="text1"/>
          <w:kern w:val="22"/>
          <w:szCs w:val="22"/>
          <w:lang w:val="en-US"/>
        </w:rPr>
      </w:pPr>
      <w:r w:rsidRPr="009456B9">
        <w:rPr>
          <w:snapToGrid w:val="0"/>
          <w:color w:val="000000" w:themeColor="text1"/>
          <w:kern w:val="22"/>
          <w:szCs w:val="22"/>
          <w:lang w:val="en-US"/>
        </w:rPr>
        <w:t xml:space="preserve">Best practices for monitoring and national data </w:t>
      </w:r>
      <w:proofErr w:type="gramStart"/>
      <w:r w:rsidRPr="009456B9">
        <w:rPr>
          <w:snapToGrid w:val="0"/>
          <w:color w:val="000000" w:themeColor="text1"/>
          <w:kern w:val="22"/>
          <w:szCs w:val="22"/>
          <w:lang w:val="en-US"/>
        </w:rPr>
        <w:t>sharing</w:t>
      </w:r>
      <w:r w:rsidR="00485795">
        <w:rPr>
          <w:snapToGrid w:val="0"/>
          <w:color w:val="000000" w:themeColor="text1"/>
          <w:kern w:val="22"/>
          <w:szCs w:val="22"/>
          <w:lang w:val="en-US"/>
        </w:rPr>
        <w:t>;</w:t>
      </w:r>
      <w:proofErr w:type="gramEnd"/>
    </w:p>
    <w:p w14:paraId="3AD1DB4C" w14:textId="00EF7AEA" w:rsidR="009456B9" w:rsidRPr="009456B9" w:rsidRDefault="009456B9" w:rsidP="00C67A3D">
      <w:pPr>
        <w:pStyle w:val="Para10"/>
        <w:numPr>
          <w:ilvl w:val="2"/>
          <w:numId w:val="4"/>
        </w:numPr>
        <w:tabs>
          <w:tab w:val="clear" w:pos="1134"/>
          <w:tab w:val="clear" w:pos="2007"/>
        </w:tabs>
        <w:ind w:left="2268" w:hanging="425"/>
        <w:rPr>
          <w:snapToGrid w:val="0"/>
          <w:color w:val="000000" w:themeColor="text1"/>
          <w:kern w:val="22"/>
          <w:szCs w:val="22"/>
          <w:lang w:val="en-US"/>
        </w:rPr>
      </w:pPr>
      <w:r w:rsidRPr="009456B9">
        <w:rPr>
          <w:snapToGrid w:val="0"/>
          <w:color w:val="000000" w:themeColor="text1"/>
          <w:kern w:val="22"/>
          <w:szCs w:val="22"/>
          <w:lang w:val="en-US"/>
        </w:rPr>
        <w:t xml:space="preserve">Improvement of or addition of new, indicators to the monitoring </w:t>
      </w:r>
      <w:proofErr w:type="gramStart"/>
      <w:r w:rsidRPr="009456B9">
        <w:rPr>
          <w:snapToGrid w:val="0"/>
          <w:color w:val="000000" w:themeColor="text1"/>
          <w:kern w:val="22"/>
          <w:szCs w:val="22"/>
          <w:lang w:val="en-US"/>
        </w:rPr>
        <w:t>framework</w:t>
      </w:r>
      <w:r w:rsidR="00485795">
        <w:rPr>
          <w:snapToGrid w:val="0"/>
          <w:color w:val="000000" w:themeColor="text1"/>
          <w:kern w:val="22"/>
          <w:szCs w:val="22"/>
          <w:lang w:val="en-US"/>
        </w:rPr>
        <w:t>;</w:t>
      </w:r>
      <w:proofErr w:type="gramEnd"/>
    </w:p>
    <w:p w14:paraId="1FD6CD46" w14:textId="54C665C3" w:rsidR="009456B9" w:rsidRPr="009456B9" w:rsidRDefault="000D2A66" w:rsidP="00C67A3D">
      <w:pPr>
        <w:pStyle w:val="Para10"/>
        <w:numPr>
          <w:ilvl w:val="1"/>
          <w:numId w:val="4"/>
        </w:numPr>
        <w:tabs>
          <w:tab w:val="clear" w:pos="1134"/>
          <w:tab w:val="clear" w:pos="2007"/>
          <w:tab w:val="num" w:pos="1701"/>
        </w:tabs>
        <w:ind w:firstLine="567"/>
        <w:rPr>
          <w:snapToGrid w:val="0"/>
          <w:color w:val="000000" w:themeColor="text1"/>
          <w:kern w:val="22"/>
          <w:szCs w:val="22"/>
          <w:lang w:val="en-US"/>
        </w:rPr>
      </w:pPr>
      <w:r>
        <w:rPr>
          <w:snapToGrid w:val="0"/>
          <w:color w:val="000000" w:themeColor="text1"/>
          <w:kern w:val="22"/>
          <w:szCs w:val="22"/>
          <w:lang w:val="en-US"/>
        </w:rPr>
        <w:t>Recommend a</w:t>
      </w:r>
      <w:r w:rsidR="00D9012F">
        <w:rPr>
          <w:snapToGrid w:val="0"/>
          <w:color w:val="000000" w:themeColor="text1"/>
          <w:kern w:val="22"/>
          <w:szCs w:val="22"/>
          <w:lang w:val="en-US"/>
        </w:rPr>
        <w:t xml:space="preserve"> s</w:t>
      </w:r>
      <w:r w:rsidR="009456B9" w:rsidRPr="009456B9">
        <w:rPr>
          <w:snapToGrid w:val="0"/>
          <w:color w:val="000000" w:themeColor="text1"/>
          <w:kern w:val="22"/>
          <w:szCs w:val="22"/>
          <w:lang w:val="en-US"/>
        </w:rPr>
        <w:t xml:space="preserve">imple standardized national reporting template, or use of an existing reporting </w:t>
      </w:r>
      <w:proofErr w:type="gramStart"/>
      <w:r w:rsidR="009456B9" w:rsidRPr="009456B9">
        <w:rPr>
          <w:snapToGrid w:val="0"/>
          <w:color w:val="000000" w:themeColor="text1"/>
          <w:kern w:val="22"/>
          <w:szCs w:val="22"/>
          <w:lang w:val="en-US"/>
        </w:rPr>
        <w:t>system</w:t>
      </w:r>
      <w:r>
        <w:rPr>
          <w:snapToGrid w:val="0"/>
          <w:color w:val="000000" w:themeColor="text1"/>
          <w:kern w:val="22"/>
          <w:szCs w:val="22"/>
          <w:lang w:val="en-US"/>
        </w:rPr>
        <w:t>;</w:t>
      </w:r>
      <w:proofErr w:type="gramEnd"/>
    </w:p>
    <w:p w14:paraId="0E8DC808" w14:textId="3F8426B1" w:rsidR="009456B9" w:rsidRPr="009456B9" w:rsidRDefault="00195977" w:rsidP="00C67A3D">
      <w:pPr>
        <w:pStyle w:val="Para10"/>
        <w:numPr>
          <w:ilvl w:val="1"/>
          <w:numId w:val="4"/>
        </w:numPr>
        <w:tabs>
          <w:tab w:val="clear" w:pos="1134"/>
          <w:tab w:val="clear" w:pos="2007"/>
          <w:tab w:val="num" w:pos="1701"/>
        </w:tabs>
        <w:ind w:firstLine="567"/>
        <w:rPr>
          <w:snapToGrid w:val="0"/>
          <w:color w:val="000000" w:themeColor="text1"/>
          <w:kern w:val="22"/>
          <w:szCs w:val="22"/>
          <w:lang w:val="en-US"/>
        </w:rPr>
      </w:pPr>
      <w:r>
        <w:rPr>
          <w:snapToGrid w:val="0"/>
          <w:color w:val="000000" w:themeColor="text1"/>
          <w:kern w:val="22"/>
          <w:szCs w:val="22"/>
          <w:lang w:val="en-US"/>
        </w:rPr>
        <w:t>Provide guidance on w</w:t>
      </w:r>
      <w:r w:rsidR="009456B9" w:rsidRPr="009456B9">
        <w:rPr>
          <w:snapToGrid w:val="0"/>
          <w:color w:val="000000" w:themeColor="text1"/>
          <w:kern w:val="22"/>
          <w:szCs w:val="22"/>
          <w:lang w:val="en-US"/>
        </w:rPr>
        <w:t>ays to fill data gaps in an efficient manner, recognizing</w:t>
      </w:r>
      <w:r>
        <w:rPr>
          <w:snapToGrid w:val="0"/>
          <w:color w:val="000000" w:themeColor="text1"/>
          <w:kern w:val="22"/>
          <w:szCs w:val="22"/>
          <w:lang w:val="en-US"/>
        </w:rPr>
        <w:t xml:space="preserve"> the</w:t>
      </w:r>
      <w:r w:rsidR="009456B9" w:rsidRPr="009456B9">
        <w:rPr>
          <w:snapToGrid w:val="0"/>
          <w:color w:val="000000" w:themeColor="text1"/>
          <w:kern w:val="22"/>
          <w:szCs w:val="22"/>
          <w:lang w:val="en-US"/>
        </w:rPr>
        <w:t xml:space="preserve"> challenges of developing </w:t>
      </w:r>
      <w:proofErr w:type="gramStart"/>
      <w:r w:rsidR="009456B9" w:rsidRPr="009456B9">
        <w:rPr>
          <w:snapToGrid w:val="0"/>
          <w:color w:val="000000" w:themeColor="text1"/>
          <w:kern w:val="22"/>
          <w:szCs w:val="22"/>
          <w:lang w:val="en-US"/>
        </w:rPr>
        <w:t>countries</w:t>
      </w:r>
      <w:r>
        <w:rPr>
          <w:snapToGrid w:val="0"/>
          <w:color w:val="000000" w:themeColor="text1"/>
          <w:kern w:val="22"/>
          <w:szCs w:val="22"/>
          <w:lang w:val="en-US"/>
        </w:rPr>
        <w:t>;</w:t>
      </w:r>
      <w:proofErr w:type="gramEnd"/>
    </w:p>
    <w:p w14:paraId="703F86F6" w14:textId="2B531D52" w:rsidR="009456B9" w:rsidRPr="009456B9" w:rsidRDefault="00825788" w:rsidP="00C67A3D">
      <w:pPr>
        <w:pStyle w:val="Para10"/>
        <w:numPr>
          <w:ilvl w:val="1"/>
          <w:numId w:val="4"/>
        </w:numPr>
        <w:tabs>
          <w:tab w:val="clear" w:pos="1134"/>
          <w:tab w:val="clear" w:pos="2007"/>
          <w:tab w:val="num" w:pos="1701"/>
        </w:tabs>
        <w:ind w:firstLine="567"/>
        <w:rPr>
          <w:snapToGrid w:val="0"/>
          <w:color w:val="000000" w:themeColor="text1"/>
          <w:kern w:val="22"/>
          <w:szCs w:val="22"/>
          <w:lang w:val="en-US"/>
        </w:rPr>
      </w:pPr>
      <w:r>
        <w:rPr>
          <w:snapToGrid w:val="0"/>
          <w:color w:val="000000" w:themeColor="text1"/>
          <w:kern w:val="22"/>
          <w:szCs w:val="22"/>
          <w:lang w:val="en-US"/>
        </w:rPr>
        <w:t>Advise on e</w:t>
      </w:r>
      <w:r w:rsidR="009456B9" w:rsidRPr="009456B9">
        <w:rPr>
          <w:snapToGrid w:val="0"/>
          <w:color w:val="000000" w:themeColor="text1"/>
          <w:kern w:val="22"/>
          <w:szCs w:val="22"/>
          <w:lang w:val="en-US"/>
        </w:rPr>
        <w:t>xisting capacity, gaps, and needs</w:t>
      </w:r>
      <w:r w:rsidRPr="00825788">
        <w:rPr>
          <w:snapToGrid w:val="0"/>
          <w:kern w:val="22"/>
          <w:szCs w:val="22"/>
        </w:rPr>
        <w:t xml:space="preserve"> </w:t>
      </w:r>
      <w:r>
        <w:rPr>
          <w:snapToGrid w:val="0"/>
          <w:kern w:val="22"/>
          <w:szCs w:val="22"/>
        </w:rPr>
        <w:t>in terms of capacity development, technology transfer and financing needs.</w:t>
      </w:r>
    </w:p>
    <w:p w14:paraId="50298413" w14:textId="301976F5" w:rsidR="009456B9" w:rsidRPr="009456B9" w:rsidRDefault="00D9012F" w:rsidP="00663F78">
      <w:pPr>
        <w:pStyle w:val="Para10"/>
        <w:numPr>
          <w:ilvl w:val="0"/>
          <w:numId w:val="4"/>
        </w:numPr>
        <w:tabs>
          <w:tab w:val="clear" w:pos="927"/>
        </w:tabs>
        <w:rPr>
          <w:snapToGrid w:val="0"/>
          <w:color w:val="000000" w:themeColor="text1"/>
          <w:kern w:val="22"/>
          <w:szCs w:val="22"/>
          <w:lang w:val="en-US"/>
        </w:rPr>
      </w:pPr>
      <w:r>
        <w:rPr>
          <w:snapToGrid w:val="0"/>
          <w:color w:val="000000" w:themeColor="text1"/>
          <w:kern w:val="22"/>
          <w:szCs w:val="22"/>
          <w:lang w:val="en-US"/>
        </w:rPr>
        <w:t xml:space="preserve">In undertaking this work, the </w:t>
      </w:r>
      <w:r w:rsidR="00AB5EAE">
        <w:rPr>
          <w:snapToGrid w:val="0"/>
          <w:color w:val="000000" w:themeColor="text1"/>
          <w:kern w:val="22"/>
          <w:szCs w:val="22"/>
          <w:lang w:val="en-US"/>
        </w:rPr>
        <w:t>G</w:t>
      </w:r>
      <w:r>
        <w:rPr>
          <w:snapToGrid w:val="0"/>
          <w:color w:val="000000" w:themeColor="text1"/>
          <w:kern w:val="22"/>
          <w:szCs w:val="22"/>
          <w:lang w:val="en-US"/>
        </w:rPr>
        <w:t xml:space="preserve">roup shall </w:t>
      </w:r>
      <w:proofErr w:type="gramStart"/>
      <w:r>
        <w:rPr>
          <w:snapToGrid w:val="0"/>
          <w:color w:val="000000" w:themeColor="text1"/>
          <w:kern w:val="22"/>
          <w:szCs w:val="22"/>
          <w:lang w:val="en-US"/>
        </w:rPr>
        <w:t xml:space="preserve">take </w:t>
      </w:r>
      <w:r w:rsidR="009456B9" w:rsidRPr="009456B9">
        <w:rPr>
          <w:snapToGrid w:val="0"/>
          <w:color w:val="000000" w:themeColor="text1"/>
          <w:kern w:val="22"/>
          <w:szCs w:val="22"/>
          <w:lang w:val="en-US"/>
        </w:rPr>
        <w:t>into account</w:t>
      </w:r>
      <w:proofErr w:type="gramEnd"/>
      <w:r w:rsidR="009456B9" w:rsidRPr="009456B9">
        <w:rPr>
          <w:snapToGrid w:val="0"/>
          <w:color w:val="000000" w:themeColor="text1"/>
          <w:kern w:val="22"/>
          <w:szCs w:val="22"/>
          <w:lang w:val="en-US"/>
        </w:rPr>
        <w:t>:</w:t>
      </w:r>
    </w:p>
    <w:p w14:paraId="63BCBEB7" w14:textId="260AF45A" w:rsidR="009456B9" w:rsidRPr="009661A0" w:rsidRDefault="009456B9" w:rsidP="00C67A3D">
      <w:pPr>
        <w:pStyle w:val="Para10"/>
        <w:numPr>
          <w:ilvl w:val="1"/>
          <w:numId w:val="4"/>
        </w:numPr>
        <w:tabs>
          <w:tab w:val="clear" w:pos="2007"/>
          <w:tab w:val="num" w:pos="1701"/>
        </w:tabs>
        <w:ind w:firstLine="567"/>
        <w:rPr>
          <w:snapToGrid w:val="0"/>
          <w:color w:val="000000" w:themeColor="text1"/>
          <w:kern w:val="22"/>
          <w:szCs w:val="22"/>
          <w:lang w:val="en-US"/>
        </w:rPr>
      </w:pPr>
      <w:r w:rsidRPr="009456B9">
        <w:rPr>
          <w:snapToGrid w:val="0"/>
          <w:color w:val="000000" w:themeColor="text1"/>
          <w:kern w:val="22"/>
          <w:szCs w:val="22"/>
          <w:lang w:val="en-US"/>
        </w:rPr>
        <w:t>Existing work and experience under the Convention</w:t>
      </w:r>
      <w:r w:rsidR="00147B02">
        <w:rPr>
          <w:snapToGrid w:val="0"/>
          <w:color w:val="000000" w:themeColor="text1"/>
          <w:kern w:val="22"/>
          <w:szCs w:val="22"/>
          <w:lang w:val="en-US"/>
        </w:rPr>
        <w:t xml:space="preserve"> </w:t>
      </w:r>
      <w:r w:rsidR="00147B02">
        <w:rPr>
          <w:snapToGrid w:val="0"/>
          <w:kern w:val="22"/>
          <w:szCs w:val="22"/>
        </w:rPr>
        <w:t xml:space="preserve">on financial reporting, including the work of the panel of experts, and other relevant programmes of work concerning indicators and </w:t>
      </w:r>
      <w:proofErr w:type="gramStart"/>
      <w:r w:rsidR="00147B02">
        <w:rPr>
          <w:snapToGrid w:val="0"/>
          <w:kern w:val="22"/>
          <w:szCs w:val="22"/>
        </w:rPr>
        <w:t>monitoring;</w:t>
      </w:r>
      <w:proofErr w:type="gramEnd"/>
    </w:p>
    <w:p w14:paraId="11EB5D80" w14:textId="77777777" w:rsidR="009661A0" w:rsidRPr="009661A0" w:rsidRDefault="009661A0" w:rsidP="00C67A3D">
      <w:pPr>
        <w:pStyle w:val="Para10"/>
        <w:numPr>
          <w:ilvl w:val="1"/>
          <w:numId w:val="4"/>
        </w:numPr>
        <w:tabs>
          <w:tab w:val="clear" w:pos="2007"/>
          <w:tab w:val="num" w:pos="1701"/>
        </w:tabs>
        <w:ind w:firstLine="567"/>
        <w:rPr>
          <w:snapToGrid w:val="0"/>
          <w:color w:val="000000" w:themeColor="text1"/>
          <w:kern w:val="22"/>
          <w:szCs w:val="22"/>
          <w:lang w:val="en-US"/>
        </w:rPr>
      </w:pPr>
      <w:r w:rsidRPr="009661A0">
        <w:rPr>
          <w:snapToGrid w:val="0"/>
          <w:kern w:val="22"/>
          <w:szCs w:val="22"/>
        </w:rPr>
        <w:t xml:space="preserve">National finance plans or similar </w:t>
      </w:r>
      <w:proofErr w:type="gramStart"/>
      <w:r w:rsidRPr="009661A0">
        <w:rPr>
          <w:snapToGrid w:val="0"/>
          <w:kern w:val="22"/>
          <w:szCs w:val="22"/>
        </w:rPr>
        <w:t>instruments;</w:t>
      </w:r>
      <w:proofErr w:type="gramEnd"/>
    </w:p>
    <w:p w14:paraId="0BA34A3B" w14:textId="42EE9384" w:rsidR="00454C59" w:rsidRPr="00DE6DAB" w:rsidRDefault="00454C59" w:rsidP="00C67A3D">
      <w:pPr>
        <w:pStyle w:val="Para10"/>
        <w:numPr>
          <w:ilvl w:val="1"/>
          <w:numId w:val="4"/>
        </w:numPr>
        <w:tabs>
          <w:tab w:val="clear" w:pos="2007"/>
          <w:tab w:val="num" w:pos="1701"/>
        </w:tabs>
        <w:ind w:firstLine="567"/>
        <w:rPr>
          <w:snapToGrid w:val="0"/>
          <w:color w:val="000000" w:themeColor="text1"/>
          <w:kern w:val="22"/>
          <w:szCs w:val="22"/>
          <w:lang w:val="en-US"/>
        </w:rPr>
      </w:pPr>
      <w:r w:rsidRPr="00454C59">
        <w:rPr>
          <w:snapToGrid w:val="0"/>
          <w:color w:val="000000" w:themeColor="text1"/>
          <w:kern w:val="22"/>
          <w:szCs w:val="22"/>
        </w:rPr>
        <w:t>Statistical standards and development</w:t>
      </w:r>
      <w:r>
        <w:rPr>
          <w:snapToGrid w:val="0"/>
          <w:color w:val="000000" w:themeColor="text1"/>
          <w:kern w:val="22"/>
          <w:szCs w:val="22"/>
        </w:rPr>
        <w:t>s</w:t>
      </w:r>
      <w:r w:rsidRPr="00454C59">
        <w:rPr>
          <w:snapToGrid w:val="0"/>
          <w:color w:val="000000" w:themeColor="text1"/>
          <w:kern w:val="22"/>
          <w:szCs w:val="22"/>
        </w:rPr>
        <w:t xml:space="preserve"> of the Statistical Commission</w:t>
      </w:r>
      <w:r>
        <w:rPr>
          <w:snapToGrid w:val="0"/>
          <w:color w:val="000000" w:themeColor="text1"/>
          <w:kern w:val="22"/>
          <w:szCs w:val="22"/>
        </w:rPr>
        <w:t>,</w:t>
      </w:r>
      <w:r w:rsidR="006A1EB7">
        <w:rPr>
          <w:snapToGrid w:val="0"/>
          <w:color w:val="000000" w:themeColor="text1"/>
          <w:kern w:val="22"/>
          <w:szCs w:val="22"/>
        </w:rPr>
        <w:t xml:space="preserve"> including</w:t>
      </w:r>
      <w:r w:rsidR="00A166DD" w:rsidRPr="00A166DD">
        <w:rPr>
          <w:snapToGrid w:val="0"/>
          <w:kern w:val="22"/>
          <w:szCs w:val="22"/>
        </w:rPr>
        <w:t xml:space="preserve"> </w:t>
      </w:r>
      <w:r w:rsidR="00A166DD">
        <w:rPr>
          <w:snapToGrid w:val="0"/>
          <w:kern w:val="22"/>
          <w:szCs w:val="22"/>
        </w:rPr>
        <w:t xml:space="preserve">the Framework for the Development of Environment Statistics and the System of Environmental-Economic </w:t>
      </w:r>
      <w:proofErr w:type="gramStart"/>
      <w:r w:rsidR="00A166DD">
        <w:rPr>
          <w:snapToGrid w:val="0"/>
          <w:kern w:val="22"/>
          <w:szCs w:val="22"/>
        </w:rPr>
        <w:t>Accounting</w:t>
      </w:r>
      <w:r w:rsidRPr="00454C59">
        <w:rPr>
          <w:snapToGrid w:val="0"/>
          <w:color w:val="000000" w:themeColor="text1"/>
          <w:kern w:val="22"/>
          <w:szCs w:val="22"/>
        </w:rPr>
        <w:t>;</w:t>
      </w:r>
      <w:proofErr w:type="gramEnd"/>
    </w:p>
    <w:p w14:paraId="44B9E229" w14:textId="77777777" w:rsidR="006371FA" w:rsidRDefault="006371FA" w:rsidP="00C67A3D">
      <w:pPr>
        <w:numPr>
          <w:ilvl w:val="1"/>
          <w:numId w:val="4"/>
        </w:numPr>
        <w:suppressLineNumbers/>
        <w:tabs>
          <w:tab w:val="clear" w:pos="2007"/>
          <w:tab w:val="num" w:pos="1701"/>
        </w:tabs>
        <w:suppressAutoHyphens/>
        <w:kinsoku w:val="0"/>
        <w:overflowPunct w:val="0"/>
        <w:autoSpaceDE w:val="0"/>
        <w:autoSpaceDN w:val="0"/>
        <w:adjustRightInd w:val="0"/>
        <w:snapToGrid w:val="0"/>
        <w:spacing w:before="120" w:after="120"/>
        <w:ind w:firstLine="567"/>
        <w:rPr>
          <w:snapToGrid w:val="0"/>
          <w:kern w:val="22"/>
          <w:szCs w:val="22"/>
        </w:rPr>
      </w:pPr>
      <w:r>
        <w:rPr>
          <w:snapToGrid w:val="0"/>
          <w:color w:val="000000" w:themeColor="text1"/>
          <w:kern w:val="22"/>
          <w:szCs w:val="22"/>
        </w:rPr>
        <w:t xml:space="preserve">Reporting against the Sustainable Development </w:t>
      </w:r>
      <w:proofErr w:type="gramStart"/>
      <w:r>
        <w:rPr>
          <w:snapToGrid w:val="0"/>
          <w:color w:val="000000" w:themeColor="text1"/>
          <w:kern w:val="22"/>
          <w:szCs w:val="22"/>
        </w:rPr>
        <w:t>Goals;</w:t>
      </w:r>
      <w:proofErr w:type="gramEnd"/>
    </w:p>
    <w:p w14:paraId="0C652046" w14:textId="6C401C9D" w:rsidR="00E46378" w:rsidRPr="008344A1" w:rsidRDefault="006371FA" w:rsidP="008344A1">
      <w:pPr>
        <w:numPr>
          <w:ilvl w:val="1"/>
          <w:numId w:val="4"/>
        </w:numPr>
        <w:suppressLineNumbers/>
        <w:tabs>
          <w:tab w:val="clear" w:pos="2007"/>
          <w:tab w:val="num" w:pos="1701"/>
        </w:tabs>
        <w:suppressAutoHyphens/>
        <w:kinsoku w:val="0"/>
        <w:overflowPunct w:val="0"/>
        <w:autoSpaceDE w:val="0"/>
        <w:autoSpaceDN w:val="0"/>
        <w:adjustRightInd w:val="0"/>
        <w:snapToGrid w:val="0"/>
        <w:spacing w:before="120" w:after="120"/>
        <w:ind w:firstLine="567"/>
        <w:rPr>
          <w:snapToGrid w:val="0"/>
          <w:kern w:val="22"/>
          <w:szCs w:val="22"/>
        </w:rPr>
      </w:pPr>
      <w:r>
        <w:rPr>
          <w:snapToGrid w:val="0"/>
          <w:color w:val="000000" w:themeColor="text1"/>
          <w:kern w:val="22"/>
          <w:szCs w:val="22"/>
        </w:rPr>
        <w:t xml:space="preserve">Previous work and experience with other relevant global, </w:t>
      </w:r>
      <w:proofErr w:type="gramStart"/>
      <w:r>
        <w:rPr>
          <w:snapToGrid w:val="0"/>
          <w:color w:val="000000" w:themeColor="text1"/>
          <w:kern w:val="22"/>
          <w:szCs w:val="22"/>
        </w:rPr>
        <w:t>regional</w:t>
      </w:r>
      <w:proofErr w:type="gramEnd"/>
      <w:r>
        <w:rPr>
          <w:snapToGrid w:val="0"/>
          <w:color w:val="000000" w:themeColor="text1"/>
          <w:kern w:val="22"/>
          <w:szCs w:val="22"/>
        </w:rPr>
        <w:t xml:space="preserve"> and national monitoring frameworks, multilateral environment agreements, and knowledge systems, including work of the Biodiversity Finance Initiative of the United Nations Development Programme (BIOFIN) and the Organisation for Economic Co-operation and Development.</w:t>
      </w:r>
    </w:p>
    <w:p w14:paraId="059C8632" w14:textId="72341FEE" w:rsidR="003210DB" w:rsidRDefault="008344A1" w:rsidP="00663F78">
      <w:pPr>
        <w:pStyle w:val="Para10"/>
        <w:numPr>
          <w:ilvl w:val="0"/>
          <w:numId w:val="4"/>
        </w:numPr>
        <w:tabs>
          <w:tab w:val="clear" w:pos="927"/>
        </w:tabs>
        <w:rPr>
          <w:snapToGrid w:val="0"/>
          <w:color w:val="000000" w:themeColor="text1"/>
          <w:kern w:val="22"/>
          <w:szCs w:val="22"/>
          <w:lang w:val="en-US"/>
        </w:rPr>
      </w:pPr>
      <w:r>
        <w:rPr>
          <w:snapToGrid w:val="0"/>
          <w:color w:val="000000" w:themeColor="text1"/>
          <w:kern w:val="22"/>
          <w:szCs w:val="22"/>
          <w:lang w:val="en-US"/>
        </w:rPr>
        <w:t>As regards the e</w:t>
      </w:r>
      <w:r w:rsidRPr="009456B9">
        <w:rPr>
          <w:snapToGrid w:val="0"/>
          <w:color w:val="000000" w:themeColor="text1"/>
          <w:kern w:val="22"/>
          <w:szCs w:val="22"/>
          <w:lang w:val="en-US"/>
        </w:rPr>
        <w:t>xisting work and experience under the Convention</w:t>
      </w:r>
      <w:r>
        <w:rPr>
          <w:snapToGrid w:val="0"/>
          <w:color w:val="000000" w:themeColor="text1"/>
          <w:kern w:val="22"/>
          <w:szCs w:val="22"/>
          <w:lang w:val="en-US"/>
        </w:rPr>
        <w:t xml:space="preserve"> </w:t>
      </w:r>
      <w:r>
        <w:rPr>
          <w:snapToGrid w:val="0"/>
          <w:kern w:val="22"/>
          <w:szCs w:val="22"/>
        </w:rPr>
        <w:t xml:space="preserve">on financial reporting, including the work of the panel of experts, the Secretariat prepared a final analysis of information provided through the financial reporting framework, for consideration by the Conference of the Parties at its fifteenth meeting (document CBD/COP/15/11). The </w:t>
      </w:r>
      <w:r>
        <w:rPr>
          <w:kern w:val="22"/>
          <w:szCs w:val="22"/>
        </w:rPr>
        <w:t xml:space="preserve">document provided succinct aggregate information allowing an assessment as to </w:t>
      </w:r>
      <w:r w:rsidRPr="009575E2">
        <w:rPr>
          <w:kern w:val="22"/>
          <w:szCs w:val="22"/>
        </w:rPr>
        <w:t>whether and to what</w:t>
      </w:r>
      <w:r>
        <w:rPr>
          <w:kern w:val="22"/>
          <w:szCs w:val="22"/>
        </w:rPr>
        <w:t xml:space="preserve"> extent the targets for resource mobilization adopted by the Conference of the Parties at its twelfth </w:t>
      </w:r>
      <w:r w:rsidRPr="00677B61">
        <w:rPr>
          <w:kern w:val="22"/>
          <w:szCs w:val="22"/>
        </w:rPr>
        <w:t>meeting were met; and</w:t>
      </w:r>
      <w:r>
        <w:rPr>
          <w:kern w:val="22"/>
          <w:szCs w:val="22"/>
        </w:rPr>
        <w:t xml:space="preserve">, </w:t>
      </w:r>
      <w:r w:rsidRPr="00677B61">
        <w:rPr>
          <w:kern w:val="22"/>
          <w:szCs w:val="22"/>
        </w:rPr>
        <w:t>drawing on the methodological information provided and the practical experiences in financial reporting gained since the twelfth meeting of the Conference of the Parties, identif</w:t>
      </w:r>
      <w:r>
        <w:rPr>
          <w:kern w:val="22"/>
          <w:szCs w:val="22"/>
        </w:rPr>
        <w:t>ied</w:t>
      </w:r>
      <w:r w:rsidRPr="00677B61">
        <w:rPr>
          <w:kern w:val="22"/>
          <w:szCs w:val="22"/>
        </w:rPr>
        <w:t xml:space="preserve"> a number of lessons learned</w:t>
      </w:r>
      <w:r>
        <w:rPr>
          <w:kern w:val="22"/>
          <w:szCs w:val="22"/>
        </w:rPr>
        <w:t xml:space="preserve"> to inform options for simpler and more effective monitoring against the future target(s) for resource </w:t>
      </w:r>
      <w:r w:rsidRPr="004960CF">
        <w:rPr>
          <w:kern w:val="22"/>
          <w:szCs w:val="22"/>
        </w:rPr>
        <w:t xml:space="preserve">mobilization. It will be </w:t>
      </w:r>
      <w:r w:rsidR="00DE4E67" w:rsidRPr="004960CF">
        <w:rPr>
          <w:kern w:val="22"/>
          <w:szCs w:val="22"/>
        </w:rPr>
        <w:t>made available</w:t>
      </w:r>
      <w:r w:rsidRPr="004960CF">
        <w:rPr>
          <w:kern w:val="22"/>
          <w:szCs w:val="22"/>
        </w:rPr>
        <w:t xml:space="preserve"> on the meeting page for the first meeting of the Technical Expert Group on Financial Reporting, for its </w:t>
      </w:r>
      <w:r w:rsidR="003A7C62" w:rsidRPr="004960CF">
        <w:rPr>
          <w:kern w:val="22"/>
          <w:szCs w:val="22"/>
        </w:rPr>
        <w:t>consideration</w:t>
      </w:r>
      <w:r w:rsidRPr="004960CF">
        <w:rPr>
          <w:kern w:val="22"/>
          <w:szCs w:val="22"/>
        </w:rPr>
        <w:t>.</w:t>
      </w:r>
    </w:p>
    <w:p w14:paraId="5AED6F4F" w14:textId="3877F6A0" w:rsidR="009456B9" w:rsidRDefault="00EE6424" w:rsidP="00663F78">
      <w:pPr>
        <w:pStyle w:val="Para10"/>
        <w:numPr>
          <w:ilvl w:val="0"/>
          <w:numId w:val="4"/>
        </w:numPr>
        <w:tabs>
          <w:tab w:val="clear" w:pos="927"/>
        </w:tabs>
        <w:rPr>
          <w:snapToGrid w:val="0"/>
          <w:color w:val="000000" w:themeColor="text1"/>
          <w:kern w:val="22"/>
          <w:szCs w:val="22"/>
          <w:lang w:val="en-US"/>
        </w:rPr>
      </w:pPr>
      <w:r>
        <w:rPr>
          <w:snapToGrid w:val="0"/>
          <w:color w:val="000000" w:themeColor="text1"/>
          <w:kern w:val="22"/>
          <w:szCs w:val="22"/>
          <w:lang w:val="en-US"/>
        </w:rPr>
        <w:t>S</w:t>
      </w:r>
      <w:r w:rsidR="008F6DA9">
        <w:rPr>
          <w:snapToGrid w:val="0"/>
          <w:color w:val="000000" w:themeColor="text1"/>
          <w:kern w:val="22"/>
          <w:szCs w:val="22"/>
          <w:lang w:val="en-US"/>
        </w:rPr>
        <w:t xml:space="preserve">ome elements of the terms of reference of the </w:t>
      </w:r>
      <w:r w:rsidR="00020D20">
        <w:t xml:space="preserve">Technical Expert Group </w:t>
      </w:r>
      <w:r w:rsidR="008F6DA9">
        <w:rPr>
          <w:snapToGrid w:val="0"/>
          <w:color w:val="000000" w:themeColor="text1"/>
          <w:kern w:val="22"/>
          <w:szCs w:val="22"/>
          <w:lang w:val="en-US"/>
        </w:rPr>
        <w:t xml:space="preserve">on </w:t>
      </w:r>
      <w:r w:rsidR="00020D20">
        <w:rPr>
          <w:snapToGrid w:val="0"/>
          <w:color w:val="000000" w:themeColor="text1"/>
          <w:kern w:val="22"/>
          <w:szCs w:val="22"/>
          <w:lang w:val="en-US"/>
        </w:rPr>
        <w:t>I</w:t>
      </w:r>
      <w:r w:rsidR="008F6DA9">
        <w:rPr>
          <w:snapToGrid w:val="0"/>
          <w:color w:val="000000" w:themeColor="text1"/>
          <w:kern w:val="22"/>
          <w:szCs w:val="22"/>
          <w:lang w:val="en-US"/>
        </w:rPr>
        <w:t>ndicators further clari</w:t>
      </w:r>
      <w:r w:rsidR="00A841A3">
        <w:rPr>
          <w:snapToGrid w:val="0"/>
          <w:color w:val="000000" w:themeColor="text1"/>
          <w:kern w:val="22"/>
          <w:szCs w:val="22"/>
          <w:lang w:val="en-US"/>
        </w:rPr>
        <w:t xml:space="preserve">fy the mandate of the </w:t>
      </w:r>
      <w:r w:rsidR="006A4449">
        <w:rPr>
          <w:snapToGrid w:val="0"/>
          <w:color w:val="000000" w:themeColor="text1"/>
          <w:kern w:val="22"/>
          <w:szCs w:val="22"/>
          <w:lang w:val="en-US"/>
        </w:rPr>
        <w:t>T</w:t>
      </w:r>
      <w:r w:rsidR="00A841A3">
        <w:rPr>
          <w:snapToGrid w:val="0"/>
          <w:color w:val="000000" w:themeColor="text1"/>
          <w:kern w:val="22"/>
          <w:szCs w:val="22"/>
          <w:lang w:val="en-US"/>
        </w:rPr>
        <w:t xml:space="preserve">echnical </w:t>
      </w:r>
      <w:r w:rsidR="006A4449">
        <w:rPr>
          <w:snapToGrid w:val="0"/>
          <w:color w:val="000000" w:themeColor="text1"/>
          <w:kern w:val="22"/>
          <w:szCs w:val="22"/>
          <w:lang w:val="en-US"/>
        </w:rPr>
        <w:t>E</w:t>
      </w:r>
      <w:r w:rsidR="00A841A3">
        <w:rPr>
          <w:snapToGrid w:val="0"/>
          <w:color w:val="000000" w:themeColor="text1"/>
          <w:kern w:val="22"/>
          <w:szCs w:val="22"/>
          <w:lang w:val="en-US"/>
        </w:rPr>
        <w:t xml:space="preserve">xpert </w:t>
      </w:r>
      <w:r w:rsidR="006A4449">
        <w:rPr>
          <w:snapToGrid w:val="0"/>
          <w:color w:val="000000" w:themeColor="text1"/>
          <w:kern w:val="22"/>
          <w:szCs w:val="22"/>
          <w:lang w:val="en-US"/>
        </w:rPr>
        <w:t>G</w:t>
      </w:r>
      <w:r w:rsidR="00A841A3">
        <w:rPr>
          <w:snapToGrid w:val="0"/>
          <w:color w:val="000000" w:themeColor="text1"/>
          <w:kern w:val="22"/>
          <w:szCs w:val="22"/>
          <w:lang w:val="en-US"/>
        </w:rPr>
        <w:t>roup on financial reporting</w:t>
      </w:r>
      <w:r w:rsidR="002942E0">
        <w:rPr>
          <w:snapToGrid w:val="0"/>
          <w:color w:val="000000" w:themeColor="text1"/>
          <w:kern w:val="22"/>
          <w:szCs w:val="22"/>
          <w:lang w:val="en-US"/>
        </w:rPr>
        <w:t>, namely:</w:t>
      </w:r>
    </w:p>
    <w:p w14:paraId="3CB28C59" w14:textId="6D3D285F" w:rsidR="004A754A" w:rsidRDefault="00F711EE" w:rsidP="004960CF">
      <w:pPr>
        <w:pStyle w:val="Para10"/>
        <w:numPr>
          <w:ilvl w:val="0"/>
          <w:numId w:val="18"/>
        </w:numPr>
        <w:tabs>
          <w:tab w:val="clear" w:pos="1134"/>
          <w:tab w:val="left" w:pos="1701"/>
        </w:tabs>
        <w:ind w:left="567" w:firstLine="567"/>
        <w:rPr>
          <w:snapToGrid w:val="0"/>
          <w:color w:val="000000" w:themeColor="text1"/>
          <w:kern w:val="22"/>
          <w:szCs w:val="22"/>
          <w:lang w:val="en-US"/>
        </w:rPr>
      </w:pPr>
      <w:r>
        <w:rPr>
          <w:snapToGrid w:val="0"/>
          <w:color w:val="000000" w:themeColor="text1"/>
          <w:kern w:val="22"/>
          <w:szCs w:val="22"/>
          <w:lang w:val="en-US"/>
        </w:rPr>
        <w:t>As regards the task of “filling gaps in indicators”</w:t>
      </w:r>
      <w:r w:rsidR="00331AC8">
        <w:rPr>
          <w:snapToGrid w:val="0"/>
          <w:color w:val="000000" w:themeColor="text1"/>
          <w:kern w:val="22"/>
          <w:szCs w:val="22"/>
          <w:lang w:val="en-US"/>
        </w:rPr>
        <w:t xml:space="preserve"> (task (a) (</w:t>
      </w:r>
      <w:proofErr w:type="spellStart"/>
      <w:r w:rsidR="00331AC8">
        <w:rPr>
          <w:snapToGrid w:val="0"/>
          <w:color w:val="000000" w:themeColor="text1"/>
          <w:kern w:val="22"/>
          <w:szCs w:val="22"/>
          <w:lang w:val="en-US"/>
        </w:rPr>
        <w:t>i</w:t>
      </w:r>
      <w:proofErr w:type="spellEnd"/>
      <w:r w:rsidR="00331AC8">
        <w:rPr>
          <w:snapToGrid w:val="0"/>
          <w:color w:val="000000" w:themeColor="text1"/>
          <w:kern w:val="22"/>
          <w:szCs w:val="22"/>
          <w:lang w:val="en-US"/>
        </w:rPr>
        <w:t>) above)</w:t>
      </w:r>
      <w:r w:rsidR="005567DA">
        <w:rPr>
          <w:snapToGrid w:val="0"/>
          <w:color w:val="000000" w:themeColor="text1"/>
          <w:kern w:val="22"/>
          <w:szCs w:val="22"/>
          <w:lang w:val="en-US"/>
        </w:rPr>
        <w:t xml:space="preserve">, the terms of reference </w:t>
      </w:r>
      <w:r w:rsidR="005116A9">
        <w:rPr>
          <w:snapToGrid w:val="0"/>
          <w:color w:val="000000" w:themeColor="text1"/>
          <w:kern w:val="22"/>
          <w:szCs w:val="22"/>
          <w:lang w:val="en-US"/>
        </w:rPr>
        <w:t xml:space="preserve">of the </w:t>
      </w:r>
      <w:r w:rsidR="00020D20">
        <w:t xml:space="preserve">Technical Expert Group </w:t>
      </w:r>
      <w:proofErr w:type="gramStart"/>
      <w:r w:rsidR="00685DA3">
        <w:rPr>
          <w:snapToGrid w:val="0"/>
          <w:color w:val="000000" w:themeColor="text1"/>
          <w:kern w:val="22"/>
          <w:szCs w:val="22"/>
          <w:lang w:val="en-US"/>
        </w:rPr>
        <w:t>make reference</w:t>
      </w:r>
      <w:proofErr w:type="gramEnd"/>
      <w:r w:rsidR="005116A9">
        <w:rPr>
          <w:snapToGrid w:val="0"/>
          <w:color w:val="000000" w:themeColor="text1"/>
          <w:kern w:val="22"/>
          <w:szCs w:val="22"/>
          <w:lang w:val="en-US"/>
        </w:rPr>
        <w:t xml:space="preserve"> in particular </w:t>
      </w:r>
      <w:r w:rsidR="00685DA3">
        <w:rPr>
          <w:snapToGrid w:val="0"/>
          <w:color w:val="000000" w:themeColor="text1"/>
          <w:kern w:val="22"/>
          <w:szCs w:val="22"/>
          <w:lang w:val="en-US"/>
        </w:rPr>
        <w:t xml:space="preserve">to </w:t>
      </w:r>
      <w:r w:rsidR="009A078C">
        <w:rPr>
          <w:snapToGrid w:val="0"/>
          <w:color w:val="000000" w:themeColor="text1"/>
          <w:kern w:val="22"/>
          <w:szCs w:val="22"/>
          <w:lang w:val="en-US"/>
        </w:rPr>
        <w:t xml:space="preserve">headline indicators </w:t>
      </w:r>
      <w:r w:rsidR="00AB1785">
        <w:rPr>
          <w:snapToGrid w:val="0"/>
          <w:color w:val="000000" w:themeColor="text1"/>
          <w:kern w:val="22"/>
          <w:szCs w:val="22"/>
          <w:lang w:val="en-US"/>
        </w:rPr>
        <w:t>that do not have an e</w:t>
      </w:r>
      <w:r w:rsidR="00354B09">
        <w:rPr>
          <w:snapToGrid w:val="0"/>
          <w:color w:val="000000" w:themeColor="text1"/>
          <w:kern w:val="22"/>
          <w:szCs w:val="22"/>
          <w:lang w:val="en-US"/>
        </w:rPr>
        <w:t xml:space="preserve">xisting </w:t>
      </w:r>
      <w:r w:rsidR="00AB1785">
        <w:rPr>
          <w:snapToGrid w:val="0"/>
          <w:color w:val="000000" w:themeColor="text1"/>
          <w:kern w:val="22"/>
          <w:szCs w:val="22"/>
          <w:lang w:val="en-US"/>
        </w:rPr>
        <w:t>methodolog</w:t>
      </w:r>
      <w:r w:rsidR="00354B09">
        <w:rPr>
          <w:snapToGrid w:val="0"/>
          <w:color w:val="000000" w:themeColor="text1"/>
          <w:kern w:val="22"/>
          <w:szCs w:val="22"/>
          <w:lang w:val="en-US"/>
        </w:rPr>
        <w:t>y as a critical gap to fill</w:t>
      </w:r>
      <w:r w:rsidR="00516950">
        <w:rPr>
          <w:snapToGrid w:val="0"/>
          <w:color w:val="000000" w:themeColor="text1"/>
          <w:kern w:val="22"/>
          <w:szCs w:val="22"/>
          <w:lang w:val="en-US"/>
        </w:rPr>
        <w:t xml:space="preserve">. </w:t>
      </w:r>
      <w:r w:rsidR="00366449">
        <w:rPr>
          <w:snapToGrid w:val="0"/>
          <w:color w:val="000000" w:themeColor="text1"/>
          <w:kern w:val="22"/>
          <w:szCs w:val="22"/>
          <w:lang w:val="en-US"/>
        </w:rPr>
        <w:t>Headline indicator D.</w:t>
      </w:r>
      <w:r w:rsidR="00AD517A">
        <w:rPr>
          <w:snapToGrid w:val="0"/>
          <w:color w:val="000000" w:themeColor="text1"/>
          <w:kern w:val="22"/>
          <w:szCs w:val="22"/>
          <w:lang w:val="en-US"/>
        </w:rPr>
        <w:t>3</w:t>
      </w:r>
      <w:r w:rsidR="00366449">
        <w:rPr>
          <w:snapToGrid w:val="0"/>
          <w:color w:val="000000" w:themeColor="text1"/>
          <w:kern w:val="22"/>
          <w:szCs w:val="22"/>
          <w:lang w:val="en-US"/>
        </w:rPr>
        <w:t xml:space="preserve"> on private funding (international and domestic) is identified </w:t>
      </w:r>
      <w:r w:rsidR="005F30B7">
        <w:rPr>
          <w:snapToGrid w:val="0"/>
          <w:color w:val="000000" w:themeColor="text1"/>
          <w:kern w:val="22"/>
          <w:szCs w:val="22"/>
          <w:lang w:val="en-US"/>
        </w:rPr>
        <w:t xml:space="preserve">as one such indicator that does not have an existing </w:t>
      </w:r>
      <w:proofErr w:type="gramStart"/>
      <w:r w:rsidR="005F30B7">
        <w:rPr>
          <w:snapToGrid w:val="0"/>
          <w:color w:val="000000" w:themeColor="text1"/>
          <w:kern w:val="22"/>
          <w:szCs w:val="22"/>
          <w:lang w:val="en-US"/>
        </w:rPr>
        <w:t>methodology</w:t>
      </w:r>
      <w:r w:rsidR="00D433EC">
        <w:rPr>
          <w:snapToGrid w:val="0"/>
          <w:color w:val="000000" w:themeColor="text1"/>
          <w:kern w:val="22"/>
          <w:szCs w:val="22"/>
          <w:lang w:val="en-US"/>
        </w:rPr>
        <w:t>;</w:t>
      </w:r>
      <w:proofErr w:type="gramEnd"/>
    </w:p>
    <w:p w14:paraId="247FEA7C" w14:textId="3FD830F4" w:rsidR="00823877" w:rsidRPr="001B2697" w:rsidRDefault="004A754A" w:rsidP="004960CF">
      <w:pPr>
        <w:pStyle w:val="Para10"/>
        <w:numPr>
          <w:ilvl w:val="0"/>
          <w:numId w:val="18"/>
        </w:numPr>
        <w:tabs>
          <w:tab w:val="clear" w:pos="1134"/>
          <w:tab w:val="left" w:pos="1701"/>
        </w:tabs>
        <w:ind w:left="567" w:firstLine="567"/>
      </w:pPr>
      <w:r>
        <w:rPr>
          <w:snapToGrid w:val="0"/>
          <w:color w:val="000000" w:themeColor="text1"/>
          <w:kern w:val="22"/>
          <w:szCs w:val="22"/>
          <w:lang w:val="en-US"/>
        </w:rPr>
        <w:t>As regards the task of</w:t>
      </w:r>
      <w:r w:rsidR="00CB3D3B">
        <w:rPr>
          <w:snapToGrid w:val="0"/>
          <w:color w:val="000000" w:themeColor="text1"/>
          <w:kern w:val="22"/>
          <w:szCs w:val="22"/>
          <w:lang w:val="en-US"/>
        </w:rPr>
        <w:t xml:space="preserve"> improving or adding new indicators (task </w:t>
      </w:r>
      <w:r w:rsidR="00A24B27">
        <w:rPr>
          <w:snapToGrid w:val="0"/>
          <w:color w:val="000000" w:themeColor="text1"/>
          <w:kern w:val="22"/>
          <w:szCs w:val="22"/>
          <w:lang w:val="en-US"/>
        </w:rPr>
        <w:t>(b) (iv) above</w:t>
      </w:r>
      <w:r w:rsidR="00581D90">
        <w:rPr>
          <w:snapToGrid w:val="0"/>
          <w:color w:val="000000" w:themeColor="text1"/>
          <w:kern w:val="22"/>
          <w:szCs w:val="22"/>
          <w:lang w:val="en-US"/>
        </w:rPr>
        <w:t>)</w:t>
      </w:r>
      <w:r w:rsidR="00A24B27">
        <w:rPr>
          <w:snapToGrid w:val="0"/>
          <w:color w:val="000000" w:themeColor="text1"/>
          <w:kern w:val="22"/>
          <w:szCs w:val="22"/>
          <w:lang w:val="en-US"/>
        </w:rPr>
        <w:t xml:space="preserve">, the terms of reference </w:t>
      </w:r>
      <w:r w:rsidR="00B04CAE">
        <w:rPr>
          <w:snapToGrid w:val="0"/>
          <w:color w:val="000000" w:themeColor="text1"/>
          <w:kern w:val="22"/>
          <w:szCs w:val="22"/>
          <w:lang w:val="en-US"/>
        </w:rPr>
        <w:t xml:space="preserve">of the </w:t>
      </w:r>
      <w:r w:rsidR="009E39FC">
        <w:t xml:space="preserve">Technical Expert Group </w:t>
      </w:r>
      <w:r w:rsidR="007C5EDD">
        <w:rPr>
          <w:snapToGrid w:val="0"/>
          <w:color w:val="000000" w:themeColor="text1"/>
          <w:kern w:val="22"/>
          <w:szCs w:val="22"/>
          <w:lang w:val="en-US"/>
        </w:rPr>
        <w:t xml:space="preserve">include a task </w:t>
      </w:r>
      <w:r w:rsidR="007C06D2">
        <w:rPr>
          <w:snapToGrid w:val="0"/>
          <w:color w:val="000000" w:themeColor="text1"/>
          <w:kern w:val="22"/>
          <w:szCs w:val="22"/>
          <w:lang w:val="en-US"/>
        </w:rPr>
        <w:t xml:space="preserve">on </w:t>
      </w:r>
      <w:r w:rsidR="00B53F96">
        <w:rPr>
          <w:snapToGrid w:val="0"/>
          <w:color w:val="000000" w:themeColor="text1"/>
          <w:kern w:val="22"/>
          <w:szCs w:val="22"/>
          <w:lang w:val="en-US"/>
        </w:rPr>
        <w:t>keeping under</w:t>
      </w:r>
      <w:r w:rsidR="007F5002">
        <w:rPr>
          <w:snapToGrid w:val="0"/>
          <w:color w:val="000000" w:themeColor="text1"/>
          <w:kern w:val="22"/>
          <w:szCs w:val="22"/>
          <w:lang w:val="en-US"/>
        </w:rPr>
        <w:t xml:space="preserve"> review </w:t>
      </w:r>
      <w:r w:rsidR="007F5002">
        <w:t xml:space="preserve">the list of binary, </w:t>
      </w:r>
      <w:proofErr w:type="gramStart"/>
      <w:r w:rsidR="007F5002">
        <w:t>component</w:t>
      </w:r>
      <w:proofErr w:type="gramEnd"/>
      <w:r w:rsidR="007F5002">
        <w:t xml:space="preserve"> and complementary indicators.</w:t>
      </w:r>
      <w:r w:rsidR="00957FEE">
        <w:t xml:space="preserve"> </w:t>
      </w:r>
      <w:r w:rsidR="001B2697" w:rsidRPr="001B2697">
        <w:t xml:space="preserve">Annex II </w:t>
      </w:r>
      <w:r w:rsidR="009E39FC">
        <w:t>to</w:t>
      </w:r>
      <w:r w:rsidR="009E39FC" w:rsidRPr="001B2697">
        <w:t xml:space="preserve"> </w:t>
      </w:r>
      <w:r w:rsidR="001B2697" w:rsidRPr="001B2697">
        <w:t>the present document provides the texts of Target 18</w:t>
      </w:r>
      <w:r w:rsidR="000655B8">
        <w:t>,</w:t>
      </w:r>
      <w:r w:rsidR="001B2697" w:rsidRPr="001B2697">
        <w:t xml:space="preserve"> Goal D and Target 19, as well as the relevant headline, </w:t>
      </w:r>
      <w:proofErr w:type="gramStart"/>
      <w:r w:rsidR="001B2697" w:rsidRPr="001B2697">
        <w:t>component</w:t>
      </w:r>
      <w:proofErr w:type="gramEnd"/>
      <w:r w:rsidR="001B2697" w:rsidRPr="001B2697">
        <w:t xml:space="preserve"> and complementary indicators from the monitoring framework.</w:t>
      </w:r>
      <w:r w:rsidR="00DC613C">
        <w:t xml:space="preserve"> Annex II </w:t>
      </w:r>
      <w:r w:rsidR="009E39FC">
        <w:t xml:space="preserve">to </w:t>
      </w:r>
      <w:r w:rsidR="00DC613C">
        <w:t>decision 15/5 contain</w:t>
      </w:r>
      <w:r w:rsidR="00CC121E">
        <w:t>s</w:t>
      </w:r>
      <w:r w:rsidR="00DC613C">
        <w:t xml:space="preserve"> a list of binary indicators </w:t>
      </w:r>
      <w:r w:rsidR="00B82913">
        <w:t>to be used in national reports. As per this list, there are currently no bin</w:t>
      </w:r>
      <w:r w:rsidR="003E5D05">
        <w:t xml:space="preserve">ary indicators identified for </w:t>
      </w:r>
      <w:r w:rsidR="00CC121E">
        <w:t>G</w:t>
      </w:r>
      <w:r w:rsidR="00B82913">
        <w:t>oal D, Target 18,</w:t>
      </w:r>
      <w:r w:rsidR="0086638F">
        <w:t xml:space="preserve"> or</w:t>
      </w:r>
      <w:r w:rsidR="00B82913">
        <w:t xml:space="preserve"> Target </w:t>
      </w:r>
      <w:proofErr w:type="gramStart"/>
      <w:r w:rsidR="00B82913">
        <w:t>19</w:t>
      </w:r>
      <w:r w:rsidR="00D433EC">
        <w:t>;</w:t>
      </w:r>
      <w:proofErr w:type="gramEnd"/>
    </w:p>
    <w:p w14:paraId="610F70BA" w14:textId="63DAD336" w:rsidR="003223DA" w:rsidRDefault="002C5049" w:rsidP="004960CF">
      <w:pPr>
        <w:pStyle w:val="Para10"/>
        <w:numPr>
          <w:ilvl w:val="0"/>
          <w:numId w:val="18"/>
        </w:numPr>
        <w:tabs>
          <w:tab w:val="clear" w:pos="1134"/>
          <w:tab w:val="left" w:pos="1701"/>
        </w:tabs>
        <w:ind w:left="567" w:firstLine="567"/>
        <w:rPr>
          <w:snapToGrid w:val="0"/>
          <w:color w:val="000000" w:themeColor="text1"/>
          <w:kern w:val="22"/>
          <w:szCs w:val="22"/>
          <w:lang w:val="en-US"/>
        </w:rPr>
      </w:pPr>
      <w:r>
        <w:t xml:space="preserve">As regards the task of </w:t>
      </w:r>
      <w:r w:rsidR="00281DBF">
        <w:rPr>
          <w:snapToGrid w:val="0"/>
          <w:color w:val="000000" w:themeColor="text1"/>
          <w:kern w:val="22"/>
          <w:szCs w:val="22"/>
          <w:lang w:val="en-US"/>
        </w:rPr>
        <w:t>recommending a s</w:t>
      </w:r>
      <w:r w:rsidR="00281DBF" w:rsidRPr="009456B9">
        <w:rPr>
          <w:snapToGrid w:val="0"/>
          <w:color w:val="000000" w:themeColor="text1"/>
          <w:kern w:val="22"/>
          <w:szCs w:val="22"/>
          <w:lang w:val="en-US"/>
        </w:rPr>
        <w:t>imple standardized national reporting template</w:t>
      </w:r>
      <w:r w:rsidR="00281DBF">
        <w:rPr>
          <w:snapToGrid w:val="0"/>
          <w:color w:val="000000" w:themeColor="text1"/>
          <w:kern w:val="22"/>
          <w:szCs w:val="22"/>
          <w:lang w:val="en-US"/>
        </w:rPr>
        <w:t xml:space="preserve"> (task (c) above), </w:t>
      </w:r>
      <w:r w:rsidR="009357F1">
        <w:rPr>
          <w:snapToGrid w:val="0"/>
          <w:color w:val="000000" w:themeColor="text1"/>
          <w:kern w:val="22"/>
          <w:szCs w:val="22"/>
          <w:lang w:val="en-US"/>
        </w:rPr>
        <w:t xml:space="preserve">the terms of reference of the </w:t>
      </w:r>
      <w:r w:rsidR="00020D20">
        <w:rPr>
          <w:snapToGrid w:val="0"/>
          <w:color w:val="000000" w:themeColor="text1"/>
          <w:kern w:val="22"/>
          <w:szCs w:val="22"/>
          <w:lang w:val="en-US"/>
        </w:rPr>
        <w:t>Technical Expert Group</w:t>
      </w:r>
      <w:r w:rsidR="00145408">
        <w:rPr>
          <w:snapToGrid w:val="0"/>
          <w:color w:val="000000" w:themeColor="text1"/>
          <w:kern w:val="22"/>
          <w:szCs w:val="22"/>
          <w:lang w:val="en-US"/>
        </w:rPr>
        <w:t xml:space="preserve"> </w:t>
      </w:r>
      <w:r w:rsidR="009357F1">
        <w:rPr>
          <w:snapToGrid w:val="0"/>
          <w:color w:val="000000" w:themeColor="text1"/>
          <w:kern w:val="22"/>
          <w:szCs w:val="22"/>
          <w:lang w:val="en-US"/>
        </w:rPr>
        <w:t xml:space="preserve">refer to </w:t>
      </w:r>
      <w:r w:rsidR="006910B9">
        <w:t xml:space="preserve">advising on the wording of questions to construct binary indicators to be used in national reports, building upon the </w:t>
      </w:r>
      <w:proofErr w:type="gramStart"/>
      <w:r w:rsidR="003E5D05">
        <w:t xml:space="preserve">aforementioned </w:t>
      </w:r>
      <w:r w:rsidR="006910B9">
        <w:t>table</w:t>
      </w:r>
      <w:proofErr w:type="gramEnd"/>
      <w:r w:rsidR="006910B9">
        <w:t xml:space="preserve"> in annex II to decision 15/5</w:t>
      </w:r>
      <w:r w:rsidR="00D433EC">
        <w:t>.</w:t>
      </w:r>
      <w:r w:rsidR="006910B9">
        <w:t xml:space="preserve"> </w:t>
      </w:r>
    </w:p>
    <w:p w14:paraId="7576DFEC" w14:textId="5B9A3455" w:rsidR="007C0D8D" w:rsidRPr="009456B9" w:rsidRDefault="007C0D8D" w:rsidP="00C67A3D">
      <w:pPr>
        <w:pStyle w:val="Para1"/>
        <w:tabs>
          <w:tab w:val="clear" w:pos="927"/>
          <w:tab w:val="num" w:pos="1134"/>
        </w:tabs>
        <w:rPr>
          <w:lang w:val="en-US"/>
        </w:rPr>
      </w:pPr>
      <w:r>
        <w:rPr>
          <w:lang w:val="en-US"/>
        </w:rPr>
        <w:t xml:space="preserve">As regards the identification of detailed metadata, metadata fact sheets have already been prepared by </w:t>
      </w:r>
      <w:r w:rsidR="00F2703A">
        <w:rPr>
          <w:lang w:val="en-US"/>
        </w:rPr>
        <w:t xml:space="preserve">the United Nations Environment </w:t>
      </w:r>
      <w:proofErr w:type="spellStart"/>
      <w:r w:rsidR="00F2703A" w:rsidRPr="00F32070">
        <w:rPr>
          <w:lang w:val="en-US"/>
        </w:rPr>
        <w:t>Programme</w:t>
      </w:r>
      <w:proofErr w:type="spellEnd"/>
      <w:r w:rsidR="00F2703A" w:rsidRPr="00F32070">
        <w:rPr>
          <w:lang w:val="en-US"/>
        </w:rPr>
        <w:t xml:space="preserve"> World</w:t>
      </w:r>
      <w:r w:rsidR="00291404" w:rsidRPr="00F32070">
        <w:rPr>
          <w:lang w:val="en-US"/>
        </w:rPr>
        <w:t xml:space="preserve"> </w:t>
      </w:r>
      <w:r w:rsidR="00006409" w:rsidRPr="00F32070">
        <w:rPr>
          <w:lang w:val="en-US"/>
        </w:rPr>
        <w:t>Conservation</w:t>
      </w:r>
      <w:r w:rsidR="00006409">
        <w:rPr>
          <w:lang w:val="en-US"/>
        </w:rPr>
        <w:t xml:space="preserve"> Monitoring Cent</w:t>
      </w:r>
      <w:r w:rsidR="007C525A">
        <w:rPr>
          <w:lang w:val="en-US"/>
        </w:rPr>
        <w:t xml:space="preserve">re </w:t>
      </w:r>
      <w:r>
        <w:rPr>
          <w:lang w:val="en-US"/>
        </w:rPr>
        <w:t xml:space="preserve">on some of the headline indicators (see </w:t>
      </w:r>
      <w:hyperlink r:id="rId14" w:history="1">
        <w:r w:rsidRPr="00867A6F">
          <w:rPr>
            <w:rStyle w:val="Hyperlink"/>
            <w:kern w:val="22"/>
            <w:szCs w:val="22"/>
            <w:lang w:val="en-US"/>
          </w:rPr>
          <w:t>www.post-2020indicators.org</w:t>
        </w:r>
      </w:hyperlink>
      <w:r>
        <w:rPr>
          <w:lang w:val="en-US"/>
        </w:rPr>
        <w:t xml:space="preserve">), and those may provide a useful starting point. In addition, a template for observations regarding the indicators metadata has been developed for the work of </w:t>
      </w:r>
      <w:r>
        <w:t xml:space="preserve">the Technical Expert Group on Indicators (see document CBD/IND/AHTEG/2023/2/2, </w:t>
      </w:r>
      <w:r w:rsidR="00145408">
        <w:t>a</w:t>
      </w:r>
      <w:r>
        <w:t>nnex II)</w:t>
      </w:r>
      <w:r>
        <w:rPr>
          <w:rStyle w:val="FootnoteReference"/>
          <w:color w:val="000000" w:themeColor="text1"/>
          <w:kern w:val="22"/>
          <w:szCs w:val="22"/>
        </w:rPr>
        <w:footnoteReference w:id="5"/>
      </w:r>
      <w:r w:rsidR="00C17FE1">
        <w:t xml:space="preserve"> and is reproduced verbatim in </w:t>
      </w:r>
      <w:r w:rsidR="007003BC">
        <w:t>a</w:t>
      </w:r>
      <w:r w:rsidR="00C17FE1">
        <w:t xml:space="preserve">nnex III </w:t>
      </w:r>
      <w:r w:rsidR="007003BC">
        <w:t xml:space="preserve">to </w:t>
      </w:r>
      <w:r w:rsidR="00C17FE1">
        <w:t>the present document.</w:t>
      </w:r>
    </w:p>
    <w:p w14:paraId="0CFB6C87" w14:textId="6D9B3636" w:rsidR="00663F78" w:rsidRDefault="00663F78" w:rsidP="009A4BF5">
      <w:pPr>
        <w:pStyle w:val="Para10"/>
        <w:ind w:left="567"/>
      </w:pPr>
    </w:p>
    <w:p w14:paraId="31A80634" w14:textId="77777777" w:rsidR="00C87413" w:rsidRDefault="00C87413" w:rsidP="00C87413">
      <w:pPr>
        <w:pStyle w:val="Para10"/>
        <w:ind w:left="567"/>
        <w:sectPr w:rsidR="00C87413" w:rsidSect="007C3FB6">
          <w:headerReference w:type="even" r:id="rId15"/>
          <w:headerReference w:type="default" r:id="rId16"/>
          <w:footerReference w:type="even" r:id="rId17"/>
          <w:footerReference w:type="default" r:id="rId18"/>
          <w:pgSz w:w="12240" w:h="15840"/>
          <w:pgMar w:top="1134" w:right="1440" w:bottom="1134" w:left="1530" w:header="709" w:footer="709" w:gutter="0"/>
          <w:cols w:space="708"/>
          <w:titlePg/>
          <w:docGrid w:linePitch="360"/>
        </w:sectPr>
      </w:pPr>
    </w:p>
    <w:p w14:paraId="0AF51D90" w14:textId="052A1E62" w:rsidR="000933AF" w:rsidRPr="00240805" w:rsidRDefault="000933AF" w:rsidP="00C67A3D">
      <w:pPr>
        <w:pStyle w:val="Annex"/>
      </w:pPr>
      <w:r w:rsidRPr="00C67A3D">
        <w:t>Annex I</w:t>
      </w:r>
    </w:p>
    <w:p w14:paraId="787BDEDF" w14:textId="3E0E4DB9" w:rsidR="000933AF" w:rsidRDefault="00240805" w:rsidP="00C67A3D">
      <w:pPr>
        <w:pStyle w:val="Title"/>
        <w:jc w:val="left"/>
        <w:rPr>
          <w:rFonts w:hint="eastAsia"/>
        </w:rPr>
      </w:pPr>
      <w:r>
        <w:t>T</w:t>
      </w:r>
      <w:r w:rsidR="000933AF" w:rsidRPr="00447B46">
        <w:t xml:space="preserve">erms of reference for </w:t>
      </w:r>
      <w:r w:rsidR="000933AF" w:rsidRPr="008B7327">
        <w:t xml:space="preserve">the </w:t>
      </w:r>
      <w:r w:rsidR="000933AF" w:rsidRPr="008F6FFF">
        <w:t xml:space="preserve">Technical </w:t>
      </w:r>
      <w:r>
        <w:t>E</w:t>
      </w:r>
      <w:r w:rsidR="000933AF" w:rsidRPr="008B7327">
        <w:t>xpert</w:t>
      </w:r>
      <w:r w:rsidR="000933AF" w:rsidRPr="003A1563">
        <w:t xml:space="preserve"> </w:t>
      </w:r>
      <w:r>
        <w:t>G</w:t>
      </w:r>
      <w:r w:rsidR="000933AF" w:rsidRPr="003A1563">
        <w:t>roup</w:t>
      </w:r>
      <w:r w:rsidR="000933AF" w:rsidRPr="00447B46">
        <w:t xml:space="preserve"> on </w:t>
      </w:r>
      <w:r>
        <w:t>F</w:t>
      </w:r>
      <w:r w:rsidR="000933AF" w:rsidRPr="00447B46">
        <w:t xml:space="preserve">inancial </w:t>
      </w:r>
      <w:r>
        <w:t>R</w:t>
      </w:r>
      <w:r w:rsidR="000933AF" w:rsidRPr="00447B46">
        <w:t>eporting</w:t>
      </w:r>
      <w:r w:rsidR="000933AF">
        <w:rPr>
          <w:rStyle w:val="FootnoteReference"/>
          <w:iCs/>
          <w:caps/>
        </w:rPr>
        <w:footnoteReference w:id="6"/>
      </w:r>
    </w:p>
    <w:p w14:paraId="43220EBE" w14:textId="77777777" w:rsidR="000933AF" w:rsidRPr="00447B46" w:rsidRDefault="000933AF" w:rsidP="004960CF">
      <w:pPr>
        <w:keepNext/>
        <w:keepLines/>
        <w:numPr>
          <w:ilvl w:val="0"/>
          <w:numId w:val="7"/>
        </w:numPr>
        <w:suppressLineNumbers/>
        <w:tabs>
          <w:tab w:val="left" w:pos="1134"/>
        </w:tabs>
        <w:suppressAutoHyphens/>
        <w:kinsoku w:val="0"/>
        <w:overflowPunct w:val="0"/>
        <w:autoSpaceDE w:val="0"/>
        <w:autoSpaceDN w:val="0"/>
        <w:adjustRightInd w:val="0"/>
        <w:snapToGrid w:val="0"/>
        <w:spacing w:before="120" w:after="120"/>
        <w:ind w:left="567" w:hanging="11"/>
        <w:rPr>
          <w:snapToGrid w:val="0"/>
          <w:kern w:val="22"/>
          <w:szCs w:val="22"/>
        </w:rPr>
      </w:pPr>
      <w:r w:rsidRPr="00447B46">
        <w:rPr>
          <w:snapToGrid w:val="0"/>
          <w:kern w:val="22"/>
          <w:szCs w:val="22"/>
        </w:rPr>
        <w:t>The</w:t>
      </w:r>
      <w:r w:rsidRPr="00447B46">
        <w:rPr>
          <w:spacing w:val="-2"/>
          <w:kern w:val="22"/>
          <w:szCs w:val="22"/>
        </w:rPr>
        <w:t xml:space="preserve"> </w:t>
      </w:r>
      <w:r>
        <w:rPr>
          <w:spacing w:val="-2"/>
          <w:kern w:val="22"/>
          <w:szCs w:val="22"/>
        </w:rPr>
        <w:t>Technical E</w:t>
      </w:r>
      <w:r w:rsidRPr="00447B46">
        <w:rPr>
          <w:spacing w:val="-2"/>
          <w:kern w:val="22"/>
          <w:szCs w:val="22"/>
        </w:rPr>
        <w:t xml:space="preserve">xpert </w:t>
      </w:r>
      <w:r>
        <w:rPr>
          <w:spacing w:val="-2"/>
          <w:kern w:val="22"/>
          <w:szCs w:val="22"/>
        </w:rPr>
        <w:t>G</w:t>
      </w:r>
      <w:r w:rsidRPr="00447B46">
        <w:rPr>
          <w:spacing w:val="-2"/>
          <w:kern w:val="22"/>
          <w:szCs w:val="22"/>
        </w:rPr>
        <w:t xml:space="preserve">roup </w:t>
      </w:r>
      <w:r>
        <w:rPr>
          <w:spacing w:val="-2"/>
          <w:kern w:val="22"/>
          <w:szCs w:val="22"/>
        </w:rPr>
        <w:t xml:space="preserve">on Financial Reporting </w:t>
      </w:r>
      <w:r w:rsidRPr="00447B46">
        <w:rPr>
          <w:snapToGrid w:val="0"/>
          <w:kern w:val="22"/>
          <w:szCs w:val="22"/>
        </w:rPr>
        <w:t>will work:</w:t>
      </w:r>
    </w:p>
    <w:p w14:paraId="0C9C6113" w14:textId="77777777" w:rsidR="000933AF" w:rsidRPr="00447B46" w:rsidRDefault="000933AF" w:rsidP="004960CF">
      <w:pPr>
        <w:numPr>
          <w:ilvl w:val="0"/>
          <w:numId w:val="9"/>
        </w:numPr>
        <w:suppressLineNumbers/>
        <w:tabs>
          <w:tab w:val="left" w:pos="1701"/>
        </w:tabs>
        <w:suppressAutoHyphens/>
        <w:kinsoku w:val="0"/>
        <w:overflowPunct w:val="0"/>
        <w:autoSpaceDE w:val="0"/>
        <w:autoSpaceDN w:val="0"/>
        <w:adjustRightInd w:val="0"/>
        <w:snapToGrid w:val="0"/>
        <w:spacing w:before="120" w:after="120"/>
        <w:ind w:left="567" w:firstLine="567"/>
        <w:rPr>
          <w:snapToGrid w:val="0"/>
          <w:kern w:val="22"/>
          <w:szCs w:val="22"/>
        </w:rPr>
      </w:pPr>
      <w:r w:rsidRPr="00447B46">
        <w:rPr>
          <w:snapToGrid w:val="0"/>
          <w:kern w:val="22"/>
          <w:szCs w:val="22"/>
        </w:rPr>
        <w:t xml:space="preserve">To identify detailed metadata and information, including monitoring capacity-building needs, </w:t>
      </w:r>
      <w:r>
        <w:rPr>
          <w:snapToGrid w:val="0"/>
          <w:kern w:val="22"/>
          <w:szCs w:val="22"/>
        </w:rPr>
        <w:t>filling gaps in indicators for the goals and targets that are relevant for resource mobilization</w:t>
      </w:r>
      <w:r w:rsidRPr="00447B46">
        <w:rPr>
          <w:snapToGrid w:val="0"/>
          <w:kern w:val="22"/>
          <w:szCs w:val="22"/>
        </w:rPr>
        <w:t xml:space="preserve">, </w:t>
      </w:r>
      <w:r>
        <w:rPr>
          <w:snapToGrid w:val="0"/>
          <w:kern w:val="22"/>
          <w:szCs w:val="22"/>
        </w:rPr>
        <w:t xml:space="preserve">in particular for public expenditures and private investments, </w:t>
      </w:r>
      <w:r w:rsidRPr="00447B46">
        <w:rPr>
          <w:snapToGrid w:val="0"/>
          <w:kern w:val="22"/>
          <w:szCs w:val="22"/>
        </w:rPr>
        <w:t xml:space="preserve">and other targets relevant for resource mobilization, in the monitoring framework for the </w:t>
      </w:r>
      <w:r>
        <w:rPr>
          <w:snapToGrid w:val="0"/>
          <w:kern w:val="22"/>
          <w:szCs w:val="22"/>
        </w:rPr>
        <w:t>Kunming-Montreal Global Biodiversity Framework</w:t>
      </w:r>
      <w:r w:rsidRPr="00447B46">
        <w:rPr>
          <w:snapToGrid w:val="0"/>
          <w:kern w:val="22"/>
          <w:szCs w:val="22"/>
        </w:rPr>
        <w:t>,</w:t>
      </w:r>
      <w:r w:rsidRPr="00447B46">
        <w:rPr>
          <w:snapToGrid w:val="0"/>
          <w:kern w:val="22"/>
          <w:szCs w:val="22"/>
          <w:vertAlign w:val="superscript"/>
        </w:rPr>
        <w:footnoteReference w:id="7"/>
      </w:r>
      <w:r w:rsidRPr="00447B46">
        <w:rPr>
          <w:snapToGrid w:val="0"/>
          <w:kern w:val="22"/>
          <w:szCs w:val="22"/>
        </w:rPr>
        <w:t xml:space="preserve"> taking into account existing methodologies and standards which have been developed, including the Sustainable Development Goal indicators, the Framework for the Development of Environment Statistics and the System of Environmental-Economic Accounting developed under the auspices of the United Nations Statistical Commission;</w:t>
      </w:r>
    </w:p>
    <w:p w14:paraId="6644C568" w14:textId="77777777" w:rsidR="000933AF" w:rsidRDefault="000933AF" w:rsidP="004960CF">
      <w:pPr>
        <w:numPr>
          <w:ilvl w:val="0"/>
          <w:numId w:val="9"/>
        </w:numPr>
        <w:suppressLineNumbers/>
        <w:tabs>
          <w:tab w:val="left" w:pos="1701"/>
        </w:tabs>
        <w:suppressAutoHyphens/>
        <w:kinsoku w:val="0"/>
        <w:overflowPunct w:val="0"/>
        <w:autoSpaceDE w:val="0"/>
        <w:autoSpaceDN w:val="0"/>
        <w:adjustRightInd w:val="0"/>
        <w:snapToGrid w:val="0"/>
        <w:spacing w:before="120" w:after="120"/>
        <w:ind w:left="567" w:firstLine="567"/>
        <w:rPr>
          <w:snapToGrid w:val="0"/>
          <w:color w:val="000000" w:themeColor="text1"/>
          <w:kern w:val="22"/>
          <w:szCs w:val="22"/>
        </w:rPr>
      </w:pPr>
      <w:r w:rsidRPr="00447B46">
        <w:rPr>
          <w:snapToGrid w:val="0"/>
          <w:kern w:val="22"/>
          <w:szCs w:val="22"/>
        </w:rPr>
        <w:t xml:space="preserve">To provide technical advice and develop guidance on monitoring resource mobilization, including the implementation of indicators, including advice on the use of harmonized and agreed indicator definitions, best practices for monitoring and national data sharing, </w:t>
      </w:r>
      <w:r w:rsidRPr="00447B46">
        <w:rPr>
          <w:snapToGrid w:val="0"/>
          <w:color w:val="000000" w:themeColor="text1"/>
          <w:kern w:val="22"/>
          <w:szCs w:val="22"/>
        </w:rPr>
        <w:t xml:space="preserve">and scientific and technical advice on the improvement of indicators or the addition of new indicators in the monitoring framework of the </w:t>
      </w:r>
      <w:r>
        <w:rPr>
          <w:snapToGrid w:val="0"/>
          <w:color w:val="000000" w:themeColor="text1"/>
          <w:kern w:val="22"/>
          <w:szCs w:val="22"/>
        </w:rPr>
        <w:t>Kunming-Montreal Global Biodiversity Framework</w:t>
      </w:r>
      <w:r w:rsidRPr="00447B46">
        <w:rPr>
          <w:snapToGrid w:val="0"/>
          <w:color w:val="000000" w:themeColor="text1"/>
          <w:kern w:val="22"/>
          <w:szCs w:val="22"/>
        </w:rPr>
        <w:t>, including indicators relevant to the private sector and other stakeholders</w:t>
      </w:r>
      <w:r>
        <w:rPr>
          <w:snapToGrid w:val="0"/>
          <w:color w:val="000000" w:themeColor="text1"/>
          <w:kern w:val="22"/>
          <w:szCs w:val="22"/>
        </w:rPr>
        <w:t>, elements of the national reports and the related national report template, taking into account the relevant national reporting system</w:t>
      </w:r>
      <w:r w:rsidRPr="00447B46">
        <w:rPr>
          <w:snapToGrid w:val="0"/>
          <w:color w:val="000000" w:themeColor="text1"/>
          <w:kern w:val="22"/>
          <w:szCs w:val="22"/>
        </w:rPr>
        <w:t>;</w:t>
      </w:r>
    </w:p>
    <w:p w14:paraId="775606C3" w14:textId="45D68F66" w:rsidR="000933AF" w:rsidRPr="00447B46" w:rsidRDefault="000933AF" w:rsidP="004960CF">
      <w:pPr>
        <w:suppressLineNumbers/>
        <w:tabs>
          <w:tab w:val="left" w:pos="1701"/>
        </w:tabs>
        <w:suppressAutoHyphens/>
        <w:kinsoku w:val="0"/>
        <w:overflowPunct w:val="0"/>
        <w:autoSpaceDE w:val="0"/>
        <w:autoSpaceDN w:val="0"/>
        <w:adjustRightInd w:val="0"/>
        <w:snapToGrid w:val="0"/>
        <w:spacing w:before="120" w:after="120"/>
        <w:ind w:left="567" w:firstLine="567"/>
        <w:rPr>
          <w:snapToGrid w:val="0"/>
          <w:color w:val="000000" w:themeColor="text1"/>
          <w:kern w:val="22"/>
          <w:szCs w:val="22"/>
        </w:rPr>
      </w:pPr>
      <w:r>
        <w:rPr>
          <w:snapToGrid w:val="0"/>
          <w:kern w:val="22"/>
          <w:szCs w:val="22"/>
        </w:rPr>
        <w:t>(c)</w:t>
      </w:r>
      <w:r>
        <w:rPr>
          <w:snapToGrid w:val="0"/>
          <w:kern w:val="22"/>
          <w:szCs w:val="22"/>
        </w:rPr>
        <w:tab/>
        <w:t xml:space="preserve">To recommend a simple, standardized national reporting template, or use of an existing reporting system, with the aim of collecting and reporting comparable data on financing for the Kunming-Montreal Global Biodiversity Framework from all sources, including levels and </w:t>
      </w:r>
      <w:proofErr w:type="gramStart"/>
      <w:r>
        <w:rPr>
          <w:snapToGrid w:val="0"/>
          <w:kern w:val="22"/>
          <w:szCs w:val="22"/>
        </w:rPr>
        <w:t>trends;</w:t>
      </w:r>
      <w:proofErr w:type="gramEnd"/>
    </w:p>
    <w:p w14:paraId="3A4E5AD4" w14:textId="77777777" w:rsidR="000933AF" w:rsidRPr="00447B46" w:rsidRDefault="000933AF" w:rsidP="004960CF">
      <w:pPr>
        <w:suppressLineNumbers/>
        <w:tabs>
          <w:tab w:val="left" w:pos="1701"/>
        </w:tabs>
        <w:suppressAutoHyphens/>
        <w:kinsoku w:val="0"/>
        <w:overflowPunct w:val="0"/>
        <w:autoSpaceDE w:val="0"/>
        <w:autoSpaceDN w:val="0"/>
        <w:adjustRightInd w:val="0"/>
        <w:snapToGrid w:val="0"/>
        <w:spacing w:before="120" w:after="120"/>
        <w:ind w:left="567" w:firstLine="567"/>
        <w:rPr>
          <w:snapToGrid w:val="0"/>
          <w:color w:val="000000" w:themeColor="text1"/>
          <w:kern w:val="22"/>
          <w:szCs w:val="22"/>
        </w:rPr>
      </w:pPr>
      <w:r>
        <w:rPr>
          <w:snapToGrid w:val="0"/>
          <w:color w:val="000000" w:themeColor="text1"/>
          <w:kern w:val="22"/>
          <w:szCs w:val="22"/>
        </w:rPr>
        <w:t>(d)</w:t>
      </w:r>
      <w:r>
        <w:rPr>
          <w:snapToGrid w:val="0"/>
          <w:color w:val="000000" w:themeColor="text1"/>
          <w:kern w:val="22"/>
          <w:szCs w:val="22"/>
        </w:rPr>
        <w:tab/>
      </w:r>
      <w:r w:rsidRPr="00447B46">
        <w:rPr>
          <w:snapToGrid w:val="0"/>
          <w:color w:val="000000" w:themeColor="text1"/>
          <w:kern w:val="22"/>
          <w:szCs w:val="22"/>
        </w:rPr>
        <w:t xml:space="preserve">To </w:t>
      </w:r>
      <w:r w:rsidRPr="00A3490B">
        <w:rPr>
          <w:snapToGrid w:val="0"/>
          <w:kern w:val="22"/>
          <w:szCs w:val="22"/>
        </w:rPr>
        <w:t>provide</w:t>
      </w:r>
      <w:r w:rsidRPr="00447B46">
        <w:rPr>
          <w:snapToGrid w:val="0"/>
          <w:color w:val="000000" w:themeColor="text1"/>
          <w:kern w:val="22"/>
          <w:szCs w:val="22"/>
        </w:rPr>
        <w:t xml:space="preserve"> guidance to Parties on ways to fill data gaps</w:t>
      </w:r>
      <w:r>
        <w:rPr>
          <w:snapToGrid w:val="0"/>
          <w:color w:val="000000" w:themeColor="text1"/>
          <w:kern w:val="22"/>
          <w:szCs w:val="22"/>
        </w:rPr>
        <w:t xml:space="preserve"> in an efficient manner</w:t>
      </w:r>
      <w:r w:rsidRPr="00447B46">
        <w:rPr>
          <w:snapToGrid w:val="0"/>
          <w:color w:val="000000" w:themeColor="text1"/>
          <w:kern w:val="22"/>
          <w:szCs w:val="22"/>
        </w:rPr>
        <w:t xml:space="preserve">, recognizing the specific challenges faced by developing country Parties to develop and access information </w:t>
      </w:r>
      <w:proofErr w:type="gramStart"/>
      <w:r w:rsidRPr="00447B46">
        <w:rPr>
          <w:snapToGrid w:val="0"/>
          <w:color w:val="000000" w:themeColor="text1"/>
          <w:kern w:val="22"/>
          <w:szCs w:val="22"/>
        </w:rPr>
        <w:t>tools;</w:t>
      </w:r>
      <w:proofErr w:type="gramEnd"/>
    </w:p>
    <w:p w14:paraId="6AFF57BF" w14:textId="77777777" w:rsidR="000933AF" w:rsidRDefault="000933AF" w:rsidP="004960CF">
      <w:pPr>
        <w:suppressLineNumbers/>
        <w:tabs>
          <w:tab w:val="left" w:pos="1701"/>
        </w:tabs>
        <w:suppressAutoHyphens/>
        <w:kinsoku w:val="0"/>
        <w:overflowPunct w:val="0"/>
        <w:autoSpaceDE w:val="0"/>
        <w:autoSpaceDN w:val="0"/>
        <w:adjustRightInd w:val="0"/>
        <w:snapToGrid w:val="0"/>
        <w:spacing w:before="120" w:after="120"/>
        <w:ind w:left="567" w:firstLine="567"/>
        <w:rPr>
          <w:snapToGrid w:val="0"/>
          <w:kern w:val="22"/>
          <w:szCs w:val="22"/>
        </w:rPr>
      </w:pPr>
      <w:r>
        <w:rPr>
          <w:snapToGrid w:val="0"/>
          <w:kern w:val="22"/>
          <w:szCs w:val="22"/>
        </w:rPr>
        <w:t>(e)</w:t>
      </w:r>
      <w:r>
        <w:rPr>
          <w:snapToGrid w:val="0"/>
          <w:kern w:val="22"/>
          <w:szCs w:val="22"/>
        </w:rPr>
        <w:tab/>
      </w:r>
      <w:r w:rsidRPr="00447B46">
        <w:rPr>
          <w:snapToGrid w:val="0"/>
          <w:kern w:val="22"/>
          <w:szCs w:val="22"/>
        </w:rPr>
        <w:t>To provide advice on the existing capacity, gaps and needs in terms of capacity development, technology transfer and financing needs related to the financial monitoring and reporting.</w:t>
      </w:r>
    </w:p>
    <w:p w14:paraId="60D62755" w14:textId="77777777" w:rsidR="000933AF" w:rsidRPr="00447B46" w:rsidRDefault="000933AF" w:rsidP="004960CF">
      <w:pPr>
        <w:numPr>
          <w:ilvl w:val="0"/>
          <w:numId w:val="7"/>
        </w:numPr>
        <w:suppressLineNumbers/>
        <w:tabs>
          <w:tab w:val="left" w:pos="1134"/>
        </w:tabs>
        <w:suppressAutoHyphens/>
        <w:kinsoku w:val="0"/>
        <w:overflowPunct w:val="0"/>
        <w:autoSpaceDE w:val="0"/>
        <w:autoSpaceDN w:val="0"/>
        <w:adjustRightInd w:val="0"/>
        <w:snapToGrid w:val="0"/>
        <w:spacing w:before="120" w:after="120"/>
        <w:ind w:left="567" w:hanging="11"/>
        <w:rPr>
          <w:snapToGrid w:val="0"/>
          <w:kern w:val="22"/>
          <w:szCs w:val="22"/>
        </w:rPr>
      </w:pPr>
      <w:r w:rsidRPr="00447B46">
        <w:rPr>
          <w:snapToGrid w:val="0"/>
          <w:kern w:val="22"/>
          <w:szCs w:val="22"/>
        </w:rPr>
        <w:t xml:space="preserve">The </w:t>
      </w:r>
      <w:r w:rsidRPr="00447B46">
        <w:rPr>
          <w:spacing w:val="-2"/>
          <w:kern w:val="22"/>
          <w:szCs w:val="22"/>
        </w:rPr>
        <w:t xml:space="preserve">expert working </w:t>
      </w:r>
      <w:r w:rsidRPr="00447B46">
        <w:rPr>
          <w:snapToGrid w:val="0"/>
          <w:kern w:val="22"/>
          <w:szCs w:val="22"/>
        </w:rPr>
        <w:t xml:space="preserve">group will </w:t>
      </w:r>
      <w:proofErr w:type="gramStart"/>
      <w:r w:rsidRPr="00447B46">
        <w:rPr>
          <w:snapToGrid w:val="0"/>
          <w:kern w:val="22"/>
          <w:szCs w:val="22"/>
        </w:rPr>
        <w:t>take into account</w:t>
      </w:r>
      <w:proofErr w:type="gramEnd"/>
      <w:r w:rsidRPr="00447B46">
        <w:rPr>
          <w:snapToGrid w:val="0"/>
          <w:kern w:val="22"/>
          <w:szCs w:val="22"/>
        </w:rPr>
        <w:t>:</w:t>
      </w:r>
    </w:p>
    <w:p w14:paraId="12AFC5EB" w14:textId="77777777" w:rsidR="000933AF" w:rsidRDefault="000933AF" w:rsidP="004960CF">
      <w:pPr>
        <w:numPr>
          <w:ilvl w:val="1"/>
          <w:numId w:val="8"/>
        </w:numPr>
        <w:suppressLineNumbers/>
        <w:tabs>
          <w:tab w:val="left" w:pos="1701"/>
        </w:tabs>
        <w:suppressAutoHyphens/>
        <w:kinsoku w:val="0"/>
        <w:overflowPunct w:val="0"/>
        <w:autoSpaceDE w:val="0"/>
        <w:autoSpaceDN w:val="0"/>
        <w:adjustRightInd w:val="0"/>
        <w:snapToGrid w:val="0"/>
        <w:spacing w:before="120" w:after="120"/>
        <w:ind w:left="567" w:firstLine="567"/>
        <w:rPr>
          <w:snapToGrid w:val="0"/>
          <w:kern w:val="22"/>
          <w:szCs w:val="22"/>
        </w:rPr>
      </w:pPr>
      <w:r w:rsidRPr="00447B46">
        <w:rPr>
          <w:snapToGrid w:val="0"/>
          <w:kern w:val="22"/>
          <w:szCs w:val="22"/>
        </w:rPr>
        <w:t>Previous work and experience under the Convention on financial reporting</w:t>
      </w:r>
      <w:r>
        <w:rPr>
          <w:snapToGrid w:val="0"/>
          <w:kern w:val="22"/>
          <w:szCs w:val="22"/>
        </w:rPr>
        <w:t>, including the work of the panel of experts,</w:t>
      </w:r>
      <w:r w:rsidRPr="00447B46">
        <w:rPr>
          <w:snapToGrid w:val="0"/>
          <w:kern w:val="22"/>
          <w:szCs w:val="22"/>
        </w:rPr>
        <w:t xml:space="preserve"> and other relevant programmes of work concerning indicators and </w:t>
      </w:r>
      <w:proofErr w:type="gramStart"/>
      <w:r w:rsidRPr="00447B46">
        <w:rPr>
          <w:snapToGrid w:val="0"/>
          <w:kern w:val="22"/>
          <w:szCs w:val="22"/>
        </w:rPr>
        <w:t>monitoring;</w:t>
      </w:r>
      <w:proofErr w:type="gramEnd"/>
    </w:p>
    <w:p w14:paraId="7C487A45" w14:textId="77777777" w:rsidR="000933AF" w:rsidRPr="00447B46" w:rsidRDefault="000933AF" w:rsidP="004960CF">
      <w:pPr>
        <w:numPr>
          <w:ilvl w:val="1"/>
          <w:numId w:val="8"/>
        </w:numPr>
        <w:suppressLineNumbers/>
        <w:tabs>
          <w:tab w:val="left" w:pos="1701"/>
        </w:tabs>
        <w:suppressAutoHyphens/>
        <w:kinsoku w:val="0"/>
        <w:overflowPunct w:val="0"/>
        <w:autoSpaceDE w:val="0"/>
        <w:autoSpaceDN w:val="0"/>
        <w:adjustRightInd w:val="0"/>
        <w:snapToGrid w:val="0"/>
        <w:spacing w:before="120" w:after="120"/>
        <w:ind w:left="567" w:firstLine="567"/>
        <w:rPr>
          <w:snapToGrid w:val="0"/>
          <w:kern w:val="22"/>
          <w:szCs w:val="22"/>
        </w:rPr>
      </w:pPr>
      <w:r>
        <w:rPr>
          <w:snapToGrid w:val="0"/>
          <w:kern w:val="22"/>
          <w:szCs w:val="22"/>
        </w:rPr>
        <w:t xml:space="preserve">National finance plans or similar </w:t>
      </w:r>
      <w:proofErr w:type="gramStart"/>
      <w:r>
        <w:rPr>
          <w:snapToGrid w:val="0"/>
          <w:kern w:val="22"/>
          <w:szCs w:val="22"/>
        </w:rPr>
        <w:t>instruments;</w:t>
      </w:r>
      <w:proofErr w:type="gramEnd"/>
    </w:p>
    <w:p w14:paraId="0387A839" w14:textId="77777777" w:rsidR="000933AF" w:rsidRPr="00451F41" w:rsidRDefault="000933AF" w:rsidP="004960CF">
      <w:pPr>
        <w:numPr>
          <w:ilvl w:val="1"/>
          <w:numId w:val="8"/>
        </w:numPr>
        <w:suppressLineNumbers/>
        <w:tabs>
          <w:tab w:val="left" w:pos="1701"/>
        </w:tabs>
        <w:suppressAutoHyphens/>
        <w:kinsoku w:val="0"/>
        <w:overflowPunct w:val="0"/>
        <w:autoSpaceDE w:val="0"/>
        <w:autoSpaceDN w:val="0"/>
        <w:adjustRightInd w:val="0"/>
        <w:snapToGrid w:val="0"/>
        <w:spacing w:before="120" w:after="120"/>
        <w:ind w:left="567" w:firstLine="567"/>
        <w:rPr>
          <w:snapToGrid w:val="0"/>
          <w:kern w:val="22"/>
          <w:szCs w:val="22"/>
        </w:rPr>
      </w:pPr>
      <w:r w:rsidRPr="00447B46">
        <w:rPr>
          <w:snapToGrid w:val="0"/>
          <w:color w:val="000000" w:themeColor="text1"/>
          <w:kern w:val="22"/>
          <w:szCs w:val="22"/>
        </w:rPr>
        <w:t xml:space="preserve">Statistical standards and development under the intergovernmental forum of the Statistical </w:t>
      </w:r>
      <w:proofErr w:type="gramStart"/>
      <w:r w:rsidRPr="00447B46">
        <w:rPr>
          <w:snapToGrid w:val="0"/>
          <w:color w:val="000000" w:themeColor="text1"/>
          <w:kern w:val="22"/>
          <w:szCs w:val="22"/>
        </w:rPr>
        <w:t>Commission;</w:t>
      </w:r>
      <w:proofErr w:type="gramEnd"/>
    </w:p>
    <w:p w14:paraId="064D4FA1" w14:textId="77777777" w:rsidR="000933AF" w:rsidRPr="00447B46" w:rsidRDefault="000933AF" w:rsidP="004960CF">
      <w:pPr>
        <w:numPr>
          <w:ilvl w:val="1"/>
          <w:numId w:val="8"/>
        </w:numPr>
        <w:suppressLineNumbers/>
        <w:tabs>
          <w:tab w:val="left" w:pos="1701"/>
        </w:tabs>
        <w:suppressAutoHyphens/>
        <w:kinsoku w:val="0"/>
        <w:overflowPunct w:val="0"/>
        <w:autoSpaceDE w:val="0"/>
        <w:autoSpaceDN w:val="0"/>
        <w:adjustRightInd w:val="0"/>
        <w:snapToGrid w:val="0"/>
        <w:spacing w:before="120" w:after="120"/>
        <w:ind w:left="567" w:firstLine="567"/>
        <w:rPr>
          <w:snapToGrid w:val="0"/>
          <w:kern w:val="22"/>
          <w:szCs w:val="22"/>
        </w:rPr>
      </w:pPr>
      <w:r>
        <w:rPr>
          <w:snapToGrid w:val="0"/>
          <w:color w:val="000000" w:themeColor="text1"/>
          <w:kern w:val="22"/>
          <w:szCs w:val="22"/>
        </w:rPr>
        <w:t xml:space="preserve">Reporting against the Sustainable Development </w:t>
      </w:r>
      <w:proofErr w:type="gramStart"/>
      <w:r>
        <w:rPr>
          <w:snapToGrid w:val="0"/>
          <w:color w:val="000000" w:themeColor="text1"/>
          <w:kern w:val="22"/>
          <w:szCs w:val="22"/>
        </w:rPr>
        <w:t>Goals;</w:t>
      </w:r>
      <w:proofErr w:type="gramEnd"/>
    </w:p>
    <w:p w14:paraId="5EF47A73" w14:textId="77777777" w:rsidR="000933AF" w:rsidRPr="00447B46" w:rsidRDefault="000933AF" w:rsidP="004960CF">
      <w:pPr>
        <w:numPr>
          <w:ilvl w:val="1"/>
          <w:numId w:val="8"/>
        </w:numPr>
        <w:suppressLineNumbers/>
        <w:tabs>
          <w:tab w:val="left" w:pos="1701"/>
        </w:tabs>
        <w:suppressAutoHyphens/>
        <w:kinsoku w:val="0"/>
        <w:overflowPunct w:val="0"/>
        <w:autoSpaceDE w:val="0"/>
        <w:autoSpaceDN w:val="0"/>
        <w:adjustRightInd w:val="0"/>
        <w:snapToGrid w:val="0"/>
        <w:spacing w:before="120" w:after="120"/>
        <w:ind w:left="567" w:firstLine="567"/>
        <w:rPr>
          <w:snapToGrid w:val="0"/>
          <w:kern w:val="22"/>
          <w:szCs w:val="22"/>
        </w:rPr>
      </w:pPr>
      <w:r w:rsidRPr="00447B46">
        <w:rPr>
          <w:snapToGrid w:val="0"/>
          <w:color w:val="000000" w:themeColor="text1"/>
          <w:kern w:val="22"/>
          <w:szCs w:val="22"/>
        </w:rPr>
        <w:t xml:space="preserve">Previous work and experience with other relevant global, </w:t>
      </w:r>
      <w:proofErr w:type="gramStart"/>
      <w:r w:rsidRPr="00447B46">
        <w:rPr>
          <w:snapToGrid w:val="0"/>
          <w:color w:val="000000" w:themeColor="text1"/>
          <w:kern w:val="22"/>
          <w:szCs w:val="22"/>
        </w:rPr>
        <w:t>regional</w:t>
      </w:r>
      <w:proofErr w:type="gramEnd"/>
      <w:r w:rsidRPr="00447B46">
        <w:rPr>
          <w:snapToGrid w:val="0"/>
          <w:color w:val="000000" w:themeColor="text1"/>
          <w:kern w:val="22"/>
          <w:szCs w:val="22"/>
        </w:rPr>
        <w:t xml:space="preserve"> and national monitoring frameworks, multilateral environment agreements, and knowledge systems, including work of the Biodiversity Finance Initiative of the United Nations Development Programme (BIOFIN) and the Organisation for Economic Co-operation and Development.</w:t>
      </w:r>
    </w:p>
    <w:p w14:paraId="640A78FF" w14:textId="77777777" w:rsidR="000933AF" w:rsidRPr="00447B46" w:rsidRDefault="000933AF" w:rsidP="004960CF">
      <w:pPr>
        <w:numPr>
          <w:ilvl w:val="0"/>
          <w:numId w:val="10"/>
        </w:numPr>
        <w:suppressLineNumbers/>
        <w:suppressAutoHyphens/>
        <w:kinsoku w:val="0"/>
        <w:overflowPunct w:val="0"/>
        <w:autoSpaceDE w:val="0"/>
        <w:autoSpaceDN w:val="0"/>
        <w:adjustRightInd w:val="0"/>
        <w:snapToGrid w:val="0"/>
        <w:spacing w:before="120" w:after="120"/>
        <w:ind w:left="567" w:firstLine="0"/>
        <w:rPr>
          <w:snapToGrid w:val="0"/>
          <w:kern w:val="22"/>
          <w:szCs w:val="22"/>
        </w:rPr>
      </w:pPr>
      <w:r w:rsidRPr="00447B46">
        <w:rPr>
          <w:snapToGrid w:val="0"/>
          <w:kern w:val="22"/>
          <w:szCs w:val="22"/>
        </w:rPr>
        <w:t xml:space="preserve">The </w:t>
      </w:r>
      <w:r>
        <w:rPr>
          <w:snapToGrid w:val="0"/>
          <w:kern w:val="22"/>
          <w:szCs w:val="22"/>
        </w:rPr>
        <w:t xml:space="preserve">Technical </w:t>
      </w:r>
      <w:r>
        <w:rPr>
          <w:spacing w:val="-2"/>
          <w:kern w:val="22"/>
          <w:szCs w:val="22"/>
        </w:rPr>
        <w:t>E</w:t>
      </w:r>
      <w:r w:rsidRPr="00447B46">
        <w:rPr>
          <w:spacing w:val="-2"/>
          <w:kern w:val="22"/>
          <w:szCs w:val="22"/>
        </w:rPr>
        <w:t xml:space="preserve">xpert </w:t>
      </w:r>
      <w:r>
        <w:rPr>
          <w:snapToGrid w:val="0"/>
          <w:kern w:val="22"/>
          <w:szCs w:val="22"/>
        </w:rPr>
        <w:t>G</w:t>
      </w:r>
      <w:r w:rsidRPr="00447B46">
        <w:rPr>
          <w:snapToGrid w:val="0"/>
          <w:kern w:val="22"/>
          <w:szCs w:val="22"/>
        </w:rPr>
        <w:t xml:space="preserve">roup </w:t>
      </w:r>
      <w:r w:rsidRPr="0067106C">
        <w:rPr>
          <w:snapToGrid w:val="0"/>
          <w:kern w:val="22"/>
          <w:szCs w:val="22"/>
        </w:rPr>
        <w:t>will contribute to the work of the Ad</w:t>
      </w:r>
      <w:r w:rsidRPr="00447B46">
        <w:rPr>
          <w:snapToGrid w:val="0"/>
          <w:kern w:val="22"/>
          <w:szCs w:val="22"/>
        </w:rPr>
        <w:t xml:space="preserve"> </w:t>
      </w:r>
      <w:r>
        <w:rPr>
          <w:snapToGrid w:val="0"/>
          <w:kern w:val="22"/>
          <w:szCs w:val="22"/>
        </w:rPr>
        <w:t>H</w:t>
      </w:r>
      <w:r w:rsidRPr="00447B46">
        <w:rPr>
          <w:snapToGrid w:val="0"/>
          <w:kern w:val="22"/>
          <w:szCs w:val="22"/>
        </w:rPr>
        <w:t xml:space="preserve">oc </w:t>
      </w:r>
      <w:r>
        <w:rPr>
          <w:snapToGrid w:val="0"/>
          <w:kern w:val="22"/>
          <w:szCs w:val="22"/>
        </w:rPr>
        <w:t>T</w:t>
      </w:r>
      <w:r w:rsidRPr="00447B46">
        <w:rPr>
          <w:snapToGrid w:val="0"/>
          <w:kern w:val="22"/>
          <w:szCs w:val="22"/>
        </w:rPr>
        <w:t xml:space="preserve">echnical </w:t>
      </w:r>
      <w:r>
        <w:rPr>
          <w:snapToGrid w:val="0"/>
          <w:kern w:val="22"/>
          <w:szCs w:val="22"/>
        </w:rPr>
        <w:t>E</w:t>
      </w:r>
      <w:r w:rsidRPr="00447B46">
        <w:rPr>
          <w:snapToGrid w:val="0"/>
          <w:kern w:val="22"/>
          <w:szCs w:val="22"/>
        </w:rPr>
        <w:t xml:space="preserve">xpert </w:t>
      </w:r>
      <w:r>
        <w:rPr>
          <w:snapToGrid w:val="0"/>
          <w:kern w:val="22"/>
          <w:szCs w:val="22"/>
        </w:rPr>
        <w:t>G</w:t>
      </w:r>
      <w:r w:rsidRPr="00447B46">
        <w:rPr>
          <w:snapToGrid w:val="0"/>
          <w:kern w:val="22"/>
          <w:szCs w:val="22"/>
        </w:rPr>
        <w:t xml:space="preserve">roup </w:t>
      </w:r>
      <w:r>
        <w:rPr>
          <w:snapToGrid w:val="0"/>
          <w:kern w:val="22"/>
          <w:szCs w:val="22"/>
        </w:rPr>
        <w:t xml:space="preserve">on Indicators for the Kunming-Montreal Global Biodiversity Framework </w:t>
      </w:r>
      <w:r w:rsidRPr="00447B46">
        <w:rPr>
          <w:snapToGrid w:val="0"/>
          <w:kern w:val="22"/>
          <w:szCs w:val="22"/>
        </w:rPr>
        <w:t xml:space="preserve">that </w:t>
      </w:r>
      <w:r w:rsidRPr="00DA4A5E">
        <w:rPr>
          <w:snapToGrid w:val="0"/>
          <w:kern w:val="22"/>
          <w:szCs w:val="22"/>
        </w:rPr>
        <w:t>was established to advise</w:t>
      </w:r>
      <w:r w:rsidRPr="00447B46">
        <w:rPr>
          <w:snapToGrid w:val="0"/>
          <w:kern w:val="22"/>
          <w:szCs w:val="22"/>
        </w:rPr>
        <w:t xml:space="preserve"> on the further operationalization of the monitoring framework for the </w:t>
      </w:r>
      <w:r>
        <w:rPr>
          <w:snapToGrid w:val="0"/>
          <w:kern w:val="22"/>
          <w:szCs w:val="22"/>
        </w:rPr>
        <w:t>Kunming-Montreal Global Biodiversity Framework</w:t>
      </w:r>
      <w:r w:rsidRPr="00447B46">
        <w:rPr>
          <w:snapToGrid w:val="0"/>
          <w:kern w:val="22"/>
          <w:szCs w:val="22"/>
        </w:rPr>
        <w:t>, in accordance with paragraph 6 of the terms of reference of that group,</w:t>
      </w:r>
      <w:r w:rsidRPr="00447B46">
        <w:rPr>
          <w:snapToGrid w:val="0"/>
          <w:kern w:val="22"/>
          <w:szCs w:val="22"/>
          <w:vertAlign w:val="superscript"/>
        </w:rPr>
        <w:footnoteReference w:id="8"/>
      </w:r>
      <w:r w:rsidRPr="00447B46">
        <w:rPr>
          <w:snapToGrid w:val="0"/>
          <w:kern w:val="22"/>
          <w:szCs w:val="22"/>
        </w:rPr>
        <w:t xml:space="preserve"> bearing in mind geographical balance. The </w:t>
      </w:r>
      <w:r w:rsidRPr="00DA4A5E">
        <w:rPr>
          <w:snapToGrid w:val="0"/>
          <w:kern w:val="22"/>
          <w:szCs w:val="22"/>
        </w:rPr>
        <w:t>group will</w:t>
      </w:r>
      <w:r w:rsidRPr="00447B46">
        <w:rPr>
          <w:snapToGrid w:val="0"/>
          <w:kern w:val="22"/>
          <w:szCs w:val="22"/>
        </w:rPr>
        <w:t xml:space="preserve"> be composed of technical experts on biodiversity finance statistics from Parties as well as observers and other relevant organizations.</w:t>
      </w:r>
    </w:p>
    <w:p w14:paraId="00D0CC12" w14:textId="77777777" w:rsidR="000933AF" w:rsidRPr="00447B46" w:rsidRDefault="000933AF" w:rsidP="004960CF">
      <w:pPr>
        <w:numPr>
          <w:ilvl w:val="0"/>
          <w:numId w:val="10"/>
        </w:numPr>
        <w:suppressLineNumbers/>
        <w:suppressAutoHyphens/>
        <w:kinsoku w:val="0"/>
        <w:overflowPunct w:val="0"/>
        <w:autoSpaceDE w:val="0"/>
        <w:autoSpaceDN w:val="0"/>
        <w:adjustRightInd w:val="0"/>
        <w:snapToGrid w:val="0"/>
        <w:spacing w:before="120" w:after="120"/>
        <w:ind w:left="567" w:hanging="11"/>
        <w:rPr>
          <w:snapToGrid w:val="0"/>
          <w:kern w:val="22"/>
          <w:szCs w:val="22"/>
        </w:rPr>
      </w:pPr>
      <w:r w:rsidRPr="00447B46">
        <w:rPr>
          <w:snapToGrid w:val="0"/>
          <w:kern w:val="22"/>
          <w:szCs w:val="22"/>
        </w:rPr>
        <w:t xml:space="preserve">The </w:t>
      </w:r>
      <w:r>
        <w:rPr>
          <w:snapToGrid w:val="0"/>
          <w:kern w:val="22"/>
          <w:szCs w:val="22"/>
        </w:rPr>
        <w:t xml:space="preserve">Technical </w:t>
      </w:r>
      <w:r>
        <w:rPr>
          <w:spacing w:val="-2"/>
          <w:kern w:val="22"/>
          <w:szCs w:val="22"/>
        </w:rPr>
        <w:t>E</w:t>
      </w:r>
      <w:r w:rsidRPr="00447B46">
        <w:rPr>
          <w:spacing w:val="-2"/>
          <w:kern w:val="22"/>
          <w:szCs w:val="22"/>
        </w:rPr>
        <w:t xml:space="preserve">xpert </w:t>
      </w:r>
      <w:r>
        <w:rPr>
          <w:snapToGrid w:val="0"/>
          <w:kern w:val="22"/>
          <w:szCs w:val="22"/>
        </w:rPr>
        <w:t>G</w:t>
      </w:r>
      <w:r w:rsidRPr="00447B46">
        <w:rPr>
          <w:snapToGrid w:val="0"/>
          <w:kern w:val="22"/>
          <w:szCs w:val="22"/>
        </w:rPr>
        <w:t>roup will elect two co-chairs from among its members.</w:t>
      </w:r>
    </w:p>
    <w:p w14:paraId="6531848F" w14:textId="77777777" w:rsidR="000933AF" w:rsidRPr="00447B46" w:rsidRDefault="000933AF" w:rsidP="004960CF">
      <w:pPr>
        <w:numPr>
          <w:ilvl w:val="0"/>
          <w:numId w:val="10"/>
        </w:numPr>
        <w:suppressLineNumbers/>
        <w:suppressAutoHyphens/>
        <w:kinsoku w:val="0"/>
        <w:overflowPunct w:val="0"/>
        <w:autoSpaceDE w:val="0"/>
        <w:autoSpaceDN w:val="0"/>
        <w:adjustRightInd w:val="0"/>
        <w:snapToGrid w:val="0"/>
        <w:spacing w:before="120" w:after="120"/>
        <w:ind w:left="567" w:hanging="11"/>
        <w:rPr>
          <w:snapToGrid w:val="0"/>
          <w:kern w:val="22"/>
          <w:szCs w:val="22"/>
        </w:rPr>
      </w:pPr>
      <w:r w:rsidRPr="00447B46">
        <w:rPr>
          <w:snapToGrid w:val="0"/>
          <w:kern w:val="22"/>
          <w:szCs w:val="22"/>
        </w:rPr>
        <w:t xml:space="preserve">The </w:t>
      </w:r>
      <w:r>
        <w:rPr>
          <w:snapToGrid w:val="0"/>
          <w:kern w:val="22"/>
          <w:szCs w:val="22"/>
        </w:rPr>
        <w:t xml:space="preserve">Technical </w:t>
      </w:r>
      <w:r>
        <w:rPr>
          <w:spacing w:val="-2"/>
          <w:kern w:val="22"/>
          <w:szCs w:val="22"/>
        </w:rPr>
        <w:t>E</w:t>
      </w:r>
      <w:r w:rsidRPr="00447B46">
        <w:rPr>
          <w:spacing w:val="-2"/>
          <w:kern w:val="22"/>
          <w:szCs w:val="22"/>
        </w:rPr>
        <w:t xml:space="preserve">xpert </w:t>
      </w:r>
      <w:r>
        <w:rPr>
          <w:snapToGrid w:val="0"/>
          <w:kern w:val="22"/>
          <w:szCs w:val="22"/>
        </w:rPr>
        <w:t>G</w:t>
      </w:r>
      <w:r w:rsidRPr="00447B46">
        <w:rPr>
          <w:snapToGrid w:val="0"/>
          <w:kern w:val="22"/>
          <w:szCs w:val="22"/>
        </w:rPr>
        <w:t xml:space="preserve">roup will coordinate closely with the </w:t>
      </w:r>
      <w:r>
        <w:rPr>
          <w:snapToGrid w:val="0"/>
          <w:kern w:val="22"/>
          <w:szCs w:val="22"/>
        </w:rPr>
        <w:t>A</w:t>
      </w:r>
      <w:r w:rsidRPr="00447B46">
        <w:rPr>
          <w:snapToGrid w:val="0"/>
          <w:kern w:val="22"/>
          <w:szCs w:val="22"/>
        </w:rPr>
        <w:t xml:space="preserve">d </w:t>
      </w:r>
      <w:r>
        <w:rPr>
          <w:snapToGrid w:val="0"/>
          <w:kern w:val="22"/>
          <w:szCs w:val="22"/>
        </w:rPr>
        <w:t>H</w:t>
      </w:r>
      <w:r w:rsidRPr="00447B46">
        <w:rPr>
          <w:snapToGrid w:val="0"/>
          <w:kern w:val="22"/>
          <w:szCs w:val="22"/>
        </w:rPr>
        <w:t xml:space="preserve">oc </w:t>
      </w:r>
      <w:r>
        <w:rPr>
          <w:snapToGrid w:val="0"/>
          <w:kern w:val="22"/>
          <w:szCs w:val="22"/>
        </w:rPr>
        <w:t>T</w:t>
      </w:r>
      <w:r w:rsidRPr="00447B46">
        <w:rPr>
          <w:snapToGrid w:val="0"/>
          <w:kern w:val="22"/>
          <w:szCs w:val="22"/>
        </w:rPr>
        <w:t xml:space="preserve">echnical </w:t>
      </w:r>
      <w:r>
        <w:rPr>
          <w:snapToGrid w:val="0"/>
          <w:kern w:val="22"/>
          <w:szCs w:val="22"/>
        </w:rPr>
        <w:t>E</w:t>
      </w:r>
      <w:r w:rsidRPr="00447B46">
        <w:rPr>
          <w:snapToGrid w:val="0"/>
          <w:kern w:val="22"/>
          <w:szCs w:val="22"/>
        </w:rPr>
        <w:t xml:space="preserve">xpert </w:t>
      </w:r>
      <w:r>
        <w:rPr>
          <w:snapToGrid w:val="0"/>
          <w:kern w:val="22"/>
          <w:szCs w:val="22"/>
        </w:rPr>
        <w:t>G</w:t>
      </w:r>
      <w:r w:rsidRPr="00447B46">
        <w:rPr>
          <w:snapToGrid w:val="0"/>
          <w:kern w:val="22"/>
          <w:szCs w:val="22"/>
        </w:rPr>
        <w:t xml:space="preserve">roup </w:t>
      </w:r>
      <w:r>
        <w:rPr>
          <w:snapToGrid w:val="0"/>
          <w:kern w:val="22"/>
          <w:szCs w:val="22"/>
        </w:rPr>
        <w:t xml:space="preserve">on Indicators </w:t>
      </w:r>
      <w:r w:rsidRPr="00447B46">
        <w:rPr>
          <w:snapToGrid w:val="0"/>
          <w:kern w:val="22"/>
          <w:szCs w:val="22"/>
        </w:rPr>
        <w:t xml:space="preserve">for the </w:t>
      </w:r>
      <w:r>
        <w:rPr>
          <w:snapToGrid w:val="0"/>
          <w:kern w:val="22"/>
          <w:szCs w:val="22"/>
        </w:rPr>
        <w:t>Kunming-Montreal Global Biodiversity Framework</w:t>
      </w:r>
      <w:r w:rsidRPr="00447B46">
        <w:rPr>
          <w:snapToGrid w:val="0"/>
          <w:kern w:val="22"/>
          <w:szCs w:val="22"/>
        </w:rPr>
        <w:t xml:space="preserve">, </w:t>
      </w:r>
      <w:proofErr w:type="gramStart"/>
      <w:r w:rsidRPr="00447B46">
        <w:rPr>
          <w:snapToGrid w:val="0"/>
          <w:kern w:val="22"/>
          <w:szCs w:val="22"/>
        </w:rPr>
        <w:t>in order to</w:t>
      </w:r>
      <w:proofErr w:type="gramEnd"/>
      <w:r w:rsidRPr="00447B46">
        <w:rPr>
          <w:snapToGrid w:val="0"/>
          <w:kern w:val="22"/>
          <w:szCs w:val="22"/>
        </w:rPr>
        <w:t xml:space="preserve"> avoid overlapping mandates and the duplication of work.</w:t>
      </w:r>
    </w:p>
    <w:p w14:paraId="37B760BB" w14:textId="77777777" w:rsidR="000933AF" w:rsidRPr="00447B46" w:rsidRDefault="000933AF" w:rsidP="004960CF">
      <w:pPr>
        <w:numPr>
          <w:ilvl w:val="0"/>
          <w:numId w:val="10"/>
        </w:numPr>
        <w:suppressLineNumbers/>
        <w:suppressAutoHyphens/>
        <w:kinsoku w:val="0"/>
        <w:overflowPunct w:val="0"/>
        <w:autoSpaceDE w:val="0"/>
        <w:autoSpaceDN w:val="0"/>
        <w:adjustRightInd w:val="0"/>
        <w:snapToGrid w:val="0"/>
        <w:spacing w:before="120" w:after="120"/>
        <w:ind w:left="567" w:hanging="11"/>
        <w:rPr>
          <w:snapToGrid w:val="0"/>
          <w:kern w:val="22"/>
          <w:szCs w:val="22"/>
        </w:rPr>
      </w:pPr>
      <w:r w:rsidRPr="00447B46">
        <w:rPr>
          <w:snapToGrid w:val="0"/>
          <w:kern w:val="22"/>
          <w:szCs w:val="22"/>
        </w:rPr>
        <w:t xml:space="preserve">The </w:t>
      </w:r>
      <w:r>
        <w:rPr>
          <w:snapToGrid w:val="0"/>
          <w:kern w:val="22"/>
          <w:szCs w:val="22"/>
        </w:rPr>
        <w:t xml:space="preserve">Technical </w:t>
      </w:r>
      <w:r>
        <w:rPr>
          <w:spacing w:val="-2"/>
          <w:kern w:val="22"/>
          <w:szCs w:val="22"/>
        </w:rPr>
        <w:t>E</w:t>
      </w:r>
      <w:r w:rsidRPr="00447B46">
        <w:rPr>
          <w:spacing w:val="-2"/>
          <w:kern w:val="22"/>
          <w:szCs w:val="22"/>
        </w:rPr>
        <w:t xml:space="preserve">xpert </w:t>
      </w:r>
      <w:r>
        <w:rPr>
          <w:snapToGrid w:val="0"/>
          <w:kern w:val="22"/>
          <w:szCs w:val="22"/>
        </w:rPr>
        <w:t>G</w:t>
      </w:r>
      <w:r w:rsidRPr="00447B46">
        <w:rPr>
          <w:snapToGrid w:val="0"/>
          <w:kern w:val="22"/>
          <w:szCs w:val="22"/>
        </w:rPr>
        <w:t>roup will primarily conduct its work electronically and, subject to the availability of resources, will also meet physically, if possible, meeting at least twice during the intersessional period.</w:t>
      </w:r>
    </w:p>
    <w:p w14:paraId="1106B1C4" w14:textId="77777777" w:rsidR="000933AF" w:rsidRDefault="000933AF" w:rsidP="004960CF">
      <w:pPr>
        <w:suppressLineNumbers/>
        <w:suppressAutoHyphens/>
        <w:kinsoku w:val="0"/>
        <w:overflowPunct w:val="0"/>
        <w:autoSpaceDE w:val="0"/>
        <w:autoSpaceDN w:val="0"/>
        <w:adjustRightInd w:val="0"/>
        <w:snapToGrid w:val="0"/>
        <w:spacing w:before="120" w:after="120"/>
        <w:ind w:left="567"/>
        <w:rPr>
          <w:snapToGrid w:val="0"/>
          <w:color w:val="000000" w:themeColor="text1"/>
          <w:kern w:val="22"/>
          <w:szCs w:val="22"/>
        </w:rPr>
      </w:pPr>
      <w:r>
        <w:rPr>
          <w:snapToGrid w:val="0"/>
          <w:color w:val="000000" w:themeColor="text1"/>
          <w:kern w:val="22"/>
          <w:szCs w:val="22"/>
        </w:rPr>
        <w:t>7.</w:t>
      </w:r>
      <w:r>
        <w:rPr>
          <w:snapToGrid w:val="0"/>
          <w:color w:val="000000" w:themeColor="text1"/>
          <w:kern w:val="22"/>
          <w:szCs w:val="22"/>
        </w:rPr>
        <w:tab/>
      </w:r>
      <w:r w:rsidRPr="00447B46">
        <w:rPr>
          <w:snapToGrid w:val="0"/>
          <w:color w:val="000000" w:themeColor="text1"/>
          <w:kern w:val="22"/>
          <w:szCs w:val="22"/>
        </w:rPr>
        <w:t xml:space="preserve">The </w:t>
      </w:r>
      <w:r>
        <w:rPr>
          <w:snapToGrid w:val="0"/>
          <w:kern w:val="22"/>
          <w:szCs w:val="22"/>
        </w:rPr>
        <w:t xml:space="preserve">Technical </w:t>
      </w:r>
      <w:r>
        <w:rPr>
          <w:spacing w:val="-2"/>
          <w:kern w:val="22"/>
          <w:szCs w:val="22"/>
        </w:rPr>
        <w:t>E</w:t>
      </w:r>
      <w:r w:rsidRPr="00447B46">
        <w:rPr>
          <w:spacing w:val="-2"/>
          <w:kern w:val="22"/>
          <w:szCs w:val="22"/>
        </w:rPr>
        <w:t xml:space="preserve">xpert </w:t>
      </w:r>
      <w:r>
        <w:rPr>
          <w:snapToGrid w:val="0"/>
          <w:kern w:val="22"/>
          <w:szCs w:val="22"/>
        </w:rPr>
        <w:t>G</w:t>
      </w:r>
      <w:r w:rsidRPr="00447B46">
        <w:rPr>
          <w:snapToGrid w:val="0"/>
          <w:kern w:val="22"/>
          <w:szCs w:val="22"/>
        </w:rPr>
        <w:t xml:space="preserve">roup </w:t>
      </w:r>
      <w:r w:rsidRPr="00447B46">
        <w:rPr>
          <w:snapToGrid w:val="0"/>
          <w:color w:val="000000" w:themeColor="text1"/>
          <w:kern w:val="22"/>
          <w:szCs w:val="22"/>
        </w:rPr>
        <w:t xml:space="preserve">should be established at, and start its work immediately after, the first meeting of the </w:t>
      </w:r>
      <w:r>
        <w:rPr>
          <w:snapToGrid w:val="0"/>
          <w:color w:val="000000" w:themeColor="text1"/>
          <w:kern w:val="22"/>
          <w:szCs w:val="22"/>
        </w:rPr>
        <w:t>A</w:t>
      </w:r>
      <w:r w:rsidRPr="00447B46">
        <w:rPr>
          <w:snapToGrid w:val="0"/>
          <w:color w:val="000000" w:themeColor="text1"/>
          <w:kern w:val="22"/>
          <w:szCs w:val="22"/>
        </w:rPr>
        <w:t xml:space="preserve">d </w:t>
      </w:r>
      <w:r>
        <w:rPr>
          <w:snapToGrid w:val="0"/>
          <w:color w:val="000000" w:themeColor="text1"/>
          <w:kern w:val="22"/>
          <w:szCs w:val="22"/>
        </w:rPr>
        <w:t>H</w:t>
      </w:r>
      <w:r w:rsidRPr="00447B46">
        <w:rPr>
          <w:snapToGrid w:val="0"/>
          <w:color w:val="000000" w:themeColor="text1"/>
          <w:kern w:val="22"/>
          <w:szCs w:val="22"/>
        </w:rPr>
        <w:t xml:space="preserve">oc </w:t>
      </w:r>
      <w:r>
        <w:rPr>
          <w:snapToGrid w:val="0"/>
          <w:color w:val="000000" w:themeColor="text1"/>
          <w:kern w:val="22"/>
          <w:szCs w:val="22"/>
        </w:rPr>
        <w:t>T</w:t>
      </w:r>
      <w:r w:rsidRPr="00447B46">
        <w:rPr>
          <w:snapToGrid w:val="0"/>
          <w:color w:val="000000" w:themeColor="text1"/>
          <w:kern w:val="22"/>
          <w:szCs w:val="22"/>
        </w:rPr>
        <w:t xml:space="preserve">echnical </w:t>
      </w:r>
      <w:r>
        <w:rPr>
          <w:snapToGrid w:val="0"/>
          <w:color w:val="000000" w:themeColor="text1"/>
          <w:kern w:val="22"/>
          <w:szCs w:val="22"/>
        </w:rPr>
        <w:t>E</w:t>
      </w:r>
      <w:r w:rsidRPr="00447B46">
        <w:rPr>
          <w:snapToGrid w:val="0"/>
          <w:color w:val="000000" w:themeColor="text1"/>
          <w:kern w:val="22"/>
          <w:szCs w:val="22"/>
        </w:rPr>
        <w:t xml:space="preserve">xpert </w:t>
      </w:r>
      <w:r>
        <w:rPr>
          <w:snapToGrid w:val="0"/>
          <w:color w:val="000000" w:themeColor="text1"/>
          <w:kern w:val="22"/>
          <w:szCs w:val="22"/>
        </w:rPr>
        <w:t>G</w:t>
      </w:r>
      <w:r w:rsidRPr="00447B46">
        <w:rPr>
          <w:snapToGrid w:val="0"/>
          <w:color w:val="000000" w:themeColor="text1"/>
          <w:kern w:val="22"/>
          <w:szCs w:val="22"/>
        </w:rPr>
        <w:t xml:space="preserve">roup </w:t>
      </w:r>
      <w:r>
        <w:rPr>
          <w:snapToGrid w:val="0"/>
          <w:color w:val="000000" w:themeColor="text1"/>
          <w:kern w:val="22"/>
          <w:szCs w:val="22"/>
        </w:rPr>
        <w:t>on Indicators for the Kunming-Montreal Global Biodiversity Framework</w:t>
      </w:r>
      <w:r w:rsidRPr="00447B46">
        <w:rPr>
          <w:snapToGrid w:val="0"/>
          <w:color w:val="000000" w:themeColor="text1"/>
          <w:kern w:val="22"/>
          <w:szCs w:val="22"/>
        </w:rPr>
        <w:t xml:space="preserve">. It would report on its work through the </w:t>
      </w:r>
      <w:r>
        <w:rPr>
          <w:snapToGrid w:val="0"/>
          <w:color w:val="000000" w:themeColor="text1"/>
          <w:kern w:val="22"/>
          <w:szCs w:val="22"/>
        </w:rPr>
        <w:t>A</w:t>
      </w:r>
      <w:r w:rsidRPr="00447B46">
        <w:rPr>
          <w:snapToGrid w:val="0"/>
          <w:color w:val="000000" w:themeColor="text1"/>
          <w:kern w:val="22"/>
          <w:szCs w:val="22"/>
        </w:rPr>
        <w:t xml:space="preserve">d </w:t>
      </w:r>
      <w:r>
        <w:rPr>
          <w:snapToGrid w:val="0"/>
          <w:color w:val="000000" w:themeColor="text1"/>
          <w:kern w:val="22"/>
          <w:szCs w:val="22"/>
        </w:rPr>
        <w:t>H</w:t>
      </w:r>
      <w:r w:rsidRPr="00447B46">
        <w:rPr>
          <w:snapToGrid w:val="0"/>
          <w:color w:val="000000" w:themeColor="text1"/>
          <w:kern w:val="22"/>
          <w:szCs w:val="22"/>
        </w:rPr>
        <w:t xml:space="preserve">oc </w:t>
      </w:r>
      <w:r>
        <w:rPr>
          <w:snapToGrid w:val="0"/>
          <w:color w:val="000000" w:themeColor="text1"/>
          <w:kern w:val="22"/>
          <w:szCs w:val="22"/>
        </w:rPr>
        <w:t>T</w:t>
      </w:r>
      <w:r w:rsidRPr="00447B46">
        <w:rPr>
          <w:snapToGrid w:val="0"/>
          <w:color w:val="000000" w:themeColor="text1"/>
          <w:kern w:val="22"/>
          <w:szCs w:val="22"/>
        </w:rPr>
        <w:t xml:space="preserve">echnical </w:t>
      </w:r>
      <w:r>
        <w:rPr>
          <w:snapToGrid w:val="0"/>
          <w:color w:val="000000" w:themeColor="text1"/>
          <w:kern w:val="22"/>
          <w:szCs w:val="22"/>
        </w:rPr>
        <w:t>E</w:t>
      </w:r>
      <w:r w:rsidRPr="00447B46">
        <w:rPr>
          <w:snapToGrid w:val="0"/>
          <w:color w:val="000000" w:themeColor="text1"/>
          <w:kern w:val="22"/>
          <w:szCs w:val="22"/>
        </w:rPr>
        <w:t xml:space="preserve">xpert </w:t>
      </w:r>
      <w:r>
        <w:rPr>
          <w:snapToGrid w:val="0"/>
          <w:color w:val="000000" w:themeColor="text1"/>
          <w:kern w:val="22"/>
          <w:szCs w:val="22"/>
        </w:rPr>
        <w:t>G</w:t>
      </w:r>
      <w:r w:rsidRPr="00447B46">
        <w:rPr>
          <w:snapToGrid w:val="0"/>
          <w:color w:val="000000" w:themeColor="text1"/>
          <w:kern w:val="22"/>
          <w:szCs w:val="22"/>
        </w:rPr>
        <w:t>roup</w:t>
      </w:r>
      <w:r>
        <w:rPr>
          <w:snapToGrid w:val="0"/>
          <w:color w:val="000000" w:themeColor="text1"/>
          <w:kern w:val="22"/>
          <w:szCs w:val="22"/>
        </w:rPr>
        <w:t xml:space="preserve"> on Indicators</w:t>
      </w:r>
      <w:r w:rsidRPr="00447B46">
        <w:rPr>
          <w:snapToGrid w:val="0"/>
          <w:color w:val="000000" w:themeColor="text1"/>
          <w:kern w:val="22"/>
          <w:szCs w:val="22"/>
        </w:rPr>
        <w:t xml:space="preserve"> to the Subsidiary Body on Implementation and the Subsidiary Body on Scientific, Technical and Technological Advice at meetings held prior to the sixteenth meeting of the Conference of the Parties.</w:t>
      </w:r>
    </w:p>
    <w:p w14:paraId="18BFF37C" w14:textId="77777777" w:rsidR="005E30C1" w:rsidRDefault="005E30C1" w:rsidP="00C87413">
      <w:pPr>
        <w:pStyle w:val="Para10"/>
        <w:ind w:left="567"/>
        <w:rPr>
          <w:lang w:val="en-GB"/>
        </w:rPr>
        <w:sectPr w:rsidR="005E30C1" w:rsidSect="00C67A3D">
          <w:pgSz w:w="12240" w:h="15840"/>
          <w:pgMar w:top="1134" w:right="1440" w:bottom="1134" w:left="1530" w:header="709" w:footer="709" w:gutter="0"/>
          <w:cols w:space="708"/>
          <w:docGrid w:linePitch="360"/>
        </w:sectPr>
      </w:pPr>
    </w:p>
    <w:p w14:paraId="3E649AB3" w14:textId="583F0091" w:rsidR="001B362D" w:rsidRPr="009314AD" w:rsidRDefault="005E30C1" w:rsidP="00C67A3D">
      <w:pPr>
        <w:pStyle w:val="Annex"/>
      </w:pPr>
      <w:bookmarkStart w:id="5" w:name="_Hlk149663565"/>
      <w:r w:rsidRPr="009314AD">
        <w:t>Annex II</w:t>
      </w:r>
    </w:p>
    <w:p w14:paraId="6481E879" w14:textId="0EE4E0E1" w:rsidR="00A747A9" w:rsidRPr="00FC1B64" w:rsidRDefault="00BD38BA" w:rsidP="004960CF">
      <w:pPr>
        <w:pStyle w:val="Para10"/>
        <w:ind w:left="567"/>
        <w:jc w:val="left"/>
        <w:rPr>
          <w:b/>
          <w:bCs/>
          <w:caps/>
          <w:lang w:val="en-GB"/>
        </w:rPr>
      </w:pPr>
      <w:r w:rsidRPr="004960CF">
        <w:rPr>
          <w:rStyle w:val="TitleChar"/>
        </w:rPr>
        <w:t xml:space="preserve">Headline, </w:t>
      </w:r>
      <w:proofErr w:type="gramStart"/>
      <w:r w:rsidRPr="004960CF">
        <w:rPr>
          <w:rStyle w:val="TitleChar"/>
        </w:rPr>
        <w:t>component</w:t>
      </w:r>
      <w:proofErr w:type="gramEnd"/>
      <w:r w:rsidRPr="004960CF">
        <w:rPr>
          <w:rStyle w:val="TitleChar"/>
        </w:rPr>
        <w:t xml:space="preserve"> and complementary indicators for Target 18 as well as Goal D and Target 19 of the Kunming-Montreal Global </w:t>
      </w:r>
      <w:r w:rsidR="00160730" w:rsidRPr="004960CF">
        <w:rPr>
          <w:rStyle w:val="TitleChar"/>
        </w:rPr>
        <w:t>Biodiversity Framework</w:t>
      </w:r>
      <w:r w:rsidR="00F12AE1">
        <w:rPr>
          <w:rStyle w:val="FootnoteReference"/>
          <w:b/>
          <w:bCs/>
          <w:caps/>
          <w:lang w:val="en-GB"/>
        </w:rPr>
        <w:footnoteReference w:id="9"/>
      </w:r>
    </w:p>
    <w:bookmarkEnd w:id="5"/>
    <w:p w14:paraId="55C8A6FE" w14:textId="0E5F0D1C" w:rsidR="00A747A9" w:rsidRPr="00A747A9" w:rsidRDefault="00160730" w:rsidP="00160730">
      <w:pPr>
        <w:pStyle w:val="Para10"/>
        <w:rPr>
          <w:lang w:val="en-GB"/>
        </w:rPr>
      </w:pPr>
      <w:r w:rsidRPr="00FC1B64">
        <w:rPr>
          <w:b/>
          <w:bCs/>
          <w:lang w:val="en-GB"/>
        </w:rPr>
        <w:t>Target 18</w:t>
      </w:r>
      <w:r w:rsidRPr="0094049B">
        <w:rPr>
          <w:rFonts w:asciiTheme="majorBidi" w:hAnsiTheme="majorBidi" w:cstheme="majorBidi"/>
          <w:b/>
          <w:bCs/>
          <w:szCs w:val="22"/>
          <w:lang w:val="en-GB"/>
        </w:rPr>
        <w:t>:</w:t>
      </w:r>
      <w:r w:rsidRPr="0094049B">
        <w:rPr>
          <w:rFonts w:asciiTheme="majorBidi" w:hAnsiTheme="majorBidi" w:cstheme="majorBidi"/>
          <w:szCs w:val="22"/>
          <w:lang w:val="en-GB"/>
        </w:rPr>
        <w:t xml:space="preserve"> </w:t>
      </w:r>
      <w:r w:rsidR="00A747A9" w:rsidRPr="00A747A9">
        <w:rPr>
          <w:rFonts w:asciiTheme="majorBidi" w:eastAsiaTheme="minorEastAsia" w:hAnsiTheme="majorBidi" w:cstheme="majorBidi"/>
          <w:i/>
          <w:iCs/>
          <w:szCs w:val="22"/>
          <w:lang w:val="en-US" w:eastAsia="zh-CN"/>
        </w:rPr>
        <w:t xml:space="preserve">Identify by 2025, and eliminate, phase out or reform incentives, including subsidies, harmful for biodiversity, in a proportionate, just, fair, </w:t>
      </w:r>
      <w:proofErr w:type="gramStart"/>
      <w:r w:rsidR="00A747A9" w:rsidRPr="00A747A9">
        <w:rPr>
          <w:rFonts w:asciiTheme="majorBidi" w:eastAsiaTheme="minorEastAsia" w:hAnsiTheme="majorBidi" w:cstheme="majorBidi"/>
          <w:i/>
          <w:iCs/>
          <w:szCs w:val="22"/>
          <w:lang w:val="en-US" w:eastAsia="zh-CN"/>
        </w:rPr>
        <w:t>effective</w:t>
      </w:r>
      <w:proofErr w:type="gramEnd"/>
      <w:r w:rsidR="00A747A9" w:rsidRPr="00A747A9">
        <w:rPr>
          <w:rFonts w:asciiTheme="majorBidi" w:eastAsiaTheme="minorEastAsia" w:hAnsiTheme="majorBidi" w:cstheme="majorBidi"/>
          <w:i/>
          <w:iCs/>
          <w:szCs w:val="22"/>
          <w:lang w:val="en-US" w:eastAsia="zh-CN"/>
        </w:rPr>
        <w:t xml:space="preserve"> and equitable way, while substantially and progressively reducing them by at least $500 billion per year by 2030, starting with the most harmful incentives, and scale up positive incentives for the conservation and sustainable use of biodiversity.</w:t>
      </w:r>
    </w:p>
    <w:tbl>
      <w:tblPr>
        <w:tblStyle w:val="TableGrid"/>
        <w:tblW w:w="13585" w:type="dxa"/>
        <w:shd w:val="clear" w:color="auto" w:fill="FFFFFF" w:themeFill="background1"/>
        <w:tblLayout w:type="fixed"/>
        <w:tblLook w:val="04A0" w:firstRow="1" w:lastRow="0" w:firstColumn="1" w:lastColumn="0" w:noHBand="0" w:noVBand="1"/>
      </w:tblPr>
      <w:tblGrid>
        <w:gridCol w:w="1255"/>
        <w:gridCol w:w="2850"/>
        <w:gridCol w:w="3567"/>
        <w:gridCol w:w="5913"/>
      </w:tblGrid>
      <w:tr w:rsidR="00E461D8" w14:paraId="0D949D0D" w14:textId="77777777" w:rsidTr="00C6486A">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14:paraId="7AB959C9" w14:textId="6F5B11AB" w:rsidR="00E461D8" w:rsidRDefault="00C6486A">
            <w:pPr>
              <w:spacing w:before="80" w:after="80"/>
              <w:rPr>
                <w:szCs w:val="22"/>
              </w:rPr>
            </w:pPr>
            <w:r>
              <w:rPr>
                <w:szCs w:val="22"/>
              </w:rPr>
              <w:t>Goal/target</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B65E1E" w14:textId="6EE5EB9D" w:rsidR="00E461D8" w:rsidRDefault="00C6486A">
            <w:pPr>
              <w:spacing w:before="40" w:after="40"/>
              <w:jc w:val="left"/>
              <w:rPr>
                <w:color w:val="000000"/>
                <w:szCs w:val="22"/>
              </w:rPr>
            </w:pPr>
            <w:r>
              <w:rPr>
                <w:color w:val="000000"/>
                <w:szCs w:val="22"/>
              </w:rPr>
              <w:t>Headline indicator</w:t>
            </w:r>
          </w:p>
        </w:tc>
        <w:tc>
          <w:tcPr>
            <w:tcW w:w="3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458687" w14:textId="28219A9D" w:rsidR="00E461D8" w:rsidRDefault="00C6486A">
            <w:pPr>
              <w:spacing w:before="80" w:after="80"/>
              <w:jc w:val="left"/>
              <w:rPr>
                <w:szCs w:val="22"/>
              </w:rPr>
            </w:pPr>
            <w:r>
              <w:rPr>
                <w:szCs w:val="22"/>
              </w:rPr>
              <w:t>Component Indicator</w:t>
            </w:r>
          </w:p>
        </w:tc>
        <w:tc>
          <w:tcPr>
            <w:tcW w:w="5913" w:type="dxa"/>
            <w:tcBorders>
              <w:top w:val="single" w:sz="4" w:space="0" w:color="auto"/>
              <w:left w:val="single" w:sz="4" w:space="0" w:color="auto"/>
              <w:bottom w:val="single" w:sz="4" w:space="0" w:color="auto"/>
              <w:right w:val="single" w:sz="4" w:space="0" w:color="auto"/>
            </w:tcBorders>
            <w:shd w:val="clear" w:color="auto" w:fill="FFFFFF" w:themeFill="background1"/>
          </w:tcPr>
          <w:p w14:paraId="6446DCE1" w14:textId="0FD58165" w:rsidR="00E461D8" w:rsidRDefault="00C6486A">
            <w:pPr>
              <w:spacing w:before="80" w:after="80"/>
              <w:jc w:val="left"/>
              <w:rPr>
                <w:szCs w:val="22"/>
              </w:rPr>
            </w:pPr>
            <w:r>
              <w:rPr>
                <w:szCs w:val="22"/>
              </w:rPr>
              <w:t>Complementary Indicators</w:t>
            </w:r>
          </w:p>
        </w:tc>
      </w:tr>
      <w:tr w:rsidR="00E461D8" w14:paraId="461F227E" w14:textId="77777777" w:rsidTr="00C6486A">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16432" w14:textId="77777777" w:rsidR="00E461D8" w:rsidRDefault="00E461D8">
            <w:pPr>
              <w:spacing w:before="80" w:after="80"/>
              <w:rPr>
                <w:szCs w:val="22"/>
              </w:rPr>
            </w:pPr>
            <w:bookmarkStart w:id="6" w:name="_Hlk131412980"/>
            <w:r>
              <w:rPr>
                <w:szCs w:val="22"/>
              </w:rPr>
              <w:t>18</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D9826" w14:textId="77777777" w:rsidR="00E461D8" w:rsidRDefault="00E461D8">
            <w:pPr>
              <w:spacing w:before="40" w:after="40"/>
              <w:jc w:val="left"/>
              <w:rPr>
                <w:color w:val="000000"/>
                <w:szCs w:val="22"/>
              </w:rPr>
            </w:pPr>
            <w:r>
              <w:rPr>
                <w:color w:val="000000"/>
                <w:szCs w:val="22"/>
              </w:rPr>
              <w:t xml:space="preserve">18.1 Positive incentives in place to promote biodiversity conservation and sustainable </w:t>
            </w:r>
            <w:proofErr w:type="gramStart"/>
            <w:r>
              <w:rPr>
                <w:color w:val="000000"/>
                <w:szCs w:val="22"/>
              </w:rPr>
              <w:t>use</w:t>
            </w:r>
            <w:proofErr w:type="gramEnd"/>
          </w:p>
          <w:p w14:paraId="7382B64E" w14:textId="77777777" w:rsidR="00E461D8" w:rsidRDefault="00E461D8">
            <w:pPr>
              <w:spacing w:before="80" w:after="80"/>
              <w:jc w:val="left"/>
              <w:rPr>
                <w:szCs w:val="22"/>
              </w:rPr>
            </w:pPr>
            <w:r>
              <w:rPr>
                <w:szCs w:val="22"/>
              </w:rPr>
              <w:t xml:space="preserve">18.2 Value of subsidies and other incentives harmful to biodiversity that have been eliminated, phased </w:t>
            </w:r>
            <w:proofErr w:type="spellStart"/>
            <w:r>
              <w:rPr>
                <w:szCs w:val="22"/>
              </w:rPr>
              <w:t>our</w:t>
            </w:r>
            <w:proofErr w:type="spellEnd"/>
            <w:r>
              <w:rPr>
                <w:szCs w:val="22"/>
              </w:rPr>
              <w:t xml:space="preserve"> or reformed</w:t>
            </w:r>
          </w:p>
        </w:tc>
        <w:tc>
          <w:tcPr>
            <w:tcW w:w="3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8B9A1" w14:textId="77777777" w:rsidR="00E461D8" w:rsidRDefault="00E461D8">
            <w:pPr>
              <w:spacing w:before="80" w:after="80"/>
              <w:jc w:val="left"/>
              <w:rPr>
                <w:szCs w:val="22"/>
              </w:rPr>
            </w:pPr>
            <w:r>
              <w:rPr>
                <w:szCs w:val="22"/>
              </w:rPr>
              <w:t xml:space="preserve">Value of subsidies and other incentives harmful to biodiversity, that are redirected, </w:t>
            </w:r>
            <w:proofErr w:type="gramStart"/>
            <w:r>
              <w:rPr>
                <w:szCs w:val="22"/>
              </w:rPr>
              <w:t>repurposed</w:t>
            </w:r>
            <w:proofErr w:type="gramEnd"/>
            <w:r>
              <w:rPr>
                <w:szCs w:val="22"/>
              </w:rPr>
              <w:t xml:space="preserve"> or eliminated</w:t>
            </w:r>
          </w:p>
        </w:tc>
        <w:tc>
          <w:tcPr>
            <w:tcW w:w="5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659E4" w14:textId="77777777" w:rsidR="00E461D8" w:rsidRDefault="00E461D8">
            <w:pPr>
              <w:spacing w:before="80" w:after="80"/>
              <w:jc w:val="left"/>
              <w:rPr>
                <w:szCs w:val="22"/>
              </w:rPr>
            </w:pPr>
            <w:r>
              <w:rPr>
                <w:szCs w:val="22"/>
              </w:rPr>
              <w:t>Number of countries with biodiversity-relevant taxes</w:t>
            </w:r>
          </w:p>
          <w:p w14:paraId="728331CD" w14:textId="77777777" w:rsidR="00E461D8" w:rsidRDefault="00E461D8">
            <w:pPr>
              <w:spacing w:before="80" w:after="80"/>
              <w:jc w:val="left"/>
              <w:rPr>
                <w:szCs w:val="22"/>
              </w:rPr>
            </w:pPr>
            <w:r>
              <w:rPr>
                <w:szCs w:val="22"/>
              </w:rPr>
              <w:t>Number of countries with biodiversity-relevant charges and fees</w:t>
            </w:r>
          </w:p>
          <w:p w14:paraId="2E1A8B99" w14:textId="77777777" w:rsidR="00E461D8" w:rsidRDefault="00E461D8">
            <w:pPr>
              <w:spacing w:before="80" w:after="80"/>
              <w:jc w:val="left"/>
              <w:rPr>
                <w:szCs w:val="22"/>
              </w:rPr>
            </w:pPr>
            <w:r>
              <w:rPr>
                <w:szCs w:val="22"/>
              </w:rPr>
              <w:t>Number of countries with biodiversity-relevant tradable permit schemes</w:t>
            </w:r>
          </w:p>
          <w:p w14:paraId="4B6A2574" w14:textId="77777777" w:rsidR="00E461D8" w:rsidRDefault="00E461D8">
            <w:pPr>
              <w:spacing w:before="80" w:after="80"/>
              <w:jc w:val="left"/>
              <w:rPr>
                <w:szCs w:val="22"/>
              </w:rPr>
            </w:pPr>
            <w:r>
              <w:rPr>
                <w:szCs w:val="22"/>
              </w:rPr>
              <w:t>Trends in potentially environmentally harmful elements of government support to agriculture (producer support estimate)</w:t>
            </w:r>
          </w:p>
          <w:p w14:paraId="422BA7CF" w14:textId="77777777" w:rsidR="00E461D8" w:rsidRDefault="00E461D8">
            <w:pPr>
              <w:spacing w:before="80" w:after="80"/>
              <w:jc w:val="left"/>
              <w:rPr>
                <w:szCs w:val="22"/>
              </w:rPr>
            </w:pPr>
            <w:r>
              <w:rPr>
                <w:szCs w:val="22"/>
              </w:rPr>
              <w:t>Trends in the number and value of government fossil fuel support measures</w:t>
            </w:r>
          </w:p>
          <w:p w14:paraId="1FD193C8" w14:textId="77777777" w:rsidR="00E461D8" w:rsidRDefault="00E461D8">
            <w:pPr>
              <w:spacing w:before="80" w:after="80"/>
              <w:jc w:val="left"/>
              <w:rPr>
                <w:szCs w:val="22"/>
              </w:rPr>
            </w:pPr>
            <w:proofErr w:type="gramStart"/>
            <w:r>
              <w:rPr>
                <w:szCs w:val="22"/>
              </w:rPr>
              <w:t>Amount</w:t>
            </w:r>
            <w:proofErr w:type="gramEnd"/>
            <w:r>
              <w:rPr>
                <w:szCs w:val="22"/>
              </w:rPr>
              <w:t xml:space="preserve"> of fossil-fuel subsidies per unit of gross domestic product (production and consumption) </w:t>
            </w:r>
          </w:p>
        </w:tc>
      </w:tr>
    </w:tbl>
    <w:p w14:paraId="29FB25EB" w14:textId="6335A682" w:rsidR="00235455" w:rsidRPr="00C71EC4" w:rsidRDefault="0094049B" w:rsidP="00235455">
      <w:pPr>
        <w:shd w:val="clear" w:color="auto" w:fill="FFFFFF" w:themeFill="background1"/>
        <w:spacing w:before="120" w:after="120"/>
        <w:rPr>
          <w:rFonts w:asciiTheme="majorBidi" w:eastAsia="SimSun" w:hAnsiTheme="majorBidi" w:cstheme="majorBidi"/>
          <w:color w:val="000000" w:themeColor="text1"/>
          <w:lang w:val="en-US" w:eastAsia="zh-CN"/>
        </w:rPr>
      </w:pPr>
      <w:r w:rsidRPr="00C71EC4">
        <w:rPr>
          <w:rFonts w:asciiTheme="majorBidi" w:eastAsiaTheme="minorEastAsia" w:hAnsiTheme="majorBidi" w:cstheme="majorBidi"/>
          <w:b/>
          <w:bCs/>
          <w:szCs w:val="22"/>
          <w:lang w:val="en-US" w:eastAsia="zh-CN"/>
        </w:rPr>
        <w:t>Goal D:</w:t>
      </w:r>
      <w:r w:rsidR="003A4BD6" w:rsidRPr="00C71EC4">
        <w:rPr>
          <w:rFonts w:asciiTheme="majorBidi" w:eastAsiaTheme="minorEastAsia" w:hAnsiTheme="majorBidi" w:cstheme="majorBidi"/>
          <w:b/>
          <w:bCs/>
          <w:szCs w:val="22"/>
          <w:lang w:val="en-US" w:eastAsia="zh-CN"/>
        </w:rPr>
        <w:t xml:space="preserve"> </w:t>
      </w:r>
      <w:r w:rsidR="00235455" w:rsidRPr="004960CF">
        <w:rPr>
          <w:rFonts w:asciiTheme="majorBidi" w:hAnsiTheme="majorBidi" w:cstheme="majorBidi"/>
          <w:color w:val="000000" w:themeColor="text1"/>
        </w:rPr>
        <w:t xml:space="preserve">Adequate means of implementation, including financial resources, capacity-building, technical and scientific cooperation, and access to and transfer of technology to fully implement the </w:t>
      </w:r>
      <w:r w:rsidR="00235455" w:rsidRPr="004960CF">
        <w:rPr>
          <w:kern w:val="22"/>
        </w:rPr>
        <w:t xml:space="preserve">Kunming-Montreal </w:t>
      </w:r>
      <w:r w:rsidR="00235455" w:rsidRPr="004960CF">
        <w:rPr>
          <w:rFonts w:asciiTheme="majorBidi" w:hAnsiTheme="majorBidi" w:cstheme="majorBidi"/>
          <w:color w:val="000000" w:themeColor="text1"/>
        </w:rPr>
        <w:t xml:space="preserve">Global Biodiversity Framework are secured and equitably accessible to all Parties, especially developing country Parties, in particular the least developed countries and small island developing States, as well as countries with economies in transition, progressively closing the biodiversity finance gap of $700 billion per year, </w:t>
      </w:r>
      <w:r w:rsidR="00235455" w:rsidRPr="004960CF">
        <w:rPr>
          <w:rFonts w:asciiTheme="majorBidi" w:eastAsia="SimSun" w:hAnsiTheme="majorBidi" w:cstheme="majorBidi"/>
          <w:color w:val="000000" w:themeColor="text1"/>
          <w:lang w:val="en-US" w:eastAsia="zh-CN"/>
        </w:rPr>
        <w:t xml:space="preserve">and aligning financial flows with the </w:t>
      </w:r>
      <w:r w:rsidR="00235455" w:rsidRPr="004960CF">
        <w:rPr>
          <w:kern w:val="22"/>
        </w:rPr>
        <w:t xml:space="preserve">Kunming-Montreal </w:t>
      </w:r>
      <w:r w:rsidR="00235455" w:rsidRPr="004960CF">
        <w:rPr>
          <w:rFonts w:asciiTheme="majorBidi" w:eastAsia="SimSun" w:hAnsiTheme="majorBidi" w:cstheme="majorBidi"/>
          <w:color w:val="000000" w:themeColor="text1"/>
          <w:lang w:val="en-US" w:eastAsia="zh-CN"/>
        </w:rPr>
        <w:t>Global Biodiversity Framework and the 2050 Vision for biodiversity.</w:t>
      </w:r>
      <w:r w:rsidR="00074C1B" w:rsidRPr="004960CF">
        <w:rPr>
          <w:rStyle w:val="FootnoteReference"/>
          <w:rFonts w:asciiTheme="majorBidi" w:eastAsia="SimSun" w:hAnsiTheme="majorBidi" w:cstheme="majorBidi"/>
          <w:color w:val="000000" w:themeColor="text1"/>
          <w:lang w:val="en-US" w:eastAsia="zh-CN"/>
        </w:rPr>
        <w:footnoteReference w:id="10"/>
      </w:r>
    </w:p>
    <w:p w14:paraId="5CD56BD5" w14:textId="6A96B7B4" w:rsidR="003A74F4" w:rsidRPr="004960CF" w:rsidRDefault="003A74F4" w:rsidP="003A74F4">
      <w:pPr>
        <w:spacing w:before="60" w:after="120"/>
      </w:pPr>
      <w:r w:rsidRPr="00C71EC4">
        <w:rPr>
          <w:b/>
          <w:bCs/>
        </w:rPr>
        <w:t>Target 19:</w:t>
      </w:r>
      <w:r w:rsidRPr="00C71EC4">
        <w:t xml:space="preserve"> </w:t>
      </w:r>
      <w:r w:rsidRPr="004960CF">
        <w:t xml:space="preserve">Substantially and progressively increase the level of financial resources from all sources, in an effective, timely and easily accessible manner, including domestic, international, </w:t>
      </w:r>
      <w:proofErr w:type="gramStart"/>
      <w:r w:rsidRPr="004960CF">
        <w:t>public</w:t>
      </w:r>
      <w:proofErr w:type="gramEnd"/>
      <w:r w:rsidRPr="004960CF">
        <w:t xml:space="preserve"> and private resources, in accordance with Article 20 of the Convention, to implement national biodiversity strategies and action plans, mobilizing at least $200 billion per year by 2030, including by: </w:t>
      </w:r>
    </w:p>
    <w:p w14:paraId="0296BADA" w14:textId="77777777" w:rsidR="003A74F4" w:rsidRPr="004960CF" w:rsidRDefault="003A74F4" w:rsidP="003A74F4">
      <w:pPr>
        <w:spacing w:before="60" w:after="60"/>
        <w:ind w:firstLine="720"/>
        <w:rPr>
          <w:strike/>
        </w:rPr>
      </w:pPr>
      <w:r w:rsidRPr="004960CF">
        <w:t>(a)</w:t>
      </w:r>
      <w:r w:rsidRPr="004960CF">
        <w:tab/>
        <w:t xml:space="preserve">Increasing total biodiversity related international financial resources from developed countries, including official development assistance, and from countries that voluntarily assume obligations of developed country Parties, to developing countries, </w:t>
      </w:r>
      <w:r w:rsidRPr="004960CF">
        <w:rPr>
          <w:rFonts w:asciiTheme="majorBidi" w:hAnsiTheme="majorBidi" w:cstheme="majorBidi"/>
          <w:color w:val="000000" w:themeColor="text1"/>
        </w:rPr>
        <w:t xml:space="preserve">in particular the least developed countries and small island developing States, as well as countries with economies in transition, to at least $20 billion per year by 2025, and to at least $30 billion per year by </w:t>
      </w:r>
      <w:proofErr w:type="gramStart"/>
      <w:r w:rsidRPr="004960CF">
        <w:rPr>
          <w:rFonts w:asciiTheme="majorBidi" w:hAnsiTheme="majorBidi" w:cstheme="majorBidi"/>
          <w:color w:val="000000" w:themeColor="text1"/>
        </w:rPr>
        <w:t>2030;</w:t>
      </w:r>
      <w:proofErr w:type="gramEnd"/>
    </w:p>
    <w:p w14:paraId="6B8AE2F5" w14:textId="77777777" w:rsidR="003A74F4" w:rsidRPr="004960CF" w:rsidRDefault="003A74F4" w:rsidP="003A74F4">
      <w:pPr>
        <w:spacing w:before="60" w:after="60"/>
        <w:ind w:firstLine="720"/>
      </w:pPr>
      <w:r w:rsidRPr="004960CF">
        <w:t>(b)</w:t>
      </w:r>
      <w:r w:rsidRPr="004960CF">
        <w:tab/>
        <w:t xml:space="preserve">Significantly increasing domestic resource mobilization, facilitated by the preparation and implementation of national biodiversity finance plans or similar instruments according to national needs, priorities and </w:t>
      </w:r>
      <w:proofErr w:type="gramStart"/>
      <w:r w:rsidRPr="004960CF">
        <w:t>circumstances;</w:t>
      </w:r>
      <w:proofErr w:type="gramEnd"/>
    </w:p>
    <w:p w14:paraId="4A31BFD3" w14:textId="77777777" w:rsidR="003A74F4" w:rsidRPr="004960CF" w:rsidRDefault="003A74F4" w:rsidP="003A74F4">
      <w:pPr>
        <w:spacing w:before="60" w:after="60"/>
        <w:ind w:firstLine="720"/>
      </w:pPr>
      <w:r w:rsidRPr="004960CF">
        <w:t>(c)</w:t>
      </w:r>
      <w:r w:rsidRPr="004960CF">
        <w:tab/>
        <w:t xml:space="preserve">Leveraging private finance, promoting blended finance, implementing strategies for raising new and additional resources, and encouraging the private sector to invest in biodiversity, including through impact funds and other </w:t>
      </w:r>
      <w:proofErr w:type="gramStart"/>
      <w:r w:rsidRPr="004960CF">
        <w:t>instruments;</w:t>
      </w:r>
      <w:proofErr w:type="gramEnd"/>
    </w:p>
    <w:p w14:paraId="7198E4EE" w14:textId="77777777" w:rsidR="003A74F4" w:rsidRPr="004960CF" w:rsidRDefault="003A74F4" w:rsidP="003A74F4">
      <w:pPr>
        <w:spacing w:before="60" w:after="60"/>
        <w:ind w:firstLine="720"/>
      </w:pPr>
      <w:r w:rsidRPr="004960CF">
        <w:t>(d)</w:t>
      </w:r>
      <w:r w:rsidRPr="004960CF">
        <w:tab/>
        <w:t xml:space="preserve">Stimulating innovative schemes such as payment for ecosystem services, green bonds, biodiversity offsets and credits, and benefit-sharing mechanisms, with environmental and social </w:t>
      </w:r>
      <w:proofErr w:type="gramStart"/>
      <w:r w:rsidRPr="004960CF">
        <w:t>safeguards;</w:t>
      </w:r>
      <w:proofErr w:type="gramEnd"/>
    </w:p>
    <w:p w14:paraId="11937227" w14:textId="77777777" w:rsidR="003A74F4" w:rsidRPr="004960CF" w:rsidRDefault="003A74F4" w:rsidP="003A74F4">
      <w:pPr>
        <w:spacing w:before="60" w:after="60"/>
        <w:ind w:firstLine="720"/>
      </w:pPr>
      <w:r w:rsidRPr="004960CF">
        <w:t>(e)</w:t>
      </w:r>
      <w:r w:rsidRPr="004960CF">
        <w:tab/>
        <w:t xml:space="preserve">Optimizing co-benefits and synergies of finance targeting the biodiversity and climate </w:t>
      </w:r>
      <w:proofErr w:type="gramStart"/>
      <w:r w:rsidRPr="004960CF">
        <w:t>crises;</w:t>
      </w:r>
      <w:proofErr w:type="gramEnd"/>
    </w:p>
    <w:p w14:paraId="608F0707" w14:textId="77777777" w:rsidR="003A74F4" w:rsidRPr="004960CF" w:rsidRDefault="003A74F4" w:rsidP="003A74F4">
      <w:pPr>
        <w:spacing w:before="60" w:after="60"/>
        <w:ind w:firstLine="720"/>
      </w:pPr>
      <w:r w:rsidRPr="004960CF">
        <w:t>(f)</w:t>
      </w:r>
      <w:r w:rsidRPr="004960CF">
        <w:tab/>
        <w:t>Enhancing the role of collective actions, including by indigenous peoples and local communities, Mother Earth centric actions</w:t>
      </w:r>
      <w:r w:rsidRPr="004960CF">
        <w:rPr>
          <w:rStyle w:val="FootnoteReference"/>
        </w:rPr>
        <w:footnoteReference w:id="11"/>
      </w:r>
      <w:r w:rsidRPr="004960CF">
        <w:t xml:space="preserve"> and non-market-based approaches including community based natural resource management and civil society cooperation and solidarity aimed at the conservation of </w:t>
      </w:r>
      <w:proofErr w:type="gramStart"/>
      <w:r w:rsidRPr="004960CF">
        <w:t>biodiversity;</w:t>
      </w:r>
      <w:proofErr w:type="gramEnd"/>
    </w:p>
    <w:p w14:paraId="6A0D6E9B" w14:textId="77777777" w:rsidR="003A74F4" w:rsidRPr="004960CF" w:rsidRDefault="003A74F4" w:rsidP="003A74F4">
      <w:pPr>
        <w:spacing w:before="60" w:after="120"/>
        <w:ind w:firstLine="720"/>
      </w:pPr>
      <w:r w:rsidRPr="004960CF">
        <w:t>(g)</w:t>
      </w:r>
      <w:r w:rsidRPr="004960CF">
        <w:tab/>
        <w:t>Enhancing the effectiveness, efficiency and transparency of resource provision and use.</w:t>
      </w:r>
    </w:p>
    <w:tbl>
      <w:tblPr>
        <w:tblStyle w:val="TableGrid"/>
        <w:tblW w:w="13585" w:type="dxa"/>
        <w:shd w:val="clear" w:color="auto" w:fill="FFFFFF" w:themeFill="background1"/>
        <w:tblLayout w:type="fixed"/>
        <w:tblLook w:val="04A0" w:firstRow="1" w:lastRow="0" w:firstColumn="1" w:lastColumn="0" w:noHBand="0" w:noVBand="1"/>
      </w:tblPr>
      <w:tblGrid>
        <w:gridCol w:w="1255"/>
        <w:gridCol w:w="2850"/>
        <w:gridCol w:w="3567"/>
        <w:gridCol w:w="5913"/>
      </w:tblGrid>
      <w:tr w:rsidR="000D09B4" w14:paraId="48EFC1EF" w14:textId="77777777" w:rsidTr="00F12AE1">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tcPr>
          <w:p w14:paraId="4419C6B1" w14:textId="62AE9B9F" w:rsidR="000D09B4" w:rsidRDefault="000D09B4">
            <w:pPr>
              <w:spacing w:before="80" w:after="80"/>
              <w:rPr>
                <w:szCs w:val="22"/>
              </w:rPr>
            </w:pPr>
            <w:r>
              <w:rPr>
                <w:szCs w:val="22"/>
              </w:rPr>
              <w:t>Goal/target</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E859D5" w14:textId="1214D661" w:rsidR="000D09B4" w:rsidRDefault="000D09B4">
            <w:pPr>
              <w:spacing w:before="40" w:after="40"/>
              <w:jc w:val="left"/>
              <w:rPr>
                <w:rFonts w:eastAsia="DengXian"/>
                <w:szCs w:val="22"/>
              </w:rPr>
            </w:pPr>
            <w:r>
              <w:rPr>
                <w:rFonts w:eastAsia="DengXian"/>
                <w:szCs w:val="22"/>
              </w:rPr>
              <w:t>Headline indicator</w:t>
            </w:r>
          </w:p>
        </w:tc>
        <w:tc>
          <w:tcPr>
            <w:tcW w:w="3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CAF894" w14:textId="0B57D929" w:rsidR="000D09B4" w:rsidRDefault="000D09B4">
            <w:pPr>
              <w:spacing w:before="80" w:after="80"/>
              <w:rPr>
                <w:szCs w:val="22"/>
              </w:rPr>
            </w:pPr>
            <w:r>
              <w:rPr>
                <w:szCs w:val="22"/>
              </w:rPr>
              <w:t>Component indicator</w:t>
            </w:r>
          </w:p>
        </w:tc>
        <w:tc>
          <w:tcPr>
            <w:tcW w:w="5913" w:type="dxa"/>
            <w:tcBorders>
              <w:top w:val="single" w:sz="4" w:space="0" w:color="auto"/>
              <w:left w:val="single" w:sz="4" w:space="0" w:color="auto"/>
              <w:bottom w:val="single" w:sz="4" w:space="0" w:color="auto"/>
              <w:right w:val="single" w:sz="4" w:space="0" w:color="auto"/>
            </w:tcBorders>
            <w:shd w:val="clear" w:color="auto" w:fill="FFFFFF" w:themeFill="background1"/>
          </w:tcPr>
          <w:p w14:paraId="04AF0216" w14:textId="4A502069" w:rsidR="000D09B4" w:rsidRDefault="000D09B4">
            <w:pPr>
              <w:spacing w:before="80" w:after="80"/>
              <w:jc w:val="left"/>
              <w:rPr>
                <w:szCs w:val="22"/>
              </w:rPr>
            </w:pPr>
            <w:r>
              <w:rPr>
                <w:szCs w:val="22"/>
              </w:rPr>
              <w:t>Complementary indicators</w:t>
            </w:r>
          </w:p>
        </w:tc>
      </w:tr>
      <w:tr w:rsidR="000D09B4" w14:paraId="7197EFE3" w14:textId="77777777" w:rsidTr="00F12AE1">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A89BC" w14:textId="6718F145" w:rsidR="000D09B4" w:rsidRDefault="00FE2CD9">
            <w:pPr>
              <w:spacing w:before="80" w:after="80"/>
              <w:rPr>
                <w:szCs w:val="22"/>
              </w:rPr>
            </w:pPr>
            <w:r>
              <w:rPr>
                <w:szCs w:val="22"/>
              </w:rPr>
              <w:t>D/</w:t>
            </w:r>
            <w:r w:rsidR="000D09B4">
              <w:rPr>
                <w:szCs w:val="22"/>
              </w:rPr>
              <w:t>19</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2A525" w14:textId="77777777" w:rsidR="000D09B4" w:rsidRDefault="000D09B4">
            <w:pPr>
              <w:spacing w:before="40" w:after="40"/>
              <w:jc w:val="left"/>
              <w:rPr>
                <w:rFonts w:eastAsia="DengXian"/>
                <w:szCs w:val="22"/>
              </w:rPr>
            </w:pPr>
            <w:r>
              <w:rPr>
                <w:rFonts w:eastAsia="DengXian"/>
                <w:szCs w:val="22"/>
              </w:rPr>
              <w:t xml:space="preserve">D.1 International public funding, including official development assistance (ODA) for conservation and sustainable use of biodiversity and ecosystems </w:t>
            </w:r>
          </w:p>
          <w:p w14:paraId="72A670F4" w14:textId="77777777" w:rsidR="000D09B4" w:rsidRDefault="000D09B4">
            <w:pPr>
              <w:spacing w:before="40" w:after="40"/>
              <w:jc w:val="left"/>
              <w:rPr>
                <w:rFonts w:eastAsia="DengXian"/>
                <w:szCs w:val="22"/>
              </w:rPr>
            </w:pPr>
            <w:r>
              <w:rPr>
                <w:rFonts w:eastAsia="DengXian"/>
                <w:szCs w:val="22"/>
              </w:rPr>
              <w:t xml:space="preserve">D.2 Domestic public funding on conservation and sustainable use of biodiversity and ecosystems </w:t>
            </w:r>
          </w:p>
          <w:p w14:paraId="76482BC9" w14:textId="77777777" w:rsidR="000D09B4" w:rsidRDefault="000D09B4">
            <w:pPr>
              <w:spacing w:before="80" w:after="80"/>
              <w:jc w:val="left"/>
              <w:rPr>
                <w:szCs w:val="22"/>
              </w:rPr>
            </w:pPr>
            <w:r>
              <w:rPr>
                <w:rFonts w:eastAsia="DengXian"/>
                <w:szCs w:val="22"/>
              </w:rPr>
              <w:t>D.3 Private funding (domestic and international) on conservation and sustainable use of biodiversity and ecosystems*</w:t>
            </w:r>
          </w:p>
        </w:tc>
        <w:tc>
          <w:tcPr>
            <w:tcW w:w="3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C4B4A1" w14:textId="77777777" w:rsidR="000D09B4" w:rsidRDefault="000D09B4">
            <w:pPr>
              <w:spacing w:before="80" w:after="80"/>
              <w:rPr>
                <w:szCs w:val="22"/>
              </w:rPr>
            </w:pPr>
          </w:p>
        </w:tc>
        <w:tc>
          <w:tcPr>
            <w:tcW w:w="59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27303" w14:textId="77777777" w:rsidR="000D09B4" w:rsidRDefault="000D09B4">
            <w:pPr>
              <w:spacing w:before="80" w:after="80"/>
              <w:jc w:val="left"/>
              <w:rPr>
                <w:szCs w:val="22"/>
              </w:rPr>
            </w:pPr>
            <w:r>
              <w:rPr>
                <w:szCs w:val="22"/>
              </w:rPr>
              <w:t xml:space="preserve">Amount of funding provided through the Global Environment Facility and allocated to the biodiversity focal </w:t>
            </w:r>
            <w:proofErr w:type="gramStart"/>
            <w:r>
              <w:rPr>
                <w:szCs w:val="22"/>
              </w:rPr>
              <w:t>area</w:t>
            </w:r>
            <w:proofErr w:type="gramEnd"/>
            <w:r>
              <w:rPr>
                <w:szCs w:val="22"/>
              </w:rPr>
              <w:t xml:space="preserve"> </w:t>
            </w:r>
          </w:p>
          <w:p w14:paraId="6812EA7E" w14:textId="77777777" w:rsidR="000D09B4" w:rsidRDefault="000D09B4">
            <w:pPr>
              <w:spacing w:before="80" w:after="80"/>
              <w:jc w:val="left"/>
              <w:rPr>
                <w:szCs w:val="22"/>
              </w:rPr>
            </w:pPr>
            <w:r>
              <w:rPr>
                <w:szCs w:val="22"/>
              </w:rPr>
              <w:t xml:space="preserve">Foreign direct investment, official development assistance and South-South cooperation </w:t>
            </w:r>
          </w:p>
          <w:p w14:paraId="38BACAA7" w14:textId="77777777" w:rsidR="000D09B4" w:rsidRDefault="000D09B4">
            <w:pPr>
              <w:spacing w:before="80" w:after="80"/>
              <w:jc w:val="left"/>
              <w:rPr>
                <w:szCs w:val="22"/>
              </w:rPr>
            </w:pPr>
            <w:r>
              <w:rPr>
                <w:szCs w:val="22"/>
              </w:rPr>
              <w:t xml:space="preserve">Amount and composition of biodiversity-related finance reported to the OECD Creditor reporting </w:t>
            </w:r>
            <w:proofErr w:type="gramStart"/>
            <w:r>
              <w:rPr>
                <w:szCs w:val="22"/>
              </w:rPr>
              <w:t>system</w:t>
            </w:r>
            <w:proofErr w:type="gramEnd"/>
          </w:p>
          <w:p w14:paraId="70FD2B34" w14:textId="77777777" w:rsidR="000D09B4" w:rsidRDefault="000D09B4">
            <w:pPr>
              <w:spacing w:before="80" w:after="80"/>
              <w:jc w:val="left"/>
              <w:rPr>
                <w:szCs w:val="22"/>
              </w:rPr>
            </w:pPr>
            <w:r>
              <w:rPr>
                <w:szCs w:val="22"/>
              </w:rPr>
              <w:t xml:space="preserve">Dollar value of financial and technical assistance (including through North-South, South-South and triangular cooperation) committed to developing </w:t>
            </w:r>
            <w:proofErr w:type="gramStart"/>
            <w:r>
              <w:rPr>
                <w:szCs w:val="22"/>
              </w:rPr>
              <w:t>countries</w:t>
            </w:r>
            <w:proofErr w:type="gramEnd"/>
            <w:r>
              <w:rPr>
                <w:szCs w:val="22"/>
              </w:rPr>
              <w:t xml:space="preserve"> </w:t>
            </w:r>
          </w:p>
          <w:p w14:paraId="3B6F4F1F" w14:textId="77777777" w:rsidR="000D09B4" w:rsidRDefault="000D09B4">
            <w:pPr>
              <w:spacing w:before="80" w:after="80"/>
              <w:jc w:val="left"/>
              <w:rPr>
                <w:szCs w:val="22"/>
              </w:rPr>
            </w:pPr>
            <w:r>
              <w:rPr>
                <w:szCs w:val="22"/>
              </w:rPr>
              <w:t xml:space="preserve">Dollar value of all resources made available to strengthen statistical capacity in developing </w:t>
            </w:r>
            <w:proofErr w:type="gramStart"/>
            <w:r>
              <w:rPr>
                <w:szCs w:val="22"/>
              </w:rPr>
              <w:t>countries</w:t>
            </w:r>
            <w:proofErr w:type="gramEnd"/>
            <w:r>
              <w:rPr>
                <w:szCs w:val="22"/>
              </w:rPr>
              <w:t xml:space="preserve"> </w:t>
            </w:r>
          </w:p>
          <w:p w14:paraId="383B1B06" w14:textId="77777777" w:rsidR="000D09B4" w:rsidRDefault="000D09B4">
            <w:pPr>
              <w:spacing w:before="80" w:after="80"/>
              <w:jc w:val="left"/>
              <w:rPr>
                <w:szCs w:val="22"/>
              </w:rPr>
            </w:pPr>
            <w:r>
              <w:rPr>
                <w:szCs w:val="22"/>
              </w:rPr>
              <w:t>Amount of biodiversity-related philanthropic funding</w:t>
            </w:r>
          </w:p>
          <w:p w14:paraId="4E8888F3" w14:textId="77777777" w:rsidR="000D09B4" w:rsidRDefault="000D09B4">
            <w:pPr>
              <w:spacing w:before="80" w:after="80"/>
              <w:jc w:val="left"/>
              <w:rPr>
                <w:szCs w:val="22"/>
              </w:rPr>
            </w:pPr>
            <w:r>
              <w:rPr>
                <w:szCs w:val="22"/>
              </w:rPr>
              <w:t xml:space="preserve">Proportion of total research budget allocated to research in the field of marine </w:t>
            </w:r>
            <w:proofErr w:type="gramStart"/>
            <w:r>
              <w:rPr>
                <w:szCs w:val="22"/>
              </w:rPr>
              <w:t>technology</w:t>
            </w:r>
            <w:proofErr w:type="gramEnd"/>
          </w:p>
          <w:p w14:paraId="66FAAEF6" w14:textId="77777777" w:rsidR="000D09B4" w:rsidRDefault="000D09B4">
            <w:pPr>
              <w:spacing w:before="80" w:after="80"/>
              <w:jc w:val="left"/>
              <w:rPr>
                <w:szCs w:val="22"/>
              </w:rPr>
            </w:pPr>
            <w:r>
              <w:rPr>
                <w:szCs w:val="22"/>
              </w:rPr>
              <w:t xml:space="preserve">Total amount of approved funding for developing countries to promote the development, transfer, dissemination and diffusion of environmentally sound </w:t>
            </w:r>
            <w:proofErr w:type="gramStart"/>
            <w:r>
              <w:rPr>
                <w:szCs w:val="22"/>
              </w:rPr>
              <w:t>technologies</w:t>
            </w:r>
            <w:proofErr w:type="gramEnd"/>
            <w:r>
              <w:rPr>
                <w:szCs w:val="22"/>
              </w:rPr>
              <w:t xml:space="preserve"> </w:t>
            </w:r>
          </w:p>
          <w:p w14:paraId="3A1707A8" w14:textId="77777777" w:rsidR="000D09B4" w:rsidRDefault="000D09B4">
            <w:pPr>
              <w:spacing w:before="80" w:after="80"/>
              <w:jc w:val="left"/>
              <w:rPr>
                <w:szCs w:val="22"/>
              </w:rPr>
            </w:pPr>
            <w:r>
              <w:rPr>
                <w:szCs w:val="22"/>
              </w:rPr>
              <w:t>Number of countries (and number of instruments) with payments for ecosystem services (PES) programmes</w:t>
            </w:r>
          </w:p>
          <w:p w14:paraId="208D8E47" w14:textId="77777777" w:rsidR="000D09B4" w:rsidRDefault="000D09B4">
            <w:pPr>
              <w:spacing w:before="80" w:after="80"/>
              <w:jc w:val="left"/>
              <w:rPr>
                <w:szCs w:val="22"/>
              </w:rPr>
            </w:pPr>
            <w:r>
              <w:rPr>
                <w:szCs w:val="22"/>
              </w:rPr>
              <w:t xml:space="preserve">Number of countries that have (a) assessed values of biodiversity in accordance with the Convention, (b) identified and reported funding needs, </w:t>
            </w:r>
            <w:proofErr w:type="gramStart"/>
            <w:r>
              <w:rPr>
                <w:szCs w:val="22"/>
              </w:rPr>
              <w:t>gaps</w:t>
            </w:r>
            <w:proofErr w:type="gramEnd"/>
            <w:r>
              <w:rPr>
                <w:szCs w:val="22"/>
              </w:rPr>
              <w:t xml:space="preserve"> and priorities, (c) developed national financial plans for biodiversity, (d) been provided with the necessary funding and capacity</w:t>
            </w:r>
            <w:r>
              <w:rPr>
                <w:szCs w:val="22"/>
              </w:rPr>
              <w:noBreakHyphen/>
              <w:t>building to undertake the above activities</w:t>
            </w:r>
          </w:p>
        </w:tc>
      </w:tr>
    </w:tbl>
    <w:bookmarkEnd w:id="6"/>
    <w:p w14:paraId="5FD6A375" w14:textId="1C277058" w:rsidR="00AE1A51" w:rsidRDefault="00AE1A51" w:rsidP="00AE1A51">
      <w:pPr>
        <w:pStyle w:val="Para10"/>
      </w:pPr>
      <w:r>
        <w:t>*</w:t>
      </w:r>
      <w:r w:rsidRPr="00AE1A51">
        <w:rPr>
          <w:sz w:val="18"/>
          <w:szCs w:val="18"/>
        </w:rPr>
        <w:t xml:space="preserve"> </w:t>
      </w:r>
      <w:r>
        <w:rPr>
          <w:sz w:val="18"/>
          <w:szCs w:val="18"/>
        </w:rPr>
        <w:t xml:space="preserve">An agreed up-to-date methodology does not exist for this indicator. The </w:t>
      </w:r>
      <w:r>
        <w:rPr>
          <w:snapToGrid w:val="0"/>
          <w:kern w:val="22"/>
          <w:sz w:val="18"/>
          <w:szCs w:val="18"/>
        </w:rPr>
        <w:t xml:space="preserve">Ad Hoc Technical Expert Group </w:t>
      </w:r>
      <w:r>
        <w:rPr>
          <w:sz w:val="18"/>
          <w:szCs w:val="18"/>
        </w:rPr>
        <w:t>will work with partners to guide the development of these indicators.</w:t>
      </w:r>
    </w:p>
    <w:p w14:paraId="383E5E5A" w14:textId="77777777" w:rsidR="00AB6C11" w:rsidRDefault="00AB6C11" w:rsidP="00AE1A51">
      <w:pPr>
        <w:pStyle w:val="Para10"/>
        <w:jc w:val="center"/>
        <w:sectPr w:rsidR="00AB6C11" w:rsidSect="00C67A3D">
          <w:pgSz w:w="15840" w:h="12240" w:orient="landscape"/>
          <w:pgMar w:top="1530" w:right="1134" w:bottom="1440" w:left="1134" w:header="709" w:footer="709" w:gutter="0"/>
          <w:cols w:space="708"/>
          <w:docGrid w:linePitch="360"/>
        </w:sectPr>
      </w:pPr>
    </w:p>
    <w:p w14:paraId="4DCF0467" w14:textId="306B6578" w:rsidR="00AB6C11" w:rsidRPr="009314AD" w:rsidRDefault="00AB6C11" w:rsidP="00AB6C11">
      <w:pPr>
        <w:pStyle w:val="Annex"/>
      </w:pPr>
      <w:r w:rsidRPr="009314AD">
        <w:t xml:space="preserve">Annex </w:t>
      </w:r>
      <w:r>
        <w:t>I</w:t>
      </w:r>
      <w:r w:rsidRPr="009314AD">
        <w:t>II</w:t>
      </w:r>
    </w:p>
    <w:p w14:paraId="7EE880F7" w14:textId="6F48380C" w:rsidR="001921BE" w:rsidRPr="001921BE" w:rsidRDefault="001921BE" w:rsidP="004960CF">
      <w:pPr>
        <w:pStyle w:val="Para10"/>
        <w:ind w:left="567"/>
        <w:jc w:val="left"/>
        <w:rPr>
          <w:b/>
          <w:bCs/>
          <w:caps/>
          <w:lang w:val="en-GB"/>
        </w:rPr>
      </w:pPr>
      <w:r w:rsidRPr="004960CF">
        <w:rPr>
          <w:rStyle w:val="TitleChar"/>
        </w:rPr>
        <w:t>Template for observations regarding the indicator metadata</w:t>
      </w:r>
      <w:r w:rsidR="00AB6C11">
        <w:rPr>
          <w:rStyle w:val="FootnoteReference"/>
          <w:b/>
          <w:bCs/>
          <w:caps/>
          <w:lang w:val="en-GB"/>
        </w:rPr>
        <w:footnoteReference w:id="12"/>
      </w:r>
    </w:p>
    <w:tbl>
      <w:tblPr>
        <w:tblStyle w:val="TableGrid"/>
        <w:tblW w:w="9071" w:type="dxa"/>
        <w:tblInd w:w="562" w:type="dxa"/>
        <w:tblLook w:val="04A0" w:firstRow="1" w:lastRow="0" w:firstColumn="1" w:lastColumn="0" w:noHBand="0" w:noVBand="1"/>
      </w:tblPr>
      <w:tblGrid>
        <w:gridCol w:w="3104"/>
        <w:gridCol w:w="5967"/>
      </w:tblGrid>
      <w:tr w:rsidR="001921BE" w:rsidRPr="001921BE" w14:paraId="69FF44DE" w14:textId="77777777" w:rsidTr="002C5A9B">
        <w:tc>
          <w:tcPr>
            <w:tcW w:w="3104" w:type="dxa"/>
            <w:shd w:val="clear" w:color="auto" w:fill="FFFFFF" w:themeFill="background1"/>
          </w:tcPr>
          <w:p w14:paraId="38A87313" w14:textId="77777777" w:rsidR="001921BE" w:rsidRPr="001921BE" w:rsidRDefault="001921BE" w:rsidP="001921BE">
            <w:pPr>
              <w:spacing w:before="120" w:after="120"/>
              <w:jc w:val="left"/>
              <w:rPr>
                <w:rFonts w:eastAsiaTheme="minorHAnsi"/>
                <w:b/>
                <w:kern w:val="2"/>
                <w:szCs w:val="22"/>
                <w:lang w:val="en-CA"/>
                <w14:ligatures w14:val="standardContextual"/>
              </w:rPr>
            </w:pPr>
            <w:r w:rsidRPr="001921BE">
              <w:rPr>
                <w:rFonts w:eastAsiaTheme="minorHAnsi"/>
                <w:b/>
                <w:kern w:val="2"/>
                <w:szCs w:val="22"/>
                <w:lang w:val="en-CA"/>
                <w14:ligatures w14:val="standardContextual"/>
              </w:rPr>
              <w:t>Indicator</w:t>
            </w:r>
          </w:p>
        </w:tc>
        <w:tc>
          <w:tcPr>
            <w:tcW w:w="5967" w:type="dxa"/>
            <w:shd w:val="clear" w:color="auto" w:fill="FFFFFF" w:themeFill="background1"/>
          </w:tcPr>
          <w:p w14:paraId="315376BF" w14:textId="77777777" w:rsidR="001921BE" w:rsidRPr="001921BE" w:rsidRDefault="001921BE" w:rsidP="001921BE">
            <w:pPr>
              <w:spacing w:before="120" w:after="120"/>
              <w:jc w:val="left"/>
              <w:rPr>
                <w:rFonts w:eastAsiaTheme="minorHAnsi"/>
                <w:b/>
                <w:kern w:val="2"/>
                <w:szCs w:val="22"/>
                <w:lang w:val="en-CA"/>
                <w14:ligatures w14:val="standardContextual"/>
              </w:rPr>
            </w:pPr>
          </w:p>
        </w:tc>
      </w:tr>
      <w:tr w:rsidR="001921BE" w:rsidRPr="001921BE" w14:paraId="59147E0E" w14:textId="77777777" w:rsidTr="002C5A9B">
        <w:tc>
          <w:tcPr>
            <w:tcW w:w="3104" w:type="dxa"/>
            <w:shd w:val="clear" w:color="auto" w:fill="FFFFFF" w:themeFill="background1"/>
          </w:tcPr>
          <w:p w14:paraId="0101DD6E" w14:textId="77777777" w:rsidR="001921BE" w:rsidRPr="001921BE" w:rsidRDefault="001921BE" w:rsidP="001921BE">
            <w:pPr>
              <w:spacing w:before="120" w:after="120"/>
              <w:jc w:val="left"/>
              <w:rPr>
                <w:rFonts w:eastAsiaTheme="minorHAnsi"/>
                <w:b/>
                <w:kern w:val="2"/>
                <w:szCs w:val="22"/>
                <w:lang w:val="en-CA"/>
                <w14:ligatures w14:val="standardContextual"/>
              </w:rPr>
            </w:pPr>
            <w:r w:rsidRPr="001921BE">
              <w:rPr>
                <w:rFonts w:eastAsiaTheme="minorHAnsi"/>
                <w:b/>
                <w:kern w:val="2"/>
                <w:szCs w:val="22"/>
                <w:lang w:val="en-CA"/>
                <w14:ligatures w14:val="standardContextual"/>
              </w:rPr>
              <w:t>Goal/Target</w:t>
            </w:r>
          </w:p>
        </w:tc>
        <w:tc>
          <w:tcPr>
            <w:tcW w:w="5967" w:type="dxa"/>
            <w:shd w:val="clear" w:color="auto" w:fill="FFFFFF" w:themeFill="background1"/>
          </w:tcPr>
          <w:p w14:paraId="3F988433" w14:textId="77777777" w:rsidR="001921BE" w:rsidRPr="001921BE" w:rsidRDefault="001921BE" w:rsidP="001921BE">
            <w:pPr>
              <w:spacing w:before="120" w:after="120"/>
              <w:jc w:val="left"/>
              <w:rPr>
                <w:rFonts w:eastAsiaTheme="minorHAnsi"/>
                <w:b/>
                <w:kern w:val="2"/>
                <w:szCs w:val="22"/>
                <w:lang w:val="en-CA"/>
                <w14:ligatures w14:val="standardContextual"/>
              </w:rPr>
            </w:pPr>
          </w:p>
        </w:tc>
      </w:tr>
      <w:tr w:rsidR="001921BE" w:rsidRPr="001921BE" w14:paraId="22FD1058" w14:textId="77777777" w:rsidTr="002C5A9B">
        <w:tc>
          <w:tcPr>
            <w:tcW w:w="3104" w:type="dxa"/>
            <w:shd w:val="clear" w:color="auto" w:fill="FFFFFF" w:themeFill="background1"/>
          </w:tcPr>
          <w:p w14:paraId="0234C91D" w14:textId="77777777" w:rsidR="001921BE" w:rsidRPr="001921BE" w:rsidRDefault="001921BE" w:rsidP="001921BE">
            <w:pPr>
              <w:spacing w:before="120" w:after="120"/>
              <w:jc w:val="left"/>
              <w:rPr>
                <w:rFonts w:eastAsiaTheme="minorHAnsi"/>
                <w:b/>
                <w:kern w:val="2"/>
                <w:szCs w:val="22"/>
                <w:lang w:val="en-CA"/>
                <w14:ligatures w14:val="standardContextual"/>
              </w:rPr>
            </w:pPr>
            <w:proofErr w:type="gramStart"/>
            <w:r w:rsidRPr="001921BE">
              <w:rPr>
                <w:rFonts w:eastAsiaTheme="minorHAnsi"/>
                <w:b/>
                <w:kern w:val="2"/>
                <w:szCs w:val="22"/>
                <w:lang w:val="en-CA"/>
                <w14:ligatures w14:val="standardContextual"/>
              </w:rPr>
              <w:t>Current status</w:t>
            </w:r>
            <w:proofErr w:type="gramEnd"/>
          </w:p>
        </w:tc>
        <w:tc>
          <w:tcPr>
            <w:tcW w:w="5967" w:type="dxa"/>
            <w:shd w:val="clear" w:color="auto" w:fill="FFFFFF" w:themeFill="background1"/>
          </w:tcPr>
          <w:p w14:paraId="3E1411D6" w14:textId="77777777" w:rsidR="001921BE" w:rsidRPr="001921BE" w:rsidRDefault="001921BE" w:rsidP="001921BE">
            <w:pPr>
              <w:spacing w:before="120" w:after="120"/>
              <w:jc w:val="left"/>
              <w:rPr>
                <w:rFonts w:eastAsiaTheme="minorHAnsi"/>
                <w:b/>
                <w:kern w:val="2"/>
                <w:szCs w:val="22"/>
                <w:lang w:val="en-CA"/>
                <w14:ligatures w14:val="standardContextual"/>
              </w:rPr>
            </w:pPr>
          </w:p>
        </w:tc>
      </w:tr>
      <w:tr w:rsidR="001921BE" w:rsidRPr="001921BE" w14:paraId="52C8A4A4" w14:textId="77777777" w:rsidTr="002C5A9B">
        <w:tc>
          <w:tcPr>
            <w:tcW w:w="3104" w:type="dxa"/>
          </w:tcPr>
          <w:p w14:paraId="6168C307" w14:textId="77777777" w:rsidR="001921BE" w:rsidRPr="001921BE" w:rsidRDefault="001921BE" w:rsidP="001921BE">
            <w:pPr>
              <w:spacing w:before="120" w:after="120"/>
              <w:jc w:val="left"/>
              <w:rPr>
                <w:rFonts w:eastAsiaTheme="minorHAnsi"/>
                <w:kern w:val="2"/>
                <w:szCs w:val="22"/>
                <w:lang w:val="en-CA"/>
                <w14:ligatures w14:val="standardContextual"/>
              </w:rPr>
            </w:pPr>
            <w:r w:rsidRPr="001921BE">
              <w:rPr>
                <w:rFonts w:eastAsiaTheme="minorHAnsi"/>
                <w:kern w:val="2"/>
                <w:szCs w:val="22"/>
                <w:lang w:val="en-CA"/>
                <w14:ligatures w14:val="standardContextual"/>
              </w:rPr>
              <w:t>Next steps in terms of finalizing the metadata and operationalizing the indicator?</w:t>
            </w:r>
          </w:p>
        </w:tc>
        <w:tc>
          <w:tcPr>
            <w:tcW w:w="5967" w:type="dxa"/>
          </w:tcPr>
          <w:p w14:paraId="0B0ED331" w14:textId="77777777" w:rsidR="001921BE" w:rsidRPr="001921BE" w:rsidRDefault="001921BE" w:rsidP="001921BE">
            <w:pPr>
              <w:spacing w:before="120" w:after="120"/>
              <w:jc w:val="left"/>
              <w:rPr>
                <w:rFonts w:eastAsiaTheme="minorHAnsi"/>
                <w:kern w:val="2"/>
                <w:szCs w:val="22"/>
                <w:lang w:val="en-CA"/>
                <w14:ligatures w14:val="standardContextual"/>
              </w:rPr>
            </w:pPr>
          </w:p>
        </w:tc>
      </w:tr>
      <w:tr w:rsidR="001921BE" w:rsidRPr="001921BE" w14:paraId="2BA42A29" w14:textId="77777777" w:rsidTr="002C5A9B">
        <w:tc>
          <w:tcPr>
            <w:tcW w:w="3104" w:type="dxa"/>
          </w:tcPr>
          <w:p w14:paraId="7660F700" w14:textId="77777777" w:rsidR="001921BE" w:rsidRPr="001921BE" w:rsidRDefault="001921BE" w:rsidP="001921BE">
            <w:pPr>
              <w:spacing w:before="120" w:after="120"/>
              <w:jc w:val="left"/>
              <w:rPr>
                <w:rFonts w:eastAsiaTheme="minorHAnsi"/>
                <w:kern w:val="2"/>
                <w:szCs w:val="22"/>
                <w:lang w:val="en-CA"/>
                <w14:ligatures w14:val="standardContextual"/>
              </w:rPr>
            </w:pPr>
            <w:r w:rsidRPr="001921BE">
              <w:rPr>
                <w:rFonts w:eastAsiaTheme="minorHAnsi"/>
                <w:kern w:val="2"/>
                <w:szCs w:val="22"/>
                <w:lang w:val="en-CA"/>
                <w14:ligatures w14:val="standardContextual"/>
              </w:rPr>
              <w:t>Who needs to be involved in finalizing the indicator, and have they been consulted or contacted?</w:t>
            </w:r>
          </w:p>
        </w:tc>
        <w:tc>
          <w:tcPr>
            <w:tcW w:w="5967" w:type="dxa"/>
          </w:tcPr>
          <w:p w14:paraId="00F0A986" w14:textId="77777777" w:rsidR="001921BE" w:rsidRPr="001921BE" w:rsidRDefault="001921BE" w:rsidP="001921BE">
            <w:pPr>
              <w:spacing w:before="120" w:after="120"/>
              <w:jc w:val="left"/>
              <w:rPr>
                <w:rFonts w:eastAsiaTheme="minorHAnsi"/>
                <w:kern w:val="2"/>
                <w:szCs w:val="22"/>
                <w:lang w:val="en-CA"/>
                <w14:ligatures w14:val="standardContextual"/>
              </w:rPr>
            </w:pPr>
          </w:p>
        </w:tc>
      </w:tr>
      <w:tr w:rsidR="001921BE" w:rsidRPr="001921BE" w14:paraId="096E1176" w14:textId="77777777" w:rsidTr="002C5A9B">
        <w:tc>
          <w:tcPr>
            <w:tcW w:w="3104" w:type="dxa"/>
          </w:tcPr>
          <w:p w14:paraId="53F22E60" w14:textId="77777777" w:rsidR="001921BE" w:rsidRPr="001921BE" w:rsidRDefault="001921BE" w:rsidP="001921BE">
            <w:pPr>
              <w:spacing w:before="120" w:after="120"/>
              <w:jc w:val="left"/>
              <w:rPr>
                <w:rFonts w:eastAsiaTheme="minorHAnsi"/>
                <w:kern w:val="2"/>
                <w:szCs w:val="22"/>
                <w:lang w:val="en-CA"/>
                <w14:ligatures w14:val="standardContextual"/>
              </w:rPr>
            </w:pPr>
            <w:r w:rsidRPr="001921BE">
              <w:rPr>
                <w:rFonts w:eastAsiaTheme="minorHAnsi"/>
                <w:kern w:val="2"/>
                <w:szCs w:val="22"/>
                <w:lang w:val="en-CA"/>
                <w14:ligatures w14:val="standardContextual"/>
              </w:rPr>
              <w:t>Is testing at the national level needed?</w:t>
            </w:r>
          </w:p>
        </w:tc>
        <w:tc>
          <w:tcPr>
            <w:tcW w:w="5967" w:type="dxa"/>
          </w:tcPr>
          <w:p w14:paraId="0CEA0929" w14:textId="77777777" w:rsidR="001921BE" w:rsidRPr="001921BE" w:rsidRDefault="001921BE" w:rsidP="001921BE">
            <w:pPr>
              <w:spacing w:before="120" w:after="120"/>
              <w:jc w:val="left"/>
              <w:rPr>
                <w:rFonts w:eastAsiaTheme="minorHAnsi"/>
                <w:kern w:val="2"/>
                <w:szCs w:val="22"/>
                <w:lang w:val="en-CA"/>
                <w14:ligatures w14:val="standardContextual"/>
              </w:rPr>
            </w:pPr>
          </w:p>
        </w:tc>
      </w:tr>
      <w:tr w:rsidR="001921BE" w:rsidRPr="001921BE" w14:paraId="292D3638" w14:textId="77777777" w:rsidTr="002C5A9B">
        <w:tc>
          <w:tcPr>
            <w:tcW w:w="3104" w:type="dxa"/>
          </w:tcPr>
          <w:p w14:paraId="5EA08BBF" w14:textId="77777777" w:rsidR="001921BE" w:rsidRPr="001921BE" w:rsidRDefault="001921BE" w:rsidP="001921BE">
            <w:pPr>
              <w:spacing w:before="120" w:after="120"/>
              <w:jc w:val="left"/>
              <w:rPr>
                <w:rFonts w:eastAsiaTheme="minorHAnsi"/>
                <w:kern w:val="2"/>
                <w:szCs w:val="22"/>
                <w:lang w:val="en-CA"/>
                <w14:ligatures w14:val="standardContextual"/>
              </w:rPr>
            </w:pPr>
            <w:r w:rsidRPr="001921BE">
              <w:rPr>
                <w:rFonts w:eastAsiaTheme="minorHAnsi"/>
                <w:kern w:val="2"/>
                <w:szCs w:val="22"/>
                <w:lang w:val="en-CA"/>
                <w14:ligatures w14:val="standardContextual"/>
              </w:rPr>
              <w:t>What is a realistic timeline for finalizing the metadata and operationalizing the indicator?</w:t>
            </w:r>
          </w:p>
        </w:tc>
        <w:tc>
          <w:tcPr>
            <w:tcW w:w="5967" w:type="dxa"/>
          </w:tcPr>
          <w:p w14:paraId="501DFAD9" w14:textId="77777777" w:rsidR="001921BE" w:rsidRPr="001921BE" w:rsidRDefault="001921BE" w:rsidP="001921BE">
            <w:pPr>
              <w:spacing w:before="120" w:after="120"/>
              <w:jc w:val="left"/>
              <w:rPr>
                <w:rFonts w:eastAsiaTheme="minorHAnsi"/>
                <w:kern w:val="2"/>
                <w:szCs w:val="22"/>
                <w:lang w:val="en-CA"/>
                <w14:ligatures w14:val="standardContextual"/>
              </w:rPr>
            </w:pPr>
          </w:p>
        </w:tc>
      </w:tr>
      <w:tr w:rsidR="001921BE" w:rsidRPr="001921BE" w14:paraId="13E8BDF8" w14:textId="77777777" w:rsidTr="002C5A9B">
        <w:tc>
          <w:tcPr>
            <w:tcW w:w="3104" w:type="dxa"/>
          </w:tcPr>
          <w:p w14:paraId="4685BE96" w14:textId="77777777" w:rsidR="001921BE" w:rsidRPr="001921BE" w:rsidRDefault="001921BE" w:rsidP="001921BE">
            <w:pPr>
              <w:spacing w:before="120" w:after="120"/>
              <w:jc w:val="left"/>
              <w:rPr>
                <w:rFonts w:eastAsiaTheme="minorHAnsi"/>
                <w:kern w:val="2"/>
                <w:szCs w:val="22"/>
                <w:lang w:val="en-CA"/>
                <w14:ligatures w14:val="standardContextual"/>
              </w:rPr>
            </w:pPr>
            <w:r w:rsidRPr="001921BE">
              <w:rPr>
                <w:rFonts w:eastAsiaTheme="minorHAnsi"/>
                <w:kern w:val="2"/>
                <w:szCs w:val="22"/>
                <w:lang w:val="en-CA"/>
                <w14:ligatures w14:val="standardContextual"/>
              </w:rPr>
              <w:t xml:space="preserve">What are possible thematic or subject area </w:t>
            </w:r>
            <w:proofErr w:type="spellStart"/>
            <w:r w:rsidRPr="001921BE">
              <w:rPr>
                <w:rFonts w:eastAsiaTheme="minorHAnsi"/>
                <w:kern w:val="2"/>
                <w:szCs w:val="22"/>
                <w:lang w:val="en-CA"/>
                <w14:ligatures w14:val="standardContextual"/>
              </w:rPr>
              <w:t>disaggregations</w:t>
            </w:r>
            <w:proofErr w:type="spellEnd"/>
            <w:r w:rsidRPr="001921BE">
              <w:rPr>
                <w:rFonts w:eastAsiaTheme="minorHAnsi"/>
                <w:kern w:val="2"/>
                <w:szCs w:val="22"/>
                <w:lang w:val="en-CA"/>
                <w14:ligatures w14:val="standardContextual"/>
              </w:rPr>
              <w:t>?</w:t>
            </w:r>
          </w:p>
        </w:tc>
        <w:tc>
          <w:tcPr>
            <w:tcW w:w="5967" w:type="dxa"/>
          </w:tcPr>
          <w:p w14:paraId="13ED5BD5" w14:textId="77777777" w:rsidR="001921BE" w:rsidRPr="001921BE" w:rsidRDefault="001921BE" w:rsidP="001921BE">
            <w:pPr>
              <w:spacing w:before="120" w:after="120"/>
              <w:jc w:val="left"/>
              <w:rPr>
                <w:rFonts w:eastAsiaTheme="minorHAnsi"/>
                <w:kern w:val="2"/>
                <w:szCs w:val="22"/>
                <w:lang w:val="en-CA"/>
                <w14:ligatures w14:val="standardContextual"/>
              </w:rPr>
            </w:pPr>
          </w:p>
        </w:tc>
      </w:tr>
      <w:tr w:rsidR="001921BE" w:rsidRPr="001921BE" w14:paraId="56241479" w14:textId="77777777" w:rsidTr="002C5A9B">
        <w:tc>
          <w:tcPr>
            <w:tcW w:w="3104" w:type="dxa"/>
          </w:tcPr>
          <w:p w14:paraId="62CC806C" w14:textId="77777777" w:rsidR="001921BE" w:rsidRPr="001921BE" w:rsidRDefault="001921BE" w:rsidP="001921BE">
            <w:pPr>
              <w:spacing w:before="120" w:after="120"/>
              <w:jc w:val="left"/>
              <w:rPr>
                <w:rFonts w:eastAsiaTheme="minorHAnsi"/>
                <w:kern w:val="2"/>
                <w:szCs w:val="22"/>
                <w:lang w:val="en-CA"/>
                <w14:ligatures w14:val="standardContextual"/>
              </w:rPr>
            </w:pPr>
            <w:r w:rsidRPr="001921BE">
              <w:rPr>
                <w:rFonts w:eastAsiaTheme="minorHAnsi"/>
                <w:kern w:val="2"/>
                <w:szCs w:val="22"/>
                <w:lang w:val="en-CA"/>
                <w14:ligatures w14:val="standardContextual"/>
              </w:rPr>
              <w:t>How could gender perspectives be reflected in the indicator?</w:t>
            </w:r>
          </w:p>
        </w:tc>
        <w:tc>
          <w:tcPr>
            <w:tcW w:w="5967" w:type="dxa"/>
          </w:tcPr>
          <w:p w14:paraId="5A67AB50" w14:textId="77777777" w:rsidR="001921BE" w:rsidRPr="001921BE" w:rsidRDefault="001921BE" w:rsidP="001921BE">
            <w:pPr>
              <w:spacing w:before="120" w:after="120"/>
              <w:jc w:val="left"/>
              <w:rPr>
                <w:rFonts w:eastAsiaTheme="minorHAnsi"/>
                <w:kern w:val="2"/>
                <w:szCs w:val="22"/>
                <w:lang w:val="en-CA"/>
                <w14:ligatures w14:val="standardContextual"/>
              </w:rPr>
            </w:pPr>
          </w:p>
        </w:tc>
      </w:tr>
      <w:tr w:rsidR="001921BE" w:rsidRPr="001921BE" w14:paraId="600253D7" w14:textId="77777777" w:rsidTr="002C5A9B">
        <w:tc>
          <w:tcPr>
            <w:tcW w:w="3104" w:type="dxa"/>
          </w:tcPr>
          <w:p w14:paraId="41323BD3" w14:textId="77777777" w:rsidR="001921BE" w:rsidRPr="001921BE" w:rsidRDefault="001921BE" w:rsidP="001921BE">
            <w:pPr>
              <w:spacing w:before="120" w:after="120"/>
              <w:jc w:val="left"/>
              <w:rPr>
                <w:rFonts w:eastAsiaTheme="minorHAnsi"/>
                <w:kern w:val="2"/>
                <w:szCs w:val="22"/>
                <w:lang w:val="en-CA"/>
                <w14:ligatures w14:val="standardContextual"/>
              </w:rPr>
            </w:pPr>
            <w:r w:rsidRPr="001921BE">
              <w:rPr>
                <w:rFonts w:eastAsiaTheme="minorHAnsi"/>
                <w:kern w:val="2"/>
                <w:szCs w:val="22"/>
                <w:lang w:val="en-CA"/>
                <w14:ligatures w14:val="standardContextual"/>
              </w:rPr>
              <w:t>How could issues related to indigenous peoples and local communities be reflected in the indicator?</w:t>
            </w:r>
          </w:p>
        </w:tc>
        <w:tc>
          <w:tcPr>
            <w:tcW w:w="5967" w:type="dxa"/>
          </w:tcPr>
          <w:p w14:paraId="3F2DEDA3" w14:textId="77777777" w:rsidR="001921BE" w:rsidRPr="001921BE" w:rsidRDefault="001921BE" w:rsidP="001921BE">
            <w:pPr>
              <w:spacing w:before="120" w:after="120"/>
              <w:jc w:val="left"/>
              <w:rPr>
                <w:rFonts w:eastAsiaTheme="minorHAnsi"/>
                <w:kern w:val="2"/>
                <w:szCs w:val="22"/>
                <w:lang w:val="en-CA"/>
                <w14:ligatures w14:val="standardContextual"/>
              </w:rPr>
            </w:pPr>
          </w:p>
        </w:tc>
      </w:tr>
      <w:tr w:rsidR="001921BE" w:rsidRPr="001921BE" w14:paraId="4B36FAD3" w14:textId="77777777" w:rsidTr="002C5A9B">
        <w:tc>
          <w:tcPr>
            <w:tcW w:w="3104" w:type="dxa"/>
          </w:tcPr>
          <w:p w14:paraId="54573FD6" w14:textId="77777777" w:rsidR="001921BE" w:rsidRPr="001921BE" w:rsidRDefault="001921BE" w:rsidP="001921BE">
            <w:pPr>
              <w:spacing w:before="120" w:after="120"/>
              <w:jc w:val="left"/>
              <w:rPr>
                <w:rFonts w:eastAsiaTheme="minorHAnsi"/>
                <w:kern w:val="2"/>
                <w:szCs w:val="22"/>
                <w:lang w:val="en-CA"/>
                <w14:ligatures w14:val="standardContextual"/>
              </w:rPr>
            </w:pPr>
            <w:r w:rsidRPr="001921BE">
              <w:rPr>
                <w:rFonts w:eastAsiaTheme="minorHAnsi"/>
                <w:kern w:val="2"/>
                <w:szCs w:val="22"/>
                <w:lang w:val="en-CA"/>
                <w14:ligatures w14:val="standardContextual"/>
              </w:rPr>
              <w:t xml:space="preserve">Are there any critical gaps </w:t>
            </w:r>
            <w:proofErr w:type="gramStart"/>
            <w:r w:rsidRPr="001921BE">
              <w:rPr>
                <w:rFonts w:eastAsiaTheme="minorHAnsi"/>
                <w:kern w:val="2"/>
                <w:szCs w:val="22"/>
                <w:lang w:val="en-CA"/>
                <w14:ligatures w14:val="standardContextual"/>
              </w:rPr>
              <w:t>with regard to</w:t>
            </w:r>
            <w:proofErr w:type="gramEnd"/>
            <w:r w:rsidRPr="001921BE">
              <w:rPr>
                <w:rFonts w:eastAsiaTheme="minorHAnsi"/>
                <w:kern w:val="2"/>
                <w:szCs w:val="22"/>
                <w:lang w:val="en-CA"/>
                <w14:ligatures w14:val="standardContextual"/>
              </w:rPr>
              <w:t xml:space="preserve"> the indicators identified for the goals and targets being considered by the subgroup? </w:t>
            </w:r>
          </w:p>
        </w:tc>
        <w:tc>
          <w:tcPr>
            <w:tcW w:w="5967" w:type="dxa"/>
          </w:tcPr>
          <w:p w14:paraId="3238E1B0" w14:textId="77777777" w:rsidR="001921BE" w:rsidRPr="001921BE" w:rsidRDefault="001921BE" w:rsidP="001921BE">
            <w:pPr>
              <w:spacing w:before="120" w:after="120"/>
              <w:jc w:val="left"/>
              <w:rPr>
                <w:rFonts w:eastAsiaTheme="minorHAnsi"/>
                <w:kern w:val="2"/>
                <w:szCs w:val="22"/>
                <w:lang w:val="en-CA"/>
                <w14:ligatures w14:val="standardContextual"/>
              </w:rPr>
            </w:pPr>
          </w:p>
        </w:tc>
      </w:tr>
      <w:tr w:rsidR="001921BE" w:rsidRPr="001921BE" w14:paraId="2B297070" w14:textId="77777777" w:rsidTr="002C5A9B">
        <w:tc>
          <w:tcPr>
            <w:tcW w:w="3104" w:type="dxa"/>
          </w:tcPr>
          <w:p w14:paraId="17413AFC" w14:textId="77777777" w:rsidR="001921BE" w:rsidRPr="001921BE" w:rsidRDefault="001921BE" w:rsidP="001921BE">
            <w:pPr>
              <w:spacing w:before="120" w:after="120"/>
              <w:jc w:val="left"/>
              <w:rPr>
                <w:rFonts w:eastAsiaTheme="minorHAnsi"/>
                <w:kern w:val="2"/>
                <w:szCs w:val="22"/>
                <w:lang w:val="en-CA"/>
                <w14:ligatures w14:val="standardContextual"/>
              </w:rPr>
            </w:pPr>
            <w:r w:rsidRPr="001921BE">
              <w:rPr>
                <w:rFonts w:eastAsiaTheme="minorHAnsi"/>
                <w:kern w:val="2"/>
                <w:szCs w:val="22"/>
                <w:lang w:val="en-CA"/>
                <w14:ligatures w14:val="standardContextual"/>
              </w:rPr>
              <w:t>Other issues to bring to the attention of the</w:t>
            </w:r>
            <w:r w:rsidRPr="001921BE">
              <w:rPr>
                <w:rFonts w:asciiTheme="minorHAnsi" w:eastAsiaTheme="minorHAnsi" w:hAnsiTheme="minorHAnsi" w:cstheme="minorBidi"/>
                <w:kern w:val="2"/>
                <w:szCs w:val="22"/>
                <w:lang w:val="en-CA"/>
                <w14:ligatures w14:val="standardContextual"/>
              </w:rPr>
              <w:t xml:space="preserve"> </w:t>
            </w:r>
            <w:r w:rsidRPr="001921BE">
              <w:rPr>
                <w:rFonts w:eastAsiaTheme="minorHAnsi"/>
                <w:kern w:val="2"/>
                <w:szCs w:val="22"/>
                <w:lang w:val="en-CA"/>
                <w14:ligatures w14:val="standardContextual"/>
              </w:rPr>
              <w:t>Ad Hoc Technical Expert Group</w:t>
            </w:r>
          </w:p>
        </w:tc>
        <w:tc>
          <w:tcPr>
            <w:tcW w:w="5967" w:type="dxa"/>
          </w:tcPr>
          <w:p w14:paraId="3C809037" w14:textId="77777777" w:rsidR="001921BE" w:rsidRPr="001921BE" w:rsidRDefault="001921BE" w:rsidP="001921BE">
            <w:pPr>
              <w:spacing w:before="120" w:after="120"/>
              <w:jc w:val="left"/>
              <w:rPr>
                <w:rFonts w:eastAsiaTheme="minorHAnsi"/>
                <w:kern w:val="2"/>
                <w:szCs w:val="22"/>
                <w:lang w:val="en-CA"/>
                <w14:ligatures w14:val="standardContextual"/>
              </w:rPr>
            </w:pPr>
          </w:p>
        </w:tc>
      </w:tr>
    </w:tbl>
    <w:p w14:paraId="24B9D1A4" w14:textId="5831EA4D" w:rsidR="002B559C" w:rsidRPr="004701EE" w:rsidRDefault="00ED3849" w:rsidP="00AE1A51">
      <w:pPr>
        <w:pStyle w:val="Para10"/>
        <w:jc w:val="center"/>
      </w:pPr>
      <w:r>
        <w:t>__________</w:t>
      </w:r>
    </w:p>
    <w:sectPr w:rsidR="002B559C" w:rsidRPr="004701EE" w:rsidSect="001921BE">
      <w:pgSz w:w="12240" w:h="15840"/>
      <w:pgMar w:top="1134" w:right="1440" w:bottom="1134" w:left="15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F9E0" w14:textId="77777777" w:rsidR="00677936" w:rsidRDefault="00677936" w:rsidP="00A96B21">
      <w:r>
        <w:separator/>
      </w:r>
    </w:p>
  </w:endnote>
  <w:endnote w:type="continuationSeparator" w:id="0">
    <w:p w14:paraId="3FE31CD4" w14:textId="77777777" w:rsidR="00677936" w:rsidRDefault="00677936" w:rsidP="00A96B21">
      <w:r>
        <w:continuationSeparator/>
      </w:r>
    </w:p>
  </w:endnote>
  <w:endnote w:type="continuationNotice" w:id="1">
    <w:p w14:paraId="5183B45C" w14:textId="77777777" w:rsidR="00677936" w:rsidRDefault="0067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363B66A8"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248BCF6E"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ECDE" w14:textId="77777777" w:rsidR="00677936" w:rsidRDefault="00677936" w:rsidP="00A96B21">
      <w:r>
        <w:separator/>
      </w:r>
    </w:p>
  </w:footnote>
  <w:footnote w:type="continuationSeparator" w:id="0">
    <w:p w14:paraId="1DF6BF46" w14:textId="77777777" w:rsidR="00677936" w:rsidRDefault="00677936" w:rsidP="00A96B21">
      <w:r>
        <w:continuationSeparator/>
      </w:r>
    </w:p>
  </w:footnote>
  <w:footnote w:type="continuationNotice" w:id="1">
    <w:p w14:paraId="1713561A" w14:textId="77777777" w:rsidR="00677936" w:rsidRDefault="00677936"/>
  </w:footnote>
  <w:footnote w:id="2">
    <w:p w14:paraId="2422460C" w14:textId="0A034BF1" w:rsidR="00A42507" w:rsidRPr="003F0146" w:rsidRDefault="00A42507">
      <w:pPr>
        <w:pStyle w:val="FootnoteText"/>
        <w:rPr>
          <w:lang w:val="en-US"/>
        </w:rPr>
      </w:pPr>
      <w:r>
        <w:rPr>
          <w:rStyle w:val="FootnoteReference"/>
        </w:rPr>
        <w:t>*</w:t>
      </w:r>
      <w:r>
        <w:t xml:space="preserve"> </w:t>
      </w:r>
      <w:r w:rsidRPr="00D43DB8">
        <w:rPr>
          <w:sz w:val="18"/>
          <w:szCs w:val="18"/>
        </w:rPr>
        <w:t>CBD/</w:t>
      </w:r>
      <w:r w:rsidR="00B9458A">
        <w:rPr>
          <w:sz w:val="18"/>
          <w:szCs w:val="18"/>
        </w:rPr>
        <w:t>FM/TEG/</w:t>
      </w:r>
      <w:r w:rsidRPr="00D43DB8">
        <w:rPr>
          <w:sz w:val="18"/>
          <w:szCs w:val="18"/>
        </w:rPr>
        <w:t>2023/1/1.</w:t>
      </w:r>
    </w:p>
  </w:footnote>
  <w:footnote w:id="3">
    <w:p w14:paraId="2BF6AB6F" w14:textId="77777777" w:rsidR="00754F28" w:rsidRDefault="00754F28" w:rsidP="00754F28">
      <w:pPr>
        <w:pStyle w:val="FootnoteText"/>
        <w:jc w:val="left"/>
        <w:rPr>
          <w:szCs w:val="18"/>
        </w:rPr>
      </w:pPr>
      <w:r>
        <w:rPr>
          <w:rStyle w:val="FootnoteReference"/>
          <w:rFonts w:eastAsiaTheme="majorEastAsia"/>
          <w:szCs w:val="18"/>
        </w:rPr>
        <w:footnoteRef/>
      </w:r>
      <w:r>
        <w:rPr>
          <w:szCs w:val="18"/>
        </w:rPr>
        <w:t xml:space="preserve"> Decision 15/5.</w:t>
      </w:r>
    </w:p>
  </w:footnote>
  <w:footnote w:id="4">
    <w:p w14:paraId="46DD00E0" w14:textId="46906816" w:rsidR="003A6285" w:rsidRPr="003A6285" w:rsidRDefault="003A6285">
      <w:pPr>
        <w:pStyle w:val="FootnoteText"/>
      </w:pPr>
      <w:r>
        <w:rPr>
          <w:rStyle w:val="FootnoteReference"/>
        </w:rPr>
        <w:footnoteRef/>
      </w:r>
      <w:r>
        <w:t xml:space="preserve"> </w:t>
      </w:r>
      <w:r w:rsidRPr="004960CF">
        <w:rPr>
          <w:sz w:val="18"/>
          <w:szCs w:val="18"/>
        </w:rPr>
        <w:t xml:space="preserve">See </w:t>
      </w:r>
      <w:r w:rsidR="00351CCF" w:rsidRPr="004960CF">
        <w:rPr>
          <w:sz w:val="18"/>
          <w:szCs w:val="18"/>
        </w:rPr>
        <w:t xml:space="preserve">document CBD/IND/AHTEG/1/2, </w:t>
      </w:r>
      <w:r w:rsidR="002942E0" w:rsidRPr="004960CF">
        <w:rPr>
          <w:sz w:val="18"/>
          <w:szCs w:val="18"/>
        </w:rPr>
        <w:t>a</w:t>
      </w:r>
      <w:r w:rsidR="00351CCF" w:rsidRPr="004960CF">
        <w:rPr>
          <w:sz w:val="18"/>
          <w:szCs w:val="18"/>
        </w:rPr>
        <w:t>nnex.</w:t>
      </w:r>
    </w:p>
  </w:footnote>
  <w:footnote w:id="5">
    <w:p w14:paraId="6C7958EB" w14:textId="2CF5E9B6" w:rsidR="007C0D8D" w:rsidRPr="00083BB0" w:rsidRDefault="007C0D8D" w:rsidP="007C0D8D">
      <w:pPr>
        <w:pStyle w:val="FootnoteText"/>
        <w:rPr>
          <w:lang w:val="en-US"/>
        </w:rPr>
      </w:pPr>
      <w:r>
        <w:rPr>
          <w:rStyle w:val="FootnoteReference"/>
        </w:rPr>
        <w:footnoteRef/>
      </w:r>
      <w:r>
        <w:t xml:space="preserve"> </w:t>
      </w:r>
      <w:r>
        <w:rPr>
          <w:lang w:val="en-US"/>
        </w:rPr>
        <w:t xml:space="preserve">See </w:t>
      </w:r>
      <w:hyperlink r:id="rId1" w:history="1">
        <w:r w:rsidRPr="00867A6F">
          <w:rPr>
            <w:rStyle w:val="Hyperlink"/>
            <w:lang w:val="en-US"/>
          </w:rPr>
          <w:t>https://www.cbd.int/doc/c/10df/fccc/a80b69ff9eb3fa7dbdaadb18/ind-ahteg-2023-02-02-en.docx</w:t>
        </w:r>
      </w:hyperlink>
      <w:r>
        <w:rPr>
          <w:lang w:val="en-US"/>
        </w:rPr>
        <w:t>.</w:t>
      </w:r>
    </w:p>
  </w:footnote>
  <w:footnote w:id="6">
    <w:p w14:paraId="0B9EE4F1" w14:textId="7113BD29" w:rsidR="000933AF" w:rsidRPr="00C67A3D" w:rsidRDefault="000933AF">
      <w:pPr>
        <w:pStyle w:val="FootnoteText"/>
        <w:rPr>
          <w:sz w:val="18"/>
          <w:szCs w:val="18"/>
        </w:rPr>
      </w:pPr>
      <w:r w:rsidRPr="00C67A3D">
        <w:rPr>
          <w:rStyle w:val="FootnoteReference"/>
          <w:sz w:val="18"/>
          <w:szCs w:val="18"/>
        </w:rPr>
        <w:footnoteRef/>
      </w:r>
      <w:r w:rsidRPr="00C67A3D">
        <w:rPr>
          <w:sz w:val="18"/>
          <w:szCs w:val="18"/>
        </w:rPr>
        <w:t xml:space="preserve"> Verbatim from decision </w:t>
      </w:r>
      <w:r w:rsidR="00550CB9" w:rsidRPr="00C67A3D">
        <w:rPr>
          <w:sz w:val="18"/>
          <w:szCs w:val="18"/>
        </w:rPr>
        <w:t xml:space="preserve">15/7, </w:t>
      </w:r>
      <w:r w:rsidR="00240805">
        <w:rPr>
          <w:sz w:val="18"/>
          <w:szCs w:val="18"/>
        </w:rPr>
        <w:t>a</w:t>
      </w:r>
      <w:r w:rsidR="00550CB9" w:rsidRPr="00C67A3D">
        <w:rPr>
          <w:sz w:val="18"/>
          <w:szCs w:val="18"/>
        </w:rPr>
        <w:t>nnex III.</w:t>
      </w:r>
    </w:p>
  </w:footnote>
  <w:footnote w:id="7">
    <w:p w14:paraId="48DE58C9" w14:textId="77777777" w:rsidR="000933AF" w:rsidRPr="00714A4B" w:rsidRDefault="000933AF" w:rsidP="000933AF">
      <w:pPr>
        <w:pStyle w:val="FootnoteText"/>
        <w:rPr>
          <w:lang w:val="en-US"/>
        </w:rPr>
      </w:pPr>
      <w:r w:rsidRPr="00C67A3D">
        <w:rPr>
          <w:rStyle w:val="FootnoteReference"/>
          <w:sz w:val="18"/>
          <w:szCs w:val="18"/>
        </w:rPr>
        <w:footnoteRef/>
      </w:r>
      <w:r w:rsidRPr="00C67A3D">
        <w:rPr>
          <w:sz w:val="18"/>
          <w:szCs w:val="18"/>
        </w:rPr>
        <w:t xml:space="preserve"> Refers to goal and target(s) as they appear in the first draft of the global biodiversity framework, as contained in document CBD/WG2020/3/3.</w:t>
      </w:r>
      <w:r w:rsidRPr="008D56F2">
        <w:t xml:space="preserve">  </w:t>
      </w:r>
    </w:p>
  </w:footnote>
  <w:footnote w:id="8">
    <w:p w14:paraId="1500F3C9" w14:textId="77777777" w:rsidR="000933AF" w:rsidRPr="00714A4B" w:rsidRDefault="000933AF" w:rsidP="000933AF">
      <w:pPr>
        <w:pStyle w:val="FootnoteText"/>
        <w:jc w:val="left"/>
        <w:rPr>
          <w:szCs w:val="18"/>
        </w:rPr>
      </w:pPr>
      <w:r w:rsidRPr="00714A4B">
        <w:rPr>
          <w:rStyle w:val="FootnoteReference"/>
          <w:sz w:val="18"/>
          <w:szCs w:val="18"/>
        </w:rPr>
        <w:footnoteRef/>
      </w:r>
      <w:r w:rsidRPr="008D56F2">
        <w:rPr>
          <w:szCs w:val="18"/>
        </w:rPr>
        <w:t xml:space="preserve"> </w:t>
      </w:r>
      <w:r w:rsidRPr="00E70EDE">
        <w:rPr>
          <w:sz w:val="18"/>
          <w:szCs w:val="18"/>
        </w:rPr>
        <w:t>Decision 15/5.</w:t>
      </w:r>
    </w:p>
  </w:footnote>
  <w:footnote w:id="9">
    <w:p w14:paraId="7D93DBEB" w14:textId="2B5F9104" w:rsidR="00F12AE1" w:rsidRPr="00C67A3D" w:rsidRDefault="00F12AE1">
      <w:pPr>
        <w:pStyle w:val="FootnoteText"/>
        <w:rPr>
          <w:sz w:val="18"/>
          <w:szCs w:val="18"/>
        </w:rPr>
      </w:pPr>
      <w:r w:rsidRPr="00C67A3D">
        <w:rPr>
          <w:rStyle w:val="FootnoteReference"/>
          <w:sz w:val="18"/>
          <w:szCs w:val="18"/>
        </w:rPr>
        <w:footnoteRef/>
      </w:r>
      <w:r w:rsidRPr="00C67A3D">
        <w:rPr>
          <w:sz w:val="18"/>
          <w:szCs w:val="18"/>
        </w:rPr>
        <w:t xml:space="preserve"> Verbatim from decisions 15/4 and 15/5.</w:t>
      </w:r>
    </w:p>
  </w:footnote>
  <w:footnote w:id="10">
    <w:p w14:paraId="1C41A5EA" w14:textId="25F30DC3" w:rsidR="00074C1B" w:rsidRPr="00074C1B" w:rsidRDefault="00074C1B">
      <w:pPr>
        <w:pStyle w:val="FootnoteText"/>
      </w:pPr>
      <w:r w:rsidRPr="00C67A3D">
        <w:rPr>
          <w:rStyle w:val="FootnoteReference"/>
          <w:sz w:val="18"/>
          <w:szCs w:val="18"/>
        </w:rPr>
        <w:footnoteRef/>
      </w:r>
      <w:r w:rsidRPr="00C67A3D">
        <w:rPr>
          <w:sz w:val="18"/>
          <w:szCs w:val="18"/>
        </w:rPr>
        <w:t xml:space="preserve"> Note: in the targets of the Kunming-Montreal Global Biodiversity </w:t>
      </w:r>
      <w:r w:rsidR="0077414A" w:rsidRPr="00C67A3D">
        <w:rPr>
          <w:sz w:val="18"/>
          <w:szCs w:val="18"/>
        </w:rPr>
        <w:t>Framework</w:t>
      </w:r>
      <w:r w:rsidR="009163F7" w:rsidRPr="00C67A3D">
        <w:rPr>
          <w:sz w:val="18"/>
          <w:szCs w:val="18"/>
        </w:rPr>
        <w:t xml:space="preserve"> provided in </w:t>
      </w:r>
      <w:r w:rsidR="009F25ED">
        <w:rPr>
          <w:sz w:val="18"/>
          <w:szCs w:val="18"/>
        </w:rPr>
        <w:t>s</w:t>
      </w:r>
      <w:r w:rsidR="009163F7" w:rsidRPr="00C67A3D">
        <w:rPr>
          <w:sz w:val="18"/>
          <w:szCs w:val="18"/>
        </w:rPr>
        <w:t>ection H, capacity</w:t>
      </w:r>
      <w:r w:rsidR="009F25ED">
        <w:rPr>
          <w:sz w:val="18"/>
          <w:szCs w:val="18"/>
        </w:rPr>
        <w:t>-</w:t>
      </w:r>
      <w:r w:rsidR="009163F7" w:rsidRPr="00C67A3D">
        <w:rPr>
          <w:sz w:val="18"/>
          <w:szCs w:val="18"/>
        </w:rPr>
        <w:t xml:space="preserve">building, technical and scientific cooperation, and access </w:t>
      </w:r>
      <w:r w:rsidR="005E2469" w:rsidRPr="00C67A3D">
        <w:rPr>
          <w:sz w:val="18"/>
          <w:szCs w:val="18"/>
        </w:rPr>
        <w:t>and transfer of technology are addressed in Target 20.</w:t>
      </w:r>
      <w:r w:rsidR="009163F7">
        <w:t xml:space="preserve"> </w:t>
      </w:r>
    </w:p>
  </w:footnote>
  <w:footnote w:id="11">
    <w:p w14:paraId="20593310" w14:textId="77777777" w:rsidR="003A74F4" w:rsidRPr="00C67A3D" w:rsidRDefault="003A74F4" w:rsidP="003A74F4">
      <w:pPr>
        <w:pStyle w:val="FootnoteText"/>
        <w:rPr>
          <w:sz w:val="18"/>
          <w:szCs w:val="18"/>
        </w:rPr>
      </w:pPr>
      <w:r w:rsidRPr="00C67A3D">
        <w:rPr>
          <w:rStyle w:val="FootnoteReference"/>
          <w:sz w:val="18"/>
          <w:szCs w:val="18"/>
        </w:rPr>
        <w:footnoteRef/>
      </w:r>
      <w:r w:rsidRPr="00C67A3D">
        <w:rPr>
          <w:sz w:val="18"/>
          <w:szCs w:val="18"/>
        </w:rPr>
        <w:t xml:space="preserve"> Mother Earth Centric Actions: </w:t>
      </w:r>
      <w:proofErr w:type="spellStart"/>
      <w:r w:rsidRPr="00C67A3D">
        <w:rPr>
          <w:sz w:val="18"/>
          <w:szCs w:val="18"/>
        </w:rPr>
        <w:t>Ecocentric</w:t>
      </w:r>
      <w:proofErr w:type="spellEnd"/>
      <w:r w:rsidRPr="00C67A3D">
        <w:rPr>
          <w:sz w:val="18"/>
          <w:szCs w:val="18"/>
        </w:rPr>
        <w:t xml:space="preserve"> and rights-based approach enabling the implementation of actions towards harmonic and complementary relationships between peoples and nature, promoting the continuity of all living beings and their communities and ensuring the non-commodification of environmental functions of Mother Earth.</w:t>
      </w:r>
    </w:p>
  </w:footnote>
  <w:footnote w:id="12">
    <w:p w14:paraId="12C526BA" w14:textId="42AC01C0" w:rsidR="00AB6C11" w:rsidRPr="00C67A3D" w:rsidRDefault="00AB6C11" w:rsidP="00AB6C11">
      <w:pPr>
        <w:pStyle w:val="FootnoteText"/>
        <w:rPr>
          <w:sz w:val="18"/>
          <w:szCs w:val="18"/>
        </w:rPr>
      </w:pPr>
      <w:r w:rsidRPr="00C67A3D">
        <w:rPr>
          <w:rStyle w:val="FootnoteReference"/>
          <w:sz w:val="18"/>
          <w:szCs w:val="18"/>
        </w:rPr>
        <w:footnoteRef/>
      </w:r>
      <w:r w:rsidRPr="00C67A3D">
        <w:rPr>
          <w:sz w:val="18"/>
          <w:szCs w:val="18"/>
        </w:rPr>
        <w:t xml:space="preserve"> Verbatim from </w:t>
      </w:r>
      <w:r w:rsidR="000D2E2A">
        <w:rPr>
          <w:sz w:val="18"/>
          <w:szCs w:val="18"/>
        </w:rPr>
        <w:t>CBD/IND/AHTEG/</w:t>
      </w:r>
      <w:r w:rsidR="00C051BF">
        <w:rPr>
          <w:sz w:val="18"/>
          <w:szCs w:val="18"/>
        </w:rPr>
        <w:t>2023/</w:t>
      </w:r>
      <w:r w:rsidR="000D2E2A">
        <w:rPr>
          <w:sz w:val="18"/>
          <w:szCs w:val="18"/>
        </w:rPr>
        <w:t xml:space="preserve">2/2, Annex </w:t>
      </w:r>
      <w:r w:rsidR="00C051BF">
        <w:rPr>
          <w:sz w:val="18"/>
          <w:szCs w:val="18"/>
        </w:rPr>
        <w:t>II</w:t>
      </w:r>
      <w:r w:rsidRPr="00C67A3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7802784"/>
  <w:bookmarkStart w:id="4" w:name="_Hlk137802785"/>
  <w:p w14:paraId="245310A8" w14:textId="69320916" w:rsidR="002B559C" w:rsidRPr="003F0146" w:rsidRDefault="009C3234" w:rsidP="002B559C">
    <w:pPr>
      <w:pStyle w:val="Header"/>
      <w:pBdr>
        <w:bottom w:val="single" w:sz="4" w:space="1" w:color="auto"/>
      </w:pBdr>
      <w:spacing w:after="240"/>
      <w:rPr>
        <w:sz w:val="20"/>
        <w:szCs w:val="20"/>
        <w:lang w:val="en-US"/>
      </w:rPr>
    </w:pPr>
    <w:sdt>
      <w:sdtPr>
        <w:rPr>
          <w:sz w:val="20"/>
          <w:szCs w:val="20"/>
          <w:lang w:val="en-US"/>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D43DB8" w:rsidRPr="00FE18CC">
          <w:rPr>
            <w:sz w:val="20"/>
            <w:szCs w:val="20"/>
            <w:lang w:val="en-US"/>
          </w:rPr>
          <w:t>CBD/</w:t>
        </w:r>
        <w:r w:rsidR="00C2204E">
          <w:rPr>
            <w:sz w:val="20"/>
            <w:szCs w:val="20"/>
            <w:lang w:val="en-US"/>
          </w:rPr>
          <w:t>F</w:t>
        </w:r>
        <w:r w:rsidR="00D43DB8" w:rsidRPr="00FE18CC">
          <w:rPr>
            <w:sz w:val="20"/>
            <w:szCs w:val="20"/>
            <w:lang w:val="en-US"/>
          </w:rPr>
          <w:t>M/</w:t>
        </w:r>
        <w:r w:rsidR="00C2204E">
          <w:rPr>
            <w:sz w:val="20"/>
            <w:szCs w:val="20"/>
            <w:lang w:val="en-US"/>
          </w:rPr>
          <w:t>TEG</w:t>
        </w:r>
        <w:r w:rsidR="00D43DB8" w:rsidRPr="00FE18CC">
          <w:rPr>
            <w:sz w:val="20"/>
            <w:szCs w:val="20"/>
            <w:lang w:val="en-US"/>
          </w:rPr>
          <w:t>/2023/1/</w:t>
        </w:r>
        <w:r w:rsidR="00C2204E">
          <w:rPr>
            <w:sz w:val="20"/>
            <w:szCs w:val="20"/>
            <w:lang w:val="en-US"/>
          </w:rPr>
          <w:t>2</w:t>
        </w:r>
      </w:sdtContent>
    </w:sdt>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F777" w14:textId="7CDE5E96" w:rsidR="002B559C" w:rsidRPr="003F0146" w:rsidRDefault="009C3234" w:rsidP="002B559C">
    <w:pPr>
      <w:pStyle w:val="Header"/>
      <w:pBdr>
        <w:bottom w:val="single" w:sz="4" w:space="1" w:color="auto"/>
      </w:pBdr>
      <w:spacing w:after="240"/>
      <w:jc w:val="right"/>
      <w:rPr>
        <w:sz w:val="20"/>
        <w:szCs w:val="20"/>
        <w:lang w:val="en-US"/>
      </w:rPr>
    </w:pPr>
    <w:sdt>
      <w:sdtPr>
        <w:rPr>
          <w:caps w:val="0"/>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r w:rsidR="00A7628A">
          <w:rPr>
            <w:caps w:val="0"/>
            <w:sz w:val="20"/>
            <w:szCs w:val="20"/>
          </w:rPr>
          <w:t>CBD/FM/TEG/2023/1/2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6DC4"/>
    <w:multiLevelType w:val="hybridMultilevel"/>
    <w:tmpl w:val="8E98F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41B344F"/>
    <w:multiLevelType w:val="hybridMultilevel"/>
    <w:tmpl w:val="34B43C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232376"/>
    <w:multiLevelType w:val="hybridMultilevel"/>
    <w:tmpl w:val="A30450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727251"/>
    <w:multiLevelType w:val="hybridMultilevel"/>
    <w:tmpl w:val="ADB46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B43858"/>
    <w:multiLevelType w:val="hybridMultilevel"/>
    <w:tmpl w:val="794258FC"/>
    <w:lvl w:ilvl="0" w:tplc="6560B0C2">
      <w:start w:val="1"/>
      <w:numFmt w:val="upperRoman"/>
      <w:lvlText w:val="%1."/>
      <w:lvlJc w:val="left"/>
      <w:pPr>
        <w:ind w:left="1287" w:hanging="72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47C13B2"/>
    <w:multiLevelType w:val="hybridMultilevel"/>
    <w:tmpl w:val="57A826DE"/>
    <w:lvl w:ilvl="0" w:tplc="EDE63760">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44E95A6F"/>
    <w:multiLevelType w:val="hybridMultilevel"/>
    <w:tmpl w:val="471665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1794EF00"/>
    <w:lvl w:ilvl="0">
      <w:start w:val="1"/>
      <w:numFmt w:val="decimal"/>
      <w:pStyle w:val="Para1"/>
      <w:lvlText w:val="%1."/>
      <w:lvlJc w:val="left"/>
      <w:pPr>
        <w:tabs>
          <w:tab w:val="num" w:pos="927"/>
        </w:tabs>
        <w:ind w:left="567" w:firstLine="0"/>
      </w:pPr>
      <w:rPr>
        <w:rFonts w:ascii="Times New Roman" w:hAnsi="Times New Roman" w:hint="default"/>
        <w:b w:val="0"/>
        <w:i w:val="0"/>
        <w:sz w:val="22"/>
      </w:rPr>
    </w:lvl>
    <w:lvl w:ilvl="1">
      <w:start w:val="1"/>
      <w:numFmt w:val="lowerLetter"/>
      <w:lvlText w:val="(%2)"/>
      <w:lvlJc w:val="left"/>
      <w:pPr>
        <w:tabs>
          <w:tab w:val="num" w:pos="2007"/>
        </w:tabs>
        <w:ind w:left="567" w:firstLine="720"/>
      </w:pPr>
      <w:rPr>
        <w:rFonts w:hint="default"/>
        <w:b w:val="0"/>
        <w:i w:val="0"/>
      </w:rPr>
    </w:lvl>
    <w:lvl w:ilvl="2">
      <w:start w:val="1"/>
      <w:numFmt w:val="lowerRoman"/>
      <w:lvlText w:val="(%3)"/>
      <w:lvlJc w:val="right"/>
      <w:pPr>
        <w:tabs>
          <w:tab w:val="num" w:pos="2007"/>
        </w:tabs>
        <w:ind w:left="2007" w:hanging="360"/>
      </w:pPr>
      <w:rPr>
        <w:rFonts w:hint="default"/>
      </w:rPr>
    </w:lvl>
    <w:lvl w:ilvl="3">
      <w:start w:val="1"/>
      <w:numFmt w:val="bullet"/>
      <w:lvlText w:val=""/>
      <w:lvlJc w:val="left"/>
      <w:pPr>
        <w:tabs>
          <w:tab w:val="num" w:pos="2727"/>
        </w:tabs>
        <w:ind w:left="2727" w:hanging="720"/>
      </w:pPr>
      <w:rPr>
        <w:rFonts w:ascii="Symbol" w:hAnsi="Symbol" w:hint="default"/>
        <w:color w:val="auto"/>
        <w:sz w:val="28"/>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55751EDE"/>
    <w:multiLevelType w:val="hybridMultilevel"/>
    <w:tmpl w:val="FE6E5E5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5D7A67C6">
      <w:start w:val="16"/>
      <w:numFmt w:val="bullet"/>
      <w:lvlText w:val="•"/>
      <w:lvlJc w:val="left"/>
      <w:pPr>
        <w:ind w:left="2880" w:hanging="360"/>
      </w:pPr>
      <w:rPr>
        <w:rFonts w:ascii="Calibri" w:eastAsiaTheme="minorEastAsia"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0D6AEB"/>
    <w:multiLevelType w:val="multilevel"/>
    <w:tmpl w:val="10F258D6"/>
    <w:lvl w:ilvl="0">
      <w:start w:val="1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10"/>
  </w:num>
  <w:num w:numId="2" w16cid:durableId="1334139419">
    <w:abstractNumId w:val="14"/>
  </w:num>
  <w:num w:numId="3" w16cid:durableId="1480611021">
    <w:abstractNumId w:val="17"/>
  </w:num>
  <w:num w:numId="4" w16cid:durableId="633873524">
    <w:abstractNumId w:val="12"/>
  </w:num>
  <w:num w:numId="5" w16cid:durableId="53549757">
    <w:abstractNumId w:val="0"/>
  </w:num>
  <w:num w:numId="6" w16cid:durableId="1256209358">
    <w:abstractNumId w:val="11"/>
  </w:num>
  <w:num w:numId="7" w16cid:durableId="1586183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1316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114939">
    <w:abstractNumId w:val="15"/>
  </w:num>
  <w:num w:numId="10" w16cid:durableId="18238917">
    <w:abstractNumId w:val="2"/>
  </w:num>
  <w:num w:numId="11" w16cid:durableId="1902053814">
    <w:abstractNumId w:val="13"/>
  </w:num>
  <w:num w:numId="12" w16cid:durableId="506016421">
    <w:abstractNumId w:val="5"/>
  </w:num>
  <w:num w:numId="13" w16cid:durableId="311107288">
    <w:abstractNumId w:val="1"/>
  </w:num>
  <w:num w:numId="14" w16cid:durableId="1528836843">
    <w:abstractNumId w:val="4"/>
  </w:num>
  <w:num w:numId="15" w16cid:durableId="2136941915">
    <w:abstractNumId w:val="9"/>
  </w:num>
  <w:num w:numId="16" w16cid:durableId="1240629244">
    <w:abstractNumId w:val="7"/>
  </w:num>
  <w:num w:numId="17" w16cid:durableId="932981486">
    <w:abstractNumId w:val="16"/>
  </w:num>
  <w:num w:numId="18" w16cid:durableId="131448056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44"/>
    <w:rsid w:val="00003549"/>
    <w:rsid w:val="00006409"/>
    <w:rsid w:val="00020D20"/>
    <w:rsid w:val="00027122"/>
    <w:rsid w:val="0003110E"/>
    <w:rsid w:val="00033701"/>
    <w:rsid w:val="00037D85"/>
    <w:rsid w:val="00040598"/>
    <w:rsid w:val="0004365B"/>
    <w:rsid w:val="00051384"/>
    <w:rsid w:val="0005294B"/>
    <w:rsid w:val="00053B18"/>
    <w:rsid w:val="00053F4F"/>
    <w:rsid w:val="000655B8"/>
    <w:rsid w:val="00074C1B"/>
    <w:rsid w:val="00076C9D"/>
    <w:rsid w:val="000817E7"/>
    <w:rsid w:val="00083BB0"/>
    <w:rsid w:val="00084DCD"/>
    <w:rsid w:val="000933AF"/>
    <w:rsid w:val="00095961"/>
    <w:rsid w:val="000A28BC"/>
    <w:rsid w:val="000A6146"/>
    <w:rsid w:val="000B0B48"/>
    <w:rsid w:val="000B2519"/>
    <w:rsid w:val="000B4406"/>
    <w:rsid w:val="000B7443"/>
    <w:rsid w:val="000C2B92"/>
    <w:rsid w:val="000C6E41"/>
    <w:rsid w:val="000D09B4"/>
    <w:rsid w:val="000D2A66"/>
    <w:rsid w:val="000D2E2A"/>
    <w:rsid w:val="000D6528"/>
    <w:rsid w:val="000D7F34"/>
    <w:rsid w:val="000E0A93"/>
    <w:rsid w:val="000E2894"/>
    <w:rsid w:val="000E39ED"/>
    <w:rsid w:val="000E4207"/>
    <w:rsid w:val="000E42FA"/>
    <w:rsid w:val="000F37A9"/>
    <w:rsid w:val="000F6070"/>
    <w:rsid w:val="00102DAE"/>
    <w:rsid w:val="0010491B"/>
    <w:rsid w:val="00104AF2"/>
    <w:rsid w:val="00105206"/>
    <w:rsid w:val="00112601"/>
    <w:rsid w:val="00113829"/>
    <w:rsid w:val="00121DEF"/>
    <w:rsid w:val="001250BC"/>
    <w:rsid w:val="00126D23"/>
    <w:rsid w:val="00130376"/>
    <w:rsid w:val="00132581"/>
    <w:rsid w:val="00134F96"/>
    <w:rsid w:val="0013746E"/>
    <w:rsid w:val="00145408"/>
    <w:rsid w:val="001460E6"/>
    <w:rsid w:val="00147483"/>
    <w:rsid w:val="00147B02"/>
    <w:rsid w:val="00155BF6"/>
    <w:rsid w:val="00160730"/>
    <w:rsid w:val="00160A28"/>
    <w:rsid w:val="0016116D"/>
    <w:rsid w:val="001618B0"/>
    <w:rsid w:val="00161C98"/>
    <w:rsid w:val="00164715"/>
    <w:rsid w:val="00165080"/>
    <w:rsid w:val="00165260"/>
    <w:rsid w:val="001668D6"/>
    <w:rsid w:val="00167568"/>
    <w:rsid w:val="00170EE1"/>
    <w:rsid w:val="001723C3"/>
    <w:rsid w:val="00174311"/>
    <w:rsid w:val="00174F47"/>
    <w:rsid w:val="00184909"/>
    <w:rsid w:val="00186894"/>
    <w:rsid w:val="00192015"/>
    <w:rsid w:val="001921BE"/>
    <w:rsid w:val="0019364A"/>
    <w:rsid w:val="00193C13"/>
    <w:rsid w:val="00195977"/>
    <w:rsid w:val="0019755F"/>
    <w:rsid w:val="001A0DBA"/>
    <w:rsid w:val="001A12A0"/>
    <w:rsid w:val="001A22B8"/>
    <w:rsid w:val="001B2697"/>
    <w:rsid w:val="001B362D"/>
    <w:rsid w:val="001C1B0A"/>
    <w:rsid w:val="001C1D0B"/>
    <w:rsid w:val="001C5AED"/>
    <w:rsid w:val="001C6924"/>
    <w:rsid w:val="001D366A"/>
    <w:rsid w:val="001D7982"/>
    <w:rsid w:val="001E0729"/>
    <w:rsid w:val="001F16A7"/>
    <w:rsid w:val="001F6D48"/>
    <w:rsid w:val="0020042D"/>
    <w:rsid w:val="00200F10"/>
    <w:rsid w:val="00202396"/>
    <w:rsid w:val="0020421C"/>
    <w:rsid w:val="00207D41"/>
    <w:rsid w:val="00207F8D"/>
    <w:rsid w:val="0021288D"/>
    <w:rsid w:val="00216D92"/>
    <w:rsid w:val="002278D1"/>
    <w:rsid w:val="002305E5"/>
    <w:rsid w:val="00235455"/>
    <w:rsid w:val="00235CF3"/>
    <w:rsid w:val="00236675"/>
    <w:rsid w:val="00240805"/>
    <w:rsid w:val="00242961"/>
    <w:rsid w:val="00247AB8"/>
    <w:rsid w:val="0025545E"/>
    <w:rsid w:val="002621D8"/>
    <w:rsid w:val="00265A34"/>
    <w:rsid w:val="002753D9"/>
    <w:rsid w:val="00281DBF"/>
    <w:rsid w:val="002820B8"/>
    <w:rsid w:val="00283B20"/>
    <w:rsid w:val="00291404"/>
    <w:rsid w:val="00291EB1"/>
    <w:rsid w:val="0029322C"/>
    <w:rsid w:val="002942E0"/>
    <w:rsid w:val="002A6E70"/>
    <w:rsid w:val="002A6E84"/>
    <w:rsid w:val="002B00CA"/>
    <w:rsid w:val="002B0BC5"/>
    <w:rsid w:val="002B4D56"/>
    <w:rsid w:val="002B559C"/>
    <w:rsid w:val="002C5049"/>
    <w:rsid w:val="002D5458"/>
    <w:rsid w:val="002D62DB"/>
    <w:rsid w:val="002E2C06"/>
    <w:rsid w:val="002F249A"/>
    <w:rsid w:val="002F2AAD"/>
    <w:rsid w:val="002F3066"/>
    <w:rsid w:val="002F4F82"/>
    <w:rsid w:val="002F508B"/>
    <w:rsid w:val="002F6B0E"/>
    <w:rsid w:val="00301396"/>
    <w:rsid w:val="00303637"/>
    <w:rsid w:val="003102FD"/>
    <w:rsid w:val="00310608"/>
    <w:rsid w:val="00310CAE"/>
    <w:rsid w:val="00314873"/>
    <w:rsid w:val="00314F44"/>
    <w:rsid w:val="00316A11"/>
    <w:rsid w:val="003210DB"/>
    <w:rsid w:val="00321430"/>
    <w:rsid w:val="003223DA"/>
    <w:rsid w:val="00323F22"/>
    <w:rsid w:val="00327144"/>
    <w:rsid w:val="00331AC8"/>
    <w:rsid w:val="003367C7"/>
    <w:rsid w:val="003374D8"/>
    <w:rsid w:val="00341108"/>
    <w:rsid w:val="00342DAB"/>
    <w:rsid w:val="00345E28"/>
    <w:rsid w:val="003476A9"/>
    <w:rsid w:val="00351268"/>
    <w:rsid w:val="00351CCF"/>
    <w:rsid w:val="00354B09"/>
    <w:rsid w:val="003577B1"/>
    <w:rsid w:val="00364B90"/>
    <w:rsid w:val="00366194"/>
    <w:rsid w:val="00366299"/>
    <w:rsid w:val="00366449"/>
    <w:rsid w:val="00370980"/>
    <w:rsid w:val="00372CC2"/>
    <w:rsid w:val="00376A1A"/>
    <w:rsid w:val="0038108F"/>
    <w:rsid w:val="00385394"/>
    <w:rsid w:val="00386229"/>
    <w:rsid w:val="00387424"/>
    <w:rsid w:val="003A1A4B"/>
    <w:rsid w:val="003A3661"/>
    <w:rsid w:val="003A4BD6"/>
    <w:rsid w:val="003A5944"/>
    <w:rsid w:val="003A6285"/>
    <w:rsid w:val="003A74F4"/>
    <w:rsid w:val="003A7C62"/>
    <w:rsid w:val="003A7F56"/>
    <w:rsid w:val="003B0F30"/>
    <w:rsid w:val="003B5719"/>
    <w:rsid w:val="003B794A"/>
    <w:rsid w:val="003C0249"/>
    <w:rsid w:val="003C1C4F"/>
    <w:rsid w:val="003C4250"/>
    <w:rsid w:val="003C63AB"/>
    <w:rsid w:val="003C6F10"/>
    <w:rsid w:val="003E198B"/>
    <w:rsid w:val="003E1E4A"/>
    <w:rsid w:val="003E5D05"/>
    <w:rsid w:val="003F0146"/>
    <w:rsid w:val="003F292A"/>
    <w:rsid w:val="003F326E"/>
    <w:rsid w:val="003F3CCE"/>
    <w:rsid w:val="003F4830"/>
    <w:rsid w:val="003F52A5"/>
    <w:rsid w:val="004044F3"/>
    <w:rsid w:val="00412B82"/>
    <w:rsid w:val="004203B4"/>
    <w:rsid w:val="00424BF5"/>
    <w:rsid w:val="00425A78"/>
    <w:rsid w:val="00430400"/>
    <w:rsid w:val="0043795E"/>
    <w:rsid w:val="00452C18"/>
    <w:rsid w:val="00453ED3"/>
    <w:rsid w:val="00454C59"/>
    <w:rsid w:val="00457282"/>
    <w:rsid w:val="00461068"/>
    <w:rsid w:val="004622BB"/>
    <w:rsid w:val="004644BF"/>
    <w:rsid w:val="00464CE0"/>
    <w:rsid w:val="00465374"/>
    <w:rsid w:val="00466BAC"/>
    <w:rsid w:val="00467A5D"/>
    <w:rsid w:val="004701EE"/>
    <w:rsid w:val="004717A6"/>
    <w:rsid w:val="00484912"/>
    <w:rsid w:val="00485795"/>
    <w:rsid w:val="00487FCF"/>
    <w:rsid w:val="0049506A"/>
    <w:rsid w:val="004960CF"/>
    <w:rsid w:val="004A2A2D"/>
    <w:rsid w:val="004A2B3D"/>
    <w:rsid w:val="004A3453"/>
    <w:rsid w:val="004A754A"/>
    <w:rsid w:val="004B01AA"/>
    <w:rsid w:val="004B179A"/>
    <w:rsid w:val="004B2602"/>
    <w:rsid w:val="004C2296"/>
    <w:rsid w:val="004C3A4C"/>
    <w:rsid w:val="004D0470"/>
    <w:rsid w:val="004D178F"/>
    <w:rsid w:val="004D2EC4"/>
    <w:rsid w:val="004D3619"/>
    <w:rsid w:val="004D39AE"/>
    <w:rsid w:val="004F3092"/>
    <w:rsid w:val="005011F3"/>
    <w:rsid w:val="005047F8"/>
    <w:rsid w:val="00510251"/>
    <w:rsid w:val="005116A9"/>
    <w:rsid w:val="005124AE"/>
    <w:rsid w:val="00513CAD"/>
    <w:rsid w:val="00516950"/>
    <w:rsid w:val="00517336"/>
    <w:rsid w:val="00521784"/>
    <w:rsid w:val="005225A0"/>
    <w:rsid w:val="00531ABA"/>
    <w:rsid w:val="00531D63"/>
    <w:rsid w:val="00533736"/>
    <w:rsid w:val="005357DD"/>
    <w:rsid w:val="00536C2E"/>
    <w:rsid w:val="00537248"/>
    <w:rsid w:val="00541128"/>
    <w:rsid w:val="0054348F"/>
    <w:rsid w:val="00550CB9"/>
    <w:rsid w:val="005526D9"/>
    <w:rsid w:val="00552954"/>
    <w:rsid w:val="00552CBA"/>
    <w:rsid w:val="00555467"/>
    <w:rsid w:val="005567DA"/>
    <w:rsid w:val="00563A95"/>
    <w:rsid w:val="00574065"/>
    <w:rsid w:val="005758B3"/>
    <w:rsid w:val="00577145"/>
    <w:rsid w:val="00581D90"/>
    <w:rsid w:val="005913ED"/>
    <w:rsid w:val="005941FC"/>
    <w:rsid w:val="00595791"/>
    <w:rsid w:val="00595DA1"/>
    <w:rsid w:val="00596445"/>
    <w:rsid w:val="005A0C23"/>
    <w:rsid w:val="005A206E"/>
    <w:rsid w:val="005A5DBD"/>
    <w:rsid w:val="005A67D8"/>
    <w:rsid w:val="005B1080"/>
    <w:rsid w:val="005B2D53"/>
    <w:rsid w:val="005B6727"/>
    <w:rsid w:val="005B79EF"/>
    <w:rsid w:val="005C2691"/>
    <w:rsid w:val="005D1226"/>
    <w:rsid w:val="005E20C3"/>
    <w:rsid w:val="005E2469"/>
    <w:rsid w:val="005E2605"/>
    <w:rsid w:val="005E30C1"/>
    <w:rsid w:val="005E33F4"/>
    <w:rsid w:val="005E35F6"/>
    <w:rsid w:val="005E3B1F"/>
    <w:rsid w:val="005E4282"/>
    <w:rsid w:val="005F12C0"/>
    <w:rsid w:val="005F2728"/>
    <w:rsid w:val="005F30B7"/>
    <w:rsid w:val="005F426B"/>
    <w:rsid w:val="00600E23"/>
    <w:rsid w:val="00603EFC"/>
    <w:rsid w:val="00615E59"/>
    <w:rsid w:val="006247A4"/>
    <w:rsid w:val="00631379"/>
    <w:rsid w:val="006337E6"/>
    <w:rsid w:val="006364B3"/>
    <w:rsid w:val="00636C21"/>
    <w:rsid w:val="006371FA"/>
    <w:rsid w:val="006418C0"/>
    <w:rsid w:val="00650068"/>
    <w:rsid w:val="00654E5D"/>
    <w:rsid w:val="00657CA7"/>
    <w:rsid w:val="00657ED6"/>
    <w:rsid w:val="006615A8"/>
    <w:rsid w:val="00663F78"/>
    <w:rsid w:val="0066741D"/>
    <w:rsid w:val="00677936"/>
    <w:rsid w:val="00681917"/>
    <w:rsid w:val="00682E81"/>
    <w:rsid w:val="0068419B"/>
    <w:rsid w:val="00685DA3"/>
    <w:rsid w:val="00686B2A"/>
    <w:rsid w:val="006910B9"/>
    <w:rsid w:val="0069778B"/>
    <w:rsid w:val="006A1268"/>
    <w:rsid w:val="006A1EB7"/>
    <w:rsid w:val="006A418F"/>
    <w:rsid w:val="006A4449"/>
    <w:rsid w:val="006A5CA2"/>
    <w:rsid w:val="006A73A5"/>
    <w:rsid w:val="006B293D"/>
    <w:rsid w:val="006C6CB9"/>
    <w:rsid w:val="006D02B1"/>
    <w:rsid w:val="006D0C62"/>
    <w:rsid w:val="006D663D"/>
    <w:rsid w:val="006D7373"/>
    <w:rsid w:val="006D7FB8"/>
    <w:rsid w:val="006E04D1"/>
    <w:rsid w:val="00700388"/>
    <w:rsid w:val="007003BC"/>
    <w:rsid w:val="00701860"/>
    <w:rsid w:val="00712389"/>
    <w:rsid w:val="007129B9"/>
    <w:rsid w:val="00735B69"/>
    <w:rsid w:val="00736304"/>
    <w:rsid w:val="00737A0A"/>
    <w:rsid w:val="00740DEE"/>
    <w:rsid w:val="0074231D"/>
    <w:rsid w:val="00752DAE"/>
    <w:rsid w:val="007545DC"/>
    <w:rsid w:val="00754F28"/>
    <w:rsid w:val="00756C8F"/>
    <w:rsid w:val="00763246"/>
    <w:rsid w:val="0077414A"/>
    <w:rsid w:val="00784CBE"/>
    <w:rsid w:val="00792572"/>
    <w:rsid w:val="00793CE9"/>
    <w:rsid w:val="00794BCA"/>
    <w:rsid w:val="007C06D2"/>
    <w:rsid w:val="007C0D8D"/>
    <w:rsid w:val="007C35F7"/>
    <w:rsid w:val="007C3FB6"/>
    <w:rsid w:val="007C525A"/>
    <w:rsid w:val="007C5EDD"/>
    <w:rsid w:val="007C77BC"/>
    <w:rsid w:val="007C79CA"/>
    <w:rsid w:val="007D09A6"/>
    <w:rsid w:val="007D6010"/>
    <w:rsid w:val="007E1358"/>
    <w:rsid w:val="007E3165"/>
    <w:rsid w:val="007E5AED"/>
    <w:rsid w:val="007F5002"/>
    <w:rsid w:val="007F568C"/>
    <w:rsid w:val="007F706F"/>
    <w:rsid w:val="008013E2"/>
    <w:rsid w:val="00802195"/>
    <w:rsid w:val="008031BA"/>
    <w:rsid w:val="0080503B"/>
    <w:rsid w:val="00807416"/>
    <w:rsid w:val="008104D4"/>
    <w:rsid w:val="00811492"/>
    <w:rsid w:val="008140DC"/>
    <w:rsid w:val="008143A3"/>
    <w:rsid w:val="00816FFC"/>
    <w:rsid w:val="0082078B"/>
    <w:rsid w:val="00820F22"/>
    <w:rsid w:val="00820F77"/>
    <w:rsid w:val="00823877"/>
    <w:rsid w:val="00825788"/>
    <w:rsid w:val="00832ED8"/>
    <w:rsid w:val="00834043"/>
    <w:rsid w:val="008344A1"/>
    <w:rsid w:val="008375C2"/>
    <w:rsid w:val="00840515"/>
    <w:rsid w:val="00841FB1"/>
    <w:rsid w:val="008443B0"/>
    <w:rsid w:val="00851D28"/>
    <w:rsid w:val="008549D8"/>
    <w:rsid w:val="008566AA"/>
    <w:rsid w:val="00857DEE"/>
    <w:rsid w:val="00861A68"/>
    <w:rsid w:val="00862B41"/>
    <w:rsid w:val="0086638F"/>
    <w:rsid w:val="00870180"/>
    <w:rsid w:val="00871364"/>
    <w:rsid w:val="00872298"/>
    <w:rsid w:val="00874541"/>
    <w:rsid w:val="00891D10"/>
    <w:rsid w:val="00894C84"/>
    <w:rsid w:val="008A7656"/>
    <w:rsid w:val="008B1351"/>
    <w:rsid w:val="008B48B3"/>
    <w:rsid w:val="008B7CC1"/>
    <w:rsid w:val="008D1DDD"/>
    <w:rsid w:val="008D2B75"/>
    <w:rsid w:val="008D42C6"/>
    <w:rsid w:val="008D5EE0"/>
    <w:rsid w:val="008E0581"/>
    <w:rsid w:val="008E4113"/>
    <w:rsid w:val="008E49A6"/>
    <w:rsid w:val="008F4712"/>
    <w:rsid w:val="008F6B8B"/>
    <w:rsid w:val="008F6DA9"/>
    <w:rsid w:val="0090090A"/>
    <w:rsid w:val="00900A10"/>
    <w:rsid w:val="0090633C"/>
    <w:rsid w:val="00906475"/>
    <w:rsid w:val="00913FDC"/>
    <w:rsid w:val="009163F7"/>
    <w:rsid w:val="009210FF"/>
    <w:rsid w:val="0093024E"/>
    <w:rsid w:val="009314AD"/>
    <w:rsid w:val="0093180E"/>
    <w:rsid w:val="0093276C"/>
    <w:rsid w:val="00934EEE"/>
    <w:rsid w:val="00935411"/>
    <w:rsid w:val="00935461"/>
    <w:rsid w:val="009357F1"/>
    <w:rsid w:val="00937883"/>
    <w:rsid w:val="0094049B"/>
    <w:rsid w:val="009456B9"/>
    <w:rsid w:val="0095244F"/>
    <w:rsid w:val="00952669"/>
    <w:rsid w:val="009575E2"/>
    <w:rsid w:val="00957674"/>
    <w:rsid w:val="00957FEE"/>
    <w:rsid w:val="00960ED2"/>
    <w:rsid w:val="00965620"/>
    <w:rsid w:val="009659B2"/>
    <w:rsid w:val="009661A0"/>
    <w:rsid w:val="009772A0"/>
    <w:rsid w:val="0098077C"/>
    <w:rsid w:val="00980CAB"/>
    <w:rsid w:val="009817D8"/>
    <w:rsid w:val="00984E6C"/>
    <w:rsid w:val="00995DDC"/>
    <w:rsid w:val="009A078C"/>
    <w:rsid w:val="009A3210"/>
    <w:rsid w:val="009A4BF5"/>
    <w:rsid w:val="009B1D1E"/>
    <w:rsid w:val="009C102B"/>
    <w:rsid w:val="009C1114"/>
    <w:rsid w:val="009C2DC0"/>
    <w:rsid w:val="009C30F6"/>
    <w:rsid w:val="009C3234"/>
    <w:rsid w:val="009C48A2"/>
    <w:rsid w:val="009C6530"/>
    <w:rsid w:val="009C65D6"/>
    <w:rsid w:val="009C668F"/>
    <w:rsid w:val="009C6776"/>
    <w:rsid w:val="009D2B07"/>
    <w:rsid w:val="009D500B"/>
    <w:rsid w:val="009D5612"/>
    <w:rsid w:val="009D6745"/>
    <w:rsid w:val="009E0684"/>
    <w:rsid w:val="009E2296"/>
    <w:rsid w:val="009E39FC"/>
    <w:rsid w:val="009E5F7C"/>
    <w:rsid w:val="009E7AD1"/>
    <w:rsid w:val="009F17C5"/>
    <w:rsid w:val="009F25ED"/>
    <w:rsid w:val="00A109B0"/>
    <w:rsid w:val="00A113A6"/>
    <w:rsid w:val="00A1256D"/>
    <w:rsid w:val="00A12A9A"/>
    <w:rsid w:val="00A166DD"/>
    <w:rsid w:val="00A2166B"/>
    <w:rsid w:val="00A24B27"/>
    <w:rsid w:val="00A3186F"/>
    <w:rsid w:val="00A339DB"/>
    <w:rsid w:val="00A34616"/>
    <w:rsid w:val="00A37130"/>
    <w:rsid w:val="00A3738D"/>
    <w:rsid w:val="00A3773B"/>
    <w:rsid w:val="00A37D0F"/>
    <w:rsid w:val="00A37E38"/>
    <w:rsid w:val="00A403AF"/>
    <w:rsid w:val="00A4123C"/>
    <w:rsid w:val="00A4160A"/>
    <w:rsid w:val="00A42507"/>
    <w:rsid w:val="00A42E19"/>
    <w:rsid w:val="00A436EF"/>
    <w:rsid w:val="00A44DAF"/>
    <w:rsid w:val="00A45365"/>
    <w:rsid w:val="00A4560B"/>
    <w:rsid w:val="00A45AF1"/>
    <w:rsid w:val="00A54FA0"/>
    <w:rsid w:val="00A55E5C"/>
    <w:rsid w:val="00A57438"/>
    <w:rsid w:val="00A6105C"/>
    <w:rsid w:val="00A67CF5"/>
    <w:rsid w:val="00A71537"/>
    <w:rsid w:val="00A71D41"/>
    <w:rsid w:val="00A747A9"/>
    <w:rsid w:val="00A74A05"/>
    <w:rsid w:val="00A75DF9"/>
    <w:rsid w:val="00A7628A"/>
    <w:rsid w:val="00A76E9B"/>
    <w:rsid w:val="00A81003"/>
    <w:rsid w:val="00A841A3"/>
    <w:rsid w:val="00A93147"/>
    <w:rsid w:val="00A96B21"/>
    <w:rsid w:val="00AA3391"/>
    <w:rsid w:val="00AA5034"/>
    <w:rsid w:val="00AA66CD"/>
    <w:rsid w:val="00AB1785"/>
    <w:rsid w:val="00AB196E"/>
    <w:rsid w:val="00AB4149"/>
    <w:rsid w:val="00AB42BA"/>
    <w:rsid w:val="00AB5253"/>
    <w:rsid w:val="00AB5EAE"/>
    <w:rsid w:val="00AB6998"/>
    <w:rsid w:val="00AB6C11"/>
    <w:rsid w:val="00AB7CDA"/>
    <w:rsid w:val="00AC0FDA"/>
    <w:rsid w:val="00AD517A"/>
    <w:rsid w:val="00AE1A51"/>
    <w:rsid w:val="00AE1A95"/>
    <w:rsid w:val="00AE2800"/>
    <w:rsid w:val="00AE7296"/>
    <w:rsid w:val="00AE746F"/>
    <w:rsid w:val="00AF4C9D"/>
    <w:rsid w:val="00AF5168"/>
    <w:rsid w:val="00B04CAE"/>
    <w:rsid w:val="00B13468"/>
    <w:rsid w:val="00B171ED"/>
    <w:rsid w:val="00B1769D"/>
    <w:rsid w:val="00B17B7C"/>
    <w:rsid w:val="00B20381"/>
    <w:rsid w:val="00B20C41"/>
    <w:rsid w:val="00B217B5"/>
    <w:rsid w:val="00B2217F"/>
    <w:rsid w:val="00B2237C"/>
    <w:rsid w:val="00B31F7D"/>
    <w:rsid w:val="00B36EA9"/>
    <w:rsid w:val="00B407C4"/>
    <w:rsid w:val="00B40D30"/>
    <w:rsid w:val="00B44771"/>
    <w:rsid w:val="00B45A56"/>
    <w:rsid w:val="00B466E3"/>
    <w:rsid w:val="00B5166C"/>
    <w:rsid w:val="00B52B61"/>
    <w:rsid w:val="00B53F96"/>
    <w:rsid w:val="00B64D2A"/>
    <w:rsid w:val="00B66349"/>
    <w:rsid w:val="00B731E6"/>
    <w:rsid w:val="00B80A9D"/>
    <w:rsid w:val="00B82913"/>
    <w:rsid w:val="00B83CD0"/>
    <w:rsid w:val="00B848AB"/>
    <w:rsid w:val="00B84FE5"/>
    <w:rsid w:val="00B91689"/>
    <w:rsid w:val="00B9458A"/>
    <w:rsid w:val="00B94773"/>
    <w:rsid w:val="00BA1005"/>
    <w:rsid w:val="00BA1AAE"/>
    <w:rsid w:val="00BA21D2"/>
    <w:rsid w:val="00BA3B94"/>
    <w:rsid w:val="00BA68FB"/>
    <w:rsid w:val="00BB153D"/>
    <w:rsid w:val="00BB709B"/>
    <w:rsid w:val="00BC08DA"/>
    <w:rsid w:val="00BC18C9"/>
    <w:rsid w:val="00BC6E5C"/>
    <w:rsid w:val="00BD3378"/>
    <w:rsid w:val="00BD38BA"/>
    <w:rsid w:val="00BD6AD6"/>
    <w:rsid w:val="00BD721E"/>
    <w:rsid w:val="00BE28B6"/>
    <w:rsid w:val="00BF47C4"/>
    <w:rsid w:val="00BF6A63"/>
    <w:rsid w:val="00C051BF"/>
    <w:rsid w:val="00C05B0C"/>
    <w:rsid w:val="00C17FE1"/>
    <w:rsid w:val="00C2204E"/>
    <w:rsid w:val="00C2354A"/>
    <w:rsid w:val="00C24927"/>
    <w:rsid w:val="00C278C0"/>
    <w:rsid w:val="00C27D01"/>
    <w:rsid w:val="00C30671"/>
    <w:rsid w:val="00C3655B"/>
    <w:rsid w:val="00C40919"/>
    <w:rsid w:val="00C42630"/>
    <w:rsid w:val="00C43246"/>
    <w:rsid w:val="00C51679"/>
    <w:rsid w:val="00C53931"/>
    <w:rsid w:val="00C5462B"/>
    <w:rsid w:val="00C55152"/>
    <w:rsid w:val="00C55839"/>
    <w:rsid w:val="00C55A18"/>
    <w:rsid w:val="00C6486A"/>
    <w:rsid w:val="00C6655D"/>
    <w:rsid w:val="00C677EF"/>
    <w:rsid w:val="00C67A3D"/>
    <w:rsid w:val="00C71EC4"/>
    <w:rsid w:val="00C82682"/>
    <w:rsid w:val="00C85C4B"/>
    <w:rsid w:val="00C87413"/>
    <w:rsid w:val="00C87947"/>
    <w:rsid w:val="00C91F06"/>
    <w:rsid w:val="00C936AF"/>
    <w:rsid w:val="00C9655D"/>
    <w:rsid w:val="00C97706"/>
    <w:rsid w:val="00C97F5A"/>
    <w:rsid w:val="00CA4C54"/>
    <w:rsid w:val="00CB2A6F"/>
    <w:rsid w:val="00CB3D3B"/>
    <w:rsid w:val="00CB48C9"/>
    <w:rsid w:val="00CB69D9"/>
    <w:rsid w:val="00CC121E"/>
    <w:rsid w:val="00CC56DB"/>
    <w:rsid w:val="00CD28E1"/>
    <w:rsid w:val="00CE0174"/>
    <w:rsid w:val="00CF0F00"/>
    <w:rsid w:val="00CF13AE"/>
    <w:rsid w:val="00CF14C8"/>
    <w:rsid w:val="00CF70AB"/>
    <w:rsid w:val="00D0302A"/>
    <w:rsid w:val="00D03076"/>
    <w:rsid w:val="00D03E0E"/>
    <w:rsid w:val="00D07FC4"/>
    <w:rsid w:val="00D11568"/>
    <w:rsid w:val="00D23085"/>
    <w:rsid w:val="00D3054B"/>
    <w:rsid w:val="00D3059B"/>
    <w:rsid w:val="00D3223C"/>
    <w:rsid w:val="00D3529F"/>
    <w:rsid w:val="00D36921"/>
    <w:rsid w:val="00D36F39"/>
    <w:rsid w:val="00D41344"/>
    <w:rsid w:val="00D41D65"/>
    <w:rsid w:val="00D433EC"/>
    <w:rsid w:val="00D43665"/>
    <w:rsid w:val="00D43DB8"/>
    <w:rsid w:val="00D46483"/>
    <w:rsid w:val="00D47CB9"/>
    <w:rsid w:val="00D505A8"/>
    <w:rsid w:val="00D52E04"/>
    <w:rsid w:val="00D578AC"/>
    <w:rsid w:val="00D57E6D"/>
    <w:rsid w:val="00D60046"/>
    <w:rsid w:val="00D617DD"/>
    <w:rsid w:val="00D63F69"/>
    <w:rsid w:val="00D71FFB"/>
    <w:rsid w:val="00D86F73"/>
    <w:rsid w:val="00D9012F"/>
    <w:rsid w:val="00D9185E"/>
    <w:rsid w:val="00D9486E"/>
    <w:rsid w:val="00D96115"/>
    <w:rsid w:val="00D97C7C"/>
    <w:rsid w:val="00DA1B79"/>
    <w:rsid w:val="00DB0FE1"/>
    <w:rsid w:val="00DB11DB"/>
    <w:rsid w:val="00DC37CD"/>
    <w:rsid w:val="00DC4A5F"/>
    <w:rsid w:val="00DC613C"/>
    <w:rsid w:val="00DC6491"/>
    <w:rsid w:val="00DD1983"/>
    <w:rsid w:val="00DD24C1"/>
    <w:rsid w:val="00DE0A21"/>
    <w:rsid w:val="00DE229E"/>
    <w:rsid w:val="00DE3B97"/>
    <w:rsid w:val="00DE4E67"/>
    <w:rsid w:val="00DE639E"/>
    <w:rsid w:val="00DE6DAB"/>
    <w:rsid w:val="00DF3D9B"/>
    <w:rsid w:val="00E1597C"/>
    <w:rsid w:val="00E233AF"/>
    <w:rsid w:val="00E237B3"/>
    <w:rsid w:val="00E25EEF"/>
    <w:rsid w:val="00E31546"/>
    <w:rsid w:val="00E36719"/>
    <w:rsid w:val="00E375BB"/>
    <w:rsid w:val="00E42177"/>
    <w:rsid w:val="00E43503"/>
    <w:rsid w:val="00E461D8"/>
    <w:rsid w:val="00E46378"/>
    <w:rsid w:val="00E52642"/>
    <w:rsid w:val="00E52679"/>
    <w:rsid w:val="00E57849"/>
    <w:rsid w:val="00E61A92"/>
    <w:rsid w:val="00E66A6C"/>
    <w:rsid w:val="00E7035B"/>
    <w:rsid w:val="00E70EDE"/>
    <w:rsid w:val="00E71C79"/>
    <w:rsid w:val="00E75CBE"/>
    <w:rsid w:val="00E77728"/>
    <w:rsid w:val="00E82F9B"/>
    <w:rsid w:val="00E83B93"/>
    <w:rsid w:val="00E84C2D"/>
    <w:rsid w:val="00E87B6D"/>
    <w:rsid w:val="00E9122C"/>
    <w:rsid w:val="00EB4809"/>
    <w:rsid w:val="00EB64C3"/>
    <w:rsid w:val="00ED22DC"/>
    <w:rsid w:val="00ED37C1"/>
    <w:rsid w:val="00ED3849"/>
    <w:rsid w:val="00ED5305"/>
    <w:rsid w:val="00EE5EB9"/>
    <w:rsid w:val="00EE6424"/>
    <w:rsid w:val="00EF1AC0"/>
    <w:rsid w:val="00EF3E0B"/>
    <w:rsid w:val="00EF5757"/>
    <w:rsid w:val="00EF7BD4"/>
    <w:rsid w:val="00F12AE1"/>
    <w:rsid w:val="00F258FB"/>
    <w:rsid w:val="00F2703A"/>
    <w:rsid w:val="00F3126D"/>
    <w:rsid w:val="00F32070"/>
    <w:rsid w:val="00F421AA"/>
    <w:rsid w:val="00F42431"/>
    <w:rsid w:val="00F44A39"/>
    <w:rsid w:val="00F5140E"/>
    <w:rsid w:val="00F56587"/>
    <w:rsid w:val="00F711EE"/>
    <w:rsid w:val="00F72621"/>
    <w:rsid w:val="00F76D5A"/>
    <w:rsid w:val="00F83CE8"/>
    <w:rsid w:val="00F94794"/>
    <w:rsid w:val="00FA0043"/>
    <w:rsid w:val="00FA18C9"/>
    <w:rsid w:val="00FB237D"/>
    <w:rsid w:val="00FC1B64"/>
    <w:rsid w:val="00FC2100"/>
    <w:rsid w:val="00FD020F"/>
    <w:rsid w:val="00FD4FF8"/>
    <w:rsid w:val="00FD5000"/>
    <w:rsid w:val="00FD6658"/>
    <w:rsid w:val="00FE1442"/>
    <w:rsid w:val="00FE2CD9"/>
    <w:rsid w:val="00FE504C"/>
    <w:rsid w:val="00FF60A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AB7DE"/>
  <w15:chartTrackingRefBased/>
  <w15:docId w15:val="{95C62116-B05E-4EFD-9587-1EFC894F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C2354A"/>
    <w:p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3"/>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1">
    <w:name w:val="Para1"/>
    <w:basedOn w:val="Normal"/>
    <w:link w:val="Para1Char"/>
    <w:rsid w:val="000C6E41"/>
    <w:pPr>
      <w:numPr>
        <w:numId w:val="4"/>
      </w:numPr>
      <w:spacing w:before="120" w:after="120"/>
    </w:pPr>
    <w:rPr>
      <w:snapToGrid w:val="0"/>
      <w:szCs w:val="18"/>
    </w:rPr>
  </w:style>
  <w:style w:type="character" w:customStyle="1" w:styleId="Para1Char">
    <w:name w:val="Para1 Char"/>
    <w:link w:val="Para1"/>
    <w:locked/>
    <w:rsid w:val="000C6E41"/>
    <w:rPr>
      <w:rFonts w:ascii="Times New Roman" w:eastAsia="Times New Roman" w:hAnsi="Times New Roman" w:cs="Times New Roman"/>
      <w:snapToGrid w:val="0"/>
      <w:kern w:val="0"/>
      <w:szCs w:val="18"/>
      <w:lang w:val="en-GB"/>
      <w14:ligatures w14:val="none"/>
    </w:rPr>
  </w:style>
  <w:style w:type="paragraph" w:customStyle="1" w:styleId="Default">
    <w:name w:val="Default"/>
    <w:uiPriority w:val="99"/>
    <w:rsid w:val="000C6E41"/>
    <w:pPr>
      <w:autoSpaceDE w:val="0"/>
      <w:autoSpaceDN w:val="0"/>
      <w:adjustRightInd w:val="0"/>
      <w:spacing w:after="0" w:line="240" w:lineRule="auto"/>
    </w:pPr>
    <w:rPr>
      <w:rFonts w:ascii="Times New Roman" w:eastAsiaTheme="minorEastAsia" w:hAnsi="Times New Roman" w:cs="Times New Roman"/>
      <w:color w:val="000000"/>
      <w:kern w:val="0"/>
      <w:sz w:val="24"/>
      <w:szCs w:val="24"/>
      <w:lang w:val="nl-BE"/>
      <w14:ligatures w14:val="none"/>
    </w:rPr>
  </w:style>
  <w:style w:type="paragraph" w:styleId="ListParagraph">
    <w:name w:val="List Paragraph"/>
    <w:basedOn w:val="Normal"/>
    <w:uiPriority w:val="34"/>
    <w:qFormat/>
    <w:rsid w:val="00D41344"/>
    <w:pPr>
      <w:ind w:left="720"/>
      <w:contextualSpacing/>
    </w:pPr>
  </w:style>
  <w:style w:type="character" w:customStyle="1" w:styleId="Para1Char1">
    <w:name w:val="Para1 Char1"/>
    <w:rsid w:val="0043795E"/>
    <w:rPr>
      <w:snapToGrid w:val="0"/>
      <w:sz w:val="22"/>
      <w:szCs w:val="18"/>
      <w:lang w:val="en-GB" w:eastAsia="x-none"/>
    </w:rPr>
  </w:style>
  <w:style w:type="paragraph" w:styleId="Revision">
    <w:name w:val="Revision"/>
    <w:hidden/>
    <w:uiPriority w:val="99"/>
    <w:semiHidden/>
    <w:rsid w:val="00D9185E"/>
    <w:pPr>
      <w:spacing w:after="0" w:line="240" w:lineRule="auto"/>
    </w:pPr>
    <w:rPr>
      <w:rFonts w:ascii="Times New Roman" w:eastAsia="Times New Roman" w:hAnsi="Times New Roman" w:cs="Times New Roman"/>
      <w:kern w:val="0"/>
      <w:szCs w:val="24"/>
      <w:lang w:val="en-GB"/>
      <w14:ligatures w14:val="none"/>
    </w:rPr>
  </w:style>
  <w:style w:type="character" w:styleId="Hyperlink">
    <w:name w:val="Hyperlink"/>
    <w:basedOn w:val="DefaultParagraphFont"/>
    <w:uiPriority w:val="99"/>
    <w:unhideWhenUsed/>
    <w:rsid w:val="00316A11"/>
    <w:rPr>
      <w:color w:val="0563C1" w:themeColor="hyperlink"/>
      <w:u w:val="single"/>
    </w:rPr>
  </w:style>
  <w:style w:type="character" w:styleId="UnresolvedMention">
    <w:name w:val="Unresolved Mention"/>
    <w:basedOn w:val="DefaultParagraphFont"/>
    <w:uiPriority w:val="99"/>
    <w:semiHidden/>
    <w:unhideWhenUsed/>
    <w:rsid w:val="00316A11"/>
    <w:rPr>
      <w:color w:val="605E5C"/>
      <w:shd w:val="clear" w:color="auto" w:fill="E1DFDD"/>
    </w:rPr>
  </w:style>
  <w:style w:type="character" w:styleId="FollowedHyperlink">
    <w:name w:val="FollowedHyperlink"/>
    <w:basedOn w:val="DefaultParagraphFont"/>
    <w:uiPriority w:val="99"/>
    <w:semiHidden/>
    <w:unhideWhenUsed/>
    <w:rsid w:val="00AE746F"/>
    <w:rPr>
      <w:color w:val="954F72" w:themeColor="followedHyperlink"/>
      <w:u w:val="single"/>
    </w:rPr>
  </w:style>
  <w:style w:type="character" w:customStyle="1" w:styleId="cf01">
    <w:name w:val="cf01"/>
    <w:basedOn w:val="DefaultParagraphFont"/>
    <w:rsid w:val="000D6528"/>
    <w:rPr>
      <w:rFonts w:ascii="Segoe UI" w:hAnsi="Segoe UI" w:cs="Segoe UI" w:hint="default"/>
      <w:sz w:val="18"/>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754F28"/>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paragraph" w:customStyle="1" w:styleId="Para3">
    <w:name w:val="Para3"/>
    <w:basedOn w:val="Normal"/>
    <w:rsid w:val="000933AF"/>
    <w:pPr>
      <w:numPr>
        <w:ilvl w:val="3"/>
        <w:numId w:val="6"/>
      </w:numPr>
      <w:tabs>
        <w:tab w:val="left" w:pos="1980"/>
      </w:tabs>
      <w:spacing w:before="80" w:after="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6475">
      <w:bodyDiv w:val="1"/>
      <w:marLeft w:val="0"/>
      <w:marRight w:val="0"/>
      <w:marTop w:val="0"/>
      <w:marBottom w:val="0"/>
      <w:divBdr>
        <w:top w:val="none" w:sz="0" w:space="0" w:color="auto"/>
        <w:left w:val="none" w:sz="0" w:space="0" w:color="auto"/>
        <w:bottom w:val="none" w:sz="0" w:space="0" w:color="auto"/>
        <w:right w:val="none" w:sz="0" w:space="0" w:color="auto"/>
      </w:divBdr>
    </w:div>
    <w:div w:id="627396117">
      <w:bodyDiv w:val="1"/>
      <w:marLeft w:val="0"/>
      <w:marRight w:val="0"/>
      <w:marTop w:val="0"/>
      <w:marBottom w:val="0"/>
      <w:divBdr>
        <w:top w:val="none" w:sz="0" w:space="0" w:color="auto"/>
        <w:left w:val="none" w:sz="0" w:space="0" w:color="auto"/>
        <w:bottom w:val="none" w:sz="0" w:space="0" w:color="auto"/>
        <w:right w:val="none" w:sz="0" w:space="0" w:color="auto"/>
      </w:divBdr>
    </w:div>
    <w:div w:id="689066961">
      <w:bodyDiv w:val="1"/>
      <w:marLeft w:val="0"/>
      <w:marRight w:val="0"/>
      <w:marTop w:val="0"/>
      <w:marBottom w:val="0"/>
      <w:divBdr>
        <w:top w:val="none" w:sz="0" w:space="0" w:color="auto"/>
        <w:left w:val="none" w:sz="0" w:space="0" w:color="auto"/>
        <w:bottom w:val="none" w:sz="0" w:space="0" w:color="auto"/>
        <w:right w:val="none" w:sz="0" w:space="0" w:color="auto"/>
      </w:divBdr>
    </w:div>
    <w:div w:id="1123646888">
      <w:bodyDiv w:val="1"/>
      <w:marLeft w:val="0"/>
      <w:marRight w:val="0"/>
      <w:marTop w:val="0"/>
      <w:marBottom w:val="0"/>
      <w:divBdr>
        <w:top w:val="none" w:sz="0" w:space="0" w:color="auto"/>
        <w:left w:val="none" w:sz="0" w:space="0" w:color="auto"/>
        <w:bottom w:val="none" w:sz="0" w:space="0" w:color="auto"/>
        <w:right w:val="none" w:sz="0" w:space="0" w:color="auto"/>
      </w:divBdr>
    </w:div>
    <w:div w:id="1177694423">
      <w:bodyDiv w:val="1"/>
      <w:marLeft w:val="0"/>
      <w:marRight w:val="0"/>
      <w:marTop w:val="0"/>
      <w:marBottom w:val="0"/>
      <w:divBdr>
        <w:top w:val="none" w:sz="0" w:space="0" w:color="auto"/>
        <w:left w:val="none" w:sz="0" w:space="0" w:color="auto"/>
        <w:bottom w:val="none" w:sz="0" w:space="0" w:color="auto"/>
        <w:right w:val="none" w:sz="0" w:space="0" w:color="auto"/>
      </w:divBdr>
    </w:div>
    <w:div w:id="1387411463">
      <w:bodyDiv w:val="1"/>
      <w:marLeft w:val="0"/>
      <w:marRight w:val="0"/>
      <w:marTop w:val="0"/>
      <w:marBottom w:val="0"/>
      <w:divBdr>
        <w:top w:val="none" w:sz="0" w:space="0" w:color="auto"/>
        <w:left w:val="none" w:sz="0" w:space="0" w:color="auto"/>
        <w:bottom w:val="none" w:sz="0" w:space="0" w:color="auto"/>
        <w:right w:val="none" w:sz="0" w:space="0" w:color="auto"/>
      </w:divBdr>
    </w:div>
    <w:div w:id="1565408722">
      <w:bodyDiv w:val="1"/>
      <w:marLeft w:val="0"/>
      <w:marRight w:val="0"/>
      <w:marTop w:val="0"/>
      <w:marBottom w:val="0"/>
      <w:divBdr>
        <w:top w:val="none" w:sz="0" w:space="0" w:color="auto"/>
        <w:left w:val="none" w:sz="0" w:space="0" w:color="auto"/>
        <w:bottom w:val="none" w:sz="0" w:space="0" w:color="auto"/>
        <w:right w:val="none" w:sz="0" w:space="0" w:color="auto"/>
      </w:divBdr>
    </w:div>
    <w:div w:id="1701204663">
      <w:bodyDiv w:val="1"/>
      <w:marLeft w:val="0"/>
      <w:marRight w:val="0"/>
      <w:marTop w:val="0"/>
      <w:marBottom w:val="0"/>
      <w:divBdr>
        <w:top w:val="none" w:sz="0" w:space="0" w:color="auto"/>
        <w:left w:val="none" w:sz="0" w:space="0" w:color="auto"/>
        <w:bottom w:val="none" w:sz="0" w:space="0" w:color="auto"/>
        <w:right w:val="none" w:sz="0" w:space="0" w:color="auto"/>
      </w:divBdr>
    </w:div>
    <w:div w:id="1852718860">
      <w:bodyDiv w:val="1"/>
      <w:marLeft w:val="0"/>
      <w:marRight w:val="0"/>
      <w:marTop w:val="0"/>
      <w:marBottom w:val="0"/>
      <w:divBdr>
        <w:top w:val="none" w:sz="0" w:space="0" w:color="auto"/>
        <w:left w:val="none" w:sz="0" w:space="0" w:color="auto"/>
        <w:bottom w:val="none" w:sz="0" w:space="0" w:color="auto"/>
        <w:right w:val="none" w:sz="0" w:space="0" w:color="auto"/>
      </w:divBdr>
    </w:div>
    <w:div w:id="1933126552">
      <w:bodyDiv w:val="1"/>
      <w:marLeft w:val="0"/>
      <w:marRight w:val="0"/>
      <w:marTop w:val="0"/>
      <w:marBottom w:val="0"/>
      <w:divBdr>
        <w:top w:val="none" w:sz="0" w:space="0" w:color="auto"/>
        <w:left w:val="none" w:sz="0" w:space="0" w:color="auto"/>
        <w:bottom w:val="none" w:sz="0" w:space="0" w:color="auto"/>
        <w:right w:val="none" w:sz="0" w:space="0" w:color="auto"/>
      </w:divBdr>
    </w:div>
    <w:div w:id="19626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st-2020indicato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0df/fccc/a80b69ff9eb3fa7dbdaadb18/ind-ahteg-2023-02-02-e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esktop\Agendas\Agenda.%20AC%20RM%20Online%20meet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862CD122DD4E09BB79ED6C965EF364"/>
        <w:category>
          <w:name w:val="General"/>
          <w:gallery w:val="placeholder"/>
        </w:category>
        <w:types>
          <w:type w:val="bbPlcHdr"/>
        </w:types>
        <w:behaviors>
          <w:behavior w:val="content"/>
        </w:behaviors>
        <w:guid w:val="{CF3C7A98-A5B3-4289-A778-504157AB2C80}"/>
      </w:docPartPr>
      <w:docPartBody>
        <w:p w:rsidR="00F62DB5" w:rsidRDefault="0006470F">
          <w:pPr>
            <w:pStyle w:val="2B862CD122DD4E09BB79ED6C965EF364"/>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B5"/>
    <w:rsid w:val="0006470F"/>
    <w:rsid w:val="00073045"/>
    <w:rsid w:val="001A409B"/>
    <w:rsid w:val="002C1B87"/>
    <w:rsid w:val="00502301"/>
    <w:rsid w:val="00502581"/>
    <w:rsid w:val="00505F81"/>
    <w:rsid w:val="00673A60"/>
    <w:rsid w:val="007E5795"/>
    <w:rsid w:val="008D3324"/>
    <w:rsid w:val="00CC70E3"/>
    <w:rsid w:val="00D862AC"/>
    <w:rsid w:val="00DA175E"/>
    <w:rsid w:val="00E65B3B"/>
    <w:rsid w:val="00EC6D70"/>
    <w:rsid w:val="00F62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862CD122DD4E09BB79ED6C965EF364">
    <w:name w:val="2B862CD122DD4E09BB79ED6C965EF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F6AF9-6916-471D-8B16-4A4FA886E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EAC9E-3BCA-43A4-983B-8887D90FB61B}">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AC RM Online meeting.dotm</Template>
  <TotalTime>5</TotalTime>
  <Pages>11</Pages>
  <Words>3498</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material to support the work of the Technical Expert Group on Financial Reporting</dc:title>
  <dc:subject>CBD/FM/TEG/2023/1/2</dc:subject>
  <dc:creator>scbd</dc:creator>
  <cp:keywords/>
  <dc:description/>
  <cp:lastModifiedBy>Veronique Lefebvre</cp:lastModifiedBy>
  <cp:revision>8</cp:revision>
  <cp:lastPrinted>2023-08-09T17:42:00Z</cp:lastPrinted>
  <dcterms:created xsi:type="dcterms:W3CDTF">2023-11-17T15:27:00Z</dcterms:created>
  <dcterms:modified xsi:type="dcterms:W3CDTF">2023-11-17T15:31:00Z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