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395"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7"/>
        <w:gridCol w:w="3947"/>
        <w:gridCol w:w="673"/>
        <w:gridCol w:w="4385"/>
        <w:gridCol w:w="67"/>
      </w:tblGrid>
      <w:tr w:rsidR="009B313A" w:rsidRPr="00A202B4" w14:paraId="2F15BC55" w14:textId="77777777" w:rsidTr="002D6D61">
        <w:trPr>
          <w:gridAfter w:val="1"/>
          <w:wAfter w:w="33" w:type="pct"/>
        </w:trPr>
        <w:tc>
          <w:tcPr>
            <w:tcW w:w="508" w:type="pct"/>
            <w:tcBorders>
              <w:bottom w:val="single" w:sz="12" w:space="0" w:color="auto"/>
            </w:tcBorders>
          </w:tcPr>
          <w:p w14:paraId="451A5BF4" w14:textId="77777777" w:rsidR="00660CB5" w:rsidRPr="00A202B4" w:rsidRDefault="00660CB5" w:rsidP="002A0E0A">
            <w:pPr>
              <w:spacing w:line="276" w:lineRule="auto"/>
              <w:rPr>
                <w:rFonts w:asciiTheme="majorBidi" w:hAnsiTheme="majorBidi" w:cstheme="majorBidi"/>
                <w:lang w:val="es-ES_tradnl"/>
              </w:rPr>
            </w:pPr>
            <w:r w:rsidRPr="00A202B4">
              <w:rPr>
                <w:rFonts w:asciiTheme="majorBidi" w:hAnsiTheme="majorBidi"/>
                <w:noProof/>
                <w:lang w:val="es-ES_tradnl"/>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54" w:type="pct"/>
            <w:tcBorders>
              <w:bottom w:val="single" w:sz="12" w:space="0" w:color="auto"/>
            </w:tcBorders>
            <w:shd w:val="clear" w:color="auto" w:fill="auto"/>
            <w:tcFitText/>
          </w:tcPr>
          <w:p w14:paraId="1F466B2C" w14:textId="1043B5C7" w:rsidR="00660CB5" w:rsidRPr="00A202B4" w:rsidRDefault="00015631" w:rsidP="002A0E0A">
            <w:pPr>
              <w:spacing w:line="276" w:lineRule="auto"/>
              <w:rPr>
                <w:rFonts w:asciiTheme="majorBidi" w:hAnsiTheme="majorBidi" w:cstheme="majorBidi"/>
                <w:lang w:val="es-ES_tradnl"/>
              </w:rPr>
            </w:pPr>
            <w:r w:rsidRPr="00A202B4">
              <w:rPr>
                <w:noProof/>
                <w:lang w:val="es-ES_tradnl"/>
              </w:rPr>
              <w:drawing>
                <wp:inline distT="0" distB="0" distL="0" distR="0" wp14:anchorId="10A1407A" wp14:editId="1533501B">
                  <wp:extent cx="611015" cy="349151"/>
                  <wp:effectExtent l="0" t="0" r="0" b="0"/>
                  <wp:docPr id="1802853899"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53899" name="Imagen 1" descr="Forma&#10;&#10;Descripción generada automáticamente con confianza media"/>
                          <pic:cNvPicPr/>
                        </pic:nvPicPr>
                        <pic:blipFill>
                          <a:blip r:embed="rId13"/>
                          <a:stretch>
                            <a:fillRect/>
                          </a:stretch>
                        </pic:blipFill>
                        <pic:spPr>
                          <a:xfrm>
                            <a:off x="0" y="0"/>
                            <a:ext cx="611015" cy="349151"/>
                          </a:xfrm>
                          <a:prstGeom prst="rect">
                            <a:avLst/>
                          </a:prstGeom>
                        </pic:spPr>
                      </pic:pic>
                    </a:graphicData>
                  </a:graphic>
                </wp:inline>
              </w:drawing>
            </w:r>
            <w:r w:rsidR="00660CB5" w:rsidRPr="00A202B4">
              <w:rPr>
                <w:rFonts w:asciiTheme="majorBidi" w:hAnsiTheme="majorBidi"/>
                <w:lang w:val="es-ES_tradnl"/>
              </w:rPr>
              <w:t xml:space="preserve"> </w:t>
            </w:r>
          </w:p>
        </w:tc>
        <w:tc>
          <w:tcPr>
            <w:tcW w:w="2504" w:type="pct"/>
            <w:gridSpan w:val="2"/>
            <w:tcBorders>
              <w:bottom w:val="single" w:sz="12" w:space="0" w:color="auto"/>
            </w:tcBorders>
          </w:tcPr>
          <w:p w14:paraId="6B8A2E0E" w14:textId="77777777" w:rsidR="00660CB5" w:rsidRPr="00A202B4" w:rsidRDefault="00660CB5" w:rsidP="00BE771C">
            <w:pPr>
              <w:suppressLineNumbers/>
              <w:suppressAutoHyphens/>
              <w:kinsoku w:val="0"/>
              <w:overflowPunct w:val="0"/>
              <w:autoSpaceDE w:val="0"/>
              <w:autoSpaceDN w:val="0"/>
              <w:jc w:val="right"/>
              <w:rPr>
                <w:rFonts w:asciiTheme="minorBidi" w:hAnsiTheme="minorBidi" w:cstheme="minorBidi"/>
                <w:b/>
                <w:sz w:val="32"/>
                <w:szCs w:val="32"/>
                <w:lang w:val="es-ES_tradnl"/>
              </w:rPr>
            </w:pPr>
            <w:r w:rsidRPr="00A202B4">
              <w:rPr>
                <w:rFonts w:asciiTheme="minorBidi" w:hAnsiTheme="minorBidi"/>
                <w:b/>
                <w:snapToGrid w:val="0"/>
                <w:sz w:val="32"/>
                <w:lang w:val="es-ES_tradnl"/>
              </w:rPr>
              <w:t>CBD</w:t>
            </w:r>
          </w:p>
        </w:tc>
      </w:tr>
      <w:tr w:rsidR="00E3562C" w:rsidRPr="00A202B4" w14:paraId="7A608A6E" w14:textId="77777777" w:rsidTr="00933665">
        <w:tc>
          <w:tcPr>
            <w:tcW w:w="2795" w:type="pct"/>
            <w:gridSpan w:val="3"/>
            <w:tcBorders>
              <w:top w:val="single" w:sz="12" w:space="0" w:color="auto"/>
              <w:bottom w:val="single" w:sz="36" w:space="0" w:color="auto"/>
            </w:tcBorders>
            <w:vAlign w:val="center"/>
          </w:tcPr>
          <w:p w14:paraId="6FE6DC6C" w14:textId="5337045A" w:rsidR="00660CB5" w:rsidRPr="00A202B4" w:rsidRDefault="00015631" w:rsidP="002A0E0A">
            <w:pPr>
              <w:spacing w:line="276" w:lineRule="auto"/>
              <w:rPr>
                <w:rFonts w:asciiTheme="majorBidi" w:hAnsiTheme="majorBidi" w:cstheme="majorBidi"/>
                <w:lang w:val="es-ES_tradnl"/>
              </w:rPr>
            </w:pPr>
            <w:r w:rsidRPr="00A202B4">
              <w:rPr>
                <w:noProof/>
                <w:kern w:val="22"/>
                <w:lang w:val="es-ES_tradnl"/>
              </w:rPr>
              <w:drawing>
                <wp:inline distT="0" distB="0" distL="0" distR="0" wp14:anchorId="00AEC478" wp14:editId="4BB3E5EB">
                  <wp:extent cx="2901948" cy="1066892"/>
                  <wp:effectExtent l="0" t="0" r="0" b="0"/>
                  <wp:docPr id="1836661563"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61563" name="Imagen 2" descr="Interfaz de usuario gráfica, Texto, Aplicación&#10;&#10;Descripción generada automáticamente"/>
                          <pic:cNvPicPr/>
                        </pic:nvPicPr>
                        <pic:blipFill>
                          <a:blip r:embed="rId14"/>
                          <a:stretch>
                            <a:fillRect/>
                          </a:stretch>
                        </pic:blipFill>
                        <pic:spPr>
                          <a:xfrm>
                            <a:off x="0" y="0"/>
                            <a:ext cx="2901948" cy="1066892"/>
                          </a:xfrm>
                          <a:prstGeom prst="rect">
                            <a:avLst/>
                          </a:prstGeom>
                        </pic:spPr>
                      </pic:pic>
                    </a:graphicData>
                  </a:graphic>
                </wp:inline>
              </w:drawing>
            </w:r>
          </w:p>
        </w:tc>
        <w:tc>
          <w:tcPr>
            <w:tcW w:w="2188" w:type="pct"/>
            <w:gridSpan w:val="2"/>
            <w:tcBorders>
              <w:top w:val="single" w:sz="12" w:space="0" w:color="auto"/>
              <w:bottom w:val="single" w:sz="36" w:space="0" w:color="auto"/>
            </w:tcBorders>
          </w:tcPr>
          <w:p w14:paraId="06A30962" w14:textId="77777777" w:rsidR="00660CB5" w:rsidRPr="00A202B4" w:rsidRDefault="00660CB5" w:rsidP="00E373B2">
            <w:pPr>
              <w:spacing w:line="276" w:lineRule="auto"/>
              <w:ind w:left="1474"/>
              <w:rPr>
                <w:rFonts w:asciiTheme="majorBidi" w:hAnsiTheme="majorBidi" w:cstheme="majorBidi"/>
                <w:szCs w:val="22"/>
                <w:lang w:val="es-ES_tradnl"/>
              </w:rPr>
            </w:pPr>
            <w:r w:rsidRPr="00A202B4">
              <w:rPr>
                <w:rFonts w:asciiTheme="majorBidi" w:hAnsiTheme="majorBidi"/>
                <w:lang w:val="es-ES_tradnl"/>
              </w:rPr>
              <w:t>Distr.</w:t>
            </w:r>
          </w:p>
          <w:p w14:paraId="37ABA8AD" w14:textId="42981A58" w:rsidR="00660CB5" w:rsidRPr="00A202B4" w:rsidRDefault="00416D3B" w:rsidP="00E373B2">
            <w:pPr>
              <w:spacing w:line="276" w:lineRule="auto"/>
              <w:ind w:left="1474"/>
              <w:rPr>
                <w:rFonts w:asciiTheme="majorBidi" w:hAnsiTheme="majorBidi" w:cstheme="majorBidi"/>
                <w:szCs w:val="22"/>
                <w:lang w:val="es-ES_tradnl"/>
              </w:rPr>
            </w:pPr>
            <w:r w:rsidRPr="00A202B4">
              <w:rPr>
                <w:rFonts w:asciiTheme="majorBidi" w:hAnsiTheme="majorBidi"/>
                <w:caps/>
                <w:lang w:val="es-ES_tradnl"/>
              </w:rPr>
              <w:t>GENERAL</w:t>
            </w:r>
          </w:p>
          <w:p w14:paraId="4F72D7E7" w14:textId="77777777" w:rsidR="00660CB5" w:rsidRPr="00A202B4" w:rsidRDefault="00660CB5" w:rsidP="00E373B2">
            <w:pPr>
              <w:spacing w:line="276" w:lineRule="auto"/>
              <w:ind w:left="1474"/>
              <w:rPr>
                <w:rFonts w:asciiTheme="majorBidi" w:hAnsiTheme="majorBidi" w:cstheme="majorBidi"/>
                <w:szCs w:val="22"/>
                <w:lang w:val="es-ES_tradnl"/>
              </w:rPr>
            </w:pPr>
          </w:p>
          <w:p w14:paraId="03D197B5" w14:textId="4CB21911" w:rsidR="00E3562C" w:rsidRPr="00A202B4" w:rsidRDefault="0078461F" w:rsidP="00E373B2">
            <w:pPr>
              <w:ind w:left="1474"/>
              <w:rPr>
                <w:rFonts w:asciiTheme="majorBidi" w:hAnsiTheme="majorBidi" w:cstheme="majorBidi"/>
                <w:lang w:val="es-ES_tradnl"/>
              </w:rPr>
            </w:pPr>
            <w:sdt>
              <w:sdtPr>
                <w:rPr>
                  <w:rFonts w:asciiTheme="majorBidi" w:hAnsiTheme="majorBidi" w:cstheme="majorBidi"/>
                  <w:lang w:val="es-ES_tradnl"/>
                </w:rPr>
                <w:alias w:val="Asunto"/>
                <w:tag w:val=""/>
                <w:id w:val="-519236860"/>
                <w:placeholder>
                  <w:docPart w:val="7819FD1BE09E4923AF80EF4FDE15EC52"/>
                </w:placeholder>
                <w:dataBinding w:prefixMappings="xmlns:ns0='http://purl.org/dc/elements/1.1/' xmlns:ns1='http://schemas.openxmlformats.org/package/2006/metadata/core-properties' " w:xpath="/ns1:coreProperties[1]/ns0:subject[1]" w:storeItemID="{6C3C8BC8-F283-45AE-878A-BAB7291924A1}"/>
                <w:text/>
              </w:sdtPr>
              <w:sdtEndPr/>
              <w:sdtContent>
                <w:r w:rsidR="0045382B" w:rsidRPr="00A202B4">
                  <w:rPr>
                    <w:rFonts w:asciiTheme="majorBidi" w:hAnsiTheme="majorBidi" w:cstheme="majorBidi"/>
                    <w:lang w:val="es-ES_tradnl"/>
                  </w:rPr>
                  <w:t>CBD/CP/MOP/10/</w:t>
                </w:r>
                <w:r w:rsidR="00416D3B" w:rsidRPr="00A202B4">
                  <w:rPr>
                    <w:rFonts w:asciiTheme="majorBidi" w:hAnsiTheme="majorBidi" w:cstheme="majorBidi"/>
                    <w:lang w:val="es-ES_tradnl"/>
                  </w:rPr>
                  <w:t>12</w:t>
                </w:r>
              </w:sdtContent>
            </w:sdt>
          </w:p>
          <w:p w14:paraId="30A3C7A6" w14:textId="05679EC1" w:rsidR="00E3562C" w:rsidRPr="00A202B4" w:rsidRDefault="00383704" w:rsidP="00E373B2">
            <w:pPr>
              <w:ind w:left="1474"/>
              <w:rPr>
                <w:rFonts w:asciiTheme="majorBidi" w:hAnsiTheme="majorBidi" w:cstheme="majorBidi"/>
                <w:lang w:val="es-ES_tradnl"/>
              </w:rPr>
            </w:pPr>
            <w:r w:rsidRPr="00A202B4">
              <w:rPr>
                <w:rFonts w:asciiTheme="majorBidi" w:hAnsiTheme="majorBidi"/>
                <w:lang w:val="es-ES_tradnl"/>
              </w:rPr>
              <w:t>20 de octubre de 2023</w:t>
            </w:r>
          </w:p>
          <w:p w14:paraId="459F4DFA" w14:textId="77777777" w:rsidR="00E3562C" w:rsidRPr="00A202B4" w:rsidRDefault="00E3562C" w:rsidP="00E373B2">
            <w:pPr>
              <w:spacing w:line="276" w:lineRule="auto"/>
              <w:ind w:left="1474"/>
              <w:rPr>
                <w:rFonts w:asciiTheme="majorBidi" w:hAnsiTheme="majorBidi" w:cstheme="majorBidi"/>
                <w:szCs w:val="22"/>
                <w:lang w:val="es-ES_tradnl"/>
              </w:rPr>
            </w:pPr>
          </w:p>
          <w:p w14:paraId="08891D3D" w14:textId="77777777" w:rsidR="00015631" w:rsidRPr="00A202B4" w:rsidRDefault="00E3562C" w:rsidP="00015631">
            <w:pPr>
              <w:ind w:left="1474"/>
              <w:rPr>
                <w:rFonts w:asciiTheme="majorBidi" w:hAnsiTheme="majorBidi"/>
                <w:lang w:val="es-ES_tradnl"/>
              </w:rPr>
            </w:pPr>
            <w:r w:rsidRPr="00A202B4">
              <w:rPr>
                <w:rFonts w:asciiTheme="majorBidi" w:hAnsiTheme="majorBidi"/>
                <w:lang w:val="es-ES_tradnl"/>
              </w:rPr>
              <w:t>ESPAÑOL</w:t>
            </w:r>
          </w:p>
          <w:p w14:paraId="2F30B370" w14:textId="2A9746F0" w:rsidR="00E3562C" w:rsidRPr="00A202B4" w:rsidRDefault="00E3562C" w:rsidP="00015631">
            <w:pPr>
              <w:ind w:left="1474"/>
              <w:rPr>
                <w:rFonts w:asciiTheme="majorBidi" w:hAnsiTheme="majorBidi" w:cstheme="majorBidi"/>
                <w:lang w:val="es-ES_tradnl"/>
              </w:rPr>
            </w:pPr>
            <w:r w:rsidRPr="00A202B4">
              <w:rPr>
                <w:rFonts w:asciiTheme="majorBidi" w:hAnsiTheme="majorBidi"/>
                <w:lang w:val="es-ES_tradnl"/>
              </w:rPr>
              <w:t>ORIGINAL: INGLÉS</w:t>
            </w:r>
          </w:p>
        </w:tc>
      </w:tr>
    </w:tbl>
    <w:p w14:paraId="221C01DC" w14:textId="75C37AE4" w:rsidR="00E3562C" w:rsidRPr="00A202B4" w:rsidRDefault="00E3562C" w:rsidP="009379F3">
      <w:pPr>
        <w:pStyle w:val="Cornernotation"/>
        <w:kinsoku w:val="0"/>
        <w:overflowPunct w:val="0"/>
        <w:autoSpaceDE w:val="0"/>
        <w:autoSpaceDN w:val="0"/>
        <w:spacing w:before="60"/>
        <w:ind w:left="227" w:right="3600" w:hanging="227"/>
        <w:rPr>
          <w:rFonts w:asciiTheme="majorBidi" w:hAnsiTheme="majorBidi" w:cstheme="majorBidi"/>
          <w:snapToGrid w:val="0"/>
          <w:kern w:val="22"/>
          <w:lang w:val="es-ES_tradnl"/>
        </w:rPr>
      </w:pPr>
      <w:r w:rsidRPr="00A202B4">
        <w:rPr>
          <w:rFonts w:asciiTheme="majorBidi" w:hAnsiTheme="majorBidi"/>
          <w:snapToGrid w:val="0"/>
          <w:lang w:val="es-ES_tradnl"/>
        </w:rPr>
        <w:t>CONFERENCIA DE LAS PARTES EN EL CONVENIO SOBRE LA DIVERSIDAD BIOLÓGICA QUE ACTÚA COMO REUNIÓN DE LAS PARTES EN EL PROTOCOLO DE CARTAGENA SOBRE SEGURIDAD DE LA BIOTECNOLOGÍA</w:t>
      </w:r>
    </w:p>
    <w:p w14:paraId="278015D0" w14:textId="5BDF386C" w:rsidR="00E3562C" w:rsidRPr="00A202B4" w:rsidRDefault="00E3562C" w:rsidP="00446233">
      <w:pPr>
        <w:pStyle w:val="Cornernotation"/>
        <w:kinsoku w:val="0"/>
        <w:overflowPunct w:val="0"/>
        <w:autoSpaceDE w:val="0"/>
        <w:autoSpaceDN w:val="0"/>
        <w:ind w:left="0" w:right="3831" w:firstLine="0"/>
        <w:jc w:val="both"/>
        <w:rPr>
          <w:rFonts w:asciiTheme="majorBidi" w:hAnsiTheme="majorBidi" w:cstheme="majorBidi"/>
          <w:snapToGrid w:val="0"/>
          <w:kern w:val="22"/>
          <w:lang w:val="es-ES_tradnl"/>
        </w:rPr>
      </w:pPr>
      <w:r w:rsidRPr="00A202B4">
        <w:rPr>
          <w:rFonts w:asciiTheme="majorBidi" w:hAnsiTheme="majorBidi"/>
          <w:snapToGrid w:val="0"/>
          <w:lang w:val="es-ES_tradnl"/>
        </w:rPr>
        <w:t xml:space="preserve">Décima reunión </w:t>
      </w:r>
      <w:r w:rsidRPr="00A202B4">
        <w:rPr>
          <w:rFonts w:asciiTheme="majorBidi" w:hAnsiTheme="majorBidi"/>
          <w:snapToGrid w:val="0"/>
          <w:lang w:val="es-ES_tradnl"/>
        </w:rPr>
        <w:sym w:font="Symbol" w:char="F02D"/>
      </w:r>
      <w:r w:rsidRPr="00A202B4">
        <w:rPr>
          <w:rFonts w:asciiTheme="majorBidi" w:hAnsiTheme="majorBidi"/>
          <w:snapToGrid w:val="0"/>
          <w:lang w:val="es-ES_tradnl"/>
        </w:rPr>
        <w:t xml:space="preserve"> Parte II y continuación de la parte II</w:t>
      </w:r>
    </w:p>
    <w:p w14:paraId="391AE2BA" w14:textId="77777777" w:rsidR="00500B6E" w:rsidRPr="00A202B4" w:rsidRDefault="00E3562C" w:rsidP="00446233">
      <w:pPr>
        <w:pStyle w:val="Cornernotation"/>
        <w:kinsoku w:val="0"/>
        <w:overflowPunct w:val="0"/>
        <w:autoSpaceDE w:val="0"/>
        <w:autoSpaceDN w:val="0"/>
        <w:ind w:left="227" w:right="3831" w:hanging="227"/>
        <w:jc w:val="both"/>
        <w:rPr>
          <w:rFonts w:asciiTheme="majorBidi" w:hAnsiTheme="majorBidi" w:cstheme="majorBidi"/>
          <w:snapToGrid w:val="0"/>
          <w:kern w:val="22"/>
          <w:lang w:val="es-ES_tradnl"/>
        </w:rPr>
      </w:pPr>
      <w:r w:rsidRPr="00A202B4">
        <w:rPr>
          <w:rFonts w:asciiTheme="majorBidi" w:hAnsiTheme="majorBidi"/>
          <w:snapToGrid w:val="0"/>
          <w:lang w:val="es-ES_tradnl"/>
        </w:rPr>
        <w:t>Montreal (Canadá), 7 a 19 de diciembre de 2022</w:t>
      </w:r>
    </w:p>
    <w:p w14:paraId="1BDB827A" w14:textId="4A1548EA" w:rsidR="00E3562C" w:rsidRPr="00A202B4" w:rsidRDefault="00500B6E" w:rsidP="00446233">
      <w:pPr>
        <w:pStyle w:val="Cornernotation"/>
        <w:kinsoku w:val="0"/>
        <w:overflowPunct w:val="0"/>
        <w:autoSpaceDE w:val="0"/>
        <w:autoSpaceDN w:val="0"/>
        <w:ind w:left="227" w:right="3831" w:hanging="227"/>
        <w:jc w:val="both"/>
        <w:rPr>
          <w:rFonts w:asciiTheme="majorBidi" w:hAnsiTheme="majorBidi" w:cstheme="majorBidi"/>
          <w:szCs w:val="22"/>
          <w:lang w:val="es-ES_tradnl"/>
        </w:rPr>
      </w:pPr>
      <w:r w:rsidRPr="00A202B4">
        <w:rPr>
          <w:rFonts w:asciiTheme="majorBidi" w:hAnsiTheme="majorBidi"/>
          <w:snapToGrid w:val="0"/>
          <w:lang w:val="es-ES_tradnl"/>
        </w:rPr>
        <w:t>Nairobi, 19 y 20 de octubre de 2023</w:t>
      </w:r>
    </w:p>
    <w:p w14:paraId="3CE47D64" w14:textId="494A2798" w:rsidR="00E3562C" w:rsidRPr="00A202B4" w:rsidRDefault="00E3562C" w:rsidP="006915F6">
      <w:pPr>
        <w:kinsoku w:val="0"/>
        <w:overflowPunct w:val="0"/>
        <w:autoSpaceDE w:val="0"/>
        <w:autoSpaceDN w:val="0"/>
        <w:spacing w:before="120" w:after="240"/>
        <w:jc w:val="center"/>
        <w:rPr>
          <w:b/>
          <w:bCs/>
          <w:lang w:val="es-ES_tradnl"/>
        </w:rPr>
      </w:pPr>
      <w:r w:rsidRPr="00A202B4">
        <w:rPr>
          <w:b/>
          <w:lang w:val="es-ES_tradnl"/>
        </w:rPr>
        <w:t>INFORME DE LA SEGUNDA PARTE DE LA DÉCIMA REUNIÓN DE LA CONFERENCIA DE LAS PARTES QUE ACTÚA COMO REUNIÓN DE LAS PARTES EN EL PROTOCOLO DE CARTAGENA SOBRE SEGURIDAD DE LA BIOTECNOLOGÍA</w:t>
      </w:r>
    </w:p>
    <w:tbl>
      <w:tblPr>
        <w:tblStyle w:val="TableGrid"/>
        <w:tblW w:w="0" w:type="auto"/>
        <w:tblLook w:val="04A0" w:firstRow="1" w:lastRow="0" w:firstColumn="1" w:lastColumn="0" w:noHBand="0" w:noVBand="1"/>
      </w:tblPr>
      <w:tblGrid>
        <w:gridCol w:w="9350"/>
      </w:tblGrid>
      <w:tr w:rsidR="004A7A38" w:rsidRPr="00A202B4" w14:paraId="3B827E59" w14:textId="77777777" w:rsidTr="004A7A38">
        <w:tc>
          <w:tcPr>
            <w:tcW w:w="9350" w:type="dxa"/>
          </w:tcPr>
          <w:p w14:paraId="1CE37D6D" w14:textId="77777777" w:rsidR="0080054C" w:rsidRPr="00A202B4" w:rsidRDefault="0080054C" w:rsidP="00A438D4">
            <w:pPr>
              <w:kinsoku w:val="0"/>
              <w:overflowPunct w:val="0"/>
              <w:autoSpaceDE w:val="0"/>
              <w:autoSpaceDN w:val="0"/>
              <w:spacing w:before="120" w:after="240"/>
              <w:rPr>
                <w:i/>
                <w:iCs/>
                <w:lang w:val="es-ES_tradnl"/>
              </w:rPr>
            </w:pPr>
            <w:r w:rsidRPr="00A202B4">
              <w:rPr>
                <w:i/>
                <w:lang w:val="es-ES_tradnl"/>
              </w:rPr>
              <w:t>Resumen</w:t>
            </w:r>
          </w:p>
          <w:p w14:paraId="565950ED" w14:textId="3B4B448E" w:rsidR="004A7A38" w:rsidRPr="00A202B4" w:rsidRDefault="0080054C" w:rsidP="009379F3">
            <w:pPr>
              <w:kinsoku w:val="0"/>
              <w:overflowPunct w:val="0"/>
              <w:autoSpaceDE w:val="0"/>
              <w:autoSpaceDN w:val="0"/>
              <w:spacing w:before="120" w:after="240"/>
              <w:rPr>
                <w:b/>
                <w:bCs/>
                <w:lang w:val="es-ES_tradnl"/>
              </w:rPr>
            </w:pPr>
            <w:r w:rsidRPr="00A202B4">
              <w:rPr>
                <w:lang w:val="es-ES_tradnl"/>
              </w:rPr>
              <w:tab/>
              <w:t xml:space="preserve">La Conferencia de las Partes en el Convenio sobre la Diversidad Biológica que actúa como reunión de las Partes en el Protocolo de Cartagena sobre Seguridad de la Biotecnología celebró la segunda parte de su décima reunión en Montreal (Canadá), del 7 al 19 de diciembre de 2022, y en Nairobi, </w:t>
            </w:r>
            <w:r w:rsidR="009379F3" w:rsidRPr="00A202B4">
              <w:rPr>
                <w:lang w:val="es-ES_tradnl"/>
              </w:rPr>
              <w:t xml:space="preserve">los días </w:t>
            </w:r>
            <w:r w:rsidRPr="00A202B4">
              <w:rPr>
                <w:lang w:val="es-ES_tradnl"/>
              </w:rPr>
              <w:t xml:space="preserve">19 </w:t>
            </w:r>
            <w:r w:rsidR="009379F3" w:rsidRPr="00A202B4">
              <w:rPr>
                <w:lang w:val="es-ES_tradnl"/>
              </w:rPr>
              <w:t xml:space="preserve">y </w:t>
            </w:r>
            <w:r w:rsidRPr="00A202B4">
              <w:rPr>
                <w:lang w:val="es-ES_tradnl"/>
              </w:rPr>
              <w:t xml:space="preserve">20 de octubre 2023. </w:t>
            </w:r>
            <w:r w:rsidR="009379F3" w:rsidRPr="00A202B4">
              <w:rPr>
                <w:lang w:val="es-ES_tradnl"/>
              </w:rPr>
              <w:t>A</w:t>
            </w:r>
            <w:r w:rsidRPr="00A202B4">
              <w:rPr>
                <w:lang w:val="es-ES_tradnl"/>
              </w:rPr>
              <w:t>dopt</w:t>
            </w:r>
            <w:r w:rsidR="009379F3" w:rsidRPr="00A202B4">
              <w:rPr>
                <w:lang w:val="es-ES_tradnl"/>
              </w:rPr>
              <w:t>ó</w:t>
            </w:r>
            <w:r w:rsidRPr="00A202B4">
              <w:rPr>
                <w:lang w:val="es-ES_tradnl"/>
              </w:rPr>
              <w:t xml:space="preserve"> 14</w:t>
            </w:r>
            <w:r w:rsidR="009379F3" w:rsidRPr="00A202B4">
              <w:rPr>
                <w:lang w:val="es-ES_tradnl"/>
              </w:rPr>
              <w:t> </w:t>
            </w:r>
            <w:r w:rsidRPr="00A202B4">
              <w:rPr>
                <w:lang w:val="es-ES_tradnl"/>
              </w:rPr>
              <w:t xml:space="preserve">decisiones, que </w:t>
            </w:r>
            <w:r w:rsidR="009379F3" w:rsidRPr="00A202B4">
              <w:rPr>
                <w:lang w:val="es-ES_tradnl"/>
              </w:rPr>
              <w:t>f</w:t>
            </w:r>
            <w:r w:rsidRPr="00A202B4">
              <w:rPr>
                <w:lang w:val="es-ES_tradnl"/>
              </w:rPr>
              <w:t>i</w:t>
            </w:r>
            <w:r w:rsidR="009379F3" w:rsidRPr="00A202B4">
              <w:rPr>
                <w:lang w:val="es-ES_tradnl"/>
              </w:rPr>
              <w:t>gura</w:t>
            </w:r>
            <w:r w:rsidRPr="00A202B4">
              <w:rPr>
                <w:lang w:val="es-ES_tradnl"/>
              </w:rPr>
              <w:t xml:space="preserve">n en la sección I, mientras que el resumen de las deliberaciones de la reunión </w:t>
            </w:r>
            <w:r w:rsidR="009379F3" w:rsidRPr="00A202B4">
              <w:rPr>
                <w:lang w:val="es-ES_tradnl"/>
              </w:rPr>
              <w:t>figura</w:t>
            </w:r>
            <w:r w:rsidRPr="00A202B4">
              <w:rPr>
                <w:lang w:val="es-ES_tradnl"/>
              </w:rPr>
              <w:t xml:space="preserve"> en la sección II.</w:t>
            </w:r>
          </w:p>
        </w:tc>
      </w:tr>
    </w:tbl>
    <w:p w14:paraId="44708DAC" w14:textId="77777777" w:rsidR="004A7A38" w:rsidRPr="00A202B4" w:rsidRDefault="004A7A38" w:rsidP="006915F6">
      <w:pPr>
        <w:kinsoku w:val="0"/>
        <w:overflowPunct w:val="0"/>
        <w:autoSpaceDE w:val="0"/>
        <w:autoSpaceDN w:val="0"/>
        <w:spacing w:before="120" w:after="240"/>
        <w:jc w:val="center"/>
        <w:rPr>
          <w:b/>
          <w:bCs/>
          <w:lang w:val="es-ES_tradnl"/>
        </w:rPr>
      </w:pPr>
    </w:p>
    <w:p w14:paraId="56CF5FAA" w14:textId="77777777" w:rsidR="004A7A38" w:rsidRPr="00A202B4" w:rsidRDefault="004A7A38" w:rsidP="006915F6">
      <w:pPr>
        <w:kinsoku w:val="0"/>
        <w:overflowPunct w:val="0"/>
        <w:autoSpaceDE w:val="0"/>
        <w:autoSpaceDN w:val="0"/>
        <w:spacing w:before="120" w:after="240"/>
        <w:jc w:val="center"/>
        <w:rPr>
          <w:rFonts w:asciiTheme="majorBidi" w:hAnsiTheme="majorBidi" w:cstheme="majorBidi"/>
          <w:b/>
          <w:bCs/>
          <w:caps/>
          <w:snapToGrid w:val="0"/>
          <w:kern w:val="22"/>
          <w:lang w:val="es-ES_tradnl"/>
        </w:rPr>
      </w:pPr>
    </w:p>
    <w:p w14:paraId="652B572A" w14:textId="77777777" w:rsidR="004A7A38" w:rsidRPr="00A202B4" w:rsidRDefault="004A7A38" w:rsidP="00012BEA">
      <w:pPr>
        <w:kinsoku w:val="0"/>
        <w:overflowPunct w:val="0"/>
        <w:autoSpaceDE w:val="0"/>
        <w:autoSpaceDN w:val="0"/>
        <w:spacing w:before="120" w:after="240"/>
        <w:jc w:val="center"/>
        <w:rPr>
          <w:rFonts w:asciiTheme="majorBidi" w:hAnsiTheme="majorBidi" w:cstheme="majorBidi"/>
          <w:b/>
          <w:bCs/>
          <w:caps/>
          <w:snapToGrid w:val="0"/>
          <w:kern w:val="22"/>
          <w:lang w:val="es-ES_tradnl"/>
        </w:rPr>
        <w:sectPr w:rsidR="004A7A38" w:rsidRPr="00A202B4" w:rsidSect="00793C34">
          <w:headerReference w:type="even" r:id="rId15"/>
          <w:headerReference w:type="default" r:id="rId16"/>
          <w:footnotePr>
            <w:numRestart w:val="eachSect"/>
          </w:footnotePr>
          <w:type w:val="continuous"/>
          <w:pgSz w:w="12240" w:h="15840"/>
          <w:pgMar w:top="1021" w:right="1440" w:bottom="1021" w:left="1440" w:header="459" w:footer="720" w:gutter="0"/>
          <w:cols w:space="708"/>
          <w:titlePg/>
          <w:docGrid w:linePitch="360"/>
        </w:sectPr>
      </w:pPr>
    </w:p>
    <w:p w14:paraId="64C2698A" w14:textId="6B75D353" w:rsidR="00412BE9" w:rsidRPr="00A202B4" w:rsidRDefault="00E66674" w:rsidP="00E66674">
      <w:pPr>
        <w:rPr>
          <w:snapToGrid w:val="0"/>
          <w:sz w:val="28"/>
          <w:lang w:val="es-ES_tradnl"/>
        </w:rPr>
      </w:pPr>
      <w:r w:rsidRPr="00A202B4">
        <w:rPr>
          <w:snapToGrid w:val="0"/>
          <w:sz w:val="28"/>
          <w:lang w:val="es-ES_tradnl"/>
        </w:rPr>
        <w:lastRenderedPageBreak/>
        <w:t>Índice</w:t>
      </w:r>
    </w:p>
    <w:p w14:paraId="22391988" w14:textId="7C60BD02" w:rsidR="00E66674" w:rsidRPr="00A202B4" w:rsidRDefault="00E66674" w:rsidP="00E66674">
      <w:pPr>
        <w:spacing w:after="120"/>
        <w:jc w:val="right"/>
        <w:rPr>
          <w:b/>
          <w:caps/>
          <w:snapToGrid w:val="0"/>
          <w:sz w:val="28"/>
          <w:lang w:val="es-ES_tradnl"/>
        </w:rPr>
      </w:pPr>
      <w:r w:rsidRPr="00A202B4">
        <w:rPr>
          <w:i/>
          <w:iCs/>
          <w:caps/>
          <w:lang w:val="es-ES_tradnl"/>
        </w:rPr>
        <w:t>P</w:t>
      </w:r>
      <w:r w:rsidRPr="00A202B4">
        <w:rPr>
          <w:i/>
          <w:iCs/>
          <w:lang w:val="es-ES_tradnl"/>
        </w:rPr>
        <w:t>ágina</w:t>
      </w:r>
    </w:p>
    <w:p w14:paraId="11F51D19" w14:textId="00573364" w:rsidR="00A202B4" w:rsidRDefault="00124150">
      <w:pPr>
        <w:pStyle w:val="TOC1"/>
        <w:rPr>
          <w:rFonts w:asciiTheme="minorHAnsi" w:eastAsiaTheme="minorEastAsia" w:hAnsiTheme="minorHAnsi" w:cstheme="minorBidi"/>
          <w:caps w:val="0"/>
          <w:noProof/>
          <w:szCs w:val="22"/>
          <w:lang w:val="en-US"/>
        </w:rPr>
      </w:pPr>
      <w:r w:rsidRPr="00A202B4">
        <w:rPr>
          <w:lang w:val="es-ES_tradnl"/>
        </w:rPr>
        <w:fldChar w:fldCharType="begin"/>
      </w:r>
      <w:r w:rsidRPr="00A202B4">
        <w:rPr>
          <w:lang w:val="es-ES_tradnl"/>
        </w:rPr>
        <w:instrText xml:space="preserve"> TOC \h \z \t "Heading 1,1,Heading 1 (long multiline),1,Heading 1 (multiline),1,decision,2" </w:instrText>
      </w:r>
      <w:r w:rsidRPr="00A202B4">
        <w:rPr>
          <w:lang w:val="es-ES_tradnl"/>
        </w:rPr>
        <w:fldChar w:fldCharType="separate"/>
      </w:r>
      <w:hyperlink w:anchor="_Toc152776490" w:history="1">
        <w:r w:rsidR="00A202B4" w:rsidRPr="00F36F03">
          <w:rPr>
            <w:rStyle w:val="Hyperlink"/>
            <w:caps w:val="0"/>
            <w:noProof/>
            <w:snapToGrid w:val="0"/>
            <w:lang w:val="es-ES_tradnl"/>
          </w:rPr>
          <w:t>I.</w:t>
        </w:r>
        <w:r w:rsidR="00A202B4">
          <w:rPr>
            <w:rFonts w:asciiTheme="minorHAnsi" w:eastAsiaTheme="minorEastAsia" w:hAnsiTheme="minorHAnsi" w:cstheme="minorBidi"/>
            <w:caps w:val="0"/>
            <w:noProof/>
            <w:szCs w:val="22"/>
            <w:lang w:val="en-US"/>
          </w:rPr>
          <w:tab/>
        </w:r>
        <w:r w:rsidR="00A202B4" w:rsidRPr="00F36F03">
          <w:rPr>
            <w:rStyle w:val="Hyperlink"/>
            <w:caps w:val="0"/>
            <w:noProof/>
            <w:snapToGrid w:val="0"/>
            <w:lang w:val="es-ES_tradnl"/>
          </w:rPr>
          <w:t xml:space="preserve">Decisiones adoptadas por la </w:t>
        </w:r>
        <w:r w:rsidR="00A202B4">
          <w:rPr>
            <w:rStyle w:val="Hyperlink"/>
            <w:caps w:val="0"/>
            <w:noProof/>
            <w:snapToGrid w:val="0"/>
            <w:lang w:val="es-ES_tradnl"/>
          </w:rPr>
          <w:t>C</w:t>
        </w:r>
        <w:r w:rsidR="00A202B4" w:rsidRPr="00F36F03">
          <w:rPr>
            <w:rStyle w:val="Hyperlink"/>
            <w:caps w:val="0"/>
            <w:noProof/>
            <w:snapToGrid w:val="0"/>
            <w:lang w:val="es-ES_tradnl"/>
          </w:rPr>
          <w:t xml:space="preserve">onferencia de las </w:t>
        </w:r>
        <w:r w:rsidR="00A202B4">
          <w:rPr>
            <w:rStyle w:val="Hyperlink"/>
            <w:caps w:val="0"/>
            <w:noProof/>
            <w:snapToGrid w:val="0"/>
            <w:lang w:val="es-ES_tradnl"/>
          </w:rPr>
          <w:t>P</w:t>
        </w:r>
        <w:r w:rsidR="00A202B4" w:rsidRPr="00F36F03">
          <w:rPr>
            <w:rStyle w:val="Hyperlink"/>
            <w:caps w:val="0"/>
            <w:noProof/>
            <w:snapToGrid w:val="0"/>
            <w:lang w:val="es-ES_tradnl"/>
          </w:rPr>
          <w:t xml:space="preserve">artes que actúa como reunión de las </w:t>
        </w:r>
        <w:r w:rsidR="00A202B4">
          <w:rPr>
            <w:rStyle w:val="Hyperlink"/>
            <w:caps w:val="0"/>
            <w:noProof/>
            <w:snapToGrid w:val="0"/>
            <w:lang w:val="es-ES_tradnl"/>
          </w:rPr>
          <w:t>P</w:t>
        </w:r>
        <w:r w:rsidR="00A202B4" w:rsidRPr="00F36F03">
          <w:rPr>
            <w:rStyle w:val="Hyperlink"/>
            <w:caps w:val="0"/>
            <w:noProof/>
            <w:snapToGrid w:val="0"/>
            <w:lang w:val="es-ES_tradnl"/>
          </w:rPr>
          <w:t>artes</w:t>
        </w:r>
        <w:r w:rsidR="00A202B4">
          <w:rPr>
            <w:rStyle w:val="Hyperlink"/>
            <w:caps w:val="0"/>
            <w:noProof/>
            <w:snapToGrid w:val="0"/>
            <w:lang w:val="es-ES_tradnl"/>
          </w:rPr>
          <w:br/>
        </w:r>
        <w:r w:rsidR="00A202B4" w:rsidRPr="00F36F03">
          <w:rPr>
            <w:rStyle w:val="Hyperlink"/>
            <w:caps w:val="0"/>
            <w:noProof/>
            <w:snapToGrid w:val="0"/>
            <w:lang w:val="es-ES_tradnl"/>
          </w:rPr>
          <w:t xml:space="preserve">en el </w:t>
        </w:r>
        <w:r w:rsidR="00A202B4">
          <w:rPr>
            <w:rStyle w:val="Hyperlink"/>
            <w:caps w:val="0"/>
            <w:noProof/>
            <w:snapToGrid w:val="0"/>
            <w:lang w:val="es-ES_tradnl"/>
          </w:rPr>
          <w:t>P</w:t>
        </w:r>
        <w:r w:rsidR="00A202B4" w:rsidRPr="00F36F03">
          <w:rPr>
            <w:rStyle w:val="Hyperlink"/>
            <w:caps w:val="0"/>
            <w:noProof/>
            <w:snapToGrid w:val="0"/>
            <w:lang w:val="es-ES_tradnl"/>
          </w:rPr>
          <w:t xml:space="preserve">rotocolo de </w:t>
        </w:r>
        <w:r w:rsidR="00A202B4">
          <w:rPr>
            <w:rStyle w:val="Hyperlink"/>
            <w:caps w:val="0"/>
            <w:noProof/>
            <w:snapToGrid w:val="0"/>
            <w:lang w:val="es-ES_tradnl"/>
          </w:rPr>
          <w:t>C</w:t>
        </w:r>
        <w:r w:rsidR="00A202B4" w:rsidRPr="00F36F03">
          <w:rPr>
            <w:rStyle w:val="Hyperlink"/>
            <w:caps w:val="0"/>
            <w:noProof/>
            <w:snapToGrid w:val="0"/>
            <w:lang w:val="es-ES_tradnl"/>
          </w:rPr>
          <w:t>artagena</w:t>
        </w:r>
        <w:r w:rsidR="00A202B4">
          <w:rPr>
            <w:rStyle w:val="Hyperlink"/>
            <w:caps w:val="0"/>
            <w:noProof/>
            <w:snapToGrid w:val="0"/>
            <w:lang w:val="es-ES_tradnl"/>
          </w:rPr>
          <w:t xml:space="preserve"> </w:t>
        </w:r>
        <w:r w:rsidR="00A202B4" w:rsidRPr="00A202B4">
          <w:rPr>
            <w:rStyle w:val="Hyperlink"/>
            <w:caps w:val="0"/>
            <w:noProof/>
            <w:snapToGrid w:val="0"/>
            <w:lang w:val="es-ES_tradnl"/>
          </w:rPr>
          <w:t>sobre Seguridad de la Biotecnología</w:t>
        </w:r>
        <w:r w:rsidR="00B1027C" w:rsidRPr="00B1027C">
          <w:rPr>
            <w:rStyle w:val="Hyperlink"/>
            <w:caps w:val="0"/>
            <w:noProof/>
            <w:snapToGrid w:val="0"/>
            <w:lang w:val="es-ES_tradnl"/>
          </w:rPr>
          <w:footnoteReference w:customMarkFollows="1" w:id="2"/>
          <w:t>*</w:t>
        </w:r>
        <w:r w:rsidR="00A202B4">
          <w:rPr>
            <w:noProof/>
            <w:webHidden/>
          </w:rPr>
          <w:tab/>
        </w:r>
        <w:r w:rsidR="00A202B4">
          <w:rPr>
            <w:noProof/>
            <w:webHidden/>
          </w:rPr>
          <w:fldChar w:fldCharType="begin"/>
        </w:r>
        <w:r w:rsidR="00A202B4">
          <w:rPr>
            <w:noProof/>
            <w:webHidden/>
          </w:rPr>
          <w:instrText xml:space="preserve"> PAGEREF _Toc152776490 \h </w:instrText>
        </w:r>
        <w:r w:rsidR="00A202B4">
          <w:rPr>
            <w:noProof/>
            <w:webHidden/>
          </w:rPr>
        </w:r>
        <w:r w:rsidR="00A202B4">
          <w:rPr>
            <w:noProof/>
            <w:webHidden/>
          </w:rPr>
          <w:fldChar w:fldCharType="separate"/>
        </w:r>
        <w:r w:rsidR="00A84D18">
          <w:rPr>
            <w:noProof/>
            <w:webHidden/>
          </w:rPr>
          <w:t>3</w:t>
        </w:r>
        <w:r w:rsidR="00A202B4">
          <w:rPr>
            <w:noProof/>
            <w:webHidden/>
          </w:rPr>
          <w:fldChar w:fldCharType="end"/>
        </w:r>
      </w:hyperlink>
    </w:p>
    <w:p w14:paraId="036A0048" w14:textId="0D60CD9D" w:rsidR="00A202B4" w:rsidRDefault="0078461F">
      <w:pPr>
        <w:pStyle w:val="TOC2"/>
        <w:rPr>
          <w:rFonts w:asciiTheme="minorHAnsi" w:eastAsiaTheme="minorEastAsia" w:hAnsiTheme="minorHAnsi" w:cstheme="minorBidi"/>
          <w:lang w:val="en-US"/>
        </w:rPr>
      </w:pPr>
      <w:hyperlink w:anchor="_Toc152776491" w:history="1">
        <w:r w:rsidR="00A202B4" w:rsidRPr="00F36F03">
          <w:rPr>
            <w:rStyle w:val="Hyperlink"/>
            <w:lang w:val="es-ES_tradnl"/>
          </w:rPr>
          <w:t>CP-10/2.</w:t>
        </w:r>
        <w:r w:rsidR="00A202B4">
          <w:rPr>
            <w:rFonts w:asciiTheme="minorHAnsi" w:eastAsiaTheme="minorEastAsia" w:hAnsiTheme="minorHAnsi" w:cstheme="minorBidi"/>
            <w:lang w:val="en-US"/>
          </w:rPr>
          <w:tab/>
        </w:r>
        <w:r w:rsidR="00A202B4" w:rsidRPr="00F36F03">
          <w:rPr>
            <w:rStyle w:val="Hyperlink"/>
            <w:lang w:val="es-ES_tradnl"/>
          </w:rPr>
          <w:t>Cumplimiento</w:t>
        </w:r>
        <w:r w:rsidR="00A202B4">
          <w:rPr>
            <w:webHidden/>
          </w:rPr>
          <w:tab/>
        </w:r>
        <w:r w:rsidR="00A202B4">
          <w:rPr>
            <w:webHidden/>
          </w:rPr>
          <w:fldChar w:fldCharType="begin"/>
        </w:r>
        <w:r w:rsidR="00A202B4">
          <w:rPr>
            <w:webHidden/>
          </w:rPr>
          <w:instrText xml:space="preserve"> PAGEREF _Toc152776491 \h </w:instrText>
        </w:r>
        <w:r w:rsidR="00A202B4">
          <w:rPr>
            <w:webHidden/>
          </w:rPr>
        </w:r>
        <w:r w:rsidR="00A202B4">
          <w:rPr>
            <w:webHidden/>
          </w:rPr>
          <w:fldChar w:fldCharType="separate"/>
        </w:r>
        <w:r w:rsidR="00A84D18">
          <w:rPr>
            <w:webHidden/>
          </w:rPr>
          <w:t>3</w:t>
        </w:r>
        <w:r w:rsidR="00A202B4">
          <w:rPr>
            <w:webHidden/>
          </w:rPr>
          <w:fldChar w:fldCharType="end"/>
        </w:r>
      </w:hyperlink>
    </w:p>
    <w:p w14:paraId="1499867A" w14:textId="448A0B64" w:rsidR="00A202B4" w:rsidRDefault="0078461F">
      <w:pPr>
        <w:pStyle w:val="TOC2"/>
        <w:rPr>
          <w:rFonts w:asciiTheme="minorHAnsi" w:eastAsiaTheme="minorEastAsia" w:hAnsiTheme="minorHAnsi" w:cstheme="minorBidi"/>
          <w:lang w:val="en-US"/>
        </w:rPr>
      </w:pPr>
      <w:hyperlink w:anchor="_Toc152776492" w:history="1">
        <w:r w:rsidR="00A202B4" w:rsidRPr="00F36F03">
          <w:rPr>
            <w:rStyle w:val="Hyperlink"/>
            <w:lang w:val="es-ES_tradnl"/>
          </w:rPr>
          <w:t>CP-10/3.</w:t>
        </w:r>
        <w:r w:rsidR="00A202B4">
          <w:rPr>
            <w:rFonts w:asciiTheme="minorHAnsi" w:eastAsiaTheme="minorEastAsia" w:hAnsiTheme="minorHAnsi" w:cstheme="minorBidi"/>
            <w:lang w:val="en-US"/>
          </w:rPr>
          <w:tab/>
        </w:r>
        <w:r w:rsidR="00A202B4" w:rsidRPr="00F36F03">
          <w:rPr>
            <w:rStyle w:val="Hyperlink"/>
            <w:lang w:val="es-ES_tradnl"/>
          </w:rPr>
          <w:t>Plan de aplicación para el Protocolo de Cartagena sobre Seguridad de la Biotecnología</w:t>
        </w:r>
        <w:r w:rsidR="00A202B4">
          <w:rPr>
            <w:webHidden/>
          </w:rPr>
          <w:tab/>
        </w:r>
        <w:r w:rsidR="00A202B4">
          <w:rPr>
            <w:webHidden/>
          </w:rPr>
          <w:fldChar w:fldCharType="begin"/>
        </w:r>
        <w:r w:rsidR="00A202B4">
          <w:rPr>
            <w:webHidden/>
          </w:rPr>
          <w:instrText xml:space="preserve"> PAGEREF _Toc152776492 \h </w:instrText>
        </w:r>
        <w:r w:rsidR="00A202B4">
          <w:rPr>
            <w:webHidden/>
          </w:rPr>
        </w:r>
        <w:r w:rsidR="00A202B4">
          <w:rPr>
            <w:webHidden/>
          </w:rPr>
          <w:fldChar w:fldCharType="separate"/>
        </w:r>
        <w:r w:rsidR="00A84D18">
          <w:rPr>
            <w:webHidden/>
          </w:rPr>
          <w:t>4</w:t>
        </w:r>
        <w:r w:rsidR="00A202B4">
          <w:rPr>
            <w:webHidden/>
          </w:rPr>
          <w:fldChar w:fldCharType="end"/>
        </w:r>
      </w:hyperlink>
    </w:p>
    <w:p w14:paraId="60C8B243" w14:textId="035C1C7B" w:rsidR="00A202B4" w:rsidRDefault="0078461F">
      <w:pPr>
        <w:pStyle w:val="TOC2"/>
        <w:rPr>
          <w:rFonts w:asciiTheme="minorHAnsi" w:eastAsiaTheme="minorEastAsia" w:hAnsiTheme="minorHAnsi" w:cstheme="minorBidi"/>
          <w:lang w:val="en-US"/>
        </w:rPr>
      </w:pPr>
      <w:hyperlink w:anchor="_Toc152776493" w:history="1">
        <w:r w:rsidR="00A202B4" w:rsidRPr="00F36F03">
          <w:rPr>
            <w:rStyle w:val="Hyperlink"/>
            <w:lang w:val="es-ES_tradnl"/>
          </w:rPr>
          <w:t>CP-10/4.</w:t>
        </w:r>
        <w:r w:rsidR="00A202B4">
          <w:rPr>
            <w:rFonts w:asciiTheme="minorHAnsi" w:eastAsiaTheme="minorEastAsia" w:hAnsiTheme="minorHAnsi" w:cstheme="minorBidi"/>
            <w:lang w:val="en-US"/>
          </w:rPr>
          <w:tab/>
        </w:r>
        <w:r w:rsidR="00A202B4" w:rsidRPr="00F36F03">
          <w:rPr>
            <w:rStyle w:val="Hyperlink"/>
            <w:lang w:val="es-ES_tradnl"/>
          </w:rPr>
          <w:t>Plan de acción para la creación de capacidad para el Protocolo de Cartagena sobre Seguridad de la Biotecnología y el Protocolo Suplementario de Nagoya</w:t>
        </w:r>
        <w:r w:rsidR="00B4170C">
          <w:rPr>
            <w:rStyle w:val="Hyperlink"/>
            <w:lang w:val="es-ES_tradnl"/>
          </w:rPr>
          <w:t>-</w:t>
        </w:r>
        <w:r w:rsidR="00A202B4" w:rsidRPr="00F36F03">
          <w:rPr>
            <w:rStyle w:val="Hyperlink"/>
            <w:lang w:val="es-ES_tradnl"/>
          </w:rPr>
          <w:t>Kuala Lumpur sobre Responsabilidad y Compensación</w:t>
        </w:r>
        <w:r w:rsidR="00A202B4">
          <w:rPr>
            <w:webHidden/>
          </w:rPr>
          <w:tab/>
        </w:r>
        <w:r w:rsidR="00A202B4">
          <w:rPr>
            <w:webHidden/>
          </w:rPr>
          <w:fldChar w:fldCharType="begin"/>
        </w:r>
        <w:r w:rsidR="00A202B4">
          <w:rPr>
            <w:webHidden/>
          </w:rPr>
          <w:instrText xml:space="preserve"> PAGEREF _Toc152776493 \h </w:instrText>
        </w:r>
        <w:r w:rsidR="00A202B4">
          <w:rPr>
            <w:webHidden/>
          </w:rPr>
        </w:r>
        <w:r w:rsidR="00A202B4">
          <w:rPr>
            <w:webHidden/>
          </w:rPr>
          <w:fldChar w:fldCharType="separate"/>
        </w:r>
        <w:r w:rsidR="00A84D18">
          <w:rPr>
            <w:webHidden/>
          </w:rPr>
          <w:t>13</w:t>
        </w:r>
        <w:r w:rsidR="00A202B4">
          <w:rPr>
            <w:webHidden/>
          </w:rPr>
          <w:fldChar w:fldCharType="end"/>
        </w:r>
      </w:hyperlink>
    </w:p>
    <w:p w14:paraId="0E6B9A2C" w14:textId="1CDF4765" w:rsidR="00A202B4" w:rsidRDefault="0078461F">
      <w:pPr>
        <w:pStyle w:val="TOC2"/>
        <w:rPr>
          <w:rFonts w:asciiTheme="minorHAnsi" w:eastAsiaTheme="minorEastAsia" w:hAnsiTheme="minorHAnsi" w:cstheme="minorBidi"/>
          <w:lang w:val="en-US"/>
        </w:rPr>
      </w:pPr>
      <w:hyperlink w:anchor="_Toc152776494" w:history="1">
        <w:r w:rsidR="00A202B4" w:rsidRPr="00F36F03">
          <w:rPr>
            <w:rStyle w:val="Hyperlink"/>
            <w:lang w:val="es-ES_tradnl"/>
          </w:rPr>
          <w:t>CP-10/5.</w:t>
        </w:r>
        <w:r w:rsidR="00A202B4">
          <w:rPr>
            <w:rFonts w:asciiTheme="minorHAnsi" w:eastAsiaTheme="minorEastAsia" w:hAnsiTheme="minorHAnsi" w:cstheme="minorBidi"/>
            <w:lang w:val="en-US"/>
          </w:rPr>
          <w:tab/>
        </w:r>
        <w:r w:rsidR="00A202B4" w:rsidRPr="00F36F03">
          <w:rPr>
            <w:rStyle w:val="Hyperlink"/>
            <w:lang w:val="es-ES_tradnl"/>
          </w:rPr>
          <w:t>Funcionamiento y actividades del Centro de Intercambio de Información sobre Seguridad de la Biotecnología (artículo 20)</w:t>
        </w:r>
        <w:r w:rsidR="00A202B4">
          <w:rPr>
            <w:webHidden/>
          </w:rPr>
          <w:tab/>
        </w:r>
        <w:r w:rsidR="00A202B4">
          <w:rPr>
            <w:webHidden/>
          </w:rPr>
          <w:fldChar w:fldCharType="begin"/>
        </w:r>
        <w:r w:rsidR="00A202B4">
          <w:rPr>
            <w:webHidden/>
          </w:rPr>
          <w:instrText xml:space="preserve"> PAGEREF _Toc152776494 \h </w:instrText>
        </w:r>
        <w:r w:rsidR="00A202B4">
          <w:rPr>
            <w:webHidden/>
          </w:rPr>
        </w:r>
        <w:r w:rsidR="00A202B4">
          <w:rPr>
            <w:webHidden/>
          </w:rPr>
          <w:fldChar w:fldCharType="separate"/>
        </w:r>
        <w:r w:rsidR="00A84D18">
          <w:rPr>
            <w:webHidden/>
          </w:rPr>
          <w:t>28</w:t>
        </w:r>
        <w:r w:rsidR="00A202B4">
          <w:rPr>
            <w:webHidden/>
          </w:rPr>
          <w:fldChar w:fldCharType="end"/>
        </w:r>
      </w:hyperlink>
    </w:p>
    <w:p w14:paraId="510637B1" w14:textId="15AD1241" w:rsidR="00A202B4" w:rsidRDefault="0078461F">
      <w:pPr>
        <w:pStyle w:val="TOC2"/>
        <w:rPr>
          <w:rFonts w:asciiTheme="minorHAnsi" w:eastAsiaTheme="minorEastAsia" w:hAnsiTheme="minorHAnsi" w:cstheme="minorBidi"/>
          <w:lang w:val="en-US"/>
        </w:rPr>
      </w:pPr>
      <w:hyperlink w:anchor="_Toc152776495" w:history="1">
        <w:r w:rsidR="00A202B4" w:rsidRPr="00F36F03">
          <w:rPr>
            <w:rStyle w:val="Hyperlink"/>
            <w:lang w:val="es-ES_tradnl"/>
          </w:rPr>
          <w:t>CP-10/6.</w:t>
        </w:r>
        <w:r w:rsidR="00A202B4">
          <w:rPr>
            <w:rFonts w:asciiTheme="minorHAnsi" w:eastAsiaTheme="minorEastAsia" w:hAnsiTheme="minorHAnsi" w:cstheme="minorBidi"/>
            <w:lang w:val="en-US"/>
          </w:rPr>
          <w:tab/>
        </w:r>
        <w:r w:rsidR="00A202B4" w:rsidRPr="00F36F03">
          <w:rPr>
            <w:rStyle w:val="Hyperlink"/>
            <w:lang w:val="es-ES_tradnl"/>
          </w:rPr>
          <w:t>Asuntos relacionados con el mecanismo financiero y los recursos financieros (artículo 28)</w:t>
        </w:r>
        <w:r w:rsidR="00A202B4">
          <w:rPr>
            <w:webHidden/>
          </w:rPr>
          <w:tab/>
        </w:r>
        <w:r w:rsidR="00A202B4">
          <w:rPr>
            <w:webHidden/>
          </w:rPr>
          <w:fldChar w:fldCharType="begin"/>
        </w:r>
        <w:r w:rsidR="00A202B4">
          <w:rPr>
            <w:webHidden/>
          </w:rPr>
          <w:instrText xml:space="preserve"> PAGEREF _Toc152776495 \h </w:instrText>
        </w:r>
        <w:r w:rsidR="00A202B4">
          <w:rPr>
            <w:webHidden/>
          </w:rPr>
        </w:r>
        <w:r w:rsidR="00A202B4">
          <w:rPr>
            <w:webHidden/>
          </w:rPr>
          <w:fldChar w:fldCharType="separate"/>
        </w:r>
        <w:r w:rsidR="00A84D18">
          <w:rPr>
            <w:webHidden/>
          </w:rPr>
          <w:t>30</w:t>
        </w:r>
        <w:r w:rsidR="00A202B4">
          <w:rPr>
            <w:webHidden/>
          </w:rPr>
          <w:fldChar w:fldCharType="end"/>
        </w:r>
      </w:hyperlink>
    </w:p>
    <w:p w14:paraId="7693537E" w14:textId="047481A1" w:rsidR="00A202B4" w:rsidRDefault="0078461F">
      <w:pPr>
        <w:pStyle w:val="TOC2"/>
        <w:rPr>
          <w:rFonts w:asciiTheme="minorHAnsi" w:eastAsiaTheme="minorEastAsia" w:hAnsiTheme="minorHAnsi" w:cstheme="minorBidi"/>
          <w:lang w:val="en-US"/>
        </w:rPr>
      </w:pPr>
      <w:hyperlink w:anchor="_Toc152776496" w:history="1">
        <w:r w:rsidR="00A202B4" w:rsidRPr="00F36F03">
          <w:rPr>
            <w:rStyle w:val="Hyperlink"/>
            <w:lang w:val="es-ES_tradnl"/>
          </w:rPr>
          <w:t>CP-10/7.</w:t>
        </w:r>
        <w:r w:rsidR="00A202B4">
          <w:rPr>
            <w:rFonts w:asciiTheme="minorHAnsi" w:eastAsiaTheme="minorEastAsia" w:hAnsiTheme="minorHAnsi" w:cstheme="minorBidi"/>
            <w:lang w:val="en-US"/>
          </w:rPr>
          <w:tab/>
        </w:r>
        <w:r w:rsidR="00A202B4" w:rsidRPr="00F36F03">
          <w:rPr>
            <w:rStyle w:val="Hyperlink"/>
            <w:lang w:val="es-ES_tradnl"/>
          </w:rPr>
          <w:t>Evaluación y revisión de la eficacia del Protocolo (artículo 35) y evaluación final del Plan Estratégico para el Protocolo de Cartagena sobre Seguridad de la Biotecnología para el período 2011-2020</w:t>
        </w:r>
        <w:r w:rsidR="00A202B4">
          <w:rPr>
            <w:webHidden/>
          </w:rPr>
          <w:tab/>
        </w:r>
        <w:r w:rsidR="00A202B4">
          <w:rPr>
            <w:webHidden/>
          </w:rPr>
          <w:fldChar w:fldCharType="begin"/>
        </w:r>
        <w:r w:rsidR="00A202B4">
          <w:rPr>
            <w:webHidden/>
          </w:rPr>
          <w:instrText xml:space="preserve"> PAGEREF _Toc152776496 \h </w:instrText>
        </w:r>
        <w:r w:rsidR="00A202B4">
          <w:rPr>
            <w:webHidden/>
          </w:rPr>
        </w:r>
        <w:r w:rsidR="00A202B4">
          <w:rPr>
            <w:webHidden/>
          </w:rPr>
          <w:fldChar w:fldCharType="separate"/>
        </w:r>
        <w:r w:rsidR="00A84D18">
          <w:rPr>
            <w:webHidden/>
          </w:rPr>
          <w:t>32</w:t>
        </w:r>
        <w:r w:rsidR="00A202B4">
          <w:rPr>
            <w:webHidden/>
          </w:rPr>
          <w:fldChar w:fldCharType="end"/>
        </w:r>
      </w:hyperlink>
    </w:p>
    <w:p w14:paraId="0CF712F2" w14:textId="3055C882" w:rsidR="00A202B4" w:rsidRDefault="0078461F">
      <w:pPr>
        <w:pStyle w:val="TOC2"/>
        <w:rPr>
          <w:rFonts w:asciiTheme="minorHAnsi" w:eastAsiaTheme="minorEastAsia" w:hAnsiTheme="minorHAnsi" w:cstheme="minorBidi"/>
          <w:lang w:val="en-US"/>
        </w:rPr>
      </w:pPr>
      <w:hyperlink w:anchor="_Toc152776497" w:history="1">
        <w:r w:rsidR="00A202B4" w:rsidRPr="00F36F03">
          <w:rPr>
            <w:rStyle w:val="Hyperlink"/>
            <w:lang w:val="es-ES_tradnl"/>
          </w:rPr>
          <w:t>CP-10/8.</w:t>
        </w:r>
        <w:r w:rsidR="00A202B4">
          <w:rPr>
            <w:rFonts w:asciiTheme="minorHAnsi" w:eastAsiaTheme="minorEastAsia" w:hAnsiTheme="minorHAnsi" w:cstheme="minorBidi"/>
            <w:lang w:val="en-US"/>
          </w:rPr>
          <w:tab/>
        </w:r>
        <w:r w:rsidR="00A202B4" w:rsidRPr="00F36F03">
          <w:rPr>
            <w:rStyle w:val="Hyperlink"/>
            <w:lang w:val="es-ES_tradnl"/>
          </w:rPr>
          <w:t>Revisión de la eficacia de las estructuras y los procesos en el marco del Convenio</w:t>
        </w:r>
        <w:r w:rsidR="00A202B4">
          <w:rPr>
            <w:rStyle w:val="Hyperlink"/>
            <w:lang w:val="es-ES_tradnl"/>
          </w:rPr>
          <w:br/>
        </w:r>
        <w:r w:rsidR="00A202B4" w:rsidRPr="00F36F03">
          <w:rPr>
            <w:rStyle w:val="Hyperlink"/>
            <w:lang w:val="es-ES_tradnl"/>
          </w:rPr>
          <w:t>y sus Protocolos</w:t>
        </w:r>
        <w:r w:rsidR="00A202B4">
          <w:rPr>
            <w:webHidden/>
          </w:rPr>
          <w:tab/>
        </w:r>
        <w:r w:rsidR="00A202B4">
          <w:rPr>
            <w:webHidden/>
          </w:rPr>
          <w:fldChar w:fldCharType="begin"/>
        </w:r>
        <w:r w:rsidR="00A202B4">
          <w:rPr>
            <w:webHidden/>
          </w:rPr>
          <w:instrText xml:space="preserve"> PAGEREF _Toc152776497 \h </w:instrText>
        </w:r>
        <w:r w:rsidR="00A202B4">
          <w:rPr>
            <w:webHidden/>
          </w:rPr>
        </w:r>
        <w:r w:rsidR="00A202B4">
          <w:rPr>
            <w:webHidden/>
          </w:rPr>
          <w:fldChar w:fldCharType="separate"/>
        </w:r>
        <w:r w:rsidR="00A84D18">
          <w:rPr>
            <w:webHidden/>
          </w:rPr>
          <w:t>37</w:t>
        </w:r>
        <w:r w:rsidR="00A202B4">
          <w:rPr>
            <w:webHidden/>
          </w:rPr>
          <w:fldChar w:fldCharType="end"/>
        </w:r>
      </w:hyperlink>
    </w:p>
    <w:p w14:paraId="7D9E7F4A" w14:textId="3FF0238F" w:rsidR="00A202B4" w:rsidRDefault="0078461F">
      <w:pPr>
        <w:pStyle w:val="TOC2"/>
        <w:rPr>
          <w:rFonts w:asciiTheme="minorHAnsi" w:eastAsiaTheme="minorEastAsia" w:hAnsiTheme="minorHAnsi" w:cstheme="minorBidi"/>
          <w:lang w:val="en-US"/>
        </w:rPr>
      </w:pPr>
      <w:hyperlink w:anchor="_Toc152776498" w:history="1">
        <w:r w:rsidR="00A202B4" w:rsidRPr="00F36F03">
          <w:rPr>
            <w:rStyle w:val="Hyperlink"/>
            <w:lang w:val="es-ES_tradnl"/>
          </w:rPr>
          <w:t>CP-10/9.</w:t>
        </w:r>
        <w:r w:rsidR="00A202B4">
          <w:rPr>
            <w:rFonts w:asciiTheme="minorHAnsi" w:eastAsiaTheme="minorEastAsia" w:hAnsiTheme="minorHAnsi" w:cstheme="minorBidi"/>
            <w:lang w:val="en-US"/>
          </w:rPr>
          <w:tab/>
        </w:r>
        <w:r w:rsidR="00A202B4" w:rsidRPr="00F36F03">
          <w:rPr>
            <w:rStyle w:val="Hyperlink"/>
            <w:rFonts w:asciiTheme="majorBidi" w:hAnsiTheme="majorBidi" w:cstheme="majorBidi"/>
            <w:bCs/>
            <w:caps/>
            <w:snapToGrid w:val="0"/>
            <w:kern w:val="22"/>
            <w:lang w:val="es-ES_tradnl"/>
          </w:rPr>
          <w:t>V</w:t>
        </w:r>
        <w:r w:rsidR="00A202B4" w:rsidRPr="00F36F03">
          <w:rPr>
            <w:rStyle w:val="Hyperlink"/>
            <w:rFonts w:asciiTheme="majorBidi" w:hAnsiTheme="majorBidi" w:cstheme="majorBidi"/>
            <w:bCs/>
            <w:snapToGrid w:val="0"/>
            <w:kern w:val="22"/>
            <w:lang w:val="es-ES_tradnl"/>
          </w:rPr>
          <w:t xml:space="preserve">igilancia y presentación de informes </w:t>
        </w:r>
        <w:r w:rsidR="00A202B4" w:rsidRPr="00F36F03">
          <w:rPr>
            <w:rStyle w:val="Hyperlink"/>
            <w:rFonts w:asciiTheme="majorBidi" w:hAnsiTheme="majorBidi" w:cstheme="majorBidi"/>
            <w:bCs/>
            <w:caps/>
            <w:snapToGrid w:val="0"/>
            <w:kern w:val="22"/>
            <w:lang w:val="es-ES_tradnl"/>
          </w:rPr>
          <w:t>(</w:t>
        </w:r>
        <w:r w:rsidR="00A202B4" w:rsidRPr="00F36F03">
          <w:rPr>
            <w:rStyle w:val="Hyperlink"/>
            <w:rFonts w:asciiTheme="majorBidi" w:hAnsiTheme="majorBidi" w:cstheme="majorBidi"/>
            <w:bCs/>
            <w:snapToGrid w:val="0"/>
            <w:kern w:val="22"/>
            <w:lang w:val="es-ES_tradnl"/>
          </w:rPr>
          <w:t>artículo</w:t>
        </w:r>
        <w:r w:rsidR="00A202B4" w:rsidRPr="00F36F03">
          <w:rPr>
            <w:rStyle w:val="Hyperlink"/>
            <w:rFonts w:asciiTheme="majorBidi" w:hAnsiTheme="majorBidi" w:cstheme="majorBidi"/>
            <w:bCs/>
            <w:caps/>
            <w:snapToGrid w:val="0"/>
            <w:kern w:val="22"/>
            <w:lang w:val="es-ES_tradnl"/>
          </w:rPr>
          <w:t xml:space="preserve"> 33)</w:t>
        </w:r>
        <w:r w:rsidR="00A202B4">
          <w:rPr>
            <w:webHidden/>
          </w:rPr>
          <w:tab/>
        </w:r>
        <w:r w:rsidR="00A202B4">
          <w:rPr>
            <w:webHidden/>
          </w:rPr>
          <w:fldChar w:fldCharType="begin"/>
        </w:r>
        <w:r w:rsidR="00A202B4">
          <w:rPr>
            <w:webHidden/>
          </w:rPr>
          <w:instrText xml:space="preserve"> PAGEREF _Toc152776498 \h </w:instrText>
        </w:r>
        <w:r w:rsidR="00A202B4">
          <w:rPr>
            <w:webHidden/>
          </w:rPr>
        </w:r>
        <w:r w:rsidR="00A202B4">
          <w:rPr>
            <w:webHidden/>
          </w:rPr>
          <w:fldChar w:fldCharType="separate"/>
        </w:r>
        <w:r w:rsidR="00A84D18">
          <w:rPr>
            <w:webHidden/>
          </w:rPr>
          <w:t>39</w:t>
        </w:r>
        <w:r w:rsidR="00A202B4">
          <w:rPr>
            <w:webHidden/>
          </w:rPr>
          <w:fldChar w:fldCharType="end"/>
        </w:r>
      </w:hyperlink>
    </w:p>
    <w:p w14:paraId="44862E9F" w14:textId="2699E7EB" w:rsidR="00A202B4" w:rsidRDefault="0078461F">
      <w:pPr>
        <w:pStyle w:val="TOC2"/>
        <w:rPr>
          <w:rFonts w:asciiTheme="minorHAnsi" w:eastAsiaTheme="minorEastAsia" w:hAnsiTheme="minorHAnsi" w:cstheme="minorBidi"/>
          <w:lang w:val="en-US"/>
        </w:rPr>
      </w:pPr>
      <w:hyperlink w:anchor="_Toc152776499" w:history="1">
        <w:r w:rsidR="00A202B4" w:rsidRPr="00F36F03">
          <w:rPr>
            <w:rStyle w:val="Hyperlink"/>
            <w:lang w:val="es-ES_tradnl"/>
          </w:rPr>
          <w:t>CP-10/10.</w:t>
        </w:r>
        <w:r w:rsidR="00A202B4">
          <w:rPr>
            <w:rFonts w:asciiTheme="minorHAnsi" w:eastAsiaTheme="minorEastAsia" w:hAnsiTheme="minorHAnsi" w:cstheme="minorBidi"/>
            <w:lang w:val="en-US"/>
          </w:rPr>
          <w:tab/>
        </w:r>
        <w:r w:rsidR="00A202B4" w:rsidRPr="00F36F03">
          <w:rPr>
            <w:rStyle w:val="Hyperlink"/>
            <w:lang w:val="es-ES_tradnl"/>
          </w:rPr>
          <w:t>Evaluación del riesgo y gestión del riesgo (artículos 15 y 16)</w:t>
        </w:r>
        <w:r w:rsidR="00A202B4">
          <w:rPr>
            <w:webHidden/>
          </w:rPr>
          <w:tab/>
        </w:r>
        <w:r w:rsidR="00A202B4">
          <w:rPr>
            <w:webHidden/>
          </w:rPr>
          <w:fldChar w:fldCharType="begin"/>
        </w:r>
        <w:r w:rsidR="00A202B4">
          <w:rPr>
            <w:webHidden/>
          </w:rPr>
          <w:instrText xml:space="preserve"> PAGEREF _Toc152776499 \h </w:instrText>
        </w:r>
        <w:r w:rsidR="00A202B4">
          <w:rPr>
            <w:webHidden/>
          </w:rPr>
        </w:r>
        <w:r w:rsidR="00A202B4">
          <w:rPr>
            <w:webHidden/>
          </w:rPr>
          <w:fldChar w:fldCharType="separate"/>
        </w:r>
        <w:r w:rsidR="00A84D18">
          <w:rPr>
            <w:webHidden/>
          </w:rPr>
          <w:t>41</w:t>
        </w:r>
        <w:r w:rsidR="00A202B4">
          <w:rPr>
            <w:webHidden/>
          </w:rPr>
          <w:fldChar w:fldCharType="end"/>
        </w:r>
      </w:hyperlink>
    </w:p>
    <w:p w14:paraId="6AB76399" w14:textId="65897441" w:rsidR="00A202B4" w:rsidRDefault="0078461F">
      <w:pPr>
        <w:pStyle w:val="TOC2"/>
        <w:rPr>
          <w:rFonts w:asciiTheme="minorHAnsi" w:eastAsiaTheme="minorEastAsia" w:hAnsiTheme="minorHAnsi" w:cstheme="minorBidi"/>
          <w:lang w:val="en-US"/>
        </w:rPr>
      </w:pPr>
      <w:hyperlink w:anchor="_Toc152776500" w:history="1">
        <w:r w:rsidR="00A202B4" w:rsidRPr="00F36F03">
          <w:rPr>
            <w:rStyle w:val="Hyperlink"/>
            <w:lang w:val="es-ES_tradnl"/>
          </w:rPr>
          <w:t>CP-10/11.</w:t>
        </w:r>
        <w:r w:rsidR="00A202B4">
          <w:rPr>
            <w:rFonts w:asciiTheme="minorHAnsi" w:eastAsiaTheme="minorEastAsia" w:hAnsiTheme="minorHAnsi" w:cstheme="minorBidi"/>
            <w:lang w:val="en-US"/>
          </w:rPr>
          <w:tab/>
        </w:r>
        <w:r w:rsidR="00A202B4" w:rsidRPr="00F36F03">
          <w:rPr>
            <w:rStyle w:val="Hyperlink"/>
            <w:lang w:val="es-ES_tradnl"/>
          </w:rPr>
          <w:t>Detección e identificación de organismos vivos modificados</w:t>
        </w:r>
        <w:r w:rsidR="00A202B4">
          <w:rPr>
            <w:webHidden/>
          </w:rPr>
          <w:tab/>
        </w:r>
        <w:r w:rsidR="00A202B4">
          <w:rPr>
            <w:webHidden/>
          </w:rPr>
          <w:fldChar w:fldCharType="begin"/>
        </w:r>
        <w:r w:rsidR="00A202B4">
          <w:rPr>
            <w:webHidden/>
          </w:rPr>
          <w:instrText xml:space="preserve"> PAGEREF _Toc152776500 \h </w:instrText>
        </w:r>
        <w:r w:rsidR="00A202B4">
          <w:rPr>
            <w:webHidden/>
          </w:rPr>
        </w:r>
        <w:r w:rsidR="00A202B4">
          <w:rPr>
            <w:webHidden/>
          </w:rPr>
          <w:fldChar w:fldCharType="separate"/>
        </w:r>
        <w:r w:rsidR="00A84D18">
          <w:rPr>
            <w:webHidden/>
          </w:rPr>
          <w:t>45</w:t>
        </w:r>
        <w:r w:rsidR="00A202B4">
          <w:rPr>
            <w:webHidden/>
          </w:rPr>
          <w:fldChar w:fldCharType="end"/>
        </w:r>
      </w:hyperlink>
    </w:p>
    <w:p w14:paraId="1874DC9F" w14:textId="0D109A06" w:rsidR="00A202B4" w:rsidRDefault="0078461F">
      <w:pPr>
        <w:pStyle w:val="TOC2"/>
        <w:rPr>
          <w:rFonts w:asciiTheme="minorHAnsi" w:eastAsiaTheme="minorEastAsia" w:hAnsiTheme="minorHAnsi" w:cstheme="minorBidi"/>
          <w:lang w:val="en-US"/>
        </w:rPr>
      </w:pPr>
      <w:hyperlink w:anchor="_Toc152776501" w:history="1">
        <w:r w:rsidR="00A202B4" w:rsidRPr="00F36F03">
          <w:rPr>
            <w:rStyle w:val="Hyperlink"/>
            <w:lang w:val="es-ES_tradnl"/>
          </w:rPr>
          <w:t>CP-10/12.</w:t>
        </w:r>
        <w:r w:rsidR="00A202B4">
          <w:rPr>
            <w:rFonts w:asciiTheme="minorHAnsi" w:eastAsiaTheme="minorEastAsia" w:hAnsiTheme="minorHAnsi" w:cstheme="minorBidi"/>
            <w:lang w:val="en-US"/>
          </w:rPr>
          <w:tab/>
        </w:r>
        <w:r w:rsidR="00A202B4" w:rsidRPr="00F36F03">
          <w:rPr>
            <w:rStyle w:val="Hyperlink"/>
            <w:lang w:val="es-ES_tradnl"/>
          </w:rPr>
          <w:t>Consideraciones socioeconómicas (artículo 26)</w:t>
        </w:r>
        <w:r w:rsidR="00A202B4">
          <w:rPr>
            <w:webHidden/>
          </w:rPr>
          <w:tab/>
        </w:r>
        <w:r w:rsidR="00A202B4">
          <w:rPr>
            <w:webHidden/>
          </w:rPr>
          <w:fldChar w:fldCharType="begin"/>
        </w:r>
        <w:r w:rsidR="00A202B4">
          <w:rPr>
            <w:webHidden/>
          </w:rPr>
          <w:instrText xml:space="preserve"> PAGEREF _Toc152776501 \h </w:instrText>
        </w:r>
        <w:r w:rsidR="00A202B4">
          <w:rPr>
            <w:webHidden/>
          </w:rPr>
        </w:r>
        <w:r w:rsidR="00A202B4">
          <w:rPr>
            <w:webHidden/>
          </w:rPr>
          <w:fldChar w:fldCharType="separate"/>
        </w:r>
        <w:r w:rsidR="00A84D18">
          <w:rPr>
            <w:webHidden/>
          </w:rPr>
          <w:t>47</w:t>
        </w:r>
        <w:r w:rsidR="00A202B4">
          <w:rPr>
            <w:webHidden/>
          </w:rPr>
          <w:fldChar w:fldCharType="end"/>
        </w:r>
      </w:hyperlink>
    </w:p>
    <w:p w14:paraId="564072C9" w14:textId="5BB5D2A7" w:rsidR="00A202B4" w:rsidRDefault="0078461F">
      <w:pPr>
        <w:pStyle w:val="TOC2"/>
        <w:rPr>
          <w:rFonts w:asciiTheme="minorHAnsi" w:eastAsiaTheme="minorEastAsia" w:hAnsiTheme="minorHAnsi" w:cstheme="minorBidi"/>
          <w:lang w:val="en-US"/>
        </w:rPr>
      </w:pPr>
      <w:hyperlink w:anchor="_Toc152776502" w:history="1">
        <w:r w:rsidR="00A202B4" w:rsidRPr="00F36F03">
          <w:rPr>
            <w:rStyle w:val="Hyperlink"/>
            <w:lang w:val="es-ES_tradnl"/>
          </w:rPr>
          <w:t>CP-10/13.</w:t>
        </w:r>
        <w:r w:rsidR="00A202B4">
          <w:rPr>
            <w:rFonts w:asciiTheme="minorHAnsi" w:eastAsiaTheme="minorEastAsia" w:hAnsiTheme="minorHAnsi" w:cstheme="minorBidi"/>
            <w:lang w:val="en-US"/>
          </w:rPr>
          <w:tab/>
        </w:r>
        <w:r w:rsidR="00A202B4" w:rsidRPr="00F36F03">
          <w:rPr>
            <w:rStyle w:val="Hyperlink"/>
            <w:lang w:val="es-ES_tradnl"/>
          </w:rPr>
          <w:t>Protocolo Suplementario de Nagoya</w:t>
        </w:r>
        <w:r w:rsidR="00B4170C">
          <w:rPr>
            <w:rStyle w:val="Hyperlink"/>
            <w:lang w:val="es-ES_tradnl"/>
          </w:rPr>
          <w:t>-</w:t>
        </w:r>
        <w:r w:rsidR="00A202B4" w:rsidRPr="00F36F03">
          <w:rPr>
            <w:rStyle w:val="Hyperlink"/>
            <w:lang w:val="es-ES_tradnl"/>
          </w:rPr>
          <w:t>Kuala Lumpur sobre Responsabilidad y Compensación</w:t>
        </w:r>
        <w:r w:rsidR="00A202B4">
          <w:rPr>
            <w:webHidden/>
          </w:rPr>
          <w:tab/>
        </w:r>
        <w:r w:rsidR="00A202B4">
          <w:rPr>
            <w:webHidden/>
          </w:rPr>
          <w:fldChar w:fldCharType="begin"/>
        </w:r>
        <w:r w:rsidR="00A202B4">
          <w:rPr>
            <w:webHidden/>
          </w:rPr>
          <w:instrText xml:space="preserve"> PAGEREF _Toc152776502 \h </w:instrText>
        </w:r>
        <w:r w:rsidR="00A202B4">
          <w:rPr>
            <w:webHidden/>
          </w:rPr>
        </w:r>
        <w:r w:rsidR="00A202B4">
          <w:rPr>
            <w:webHidden/>
          </w:rPr>
          <w:fldChar w:fldCharType="separate"/>
        </w:r>
        <w:r w:rsidR="00A84D18">
          <w:rPr>
            <w:webHidden/>
          </w:rPr>
          <w:t>48</w:t>
        </w:r>
        <w:r w:rsidR="00A202B4">
          <w:rPr>
            <w:webHidden/>
          </w:rPr>
          <w:fldChar w:fldCharType="end"/>
        </w:r>
      </w:hyperlink>
    </w:p>
    <w:p w14:paraId="01807D9D" w14:textId="052D750A" w:rsidR="00A202B4" w:rsidRDefault="0078461F">
      <w:pPr>
        <w:pStyle w:val="TOC2"/>
        <w:rPr>
          <w:rFonts w:asciiTheme="minorHAnsi" w:eastAsiaTheme="minorEastAsia" w:hAnsiTheme="minorHAnsi" w:cstheme="minorBidi"/>
          <w:lang w:val="en-US"/>
        </w:rPr>
      </w:pPr>
      <w:hyperlink w:anchor="_Toc152776503" w:history="1">
        <w:r w:rsidR="00A202B4" w:rsidRPr="00F36F03">
          <w:rPr>
            <w:rStyle w:val="Hyperlink"/>
            <w:lang w:val="es-ES_tradnl"/>
          </w:rPr>
          <w:t xml:space="preserve">CP-10/14. </w:t>
        </w:r>
        <w:r w:rsidR="00A202B4">
          <w:rPr>
            <w:rFonts w:asciiTheme="minorHAnsi" w:eastAsiaTheme="minorEastAsia" w:hAnsiTheme="minorHAnsi" w:cstheme="minorBidi"/>
            <w:lang w:val="en-US"/>
          </w:rPr>
          <w:tab/>
        </w:r>
        <w:r w:rsidR="00A202B4" w:rsidRPr="00F36F03">
          <w:rPr>
            <w:rStyle w:val="Hyperlink"/>
            <w:lang w:val="es-ES_tradnl"/>
          </w:rPr>
          <w:t>Presupuesto para el programa de trabajo integrado de la Secretaría</w:t>
        </w:r>
        <w:r w:rsidR="00A202B4">
          <w:rPr>
            <w:webHidden/>
          </w:rPr>
          <w:tab/>
        </w:r>
        <w:r w:rsidR="00A202B4">
          <w:rPr>
            <w:webHidden/>
          </w:rPr>
          <w:fldChar w:fldCharType="begin"/>
        </w:r>
        <w:r w:rsidR="00A202B4">
          <w:rPr>
            <w:webHidden/>
          </w:rPr>
          <w:instrText xml:space="preserve"> PAGEREF _Toc152776503 \h </w:instrText>
        </w:r>
        <w:r w:rsidR="00A202B4">
          <w:rPr>
            <w:webHidden/>
          </w:rPr>
        </w:r>
        <w:r w:rsidR="00A202B4">
          <w:rPr>
            <w:webHidden/>
          </w:rPr>
          <w:fldChar w:fldCharType="separate"/>
        </w:r>
        <w:r w:rsidR="00A84D18">
          <w:rPr>
            <w:webHidden/>
          </w:rPr>
          <w:t>50</w:t>
        </w:r>
        <w:r w:rsidR="00A202B4">
          <w:rPr>
            <w:webHidden/>
          </w:rPr>
          <w:fldChar w:fldCharType="end"/>
        </w:r>
      </w:hyperlink>
    </w:p>
    <w:p w14:paraId="395F956D" w14:textId="730348B1" w:rsidR="00A202B4" w:rsidRDefault="0078461F">
      <w:pPr>
        <w:pStyle w:val="TOC1"/>
        <w:rPr>
          <w:rFonts w:asciiTheme="minorHAnsi" w:eastAsiaTheme="minorEastAsia" w:hAnsiTheme="minorHAnsi" w:cstheme="minorBidi"/>
          <w:caps w:val="0"/>
          <w:noProof/>
          <w:szCs w:val="22"/>
          <w:lang w:val="en-US"/>
        </w:rPr>
      </w:pPr>
      <w:hyperlink w:anchor="_Toc152776504" w:history="1">
        <w:r w:rsidR="00A202B4" w:rsidRPr="00F36F03">
          <w:rPr>
            <w:rStyle w:val="Hyperlink"/>
            <w:noProof/>
            <w:snapToGrid w:val="0"/>
            <w:lang w:val="es-ES_tradnl"/>
          </w:rPr>
          <w:t>II.</w:t>
        </w:r>
        <w:r w:rsidR="00A202B4">
          <w:rPr>
            <w:rFonts w:asciiTheme="minorHAnsi" w:eastAsiaTheme="minorEastAsia" w:hAnsiTheme="minorHAnsi" w:cstheme="minorBidi"/>
            <w:caps w:val="0"/>
            <w:noProof/>
            <w:szCs w:val="22"/>
            <w:lang w:val="en-US"/>
          </w:rPr>
          <w:tab/>
        </w:r>
        <w:r w:rsidR="00A202B4" w:rsidRPr="00F36F03">
          <w:rPr>
            <w:rStyle w:val="Hyperlink"/>
            <w:caps w:val="0"/>
            <w:noProof/>
            <w:snapToGrid w:val="0"/>
            <w:lang w:val="es-ES_tradnl"/>
          </w:rPr>
          <w:t>Resumen de las deliberaciones de la reunión</w:t>
        </w:r>
        <w:r w:rsidR="00A202B4">
          <w:rPr>
            <w:noProof/>
            <w:webHidden/>
          </w:rPr>
          <w:tab/>
        </w:r>
        <w:r w:rsidR="00A202B4">
          <w:rPr>
            <w:noProof/>
            <w:webHidden/>
          </w:rPr>
          <w:fldChar w:fldCharType="begin"/>
        </w:r>
        <w:r w:rsidR="00A202B4">
          <w:rPr>
            <w:noProof/>
            <w:webHidden/>
          </w:rPr>
          <w:instrText xml:space="preserve"> PAGEREF _Toc152776504 \h </w:instrText>
        </w:r>
        <w:r w:rsidR="00A202B4">
          <w:rPr>
            <w:noProof/>
            <w:webHidden/>
          </w:rPr>
        </w:r>
        <w:r w:rsidR="00A202B4">
          <w:rPr>
            <w:noProof/>
            <w:webHidden/>
          </w:rPr>
          <w:fldChar w:fldCharType="separate"/>
        </w:r>
        <w:r w:rsidR="00A84D18">
          <w:rPr>
            <w:noProof/>
            <w:webHidden/>
          </w:rPr>
          <w:t>57</w:t>
        </w:r>
        <w:r w:rsidR="00A202B4">
          <w:rPr>
            <w:noProof/>
            <w:webHidden/>
          </w:rPr>
          <w:fldChar w:fldCharType="end"/>
        </w:r>
      </w:hyperlink>
    </w:p>
    <w:p w14:paraId="391428BD" w14:textId="1DA65AC6" w:rsidR="00124150" w:rsidRPr="00A202B4" w:rsidRDefault="00124150" w:rsidP="00D17DB5">
      <w:pPr>
        <w:pStyle w:val="Heading2"/>
        <w:keepNext w:val="0"/>
        <w:tabs>
          <w:tab w:val="clear" w:pos="720"/>
          <w:tab w:val="left" w:pos="360"/>
          <w:tab w:val="left" w:pos="1080"/>
          <w:tab w:val="left" w:pos="1440"/>
          <w:tab w:val="left" w:pos="1620"/>
          <w:tab w:val="left" w:pos="6480"/>
          <w:tab w:val="right" w:leader="dot" w:pos="9360"/>
        </w:tabs>
        <w:spacing w:before="120"/>
        <w:ind w:left="1620" w:hanging="900"/>
        <w:jc w:val="left"/>
        <w:rPr>
          <w:lang w:val="es-ES_tradnl"/>
        </w:rPr>
      </w:pPr>
      <w:r w:rsidRPr="00A202B4">
        <w:rPr>
          <w:sz w:val="18"/>
          <w:szCs w:val="18"/>
          <w:lang w:val="es-ES_tradnl"/>
        </w:rPr>
        <w:fldChar w:fldCharType="end"/>
      </w:r>
    </w:p>
    <w:p w14:paraId="31290B73" w14:textId="77777777" w:rsidR="00412BE9" w:rsidRPr="00A202B4" w:rsidRDefault="00412BE9" w:rsidP="00D17DB5">
      <w:pPr>
        <w:kinsoku w:val="0"/>
        <w:overflowPunct w:val="0"/>
        <w:autoSpaceDE w:val="0"/>
        <w:autoSpaceDN w:val="0"/>
        <w:spacing w:before="120" w:after="240"/>
        <w:ind w:left="360" w:right="713"/>
        <w:jc w:val="left"/>
        <w:rPr>
          <w:rFonts w:asciiTheme="majorBidi" w:hAnsiTheme="majorBidi" w:cstheme="majorBidi"/>
          <w:b/>
          <w:bCs/>
          <w:caps/>
          <w:snapToGrid w:val="0"/>
          <w:kern w:val="22"/>
          <w:sz w:val="28"/>
          <w:szCs w:val="28"/>
          <w:lang w:val="es-ES_tradnl"/>
        </w:rPr>
        <w:sectPr w:rsidR="00412BE9" w:rsidRPr="00A202B4" w:rsidSect="009474D1">
          <w:footnotePr>
            <w:numRestart w:val="eachSect"/>
          </w:footnotePr>
          <w:pgSz w:w="12240" w:h="15840"/>
          <w:pgMar w:top="1021" w:right="1440" w:bottom="1021" w:left="1440" w:header="459" w:footer="720" w:gutter="0"/>
          <w:cols w:space="708"/>
          <w:docGrid w:linePitch="360"/>
        </w:sectPr>
      </w:pPr>
    </w:p>
    <w:p w14:paraId="7B53A959" w14:textId="7CBDD68D" w:rsidR="003F7CF4" w:rsidRPr="00A202B4" w:rsidRDefault="003F7CF4" w:rsidP="003F7CF4">
      <w:pPr>
        <w:pStyle w:val="Heading1"/>
        <w:tabs>
          <w:tab w:val="clear" w:pos="720"/>
        </w:tabs>
        <w:spacing w:after="240"/>
        <w:ind w:left="709" w:hanging="708"/>
        <w:jc w:val="left"/>
        <w:rPr>
          <w:snapToGrid w:val="0"/>
          <w:sz w:val="28"/>
          <w:szCs w:val="28"/>
          <w:lang w:val="es-ES_tradnl"/>
        </w:rPr>
      </w:pPr>
      <w:bookmarkStart w:id="0" w:name="_Toc150438798"/>
      <w:bookmarkStart w:id="1" w:name="_Toc150670498"/>
      <w:bookmarkStart w:id="2" w:name="_Toc150670608"/>
      <w:bookmarkStart w:id="3" w:name="_Toc150761110"/>
      <w:bookmarkStart w:id="4" w:name="_Toc151646661"/>
      <w:bookmarkStart w:id="5" w:name="_Toc152776490"/>
      <w:r w:rsidRPr="00A202B4">
        <w:rPr>
          <w:caps w:val="0"/>
          <w:snapToGrid w:val="0"/>
          <w:sz w:val="28"/>
          <w:szCs w:val="28"/>
          <w:lang w:val="es-ES_tradnl"/>
        </w:rPr>
        <w:lastRenderedPageBreak/>
        <w:t>I.</w:t>
      </w:r>
      <w:r w:rsidRPr="00A202B4">
        <w:rPr>
          <w:caps w:val="0"/>
          <w:snapToGrid w:val="0"/>
          <w:sz w:val="28"/>
          <w:szCs w:val="28"/>
          <w:lang w:val="es-ES_tradnl"/>
        </w:rPr>
        <w:tab/>
      </w:r>
      <w:bookmarkEnd w:id="0"/>
      <w:bookmarkEnd w:id="1"/>
      <w:bookmarkEnd w:id="2"/>
      <w:bookmarkEnd w:id="3"/>
      <w:bookmarkEnd w:id="4"/>
      <w:r w:rsidRPr="00A202B4">
        <w:rPr>
          <w:caps w:val="0"/>
          <w:snapToGrid w:val="0"/>
          <w:sz w:val="28"/>
          <w:szCs w:val="28"/>
          <w:lang w:val="es-ES_tradnl"/>
        </w:rPr>
        <w:t>Decisiones adoptadas por la Conferencia de las Partes que actúa como reunión de las Partes en el Protocolo de Cartagena</w:t>
      </w:r>
      <w:r w:rsidRPr="00A202B4">
        <w:rPr>
          <w:rStyle w:val="FootnoteReference"/>
          <w:caps w:val="0"/>
          <w:snapToGrid w:val="0"/>
          <w:sz w:val="28"/>
          <w:szCs w:val="28"/>
          <w:u w:val="none"/>
          <w:vertAlign w:val="superscript"/>
          <w:lang w:val="es-ES_tradnl"/>
        </w:rPr>
        <w:footnoteReference w:customMarkFollows="1" w:id="3"/>
        <w:t>*</w:t>
      </w:r>
      <w:bookmarkEnd w:id="5"/>
    </w:p>
    <w:p w14:paraId="70FD1C11" w14:textId="2075A6C0" w:rsidR="00A202B4" w:rsidRPr="00A202B4" w:rsidRDefault="00A202B4" w:rsidP="00A202B4">
      <w:pPr>
        <w:pStyle w:val="decision"/>
        <w:rPr>
          <w:rFonts w:hint="eastAsia"/>
          <w:lang w:val="es-ES_tradnl"/>
        </w:rPr>
      </w:pPr>
      <w:bookmarkStart w:id="6" w:name="_Toc151646663"/>
      <w:bookmarkStart w:id="7" w:name="_Toc152776491"/>
      <w:r w:rsidRPr="00A202B4">
        <w:rPr>
          <w:lang w:val="es-ES_tradnl"/>
        </w:rPr>
        <w:t>CP-10/2.</w:t>
      </w:r>
      <w:r w:rsidRPr="00A202B4">
        <w:rPr>
          <w:lang w:val="es-ES_tradnl"/>
        </w:rPr>
        <w:tab/>
        <w:t>Cumplimien</w:t>
      </w:r>
      <w:bookmarkEnd w:id="6"/>
      <w:r w:rsidRPr="00A202B4">
        <w:rPr>
          <w:lang w:val="es-ES_tradnl"/>
        </w:rPr>
        <w:t>to</w:t>
      </w:r>
      <w:bookmarkEnd w:id="7"/>
    </w:p>
    <w:p w14:paraId="22F270F4" w14:textId="77777777" w:rsidR="00892D38" w:rsidRPr="00A202B4" w:rsidRDefault="00892D38" w:rsidP="00892D38">
      <w:pPr>
        <w:ind w:firstLine="720"/>
        <w:rPr>
          <w:kern w:val="22"/>
          <w:lang w:val="es-ES_tradnl"/>
        </w:rPr>
      </w:pPr>
      <w:r w:rsidRPr="00A202B4">
        <w:rPr>
          <w:i/>
          <w:iCs/>
          <w:kern w:val="22"/>
          <w:lang w:val="es-ES_tradnl"/>
        </w:rPr>
        <w:t>La Conferencia de las Partes que actúa como reunión de las Partes en el Protocolo de Cartagena sobre Seguridad de la Biotecnología,</w:t>
      </w:r>
    </w:p>
    <w:p w14:paraId="49E4099F" w14:textId="77777777" w:rsidR="00892D38" w:rsidRPr="00A202B4" w:rsidRDefault="00892D38" w:rsidP="006A4072">
      <w:pPr>
        <w:pStyle w:val="Para1"/>
        <w:numPr>
          <w:ilvl w:val="0"/>
          <w:numId w:val="5"/>
        </w:numPr>
        <w:ind w:firstLine="567"/>
        <w:rPr>
          <w:lang w:val="es-ES_tradnl"/>
        </w:rPr>
      </w:pPr>
      <w:r w:rsidRPr="00A202B4">
        <w:rPr>
          <w:i/>
          <w:iCs/>
          <w:lang w:val="es-ES_tradnl"/>
        </w:rPr>
        <w:t xml:space="preserve">Recuerda </w:t>
      </w:r>
      <w:r w:rsidRPr="00A202B4">
        <w:rPr>
          <w:lang w:val="es-ES_tradnl"/>
        </w:rPr>
        <w:t>a las Partes el párrafo 4 del artículo II de los procedimientos y mecanismos de cumplimiento, y las insta a asegurarse de que la elección de los miembros del Comité de Cumplimiento en el marco del Protocolo de Cartagena sobre Seguridad de la Biotecnología se haga en el entendido de que ejercerán un mandato completo de cuatro años;</w:t>
      </w:r>
    </w:p>
    <w:p w14:paraId="4C51EF74" w14:textId="77777777" w:rsidR="00892D38" w:rsidRPr="00A202B4" w:rsidRDefault="00892D38" w:rsidP="006A4072">
      <w:pPr>
        <w:pStyle w:val="Para1"/>
        <w:numPr>
          <w:ilvl w:val="0"/>
          <w:numId w:val="5"/>
        </w:numPr>
        <w:ind w:firstLine="567"/>
        <w:rPr>
          <w:lang w:val="es-ES_tradnl"/>
        </w:rPr>
      </w:pPr>
      <w:r w:rsidRPr="00A202B4">
        <w:rPr>
          <w:i/>
          <w:iCs/>
          <w:lang w:val="es-ES_tradnl"/>
        </w:rPr>
        <w:t xml:space="preserve">Recuerda también </w:t>
      </w:r>
      <w:r w:rsidRPr="00A202B4">
        <w:rPr>
          <w:lang w:val="es-ES_tradnl"/>
        </w:rPr>
        <w:t>a las Partes su obligación de designar un punto focal nacional para el Protocolo de Cartagena y una o más autoridades nacionales competentes, y de notificar a la Secretaría, según proceda, conforme al artículo 19 del Protocolo;</w:t>
      </w:r>
    </w:p>
    <w:p w14:paraId="7E5C150C" w14:textId="77777777" w:rsidR="00892D38" w:rsidRPr="00A202B4" w:rsidRDefault="00892D38" w:rsidP="006A4072">
      <w:pPr>
        <w:pStyle w:val="Para1"/>
        <w:numPr>
          <w:ilvl w:val="0"/>
          <w:numId w:val="5"/>
        </w:numPr>
        <w:ind w:firstLine="567"/>
        <w:rPr>
          <w:lang w:val="es-ES_tradnl"/>
        </w:rPr>
      </w:pPr>
      <w:r w:rsidRPr="00A202B4">
        <w:rPr>
          <w:i/>
          <w:iCs/>
          <w:lang w:val="es-ES_tradnl"/>
        </w:rPr>
        <w:t xml:space="preserve">Recuerda además </w:t>
      </w:r>
      <w:r w:rsidRPr="00A202B4">
        <w:rPr>
          <w:lang w:val="es-ES_tradnl"/>
        </w:rPr>
        <w:t>a las Partes su obligación de designar un punto focal nacional para el Centro de Intercambio de Información sobre Seguridad de la Biotecnología, de acuerdo con la decisión BS-I/3 y la decisión II/7 de la Conferencia de las Partes;</w:t>
      </w:r>
    </w:p>
    <w:p w14:paraId="2DA05A62" w14:textId="77777777" w:rsidR="00892D38" w:rsidRPr="00A202B4" w:rsidRDefault="00892D38" w:rsidP="006A4072">
      <w:pPr>
        <w:pStyle w:val="Para1"/>
        <w:numPr>
          <w:ilvl w:val="0"/>
          <w:numId w:val="5"/>
        </w:numPr>
        <w:ind w:firstLine="567"/>
        <w:rPr>
          <w:lang w:val="es-ES_tradnl"/>
        </w:rPr>
      </w:pPr>
      <w:r w:rsidRPr="00A202B4">
        <w:rPr>
          <w:i/>
          <w:iCs/>
          <w:lang w:val="es-ES_tradnl"/>
        </w:rPr>
        <w:t xml:space="preserve">Recuerda </w:t>
      </w:r>
      <w:r w:rsidRPr="00A202B4">
        <w:rPr>
          <w:lang w:val="es-ES_tradnl"/>
        </w:rPr>
        <w:t>a las Partes su obligación de publicar en el Centro de Intercambio de Información sobre Seguridad de la Biotecnología los datos pertinentes que indiquen su punto de contacto a efectos de recibir las notificaciones previstas en el artículo 17 del Protocolo, y las insta a que lo hagan lo antes posible;</w:t>
      </w:r>
    </w:p>
    <w:p w14:paraId="7BB8202A" w14:textId="77777777" w:rsidR="00892D38" w:rsidRPr="00A202B4" w:rsidRDefault="00892D38" w:rsidP="006A4072">
      <w:pPr>
        <w:pStyle w:val="Para1"/>
        <w:numPr>
          <w:ilvl w:val="0"/>
          <w:numId w:val="5"/>
        </w:numPr>
        <w:ind w:firstLine="567"/>
        <w:rPr>
          <w:lang w:val="es-ES_tradnl"/>
        </w:rPr>
      </w:pPr>
      <w:r w:rsidRPr="00A202B4">
        <w:rPr>
          <w:i/>
          <w:iCs/>
          <w:lang w:val="es-ES_tradnl"/>
        </w:rPr>
        <w:t xml:space="preserve">Insta </w:t>
      </w:r>
      <w:r w:rsidRPr="00A202B4">
        <w:rPr>
          <w:lang w:val="es-ES_tradnl"/>
        </w:rPr>
        <w:t xml:space="preserve">a las Partes e </w:t>
      </w:r>
      <w:r w:rsidRPr="00A202B4">
        <w:rPr>
          <w:i/>
          <w:iCs/>
          <w:lang w:val="es-ES_tradnl"/>
        </w:rPr>
        <w:t>invita</w:t>
      </w:r>
      <w:r w:rsidRPr="00A202B4">
        <w:rPr>
          <w:lang w:val="es-ES_tradnl"/>
        </w:rPr>
        <w:t xml:space="preserve"> a otros Gobiernos a proporcionar fondos voluntarios para apoyar a las cuatro Partes</w:t>
      </w:r>
      <w:r w:rsidRPr="00A202B4">
        <w:rPr>
          <w:vertAlign w:val="superscript"/>
          <w:lang w:val="es-ES_tradnl"/>
        </w:rPr>
        <w:footnoteReference w:id="4"/>
      </w:r>
      <w:r w:rsidRPr="00A202B4">
        <w:rPr>
          <w:lang w:val="es-ES_tradnl"/>
        </w:rPr>
        <w:t xml:space="preserve"> que han elaborado planes de acción para el cumplimiento, así como cualquier otra Parte que elabore y ponga en marcha planes de acción para el cumplimiento a solicitud del Comité;</w:t>
      </w:r>
    </w:p>
    <w:p w14:paraId="61B6DECC" w14:textId="77777777" w:rsidR="00892D38" w:rsidRPr="00A202B4" w:rsidRDefault="00892D38" w:rsidP="006A4072">
      <w:pPr>
        <w:pStyle w:val="Para1"/>
        <w:numPr>
          <w:ilvl w:val="0"/>
          <w:numId w:val="5"/>
        </w:numPr>
        <w:ind w:firstLine="567"/>
        <w:rPr>
          <w:lang w:val="es-ES_tradnl"/>
        </w:rPr>
      </w:pPr>
      <w:r w:rsidRPr="00A202B4">
        <w:rPr>
          <w:i/>
          <w:iCs/>
          <w:lang w:val="es-ES_tradnl"/>
        </w:rPr>
        <w:t>Pide</w:t>
      </w:r>
      <w:r w:rsidRPr="00A202B4">
        <w:rPr>
          <w:lang w:val="es-ES_tradnl"/>
        </w:rPr>
        <w:t xml:space="preserve"> a la Secretaria Ejecutiva que: </w:t>
      </w:r>
    </w:p>
    <w:p w14:paraId="3F8E158C" w14:textId="146C4DCA" w:rsidR="00892D38" w:rsidRPr="00A202B4" w:rsidRDefault="00892D38" w:rsidP="00892D38">
      <w:pPr>
        <w:kinsoku w:val="0"/>
        <w:overflowPunct w:val="0"/>
        <w:autoSpaceDE w:val="0"/>
        <w:autoSpaceDN w:val="0"/>
        <w:spacing w:before="120" w:after="120"/>
        <w:ind w:firstLine="562"/>
        <w:rPr>
          <w:lang w:val="es-ES_tradnl"/>
        </w:rPr>
      </w:pPr>
      <w:r w:rsidRPr="00A202B4">
        <w:rPr>
          <w:lang w:val="es-ES_tradnl"/>
        </w:rPr>
        <w:t>a)</w:t>
      </w:r>
      <w:r w:rsidRPr="00A202B4">
        <w:rPr>
          <w:lang w:val="es-ES_tradnl"/>
        </w:rPr>
        <w:tab/>
      </w:r>
      <w:r w:rsidRPr="00A202B4">
        <w:rPr>
          <w:snapToGrid w:val="0"/>
          <w:lang w:val="es-ES_tradnl"/>
        </w:rPr>
        <w:t>Elabore una encuesta en línea sobre las limitaciones y los retos nacionales en el cumplimiento de: i) la obligación de tomar las medidas jurídicas, administrativas y de otro tipo necesarias para aplicar el Protocolo y ii) la obligación de presentar un informe nacional en tiempo y forma</w:t>
      </w:r>
      <w:r w:rsidRPr="00A202B4">
        <w:rPr>
          <w:lang w:val="es-ES_tradnl"/>
        </w:rPr>
        <w:t>;</w:t>
      </w:r>
    </w:p>
    <w:p w14:paraId="48DD62BE" w14:textId="00E10EB2" w:rsidR="00892D38" w:rsidRPr="00A202B4" w:rsidRDefault="00892D38" w:rsidP="00892D38">
      <w:pPr>
        <w:kinsoku w:val="0"/>
        <w:overflowPunct w:val="0"/>
        <w:autoSpaceDE w:val="0"/>
        <w:autoSpaceDN w:val="0"/>
        <w:spacing w:before="120" w:after="120"/>
        <w:ind w:firstLine="562"/>
        <w:rPr>
          <w:lang w:val="es-ES_tradnl"/>
        </w:rPr>
      </w:pPr>
      <w:r w:rsidRPr="00A202B4">
        <w:rPr>
          <w:lang w:val="es-ES_tradnl"/>
        </w:rPr>
        <w:t>b)</w:t>
      </w:r>
      <w:r w:rsidRPr="00A202B4">
        <w:rPr>
          <w:lang w:val="es-ES_tradnl"/>
        </w:rPr>
        <w:tab/>
      </w:r>
      <w:r w:rsidRPr="00A202B4">
        <w:rPr>
          <w:snapToGrid w:val="0"/>
          <w:lang w:val="es-ES_tradnl"/>
        </w:rPr>
        <w:t>Invite a todas las Partes a completar la encuesta</w:t>
      </w:r>
      <w:r w:rsidRPr="00A202B4">
        <w:rPr>
          <w:lang w:val="es-ES_tradnl"/>
        </w:rPr>
        <w:t>;</w:t>
      </w:r>
    </w:p>
    <w:p w14:paraId="7021E66A" w14:textId="53D024E5" w:rsidR="00892D38" w:rsidRPr="00A202B4" w:rsidRDefault="00A202B4" w:rsidP="00892D38">
      <w:pPr>
        <w:kinsoku w:val="0"/>
        <w:overflowPunct w:val="0"/>
        <w:autoSpaceDE w:val="0"/>
        <w:autoSpaceDN w:val="0"/>
        <w:spacing w:before="120" w:after="120"/>
        <w:ind w:firstLine="562"/>
        <w:rPr>
          <w:sz w:val="24"/>
          <w:lang w:val="es-ES_tradnl"/>
        </w:rPr>
      </w:pPr>
      <w:r>
        <w:rPr>
          <w:lang w:val="es-ES_tradnl"/>
        </w:rPr>
        <w:t>c)</w:t>
      </w:r>
      <w:r w:rsidR="00892D38" w:rsidRPr="00A202B4">
        <w:rPr>
          <w:lang w:val="es-ES_tradnl"/>
        </w:rPr>
        <w:tab/>
      </w:r>
      <w:r w:rsidR="00892D38" w:rsidRPr="00A202B4">
        <w:rPr>
          <w:snapToGrid w:val="0"/>
          <w:lang w:val="es-ES_tradnl"/>
        </w:rPr>
        <w:t>Recopile los resultados y los presente al Comité para que los examine en su 18ª reunión</w:t>
      </w:r>
      <w:r w:rsidR="00892D38" w:rsidRPr="00A202B4">
        <w:rPr>
          <w:lang w:val="es-ES_tradnl"/>
        </w:rPr>
        <w:t>.</w:t>
      </w:r>
    </w:p>
    <w:p w14:paraId="5D7F06C7" w14:textId="0A6D16E4" w:rsidR="00CC166F" w:rsidRPr="00A202B4" w:rsidRDefault="00CC166F" w:rsidP="00012BEA">
      <w:pPr>
        <w:kinsoku w:val="0"/>
        <w:overflowPunct w:val="0"/>
        <w:autoSpaceDE w:val="0"/>
        <w:autoSpaceDN w:val="0"/>
        <w:spacing w:before="120" w:after="240"/>
        <w:jc w:val="center"/>
        <w:rPr>
          <w:rFonts w:asciiTheme="majorBidi" w:hAnsiTheme="majorBidi"/>
          <w:caps/>
          <w:snapToGrid w:val="0"/>
          <w:lang w:val="es-ES_tradnl"/>
        </w:rPr>
      </w:pPr>
    </w:p>
    <w:p w14:paraId="5C5004FB" w14:textId="77777777" w:rsidR="00DD4BAA" w:rsidRPr="00A202B4" w:rsidRDefault="00DD4BAA" w:rsidP="00012BEA">
      <w:pPr>
        <w:kinsoku w:val="0"/>
        <w:overflowPunct w:val="0"/>
        <w:autoSpaceDE w:val="0"/>
        <w:autoSpaceDN w:val="0"/>
        <w:spacing w:before="120" w:after="240"/>
        <w:jc w:val="center"/>
        <w:rPr>
          <w:rFonts w:asciiTheme="majorBidi" w:hAnsiTheme="majorBidi" w:cstheme="majorBidi"/>
          <w:b/>
          <w:bCs/>
          <w:caps/>
          <w:snapToGrid w:val="0"/>
          <w:kern w:val="22"/>
          <w:lang w:val="es-ES_tradnl"/>
        </w:rPr>
        <w:sectPr w:rsidR="00DD4BAA" w:rsidRPr="00A202B4" w:rsidSect="009474D1">
          <w:footnotePr>
            <w:numRestart w:val="eachSect"/>
          </w:footnotePr>
          <w:pgSz w:w="12240" w:h="15840"/>
          <w:pgMar w:top="1021" w:right="1440" w:bottom="1021" w:left="1440" w:header="459" w:footer="720" w:gutter="0"/>
          <w:cols w:space="708"/>
          <w:docGrid w:linePitch="360"/>
        </w:sectPr>
      </w:pPr>
    </w:p>
    <w:p w14:paraId="4A3A9CA2" w14:textId="7A2AC448" w:rsidR="00DD4BAA" w:rsidRPr="00A202B4" w:rsidRDefault="00DD4BAA" w:rsidP="001024F9">
      <w:pPr>
        <w:pStyle w:val="decision"/>
        <w:ind w:left="1800" w:hanging="1080"/>
        <w:jc w:val="left"/>
        <w:rPr>
          <w:rFonts w:hint="eastAsia"/>
          <w:lang w:val="es-ES_tradnl"/>
        </w:rPr>
      </w:pPr>
      <w:bookmarkStart w:id="8" w:name="_Toc152776492"/>
      <w:r w:rsidRPr="00A202B4">
        <w:rPr>
          <w:lang w:val="es-ES_tradnl"/>
        </w:rPr>
        <w:lastRenderedPageBreak/>
        <w:t>CP-10/3.</w:t>
      </w:r>
      <w:r w:rsidRPr="00A202B4">
        <w:rPr>
          <w:lang w:val="es-ES_tradnl"/>
        </w:rPr>
        <w:tab/>
      </w:r>
      <w:r w:rsidR="001024F9" w:rsidRPr="00A202B4">
        <w:rPr>
          <w:lang w:val="es-ES_tradnl"/>
        </w:rPr>
        <w:t>Plan de aplicación para el Protocolo de Cartagena sobre Seguridad de la Biotecnología</w:t>
      </w:r>
      <w:bookmarkEnd w:id="8"/>
    </w:p>
    <w:p w14:paraId="05A4E273" w14:textId="77777777" w:rsidR="001024F9" w:rsidRPr="00A202B4" w:rsidRDefault="001024F9" w:rsidP="001024F9">
      <w:pPr>
        <w:spacing w:before="120" w:after="120"/>
        <w:ind w:firstLine="720"/>
        <w:rPr>
          <w:i/>
          <w:iCs/>
          <w:kern w:val="22"/>
          <w:szCs w:val="22"/>
          <w:lang w:val="es-ES_tradnl"/>
        </w:rPr>
      </w:pPr>
      <w:r w:rsidRPr="00A202B4">
        <w:rPr>
          <w:rFonts w:asciiTheme="majorBidi" w:hAnsiTheme="majorBidi"/>
          <w:i/>
          <w:lang w:val="es-ES_tradnl"/>
        </w:rPr>
        <w:t>La Conferencia de las Partes que actúa como reunión de las Partes en el Protocolo de Cartagena sobre Seguridad de la Biotecnología,</w:t>
      </w:r>
    </w:p>
    <w:p w14:paraId="218FF89F" w14:textId="77777777" w:rsidR="001024F9" w:rsidRPr="00A202B4" w:rsidRDefault="001024F9" w:rsidP="001024F9">
      <w:pPr>
        <w:spacing w:before="120" w:after="120"/>
        <w:ind w:firstLine="720"/>
        <w:rPr>
          <w:rFonts w:asciiTheme="majorBidi" w:hAnsiTheme="majorBidi" w:cstheme="majorBidi"/>
          <w:lang w:val="es-ES_tradnl"/>
        </w:rPr>
      </w:pPr>
      <w:r w:rsidRPr="00A202B4">
        <w:rPr>
          <w:rFonts w:asciiTheme="majorBidi" w:hAnsiTheme="majorBidi"/>
          <w:i/>
          <w:lang w:val="es-ES_tradnl"/>
        </w:rPr>
        <w:t>Reconociendo</w:t>
      </w:r>
      <w:r w:rsidRPr="00A202B4">
        <w:rPr>
          <w:rFonts w:asciiTheme="majorBidi" w:hAnsiTheme="majorBidi"/>
          <w:lang w:val="es-ES_tradnl"/>
        </w:rPr>
        <w:t xml:space="preserve"> la utilidad del Plan Estratégico para el Protocolo de Cartagena sobre Seguridad de la Biotecnología para el período </w:t>
      </w:r>
      <w:r w:rsidRPr="00A202B4">
        <w:rPr>
          <w:rFonts w:asciiTheme="majorBidi" w:hAnsiTheme="majorBidi" w:cstheme="majorBidi"/>
          <w:lang w:val="es-ES_tradnl"/>
        </w:rPr>
        <w:t>2011-2020</w:t>
      </w:r>
      <w:r w:rsidRPr="00A202B4">
        <w:rPr>
          <w:rFonts w:asciiTheme="majorBidi" w:hAnsiTheme="majorBidi" w:cstheme="majorBidi"/>
          <w:szCs w:val="22"/>
          <w:vertAlign w:val="superscript"/>
          <w:lang w:val="es-ES_tradnl"/>
        </w:rPr>
        <w:footnoteReference w:id="5"/>
      </w:r>
      <w:r w:rsidRPr="00A202B4">
        <w:rPr>
          <w:rFonts w:asciiTheme="majorBidi" w:hAnsiTheme="majorBidi" w:cstheme="majorBidi"/>
          <w:lang w:val="es-ES_tradnl"/>
        </w:rPr>
        <w:t xml:space="preserve"> con </w:t>
      </w:r>
      <w:r w:rsidRPr="00A202B4">
        <w:rPr>
          <w:rFonts w:asciiTheme="majorBidi" w:hAnsiTheme="majorBidi"/>
          <w:lang w:val="es-ES_tradnl"/>
        </w:rPr>
        <w:t>miras a apoyar la aplicación en el plano nacional</w:t>
      </w:r>
      <w:r w:rsidRPr="00A202B4">
        <w:rPr>
          <w:rFonts w:asciiTheme="majorBidi" w:hAnsiTheme="majorBidi" w:cstheme="majorBidi"/>
          <w:lang w:val="es-ES_tradnl"/>
        </w:rPr>
        <w:t>,</w:t>
      </w:r>
    </w:p>
    <w:p w14:paraId="2B41B0FF" w14:textId="77777777" w:rsidR="001024F9" w:rsidRPr="00A202B4" w:rsidRDefault="001024F9" w:rsidP="001024F9">
      <w:pPr>
        <w:spacing w:before="120" w:after="120"/>
        <w:ind w:firstLine="720"/>
        <w:rPr>
          <w:rFonts w:asciiTheme="majorBidi" w:hAnsiTheme="majorBidi" w:cstheme="majorBidi"/>
          <w:lang w:val="es-ES_tradnl"/>
        </w:rPr>
      </w:pPr>
      <w:r w:rsidRPr="00A202B4">
        <w:rPr>
          <w:rFonts w:asciiTheme="majorBidi" w:hAnsiTheme="majorBidi"/>
          <w:i/>
          <w:lang w:val="es-ES_tradnl"/>
        </w:rPr>
        <w:t xml:space="preserve">Recordando </w:t>
      </w:r>
      <w:r w:rsidRPr="00A202B4">
        <w:rPr>
          <w:rFonts w:asciiTheme="majorBidi" w:hAnsiTheme="majorBidi"/>
          <w:lang w:val="es-ES_tradnl"/>
        </w:rPr>
        <w:t xml:space="preserve">la decisión CP-9/7, en la que decidió elaborar un plan de aplicación para el Protocolo de Cartagena sobre Seguridad de la Biotecnología que esté basado en el </w:t>
      </w:r>
      <w:r w:rsidRPr="00A202B4">
        <w:rPr>
          <w:rFonts w:asciiTheme="majorBidi" w:hAnsiTheme="majorBidi"/>
          <w:bCs/>
          <w:lang w:val="es-ES_tradnl"/>
        </w:rPr>
        <w:t>Marco Mundial de Biodiversidad de Kunming-Montreal</w:t>
      </w:r>
      <w:r w:rsidRPr="00A202B4">
        <w:rPr>
          <w:rFonts w:asciiTheme="majorBidi" w:hAnsiTheme="majorBidi"/>
          <w:lang w:val="es-ES_tradnl"/>
        </w:rPr>
        <w:t xml:space="preserve"> y sea complementario a él</w:t>
      </w:r>
      <w:r w:rsidRPr="00A202B4">
        <w:rPr>
          <w:rFonts w:asciiTheme="majorBidi" w:hAnsiTheme="majorBidi" w:cstheme="majorBidi"/>
          <w:lang w:val="es-ES_tradnl"/>
        </w:rPr>
        <w:t>,</w:t>
      </w:r>
    </w:p>
    <w:p w14:paraId="122FFA2F" w14:textId="77777777" w:rsidR="001024F9" w:rsidRPr="00A202B4" w:rsidRDefault="001024F9" w:rsidP="001024F9">
      <w:pPr>
        <w:spacing w:before="120" w:after="120"/>
        <w:ind w:firstLine="720"/>
        <w:rPr>
          <w:rFonts w:asciiTheme="majorBidi" w:hAnsiTheme="majorBidi" w:cstheme="majorBidi"/>
          <w:lang w:val="es-ES_tradnl"/>
        </w:rPr>
      </w:pPr>
      <w:r w:rsidRPr="00A202B4">
        <w:rPr>
          <w:rFonts w:asciiTheme="majorBidi" w:hAnsiTheme="majorBidi"/>
          <w:i/>
          <w:lang w:val="es-ES_tradnl"/>
        </w:rPr>
        <w:t>Recordando asimismo</w:t>
      </w:r>
      <w:r w:rsidRPr="00A202B4">
        <w:rPr>
          <w:rFonts w:asciiTheme="majorBidi" w:hAnsiTheme="majorBidi"/>
          <w:lang w:val="es-ES_tradnl"/>
        </w:rPr>
        <w:t xml:space="preserve"> la decisión CP-9/3, en la que reconoció la necesidad de un plan de acción específico para la creación de capacidad para la aplicación del Protocolo de Cartagena y su Protocolo Suplementario que esté en armonía con el plan de aplicación para el Protocolo de Cartagena sobre Seguridad de la Biotecnología y sea complementario al marco estratégico a largo plazo para la creación de capacidad posterior a 2020</w:t>
      </w:r>
      <w:r w:rsidRPr="00A202B4">
        <w:rPr>
          <w:rFonts w:asciiTheme="majorBidi" w:hAnsiTheme="majorBidi" w:cstheme="majorBidi"/>
          <w:lang w:val="es-ES_tradnl"/>
        </w:rPr>
        <w:t>,</w:t>
      </w:r>
    </w:p>
    <w:p w14:paraId="559DA4DB" w14:textId="77777777" w:rsidR="001024F9" w:rsidRPr="00A202B4" w:rsidRDefault="001024F9" w:rsidP="001024F9">
      <w:pPr>
        <w:spacing w:before="120" w:after="120"/>
        <w:ind w:firstLine="720"/>
        <w:rPr>
          <w:rFonts w:asciiTheme="majorBidi" w:hAnsiTheme="majorBidi" w:cstheme="majorBidi"/>
          <w:lang w:val="es-ES_tradnl"/>
        </w:rPr>
      </w:pPr>
      <w:r w:rsidRPr="00A202B4">
        <w:rPr>
          <w:rFonts w:asciiTheme="majorBidi" w:hAnsiTheme="majorBidi"/>
          <w:i/>
          <w:lang w:val="es-ES_tradnl"/>
        </w:rPr>
        <w:t>Acogiendo con satisfacción</w:t>
      </w:r>
      <w:r w:rsidRPr="00A202B4">
        <w:rPr>
          <w:rFonts w:asciiTheme="majorBidi" w:hAnsiTheme="majorBidi"/>
          <w:lang w:val="es-ES_tradnl"/>
        </w:rPr>
        <w:t xml:space="preserve"> la contribución a la elaboración del plan de aplicación realizada por el Grupo de Enlace del Protocolo de Cartagena sobre Seguridad de la Biotecnología, y la revisión realizada por el Órgano Subsidiario sobre la Aplicación en su tercera reunión</w:t>
      </w:r>
      <w:r w:rsidRPr="00A202B4">
        <w:rPr>
          <w:rFonts w:asciiTheme="majorBidi" w:hAnsiTheme="majorBidi" w:cstheme="majorBidi"/>
          <w:lang w:val="es-ES_tradnl"/>
        </w:rPr>
        <w:t>,</w:t>
      </w:r>
    </w:p>
    <w:p w14:paraId="1BCA3FDA" w14:textId="77777777" w:rsidR="001024F9" w:rsidRPr="00A202B4" w:rsidRDefault="001024F9" w:rsidP="001024F9">
      <w:pPr>
        <w:spacing w:before="120" w:after="120"/>
        <w:ind w:firstLine="720"/>
        <w:rPr>
          <w:rFonts w:asciiTheme="majorBidi" w:hAnsiTheme="majorBidi" w:cstheme="majorBidi"/>
          <w:lang w:val="es-ES_tradnl"/>
        </w:rPr>
      </w:pPr>
      <w:r w:rsidRPr="00A202B4">
        <w:rPr>
          <w:rFonts w:asciiTheme="majorBidi" w:hAnsiTheme="majorBidi"/>
          <w:i/>
          <w:iCs/>
          <w:lang w:val="es-ES_tradnl"/>
        </w:rPr>
        <w:t>Reconociendo</w:t>
      </w:r>
      <w:r w:rsidRPr="00A202B4">
        <w:rPr>
          <w:rFonts w:asciiTheme="majorBidi" w:hAnsiTheme="majorBidi"/>
          <w:lang w:val="es-ES_tradnl"/>
        </w:rPr>
        <w:t xml:space="preserve"> la pertinencia del Protocolo de Cartagena sobre Seguridad de la Biotecnología, y del Plan de Aplicación para el Protocolo de Cartagena sobre Seguridad de la Biotecnología y el Plan de Acción para la Creación de Capacidad para el Protocolo de Cartagena sobre Seguridad de la Biotecnología</w:t>
      </w:r>
      <w:r w:rsidRPr="00A202B4">
        <w:rPr>
          <w:rStyle w:val="FootnoteReference"/>
          <w:rFonts w:asciiTheme="majorBidi" w:hAnsiTheme="majorBidi" w:cstheme="majorBidi"/>
          <w:sz w:val="22"/>
          <w:szCs w:val="22"/>
          <w:u w:val="none"/>
          <w:vertAlign w:val="superscript"/>
          <w:lang w:val="es-ES_tradnl"/>
        </w:rPr>
        <w:footnoteReference w:id="6"/>
      </w:r>
      <w:r w:rsidRPr="00A202B4">
        <w:rPr>
          <w:rFonts w:asciiTheme="majorBidi" w:hAnsiTheme="majorBidi"/>
          <w:lang w:val="es-ES_tradnl"/>
        </w:rPr>
        <w:t xml:space="preserve"> como planes interrelacionados pero separados para la consecución de los objetivos del Convenio sobre la Diversidad Biológica</w:t>
      </w:r>
      <w:r w:rsidRPr="00A202B4">
        <w:rPr>
          <w:rFonts w:asciiTheme="majorBidi" w:hAnsiTheme="majorBidi" w:cstheme="majorBidi"/>
          <w:lang w:val="es-ES_tradnl"/>
        </w:rPr>
        <w:t>,</w:t>
      </w:r>
    </w:p>
    <w:p w14:paraId="39003CF4" w14:textId="77777777" w:rsidR="001024F9" w:rsidRPr="00A202B4" w:rsidRDefault="001024F9" w:rsidP="001024F9">
      <w:pPr>
        <w:spacing w:before="120" w:after="120"/>
        <w:ind w:firstLine="720"/>
        <w:rPr>
          <w:rFonts w:asciiTheme="majorBidi" w:hAnsiTheme="majorBidi" w:cstheme="majorBidi"/>
          <w:spacing w:val="-2"/>
          <w:lang w:val="es-ES_tradnl"/>
        </w:rPr>
      </w:pPr>
      <w:r w:rsidRPr="00A202B4">
        <w:rPr>
          <w:rFonts w:asciiTheme="majorBidi" w:hAnsiTheme="majorBidi"/>
          <w:i/>
          <w:iCs/>
          <w:lang w:val="es-ES_tradnl"/>
        </w:rPr>
        <w:t>Reconociendo</w:t>
      </w:r>
      <w:r w:rsidRPr="00A202B4">
        <w:rPr>
          <w:rFonts w:asciiTheme="majorBidi" w:hAnsiTheme="majorBidi"/>
          <w:lang w:val="es-ES_tradnl"/>
        </w:rPr>
        <w:t xml:space="preserve"> que es necesario establecer periódicamente prioridades para planificar y programar la labor que se habrá de llevar a cabo durante el período del plan de aplicación</w:t>
      </w:r>
      <w:r w:rsidRPr="00A202B4">
        <w:rPr>
          <w:rFonts w:asciiTheme="majorBidi" w:hAnsiTheme="majorBidi" w:cstheme="majorBidi"/>
          <w:spacing w:val="-2"/>
          <w:lang w:val="es-ES_tradnl"/>
        </w:rPr>
        <w:t>,</w:t>
      </w:r>
    </w:p>
    <w:p w14:paraId="592F1D4D" w14:textId="77777777" w:rsidR="001024F9" w:rsidRPr="00A202B4" w:rsidRDefault="001024F9" w:rsidP="001024F9">
      <w:pPr>
        <w:spacing w:before="120" w:after="120"/>
        <w:ind w:firstLine="720"/>
        <w:rPr>
          <w:rFonts w:asciiTheme="majorBidi" w:hAnsiTheme="majorBidi" w:cstheme="majorBidi"/>
          <w:spacing w:val="-2"/>
          <w:lang w:val="es-ES_tradnl"/>
        </w:rPr>
      </w:pPr>
      <w:r w:rsidRPr="00A202B4">
        <w:rPr>
          <w:rFonts w:asciiTheme="majorBidi" w:hAnsiTheme="majorBidi" w:cstheme="majorBidi"/>
          <w:i/>
          <w:iCs/>
          <w:spacing w:val="-2"/>
          <w:lang w:val="es-ES_tradnl"/>
        </w:rPr>
        <w:t xml:space="preserve">Tomando nota </w:t>
      </w:r>
      <w:r w:rsidRPr="00A202B4">
        <w:rPr>
          <w:rFonts w:asciiTheme="majorBidi" w:hAnsiTheme="majorBidi" w:cstheme="majorBidi"/>
          <w:spacing w:val="-2"/>
          <w:lang w:val="es-ES_tradnl"/>
        </w:rPr>
        <w:t>de la decisión CP-10/6 sobre asuntos relativos al mecanismo financiero y los recursos financieros,</w:t>
      </w:r>
    </w:p>
    <w:p w14:paraId="7F8409CE" w14:textId="77777777" w:rsidR="001024F9" w:rsidRPr="00A202B4" w:rsidRDefault="001024F9" w:rsidP="001024F9">
      <w:pPr>
        <w:spacing w:before="120" w:after="120"/>
        <w:ind w:firstLine="720"/>
        <w:rPr>
          <w:rFonts w:asciiTheme="majorBidi" w:hAnsiTheme="majorBidi" w:cstheme="majorBidi"/>
          <w:lang w:val="es-ES_tradnl"/>
        </w:rPr>
      </w:pPr>
      <w:r w:rsidRPr="00A202B4">
        <w:rPr>
          <w:snapToGrid w:val="0"/>
          <w:kern w:val="22"/>
          <w:szCs w:val="18"/>
          <w:lang w:val="es-ES_tradnl"/>
        </w:rPr>
        <w:t>1.</w:t>
      </w:r>
      <w:r w:rsidRPr="00A202B4">
        <w:rPr>
          <w:snapToGrid w:val="0"/>
          <w:kern w:val="22"/>
          <w:szCs w:val="18"/>
          <w:lang w:val="es-ES_tradnl"/>
        </w:rPr>
        <w:tab/>
      </w:r>
      <w:r w:rsidRPr="00A202B4">
        <w:rPr>
          <w:rFonts w:asciiTheme="majorBidi" w:hAnsiTheme="majorBidi"/>
          <w:i/>
          <w:iCs/>
          <w:lang w:val="es-ES_tradnl"/>
        </w:rPr>
        <w:t>Adopta</w:t>
      </w:r>
      <w:r w:rsidRPr="00A202B4">
        <w:rPr>
          <w:rFonts w:asciiTheme="majorBidi" w:hAnsiTheme="majorBidi"/>
          <w:lang w:val="es-ES_tradnl"/>
        </w:rPr>
        <w:t xml:space="preserve"> el Plan de Aplicación para el Protocolo de Cartagena sobre Seguridad de la Biotecnología que figura en el anexo de la presente decisión</w:t>
      </w:r>
      <w:r w:rsidRPr="00A202B4">
        <w:rPr>
          <w:rFonts w:asciiTheme="majorBidi" w:hAnsiTheme="majorBidi" w:cstheme="majorBidi"/>
          <w:lang w:val="es-ES_tradnl"/>
        </w:rPr>
        <w:t>;</w:t>
      </w:r>
    </w:p>
    <w:p w14:paraId="07792730" w14:textId="77777777" w:rsidR="001024F9" w:rsidRPr="00A202B4" w:rsidRDefault="001024F9" w:rsidP="001024F9">
      <w:pPr>
        <w:spacing w:before="120" w:after="120"/>
        <w:ind w:firstLine="720"/>
        <w:rPr>
          <w:rFonts w:asciiTheme="majorBidi" w:hAnsiTheme="majorBidi" w:cstheme="majorBidi"/>
          <w:lang w:val="es-ES_tradnl"/>
        </w:rPr>
      </w:pPr>
      <w:r w:rsidRPr="00A202B4">
        <w:rPr>
          <w:rFonts w:asciiTheme="majorBidi" w:hAnsiTheme="majorBidi" w:cstheme="majorBidi"/>
          <w:lang w:val="es-ES_tradnl"/>
        </w:rPr>
        <w:t>2.</w:t>
      </w:r>
      <w:r w:rsidRPr="00A202B4">
        <w:rPr>
          <w:rFonts w:asciiTheme="majorBidi" w:hAnsiTheme="majorBidi" w:cstheme="majorBidi"/>
          <w:lang w:val="es-ES_tradnl"/>
        </w:rPr>
        <w:tab/>
      </w:r>
      <w:r w:rsidRPr="00A202B4">
        <w:rPr>
          <w:rFonts w:asciiTheme="majorBidi" w:hAnsiTheme="majorBidi"/>
          <w:i/>
          <w:iCs/>
          <w:lang w:val="es-ES_tradnl"/>
        </w:rPr>
        <w:t>Acoge con satisfacción</w:t>
      </w:r>
      <w:r w:rsidRPr="00A202B4">
        <w:rPr>
          <w:rFonts w:asciiTheme="majorBidi" w:hAnsiTheme="majorBidi"/>
          <w:lang w:val="es-ES_tradnl"/>
        </w:rPr>
        <w:t xml:space="preserve"> el </w:t>
      </w:r>
      <w:r w:rsidRPr="00A202B4">
        <w:rPr>
          <w:rFonts w:asciiTheme="majorBidi" w:hAnsiTheme="majorBidi"/>
          <w:bCs/>
          <w:lang w:val="es-ES_tradnl"/>
        </w:rPr>
        <w:t>Marco Mundial de Biodiversidad de Kunming-Montreal</w:t>
      </w:r>
      <w:r w:rsidRPr="00A202B4">
        <w:rPr>
          <w:rFonts w:asciiTheme="majorBidi" w:hAnsiTheme="majorBidi"/>
          <w:lang w:val="es-ES_tradnl"/>
        </w:rPr>
        <w:t xml:space="preserve"> adoptado en la decisión</w:t>
      </w:r>
      <w:r w:rsidRPr="00A202B4">
        <w:rPr>
          <w:rFonts w:asciiTheme="majorBidi" w:hAnsiTheme="majorBidi" w:cstheme="majorBidi"/>
          <w:lang w:val="es-ES_tradnl"/>
        </w:rPr>
        <w:t xml:space="preserve"> 15/4;</w:t>
      </w:r>
    </w:p>
    <w:p w14:paraId="4DE11FF3" w14:textId="77777777" w:rsidR="001024F9" w:rsidRPr="00A202B4" w:rsidRDefault="001024F9" w:rsidP="001024F9">
      <w:pPr>
        <w:spacing w:before="120" w:after="120"/>
        <w:ind w:firstLine="720"/>
        <w:rPr>
          <w:rFonts w:asciiTheme="majorBidi" w:hAnsiTheme="majorBidi" w:cstheme="majorBidi"/>
          <w:i/>
          <w:lang w:val="es-ES_tradnl"/>
        </w:rPr>
      </w:pPr>
      <w:r w:rsidRPr="00A202B4">
        <w:rPr>
          <w:rFonts w:asciiTheme="majorBidi" w:hAnsiTheme="majorBidi" w:cstheme="majorBidi"/>
          <w:lang w:val="es-ES_tradnl"/>
        </w:rPr>
        <w:t>3.</w:t>
      </w:r>
      <w:r w:rsidRPr="00A202B4">
        <w:rPr>
          <w:rFonts w:asciiTheme="majorBidi" w:hAnsiTheme="majorBidi" w:cstheme="majorBidi"/>
          <w:lang w:val="es-ES_tradnl"/>
        </w:rPr>
        <w:tab/>
      </w:r>
      <w:r w:rsidRPr="00A202B4">
        <w:rPr>
          <w:rFonts w:asciiTheme="majorBidi" w:hAnsiTheme="majorBidi"/>
          <w:i/>
          <w:iCs/>
          <w:lang w:val="es-ES_tradnl"/>
        </w:rPr>
        <w:t>Reconoce</w:t>
      </w:r>
      <w:r w:rsidRPr="00A202B4">
        <w:rPr>
          <w:rFonts w:asciiTheme="majorBidi" w:hAnsiTheme="majorBidi"/>
          <w:lang w:val="es-ES_tradnl"/>
        </w:rPr>
        <w:t xml:space="preserve"> la complementariedad entre el Plan de Aplicación para el Protocolo de Cartagena sobre Seguridad de la Biotecnología y el </w:t>
      </w:r>
      <w:r w:rsidRPr="00A202B4">
        <w:rPr>
          <w:rFonts w:asciiTheme="majorBidi" w:hAnsiTheme="majorBidi"/>
          <w:bCs/>
          <w:lang w:val="es-ES_tradnl"/>
        </w:rPr>
        <w:t>Marco Mundial de Biodiversidad de Kunming-Montreal</w:t>
      </w:r>
      <w:r w:rsidRPr="00A202B4">
        <w:rPr>
          <w:rFonts w:asciiTheme="majorBidi" w:hAnsiTheme="majorBidi"/>
          <w:lang w:val="es-ES_tradnl"/>
        </w:rPr>
        <w:t xml:space="preserve"> y que el Plan de Aplicación puede contribuir a la consecución de los objetivos y metas pertinentes para la seguridad de la biotecnología establecidos en el </w:t>
      </w:r>
      <w:r w:rsidRPr="00A202B4">
        <w:rPr>
          <w:rFonts w:asciiTheme="majorBidi" w:hAnsiTheme="majorBidi"/>
          <w:bCs/>
          <w:lang w:val="es-ES_tradnl"/>
        </w:rPr>
        <w:t>Marco Mundial de Biodiversidad de Kunming-Montreal</w:t>
      </w:r>
      <w:r w:rsidRPr="00A202B4">
        <w:rPr>
          <w:rFonts w:asciiTheme="majorBidi" w:hAnsiTheme="majorBidi"/>
          <w:lang w:val="es-ES_tradnl"/>
        </w:rPr>
        <w:t>, especialmente para las Partes en el Convenio que también son Partes en el Protocolo de Cartagena</w:t>
      </w:r>
      <w:r w:rsidRPr="00A202B4">
        <w:rPr>
          <w:rFonts w:asciiTheme="majorBidi" w:hAnsiTheme="majorBidi" w:cstheme="majorBidi"/>
          <w:lang w:val="es-ES_tradnl"/>
        </w:rPr>
        <w:t>;</w:t>
      </w:r>
    </w:p>
    <w:p w14:paraId="50937A01" w14:textId="77777777" w:rsidR="001024F9" w:rsidRPr="00A202B4" w:rsidRDefault="001024F9" w:rsidP="001024F9">
      <w:pPr>
        <w:spacing w:before="120" w:after="120"/>
        <w:ind w:firstLine="720"/>
        <w:rPr>
          <w:rFonts w:asciiTheme="majorBidi" w:hAnsiTheme="majorBidi" w:cstheme="majorBidi"/>
          <w:lang w:val="es-ES_tradnl"/>
        </w:rPr>
      </w:pPr>
      <w:r w:rsidRPr="00A202B4">
        <w:rPr>
          <w:rFonts w:asciiTheme="majorBidi" w:hAnsiTheme="majorBidi" w:cstheme="majorBidi"/>
          <w:lang w:val="es-ES_tradnl"/>
        </w:rPr>
        <w:t>4.</w:t>
      </w:r>
      <w:r w:rsidRPr="00A202B4">
        <w:rPr>
          <w:rFonts w:asciiTheme="majorBidi" w:hAnsiTheme="majorBidi" w:cstheme="majorBidi"/>
          <w:lang w:val="es-ES_tradnl"/>
        </w:rPr>
        <w:tab/>
      </w:r>
      <w:r w:rsidRPr="00A202B4">
        <w:rPr>
          <w:rFonts w:asciiTheme="majorBidi" w:hAnsiTheme="majorBidi"/>
          <w:i/>
          <w:lang w:val="es-ES_tradnl"/>
        </w:rPr>
        <w:t xml:space="preserve">Insta </w:t>
      </w:r>
      <w:r w:rsidRPr="00A202B4">
        <w:rPr>
          <w:rFonts w:asciiTheme="majorBidi" w:hAnsiTheme="majorBidi"/>
          <w:lang w:val="es-ES_tradnl"/>
        </w:rPr>
        <w:t xml:space="preserve">a las Partes e </w:t>
      </w:r>
      <w:r w:rsidRPr="00A202B4">
        <w:rPr>
          <w:rFonts w:asciiTheme="majorBidi" w:hAnsiTheme="majorBidi"/>
          <w:i/>
          <w:lang w:val="es-ES_tradnl"/>
        </w:rPr>
        <w:t>invita</w:t>
      </w:r>
      <w:r w:rsidRPr="00A202B4">
        <w:rPr>
          <w:rFonts w:asciiTheme="majorBidi" w:hAnsiTheme="majorBidi"/>
          <w:lang w:val="es-ES_tradnl"/>
        </w:rPr>
        <w:t xml:space="preserve"> a otros Gobiernos a revisar sus planes de acción nacionales y programas pertinentes para la aplicación del Protocolo, incluidas sus estrategias y planes de acción nacionales en materia de biodiversidad, y a armonizarlos, según proceda, con el Plan de Aplicación</w:t>
      </w:r>
      <w:r w:rsidRPr="00A202B4">
        <w:rPr>
          <w:rFonts w:asciiTheme="majorBidi" w:hAnsiTheme="majorBidi" w:cstheme="majorBidi"/>
          <w:lang w:val="es-ES_tradnl"/>
        </w:rPr>
        <w:t>;</w:t>
      </w:r>
    </w:p>
    <w:p w14:paraId="44BC5234" w14:textId="77777777" w:rsidR="001024F9" w:rsidRPr="00A202B4" w:rsidRDefault="001024F9" w:rsidP="001024F9">
      <w:pPr>
        <w:spacing w:before="120" w:after="120"/>
        <w:ind w:firstLine="720"/>
        <w:rPr>
          <w:rFonts w:asciiTheme="majorBidi" w:hAnsiTheme="majorBidi" w:cstheme="majorBidi"/>
          <w:szCs w:val="22"/>
          <w:lang w:val="es-ES_tradnl"/>
        </w:rPr>
      </w:pPr>
      <w:r w:rsidRPr="00A202B4">
        <w:rPr>
          <w:rFonts w:asciiTheme="majorBidi" w:hAnsiTheme="majorBidi" w:cstheme="majorBidi"/>
          <w:szCs w:val="22"/>
          <w:lang w:val="es-ES_tradnl"/>
        </w:rPr>
        <w:t>5.</w:t>
      </w:r>
      <w:r w:rsidRPr="00A202B4">
        <w:rPr>
          <w:rFonts w:asciiTheme="majorBidi" w:hAnsiTheme="majorBidi" w:cstheme="majorBidi"/>
          <w:szCs w:val="22"/>
          <w:lang w:val="es-ES_tradnl"/>
        </w:rPr>
        <w:tab/>
      </w:r>
      <w:r w:rsidRPr="00A202B4">
        <w:rPr>
          <w:rFonts w:asciiTheme="majorBidi" w:hAnsiTheme="majorBidi"/>
          <w:i/>
          <w:lang w:val="es-ES_tradnl"/>
        </w:rPr>
        <w:t xml:space="preserve">Decide </w:t>
      </w:r>
      <w:r w:rsidRPr="00A202B4">
        <w:rPr>
          <w:rFonts w:asciiTheme="majorBidi" w:hAnsiTheme="majorBidi"/>
          <w:lang w:val="es-ES_tradnl"/>
        </w:rPr>
        <w:t>que los valores de referencia para el Plan de Aplicación comprenderán la información recopilada en el cuarto ciclo de presentación de informes</w:t>
      </w:r>
      <w:r w:rsidRPr="00A202B4">
        <w:rPr>
          <w:szCs w:val="22"/>
          <w:vertAlign w:val="superscript"/>
          <w:lang w:val="es-ES_tradnl"/>
        </w:rPr>
        <w:footnoteReference w:id="7"/>
      </w:r>
      <w:r w:rsidRPr="00A202B4">
        <w:rPr>
          <w:rFonts w:asciiTheme="majorBidi" w:hAnsiTheme="majorBidi"/>
          <w:lang w:val="es-ES_tradnl"/>
        </w:rPr>
        <w:t>;</w:t>
      </w:r>
    </w:p>
    <w:p w14:paraId="07AA6691" w14:textId="77777777" w:rsidR="001024F9" w:rsidRPr="00A202B4" w:rsidRDefault="001024F9" w:rsidP="001024F9">
      <w:pPr>
        <w:spacing w:before="120" w:after="120"/>
        <w:ind w:firstLine="720"/>
        <w:rPr>
          <w:rFonts w:asciiTheme="majorBidi" w:hAnsiTheme="majorBidi" w:cstheme="majorBidi"/>
          <w:szCs w:val="22"/>
          <w:lang w:val="es-ES_tradnl"/>
        </w:rPr>
      </w:pPr>
      <w:r w:rsidRPr="00A202B4">
        <w:rPr>
          <w:rFonts w:asciiTheme="majorBidi" w:hAnsiTheme="majorBidi" w:cstheme="majorBidi"/>
          <w:szCs w:val="22"/>
          <w:lang w:val="es-ES_tradnl"/>
        </w:rPr>
        <w:t>6.</w:t>
      </w:r>
      <w:r w:rsidRPr="00A202B4">
        <w:rPr>
          <w:rFonts w:asciiTheme="majorBidi" w:hAnsiTheme="majorBidi" w:cstheme="majorBidi"/>
          <w:i/>
          <w:szCs w:val="22"/>
          <w:lang w:val="es-ES_tradnl"/>
        </w:rPr>
        <w:tab/>
      </w:r>
      <w:r w:rsidRPr="00A202B4">
        <w:rPr>
          <w:rFonts w:asciiTheme="majorBidi" w:hAnsiTheme="majorBidi"/>
          <w:i/>
          <w:lang w:val="es-ES_tradnl"/>
        </w:rPr>
        <w:t xml:space="preserve">Decide asimismo </w:t>
      </w:r>
      <w:r w:rsidRPr="00A202B4">
        <w:rPr>
          <w:rFonts w:asciiTheme="majorBidi" w:hAnsiTheme="majorBidi"/>
          <w:lang w:val="es-ES_tradnl"/>
        </w:rPr>
        <w:t>realizar una evaluación a mitad de período del Plan de Aplicación conjuntamente con la quinta evaluación y revisión de la eficacia del Protocolo</w:t>
      </w:r>
      <w:r w:rsidRPr="00A202B4">
        <w:rPr>
          <w:rFonts w:asciiTheme="majorBidi" w:hAnsiTheme="majorBidi" w:cstheme="majorBidi"/>
          <w:szCs w:val="22"/>
          <w:lang w:val="es-ES_tradnl"/>
        </w:rPr>
        <w:t xml:space="preserve">; </w:t>
      </w:r>
    </w:p>
    <w:p w14:paraId="2F2D7BB4" w14:textId="77777777" w:rsidR="001024F9" w:rsidRPr="00A202B4" w:rsidRDefault="001024F9" w:rsidP="001024F9">
      <w:pPr>
        <w:spacing w:before="120" w:after="120"/>
        <w:ind w:firstLine="720"/>
        <w:rPr>
          <w:rFonts w:asciiTheme="majorBidi" w:hAnsiTheme="majorBidi" w:cstheme="majorBidi"/>
          <w:lang w:val="es-ES_tradnl"/>
        </w:rPr>
      </w:pPr>
      <w:r w:rsidRPr="00A202B4">
        <w:rPr>
          <w:rFonts w:asciiTheme="majorBidi" w:hAnsiTheme="majorBidi" w:cstheme="majorBidi"/>
          <w:lang w:val="es-ES_tradnl"/>
        </w:rPr>
        <w:lastRenderedPageBreak/>
        <w:t>7.</w:t>
      </w:r>
      <w:r w:rsidRPr="00A202B4">
        <w:rPr>
          <w:rFonts w:asciiTheme="majorBidi" w:hAnsiTheme="majorBidi" w:cstheme="majorBidi"/>
          <w:lang w:val="es-ES_tradnl"/>
        </w:rPr>
        <w:tab/>
      </w:r>
      <w:r w:rsidRPr="00A202B4">
        <w:rPr>
          <w:rFonts w:asciiTheme="majorBidi" w:hAnsiTheme="majorBidi"/>
          <w:i/>
          <w:iCs/>
          <w:lang w:val="es-ES_tradnl"/>
        </w:rPr>
        <w:t>Pide</w:t>
      </w:r>
      <w:r w:rsidRPr="00A202B4">
        <w:rPr>
          <w:rFonts w:asciiTheme="majorBidi" w:hAnsiTheme="majorBidi"/>
          <w:lang w:val="es-ES_tradnl"/>
        </w:rPr>
        <w:t xml:space="preserve"> a la Secretaria Ejecutiva que a) en el formato para la presentación de los quintos informes nacionales sobre la aplicación del Protocolo de Cartagena sobre Seguridad de la Biotecnología incluya preguntas diseñadas para obtener información sobre los indicadores del Plan de Aplicación; y b) analice y sintetice esa información para facilitar la evaluación a mitad de período conjuntamente con la quinta evaluación y revisión de la eficacia del Protocolo de Cartagena, y que ponga esa información a disposición del Grupo de Enlace y, según proceda, el Comité de Cumplimiento</w:t>
      </w:r>
      <w:r w:rsidRPr="00A202B4">
        <w:rPr>
          <w:rFonts w:asciiTheme="majorBidi" w:hAnsiTheme="majorBidi" w:cstheme="majorBidi"/>
          <w:lang w:val="es-ES_tradnl"/>
        </w:rPr>
        <w:t>;</w:t>
      </w:r>
    </w:p>
    <w:p w14:paraId="7EEF769D" w14:textId="77777777" w:rsidR="001024F9" w:rsidRPr="00A202B4" w:rsidRDefault="001024F9" w:rsidP="001024F9">
      <w:pPr>
        <w:spacing w:before="120" w:after="120"/>
        <w:ind w:firstLine="720"/>
        <w:rPr>
          <w:rFonts w:asciiTheme="majorBidi" w:hAnsiTheme="majorBidi" w:cstheme="majorBidi"/>
          <w:lang w:val="es-ES_tradnl"/>
        </w:rPr>
      </w:pPr>
      <w:r w:rsidRPr="00A202B4">
        <w:rPr>
          <w:rFonts w:asciiTheme="majorBidi" w:hAnsiTheme="majorBidi" w:cstheme="majorBidi"/>
          <w:lang w:val="es-ES_tradnl"/>
        </w:rPr>
        <w:t>8.</w:t>
      </w:r>
      <w:r w:rsidRPr="00A202B4">
        <w:rPr>
          <w:rFonts w:asciiTheme="majorBidi" w:hAnsiTheme="majorBidi" w:cstheme="majorBidi"/>
          <w:lang w:val="es-ES_tradnl"/>
        </w:rPr>
        <w:tab/>
      </w:r>
      <w:r w:rsidRPr="00A202B4">
        <w:rPr>
          <w:rFonts w:asciiTheme="majorBidi" w:hAnsiTheme="majorBidi"/>
          <w:i/>
          <w:iCs/>
          <w:lang w:val="es-ES_tradnl"/>
        </w:rPr>
        <w:t>Pide</w:t>
      </w:r>
      <w:r w:rsidRPr="00A202B4">
        <w:rPr>
          <w:rFonts w:asciiTheme="majorBidi" w:hAnsiTheme="majorBidi"/>
          <w:lang w:val="es-ES_tradnl"/>
        </w:rPr>
        <w:t xml:space="preserve"> al Grupo de Enlace del Protocolo de Cartagena sobre Seguridad de la Biotecnología y al Comité de Cumplimiento, según proceda, que, trabajando de manera complementaria y sin duplicar sus tareas, contribuyan a la evaluación a mitad de período del Plan de Aplicación, y que presenten sus conclusiones para que sean consideradas por el Órgano Subsidiario sobre la Aplicación</w:t>
      </w:r>
      <w:r w:rsidRPr="00A202B4">
        <w:rPr>
          <w:rFonts w:asciiTheme="majorBidi" w:hAnsiTheme="majorBidi" w:cstheme="majorBidi"/>
          <w:lang w:val="es-ES_tradnl"/>
        </w:rPr>
        <w:t>;</w:t>
      </w:r>
    </w:p>
    <w:p w14:paraId="1613D6C3" w14:textId="43A65727" w:rsidR="00CC166F" w:rsidRPr="00A202B4" w:rsidRDefault="001024F9" w:rsidP="00A202B4">
      <w:pPr>
        <w:kinsoku w:val="0"/>
        <w:overflowPunct w:val="0"/>
        <w:autoSpaceDE w:val="0"/>
        <w:autoSpaceDN w:val="0"/>
        <w:spacing w:before="120" w:after="240"/>
        <w:ind w:firstLine="720"/>
        <w:rPr>
          <w:rFonts w:asciiTheme="majorBidi" w:hAnsiTheme="majorBidi" w:cstheme="majorBidi"/>
          <w:b/>
          <w:bCs/>
          <w:caps/>
          <w:snapToGrid w:val="0"/>
          <w:kern w:val="22"/>
          <w:lang w:val="es-ES_tradnl"/>
        </w:rPr>
      </w:pPr>
      <w:r w:rsidRPr="00A202B4">
        <w:rPr>
          <w:rFonts w:asciiTheme="majorBidi" w:hAnsiTheme="majorBidi" w:cstheme="majorBidi"/>
          <w:lang w:val="es-ES_tradnl"/>
        </w:rPr>
        <w:t>9.</w:t>
      </w:r>
      <w:r w:rsidRPr="00A202B4">
        <w:rPr>
          <w:rFonts w:asciiTheme="majorBidi" w:hAnsiTheme="majorBidi" w:cstheme="majorBidi"/>
          <w:lang w:val="es-ES_tradnl"/>
        </w:rPr>
        <w:tab/>
      </w:r>
      <w:r w:rsidRPr="00A202B4">
        <w:rPr>
          <w:rFonts w:asciiTheme="majorBidi" w:hAnsiTheme="majorBidi"/>
          <w:i/>
          <w:lang w:val="es-ES_tradnl"/>
        </w:rPr>
        <w:t>Pide</w:t>
      </w:r>
      <w:r w:rsidRPr="00A202B4">
        <w:rPr>
          <w:rFonts w:asciiTheme="majorBidi" w:hAnsiTheme="majorBidi"/>
          <w:lang w:val="es-ES_tradnl"/>
        </w:rPr>
        <w:t xml:space="preserve"> al Órgano Subsidiario sobre la Aplicación que, en una reunión que se celebre antes de la 12</w:t>
      </w:r>
      <w:r w:rsidRPr="00A202B4">
        <w:rPr>
          <w:rFonts w:asciiTheme="majorBidi" w:hAnsiTheme="majorBidi"/>
          <w:vertAlign w:val="superscript"/>
          <w:lang w:val="es-ES_tradnl"/>
        </w:rPr>
        <w:t>a</w:t>
      </w:r>
      <w:r w:rsidRPr="00A202B4">
        <w:rPr>
          <w:rFonts w:asciiTheme="majorBidi" w:hAnsiTheme="majorBidi" w:cstheme="majorBidi"/>
          <w:lang w:val="es-ES_tradnl"/>
        </w:rPr>
        <w:t xml:space="preserve"> reunión de la Conferencia de las Partes que actúa como reunión de las Partes en el Protocolo de Cartagena, </w:t>
      </w:r>
      <w:r w:rsidRPr="00A202B4">
        <w:rPr>
          <w:rFonts w:asciiTheme="majorBidi" w:hAnsiTheme="majorBidi"/>
          <w:lang w:val="es-ES_tradnl"/>
        </w:rPr>
        <w:t>considere la información proporcionada y las conclusiones formuladas por el Grupo de Enlace y el Comité de Cumplimiento y que presente sus conclusiones y recomendaciones a la Conferencia de las Partes que actúa como reunión de las Partes en el Protocolo de Cartagena en su 12</w:t>
      </w:r>
      <w:r w:rsidRPr="00A202B4">
        <w:rPr>
          <w:rFonts w:asciiTheme="majorBidi" w:hAnsiTheme="majorBidi"/>
          <w:vertAlign w:val="superscript"/>
          <w:lang w:val="es-ES_tradnl"/>
        </w:rPr>
        <w:t>a</w:t>
      </w:r>
      <w:r w:rsidRPr="00A202B4">
        <w:rPr>
          <w:rFonts w:asciiTheme="majorBidi" w:hAnsiTheme="majorBidi"/>
          <w:lang w:val="es-ES_tradnl"/>
        </w:rPr>
        <w:t xml:space="preserve"> reunión con miras a facilitar la evaluación a mitad de período del Plan de Aplicación</w:t>
      </w:r>
      <w:r w:rsidRPr="00A202B4">
        <w:rPr>
          <w:rFonts w:asciiTheme="majorBidi" w:hAnsiTheme="majorBidi" w:cstheme="majorBidi"/>
          <w:lang w:val="es-ES_tradnl"/>
        </w:rPr>
        <w:t>.</w:t>
      </w:r>
    </w:p>
    <w:p w14:paraId="2874D863" w14:textId="77777777" w:rsidR="00905212" w:rsidRPr="00A202B4" w:rsidRDefault="00905212" w:rsidP="00905212">
      <w:pPr>
        <w:spacing w:before="120" w:after="120"/>
        <w:jc w:val="center"/>
        <w:outlineLvl w:val="2"/>
        <w:rPr>
          <w:rFonts w:asciiTheme="majorBidi" w:hAnsiTheme="majorBidi" w:cstheme="majorBidi"/>
          <w:i/>
          <w:iCs/>
          <w:szCs w:val="22"/>
          <w:lang w:val="es-ES_tradnl"/>
        </w:rPr>
      </w:pPr>
      <w:bookmarkStart w:id="9" w:name="_Toc118383060"/>
      <w:r w:rsidRPr="00A202B4">
        <w:rPr>
          <w:rFonts w:asciiTheme="majorBidi" w:hAnsiTheme="majorBidi" w:cstheme="majorBidi"/>
          <w:i/>
          <w:iCs/>
          <w:szCs w:val="22"/>
          <w:lang w:val="es-ES_tradnl"/>
        </w:rPr>
        <w:t>Anex</w:t>
      </w:r>
      <w:bookmarkEnd w:id="9"/>
      <w:r w:rsidRPr="00A202B4">
        <w:rPr>
          <w:rFonts w:asciiTheme="majorBidi" w:hAnsiTheme="majorBidi" w:cstheme="majorBidi"/>
          <w:i/>
          <w:iCs/>
          <w:szCs w:val="22"/>
          <w:lang w:val="es-ES_tradnl"/>
        </w:rPr>
        <w:t>o</w:t>
      </w:r>
    </w:p>
    <w:p w14:paraId="259E2868" w14:textId="77777777" w:rsidR="00905212" w:rsidRPr="00A202B4" w:rsidRDefault="00905212" w:rsidP="00905212">
      <w:pPr>
        <w:spacing w:before="120" w:after="120"/>
        <w:jc w:val="center"/>
        <w:outlineLvl w:val="2"/>
        <w:rPr>
          <w:rFonts w:asciiTheme="majorBidi" w:hAnsiTheme="majorBidi" w:cstheme="majorBidi"/>
          <w:b/>
          <w:szCs w:val="22"/>
          <w:lang w:val="es-ES_tradnl"/>
        </w:rPr>
      </w:pPr>
      <w:r w:rsidRPr="00A202B4">
        <w:rPr>
          <w:rFonts w:asciiTheme="majorBidi" w:hAnsiTheme="majorBidi" w:cstheme="majorBidi"/>
          <w:b/>
          <w:bCs/>
          <w:szCs w:val="22"/>
          <w:lang w:val="es-ES_tradnl"/>
        </w:rPr>
        <w:t xml:space="preserve">PLAN DE </w:t>
      </w:r>
      <w:r w:rsidRPr="00A202B4">
        <w:rPr>
          <w:rFonts w:asciiTheme="majorBidi" w:hAnsiTheme="majorBidi"/>
          <w:b/>
          <w:szCs w:val="22"/>
          <w:lang w:val="es-ES_tradnl"/>
        </w:rPr>
        <w:t>APLICACIÓN PARA EL PROTOCOLO DE CARTAGENA SOBRE SEGURIDAD DE LA BIOTECNOLOGÍA</w:t>
      </w:r>
    </w:p>
    <w:p w14:paraId="3F80DA79" w14:textId="77777777" w:rsidR="00905212" w:rsidRPr="00A202B4" w:rsidRDefault="00905212" w:rsidP="00905212">
      <w:pPr>
        <w:tabs>
          <w:tab w:val="left" w:pos="993"/>
        </w:tabs>
        <w:spacing w:before="120" w:after="120"/>
        <w:jc w:val="center"/>
        <w:rPr>
          <w:rFonts w:asciiTheme="majorBidi" w:hAnsiTheme="majorBidi" w:cstheme="majorBidi"/>
          <w:b/>
          <w:szCs w:val="22"/>
          <w:lang w:val="es-ES_tradnl"/>
        </w:rPr>
      </w:pPr>
      <w:r w:rsidRPr="00A202B4">
        <w:rPr>
          <w:rFonts w:asciiTheme="majorBidi" w:hAnsiTheme="majorBidi" w:cstheme="majorBidi"/>
          <w:b/>
          <w:szCs w:val="22"/>
          <w:lang w:val="es-ES_tradnl"/>
        </w:rPr>
        <w:t>I.</w:t>
      </w:r>
      <w:r w:rsidRPr="00A202B4">
        <w:rPr>
          <w:rFonts w:asciiTheme="majorBidi" w:hAnsiTheme="majorBidi" w:cstheme="majorBidi"/>
          <w:b/>
          <w:szCs w:val="22"/>
          <w:lang w:val="es-ES_tradnl"/>
        </w:rPr>
        <w:tab/>
      </w:r>
      <w:r w:rsidRPr="00A202B4">
        <w:rPr>
          <w:rFonts w:asciiTheme="majorBidi" w:hAnsiTheme="majorBidi"/>
          <w:b/>
          <w:szCs w:val="22"/>
          <w:lang w:val="es-ES_tradnl"/>
        </w:rPr>
        <w:t>FINALIDAD DEL PLAN DE APLICACIÓN</w:t>
      </w:r>
    </w:p>
    <w:p w14:paraId="4D4A32BE" w14:textId="77777777" w:rsidR="00905212" w:rsidRPr="00A202B4" w:rsidRDefault="00905212" w:rsidP="00905212">
      <w:pPr>
        <w:spacing w:before="120" w:after="120"/>
        <w:rPr>
          <w:rFonts w:asciiTheme="majorBidi" w:hAnsiTheme="majorBidi" w:cstheme="majorBidi"/>
          <w:szCs w:val="22"/>
          <w:lang w:val="es-ES_tradnl"/>
        </w:rPr>
      </w:pPr>
      <w:r w:rsidRPr="00A202B4">
        <w:rPr>
          <w:rFonts w:asciiTheme="majorBidi" w:hAnsiTheme="majorBidi" w:cstheme="majorBidi"/>
          <w:szCs w:val="22"/>
          <w:lang w:val="es-ES_tradnl"/>
        </w:rPr>
        <w:t>1</w:t>
      </w:r>
      <w:r w:rsidRPr="00A202B4">
        <w:rPr>
          <w:rFonts w:asciiTheme="majorBidi" w:hAnsiTheme="majorBidi" w:cstheme="majorBidi"/>
          <w:sz w:val="20"/>
          <w:szCs w:val="20"/>
          <w:lang w:val="es-ES_tradnl"/>
        </w:rPr>
        <w:t>.</w:t>
      </w:r>
      <w:r w:rsidRPr="00A202B4">
        <w:rPr>
          <w:rFonts w:asciiTheme="majorBidi" w:hAnsiTheme="majorBidi" w:cstheme="majorBidi"/>
          <w:sz w:val="20"/>
          <w:szCs w:val="20"/>
          <w:lang w:val="es-ES_tradnl"/>
        </w:rPr>
        <w:tab/>
      </w:r>
      <w:r w:rsidRPr="00A202B4">
        <w:rPr>
          <w:rFonts w:asciiTheme="majorBidi" w:hAnsiTheme="majorBidi"/>
          <w:szCs w:val="22"/>
          <w:lang w:val="es-ES_tradnl"/>
        </w:rPr>
        <w:t>El Plan de Aplicación para el Protocolo de Cartagena sobre Seguridad de la Biotecnología (de aquí en adelante “Plan de Aplicación”) se ha elaborado como un marco de amplios logros y avances deseables para ayudar a orientar a las Partes en su aplicación del Protocolo y medir los progresos a este respecto de aquí a 2030</w:t>
      </w:r>
      <w:r w:rsidRPr="00A202B4">
        <w:rPr>
          <w:rFonts w:asciiTheme="majorBidi" w:hAnsiTheme="majorBidi" w:cstheme="majorBidi"/>
          <w:szCs w:val="22"/>
          <w:lang w:val="es-ES_tradnl"/>
        </w:rPr>
        <w:t>.</w:t>
      </w:r>
    </w:p>
    <w:p w14:paraId="3289743F" w14:textId="77777777" w:rsidR="00905212" w:rsidRPr="00A202B4" w:rsidRDefault="00905212" w:rsidP="00905212">
      <w:pPr>
        <w:spacing w:before="120" w:after="120"/>
        <w:rPr>
          <w:rFonts w:asciiTheme="majorBidi" w:hAnsiTheme="majorBidi" w:cstheme="majorBidi"/>
          <w:szCs w:val="22"/>
          <w:lang w:val="es-ES_tradnl"/>
        </w:rPr>
      </w:pPr>
      <w:r w:rsidRPr="00A202B4">
        <w:rPr>
          <w:rFonts w:asciiTheme="majorBidi" w:hAnsiTheme="majorBidi" w:cstheme="majorBidi"/>
          <w:szCs w:val="22"/>
          <w:lang w:val="es-ES_tradnl"/>
        </w:rPr>
        <w:t>2.</w:t>
      </w:r>
      <w:r w:rsidRPr="00A202B4">
        <w:rPr>
          <w:rFonts w:asciiTheme="majorBidi" w:hAnsiTheme="majorBidi" w:cstheme="majorBidi"/>
          <w:szCs w:val="22"/>
          <w:lang w:val="es-ES_tradnl"/>
        </w:rPr>
        <w:tab/>
      </w:r>
      <w:r w:rsidRPr="00A202B4">
        <w:rPr>
          <w:rFonts w:asciiTheme="majorBidi" w:hAnsiTheme="majorBidi"/>
          <w:szCs w:val="22"/>
          <w:lang w:val="es-ES_tradnl"/>
        </w:rPr>
        <w:t>El Plan de Aplicación se complementa con el Plan de Acción para la Creación de Capacidad para el Protocolo de Cartagena sobre Seguridad de la Biotecnología</w:t>
      </w:r>
      <w:r w:rsidRPr="00A202B4">
        <w:rPr>
          <w:rStyle w:val="FootnoteReference"/>
          <w:rFonts w:asciiTheme="majorBidi" w:hAnsiTheme="majorBidi" w:cstheme="majorBidi"/>
          <w:sz w:val="22"/>
          <w:szCs w:val="22"/>
          <w:u w:val="none"/>
          <w:vertAlign w:val="superscript"/>
          <w:lang w:val="es-ES_tradnl"/>
        </w:rPr>
        <w:footnoteReference w:id="8"/>
      </w:r>
      <w:r w:rsidRPr="00A202B4">
        <w:rPr>
          <w:rFonts w:asciiTheme="majorBidi" w:hAnsiTheme="majorBidi"/>
          <w:szCs w:val="22"/>
          <w:lang w:val="es-ES_tradnl"/>
        </w:rPr>
        <w:t xml:space="preserve"> con la finalidad de facilitar el desarrollo y fortalecimiento de las capacidades de las Partes para aplicar el Protocolo, entre otras cosas facilitando la participación de los asociados, incluidos los donantes, y promoviendo la cooperación y coordinación regional e internacional. El Plan de Acción para la Creación de Capacidad abarca el mismo período que el Plan de Aplicación, de aquí a 2030</w:t>
      </w:r>
      <w:r w:rsidRPr="00A202B4">
        <w:rPr>
          <w:rFonts w:asciiTheme="majorBidi" w:hAnsiTheme="majorBidi" w:cstheme="majorBidi"/>
          <w:szCs w:val="22"/>
          <w:lang w:val="es-ES_tradnl"/>
        </w:rPr>
        <w:t>.</w:t>
      </w:r>
    </w:p>
    <w:p w14:paraId="5E3D6AD4" w14:textId="77777777" w:rsidR="00905212" w:rsidRPr="00A202B4" w:rsidRDefault="00905212" w:rsidP="00905212">
      <w:pPr>
        <w:spacing w:before="120" w:after="120"/>
        <w:rPr>
          <w:rFonts w:asciiTheme="majorBidi" w:hAnsiTheme="majorBidi" w:cstheme="majorBidi"/>
          <w:szCs w:val="22"/>
          <w:lang w:val="es-ES_tradnl"/>
        </w:rPr>
      </w:pPr>
      <w:r w:rsidRPr="00A202B4">
        <w:rPr>
          <w:rFonts w:asciiTheme="majorBidi" w:hAnsiTheme="majorBidi" w:cstheme="majorBidi"/>
          <w:szCs w:val="22"/>
          <w:lang w:val="es-ES_tradnl"/>
        </w:rPr>
        <w:t>3.</w:t>
      </w:r>
      <w:r w:rsidRPr="00A202B4">
        <w:rPr>
          <w:rFonts w:asciiTheme="majorBidi" w:hAnsiTheme="majorBidi" w:cstheme="majorBidi"/>
          <w:szCs w:val="22"/>
          <w:lang w:val="es-ES_tradnl"/>
        </w:rPr>
        <w:tab/>
      </w:r>
      <w:r w:rsidRPr="00A202B4">
        <w:rPr>
          <w:rFonts w:asciiTheme="majorBidi" w:hAnsiTheme="majorBidi"/>
          <w:szCs w:val="22"/>
          <w:lang w:val="es-ES_tradnl"/>
        </w:rPr>
        <w:t>El Plan de Aplicación está dirigido principalmente a las Partes. Sin embargo, se reconoce que los Estados que no son Partes y los interesados de distintos sectores, organizaciones, pueblos indígenas y comunidades locales y donantes pueden apoyar la aplicación del Protocolo</w:t>
      </w:r>
      <w:r w:rsidRPr="00A202B4">
        <w:rPr>
          <w:rFonts w:asciiTheme="majorBidi" w:hAnsiTheme="majorBidi" w:cstheme="majorBidi"/>
          <w:szCs w:val="22"/>
          <w:lang w:val="es-ES_tradnl"/>
        </w:rPr>
        <w:t>.</w:t>
      </w:r>
    </w:p>
    <w:p w14:paraId="75382DF7" w14:textId="77777777" w:rsidR="00905212" w:rsidRPr="00A202B4" w:rsidRDefault="00905212" w:rsidP="00905212">
      <w:pPr>
        <w:tabs>
          <w:tab w:val="left" w:pos="1134"/>
        </w:tabs>
        <w:spacing w:before="120" w:after="120"/>
        <w:ind w:left="1134" w:hanging="708"/>
        <w:jc w:val="left"/>
        <w:rPr>
          <w:rFonts w:asciiTheme="majorBidi" w:hAnsiTheme="majorBidi" w:cstheme="majorBidi"/>
          <w:b/>
          <w:szCs w:val="22"/>
          <w:lang w:val="es-ES_tradnl"/>
        </w:rPr>
      </w:pPr>
      <w:r w:rsidRPr="00A202B4">
        <w:rPr>
          <w:rFonts w:asciiTheme="majorBidi" w:hAnsiTheme="majorBidi" w:cstheme="majorBidi"/>
          <w:b/>
          <w:szCs w:val="22"/>
          <w:lang w:val="es-ES_tradnl"/>
        </w:rPr>
        <w:t>II.</w:t>
      </w:r>
      <w:r w:rsidRPr="00A202B4">
        <w:rPr>
          <w:rFonts w:asciiTheme="majorBidi" w:hAnsiTheme="majorBidi" w:cstheme="majorBidi"/>
          <w:b/>
          <w:szCs w:val="22"/>
          <w:lang w:val="es-ES_tradnl"/>
        </w:rPr>
        <w:tab/>
      </w:r>
      <w:r w:rsidRPr="00A202B4">
        <w:rPr>
          <w:rFonts w:asciiTheme="majorBidi" w:hAnsiTheme="majorBidi"/>
          <w:b/>
          <w:szCs w:val="22"/>
          <w:lang w:val="es-ES_tradnl"/>
        </w:rPr>
        <w:t xml:space="preserve">VÍNCULO CON EL </w:t>
      </w:r>
      <w:r w:rsidRPr="00A202B4">
        <w:rPr>
          <w:rFonts w:asciiTheme="majorBidi" w:hAnsiTheme="majorBidi"/>
          <w:b/>
          <w:bCs/>
          <w:szCs w:val="22"/>
          <w:lang w:val="es-ES_tradnl"/>
        </w:rPr>
        <w:t>MARCO MUNDIAL DE BIODIVERSIDAD DE KUNMING-MONTREAL</w:t>
      </w:r>
      <w:r w:rsidRPr="00A202B4">
        <w:rPr>
          <w:rFonts w:asciiTheme="majorBidi" w:hAnsiTheme="majorBidi"/>
          <w:b/>
          <w:szCs w:val="22"/>
          <w:lang w:val="es-ES_tradnl"/>
        </w:rPr>
        <w:t xml:space="preserve"> Y LA AGENDA 2030 PARA EL DESARROLLO SOSTENIBLE</w:t>
      </w:r>
    </w:p>
    <w:p w14:paraId="07484C9A" w14:textId="77777777" w:rsidR="00905212" w:rsidRPr="00A202B4" w:rsidRDefault="00905212" w:rsidP="00905212">
      <w:pPr>
        <w:spacing w:before="120" w:after="120"/>
        <w:rPr>
          <w:rFonts w:asciiTheme="majorBidi" w:hAnsiTheme="majorBidi" w:cstheme="majorBidi"/>
          <w:szCs w:val="22"/>
          <w:lang w:val="es-ES_tradnl"/>
        </w:rPr>
      </w:pPr>
      <w:r w:rsidRPr="00A202B4">
        <w:rPr>
          <w:rFonts w:asciiTheme="majorBidi" w:hAnsiTheme="majorBidi" w:cstheme="majorBidi"/>
          <w:szCs w:val="22"/>
          <w:lang w:val="es-ES_tradnl"/>
        </w:rPr>
        <w:t>4.</w:t>
      </w:r>
      <w:r w:rsidRPr="00A202B4">
        <w:rPr>
          <w:rFonts w:asciiTheme="majorBidi" w:hAnsiTheme="majorBidi" w:cstheme="majorBidi"/>
          <w:szCs w:val="22"/>
          <w:lang w:val="es-ES_tradnl"/>
        </w:rPr>
        <w:tab/>
      </w:r>
      <w:r w:rsidRPr="00A202B4">
        <w:rPr>
          <w:rFonts w:asciiTheme="majorBidi" w:hAnsiTheme="majorBidi"/>
          <w:szCs w:val="22"/>
          <w:lang w:val="es-ES_tradnl"/>
        </w:rPr>
        <w:t xml:space="preserve">El Plan de Aplicación se basa en el </w:t>
      </w:r>
      <w:r w:rsidRPr="00A202B4">
        <w:rPr>
          <w:rFonts w:asciiTheme="majorBidi" w:hAnsiTheme="majorBidi"/>
          <w:bCs/>
          <w:szCs w:val="22"/>
          <w:lang w:val="es-ES_tradnl"/>
        </w:rPr>
        <w:t>Marco Mundial de Biodiversidad de Kunming-Montreal</w:t>
      </w:r>
      <w:r w:rsidRPr="00A202B4">
        <w:rPr>
          <w:rFonts w:asciiTheme="majorBidi" w:hAnsiTheme="majorBidi"/>
          <w:szCs w:val="22"/>
          <w:lang w:val="es-ES_tradnl"/>
        </w:rPr>
        <w:t xml:space="preserve"> y es complementario a él, dado que sus metas, objetivos y resultados contribuyen al logro de la visión para 2050 del Marco —“Para 2050, la diversidad biológica se valora, conserva, restaura y utiliza en forma racional, manteniendo los servicios de los ecosistemas, sosteniendo un planeta sano y brindando beneficios esenciales para todas las personas”— y su misión, “</w:t>
      </w:r>
      <w:r w:rsidRPr="00A202B4">
        <w:rPr>
          <w:lang w:val="es-ES_tradnl"/>
        </w:rPr>
        <w:t>Adoptar medidas urgentes para detener e invertir la pérdida de diversidad biológica a fin de encauzar la naturaleza en el camino hacia la recuperación en beneficio de las personas y el paneta, conservando y utilizando la biodiversidad de forma sostenible, y velando por la participación justa y equitativa en los beneficios que se deriven de los recursos genéticos, y al mismo tiempo proporcionando los medios necesarios para la implementación</w:t>
      </w:r>
      <w:r w:rsidRPr="00A202B4">
        <w:rPr>
          <w:rFonts w:asciiTheme="majorBidi" w:hAnsiTheme="majorBidi"/>
          <w:szCs w:val="22"/>
          <w:lang w:val="es-ES_tradnl"/>
        </w:rPr>
        <w:t xml:space="preserve">”. El Plan de Aplicación tiene la finalidad de facilitar la aplicación del Protocolo de Cartagena y está dirigido a las Partes en dicho Protocolo. Además, el Plan de Aplicación puede apoyar y orientar a las Partes en el cumplimiento de los </w:t>
      </w:r>
      <w:r w:rsidRPr="00A202B4">
        <w:rPr>
          <w:rFonts w:asciiTheme="majorBidi" w:hAnsiTheme="majorBidi"/>
          <w:szCs w:val="22"/>
          <w:lang w:val="es-ES_tradnl"/>
        </w:rPr>
        <w:lastRenderedPageBreak/>
        <w:t xml:space="preserve">objetivos y metas pertinentes para la seguridad de la biotecnología incluidos en el </w:t>
      </w:r>
      <w:r w:rsidRPr="00A202B4">
        <w:rPr>
          <w:rFonts w:asciiTheme="majorBidi" w:hAnsiTheme="majorBidi"/>
          <w:bCs/>
          <w:szCs w:val="22"/>
          <w:lang w:val="es-ES_tradnl"/>
        </w:rPr>
        <w:t>Marco Mundial de Biodiversidad de Kunming-Montreal</w:t>
      </w:r>
      <w:r w:rsidRPr="00A202B4">
        <w:rPr>
          <w:rFonts w:asciiTheme="majorBidi" w:hAnsiTheme="majorBidi" w:cstheme="majorBidi"/>
          <w:szCs w:val="22"/>
          <w:lang w:val="es-ES_tradnl"/>
        </w:rPr>
        <w:t>.</w:t>
      </w:r>
    </w:p>
    <w:p w14:paraId="7BAF6AC3" w14:textId="77777777" w:rsidR="00905212" w:rsidRPr="00A202B4" w:rsidRDefault="00905212" w:rsidP="00905212">
      <w:pPr>
        <w:spacing w:before="120" w:after="120"/>
        <w:rPr>
          <w:rFonts w:asciiTheme="majorBidi" w:hAnsiTheme="majorBidi" w:cstheme="majorBidi"/>
          <w:szCs w:val="22"/>
          <w:lang w:val="es-ES_tradnl"/>
        </w:rPr>
      </w:pPr>
      <w:r w:rsidRPr="00A202B4">
        <w:rPr>
          <w:rFonts w:asciiTheme="majorBidi" w:hAnsiTheme="majorBidi" w:cstheme="majorBidi"/>
          <w:szCs w:val="22"/>
          <w:lang w:val="es-ES_tradnl"/>
        </w:rPr>
        <w:t>5.</w:t>
      </w:r>
      <w:r w:rsidRPr="00A202B4">
        <w:rPr>
          <w:rFonts w:asciiTheme="majorBidi" w:hAnsiTheme="majorBidi" w:cstheme="majorBidi"/>
          <w:szCs w:val="22"/>
          <w:lang w:val="es-ES_tradnl"/>
        </w:rPr>
        <w:tab/>
      </w:r>
      <w:r w:rsidRPr="00A202B4">
        <w:rPr>
          <w:rFonts w:asciiTheme="majorBidi" w:hAnsiTheme="majorBidi"/>
          <w:szCs w:val="22"/>
          <w:lang w:val="es-ES_tradnl"/>
        </w:rPr>
        <w:t>El Plan de Aplicación también puede servir para ayudar a las Partes a lograr los Objetivos de Desarrollo Sostenible, como por ejemplo los Objetivos 2 (poner fin al hambre, lograr la seguridad alimentaria y la mejora de la nutrición y promover la agricultura sostenible) y 3 (garantizar una vida sana y promover el bienestar de todos a todas las edades</w:t>
      </w:r>
      <w:r w:rsidRPr="00A202B4">
        <w:rPr>
          <w:rFonts w:asciiTheme="majorBidi" w:hAnsiTheme="majorBidi" w:cstheme="majorBidi"/>
          <w:szCs w:val="22"/>
          <w:lang w:val="es-ES_tradnl"/>
        </w:rPr>
        <w:t>).</w:t>
      </w:r>
    </w:p>
    <w:p w14:paraId="139FAB3C" w14:textId="77777777" w:rsidR="00905212" w:rsidRPr="00A202B4" w:rsidRDefault="00905212" w:rsidP="00905212">
      <w:pPr>
        <w:tabs>
          <w:tab w:val="left" w:pos="993"/>
        </w:tabs>
        <w:spacing w:before="120" w:after="120"/>
        <w:jc w:val="center"/>
        <w:rPr>
          <w:rFonts w:asciiTheme="majorBidi" w:hAnsiTheme="majorBidi" w:cstheme="majorBidi"/>
          <w:b/>
          <w:szCs w:val="22"/>
          <w:lang w:val="es-ES_tradnl"/>
        </w:rPr>
      </w:pPr>
      <w:r w:rsidRPr="00A202B4">
        <w:rPr>
          <w:rFonts w:asciiTheme="majorBidi" w:hAnsiTheme="majorBidi" w:cstheme="majorBidi"/>
          <w:b/>
          <w:szCs w:val="22"/>
          <w:lang w:val="es-ES_tradnl"/>
        </w:rPr>
        <w:t>III.</w:t>
      </w:r>
      <w:r w:rsidRPr="00A202B4">
        <w:rPr>
          <w:rFonts w:asciiTheme="majorBidi" w:hAnsiTheme="majorBidi" w:cstheme="majorBidi"/>
          <w:b/>
          <w:szCs w:val="22"/>
          <w:lang w:val="es-ES_tradnl"/>
        </w:rPr>
        <w:tab/>
      </w:r>
      <w:r w:rsidRPr="00A202B4">
        <w:rPr>
          <w:rFonts w:asciiTheme="majorBidi" w:hAnsiTheme="majorBidi"/>
          <w:b/>
          <w:szCs w:val="22"/>
          <w:lang w:val="es-ES_tradnl"/>
        </w:rPr>
        <w:t>ESTRUCTURA DEL PLAN DE APLICACIÓN</w:t>
      </w:r>
    </w:p>
    <w:p w14:paraId="6F78E1F4" w14:textId="77777777" w:rsidR="00905212" w:rsidRPr="00A202B4" w:rsidRDefault="00905212" w:rsidP="00905212">
      <w:pPr>
        <w:spacing w:before="120" w:after="120"/>
        <w:rPr>
          <w:rFonts w:asciiTheme="majorBidi" w:hAnsiTheme="majorBidi" w:cstheme="majorBidi"/>
          <w:szCs w:val="22"/>
          <w:lang w:val="es-ES_tradnl"/>
        </w:rPr>
      </w:pPr>
      <w:r w:rsidRPr="00A202B4">
        <w:rPr>
          <w:rFonts w:asciiTheme="majorBidi" w:hAnsiTheme="majorBidi" w:cstheme="majorBidi"/>
          <w:szCs w:val="22"/>
          <w:lang w:val="es-ES_tradnl"/>
        </w:rPr>
        <w:t>6</w:t>
      </w:r>
      <w:r w:rsidRPr="00A202B4">
        <w:rPr>
          <w:rFonts w:asciiTheme="majorBidi" w:hAnsiTheme="majorBidi" w:cstheme="majorBidi"/>
          <w:szCs w:val="22"/>
          <w:lang w:val="es-ES_tradnl"/>
        </w:rPr>
        <w:tab/>
      </w:r>
      <w:r w:rsidRPr="00A202B4">
        <w:rPr>
          <w:rFonts w:asciiTheme="majorBidi" w:hAnsiTheme="majorBidi"/>
          <w:szCs w:val="22"/>
          <w:lang w:val="es-ES_tradnl"/>
        </w:rPr>
        <w:t>En el apéndice que figura a continuación, se presenta un cuadro con las metas, objetivos, indicadores y resultados del Plan de Aplicación</w:t>
      </w:r>
      <w:r w:rsidRPr="00A202B4">
        <w:rPr>
          <w:rFonts w:asciiTheme="majorBidi" w:hAnsiTheme="majorBidi" w:cstheme="majorBidi"/>
          <w:szCs w:val="22"/>
          <w:lang w:val="es-ES_tradnl"/>
        </w:rPr>
        <w:t>.</w:t>
      </w:r>
    </w:p>
    <w:p w14:paraId="0B814096" w14:textId="77777777" w:rsidR="00905212" w:rsidRPr="00A202B4" w:rsidRDefault="00905212" w:rsidP="00905212">
      <w:pPr>
        <w:spacing w:before="120" w:after="120"/>
        <w:rPr>
          <w:rFonts w:asciiTheme="majorBidi" w:hAnsiTheme="majorBidi" w:cstheme="majorBidi"/>
          <w:szCs w:val="22"/>
          <w:lang w:val="es-ES_tradnl"/>
        </w:rPr>
      </w:pPr>
      <w:r w:rsidRPr="00A202B4">
        <w:rPr>
          <w:rFonts w:asciiTheme="majorBidi" w:hAnsiTheme="majorBidi" w:cstheme="majorBidi"/>
          <w:szCs w:val="22"/>
          <w:lang w:val="es-ES_tradnl"/>
        </w:rPr>
        <w:t>7.</w:t>
      </w:r>
      <w:r w:rsidRPr="00A202B4">
        <w:rPr>
          <w:rFonts w:asciiTheme="majorBidi" w:hAnsiTheme="majorBidi" w:cstheme="majorBidi"/>
          <w:szCs w:val="22"/>
          <w:lang w:val="es-ES_tradnl"/>
        </w:rPr>
        <w:tab/>
      </w:r>
      <w:r w:rsidRPr="00A202B4">
        <w:rPr>
          <w:rFonts w:asciiTheme="majorBidi" w:hAnsiTheme="majorBidi"/>
          <w:szCs w:val="22"/>
          <w:lang w:val="es-ES_tradnl"/>
        </w:rPr>
        <w:t>En el Plan de Aplicación se trazan metas que representan los logros generales que las Partes desean alcanzar. Las metas del Plan de Aplicación están organizadas según “esferas de aplicación” y el “entorno propicio”. Las “esferas de aplicación” consisten en metas relacionadas con elementos clave para la aplicación del Protocolo. El “entorno propicio” comprende metas transversales relacionadas con la prestación de apoyo a la aplicación, es decir, la creación de capacidad, la movilización de recursos, la cooperación y la concienciación, educación y participación del público. Las metas del “entorno propicio” representan logros transversales que favorecen una variedad de metas relacionadas con la aplicación y pueden considerarse conjuntamente con las metas relativas a las “esferas de aplicación”. Cada meta incluye los correspondientes objetivos, resultados e indicadores</w:t>
      </w:r>
      <w:r w:rsidRPr="00A202B4">
        <w:rPr>
          <w:rFonts w:asciiTheme="majorBidi" w:hAnsiTheme="majorBidi" w:cstheme="majorBidi"/>
          <w:szCs w:val="22"/>
          <w:lang w:val="es-ES_tradnl"/>
        </w:rPr>
        <w:t>.</w:t>
      </w:r>
    </w:p>
    <w:p w14:paraId="7897602E" w14:textId="77777777" w:rsidR="00905212" w:rsidRPr="00A202B4" w:rsidRDefault="00905212" w:rsidP="00905212">
      <w:pPr>
        <w:spacing w:before="120" w:after="120"/>
        <w:rPr>
          <w:rFonts w:asciiTheme="majorBidi" w:hAnsiTheme="majorBidi" w:cstheme="majorBidi"/>
          <w:szCs w:val="22"/>
          <w:lang w:val="es-ES_tradnl"/>
        </w:rPr>
      </w:pPr>
      <w:r w:rsidRPr="00A202B4">
        <w:rPr>
          <w:rFonts w:asciiTheme="majorBidi" w:hAnsiTheme="majorBidi" w:cstheme="majorBidi"/>
          <w:szCs w:val="22"/>
          <w:lang w:val="es-ES_tradnl"/>
        </w:rPr>
        <w:t>8.</w:t>
      </w:r>
      <w:r w:rsidRPr="00A202B4">
        <w:rPr>
          <w:rFonts w:asciiTheme="majorBidi" w:hAnsiTheme="majorBidi" w:cstheme="majorBidi"/>
          <w:szCs w:val="22"/>
          <w:lang w:val="es-ES_tradnl"/>
        </w:rPr>
        <w:tab/>
      </w:r>
      <w:r w:rsidRPr="00A202B4">
        <w:rPr>
          <w:rFonts w:asciiTheme="majorBidi" w:hAnsiTheme="majorBidi"/>
          <w:szCs w:val="22"/>
          <w:lang w:val="es-ES_tradnl"/>
        </w:rPr>
        <w:t>Los objetivos describen logros clave para alcanzar la meta con la que están relacionados, pero no pretenden ofrecer una lista exhaustiva de los logros que pueden ser importantes para la meta. Los objetivos cumplen las disposiciones del Protocolo, incluidas las obligaciones y otras disposiciones, y la orientación proporcionada a través de las decisiones de la Conferencia de las Partes que actúa como reunión de las Partes en el Protocolo. La mayoría de las metas incluyen múltiples objetivos</w:t>
      </w:r>
      <w:r w:rsidRPr="00A202B4">
        <w:rPr>
          <w:rFonts w:asciiTheme="majorBidi" w:hAnsiTheme="majorBidi" w:cstheme="majorBidi"/>
          <w:szCs w:val="22"/>
          <w:lang w:val="es-ES_tradnl"/>
        </w:rPr>
        <w:t>.</w:t>
      </w:r>
    </w:p>
    <w:p w14:paraId="6251AC8F" w14:textId="77777777" w:rsidR="00905212" w:rsidRPr="00A202B4" w:rsidRDefault="00905212" w:rsidP="00905212">
      <w:pPr>
        <w:spacing w:before="120" w:after="120"/>
        <w:rPr>
          <w:rFonts w:asciiTheme="majorBidi" w:hAnsiTheme="majorBidi" w:cstheme="majorBidi"/>
          <w:szCs w:val="22"/>
          <w:lang w:val="es-ES_tradnl"/>
        </w:rPr>
      </w:pPr>
      <w:r w:rsidRPr="00A202B4">
        <w:rPr>
          <w:rFonts w:asciiTheme="majorBidi" w:hAnsiTheme="majorBidi" w:cstheme="majorBidi"/>
          <w:szCs w:val="22"/>
          <w:lang w:val="es-ES_tradnl"/>
        </w:rPr>
        <w:t>9.</w:t>
      </w:r>
      <w:r w:rsidRPr="00A202B4">
        <w:rPr>
          <w:rFonts w:asciiTheme="majorBidi" w:hAnsiTheme="majorBidi" w:cstheme="majorBidi"/>
          <w:szCs w:val="22"/>
          <w:lang w:val="es-ES_tradnl"/>
        </w:rPr>
        <w:tab/>
      </w:r>
      <w:r w:rsidRPr="00A202B4">
        <w:rPr>
          <w:rFonts w:asciiTheme="majorBidi" w:hAnsiTheme="majorBidi"/>
          <w:szCs w:val="22"/>
          <w:lang w:val="es-ES_tradnl"/>
        </w:rPr>
        <w:t>Los indicadores están diseñados para medir el progreso hacia los objetivos. Los indicadores deben ser simples, mensurables y pertinentes para el objetivo relacionado</w:t>
      </w:r>
      <w:r w:rsidRPr="00A202B4">
        <w:rPr>
          <w:rFonts w:asciiTheme="majorBidi" w:hAnsiTheme="majorBidi" w:cstheme="majorBidi"/>
          <w:szCs w:val="22"/>
          <w:lang w:val="es-ES_tradnl"/>
        </w:rPr>
        <w:t>.</w:t>
      </w:r>
    </w:p>
    <w:p w14:paraId="7255E0DC" w14:textId="77777777" w:rsidR="00905212" w:rsidRPr="00A202B4" w:rsidRDefault="00905212" w:rsidP="00905212">
      <w:pPr>
        <w:spacing w:before="120" w:after="120"/>
        <w:rPr>
          <w:rFonts w:asciiTheme="majorBidi" w:hAnsiTheme="majorBidi" w:cstheme="majorBidi"/>
          <w:szCs w:val="22"/>
          <w:lang w:val="es-ES_tradnl"/>
        </w:rPr>
      </w:pPr>
      <w:r w:rsidRPr="00A202B4">
        <w:rPr>
          <w:rFonts w:asciiTheme="majorBidi" w:hAnsiTheme="majorBidi" w:cstheme="majorBidi"/>
          <w:szCs w:val="22"/>
          <w:lang w:val="es-ES_tradnl"/>
        </w:rPr>
        <w:t>10.</w:t>
      </w:r>
      <w:r w:rsidRPr="00A202B4">
        <w:rPr>
          <w:rFonts w:asciiTheme="majorBidi" w:hAnsiTheme="majorBidi" w:cstheme="majorBidi"/>
          <w:szCs w:val="22"/>
          <w:lang w:val="es-ES_tradnl"/>
        </w:rPr>
        <w:tab/>
      </w:r>
      <w:r w:rsidRPr="00A202B4">
        <w:rPr>
          <w:rFonts w:asciiTheme="majorBidi" w:hAnsiTheme="majorBidi"/>
          <w:szCs w:val="22"/>
          <w:lang w:val="es-ES_tradnl"/>
        </w:rPr>
        <w:t>Los resultados describen el efecto del logro de la meta</w:t>
      </w:r>
      <w:r w:rsidRPr="00A202B4">
        <w:rPr>
          <w:rFonts w:asciiTheme="majorBidi" w:hAnsiTheme="majorBidi" w:cstheme="majorBidi"/>
          <w:szCs w:val="22"/>
          <w:lang w:val="es-ES_tradnl"/>
        </w:rPr>
        <w:t>.</w:t>
      </w:r>
    </w:p>
    <w:p w14:paraId="63A03BE0" w14:textId="77777777" w:rsidR="00905212" w:rsidRPr="00A202B4" w:rsidRDefault="00905212" w:rsidP="00905212">
      <w:pPr>
        <w:spacing w:before="120" w:after="120"/>
        <w:rPr>
          <w:rFonts w:asciiTheme="majorBidi" w:hAnsiTheme="majorBidi" w:cstheme="majorBidi"/>
          <w:szCs w:val="22"/>
          <w:lang w:val="es-ES_tradnl"/>
        </w:rPr>
      </w:pPr>
      <w:r w:rsidRPr="00A202B4">
        <w:rPr>
          <w:rFonts w:asciiTheme="majorBidi" w:hAnsiTheme="majorBidi" w:cstheme="majorBidi"/>
          <w:szCs w:val="22"/>
          <w:lang w:val="es-ES_tradnl"/>
        </w:rPr>
        <w:t>11.</w:t>
      </w:r>
      <w:r w:rsidRPr="00A202B4">
        <w:rPr>
          <w:rFonts w:asciiTheme="majorBidi" w:hAnsiTheme="majorBidi" w:cstheme="majorBidi"/>
          <w:szCs w:val="22"/>
          <w:lang w:val="es-ES_tradnl"/>
        </w:rPr>
        <w:tab/>
      </w:r>
      <w:r w:rsidRPr="00A202B4">
        <w:rPr>
          <w:rFonts w:asciiTheme="majorBidi" w:hAnsiTheme="majorBidi"/>
          <w:szCs w:val="22"/>
          <w:lang w:val="es-ES_tradnl"/>
        </w:rPr>
        <w:t>El Protocolo Suplementario de Nagoya – Kuala Lumpur sobre Responsabilidad y Compensación fue adoptado por la Conferencia de las Partes que actúa como reunión de las Partes en el Protocolo en 2010 (decisión BS-V/11). El Plan Estratégico para el Protocolo de Cartagena sobre Seguridad de la Biotecnología para el período 2011-2020, también adoptado en 2010, incluía elementos sobre responsabilidad y compensación y el Protocolo Suplementario. El Protocolo Suplementario entró en vigor el 5 de marzo de 2018</w:t>
      </w:r>
      <w:r w:rsidRPr="00A202B4">
        <w:rPr>
          <w:rFonts w:asciiTheme="majorBidi" w:hAnsiTheme="majorBidi" w:cstheme="majorBidi"/>
          <w:szCs w:val="22"/>
          <w:lang w:val="es-ES_tradnl"/>
        </w:rPr>
        <w:t>.</w:t>
      </w:r>
    </w:p>
    <w:p w14:paraId="1525E635" w14:textId="77777777" w:rsidR="00905212" w:rsidRPr="00A202B4" w:rsidRDefault="00905212" w:rsidP="00905212">
      <w:pPr>
        <w:spacing w:before="120" w:after="120"/>
        <w:rPr>
          <w:rFonts w:asciiTheme="majorBidi" w:hAnsiTheme="majorBidi" w:cstheme="majorBidi"/>
          <w:szCs w:val="22"/>
          <w:lang w:val="es-ES_tradnl"/>
        </w:rPr>
      </w:pPr>
      <w:r w:rsidRPr="00A202B4">
        <w:rPr>
          <w:rFonts w:asciiTheme="majorBidi" w:hAnsiTheme="majorBidi" w:cstheme="majorBidi"/>
          <w:szCs w:val="22"/>
          <w:lang w:val="es-ES_tradnl"/>
        </w:rPr>
        <w:t>12.</w:t>
      </w:r>
      <w:r w:rsidRPr="00A202B4">
        <w:rPr>
          <w:rFonts w:asciiTheme="majorBidi" w:hAnsiTheme="majorBidi" w:cstheme="majorBidi"/>
          <w:szCs w:val="22"/>
          <w:lang w:val="es-ES_tradnl"/>
        </w:rPr>
        <w:tab/>
      </w:r>
      <w:r w:rsidRPr="00A202B4">
        <w:rPr>
          <w:rFonts w:asciiTheme="majorBidi" w:hAnsiTheme="majorBidi"/>
          <w:szCs w:val="22"/>
          <w:lang w:val="es-ES_tradnl"/>
        </w:rPr>
        <w:t>En el apéndice que figura a continuación se incluye un componente sobre el Protocolo Suplementario. La inclusión de un componente sobre el Protocolo Suplementario tiene la finalidad de apoyar la aplicación del Protocolo de Cartagena y contribuir a la aplicación efectiva del Protocolo Suplementario, si bien se reconoce que son instrumentos jurídicos separados y que las obligaciones dimanantes de estos instrumentos solo obligan a las Partes en el respectivo instrumento</w:t>
      </w:r>
      <w:r w:rsidRPr="00A202B4">
        <w:rPr>
          <w:rFonts w:asciiTheme="majorBidi" w:hAnsiTheme="majorBidi" w:cstheme="majorBidi"/>
          <w:szCs w:val="22"/>
          <w:lang w:val="es-ES_tradnl"/>
        </w:rPr>
        <w:t>.</w:t>
      </w:r>
    </w:p>
    <w:p w14:paraId="69FD2CF5" w14:textId="77777777" w:rsidR="00905212" w:rsidRPr="00A202B4" w:rsidRDefault="00905212" w:rsidP="00905212">
      <w:pPr>
        <w:tabs>
          <w:tab w:val="left" w:pos="993"/>
        </w:tabs>
        <w:spacing w:before="120" w:after="120"/>
        <w:jc w:val="center"/>
        <w:rPr>
          <w:rFonts w:asciiTheme="majorBidi" w:hAnsiTheme="majorBidi" w:cstheme="majorBidi"/>
          <w:b/>
          <w:szCs w:val="22"/>
          <w:lang w:val="es-ES_tradnl"/>
        </w:rPr>
      </w:pPr>
      <w:r w:rsidRPr="00A202B4">
        <w:rPr>
          <w:rFonts w:asciiTheme="majorBidi" w:hAnsiTheme="majorBidi" w:cstheme="majorBidi"/>
          <w:b/>
          <w:szCs w:val="22"/>
          <w:lang w:val="es-ES_tradnl"/>
        </w:rPr>
        <w:t>IV.</w:t>
      </w:r>
      <w:r w:rsidRPr="00A202B4">
        <w:rPr>
          <w:rFonts w:asciiTheme="majorBidi" w:hAnsiTheme="majorBidi" w:cstheme="majorBidi"/>
          <w:b/>
          <w:szCs w:val="22"/>
          <w:lang w:val="es-ES_tradnl"/>
        </w:rPr>
        <w:tab/>
        <w:t>EVALUACIÓN Y REVISIÓN</w:t>
      </w:r>
    </w:p>
    <w:p w14:paraId="30B2AB91" w14:textId="77777777" w:rsidR="00905212" w:rsidRPr="00A202B4" w:rsidRDefault="00905212" w:rsidP="00905212">
      <w:pPr>
        <w:spacing w:before="120" w:after="120"/>
        <w:rPr>
          <w:rFonts w:asciiTheme="majorBidi" w:hAnsiTheme="majorBidi" w:cstheme="majorBidi"/>
          <w:szCs w:val="22"/>
          <w:lang w:val="es-ES_tradnl"/>
        </w:rPr>
      </w:pPr>
      <w:r w:rsidRPr="00A202B4">
        <w:rPr>
          <w:rFonts w:asciiTheme="majorBidi" w:hAnsiTheme="majorBidi" w:cstheme="majorBidi"/>
          <w:szCs w:val="22"/>
          <w:lang w:val="es-ES_tradnl"/>
        </w:rPr>
        <w:t>13.</w:t>
      </w:r>
      <w:r w:rsidRPr="00A202B4">
        <w:rPr>
          <w:rFonts w:asciiTheme="majorBidi" w:hAnsiTheme="majorBidi" w:cstheme="majorBidi"/>
          <w:szCs w:val="22"/>
          <w:lang w:val="es-ES_tradnl"/>
        </w:rPr>
        <w:tab/>
      </w:r>
      <w:r w:rsidRPr="00A202B4">
        <w:rPr>
          <w:rFonts w:asciiTheme="majorBidi" w:hAnsiTheme="majorBidi"/>
          <w:szCs w:val="22"/>
          <w:lang w:val="es-ES_tradnl"/>
        </w:rPr>
        <w:t>La Conferencia de las Partes que actúa como reunión de las Partes en el Protocolo de Cartagena realizará una evaluación a mitad de período y podrá decidir si realizará una evaluación final del Plan de Aplicación. Estas evaluaciones podrían basarse en la información proporcionada por las Partes en sus informes nacionales e información del Centro de Intercambio de Información sobre Seguridad de la Biotecnología, entre otros datos. Esta información podría emplearse para evaluar en qué medida se están cumpliendo los objetivos del Plan de Aplicación</w:t>
      </w:r>
      <w:r w:rsidRPr="00A202B4">
        <w:rPr>
          <w:rFonts w:asciiTheme="majorBidi" w:hAnsiTheme="majorBidi" w:cstheme="majorBidi"/>
          <w:szCs w:val="22"/>
          <w:lang w:val="es-ES_tradnl"/>
        </w:rPr>
        <w:t>.</w:t>
      </w:r>
    </w:p>
    <w:p w14:paraId="516C971E" w14:textId="77777777" w:rsidR="00905212" w:rsidRPr="00A202B4" w:rsidRDefault="00905212" w:rsidP="00905212">
      <w:pPr>
        <w:spacing w:before="120" w:after="120"/>
        <w:rPr>
          <w:rFonts w:asciiTheme="majorBidi" w:hAnsiTheme="majorBidi" w:cstheme="majorBidi"/>
          <w:szCs w:val="22"/>
          <w:lang w:val="es-ES_tradnl"/>
        </w:rPr>
      </w:pPr>
      <w:r w:rsidRPr="00A202B4">
        <w:rPr>
          <w:rFonts w:asciiTheme="majorBidi" w:hAnsiTheme="majorBidi" w:cstheme="majorBidi"/>
          <w:szCs w:val="22"/>
          <w:lang w:val="es-ES_tradnl"/>
        </w:rPr>
        <w:t>14.</w:t>
      </w:r>
      <w:r w:rsidRPr="00A202B4">
        <w:rPr>
          <w:rFonts w:asciiTheme="majorBidi" w:hAnsiTheme="majorBidi" w:cstheme="majorBidi"/>
          <w:szCs w:val="22"/>
          <w:lang w:val="es-ES_tradnl"/>
        </w:rPr>
        <w:tab/>
      </w:r>
      <w:r w:rsidRPr="00A202B4">
        <w:rPr>
          <w:rFonts w:asciiTheme="majorBidi" w:hAnsiTheme="majorBidi"/>
          <w:szCs w:val="22"/>
          <w:lang w:val="es-ES_tradnl"/>
        </w:rPr>
        <w:t>Los resultados de la cuarta evaluación y revisión de la eficacia del Protocolo de Cartagena y la evaluación final del Plan Estratégico para el Protocolo de Cartagena sobre Seguridad de la Biotecnología para el período 2011-2020 se utilizarán para establecer valores de referencia a fin de medir los progresos en el logro de las metas del Plan de Aplicación</w:t>
      </w:r>
      <w:r w:rsidRPr="00A202B4">
        <w:rPr>
          <w:rFonts w:asciiTheme="majorBidi" w:hAnsiTheme="majorBidi" w:cstheme="majorBidi"/>
          <w:szCs w:val="22"/>
          <w:lang w:val="es-ES_tradnl"/>
        </w:rPr>
        <w:t>.</w:t>
      </w:r>
    </w:p>
    <w:p w14:paraId="4DEE31A4" w14:textId="77777777" w:rsidR="00905212" w:rsidRPr="00A202B4" w:rsidRDefault="00905212" w:rsidP="00905212">
      <w:pPr>
        <w:tabs>
          <w:tab w:val="left" w:pos="993"/>
        </w:tabs>
        <w:spacing w:before="120" w:after="120"/>
        <w:jc w:val="center"/>
        <w:rPr>
          <w:rFonts w:asciiTheme="majorBidi" w:hAnsiTheme="majorBidi" w:cstheme="majorBidi"/>
          <w:b/>
          <w:szCs w:val="22"/>
          <w:lang w:val="es-ES_tradnl"/>
        </w:rPr>
      </w:pPr>
      <w:r w:rsidRPr="00A202B4">
        <w:rPr>
          <w:rFonts w:asciiTheme="majorBidi" w:hAnsiTheme="majorBidi" w:cstheme="majorBidi"/>
          <w:b/>
          <w:szCs w:val="22"/>
          <w:lang w:val="es-ES_tradnl"/>
        </w:rPr>
        <w:lastRenderedPageBreak/>
        <w:t>V.</w:t>
      </w:r>
      <w:r w:rsidRPr="00A202B4">
        <w:rPr>
          <w:rFonts w:asciiTheme="majorBidi" w:hAnsiTheme="majorBidi" w:cstheme="majorBidi"/>
          <w:b/>
          <w:szCs w:val="22"/>
          <w:lang w:val="es-ES_tradnl"/>
        </w:rPr>
        <w:tab/>
        <w:t>PRIORIDADES Y PROGRAMACIÓN</w:t>
      </w:r>
    </w:p>
    <w:p w14:paraId="45F32EF4" w14:textId="77777777" w:rsidR="00905212" w:rsidRPr="00A202B4" w:rsidRDefault="00905212" w:rsidP="00905212">
      <w:pPr>
        <w:spacing w:before="120" w:after="120"/>
        <w:rPr>
          <w:rFonts w:asciiTheme="majorBidi" w:hAnsiTheme="majorBidi" w:cstheme="majorBidi"/>
          <w:szCs w:val="22"/>
          <w:lang w:val="es-ES_tradnl"/>
        </w:rPr>
      </w:pPr>
      <w:r w:rsidRPr="00A202B4">
        <w:rPr>
          <w:rFonts w:asciiTheme="majorBidi" w:hAnsiTheme="majorBidi" w:cstheme="majorBidi"/>
          <w:szCs w:val="22"/>
          <w:lang w:val="es-ES_tradnl"/>
        </w:rPr>
        <w:t>15.</w:t>
      </w:r>
      <w:r w:rsidRPr="00A202B4">
        <w:rPr>
          <w:rFonts w:asciiTheme="majorBidi" w:hAnsiTheme="majorBidi" w:cstheme="majorBidi"/>
          <w:szCs w:val="22"/>
          <w:lang w:val="es-ES_tradnl"/>
        </w:rPr>
        <w:tab/>
      </w:r>
      <w:r w:rsidRPr="00A202B4">
        <w:rPr>
          <w:rFonts w:asciiTheme="majorBidi" w:hAnsiTheme="majorBidi"/>
          <w:szCs w:val="22"/>
          <w:lang w:val="es-ES_tradnl"/>
        </w:rPr>
        <w:t>La Conferencia de las Partes que actúa como reunión de las Partes en el Protocolo de Cartagena podría establecer en forma periódica prioridades para planificar y programar la labor a realizar dentro del período del Plan de Aplicación. Esto podría incluir la identificación de hitos que conduzcan al logro de los objetivos del Plan de Aplicación</w:t>
      </w:r>
      <w:r w:rsidRPr="00A202B4">
        <w:rPr>
          <w:rFonts w:asciiTheme="majorBidi" w:hAnsiTheme="majorBidi" w:cstheme="majorBidi"/>
          <w:szCs w:val="22"/>
          <w:lang w:val="es-ES_tradnl"/>
        </w:rPr>
        <w:t>.</w:t>
      </w:r>
    </w:p>
    <w:p w14:paraId="1D5D2055" w14:textId="77777777" w:rsidR="00905212" w:rsidRPr="00A202B4" w:rsidRDefault="00905212" w:rsidP="00905212">
      <w:pPr>
        <w:spacing w:before="120" w:after="120"/>
        <w:rPr>
          <w:rFonts w:asciiTheme="majorBidi" w:hAnsiTheme="majorBidi" w:cstheme="majorBidi"/>
          <w:szCs w:val="22"/>
          <w:lang w:val="es-ES_tradnl"/>
        </w:rPr>
      </w:pPr>
      <w:r w:rsidRPr="00A202B4">
        <w:rPr>
          <w:rFonts w:asciiTheme="majorBidi" w:hAnsiTheme="majorBidi" w:cstheme="majorBidi"/>
          <w:szCs w:val="22"/>
          <w:lang w:val="es-ES_tradnl"/>
        </w:rPr>
        <w:t>16.</w:t>
      </w:r>
      <w:r w:rsidRPr="00A202B4">
        <w:rPr>
          <w:rFonts w:asciiTheme="majorBidi" w:hAnsiTheme="majorBidi" w:cstheme="majorBidi"/>
          <w:szCs w:val="22"/>
          <w:lang w:val="es-ES_tradnl"/>
        </w:rPr>
        <w:tab/>
      </w:r>
      <w:r w:rsidRPr="00A202B4">
        <w:rPr>
          <w:rFonts w:asciiTheme="majorBidi" w:hAnsiTheme="majorBidi"/>
          <w:szCs w:val="22"/>
          <w:lang w:val="es-ES_tradnl"/>
        </w:rPr>
        <w:t>Al determinar las prioridades y la programación, la Conferencia de las Partes que actúa como reunión de las Partes en el Protocolo de Cartagena tal vez desee tener en cuenta las novedades y los avances en la esfera de la seguridad de la biotecnología y la biotecnología. En este sentido, el enfoque adoptado en el Plan de Aplicación implica que cuando los organismos desarrollados mediante nuevas tecnologías constituyen “organismos vivos modificados”, tal como se definen en el Protocolo, estos organismos se abordan en el Plan</w:t>
      </w:r>
      <w:r w:rsidRPr="00A202B4">
        <w:rPr>
          <w:rFonts w:asciiTheme="majorBidi" w:hAnsiTheme="majorBidi" w:cstheme="majorBidi"/>
          <w:szCs w:val="22"/>
          <w:lang w:val="es-ES_tradnl"/>
        </w:rPr>
        <w:t>.</w:t>
      </w:r>
    </w:p>
    <w:p w14:paraId="18AE209E" w14:textId="77777777" w:rsidR="00905212" w:rsidRPr="00A202B4" w:rsidRDefault="00905212" w:rsidP="00905212">
      <w:pPr>
        <w:keepNext/>
        <w:tabs>
          <w:tab w:val="left" w:pos="993"/>
        </w:tabs>
        <w:spacing w:before="120" w:after="120"/>
        <w:jc w:val="center"/>
        <w:rPr>
          <w:rFonts w:asciiTheme="majorBidi" w:hAnsiTheme="majorBidi" w:cstheme="majorBidi"/>
          <w:b/>
          <w:szCs w:val="22"/>
          <w:lang w:val="es-ES_tradnl"/>
        </w:rPr>
      </w:pPr>
      <w:r w:rsidRPr="00A202B4">
        <w:rPr>
          <w:rFonts w:asciiTheme="majorBidi" w:hAnsiTheme="majorBidi" w:cstheme="majorBidi"/>
          <w:b/>
          <w:szCs w:val="22"/>
          <w:lang w:val="es-ES_tradnl"/>
        </w:rPr>
        <w:t>VI.</w:t>
      </w:r>
      <w:r w:rsidRPr="00A202B4">
        <w:rPr>
          <w:rFonts w:asciiTheme="majorBidi" w:hAnsiTheme="majorBidi" w:cstheme="majorBidi"/>
          <w:b/>
          <w:szCs w:val="22"/>
          <w:lang w:val="es-ES_tradnl"/>
        </w:rPr>
        <w:tab/>
        <w:t>RECURSOS</w:t>
      </w:r>
    </w:p>
    <w:p w14:paraId="6B2608AA" w14:textId="77777777" w:rsidR="00905212" w:rsidRPr="00A202B4" w:rsidRDefault="00905212" w:rsidP="00905212">
      <w:pPr>
        <w:spacing w:before="120" w:after="120"/>
        <w:rPr>
          <w:rFonts w:asciiTheme="majorBidi" w:hAnsiTheme="majorBidi" w:cstheme="majorBidi"/>
          <w:szCs w:val="22"/>
          <w:lang w:val="es-ES_tradnl"/>
        </w:rPr>
      </w:pPr>
      <w:r w:rsidRPr="00A202B4">
        <w:rPr>
          <w:rFonts w:asciiTheme="majorBidi" w:hAnsiTheme="majorBidi" w:cstheme="majorBidi"/>
          <w:szCs w:val="22"/>
          <w:lang w:val="es-ES_tradnl"/>
        </w:rPr>
        <w:t>17.</w:t>
      </w:r>
      <w:r w:rsidRPr="00A202B4">
        <w:rPr>
          <w:rFonts w:asciiTheme="majorBidi" w:hAnsiTheme="majorBidi" w:cstheme="majorBidi"/>
          <w:szCs w:val="22"/>
          <w:lang w:val="es-ES_tradnl"/>
        </w:rPr>
        <w:tab/>
      </w:r>
      <w:r w:rsidRPr="00A202B4">
        <w:rPr>
          <w:rFonts w:asciiTheme="majorBidi" w:hAnsiTheme="majorBidi"/>
          <w:szCs w:val="22"/>
          <w:lang w:val="es-ES_tradnl"/>
        </w:rPr>
        <w:t>El éxito de la aplicación del Protocolo depende en gran medida del acceso a recursos humanos, técnicos y financieros adecuados y una cooperación eficaz, de conformidad con los artículos 22 y 28 del Protocolo. El Plan de Aplicación tiene como finalidad apoyar a las Partes en este sentido, en particular en el marco de las metas relacionadas con la creación de un entorno propicio</w:t>
      </w:r>
      <w:r w:rsidRPr="00A202B4">
        <w:rPr>
          <w:rFonts w:asciiTheme="majorBidi" w:hAnsiTheme="majorBidi" w:cstheme="majorBidi"/>
          <w:szCs w:val="22"/>
          <w:lang w:val="es-ES_tradnl"/>
        </w:rPr>
        <w:t>.</w:t>
      </w:r>
    </w:p>
    <w:p w14:paraId="2D275599" w14:textId="77777777" w:rsidR="00905212" w:rsidRPr="00A202B4" w:rsidRDefault="00905212" w:rsidP="00905212">
      <w:pPr>
        <w:tabs>
          <w:tab w:val="left" w:pos="993"/>
        </w:tabs>
        <w:spacing w:before="120" w:after="120"/>
        <w:jc w:val="center"/>
        <w:rPr>
          <w:rFonts w:asciiTheme="majorBidi" w:hAnsiTheme="majorBidi" w:cstheme="majorBidi"/>
          <w:b/>
          <w:szCs w:val="22"/>
          <w:lang w:val="es-ES_tradnl"/>
        </w:rPr>
      </w:pPr>
      <w:r w:rsidRPr="00A202B4">
        <w:rPr>
          <w:rFonts w:asciiTheme="majorBidi" w:hAnsiTheme="majorBidi" w:cstheme="majorBidi"/>
          <w:b/>
          <w:szCs w:val="22"/>
          <w:lang w:val="es-ES_tradnl"/>
        </w:rPr>
        <w:t>VII.</w:t>
      </w:r>
      <w:r w:rsidRPr="00A202B4">
        <w:rPr>
          <w:rFonts w:asciiTheme="majorBidi" w:hAnsiTheme="majorBidi" w:cstheme="majorBidi"/>
          <w:b/>
          <w:szCs w:val="22"/>
          <w:lang w:val="es-ES_tradnl"/>
        </w:rPr>
        <w:tab/>
        <w:t>FUNCIÓN DE LA SECRETARÍA</w:t>
      </w:r>
    </w:p>
    <w:p w14:paraId="590BA187" w14:textId="77777777" w:rsidR="00905212" w:rsidRPr="00A202B4" w:rsidRDefault="00905212" w:rsidP="00905212">
      <w:pPr>
        <w:rPr>
          <w:rFonts w:asciiTheme="majorBidi" w:hAnsiTheme="majorBidi" w:cstheme="majorBidi"/>
          <w:szCs w:val="22"/>
          <w:lang w:val="es-ES_tradnl"/>
        </w:rPr>
      </w:pPr>
      <w:r w:rsidRPr="00A202B4">
        <w:rPr>
          <w:rFonts w:asciiTheme="majorBidi" w:hAnsiTheme="majorBidi" w:cstheme="majorBidi"/>
          <w:szCs w:val="22"/>
          <w:lang w:val="es-ES_tradnl"/>
        </w:rPr>
        <w:t>18.</w:t>
      </w:r>
      <w:r w:rsidRPr="00A202B4">
        <w:rPr>
          <w:rFonts w:asciiTheme="majorBidi" w:hAnsiTheme="majorBidi" w:cstheme="majorBidi"/>
          <w:szCs w:val="22"/>
          <w:lang w:val="es-ES_tradnl"/>
        </w:rPr>
        <w:tab/>
      </w:r>
      <w:r w:rsidRPr="00A202B4">
        <w:rPr>
          <w:rFonts w:asciiTheme="majorBidi" w:hAnsiTheme="majorBidi"/>
          <w:szCs w:val="22"/>
          <w:lang w:val="es-ES_tradnl"/>
        </w:rPr>
        <w:t>Si bien el Plan de Aplicación está dirigido principalmente a las Partes, la Secretaría del Convenio sobre la Diversidad Biológica apoyará a las Partes en sus esfuerzos para aplicar el Protocolo, siguiendo la orientación de la Conferencia de las Partes que actúa como reunión de las Partes en el Protocolo de Cartagena y de conformidad con el artículo 31 del Protocolo de Cartagena y el artículo 24 del Convenio sobre la Diversidad Biológica. Este apoyo incluye la gestión y el mantenimiento del Centro de Intercambio de Información sobre Seguridad de la Biotecnología, así como la realización de actividades tales como actividades de creación de capacidad, según lo solicitado por la Conferencia de las Partes que actúa como reunión de las Partes en el Protocolo</w:t>
      </w:r>
      <w:r w:rsidRPr="00A202B4">
        <w:rPr>
          <w:rFonts w:asciiTheme="majorBidi" w:hAnsiTheme="majorBidi" w:cstheme="majorBidi"/>
          <w:szCs w:val="22"/>
          <w:lang w:val="es-ES_tradnl"/>
        </w:rPr>
        <w:t xml:space="preserve">. </w:t>
      </w:r>
    </w:p>
    <w:p w14:paraId="2E4094CE" w14:textId="77777777" w:rsidR="00905212" w:rsidRPr="00A202B4" w:rsidRDefault="00905212" w:rsidP="00905212">
      <w:pPr>
        <w:rPr>
          <w:rFonts w:asciiTheme="majorBidi" w:hAnsiTheme="majorBidi" w:cstheme="majorBidi"/>
          <w:szCs w:val="22"/>
          <w:lang w:val="es-ES_tradnl"/>
        </w:rPr>
      </w:pPr>
    </w:p>
    <w:p w14:paraId="6093130E" w14:textId="77777777" w:rsidR="00905212" w:rsidRPr="00A202B4" w:rsidRDefault="00905212" w:rsidP="00905212">
      <w:pPr>
        <w:jc w:val="center"/>
        <w:rPr>
          <w:i/>
          <w:lang w:val="es-ES_tradnl"/>
        </w:rPr>
      </w:pPr>
      <w:r w:rsidRPr="00A202B4">
        <w:rPr>
          <w:bCs/>
          <w:i/>
          <w:lang w:val="es-ES_tradnl"/>
        </w:rPr>
        <w:t>Apéndice</w:t>
      </w:r>
    </w:p>
    <w:p w14:paraId="054EDCED" w14:textId="77777777" w:rsidR="00905212" w:rsidRPr="00A202B4" w:rsidRDefault="00905212" w:rsidP="00905212">
      <w:pPr>
        <w:rPr>
          <w:rFonts w:asciiTheme="majorBidi" w:hAnsiTheme="majorBidi" w:cstheme="majorBidi"/>
          <w:sz w:val="20"/>
          <w:szCs w:val="20"/>
          <w:lang w:val="es-ES_tradnl"/>
        </w:rPr>
      </w:pPr>
    </w:p>
    <w:tbl>
      <w:tblPr>
        <w:tblStyle w:val="TableGrid"/>
        <w:tblW w:w="11057" w:type="dxa"/>
        <w:tblInd w:w="-856" w:type="dxa"/>
        <w:tblLook w:val="04A0" w:firstRow="1" w:lastRow="0" w:firstColumn="1" w:lastColumn="0" w:noHBand="0" w:noVBand="1"/>
      </w:tblPr>
      <w:tblGrid>
        <w:gridCol w:w="1844"/>
        <w:gridCol w:w="3118"/>
        <w:gridCol w:w="3969"/>
        <w:gridCol w:w="2126"/>
      </w:tblGrid>
      <w:tr w:rsidR="00905212" w:rsidRPr="00A202B4" w14:paraId="2B752C95" w14:textId="77777777" w:rsidTr="00905212">
        <w:trPr>
          <w:tblHeader/>
        </w:trPr>
        <w:tc>
          <w:tcPr>
            <w:tcW w:w="11057" w:type="dxa"/>
            <w:gridSpan w:val="4"/>
          </w:tcPr>
          <w:p w14:paraId="3D7E2599" w14:textId="77777777" w:rsidR="00905212" w:rsidRPr="00A202B4" w:rsidRDefault="00905212" w:rsidP="00905212">
            <w:pPr>
              <w:suppressLineNumbers/>
              <w:suppressAutoHyphens/>
              <w:spacing w:before="120" w:after="120"/>
              <w:jc w:val="center"/>
              <w:rPr>
                <w:rFonts w:asciiTheme="majorBidi" w:hAnsiTheme="majorBidi" w:cstheme="majorBidi"/>
                <w:bCs/>
                <w:kern w:val="22"/>
                <w:szCs w:val="22"/>
                <w:lang w:val="es-ES_tradnl"/>
              </w:rPr>
            </w:pPr>
            <w:r w:rsidRPr="00A202B4">
              <w:rPr>
                <w:rFonts w:asciiTheme="majorBidi" w:eastAsia="MS Mincho" w:hAnsiTheme="majorBidi" w:cstheme="majorBidi"/>
                <w:b/>
                <w:bCs/>
                <w:kern w:val="22"/>
                <w:szCs w:val="22"/>
                <w:lang w:val="es-ES_tradnl"/>
              </w:rPr>
              <w:t>Plan de Aplicación para el Protocolo de Cartagena sobre Seguridad de la Biotecnología</w:t>
            </w:r>
          </w:p>
        </w:tc>
      </w:tr>
      <w:tr w:rsidR="00905212" w:rsidRPr="00A202B4" w14:paraId="449B35C5" w14:textId="77777777" w:rsidTr="00905212">
        <w:trPr>
          <w:trHeight w:val="341"/>
          <w:tblHeader/>
        </w:trPr>
        <w:tc>
          <w:tcPr>
            <w:tcW w:w="1844" w:type="dxa"/>
            <w:tcBorders>
              <w:bottom w:val="nil"/>
            </w:tcBorders>
            <w:vAlign w:val="center"/>
          </w:tcPr>
          <w:p w14:paraId="493C2D57" w14:textId="77777777" w:rsidR="00905212" w:rsidRPr="00A202B4" w:rsidRDefault="00905212" w:rsidP="00905212">
            <w:pPr>
              <w:suppressLineNumbers/>
              <w:suppressAutoHyphens/>
              <w:spacing w:before="120" w:after="120"/>
              <w:jc w:val="center"/>
              <w:rPr>
                <w:rFonts w:asciiTheme="majorBidi" w:hAnsiTheme="majorBidi" w:cstheme="majorBidi"/>
                <w:bCs/>
                <w:kern w:val="22"/>
                <w:szCs w:val="22"/>
                <w:lang w:val="es-ES_tradnl"/>
              </w:rPr>
            </w:pPr>
            <w:r w:rsidRPr="00A202B4">
              <w:rPr>
                <w:rFonts w:asciiTheme="majorBidi" w:hAnsiTheme="majorBidi"/>
                <w:b/>
                <w:szCs w:val="22"/>
                <w:lang w:val="es-ES_tradnl"/>
              </w:rPr>
              <w:t>Metas</w:t>
            </w:r>
          </w:p>
        </w:tc>
        <w:tc>
          <w:tcPr>
            <w:tcW w:w="3118" w:type="dxa"/>
            <w:tcBorders>
              <w:bottom w:val="nil"/>
            </w:tcBorders>
            <w:vAlign w:val="center"/>
          </w:tcPr>
          <w:p w14:paraId="24A43AF3" w14:textId="77777777" w:rsidR="00905212" w:rsidRPr="00A202B4" w:rsidRDefault="00905212" w:rsidP="00905212">
            <w:pPr>
              <w:suppressLineNumbers/>
              <w:suppressAutoHyphens/>
              <w:spacing w:before="120" w:after="120"/>
              <w:jc w:val="center"/>
              <w:rPr>
                <w:rFonts w:asciiTheme="majorBidi" w:hAnsiTheme="majorBidi" w:cstheme="majorBidi"/>
                <w:bCs/>
                <w:kern w:val="22"/>
                <w:szCs w:val="22"/>
                <w:lang w:val="es-ES_tradnl"/>
              </w:rPr>
            </w:pPr>
            <w:r w:rsidRPr="00A202B4">
              <w:rPr>
                <w:rFonts w:asciiTheme="majorBidi" w:hAnsiTheme="majorBidi"/>
                <w:b/>
                <w:szCs w:val="22"/>
                <w:lang w:val="es-ES_tradnl"/>
              </w:rPr>
              <w:t>Objetivos</w:t>
            </w:r>
          </w:p>
        </w:tc>
        <w:tc>
          <w:tcPr>
            <w:tcW w:w="3969" w:type="dxa"/>
            <w:tcBorders>
              <w:bottom w:val="nil"/>
            </w:tcBorders>
            <w:vAlign w:val="center"/>
          </w:tcPr>
          <w:p w14:paraId="4B7635AC" w14:textId="77777777" w:rsidR="00905212" w:rsidRPr="00A202B4" w:rsidRDefault="00905212" w:rsidP="00905212">
            <w:pPr>
              <w:suppressLineNumbers/>
              <w:suppressAutoHyphens/>
              <w:spacing w:before="120" w:after="120"/>
              <w:jc w:val="center"/>
              <w:rPr>
                <w:rFonts w:asciiTheme="majorBidi" w:hAnsiTheme="majorBidi" w:cstheme="majorBidi"/>
                <w:bCs/>
                <w:kern w:val="22"/>
                <w:szCs w:val="22"/>
                <w:lang w:val="es-ES_tradnl"/>
              </w:rPr>
            </w:pPr>
            <w:r w:rsidRPr="00A202B4">
              <w:rPr>
                <w:rFonts w:asciiTheme="majorBidi" w:hAnsiTheme="majorBidi"/>
                <w:b/>
                <w:szCs w:val="22"/>
                <w:lang w:val="es-ES_tradnl"/>
              </w:rPr>
              <w:t>Indicadores</w:t>
            </w:r>
          </w:p>
        </w:tc>
        <w:tc>
          <w:tcPr>
            <w:tcW w:w="2126" w:type="dxa"/>
            <w:tcBorders>
              <w:bottom w:val="nil"/>
            </w:tcBorders>
            <w:vAlign w:val="center"/>
          </w:tcPr>
          <w:p w14:paraId="10F5E692" w14:textId="77777777" w:rsidR="00905212" w:rsidRPr="00A202B4" w:rsidRDefault="00905212" w:rsidP="00905212">
            <w:pPr>
              <w:suppressLineNumbers/>
              <w:suppressAutoHyphens/>
              <w:spacing w:before="120" w:after="120"/>
              <w:jc w:val="center"/>
              <w:rPr>
                <w:rFonts w:asciiTheme="majorBidi" w:hAnsiTheme="majorBidi" w:cstheme="majorBidi"/>
                <w:bCs/>
                <w:kern w:val="22"/>
                <w:szCs w:val="22"/>
                <w:lang w:val="es-ES_tradnl"/>
              </w:rPr>
            </w:pPr>
            <w:r w:rsidRPr="00A202B4">
              <w:rPr>
                <w:rFonts w:asciiTheme="majorBidi" w:hAnsiTheme="majorBidi"/>
                <w:b/>
                <w:szCs w:val="22"/>
                <w:lang w:val="es-ES_tradnl"/>
              </w:rPr>
              <w:t>Resultados</w:t>
            </w:r>
          </w:p>
        </w:tc>
      </w:tr>
      <w:tr w:rsidR="00905212" w:rsidRPr="00A202B4" w14:paraId="76B50429" w14:textId="77777777" w:rsidTr="00905212">
        <w:trPr>
          <w:trHeight w:val="444"/>
        </w:trPr>
        <w:tc>
          <w:tcPr>
            <w:tcW w:w="1844" w:type="dxa"/>
            <w:tcBorders>
              <w:top w:val="nil"/>
            </w:tcBorders>
          </w:tcPr>
          <w:p w14:paraId="116AB264" w14:textId="77777777" w:rsidR="00905212" w:rsidRPr="00A202B4" w:rsidRDefault="00905212" w:rsidP="00905212">
            <w:pPr>
              <w:suppressLineNumbers/>
              <w:suppressAutoHyphens/>
              <w:spacing w:before="120" w:after="120"/>
              <w:jc w:val="center"/>
              <w:rPr>
                <w:rFonts w:asciiTheme="majorBidi" w:hAnsiTheme="majorBidi" w:cstheme="majorBidi"/>
                <w:bCs/>
                <w:kern w:val="22"/>
                <w:szCs w:val="22"/>
                <w:lang w:val="es-ES_tradnl"/>
              </w:rPr>
            </w:pPr>
            <w:r w:rsidRPr="00A202B4">
              <w:rPr>
                <w:rFonts w:asciiTheme="majorBidi" w:hAnsiTheme="majorBidi"/>
                <w:i/>
                <w:szCs w:val="22"/>
                <w:lang w:val="es-ES_tradnl"/>
              </w:rPr>
              <w:t>(Logros deseables)</w:t>
            </w:r>
          </w:p>
        </w:tc>
        <w:tc>
          <w:tcPr>
            <w:tcW w:w="3118" w:type="dxa"/>
            <w:tcBorders>
              <w:top w:val="nil"/>
            </w:tcBorders>
          </w:tcPr>
          <w:p w14:paraId="454A686A" w14:textId="77777777" w:rsidR="00905212" w:rsidRPr="00A202B4" w:rsidRDefault="00905212" w:rsidP="00905212">
            <w:pPr>
              <w:suppressLineNumbers/>
              <w:suppressAutoHyphens/>
              <w:spacing w:before="120" w:after="120"/>
              <w:jc w:val="center"/>
              <w:rPr>
                <w:rFonts w:asciiTheme="majorBidi" w:hAnsiTheme="majorBidi" w:cstheme="majorBidi"/>
                <w:bCs/>
                <w:kern w:val="22"/>
                <w:szCs w:val="22"/>
                <w:lang w:val="es-ES_tradnl"/>
              </w:rPr>
            </w:pPr>
            <w:r w:rsidRPr="00A202B4">
              <w:rPr>
                <w:rFonts w:asciiTheme="majorBidi" w:hAnsiTheme="majorBidi"/>
                <w:i/>
                <w:szCs w:val="22"/>
                <w:lang w:val="es-ES_tradnl"/>
              </w:rPr>
              <w:t>(Lo que debe lograrse para alcanzar la meta)</w:t>
            </w:r>
          </w:p>
        </w:tc>
        <w:tc>
          <w:tcPr>
            <w:tcW w:w="3969" w:type="dxa"/>
            <w:tcBorders>
              <w:top w:val="nil"/>
            </w:tcBorders>
          </w:tcPr>
          <w:p w14:paraId="52948C4A" w14:textId="77777777" w:rsidR="00905212" w:rsidRPr="00A202B4" w:rsidRDefault="00905212" w:rsidP="00905212">
            <w:pPr>
              <w:suppressLineNumbers/>
              <w:suppressAutoHyphens/>
              <w:spacing w:before="120" w:after="120"/>
              <w:jc w:val="center"/>
              <w:rPr>
                <w:rFonts w:asciiTheme="majorBidi" w:hAnsiTheme="majorBidi" w:cstheme="majorBidi"/>
                <w:bCs/>
                <w:kern w:val="22"/>
                <w:szCs w:val="22"/>
                <w:lang w:val="es-ES_tradnl"/>
              </w:rPr>
            </w:pPr>
            <w:r w:rsidRPr="00A202B4">
              <w:rPr>
                <w:rFonts w:asciiTheme="majorBidi" w:hAnsiTheme="majorBidi"/>
                <w:i/>
                <w:szCs w:val="22"/>
                <w:lang w:val="es-ES_tradnl"/>
              </w:rPr>
              <w:t>(Medición del progreso hacia los objetivos)</w:t>
            </w:r>
          </w:p>
        </w:tc>
        <w:tc>
          <w:tcPr>
            <w:tcW w:w="2126" w:type="dxa"/>
            <w:tcBorders>
              <w:top w:val="nil"/>
            </w:tcBorders>
          </w:tcPr>
          <w:p w14:paraId="27D6CE4C" w14:textId="77777777" w:rsidR="00905212" w:rsidRPr="00A202B4" w:rsidRDefault="00905212" w:rsidP="00905212">
            <w:pPr>
              <w:suppressLineNumbers/>
              <w:suppressAutoHyphens/>
              <w:spacing w:before="120" w:after="120"/>
              <w:jc w:val="center"/>
              <w:rPr>
                <w:rFonts w:asciiTheme="majorBidi" w:hAnsiTheme="majorBidi" w:cstheme="majorBidi"/>
                <w:bCs/>
                <w:kern w:val="22"/>
                <w:szCs w:val="22"/>
                <w:lang w:val="es-ES_tradnl"/>
              </w:rPr>
            </w:pPr>
            <w:r w:rsidRPr="00A202B4">
              <w:rPr>
                <w:rFonts w:asciiTheme="majorBidi" w:hAnsiTheme="majorBidi"/>
                <w:i/>
                <w:szCs w:val="22"/>
                <w:lang w:val="es-ES_tradnl"/>
              </w:rPr>
              <w:t>(Efecto de lograr la meta)</w:t>
            </w:r>
          </w:p>
        </w:tc>
      </w:tr>
      <w:tr w:rsidR="00905212" w:rsidRPr="00A202B4" w14:paraId="1B0D57A0" w14:textId="77777777" w:rsidTr="00905212">
        <w:tc>
          <w:tcPr>
            <w:tcW w:w="11057" w:type="dxa"/>
            <w:gridSpan w:val="4"/>
          </w:tcPr>
          <w:p w14:paraId="196D8ED6" w14:textId="7AF5CEE9" w:rsidR="00905212" w:rsidRPr="00A202B4" w:rsidRDefault="00905212" w:rsidP="00B4170C">
            <w:pPr>
              <w:suppressLineNumbers/>
              <w:suppressAutoHyphens/>
              <w:spacing w:before="120" w:after="120"/>
              <w:jc w:val="center"/>
              <w:rPr>
                <w:rFonts w:asciiTheme="majorBidi" w:hAnsiTheme="majorBidi" w:cstheme="majorBidi"/>
                <w:bCs/>
                <w:kern w:val="22"/>
                <w:szCs w:val="22"/>
                <w:lang w:val="es-ES_tradnl"/>
              </w:rPr>
            </w:pPr>
            <w:r w:rsidRPr="00A202B4">
              <w:rPr>
                <w:rFonts w:asciiTheme="majorBidi" w:eastAsia="MS Mincho" w:hAnsiTheme="majorBidi" w:cstheme="majorBidi"/>
                <w:b/>
                <w:bCs/>
                <w:kern w:val="22"/>
                <w:szCs w:val="22"/>
                <w:lang w:val="es-ES_tradnl"/>
              </w:rPr>
              <w:t xml:space="preserve">A. </w:t>
            </w:r>
            <w:r w:rsidRPr="00A202B4">
              <w:rPr>
                <w:rFonts w:asciiTheme="majorBidi" w:hAnsiTheme="majorBidi"/>
                <w:b/>
                <w:szCs w:val="22"/>
                <w:lang w:val="es-ES_tradnl"/>
              </w:rPr>
              <w:t>Esferas de aplicación</w:t>
            </w:r>
          </w:p>
        </w:tc>
      </w:tr>
      <w:tr w:rsidR="00905212" w:rsidRPr="00A202B4" w14:paraId="6C9F9F91" w14:textId="77777777" w:rsidTr="00905212">
        <w:tc>
          <w:tcPr>
            <w:tcW w:w="1844" w:type="dxa"/>
          </w:tcPr>
          <w:p w14:paraId="69E74B39"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b/>
                <w:szCs w:val="22"/>
                <w:lang w:val="es-ES_tradnl"/>
              </w:rPr>
              <w:t>A.1. Las Partes han establecido marcos nacionales de seguridad de la biotecnología funcionales</w:t>
            </w:r>
          </w:p>
        </w:tc>
        <w:tc>
          <w:tcPr>
            <w:tcW w:w="3118" w:type="dxa"/>
          </w:tcPr>
          <w:p w14:paraId="693DA917"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A.1.1. Las Partes han adoptado y aplicado medidas jurídicas, administrativas y de otra índole para cumplir sus obligaciones en el marco del Protocolo;</w:t>
            </w:r>
          </w:p>
          <w:p w14:paraId="7D8CB9F5"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A.1.2. Las Partes han designado autoridades nacionales competentes y puntos focales nacionales para el Protocolo, además de puntos de contacto para medidas de emergencia (artículo 17);</w:t>
            </w:r>
          </w:p>
          <w:p w14:paraId="1AC6EDB5" w14:textId="77777777" w:rsidR="00905212" w:rsidRPr="00A202B4" w:rsidRDefault="00905212" w:rsidP="00905212">
            <w:pPr>
              <w:suppressLineNumbers/>
              <w:suppressAutoHyphens/>
              <w:spacing w:before="120" w:after="120"/>
              <w:jc w:val="left"/>
              <w:rPr>
                <w:rFonts w:asciiTheme="majorBidi" w:hAnsiTheme="majorBidi" w:cstheme="majorBidi"/>
                <w:bCs/>
                <w:spacing w:val="-2"/>
                <w:kern w:val="22"/>
                <w:szCs w:val="22"/>
                <w:lang w:val="es-ES_tradnl"/>
              </w:rPr>
            </w:pPr>
            <w:r w:rsidRPr="00A202B4">
              <w:rPr>
                <w:rFonts w:asciiTheme="majorBidi" w:hAnsiTheme="majorBidi"/>
                <w:spacing w:val="-2"/>
                <w:szCs w:val="22"/>
                <w:lang w:val="es-ES_tradnl"/>
              </w:rPr>
              <w:lastRenderedPageBreak/>
              <w:t>A.1.3. Las autoridades nacionales competentes tienen personal debidamente capacitado para llevar a cabo sus tareas.</w:t>
            </w:r>
          </w:p>
        </w:tc>
        <w:tc>
          <w:tcPr>
            <w:tcW w:w="3969" w:type="dxa"/>
          </w:tcPr>
          <w:p w14:paraId="5C99FC6A"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lastRenderedPageBreak/>
              <w:t>a) Porcentaje de Partes que han establecido medidas para aplicar las disposiciones del Protocolo;</w:t>
            </w:r>
          </w:p>
          <w:p w14:paraId="1A75492C"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b) Porcentaje de Partes que han designado un punto focal nacional y autoridades nacionales competentes para el Protocolo, así como un punto de contacto para medidas de emergencia (artículo 17) y han notificado a la Secretaría en este sentido;</w:t>
            </w:r>
          </w:p>
          <w:p w14:paraId="2084EE95"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 xml:space="preserve">c) Porcentaje de Partes que cuentan con personal calificado para poner en práctica </w:t>
            </w:r>
            <w:r w:rsidRPr="00A202B4">
              <w:rPr>
                <w:rFonts w:asciiTheme="majorBidi" w:hAnsiTheme="majorBidi"/>
                <w:szCs w:val="22"/>
                <w:lang w:val="es-ES_tradnl"/>
              </w:rPr>
              <w:lastRenderedPageBreak/>
              <w:t>sus marcos nacionales de seguridad de la biotecnología.</w:t>
            </w:r>
          </w:p>
        </w:tc>
        <w:tc>
          <w:tcPr>
            <w:tcW w:w="2126" w:type="dxa"/>
          </w:tcPr>
          <w:p w14:paraId="26C19C8D" w14:textId="77777777" w:rsidR="00905212" w:rsidRPr="00A202B4" w:rsidRDefault="00905212" w:rsidP="00905212">
            <w:pPr>
              <w:suppressLineNumbers/>
              <w:suppressAutoHyphens/>
              <w:spacing w:before="120" w:after="120"/>
              <w:jc w:val="left"/>
              <w:rPr>
                <w:rFonts w:asciiTheme="majorBidi" w:hAnsiTheme="majorBidi" w:cstheme="majorBidi"/>
                <w:bCs/>
                <w:spacing w:val="-4"/>
                <w:kern w:val="22"/>
                <w:szCs w:val="22"/>
                <w:lang w:val="es-ES_tradnl"/>
              </w:rPr>
            </w:pPr>
            <w:r w:rsidRPr="00A202B4">
              <w:rPr>
                <w:rFonts w:asciiTheme="majorBidi" w:hAnsiTheme="majorBidi"/>
                <w:spacing w:val="-8"/>
                <w:szCs w:val="22"/>
                <w:lang w:val="es-ES_tradnl"/>
              </w:rPr>
              <w:lastRenderedPageBreak/>
              <w:t>Los marcos nacionales</w:t>
            </w:r>
            <w:r w:rsidRPr="00A202B4">
              <w:rPr>
                <w:rFonts w:asciiTheme="majorBidi" w:hAnsiTheme="majorBidi"/>
                <w:spacing w:val="-4"/>
                <w:szCs w:val="22"/>
                <w:lang w:val="es-ES_tradnl"/>
              </w:rPr>
              <w:t xml:space="preserve"> de seguridad de la biotecnología funcionales permiten que las autoridades competentes, los puntos focales nacionales y los puntos de contacto en virtud del artículo 17 de todas las Partes cumplan las obligaciones </w:t>
            </w:r>
            <w:r w:rsidRPr="00A202B4">
              <w:rPr>
                <w:rFonts w:asciiTheme="majorBidi" w:hAnsiTheme="majorBidi"/>
                <w:spacing w:val="-4"/>
                <w:szCs w:val="22"/>
                <w:lang w:val="es-ES_tradnl"/>
              </w:rPr>
              <w:lastRenderedPageBreak/>
              <w:t>dimanantes del Protocolo de manera eficaz y eficiente</w:t>
            </w:r>
          </w:p>
        </w:tc>
      </w:tr>
      <w:tr w:rsidR="00905212" w:rsidRPr="00A202B4" w14:paraId="2137E1CC" w14:textId="77777777" w:rsidTr="00905212">
        <w:tc>
          <w:tcPr>
            <w:tcW w:w="1844" w:type="dxa"/>
          </w:tcPr>
          <w:p w14:paraId="42B96F6B" w14:textId="77777777" w:rsidR="00905212" w:rsidRPr="00A202B4" w:rsidRDefault="00905212" w:rsidP="00905212">
            <w:pPr>
              <w:suppressLineNumbers/>
              <w:suppressAutoHyphens/>
              <w:spacing w:before="120" w:after="120"/>
              <w:jc w:val="left"/>
              <w:rPr>
                <w:rFonts w:asciiTheme="majorBidi" w:hAnsiTheme="majorBidi" w:cstheme="majorBidi"/>
                <w:bCs/>
                <w:spacing w:val="-2"/>
                <w:kern w:val="22"/>
                <w:szCs w:val="22"/>
                <w:lang w:val="es-ES_tradnl"/>
              </w:rPr>
            </w:pPr>
            <w:r w:rsidRPr="00A202B4">
              <w:rPr>
                <w:rFonts w:asciiTheme="majorBidi" w:hAnsiTheme="majorBidi"/>
                <w:b/>
                <w:spacing w:val="-2"/>
                <w:szCs w:val="22"/>
                <w:lang w:val="es-ES_tradnl"/>
              </w:rPr>
              <w:lastRenderedPageBreak/>
              <w:t xml:space="preserve">A.2. Las Partes han mejorado la disponibilidad y el intercambio de información pertinente a través del Centro de Intercambio de Información sobre Seguridad </w:t>
            </w:r>
            <w:r w:rsidRPr="00A202B4">
              <w:rPr>
                <w:rFonts w:asciiTheme="majorBidi" w:hAnsiTheme="majorBidi"/>
                <w:b/>
                <w:spacing w:val="-8"/>
                <w:szCs w:val="22"/>
                <w:lang w:val="es-ES_tradnl"/>
              </w:rPr>
              <w:t>de la Biotecnología</w:t>
            </w:r>
            <w:r w:rsidRPr="00A202B4">
              <w:rPr>
                <w:rFonts w:asciiTheme="majorBidi" w:hAnsiTheme="majorBidi"/>
                <w:b/>
                <w:spacing w:val="-2"/>
                <w:szCs w:val="22"/>
                <w:lang w:val="es-ES_tradnl"/>
              </w:rPr>
              <w:t xml:space="preserve"> (CIISB)</w:t>
            </w:r>
          </w:p>
        </w:tc>
        <w:tc>
          <w:tcPr>
            <w:tcW w:w="3118" w:type="dxa"/>
          </w:tcPr>
          <w:p w14:paraId="5EF42B85"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A.2.1. Las Partes proporcionan información obligatoria de forma precisa y completa en el CIISB de conformidad con sus obligaciones en virtud del Protocolo;</w:t>
            </w:r>
          </w:p>
          <w:p w14:paraId="58366A60"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A.2.2. Las Partes publican otros tipos de información relacionada con la seguridad de la biotecnología a través del CIISB.</w:t>
            </w:r>
          </w:p>
        </w:tc>
        <w:tc>
          <w:tcPr>
            <w:tcW w:w="3969" w:type="dxa"/>
          </w:tcPr>
          <w:p w14:paraId="3A9BD5A5"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a) Porcentaje de Partes que publican información obligatoria en el CIISB;</w:t>
            </w:r>
          </w:p>
          <w:p w14:paraId="075FDC95"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b) Porcentaje de Partes que publican información no obligatoria relacionada con la seguridad de la biotecnología a través del CIISB;</w:t>
            </w:r>
          </w:p>
          <w:p w14:paraId="039DF81B" w14:textId="77777777" w:rsidR="00905212" w:rsidRPr="00A202B4" w:rsidRDefault="00905212" w:rsidP="00905212">
            <w:pPr>
              <w:suppressLineNumbers/>
              <w:suppressAutoHyphens/>
              <w:spacing w:before="60" w:after="60"/>
              <w:jc w:val="left"/>
              <w:rPr>
                <w:rFonts w:asciiTheme="majorBidi" w:eastAsia="MS Mincho" w:hAnsiTheme="majorBidi" w:cstheme="majorBidi"/>
                <w:szCs w:val="22"/>
                <w:lang w:val="es-ES_tradnl"/>
              </w:rPr>
            </w:pPr>
            <w:r w:rsidRPr="00A202B4">
              <w:rPr>
                <w:rFonts w:asciiTheme="majorBidi" w:hAnsiTheme="majorBidi"/>
                <w:szCs w:val="22"/>
                <w:lang w:val="es-ES_tradnl"/>
              </w:rPr>
              <w:t>c) Número de usuarios activos y visitas al CIISB;</w:t>
            </w:r>
          </w:p>
          <w:p w14:paraId="5E43CB38"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d) Porcentaje de decisiones que figuran en el CIISB con los correspondientes informes de evaluación del riesgo.</w:t>
            </w:r>
          </w:p>
        </w:tc>
        <w:tc>
          <w:tcPr>
            <w:tcW w:w="2126" w:type="dxa"/>
          </w:tcPr>
          <w:p w14:paraId="69D81203"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El CIISB facilita la disponibilidad y el intercambio de información relacionada con la seguridad de la biotecnología y permite que las Partes adopten decisiones informadas</w:t>
            </w:r>
          </w:p>
        </w:tc>
      </w:tr>
      <w:tr w:rsidR="00905212" w:rsidRPr="00A202B4" w14:paraId="57E7DC4A" w14:textId="77777777" w:rsidTr="00905212">
        <w:tc>
          <w:tcPr>
            <w:tcW w:w="1844" w:type="dxa"/>
          </w:tcPr>
          <w:p w14:paraId="77DE0761"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b/>
                <w:szCs w:val="22"/>
                <w:lang w:val="es-ES_tradnl"/>
              </w:rPr>
              <w:t>A.3. Las Partes facilitan de manera oportuna información completa sobre la aplicación del Protocolo</w:t>
            </w:r>
          </w:p>
        </w:tc>
        <w:tc>
          <w:tcPr>
            <w:tcW w:w="3118" w:type="dxa"/>
          </w:tcPr>
          <w:p w14:paraId="1BCDFDE4"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A.3.1. Las Partes presentan los informes nacionales completos dentro del plazo establecido.</w:t>
            </w:r>
          </w:p>
        </w:tc>
        <w:tc>
          <w:tcPr>
            <w:tcW w:w="3969" w:type="dxa"/>
          </w:tcPr>
          <w:p w14:paraId="4891CBCD"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a) Porcentaje de Partes que han presentado un informe nacional completo dentro del plazo establecido;</w:t>
            </w:r>
          </w:p>
          <w:p w14:paraId="1C444540"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b) Porcentaje de Partes que reúnen las condiciones y han recibido financiación del Fondo para el Medio Ambiente Mundial para preparar sus informes nacionales de manera oportuna.</w:t>
            </w:r>
          </w:p>
        </w:tc>
        <w:tc>
          <w:tcPr>
            <w:tcW w:w="2126" w:type="dxa"/>
          </w:tcPr>
          <w:p w14:paraId="0221708F" w14:textId="77777777" w:rsidR="00905212" w:rsidRPr="00A202B4" w:rsidRDefault="00905212" w:rsidP="00905212">
            <w:pPr>
              <w:suppressLineNumbers/>
              <w:suppressAutoHyphens/>
              <w:spacing w:before="120" w:after="120"/>
              <w:jc w:val="left"/>
              <w:rPr>
                <w:rFonts w:asciiTheme="majorBidi" w:hAnsiTheme="majorBidi" w:cstheme="majorBidi"/>
                <w:bCs/>
                <w:spacing w:val="-2"/>
                <w:kern w:val="22"/>
                <w:szCs w:val="22"/>
                <w:lang w:val="es-ES_tradnl"/>
              </w:rPr>
            </w:pPr>
            <w:r w:rsidRPr="00A202B4">
              <w:rPr>
                <w:rFonts w:asciiTheme="majorBidi" w:hAnsiTheme="majorBidi"/>
                <w:spacing w:val="-2"/>
                <w:szCs w:val="22"/>
                <w:lang w:val="es-ES_tradnl"/>
              </w:rPr>
              <w:t>La información precisa y oportuna sobre la aplicación del Protocolo permite a la Conferencia de las Partes que actúa como reunión de las Partes en el Protocolo establecer prioridades e identificar dónde se necesita el apoyo</w:t>
            </w:r>
          </w:p>
        </w:tc>
      </w:tr>
      <w:tr w:rsidR="00905212" w:rsidRPr="00A202B4" w14:paraId="223903D8" w14:textId="77777777" w:rsidTr="00905212">
        <w:tc>
          <w:tcPr>
            <w:tcW w:w="1844" w:type="dxa"/>
          </w:tcPr>
          <w:p w14:paraId="74FAE184" w14:textId="77777777" w:rsidR="00905212" w:rsidRPr="00A202B4" w:rsidRDefault="00905212" w:rsidP="00905212">
            <w:pPr>
              <w:suppressLineNumbers/>
              <w:suppressAutoHyphens/>
              <w:spacing w:before="120" w:after="120"/>
              <w:jc w:val="left"/>
              <w:rPr>
                <w:rFonts w:asciiTheme="majorBidi" w:eastAsia="MS Mincho" w:hAnsiTheme="majorBidi" w:cstheme="majorBidi"/>
                <w:b/>
                <w:kern w:val="22"/>
                <w:szCs w:val="22"/>
                <w:lang w:val="es-ES_tradnl"/>
              </w:rPr>
            </w:pPr>
            <w:r w:rsidRPr="00A202B4">
              <w:rPr>
                <w:rFonts w:asciiTheme="majorBidi" w:hAnsiTheme="majorBidi"/>
                <w:b/>
                <w:szCs w:val="22"/>
                <w:lang w:val="es-ES_tradnl"/>
              </w:rPr>
              <w:t>A.4. Las Partes cumplen con los requisitos del Protocolo</w:t>
            </w:r>
          </w:p>
        </w:tc>
        <w:tc>
          <w:tcPr>
            <w:tcW w:w="3118" w:type="dxa"/>
          </w:tcPr>
          <w:p w14:paraId="57AA859B"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A.4.1. Las Partes cumplen con sus obligaciones en virtud del Protocolo;</w:t>
            </w:r>
          </w:p>
          <w:p w14:paraId="43D46081" w14:textId="77777777" w:rsidR="00905212" w:rsidRPr="00A202B4" w:rsidRDefault="00905212" w:rsidP="00905212">
            <w:pPr>
              <w:suppressLineNumbers/>
              <w:suppressAutoHyphens/>
              <w:spacing w:before="120" w:after="12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A.4.2. Las Partes resuelven cuestiones de incumplimiento identificadas por el Comité de Cumplimiento.</w:t>
            </w:r>
          </w:p>
        </w:tc>
        <w:tc>
          <w:tcPr>
            <w:tcW w:w="3969" w:type="dxa"/>
          </w:tcPr>
          <w:p w14:paraId="4586FC7F"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a) Porcentaje de Partes que cumplen con sus obligaciones en virtud del Protocolo;</w:t>
            </w:r>
          </w:p>
          <w:p w14:paraId="6691607D"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b) Porcentaje de Partes que han resuelto cuestiones de incumplimiento identificadas por el Comité de Cumplimiento.</w:t>
            </w:r>
          </w:p>
        </w:tc>
        <w:tc>
          <w:tcPr>
            <w:tcW w:w="2126" w:type="dxa"/>
          </w:tcPr>
          <w:p w14:paraId="722F78C5" w14:textId="77777777" w:rsidR="00905212" w:rsidRPr="00A202B4" w:rsidRDefault="00905212" w:rsidP="00905212">
            <w:pPr>
              <w:suppressLineNumbers/>
              <w:suppressAutoHyphens/>
              <w:spacing w:before="120" w:after="12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Un mecanismo de cumplimiento eficaz facilita la aplicación del Protocolo</w:t>
            </w:r>
          </w:p>
        </w:tc>
      </w:tr>
      <w:tr w:rsidR="00905212" w:rsidRPr="00A202B4" w14:paraId="33E2A437" w14:textId="77777777" w:rsidTr="00905212">
        <w:tc>
          <w:tcPr>
            <w:tcW w:w="1844" w:type="dxa"/>
          </w:tcPr>
          <w:p w14:paraId="00554D10" w14:textId="77777777" w:rsidR="00905212" w:rsidRPr="00A202B4" w:rsidRDefault="00905212" w:rsidP="00905212">
            <w:pPr>
              <w:suppressLineNumbers/>
              <w:suppressAutoHyphens/>
              <w:spacing w:before="120" w:after="120"/>
              <w:jc w:val="left"/>
              <w:rPr>
                <w:rFonts w:asciiTheme="majorBidi" w:eastAsia="MS Mincho" w:hAnsiTheme="majorBidi" w:cstheme="majorBidi"/>
                <w:b/>
                <w:kern w:val="22"/>
                <w:szCs w:val="22"/>
                <w:lang w:val="es-ES_tradnl"/>
              </w:rPr>
            </w:pPr>
            <w:r w:rsidRPr="00A202B4">
              <w:rPr>
                <w:rFonts w:asciiTheme="majorBidi" w:hAnsiTheme="majorBidi"/>
                <w:b/>
                <w:szCs w:val="22"/>
                <w:lang w:val="es-ES_tradnl"/>
              </w:rPr>
              <w:t xml:space="preserve">A.5. Las Partes llevan a cabo evaluaciones del riesgo de organismos vivos modificados (OVM) científicamente sólidas, y gestionan y controlan los </w:t>
            </w:r>
            <w:r w:rsidRPr="00A202B4">
              <w:rPr>
                <w:rFonts w:asciiTheme="majorBidi" w:hAnsiTheme="majorBidi"/>
                <w:b/>
                <w:szCs w:val="22"/>
                <w:lang w:val="es-ES_tradnl"/>
              </w:rPr>
              <w:lastRenderedPageBreak/>
              <w:t>riesgos identificados para prevenir los efectos adversos de los OVM en la conservación y utilización sostenible de la diversidad biológica, teniendo también en cuenta los riesgos para la salud humana</w:t>
            </w:r>
          </w:p>
        </w:tc>
        <w:tc>
          <w:tcPr>
            <w:tcW w:w="3118" w:type="dxa"/>
          </w:tcPr>
          <w:p w14:paraId="637A1F40"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lastRenderedPageBreak/>
              <w:t>A.5.1. Las Partes aplican procedimientos científicamente sólidos y apropiados para la evaluación del riesgo y la gestión del riesgo de los OVM, de conformidad con el anexo III del Protocolo;</w:t>
            </w:r>
          </w:p>
          <w:p w14:paraId="5F0DBC2E" w14:textId="77777777" w:rsidR="00905212" w:rsidRPr="00A202B4" w:rsidRDefault="00905212" w:rsidP="00905212">
            <w:pPr>
              <w:suppressLineNumbers/>
              <w:suppressAutoHyphens/>
              <w:spacing w:before="120" w:after="12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 xml:space="preserve">A.5.2. Las Partes elaboran (según sea necesario), tienen disponibles y utilizan materiales de referencia apropiados para la </w:t>
            </w:r>
            <w:r w:rsidRPr="00A202B4">
              <w:rPr>
                <w:rFonts w:asciiTheme="majorBidi" w:hAnsiTheme="majorBidi"/>
                <w:szCs w:val="22"/>
                <w:lang w:val="es-ES_tradnl"/>
              </w:rPr>
              <w:lastRenderedPageBreak/>
              <w:t>evaluación del riesgo y la gestión del riesgo científicamente sólidas.</w:t>
            </w:r>
          </w:p>
        </w:tc>
        <w:tc>
          <w:tcPr>
            <w:tcW w:w="3969" w:type="dxa"/>
          </w:tcPr>
          <w:p w14:paraId="2CF92873"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lastRenderedPageBreak/>
              <w:t>a) Porcentaje de Partes que realizan evaluaciones del riesgo para la adopción de decisiones sobre los OVM, cuando se requiera en virtud del Protocolo;</w:t>
            </w:r>
          </w:p>
          <w:p w14:paraId="6D91814B"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b) Porcentaje de Partes que tienen disponibles y utilizan materiales de referencia pertinentes sobre evaluación del riesgo y gestión del riesgo;</w:t>
            </w:r>
          </w:p>
          <w:p w14:paraId="0219F8F6"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 xml:space="preserve">c) Porcentaje de partes que llevan a cabo evaluaciones del riesgo, considerando </w:t>
            </w:r>
            <w:r w:rsidRPr="00A202B4">
              <w:rPr>
                <w:rFonts w:asciiTheme="majorBidi" w:hAnsiTheme="majorBidi"/>
                <w:szCs w:val="22"/>
                <w:lang w:val="es-ES_tradnl"/>
              </w:rPr>
              <w:lastRenderedPageBreak/>
              <w:t>otras pruebas científicas disponibles, que se mencionan en el artículo 15;</w:t>
            </w:r>
          </w:p>
          <w:p w14:paraId="39709942"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d) Porcentaje de Partes que han establecido medidas para identificar los OVM o rasgos específicos que pueden tener efectos adversos para la conservación y utilización sostenible de la diversidad biológica y adoptan medidas de mitigación del riesgo.</w:t>
            </w:r>
          </w:p>
        </w:tc>
        <w:tc>
          <w:tcPr>
            <w:tcW w:w="2126" w:type="dxa"/>
          </w:tcPr>
          <w:p w14:paraId="2FB4530B" w14:textId="77777777" w:rsidR="00905212" w:rsidRPr="00A202B4" w:rsidRDefault="00905212" w:rsidP="00905212">
            <w:pPr>
              <w:suppressLineNumbers/>
              <w:suppressAutoHyphens/>
              <w:spacing w:before="120" w:after="12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lastRenderedPageBreak/>
              <w:t xml:space="preserve">Las Partes identifican, evalúan y gestionan y controlan adecuadamente los riesgos de los OVM para la diversidad biológica, teniendo también en cuenta los riesgos para la salud humana </w:t>
            </w:r>
          </w:p>
        </w:tc>
      </w:tr>
      <w:tr w:rsidR="00905212" w:rsidRPr="00A202B4" w14:paraId="2E314B45" w14:textId="77777777" w:rsidTr="00905212">
        <w:tc>
          <w:tcPr>
            <w:tcW w:w="1844" w:type="dxa"/>
          </w:tcPr>
          <w:p w14:paraId="18C295F1" w14:textId="77777777" w:rsidR="00905212" w:rsidRPr="00A202B4" w:rsidRDefault="00905212" w:rsidP="00905212">
            <w:pPr>
              <w:suppressLineNumbers/>
              <w:suppressAutoHyphens/>
              <w:spacing w:before="120" w:after="120"/>
              <w:jc w:val="left"/>
              <w:rPr>
                <w:rFonts w:asciiTheme="majorBidi" w:eastAsia="MS Mincho" w:hAnsiTheme="majorBidi" w:cstheme="majorBidi"/>
                <w:b/>
                <w:kern w:val="22"/>
                <w:szCs w:val="22"/>
                <w:lang w:val="es-ES_tradnl"/>
              </w:rPr>
            </w:pPr>
            <w:r w:rsidRPr="00A202B4">
              <w:rPr>
                <w:rFonts w:asciiTheme="majorBidi" w:hAnsiTheme="majorBidi"/>
                <w:b/>
                <w:szCs w:val="22"/>
                <w:lang w:val="es-ES_tradnl"/>
              </w:rPr>
              <w:t>A.6. Las Partes previenen y abordan los movimientos transfronterizos ilícitos e involuntarios de OVM</w:t>
            </w:r>
          </w:p>
        </w:tc>
        <w:tc>
          <w:tcPr>
            <w:tcW w:w="3118" w:type="dxa"/>
          </w:tcPr>
          <w:p w14:paraId="7BFF0EB9" w14:textId="77777777" w:rsidR="00905212" w:rsidRPr="00A202B4" w:rsidRDefault="00905212" w:rsidP="00905212">
            <w:pPr>
              <w:suppressLineNumbers/>
              <w:suppressAutoHyphens/>
              <w:spacing w:before="120" w:after="12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A.6.1. Las Partes han adoptado medidas adecuadas para prevenir y abordar los movimientos transfronterizos ilícitos e involuntarios de OVM.</w:t>
            </w:r>
          </w:p>
        </w:tc>
        <w:tc>
          <w:tcPr>
            <w:tcW w:w="3969" w:type="dxa"/>
          </w:tcPr>
          <w:p w14:paraId="02E4B6B0"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a) Porcentaje de Partes que han establecido medidas para prevenir y abordar los movimientos transfronterizos ilícitos e involuntarios de OVM.</w:t>
            </w:r>
          </w:p>
        </w:tc>
        <w:tc>
          <w:tcPr>
            <w:tcW w:w="2126" w:type="dxa"/>
          </w:tcPr>
          <w:p w14:paraId="1B412B92" w14:textId="77777777" w:rsidR="00905212" w:rsidRPr="00A202B4" w:rsidRDefault="00905212" w:rsidP="00905212">
            <w:pPr>
              <w:suppressLineNumbers/>
              <w:suppressAutoHyphens/>
              <w:spacing w:before="120" w:after="12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Se previenen o reducen al mínimo los movimientos transfronterizos ilícitos e involuntarios de OVM</w:t>
            </w:r>
          </w:p>
        </w:tc>
      </w:tr>
      <w:tr w:rsidR="00905212" w:rsidRPr="00A202B4" w14:paraId="06C59DD0" w14:textId="77777777" w:rsidTr="00905212">
        <w:tc>
          <w:tcPr>
            <w:tcW w:w="1844" w:type="dxa"/>
          </w:tcPr>
          <w:p w14:paraId="34216EA2"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b/>
                <w:szCs w:val="22"/>
                <w:lang w:val="es-ES_tradnl"/>
              </w:rPr>
              <w:t>A.7. Las Partes han establecido medidas para cumplir con los requisitos de manipulación, transporte, envasado e identificación de OVM en virtud del artículo 18 del Protocolo</w:t>
            </w:r>
          </w:p>
        </w:tc>
        <w:tc>
          <w:tcPr>
            <w:tcW w:w="3118" w:type="dxa"/>
          </w:tcPr>
          <w:p w14:paraId="019E0B28"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A.7.1. Las Partes han adoptado las medidas necesarias para exigir que los OVM objeto de movimientos transfronterizos sean manipulados, envasados y transportados en condiciones de seguridad, teniendo en cuenta las normas y los estándares internacionales pertinentes, según proceda;</w:t>
            </w:r>
          </w:p>
          <w:p w14:paraId="271EA9E4"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A.7.2. Las Partes han establecido medidas para cumplir con los requisitos de documentación para OVM destinados a uso directo como alimento humano o animal, o para procesamiento; OVM destinados para uso confinado; OVM destinados a su introducción intencional en el medio ambiente y otros OVM.</w:t>
            </w:r>
          </w:p>
        </w:tc>
        <w:tc>
          <w:tcPr>
            <w:tcW w:w="3969" w:type="dxa"/>
          </w:tcPr>
          <w:p w14:paraId="5E6857AF"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a) Porcentaje de Partes que han adoptado las medidas necesarias para requerir que los OVM objeto de movimientos transfronterizos sean manipulados, envasados y transportados en condiciones de seguridad, teniendo en cuenta las normas y los estándares internacionales pertinentes, según proceda;</w:t>
            </w:r>
          </w:p>
          <w:p w14:paraId="63F8C155"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b) Porcentaje de Partes que han establecido requisitos de documentación para OVM destinados a uso directo como alimento humano o animal, o para procesamiento;</w:t>
            </w:r>
          </w:p>
          <w:p w14:paraId="591DB97C"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c) Porcentaje de Partes que han establecido requisitos de documentación para OVM destinados para uso confinado;</w:t>
            </w:r>
          </w:p>
          <w:p w14:paraId="6461C18E"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d) Porcentaje de Partes que han establecido requisitos de documentación para OVM destinados a su introducción intencional en el medio ambiente y otros OVM.</w:t>
            </w:r>
          </w:p>
        </w:tc>
        <w:tc>
          <w:tcPr>
            <w:tcW w:w="2126" w:type="dxa"/>
          </w:tcPr>
          <w:p w14:paraId="154B59ED"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Mediante la manipulación, transporte, envasado e identificación adecuados de los OVM, las Partes pueden gestionar con seguridad los movimientos transfronterizos intencionales de OVM</w:t>
            </w:r>
          </w:p>
        </w:tc>
      </w:tr>
      <w:tr w:rsidR="00905212" w:rsidRPr="00A202B4" w14:paraId="6C83738A" w14:textId="77777777" w:rsidTr="00905212">
        <w:tc>
          <w:tcPr>
            <w:tcW w:w="1844" w:type="dxa"/>
          </w:tcPr>
          <w:p w14:paraId="6643D754"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b/>
                <w:szCs w:val="22"/>
                <w:lang w:val="es-ES_tradnl"/>
              </w:rPr>
              <w:lastRenderedPageBreak/>
              <w:t>A.8. Las Partes tienen capacidad para detectar e identificar OVM</w:t>
            </w:r>
          </w:p>
        </w:tc>
        <w:tc>
          <w:tcPr>
            <w:tcW w:w="3118" w:type="dxa"/>
          </w:tcPr>
          <w:p w14:paraId="53A89625"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A.8.1. Las Partes tienen acceso a la infraestructura técnica y a los conocimientos especializados necesarios para la detección e identificación de OVM;</w:t>
            </w:r>
          </w:p>
          <w:p w14:paraId="0594E11D"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A.8.2. Las Partes tienen acceso a materiales de referencia apropiados para la detección e identificación de OVM y los utilizan;</w:t>
            </w:r>
          </w:p>
          <w:p w14:paraId="3B8CB694"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A.8.3. Las Partes tienen disponible y utilizan la información necesaria para detectar e identificar OVM, incluidos métodos de detección y materiales de referencia certificados.</w:t>
            </w:r>
          </w:p>
        </w:tc>
        <w:tc>
          <w:tcPr>
            <w:tcW w:w="3969" w:type="dxa"/>
          </w:tcPr>
          <w:p w14:paraId="20452994"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a) Porcentaje de OVM en el CIISB para los que hay disponibles métodos de detección;</w:t>
            </w:r>
          </w:p>
          <w:p w14:paraId="1858D621"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b) Porcentaje de Partes que tienen disponibles y utilizan materiales de referencia y métodos para detectar e identificar OVM;</w:t>
            </w:r>
          </w:p>
          <w:p w14:paraId="231B6EC8"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c) Porcentaje de Partes que tienen disponibles y utilizan materiales de referencia certificados que sean necesarios para detectar e identificar OVM;</w:t>
            </w:r>
          </w:p>
          <w:p w14:paraId="6E75AA5F"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d) Porcentaje de Partes que tienen acceso a la infraestructura técnica necesaria para detectar e identificar OVM.</w:t>
            </w:r>
          </w:p>
        </w:tc>
        <w:tc>
          <w:tcPr>
            <w:tcW w:w="2126" w:type="dxa"/>
          </w:tcPr>
          <w:p w14:paraId="3315F5CC"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Mediante la detección e identificación de OVM, las Partes pueden responder a los movimientos transfronterizos involuntarios e ilícitos y aplicar los requisitos de manipulación, transporte, envasado e identificación de conformidad con el Protocolo</w:t>
            </w:r>
          </w:p>
        </w:tc>
      </w:tr>
      <w:tr w:rsidR="00905212" w:rsidRPr="00A202B4" w14:paraId="21751551" w14:textId="77777777" w:rsidTr="00905212">
        <w:tc>
          <w:tcPr>
            <w:tcW w:w="1844" w:type="dxa"/>
          </w:tcPr>
          <w:p w14:paraId="09F46C92"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b/>
                <w:szCs w:val="22"/>
                <w:lang w:val="es-ES_tradnl"/>
              </w:rPr>
              <w:t>A.9. Las Partes que así lo deciden, tienen en cuenta consideraciones socioeconómicas al tomar decisiones sobre la importación de OVM y cooperan en la investigación e intercambio de información de conformidad con el artículo 26 del Protocolo</w:t>
            </w:r>
          </w:p>
        </w:tc>
        <w:tc>
          <w:tcPr>
            <w:tcW w:w="3118" w:type="dxa"/>
          </w:tcPr>
          <w:p w14:paraId="00F5E533"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A.9.1. Las Partes que así lo deciden tienen en cuenta consideraciones socioeconómicas al tomar decisiones de conformidad con el artículo 26;</w:t>
            </w:r>
          </w:p>
          <w:p w14:paraId="746685EE"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A.9.2. Las Partes que deciden tener en cuenta consideraciones socioeconómicas de conformidad con el artículo 26 tienen acceso a materiales de referencia y pueden utilizarlos;</w:t>
            </w:r>
          </w:p>
          <w:p w14:paraId="1C2CE257"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A.9.3. Las Partes que así lo deciden, cooperan en la investigación y el intercambio de información sobre cualquier impacto socioeconómico de los OVM en la conservación y utilización sostenible de la diversidad biológica, particularmente en los pueblos indígenas y las comunidades locales, de conformidad con el artículo 26 del Protocolo.</w:t>
            </w:r>
          </w:p>
        </w:tc>
        <w:tc>
          <w:tcPr>
            <w:tcW w:w="3969" w:type="dxa"/>
          </w:tcPr>
          <w:p w14:paraId="00F3F1C3"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a) Porcentaje de Partes que tienen en cuenta consideraciones socioeconómicas en la adopción de decisiones de conformidad con el artículo 26 del Protocolo;</w:t>
            </w:r>
          </w:p>
          <w:p w14:paraId="298E6443"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b) Porcentaje de Partes que acceden a materiales de recursos y los utilizan para tener en cuenta consideraciones socioeconómicas;</w:t>
            </w:r>
          </w:p>
          <w:p w14:paraId="56A92E70"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c) Porcentaje de Partes que cooperan en la investigación y el intercambio de información sobre cualquier impacto socioeconómico de los OVM en la conservación y utilización sostenible de la diversidad biológica, particularmente en los pueblos indígenas y las comunidades locales, de conformidad con el artículo 26 del Protocolo.</w:t>
            </w:r>
          </w:p>
        </w:tc>
        <w:tc>
          <w:tcPr>
            <w:tcW w:w="2126" w:type="dxa"/>
          </w:tcPr>
          <w:p w14:paraId="33676AB3"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Las Partes que así lo deciden, tienen en cuenta consideraciones socioeconómicas al tomar decisiones sobre importaciones de OVM y cooperan en la investigación y el intercambio de información de conformidad con el artículo 26</w:t>
            </w:r>
          </w:p>
        </w:tc>
      </w:tr>
      <w:tr w:rsidR="00905212" w:rsidRPr="00A202B4" w14:paraId="6C6F88D4" w14:textId="77777777" w:rsidTr="00905212">
        <w:tc>
          <w:tcPr>
            <w:tcW w:w="1844" w:type="dxa"/>
          </w:tcPr>
          <w:p w14:paraId="23BF986C" w14:textId="77777777" w:rsidR="00905212" w:rsidRPr="00A202B4" w:rsidRDefault="00905212" w:rsidP="00905212">
            <w:pPr>
              <w:suppressLineNumbers/>
              <w:suppressAutoHyphens/>
              <w:spacing w:before="120" w:after="120"/>
              <w:jc w:val="left"/>
              <w:rPr>
                <w:rFonts w:asciiTheme="majorBidi" w:hAnsiTheme="majorBidi" w:cstheme="majorBidi"/>
                <w:bCs/>
                <w:spacing w:val="-4"/>
                <w:kern w:val="22"/>
                <w:szCs w:val="22"/>
                <w:lang w:val="es-ES_tradnl"/>
              </w:rPr>
            </w:pPr>
            <w:r w:rsidRPr="00A202B4">
              <w:rPr>
                <w:rFonts w:asciiTheme="majorBidi" w:hAnsiTheme="majorBidi"/>
                <w:b/>
                <w:spacing w:val="-4"/>
                <w:szCs w:val="22"/>
                <w:lang w:val="es-ES_tradnl"/>
              </w:rPr>
              <w:t xml:space="preserve">A.10. Las Partes en el Protocolo de Cartagena pasan a ser Partes en el Protocolo </w:t>
            </w:r>
            <w:r w:rsidRPr="00A202B4">
              <w:rPr>
                <w:rFonts w:asciiTheme="majorBidi" w:hAnsiTheme="majorBidi"/>
                <w:b/>
                <w:spacing w:val="-4"/>
                <w:szCs w:val="22"/>
                <w:lang w:val="es-ES_tradnl"/>
              </w:rPr>
              <w:lastRenderedPageBreak/>
              <w:t>Suplementario de Nagoya – Kuala Lumpur sobre Responsabilidad y Compensación y han establecido medidas para cumplir con sus obligaciones en virtud del Protocolo Suplementario</w:t>
            </w:r>
          </w:p>
        </w:tc>
        <w:tc>
          <w:tcPr>
            <w:tcW w:w="3118" w:type="dxa"/>
          </w:tcPr>
          <w:p w14:paraId="08473277"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lastRenderedPageBreak/>
              <w:t>A.10.1. Aumento del número de Partes en el Protocolo Suplementario;</w:t>
            </w:r>
          </w:p>
          <w:p w14:paraId="2E67C0CB"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 xml:space="preserve">A.10.2. Las Partes en el Protocolo Suplementario han </w:t>
            </w:r>
            <w:r w:rsidRPr="00A202B4">
              <w:rPr>
                <w:rFonts w:asciiTheme="majorBidi" w:hAnsiTheme="majorBidi"/>
                <w:szCs w:val="22"/>
                <w:lang w:val="es-ES_tradnl"/>
              </w:rPr>
              <w:lastRenderedPageBreak/>
              <w:t>adoptado y aplicado medidas apropiadas para hacer efectivas las disposiciones del Protocolo Suplementario;</w:t>
            </w:r>
          </w:p>
          <w:p w14:paraId="5D5C031C"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A.10.3. Las Partes en el Protocolo Suplementario presentan informes sobre la aplicación de dicho Protocolo.</w:t>
            </w:r>
          </w:p>
        </w:tc>
        <w:tc>
          <w:tcPr>
            <w:tcW w:w="3969" w:type="dxa"/>
          </w:tcPr>
          <w:p w14:paraId="2DF0416F"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lastRenderedPageBreak/>
              <w:t>a) Porcentaje de Partes en el Protocolo de Cartagena que han pasado a ser Partes en el Protocolo Suplementario;</w:t>
            </w:r>
          </w:p>
          <w:p w14:paraId="750B0741"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 xml:space="preserve">b) Porcentaje de Partes en el Protocolo Suplementario que han establecido las </w:t>
            </w:r>
            <w:r w:rsidRPr="00A202B4">
              <w:rPr>
                <w:rFonts w:asciiTheme="majorBidi" w:hAnsiTheme="majorBidi"/>
                <w:szCs w:val="22"/>
                <w:lang w:val="es-ES_tradnl"/>
              </w:rPr>
              <w:lastRenderedPageBreak/>
              <w:t>medidas necesarias para aplicar las disposiciones de dicho Protocolo;</w:t>
            </w:r>
          </w:p>
          <w:p w14:paraId="432230D7"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c) Porcentaje de Partes en el Protocolo Suplementario que presentan informes sobre la aplicación de dicho Protocolo.</w:t>
            </w:r>
          </w:p>
        </w:tc>
        <w:tc>
          <w:tcPr>
            <w:tcW w:w="2126" w:type="dxa"/>
          </w:tcPr>
          <w:p w14:paraId="11B8750F"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lastRenderedPageBreak/>
              <w:t xml:space="preserve">El aumento del número de ratificaciones del Protocolo Suplementario de </w:t>
            </w:r>
            <w:r w:rsidRPr="00A202B4">
              <w:rPr>
                <w:rFonts w:asciiTheme="majorBidi" w:hAnsiTheme="majorBidi"/>
                <w:szCs w:val="22"/>
                <w:lang w:val="es-ES_tradnl"/>
              </w:rPr>
              <w:lastRenderedPageBreak/>
              <w:t>Nagoya – Kuala Lumpur sobre Responsabilidad y Compensación favorece el desarrollo de normas y procedimientos nacionales sobre responsabilidad y compensación por daños resultantes de movimientos transfronterizos de OVM</w:t>
            </w:r>
          </w:p>
        </w:tc>
      </w:tr>
      <w:tr w:rsidR="00905212" w:rsidRPr="00A202B4" w14:paraId="0F7CF287" w14:textId="77777777" w:rsidTr="00905212">
        <w:tc>
          <w:tcPr>
            <w:tcW w:w="11057" w:type="dxa"/>
            <w:gridSpan w:val="4"/>
          </w:tcPr>
          <w:p w14:paraId="0DE118B1" w14:textId="77777777" w:rsidR="00905212" w:rsidRPr="00A202B4" w:rsidRDefault="00905212" w:rsidP="00905212">
            <w:pPr>
              <w:suppressLineNumbers/>
              <w:suppressAutoHyphens/>
              <w:spacing w:before="120" w:after="120"/>
              <w:jc w:val="center"/>
              <w:rPr>
                <w:rFonts w:asciiTheme="majorBidi" w:hAnsiTheme="majorBidi" w:cstheme="majorBidi"/>
                <w:bCs/>
                <w:kern w:val="22"/>
                <w:szCs w:val="22"/>
                <w:lang w:val="es-ES_tradnl"/>
              </w:rPr>
            </w:pPr>
            <w:r w:rsidRPr="00A202B4">
              <w:rPr>
                <w:rFonts w:asciiTheme="majorBidi" w:eastAsia="MS Mincho" w:hAnsiTheme="majorBidi" w:cstheme="majorBidi"/>
                <w:b/>
                <w:bCs/>
                <w:kern w:val="22"/>
                <w:szCs w:val="22"/>
                <w:lang w:val="es-ES_tradnl"/>
              </w:rPr>
              <w:lastRenderedPageBreak/>
              <w:t>B.</w:t>
            </w:r>
            <w:r w:rsidRPr="00A202B4">
              <w:rPr>
                <w:rFonts w:asciiTheme="majorBidi" w:eastAsia="MS Mincho" w:hAnsiTheme="majorBidi" w:cstheme="majorBidi"/>
                <w:b/>
                <w:bCs/>
                <w:kern w:val="22"/>
                <w:szCs w:val="22"/>
                <w:lang w:val="es-ES_tradnl"/>
              </w:rPr>
              <w:tab/>
            </w:r>
            <w:r w:rsidRPr="00A202B4">
              <w:rPr>
                <w:rFonts w:asciiTheme="majorBidi" w:hAnsiTheme="majorBidi"/>
                <w:b/>
                <w:szCs w:val="22"/>
                <w:lang w:val="es-ES_tradnl"/>
              </w:rPr>
              <w:t>Entorno propicio</w:t>
            </w:r>
          </w:p>
        </w:tc>
      </w:tr>
      <w:tr w:rsidR="00905212" w:rsidRPr="00A202B4" w14:paraId="35798771" w14:textId="77777777" w:rsidTr="00905212">
        <w:tc>
          <w:tcPr>
            <w:tcW w:w="1844" w:type="dxa"/>
          </w:tcPr>
          <w:p w14:paraId="4770EFAC"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b/>
                <w:szCs w:val="22"/>
                <w:lang w:val="es-ES_tradnl"/>
              </w:rPr>
              <w:t>B.1. Las Partes participan en actividades de creación de capacidad</w:t>
            </w:r>
          </w:p>
        </w:tc>
        <w:tc>
          <w:tcPr>
            <w:tcW w:w="3118" w:type="dxa"/>
          </w:tcPr>
          <w:p w14:paraId="52A77007"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B.1.1. Las Partes han determinado y establecido el orden de prioridad de sus necesidades de creación de capacidad;</w:t>
            </w:r>
          </w:p>
          <w:p w14:paraId="7C818E83"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B.1.2. Las Partes llevan a cabo actividades para la creación de capacidad, según se indica en el Plan de Acción para la Creación de Capacidad para el Protocolo de Cartagena sobre Seguridad de la Biotecnología;</w:t>
            </w:r>
          </w:p>
          <w:p w14:paraId="11452CDB"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B.1.3. Las Partes utilizan materiales de creación de capacidad, incluidos recursos en línea;</w:t>
            </w:r>
          </w:p>
          <w:p w14:paraId="25D68B60"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B.1.4. Las Partes cooperan para fortalecer las capacidades para la aplicación del Protocolo.</w:t>
            </w:r>
          </w:p>
        </w:tc>
        <w:tc>
          <w:tcPr>
            <w:tcW w:w="3969" w:type="dxa"/>
          </w:tcPr>
          <w:p w14:paraId="32ADB618" w14:textId="77777777" w:rsidR="00905212" w:rsidRPr="00A202B4" w:rsidRDefault="00905212" w:rsidP="00905212">
            <w:pPr>
              <w:suppressLineNumbers/>
              <w:suppressAutoHyphens/>
              <w:spacing w:before="60" w:after="60"/>
              <w:jc w:val="left"/>
              <w:rPr>
                <w:rFonts w:asciiTheme="majorBidi" w:hAnsiTheme="majorBidi" w:cstheme="majorBidi"/>
                <w:kern w:val="22"/>
                <w:szCs w:val="22"/>
                <w:lang w:val="es-ES_tradnl"/>
              </w:rPr>
            </w:pPr>
            <w:r w:rsidRPr="00A202B4">
              <w:rPr>
                <w:rFonts w:asciiTheme="majorBidi" w:hAnsiTheme="majorBidi"/>
                <w:szCs w:val="22"/>
                <w:lang w:val="es-ES_tradnl"/>
              </w:rPr>
              <w:t>a) Porcentaje de Partes que han determinado y establecido el orden de prioridad de sus necesidades de creación de capacidad;</w:t>
            </w:r>
          </w:p>
          <w:p w14:paraId="4D2F96DA" w14:textId="77777777" w:rsidR="00905212" w:rsidRPr="00A202B4" w:rsidRDefault="00905212" w:rsidP="00905212">
            <w:pPr>
              <w:suppressLineNumbers/>
              <w:suppressAutoHyphens/>
              <w:spacing w:before="60" w:after="60"/>
              <w:jc w:val="left"/>
              <w:rPr>
                <w:rFonts w:asciiTheme="majorBidi" w:hAnsiTheme="majorBidi" w:cstheme="majorBidi"/>
                <w:kern w:val="22"/>
                <w:szCs w:val="22"/>
                <w:lang w:val="es-ES_tradnl"/>
              </w:rPr>
            </w:pPr>
            <w:r w:rsidRPr="00A202B4">
              <w:rPr>
                <w:rFonts w:asciiTheme="majorBidi" w:hAnsiTheme="majorBidi"/>
                <w:szCs w:val="22"/>
                <w:lang w:val="es-ES_tradnl"/>
              </w:rPr>
              <w:t>b) Porcentaje de Partes que llevan a cabo actividades de creación de capacidad;</w:t>
            </w:r>
          </w:p>
          <w:p w14:paraId="35BB04C2" w14:textId="77777777" w:rsidR="00905212" w:rsidRPr="00A202B4" w:rsidRDefault="00905212" w:rsidP="00905212">
            <w:pPr>
              <w:suppressLineNumbers/>
              <w:suppressAutoHyphens/>
              <w:spacing w:before="60" w:after="60"/>
              <w:jc w:val="left"/>
              <w:rPr>
                <w:rFonts w:asciiTheme="majorBidi" w:hAnsiTheme="majorBidi" w:cstheme="majorBidi"/>
                <w:kern w:val="22"/>
                <w:szCs w:val="22"/>
                <w:lang w:val="es-ES_tradnl"/>
              </w:rPr>
            </w:pPr>
            <w:r w:rsidRPr="00A202B4">
              <w:rPr>
                <w:rFonts w:asciiTheme="majorBidi" w:hAnsiTheme="majorBidi"/>
                <w:szCs w:val="22"/>
                <w:lang w:val="es-ES_tradnl"/>
              </w:rPr>
              <w:t>c) Porcentaje de Partes con necesidades de creación de capacidad que utilizan los materiales de creación de capacidad, incluidos los recursos en línea;</w:t>
            </w:r>
          </w:p>
          <w:p w14:paraId="62B25EF7"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d) Porcentaje de Partes que cooperan para fortalecer las capacidades para la aplicación del Protocolo.</w:t>
            </w:r>
          </w:p>
        </w:tc>
        <w:tc>
          <w:tcPr>
            <w:tcW w:w="2126" w:type="dxa"/>
          </w:tcPr>
          <w:p w14:paraId="6FF2176C"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Las Partes tienen la capacidad necesaria para aplicar el Protocolo</w:t>
            </w:r>
          </w:p>
        </w:tc>
      </w:tr>
      <w:tr w:rsidR="00905212" w:rsidRPr="00A202B4" w14:paraId="703B4700" w14:textId="77777777" w:rsidTr="00905212">
        <w:tc>
          <w:tcPr>
            <w:tcW w:w="1844" w:type="dxa"/>
          </w:tcPr>
          <w:p w14:paraId="124DC19C"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b/>
                <w:szCs w:val="22"/>
                <w:lang w:val="es-ES_tradnl"/>
              </w:rPr>
              <w:t>B.2. Las Partes movilizan recursos adecuados de todas las fuentes para apoyar la aplicación del Protocolo de conformidad con el artículo 28 del Protocolo</w:t>
            </w:r>
          </w:p>
        </w:tc>
        <w:tc>
          <w:tcPr>
            <w:tcW w:w="3118" w:type="dxa"/>
          </w:tcPr>
          <w:p w14:paraId="4C09430E"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B.2.1. Se asignan recursos adecuados a la seguridad de la biotecnología a través de los presupuestos nacionales;</w:t>
            </w:r>
          </w:p>
          <w:p w14:paraId="1A5E5192" w14:textId="77777777" w:rsidR="00905212" w:rsidRPr="00A202B4" w:rsidRDefault="00905212" w:rsidP="00905212">
            <w:pPr>
              <w:suppressLineNumbers/>
              <w:suppressAutoHyphens/>
              <w:spacing w:before="60" w:after="60"/>
              <w:jc w:val="left"/>
              <w:rPr>
                <w:rFonts w:asciiTheme="majorBidi" w:hAnsiTheme="majorBidi"/>
                <w:szCs w:val="22"/>
                <w:lang w:val="es-ES_tradnl"/>
              </w:rPr>
            </w:pPr>
            <w:r w:rsidRPr="00A202B4">
              <w:rPr>
                <w:rFonts w:asciiTheme="majorBidi" w:hAnsiTheme="majorBidi"/>
                <w:szCs w:val="22"/>
                <w:lang w:val="es-ES_tradnl"/>
              </w:rPr>
              <w:t>B.2.2. Las Partes destinan parte de las asignaciones del sistema STAR para el país a actividades relacionadas con la seguridad de la biotecnología;</w:t>
            </w:r>
          </w:p>
          <w:p w14:paraId="5F51C1CD" w14:textId="460D38CF" w:rsidR="00905212" w:rsidRPr="00472E64" w:rsidRDefault="00905212" w:rsidP="00472E64">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B.2.3. Las Partes movilizan recursos de otras fuentes.</w:t>
            </w:r>
          </w:p>
        </w:tc>
        <w:tc>
          <w:tcPr>
            <w:tcW w:w="3969" w:type="dxa"/>
          </w:tcPr>
          <w:p w14:paraId="5E84C9E9"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a) Porcentaje de las Partes que cuentan con recursos adecuados para la seguridad de la biotecnología en los presupuestos nacionales;</w:t>
            </w:r>
          </w:p>
          <w:p w14:paraId="2742D3D3"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b) Porcentaje de Partes que reúnen los requisitos que utilizan las asignaciones del sistema STAR para el país para actividades relacionadas con la seguridad de la biotecnología;</w:t>
            </w:r>
          </w:p>
          <w:p w14:paraId="49C519DF"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c) Porcentaje de Partes que han accedido a recursos adicionales.</w:t>
            </w:r>
          </w:p>
        </w:tc>
        <w:tc>
          <w:tcPr>
            <w:tcW w:w="2126" w:type="dxa"/>
          </w:tcPr>
          <w:p w14:paraId="297E6025"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Los recursos adecuados permiten la plena aplicación del Protocolo</w:t>
            </w:r>
          </w:p>
        </w:tc>
      </w:tr>
      <w:tr w:rsidR="00905212" w:rsidRPr="00A202B4" w14:paraId="47ABA101" w14:textId="77777777" w:rsidTr="00472E64">
        <w:tc>
          <w:tcPr>
            <w:tcW w:w="1844" w:type="dxa"/>
          </w:tcPr>
          <w:p w14:paraId="2D1FC9DB"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b/>
                <w:szCs w:val="22"/>
                <w:lang w:val="es-ES_tradnl"/>
              </w:rPr>
              <w:lastRenderedPageBreak/>
              <w:t>B.3. Las Partes promueven y facilitan la concienciación, educación y participación del público sobre la transferencia, manipulación y utilización seguras de OVM, de conformidad con el artículo 23 del Protocolo</w:t>
            </w:r>
          </w:p>
        </w:tc>
        <w:tc>
          <w:tcPr>
            <w:tcW w:w="3118" w:type="dxa"/>
          </w:tcPr>
          <w:p w14:paraId="378F9DF7"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B.3.1. Las Partes han desarrollado mecanismos para promover y facilitar la concienciación, educación y participación del público respecto a la seguridad de la biotecnología;</w:t>
            </w:r>
          </w:p>
          <w:p w14:paraId="1BABEA8B"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B.3.2. Las Partes tienen acceso a materiales de referencia para promover y facilitar la concienciación, educación y participación del público respecto a la seguridad de la biotecnología;</w:t>
            </w:r>
          </w:p>
          <w:p w14:paraId="2D5199DC"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B.3.3. Las Partes consultan al público en la adopción de decisiones sobre OVM de conformidad con sus leyes y reglamentos respectivos, y ponen a disposición del público los resultados de las decisiones;</w:t>
            </w:r>
          </w:p>
          <w:p w14:paraId="2E884BB7"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B.3.4. Las Partes informan al público acerca de los medios de acceso público al CIISB.</w:t>
            </w:r>
          </w:p>
        </w:tc>
        <w:tc>
          <w:tcPr>
            <w:tcW w:w="3969" w:type="dxa"/>
            <w:tcMar>
              <w:left w:w="115" w:type="dxa"/>
              <w:right w:w="58" w:type="dxa"/>
            </w:tcMar>
          </w:tcPr>
          <w:p w14:paraId="3DCD6733" w14:textId="77777777" w:rsidR="00905212" w:rsidRPr="00472E64" w:rsidRDefault="00905212" w:rsidP="00905212">
            <w:pPr>
              <w:suppressLineNumbers/>
              <w:suppressAutoHyphens/>
              <w:spacing w:before="60" w:after="60"/>
              <w:jc w:val="left"/>
              <w:rPr>
                <w:rFonts w:asciiTheme="majorBidi" w:eastAsia="MS Mincho" w:hAnsiTheme="majorBidi" w:cstheme="majorBidi"/>
                <w:spacing w:val="-4"/>
                <w:kern w:val="22"/>
                <w:szCs w:val="22"/>
                <w:lang w:val="es-ES_tradnl"/>
              </w:rPr>
            </w:pPr>
            <w:r w:rsidRPr="00472E64">
              <w:rPr>
                <w:rFonts w:asciiTheme="majorBidi" w:hAnsiTheme="majorBidi"/>
                <w:spacing w:val="-4"/>
                <w:szCs w:val="22"/>
                <w:lang w:val="es-ES_tradnl"/>
              </w:rPr>
              <w:t>a) Porcentaje de Partes que acceden a materiales de referencia a fin de facilitar y promover la concienciación, educación y participación del público respecto a la seguridad de la biotecnología;</w:t>
            </w:r>
          </w:p>
          <w:p w14:paraId="0BFCE074" w14:textId="77777777" w:rsidR="00905212" w:rsidRPr="00472E64" w:rsidRDefault="00905212" w:rsidP="00905212">
            <w:pPr>
              <w:suppressLineNumbers/>
              <w:suppressAutoHyphens/>
              <w:spacing w:before="60" w:after="60"/>
              <w:jc w:val="left"/>
              <w:rPr>
                <w:rFonts w:asciiTheme="majorBidi" w:eastAsia="MS Mincho" w:hAnsiTheme="majorBidi" w:cstheme="majorBidi"/>
                <w:spacing w:val="-4"/>
                <w:kern w:val="22"/>
                <w:szCs w:val="22"/>
                <w:lang w:val="es-ES_tradnl"/>
              </w:rPr>
            </w:pPr>
            <w:r w:rsidRPr="00472E64">
              <w:rPr>
                <w:rFonts w:asciiTheme="majorBidi" w:hAnsiTheme="majorBidi"/>
                <w:spacing w:val="-4"/>
                <w:szCs w:val="22"/>
                <w:lang w:val="es-ES_tradnl"/>
              </w:rPr>
              <w:t>b) Porcentaje de Partes que integran la seguridad de la biotecnología en programas de educación y capacitación pertinentes;</w:t>
            </w:r>
          </w:p>
          <w:p w14:paraId="7F3B7C35" w14:textId="77777777" w:rsidR="00905212" w:rsidRPr="00472E64" w:rsidRDefault="00905212" w:rsidP="00905212">
            <w:pPr>
              <w:suppressLineNumbers/>
              <w:suppressAutoHyphens/>
              <w:spacing w:before="60" w:after="60"/>
              <w:jc w:val="left"/>
              <w:rPr>
                <w:rFonts w:asciiTheme="majorBidi" w:eastAsia="MS Mincho" w:hAnsiTheme="majorBidi" w:cstheme="majorBidi"/>
                <w:spacing w:val="-4"/>
                <w:kern w:val="22"/>
                <w:szCs w:val="22"/>
                <w:lang w:val="es-ES_tradnl"/>
              </w:rPr>
            </w:pPr>
            <w:r w:rsidRPr="00472E64">
              <w:rPr>
                <w:rFonts w:asciiTheme="majorBidi" w:hAnsiTheme="majorBidi"/>
                <w:spacing w:val="-4"/>
                <w:szCs w:val="22"/>
                <w:lang w:val="es-ES_tradnl"/>
              </w:rPr>
              <w:t>c) Porcentaje de Partes que han establecido un mecanismo para facilitar y promover la participación del público en la adopción de decisiones relativas a los OVM;</w:t>
            </w:r>
          </w:p>
          <w:p w14:paraId="2818F4B1" w14:textId="77777777" w:rsidR="00905212" w:rsidRPr="00472E64" w:rsidRDefault="00905212" w:rsidP="00905212">
            <w:pPr>
              <w:suppressLineNumbers/>
              <w:suppressAutoHyphens/>
              <w:spacing w:before="60" w:after="60"/>
              <w:jc w:val="left"/>
              <w:rPr>
                <w:rFonts w:asciiTheme="majorBidi" w:eastAsia="MS Mincho" w:hAnsiTheme="majorBidi" w:cstheme="majorBidi"/>
                <w:spacing w:val="-4"/>
                <w:kern w:val="22"/>
                <w:szCs w:val="22"/>
                <w:lang w:val="es-ES_tradnl"/>
              </w:rPr>
            </w:pPr>
            <w:r w:rsidRPr="00472E64">
              <w:rPr>
                <w:rFonts w:asciiTheme="majorBidi" w:hAnsiTheme="majorBidi"/>
                <w:spacing w:val="-4"/>
                <w:szCs w:val="22"/>
                <w:lang w:val="es-ES_tradnl"/>
              </w:rPr>
              <w:t>d) Porcentaje de Partes que informan al público sobre los medios de participación en la adopción de decisiones;</w:t>
            </w:r>
          </w:p>
          <w:p w14:paraId="606FF274" w14:textId="77777777" w:rsidR="00905212" w:rsidRPr="00472E64" w:rsidRDefault="00905212" w:rsidP="00905212">
            <w:pPr>
              <w:suppressLineNumbers/>
              <w:suppressAutoHyphens/>
              <w:spacing w:before="60" w:after="60"/>
              <w:jc w:val="left"/>
              <w:rPr>
                <w:rFonts w:asciiTheme="majorBidi" w:eastAsia="MS Mincho" w:hAnsiTheme="majorBidi" w:cstheme="majorBidi"/>
                <w:spacing w:val="-4"/>
                <w:kern w:val="22"/>
                <w:szCs w:val="22"/>
                <w:lang w:val="es-ES_tradnl"/>
              </w:rPr>
            </w:pPr>
            <w:r w:rsidRPr="00472E64">
              <w:rPr>
                <w:rFonts w:asciiTheme="majorBidi" w:hAnsiTheme="majorBidi"/>
                <w:spacing w:val="-4"/>
                <w:szCs w:val="22"/>
                <w:lang w:val="es-ES_tradnl"/>
              </w:rPr>
              <w:t>e) Porcentaje de Partes que han consultado al público en el proceso de adopción de decisiones de conformidad con sus leyes y reglamentos respectivos;</w:t>
            </w:r>
          </w:p>
          <w:p w14:paraId="41B54945" w14:textId="77777777" w:rsidR="00905212" w:rsidRPr="00472E64" w:rsidRDefault="00905212" w:rsidP="00905212">
            <w:pPr>
              <w:suppressLineNumbers/>
              <w:suppressAutoHyphens/>
              <w:spacing w:before="60" w:after="60"/>
              <w:jc w:val="left"/>
              <w:rPr>
                <w:rFonts w:asciiTheme="majorBidi" w:eastAsia="MS Mincho" w:hAnsiTheme="majorBidi" w:cstheme="majorBidi"/>
                <w:spacing w:val="-4"/>
                <w:kern w:val="22"/>
                <w:szCs w:val="22"/>
                <w:lang w:val="es-ES_tradnl"/>
              </w:rPr>
            </w:pPr>
            <w:r w:rsidRPr="00472E64">
              <w:rPr>
                <w:rFonts w:asciiTheme="majorBidi" w:hAnsiTheme="majorBidi"/>
                <w:spacing w:val="-4"/>
                <w:szCs w:val="22"/>
                <w:lang w:val="es-ES_tradnl"/>
              </w:rPr>
              <w:t>f) Porcentaje de Partes que ponen a disposición del público los resultados de las decisiones;</w:t>
            </w:r>
          </w:p>
          <w:p w14:paraId="62C8C2F1"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472E64">
              <w:rPr>
                <w:rFonts w:asciiTheme="majorBidi" w:hAnsiTheme="majorBidi"/>
                <w:spacing w:val="-4"/>
                <w:szCs w:val="22"/>
                <w:lang w:val="es-ES_tradnl"/>
              </w:rPr>
              <w:t>g) Porcentaje de Partes que han informado al público sobre los medios de acceso público al CIISB.</w:t>
            </w:r>
          </w:p>
        </w:tc>
        <w:tc>
          <w:tcPr>
            <w:tcW w:w="2126" w:type="dxa"/>
          </w:tcPr>
          <w:p w14:paraId="4AEB8073"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A través de la concienciación, educación y participación del público, las Partes garantizan que el público esté adecuadamente informado sobre la transferencia, manipulación y utilización seguras de OVM y participen en la adopción de decisiones relativas a la transferencia, manipulación y utilización seguras de OVM</w:t>
            </w:r>
          </w:p>
        </w:tc>
      </w:tr>
      <w:tr w:rsidR="00905212" w:rsidRPr="00A202B4" w14:paraId="7E5C95D9" w14:textId="77777777" w:rsidTr="00905212">
        <w:tc>
          <w:tcPr>
            <w:tcW w:w="1844" w:type="dxa"/>
          </w:tcPr>
          <w:p w14:paraId="1E4C8C6A"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b/>
                <w:szCs w:val="22"/>
                <w:lang w:val="es-ES_tradnl"/>
              </w:rPr>
              <w:t>B.4. Las Partes intensifican la cooperación y la coordinación en materia de seguridad de la biotecnología en los planos nacional, regional e internacional</w:t>
            </w:r>
          </w:p>
        </w:tc>
        <w:tc>
          <w:tcPr>
            <w:tcW w:w="3118" w:type="dxa"/>
          </w:tcPr>
          <w:p w14:paraId="79B38B4E"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B.4.1. Las Partes cooperan para apoyar la aplicación del Protocolo, por ejemplo, mediante el intercambio de conocimientos científicos, técnicos e institucionales;</w:t>
            </w:r>
          </w:p>
          <w:p w14:paraId="77F43681"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B.4.2. Las Partes han establecido mecanismos eficaces para hacer participar a los pueblos indígenas y las comunidades locales y a interesados pertinentes de distintos sectores en la aplicación del Protocolo;</w:t>
            </w:r>
          </w:p>
          <w:p w14:paraId="6EDBE6C6"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B.4.3. Las Partes facilitan la coordinación y la cooperación sectorial e intersectorial a nivel nacional para integrar la seguridad de la biotecnología.</w:t>
            </w:r>
          </w:p>
        </w:tc>
        <w:tc>
          <w:tcPr>
            <w:tcW w:w="3969" w:type="dxa"/>
          </w:tcPr>
          <w:p w14:paraId="05313A23"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a) Porcentaje de Partes que cooperan en el intercambio de conocimientos científicos, técnicos e institucionales;</w:t>
            </w:r>
          </w:p>
          <w:p w14:paraId="4C8FFC19"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b) Porcentaje de Partes que participan en actividades bilaterales, regionales o multilaterales para la aplicación del Protocolo;</w:t>
            </w:r>
          </w:p>
          <w:p w14:paraId="4AC72B71" w14:textId="77777777" w:rsidR="00905212" w:rsidRPr="00A202B4" w:rsidRDefault="00905212" w:rsidP="00905212">
            <w:pPr>
              <w:suppressLineNumbers/>
              <w:suppressAutoHyphens/>
              <w:spacing w:before="60" w:after="60"/>
              <w:jc w:val="left"/>
              <w:rPr>
                <w:rFonts w:asciiTheme="majorBidi" w:eastAsia="MS Mincho" w:hAnsiTheme="majorBidi" w:cstheme="majorBidi"/>
                <w:kern w:val="22"/>
                <w:szCs w:val="22"/>
                <w:lang w:val="es-ES_tradnl"/>
              </w:rPr>
            </w:pPr>
            <w:r w:rsidRPr="00A202B4">
              <w:rPr>
                <w:rFonts w:asciiTheme="majorBidi" w:hAnsiTheme="majorBidi"/>
                <w:szCs w:val="22"/>
                <w:lang w:val="es-ES_tradnl"/>
              </w:rPr>
              <w:t>c) Porcentaje de Partes que cuentan con mecanismos para hacer participar a los pueblos indígenas y las comunidades locales y a los interesados pertinentes de diferentes sectores en la aplicación del Protocolo;</w:t>
            </w:r>
          </w:p>
          <w:p w14:paraId="55DA5827"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d) Porcentaje de Partes que han integrado la seguridad de la biotecnología en las estrategias, los planes de acción, los programas, las políticas o la legislación nacional a nivel sectorial e intersectorial.</w:t>
            </w:r>
          </w:p>
        </w:tc>
        <w:tc>
          <w:tcPr>
            <w:tcW w:w="2126" w:type="dxa"/>
          </w:tcPr>
          <w:p w14:paraId="3474C2A9" w14:textId="77777777" w:rsidR="00905212" w:rsidRPr="00A202B4" w:rsidRDefault="00905212" w:rsidP="00905212">
            <w:pPr>
              <w:suppressLineNumbers/>
              <w:suppressAutoHyphens/>
              <w:spacing w:before="120" w:after="120"/>
              <w:jc w:val="left"/>
              <w:rPr>
                <w:rFonts w:asciiTheme="majorBidi" w:hAnsiTheme="majorBidi" w:cstheme="majorBidi"/>
                <w:bCs/>
                <w:kern w:val="22"/>
                <w:szCs w:val="22"/>
                <w:lang w:val="es-ES_tradnl"/>
              </w:rPr>
            </w:pPr>
            <w:r w:rsidRPr="00A202B4">
              <w:rPr>
                <w:rFonts w:asciiTheme="majorBidi" w:hAnsiTheme="majorBidi"/>
                <w:szCs w:val="22"/>
                <w:lang w:val="es-ES_tradnl"/>
              </w:rPr>
              <w:t>Mediante la cooperación en los planos nacional, regional e internacional, y la participación de los interesados, la aplicación del Protocolo por las Partes es más eficaz</w:t>
            </w:r>
          </w:p>
        </w:tc>
      </w:tr>
    </w:tbl>
    <w:p w14:paraId="40ED9879" w14:textId="77777777" w:rsidR="00905212" w:rsidRPr="00A202B4" w:rsidRDefault="00905212" w:rsidP="00905212">
      <w:pPr>
        <w:spacing w:before="120" w:after="120"/>
        <w:ind w:firstLine="567"/>
        <w:jc w:val="center"/>
        <w:rPr>
          <w:szCs w:val="22"/>
          <w:lang w:val="es-ES_tradnl"/>
        </w:rPr>
      </w:pPr>
    </w:p>
    <w:p w14:paraId="6EB49516" w14:textId="77777777" w:rsidR="00905212" w:rsidRPr="00A202B4" w:rsidRDefault="00905212" w:rsidP="00DD4BAA">
      <w:pPr>
        <w:pStyle w:val="decision"/>
        <w:spacing w:before="240"/>
        <w:ind w:left="1560" w:right="146" w:hanging="1134"/>
        <w:jc w:val="left"/>
        <w:rPr>
          <w:rFonts w:hint="eastAsia"/>
          <w:lang w:val="es-ES_tradnl"/>
        </w:rPr>
        <w:sectPr w:rsidR="00905212" w:rsidRPr="00A202B4" w:rsidSect="009474D1">
          <w:footnotePr>
            <w:numRestart w:val="eachSect"/>
          </w:footnotePr>
          <w:pgSz w:w="12240" w:h="15840"/>
          <w:pgMar w:top="1021" w:right="1440" w:bottom="1021" w:left="1440" w:header="459" w:footer="720" w:gutter="0"/>
          <w:cols w:space="708"/>
          <w:docGrid w:linePitch="360"/>
        </w:sectPr>
      </w:pPr>
    </w:p>
    <w:p w14:paraId="7BAA5084" w14:textId="0975753F" w:rsidR="00DD4BAA" w:rsidRPr="00A202B4" w:rsidRDefault="00DD4BAA" w:rsidP="00DD4BAA">
      <w:pPr>
        <w:pStyle w:val="decision"/>
        <w:spacing w:before="240"/>
        <w:ind w:left="1560" w:right="146" w:hanging="1134"/>
        <w:jc w:val="left"/>
        <w:rPr>
          <w:rFonts w:hint="eastAsia"/>
          <w:lang w:val="es-ES_tradnl"/>
        </w:rPr>
      </w:pPr>
      <w:bookmarkStart w:id="10" w:name="_Toc152776493"/>
      <w:r w:rsidRPr="00A202B4">
        <w:rPr>
          <w:lang w:val="es-ES_tradnl"/>
        </w:rPr>
        <w:lastRenderedPageBreak/>
        <w:t>CP-10/4.</w:t>
      </w:r>
      <w:r w:rsidRPr="00A202B4">
        <w:rPr>
          <w:lang w:val="es-ES_tradnl"/>
        </w:rPr>
        <w:tab/>
      </w:r>
      <w:r w:rsidR="00846826" w:rsidRPr="00A202B4">
        <w:rPr>
          <w:lang w:val="es-ES_tradnl"/>
        </w:rPr>
        <w:t>Plan de acción para la creación de capacidad para el Protocolo de Cartagena sobre Seguridad de la Biotecnología y el Protocolo Suplementario de Nagoya-Kuala Lumpur sobre Responsabilidad y Compensación</w:t>
      </w:r>
      <w:bookmarkEnd w:id="10"/>
    </w:p>
    <w:p w14:paraId="3382E51E" w14:textId="77777777" w:rsidR="00846826" w:rsidRPr="00A202B4" w:rsidRDefault="00846826" w:rsidP="00846826">
      <w:pPr>
        <w:shd w:val="clear" w:color="auto" w:fill="FFFFFF"/>
        <w:spacing w:before="120" w:after="120"/>
        <w:ind w:firstLine="720"/>
        <w:rPr>
          <w:i/>
          <w:iCs/>
          <w:lang w:val="es-ES_tradnl"/>
        </w:rPr>
      </w:pPr>
      <w:r w:rsidRPr="00A202B4">
        <w:rPr>
          <w:i/>
          <w:iCs/>
          <w:lang w:val="es-ES_tradnl"/>
        </w:rPr>
        <w:t>La Conferencia de las Partes que actúa como reunión de las Partes en el Protocolo de Cartagena sobre Seguridad de la Biotecnología,</w:t>
      </w:r>
    </w:p>
    <w:p w14:paraId="3F9C7CB3" w14:textId="77777777" w:rsidR="00846826" w:rsidRPr="00A202B4" w:rsidRDefault="00846826" w:rsidP="00846826">
      <w:pPr>
        <w:spacing w:before="120" w:after="120"/>
        <w:ind w:firstLine="720"/>
        <w:rPr>
          <w:lang w:val="es-ES_tradnl"/>
        </w:rPr>
      </w:pPr>
      <w:r w:rsidRPr="00A202B4">
        <w:rPr>
          <w:i/>
          <w:iCs/>
          <w:lang w:val="es-ES_tradnl"/>
        </w:rPr>
        <w:t>Reconociendo</w:t>
      </w:r>
      <w:r w:rsidRPr="00A202B4">
        <w:rPr>
          <w:lang w:val="es-ES_tradnl"/>
        </w:rPr>
        <w:t xml:space="preserve"> la utilidad del Marco y Plan de Acción para la Creación de Capacidad para la Aplicación Efectiva del Protocolo de Cartagena sobre Seguridad de la Biotecnología</w:t>
      </w:r>
      <w:r w:rsidRPr="00A202B4">
        <w:rPr>
          <w:szCs w:val="22"/>
          <w:vertAlign w:val="superscript"/>
          <w:lang w:val="es-ES_tradnl"/>
        </w:rPr>
        <w:footnoteReference w:id="9"/>
      </w:r>
      <w:r w:rsidRPr="00A202B4">
        <w:rPr>
          <w:lang w:val="es-ES_tradnl"/>
        </w:rPr>
        <w:t>,</w:t>
      </w:r>
    </w:p>
    <w:p w14:paraId="7168BFD5" w14:textId="77777777" w:rsidR="00846826" w:rsidRPr="00A202B4" w:rsidRDefault="00846826" w:rsidP="00846826">
      <w:pPr>
        <w:spacing w:before="120" w:after="120"/>
        <w:ind w:firstLine="720"/>
        <w:rPr>
          <w:lang w:val="es-ES_tradnl"/>
        </w:rPr>
      </w:pPr>
      <w:r w:rsidRPr="00A202B4">
        <w:rPr>
          <w:i/>
          <w:lang w:val="es-ES_tradnl"/>
        </w:rPr>
        <w:t>Recordando</w:t>
      </w:r>
      <w:r w:rsidRPr="00A202B4">
        <w:rPr>
          <w:lang w:val="es-ES_tradnl"/>
        </w:rPr>
        <w:t xml:space="preserve"> la decisión CP-9/7, en la que decidió elaborar un plan de aplicación para el Protocolo de Cartagena sobre Seguridad de la Biotecnología que estuviera basado en el Marco Mundial de Biodiversidad de Kunming-Montreal y fuera complementario a él,</w:t>
      </w:r>
    </w:p>
    <w:p w14:paraId="5A94424B" w14:textId="77777777" w:rsidR="00846826" w:rsidRPr="00A202B4" w:rsidRDefault="00846826" w:rsidP="00846826">
      <w:pPr>
        <w:spacing w:before="120" w:after="120"/>
        <w:ind w:firstLine="720"/>
        <w:rPr>
          <w:lang w:val="es-ES_tradnl"/>
        </w:rPr>
      </w:pPr>
      <w:r w:rsidRPr="00A202B4">
        <w:rPr>
          <w:i/>
          <w:iCs/>
          <w:lang w:val="es-ES_tradnl"/>
        </w:rPr>
        <w:t xml:space="preserve">Recordando asimismo </w:t>
      </w:r>
      <w:r w:rsidRPr="00A202B4">
        <w:rPr>
          <w:lang w:val="es-ES_tradnl"/>
        </w:rPr>
        <w:t>la decisión CP-9/3, en la que reconoció la necesidad de un plan de acción específico para la creación de capacidad para la aplicación del Protocolo de Cartagena y su Protocolo Suplementario que estuviera en armonía con el plan de aplicación para el Protocolo de Cartagena sobre Seguridad de la Biotecnología y fuera complementario al marco estratégico a largo plazo para la creación de capacidad posterior a 2020,</w:t>
      </w:r>
    </w:p>
    <w:p w14:paraId="04C01117" w14:textId="77777777" w:rsidR="00846826" w:rsidRPr="00A202B4" w:rsidRDefault="00846826" w:rsidP="00846826">
      <w:pPr>
        <w:spacing w:before="120" w:after="120"/>
        <w:ind w:firstLine="720"/>
        <w:rPr>
          <w:lang w:val="es-ES_tradnl"/>
        </w:rPr>
      </w:pPr>
      <w:r w:rsidRPr="00A202B4">
        <w:rPr>
          <w:i/>
          <w:iCs/>
          <w:lang w:val="es-ES_tradnl"/>
        </w:rPr>
        <w:t>Acogiendo con satisfacción</w:t>
      </w:r>
      <w:r w:rsidRPr="00A202B4">
        <w:rPr>
          <w:lang w:val="es-ES_tradnl"/>
        </w:rPr>
        <w:t xml:space="preserve"> la contribución a la elaboración del plan de acción para la creación de capacidad realizada por el Grupo de Enlace del Protocolo de Cartagena sobre Seguridad de la Biotecnología, y el examen del Órgano Subsidiario sobre la Aplicación en su tercera reunión,</w:t>
      </w:r>
    </w:p>
    <w:p w14:paraId="575C4AAA" w14:textId="77777777" w:rsidR="00846826" w:rsidRPr="00A202B4" w:rsidRDefault="00846826" w:rsidP="00846826">
      <w:pPr>
        <w:spacing w:before="120" w:after="120"/>
        <w:ind w:firstLine="720"/>
        <w:rPr>
          <w:lang w:val="es-ES_tradnl"/>
        </w:rPr>
      </w:pPr>
      <w:r w:rsidRPr="00A202B4">
        <w:rPr>
          <w:i/>
          <w:iCs/>
          <w:lang w:val="es-ES_tradnl"/>
        </w:rPr>
        <w:t>Reconociendo</w:t>
      </w:r>
      <w:r w:rsidRPr="00A202B4">
        <w:rPr>
          <w:lang w:val="es-ES_tradnl"/>
        </w:rPr>
        <w:t xml:space="preserve"> la pertinencia del Protocolo de Cartagena sobre Seguridad de la Biotecnología, el Plan de Aplicación para el Protocolo de Cartagena sobre Seguridad de la Biotecnología</w:t>
      </w:r>
      <w:r w:rsidRPr="00A202B4">
        <w:rPr>
          <w:rStyle w:val="FootnoteReference"/>
          <w:rFonts w:asciiTheme="majorBidi" w:hAnsiTheme="majorBidi" w:cstheme="majorBidi"/>
          <w:sz w:val="22"/>
          <w:szCs w:val="22"/>
          <w:u w:val="none"/>
          <w:vertAlign w:val="superscript"/>
          <w:lang w:val="es-ES_tradnl"/>
        </w:rPr>
        <w:footnoteReference w:id="10"/>
      </w:r>
      <w:r w:rsidRPr="00A202B4">
        <w:rPr>
          <w:lang w:val="es-ES_tradnl"/>
        </w:rPr>
        <w:t xml:space="preserve"> y el Plan de Acción para la Creación de Capacidad para el Protocolo de Cartagena sobre Seguridad de la Biotecnología como planes interrelacionados pero independientes para la consecución de los objetivos del Convenio sobre la Diversidad Biológica,</w:t>
      </w:r>
    </w:p>
    <w:p w14:paraId="0AA93527" w14:textId="77777777" w:rsidR="00846826" w:rsidRPr="00A202B4" w:rsidRDefault="00846826" w:rsidP="00846826">
      <w:pPr>
        <w:spacing w:before="120" w:after="120"/>
        <w:ind w:firstLine="720"/>
        <w:rPr>
          <w:spacing w:val="-2"/>
          <w:lang w:val="es-ES_tradnl"/>
        </w:rPr>
      </w:pPr>
      <w:r w:rsidRPr="00A202B4">
        <w:rPr>
          <w:i/>
          <w:iCs/>
          <w:spacing w:val="-2"/>
          <w:lang w:val="es-ES_tradnl"/>
        </w:rPr>
        <w:t>Reconociendo</w:t>
      </w:r>
      <w:r w:rsidRPr="00A202B4">
        <w:rPr>
          <w:spacing w:val="-2"/>
          <w:lang w:val="es-ES_tradnl"/>
        </w:rPr>
        <w:t xml:space="preserve"> que es necesario fijar periódicamente prioridades para planificar y programar la labor que se habrá de llevar a cabo durante el período de vigencia del plan de acción para la creación de capacidad,</w:t>
      </w:r>
    </w:p>
    <w:p w14:paraId="1868C108" w14:textId="77777777" w:rsidR="00846826" w:rsidRPr="00A202B4" w:rsidRDefault="00846826" w:rsidP="00846826">
      <w:pPr>
        <w:spacing w:before="120" w:after="120"/>
        <w:ind w:firstLine="720"/>
        <w:rPr>
          <w:iCs/>
          <w:spacing w:val="-2"/>
          <w:lang w:val="es-ES_tradnl"/>
        </w:rPr>
      </w:pPr>
      <w:r w:rsidRPr="00A202B4">
        <w:rPr>
          <w:rFonts w:asciiTheme="majorBidi" w:hAnsiTheme="majorBidi" w:cstheme="majorBidi"/>
          <w:i/>
          <w:iCs/>
          <w:spacing w:val="-2"/>
          <w:lang w:val="es-ES_tradnl"/>
        </w:rPr>
        <w:t xml:space="preserve">Tomando nota </w:t>
      </w:r>
      <w:r w:rsidRPr="00A202B4">
        <w:rPr>
          <w:rFonts w:asciiTheme="majorBidi" w:hAnsiTheme="majorBidi" w:cstheme="majorBidi"/>
          <w:iCs/>
          <w:spacing w:val="-2"/>
          <w:lang w:val="es-ES_tradnl"/>
        </w:rPr>
        <w:t>de la decisión CP-10/</w:t>
      </w:r>
      <w:r w:rsidRPr="00A202B4">
        <w:rPr>
          <w:rFonts w:asciiTheme="majorBidi" w:hAnsiTheme="majorBidi" w:cstheme="majorBidi"/>
          <w:spacing w:val="-2"/>
          <w:lang w:val="es-ES_tradnl"/>
        </w:rPr>
        <w:t>6 sobre asuntos relativos al mecanismo financiero y los recursos financieros,</w:t>
      </w:r>
    </w:p>
    <w:p w14:paraId="05C21BAA" w14:textId="77777777" w:rsidR="00846826" w:rsidRPr="00A202B4" w:rsidRDefault="00846826" w:rsidP="00846826">
      <w:pPr>
        <w:spacing w:before="120" w:after="120"/>
        <w:ind w:firstLine="720"/>
        <w:rPr>
          <w:lang w:val="es-ES_tradnl"/>
        </w:rPr>
      </w:pPr>
      <w:r w:rsidRPr="00A202B4">
        <w:rPr>
          <w:lang w:val="es-ES_tradnl"/>
        </w:rPr>
        <w:t>1.</w:t>
      </w:r>
      <w:r w:rsidRPr="00A202B4">
        <w:rPr>
          <w:lang w:val="es-ES_tradnl"/>
        </w:rPr>
        <w:tab/>
      </w:r>
      <w:r w:rsidRPr="00A202B4">
        <w:rPr>
          <w:i/>
          <w:iCs/>
          <w:lang w:val="es-ES_tradnl"/>
        </w:rPr>
        <w:t>Adopta</w:t>
      </w:r>
      <w:r w:rsidRPr="00A202B4">
        <w:rPr>
          <w:lang w:val="es-ES_tradnl"/>
        </w:rPr>
        <w:t xml:space="preserve"> el Plan de Acción para la Creación de Capacidad para el Protocolo de Cartagena sobre Seguridad de la Biotecnología que figura en el anexo de la presente decisión;</w:t>
      </w:r>
    </w:p>
    <w:p w14:paraId="02ABEE60" w14:textId="77777777" w:rsidR="00846826" w:rsidRPr="00A202B4" w:rsidRDefault="00846826" w:rsidP="00846826">
      <w:pPr>
        <w:spacing w:before="120" w:after="120"/>
        <w:ind w:firstLine="720"/>
        <w:rPr>
          <w:lang w:val="es-ES_tradnl"/>
        </w:rPr>
      </w:pPr>
      <w:r w:rsidRPr="00A202B4">
        <w:rPr>
          <w:lang w:val="es-ES_tradnl"/>
        </w:rPr>
        <w:t>2.</w:t>
      </w:r>
      <w:r w:rsidRPr="00A202B4">
        <w:rPr>
          <w:lang w:val="es-ES_tradnl"/>
        </w:rPr>
        <w:tab/>
      </w:r>
      <w:r w:rsidRPr="00A202B4">
        <w:rPr>
          <w:i/>
          <w:iCs/>
          <w:lang w:val="es-ES_tradnl"/>
        </w:rPr>
        <w:t>Acoge con satisfacción</w:t>
      </w:r>
      <w:r w:rsidRPr="00A202B4">
        <w:rPr>
          <w:lang w:val="es-ES_tradnl"/>
        </w:rPr>
        <w:t xml:space="preserve"> el marco estratégico a largo plazo para la creación y desarrollo de capacidad adoptado en la decisión 15/8 de la Conferencia de las Partes;</w:t>
      </w:r>
    </w:p>
    <w:p w14:paraId="18E49366" w14:textId="77777777" w:rsidR="00846826" w:rsidRPr="00A202B4" w:rsidRDefault="00846826" w:rsidP="00846826">
      <w:pPr>
        <w:spacing w:before="120" w:after="120"/>
        <w:ind w:firstLine="720"/>
        <w:rPr>
          <w:i/>
          <w:iCs/>
          <w:lang w:val="es-ES_tradnl"/>
        </w:rPr>
      </w:pPr>
      <w:r w:rsidRPr="00A202B4">
        <w:rPr>
          <w:lang w:val="es-ES_tradnl"/>
        </w:rPr>
        <w:t>3.</w:t>
      </w:r>
      <w:r w:rsidRPr="00A202B4">
        <w:rPr>
          <w:lang w:val="es-ES_tradnl"/>
        </w:rPr>
        <w:tab/>
      </w:r>
      <w:r w:rsidRPr="00A202B4">
        <w:rPr>
          <w:i/>
          <w:iCs/>
          <w:lang w:val="es-ES_tradnl"/>
        </w:rPr>
        <w:t>Reconoce</w:t>
      </w:r>
      <w:r w:rsidRPr="00A202B4">
        <w:rPr>
          <w:lang w:val="es-ES_tradnl"/>
        </w:rPr>
        <w:t xml:space="preserve"> la complementariedad entre el Plan de Acción para la Creación de Capacidad para el Protocolo de Cartagena sobre Seguridad de la Biotecnología y el marco estratégico a largo plazo para la creación y desarrollo de capacidad adoptado en la decisión 15/8 de la Conferencia de las Partes;</w:t>
      </w:r>
    </w:p>
    <w:p w14:paraId="13F75E37" w14:textId="77777777" w:rsidR="00846826" w:rsidRPr="00A202B4" w:rsidRDefault="00846826" w:rsidP="00846826">
      <w:pPr>
        <w:spacing w:before="120" w:after="120"/>
        <w:ind w:firstLine="720"/>
        <w:rPr>
          <w:lang w:val="es-ES_tradnl"/>
        </w:rPr>
      </w:pPr>
      <w:r w:rsidRPr="00A202B4">
        <w:rPr>
          <w:lang w:val="es-ES_tradnl"/>
        </w:rPr>
        <w:t>4.</w:t>
      </w:r>
      <w:r w:rsidRPr="00A202B4">
        <w:rPr>
          <w:lang w:val="es-ES_tradnl"/>
        </w:rPr>
        <w:tab/>
      </w:r>
      <w:r w:rsidRPr="00A202B4">
        <w:rPr>
          <w:i/>
          <w:iCs/>
          <w:lang w:val="es-ES_tradnl"/>
        </w:rPr>
        <w:t xml:space="preserve">Insta </w:t>
      </w:r>
      <w:r w:rsidRPr="00A202B4">
        <w:rPr>
          <w:lang w:val="es-ES_tradnl"/>
        </w:rPr>
        <w:t xml:space="preserve">a las Partes e </w:t>
      </w:r>
      <w:r w:rsidRPr="00A202B4">
        <w:rPr>
          <w:i/>
          <w:iCs/>
          <w:lang w:val="es-ES_tradnl"/>
        </w:rPr>
        <w:t>invita</w:t>
      </w:r>
      <w:r w:rsidRPr="00A202B4">
        <w:rPr>
          <w:lang w:val="es-ES_tradnl"/>
        </w:rPr>
        <w:t xml:space="preserve"> a otros Gobiernos a revisar sus planes de acción nacionales y programas pertinentes para la aplicación del Protocolo, incluidas sus estrategias y planes de acción nacionales en materia de biodiversidad, y a armonizarlos, según proceda, con el Plan de Acción para la Creación de Capacidad;</w:t>
      </w:r>
    </w:p>
    <w:p w14:paraId="13E62A44" w14:textId="77777777" w:rsidR="00846826" w:rsidRPr="00A202B4" w:rsidRDefault="00846826" w:rsidP="00846826">
      <w:pPr>
        <w:spacing w:before="120" w:after="120"/>
        <w:ind w:firstLine="720"/>
        <w:rPr>
          <w:lang w:val="es-ES_tradnl"/>
        </w:rPr>
      </w:pPr>
      <w:r w:rsidRPr="00A202B4">
        <w:rPr>
          <w:lang w:val="es-ES_tradnl"/>
        </w:rPr>
        <w:t>5.</w:t>
      </w:r>
      <w:r w:rsidRPr="00A202B4">
        <w:rPr>
          <w:lang w:val="es-ES_tradnl"/>
        </w:rPr>
        <w:tab/>
      </w:r>
      <w:r w:rsidRPr="00A202B4">
        <w:rPr>
          <w:i/>
          <w:iCs/>
          <w:lang w:val="es-ES_tradnl"/>
        </w:rPr>
        <w:t xml:space="preserve">Decide </w:t>
      </w:r>
      <w:r w:rsidRPr="00A202B4">
        <w:rPr>
          <w:lang w:val="es-ES_tradnl"/>
        </w:rPr>
        <w:t>que los valores de referencia para el Plan de Acción para la Creación de Capacidad comprenderán la información recopilada en el cuarto ciclo de presentación de informes</w:t>
      </w:r>
      <w:r w:rsidRPr="00A202B4">
        <w:rPr>
          <w:vertAlign w:val="superscript"/>
          <w:lang w:val="es-ES_tradnl"/>
        </w:rPr>
        <w:footnoteReference w:id="11"/>
      </w:r>
      <w:r w:rsidRPr="00A202B4">
        <w:rPr>
          <w:lang w:val="es-ES_tradnl"/>
        </w:rPr>
        <w:t>;</w:t>
      </w:r>
    </w:p>
    <w:p w14:paraId="7FF034B6" w14:textId="77777777" w:rsidR="00846826" w:rsidRPr="00A202B4" w:rsidRDefault="00846826" w:rsidP="00846826">
      <w:pPr>
        <w:spacing w:before="120" w:after="120"/>
        <w:ind w:firstLine="720"/>
        <w:rPr>
          <w:lang w:val="es-ES_tradnl"/>
        </w:rPr>
      </w:pPr>
      <w:r w:rsidRPr="00A202B4">
        <w:rPr>
          <w:lang w:val="es-ES_tradnl"/>
        </w:rPr>
        <w:lastRenderedPageBreak/>
        <w:t>6.</w:t>
      </w:r>
      <w:r w:rsidRPr="00A202B4">
        <w:rPr>
          <w:i/>
          <w:iCs/>
          <w:lang w:val="es-ES_tradnl"/>
        </w:rPr>
        <w:tab/>
        <w:t xml:space="preserve">Decide asimismo </w:t>
      </w:r>
      <w:r w:rsidRPr="00A202B4">
        <w:rPr>
          <w:lang w:val="es-ES_tradnl"/>
        </w:rPr>
        <w:t>realizar una evaluación a mitad de período del Plan de Acción para la Creación de Capacidad conjuntamente con la evaluación a mitad de período del Plan de Aplicación para el Protocolo de Cartagena sobre Seguridad de la Biotecnología;</w:t>
      </w:r>
    </w:p>
    <w:p w14:paraId="3D232B4B" w14:textId="6F1D5F51" w:rsidR="00846826" w:rsidRPr="00A202B4" w:rsidRDefault="00846826" w:rsidP="00846826">
      <w:pPr>
        <w:spacing w:before="120" w:after="120"/>
        <w:ind w:firstLine="720"/>
        <w:rPr>
          <w:lang w:val="es-ES_tradnl"/>
        </w:rPr>
      </w:pPr>
      <w:r w:rsidRPr="00A202B4">
        <w:rPr>
          <w:lang w:val="es-ES_tradnl"/>
        </w:rPr>
        <w:t>7.</w:t>
      </w:r>
      <w:r w:rsidRPr="00A202B4">
        <w:rPr>
          <w:lang w:val="es-ES_tradnl"/>
        </w:rPr>
        <w:tab/>
      </w:r>
      <w:r w:rsidRPr="00A202B4">
        <w:rPr>
          <w:i/>
          <w:iCs/>
          <w:lang w:val="es-ES_tradnl"/>
        </w:rPr>
        <w:t xml:space="preserve">Alienta </w:t>
      </w:r>
      <w:r w:rsidRPr="00A202B4">
        <w:rPr>
          <w:lang w:val="es-ES_tradnl"/>
        </w:rPr>
        <w:t>a las Partes</w:t>
      </w:r>
      <w:r w:rsidRPr="00A202B4">
        <w:rPr>
          <w:i/>
          <w:iCs/>
          <w:lang w:val="es-ES_tradnl"/>
        </w:rPr>
        <w:t xml:space="preserve">, </w:t>
      </w:r>
      <w:r w:rsidRPr="00A202B4">
        <w:rPr>
          <w:lang w:val="es-ES_tradnl"/>
        </w:rPr>
        <w:t xml:space="preserve">a que, a través de sus autoridades nacionales competentes, definan actores pertinentes para apoyar la implementación del Plan de Acción para la Creación de Capacidad, según proceda, </w:t>
      </w:r>
      <w:r w:rsidRPr="00A202B4">
        <w:rPr>
          <w:i/>
          <w:iCs/>
          <w:lang w:val="es-ES_tradnl"/>
        </w:rPr>
        <w:t>observando</w:t>
      </w:r>
      <w:r w:rsidRPr="00A202B4">
        <w:rPr>
          <w:lang w:val="es-ES_tradnl"/>
        </w:rPr>
        <w:t xml:space="preserve"> la importancia de evitar y tratar conflictos de interés de conformidad con la legislación nacional.</w:t>
      </w:r>
    </w:p>
    <w:p w14:paraId="5196781D" w14:textId="75860B70" w:rsidR="00846826" w:rsidRPr="00A202B4" w:rsidRDefault="00846826" w:rsidP="00846826">
      <w:pPr>
        <w:spacing w:before="120" w:after="120"/>
        <w:jc w:val="center"/>
        <w:rPr>
          <w:i/>
          <w:iCs/>
          <w:lang w:val="es-ES_tradnl"/>
        </w:rPr>
      </w:pPr>
      <w:r w:rsidRPr="00A202B4">
        <w:rPr>
          <w:i/>
          <w:iCs/>
          <w:lang w:val="es-ES_tradnl"/>
        </w:rPr>
        <w:t>Anexo</w:t>
      </w:r>
    </w:p>
    <w:p w14:paraId="148ACA01" w14:textId="77777777" w:rsidR="00846826" w:rsidRPr="00A202B4" w:rsidRDefault="00846826" w:rsidP="00846826">
      <w:pPr>
        <w:spacing w:before="120" w:after="120"/>
        <w:jc w:val="center"/>
        <w:outlineLvl w:val="2"/>
        <w:rPr>
          <w:b/>
          <w:bCs/>
          <w:lang w:val="es-ES_tradnl"/>
        </w:rPr>
      </w:pPr>
      <w:r w:rsidRPr="00A202B4">
        <w:rPr>
          <w:b/>
          <w:bCs/>
          <w:lang w:val="es-ES_tradnl"/>
        </w:rPr>
        <w:t>PLAN DE ACCIÓN PARA LA CREACIÓN DE CAPACIDAD PARA EL PROTOCOLO DE CARTAGENA SOBRE SEGURIDAD DE LA BIOTECNOLOGÍA</w:t>
      </w:r>
    </w:p>
    <w:p w14:paraId="2B743732" w14:textId="77777777" w:rsidR="00846826" w:rsidRPr="00A202B4" w:rsidRDefault="00846826" w:rsidP="00846826">
      <w:pPr>
        <w:tabs>
          <w:tab w:val="left" w:pos="993"/>
        </w:tabs>
        <w:spacing w:before="120" w:after="120"/>
        <w:jc w:val="center"/>
        <w:rPr>
          <w:lang w:val="es-ES_tradnl"/>
        </w:rPr>
      </w:pPr>
      <w:r w:rsidRPr="00A202B4">
        <w:rPr>
          <w:b/>
          <w:bCs/>
          <w:lang w:val="es-ES_tradnl"/>
        </w:rPr>
        <w:t>I.</w:t>
      </w:r>
      <w:r w:rsidRPr="00A202B4">
        <w:rPr>
          <w:b/>
          <w:bCs/>
          <w:lang w:val="es-ES_tradnl"/>
        </w:rPr>
        <w:tab/>
        <w:t>FINALIDAD DEL PLAN DE ACCIÓN PARA LA CREACIÓN DE CAPACIDAD</w:t>
      </w:r>
    </w:p>
    <w:p w14:paraId="247640CC" w14:textId="77777777" w:rsidR="00846826" w:rsidRPr="00A202B4" w:rsidRDefault="00846826" w:rsidP="00846826">
      <w:pPr>
        <w:spacing w:before="120" w:after="120"/>
        <w:rPr>
          <w:lang w:val="es-ES_tradnl"/>
        </w:rPr>
      </w:pPr>
      <w:r w:rsidRPr="00A202B4">
        <w:rPr>
          <w:lang w:val="es-ES_tradnl"/>
        </w:rPr>
        <w:t>1.</w:t>
      </w:r>
      <w:r w:rsidRPr="00A202B4">
        <w:rPr>
          <w:lang w:val="es-ES_tradnl"/>
        </w:rPr>
        <w:tab/>
        <w:t>La finalidad del Plan de Acción para la Creación de Capacidad para el Protocolo de Cartagena sobre Seguridad de la Biotecnología (de aquí en adelante “Plan de Acción para la Creación de Capacidad”) es facilitar el desarrollo y fortalecimiento de las capacidades de las Partes para aplicar el Protocolo a través de lo siguiente: a) la identificación de áreas clave para la creación de capacidad relacionadas con las distintas metas del Plan de Aplicación para el Protocolo de Cartagena sobre Seguridad de la Biotecnología</w:t>
      </w:r>
      <w:r w:rsidRPr="00A202B4">
        <w:rPr>
          <w:rStyle w:val="FootnoteReference"/>
          <w:rFonts w:asciiTheme="majorBidi" w:hAnsiTheme="majorBidi" w:cstheme="majorBidi"/>
          <w:sz w:val="22"/>
          <w:szCs w:val="22"/>
          <w:u w:val="none"/>
          <w:vertAlign w:val="superscript"/>
          <w:lang w:val="es-ES_tradnl"/>
        </w:rPr>
        <w:footnoteReference w:id="12"/>
      </w:r>
      <w:r w:rsidRPr="00A202B4">
        <w:rPr>
          <w:lang w:val="es-ES_tradnl"/>
        </w:rPr>
        <w:t xml:space="preserve"> (de aquí en adelante “Plan de Aplicación”); b) la facilitación de la participación de los asociados, incluidos los donantes; c) el fomento de un enfoque coherente y coordinado de la creación de capacidad para la aplicación del Protocolo; y d) la promoción de la cooperación y coordinación regional e internacional. El Plan de Acción para la Creación de Capacidad abarca el mismo período que el Plan de Aplicación, hasta 2030.</w:t>
      </w:r>
    </w:p>
    <w:p w14:paraId="67A09E76" w14:textId="77777777" w:rsidR="00846826" w:rsidRPr="00A202B4" w:rsidRDefault="00846826" w:rsidP="00846826">
      <w:pPr>
        <w:spacing w:before="120" w:after="120"/>
        <w:rPr>
          <w:lang w:val="es-ES_tradnl"/>
        </w:rPr>
      </w:pPr>
      <w:r w:rsidRPr="00A202B4">
        <w:rPr>
          <w:lang w:val="es-ES_tradnl"/>
        </w:rPr>
        <w:t>2.</w:t>
      </w:r>
      <w:r w:rsidRPr="00A202B4">
        <w:rPr>
          <w:lang w:val="es-ES_tradnl"/>
        </w:rPr>
        <w:tab/>
        <w:t>Las Partes, los Estados que no son Partes y los interesados de distintos sectores, las organizaciones, los pueblos indígenas y las comunidades locales y los donantes pueden apoyar la realización de actividades de creación de capacidad, incluidas las que se esbozan en el Plan de Acción para la Creación de Capacidad.</w:t>
      </w:r>
    </w:p>
    <w:p w14:paraId="17EBF23B" w14:textId="77777777" w:rsidR="00846826" w:rsidRPr="00A202B4" w:rsidRDefault="00846826" w:rsidP="00846826">
      <w:pPr>
        <w:spacing w:before="120" w:after="120"/>
        <w:ind w:left="1276" w:hanging="709"/>
        <w:jc w:val="left"/>
        <w:rPr>
          <w:lang w:val="es-ES_tradnl"/>
        </w:rPr>
      </w:pPr>
      <w:r w:rsidRPr="00A202B4">
        <w:rPr>
          <w:b/>
          <w:bCs/>
          <w:lang w:val="es-ES_tradnl"/>
        </w:rPr>
        <w:t>II.</w:t>
      </w:r>
      <w:r w:rsidRPr="00A202B4">
        <w:rPr>
          <w:b/>
          <w:bCs/>
          <w:lang w:val="es-ES_tradnl"/>
        </w:rPr>
        <w:tab/>
        <w:t>VÍNCULO CON EL MARCO MUNDIAL DE BIODIVERSIDAD DE KUNMING- MONTREAL, EL MARCO ESTRATÉGICO A LARGO PLAZO PARA LA CREACIÓN Y DESARROLLO DE CAPACIDAD, Y LA AGENDA 2030 PARA EL DESARROLLO SOSTENIBLE</w:t>
      </w:r>
    </w:p>
    <w:p w14:paraId="51B88159" w14:textId="77777777" w:rsidR="00846826" w:rsidRPr="00A202B4" w:rsidRDefault="00846826" w:rsidP="00846826">
      <w:pPr>
        <w:spacing w:before="120" w:after="120"/>
        <w:rPr>
          <w:lang w:val="es-ES_tradnl"/>
        </w:rPr>
      </w:pPr>
      <w:r w:rsidRPr="00A202B4">
        <w:rPr>
          <w:lang w:val="es-ES_tradnl"/>
        </w:rPr>
        <w:t>3.</w:t>
      </w:r>
      <w:r w:rsidRPr="00A202B4">
        <w:rPr>
          <w:lang w:val="es-ES_tradnl"/>
        </w:rPr>
        <w:tab/>
        <w:t>El Plan de Acción para la Creación de Capacidad se elaboró en consonancia con el Plan de Aplicación, como se solicitó en la decisión CP-9/3, planteando ejemplos de actividades de creación de capacidad para cada meta del Plan de Aplicación. El Plan de Acción para la Creación de Capacidad es complementario al Plan de Aplicación dado que las actividades de creación de capacidad pueden apoyar el logro de las metas y resultados del Plan de Aplicación. Además, con el fin de garantizar la armonización y evitar posibles duplicaciones, la meta B.1 del Plan de Aplicación aborda la creación de capacidad en general y hace referencia a actividades específicas de creación de capacidad planteadas en el Plan de Acción para la Creación de Capacidad.</w:t>
      </w:r>
    </w:p>
    <w:p w14:paraId="2E470ADA" w14:textId="77777777" w:rsidR="00846826" w:rsidRPr="00A202B4" w:rsidRDefault="00846826" w:rsidP="00846826">
      <w:pPr>
        <w:spacing w:before="120" w:after="120"/>
        <w:rPr>
          <w:i/>
          <w:iCs/>
          <w:lang w:val="es-ES_tradnl"/>
        </w:rPr>
      </w:pPr>
      <w:r w:rsidRPr="00A202B4">
        <w:rPr>
          <w:lang w:val="es-ES_tradnl"/>
        </w:rPr>
        <w:t>4.</w:t>
      </w:r>
      <w:r w:rsidRPr="00A202B4">
        <w:rPr>
          <w:lang w:val="es-ES_tradnl"/>
        </w:rPr>
        <w:tab/>
        <w:t>El Plan de Acción para la Creación de Capacidad es complementario al marco estratégico a largo plazo para la creación y desarrollo de capacidad</w:t>
      </w:r>
      <w:r w:rsidRPr="00A202B4">
        <w:rPr>
          <w:rStyle w:val="FootnoteReference"/>
          <w:rFonts w:asciiTheme="majorBidi" w:hAnsiTheme="majorBidi" w:cstheme="majorBidi"/>
          <w:sz w:val="22"/>
          <w:szCs w:val="22"/>
          <w:u w:val="none"/>
          <w:vertAlign w:val="superscript"/>
          <w:lang w:val="es-ES_tradnl"/>
        </w:rPr>
        <w:footnoteReference w:id="13"/>
      </w:r>
      <w:r w:rsidRPr="00A202B4">
        <w:rPr>
          <w:lang w:val="es-ES_tradnl"/>
        </w:rPr>
        <w:t>. Los principios generales, enfoques y estrategias para mejorar la creación de capacidad, que se exponen en el marco estratégico a largo plazo para la creación y desarrollo de capacidad, se tomarán en consideración al planificar actividades de creación de capacidad basadas en el Plan de Acción para la Creación de Capacidad.</w:t>
      </w:r>
    </w:p>
    <w:p w14:paraId="767806AA" w14:textId="77777777" w:rsidR="00846826" w:rsidRPr="00A202B4" w:rsidRDefault="00846826" w:rsidP="00846826">
      <w:pPr>
        <w:spacing w:before="120" w:after="120"/>
        <w:rPr>
          <w:lang w:val="es-ES_tradnl"/>
        </w:rPr>
      </w:pPr>
      <w:r w:rsidRPr="00A202B4">
        <w:rPr>
          <w:lang w:val="es-ES_tradnl"/>
        </w:rPr>
        <w:t>5.</w:t>
      </w:r>
      <w:r w:rsidRPr="00A202B4">
        <w:rPr>
          <w:lang w:val="es-ES_tradnl"/>
        </w:rPr>
        <w:tab/>
        <w:t>El Plan de Acción para la Creación de Capacidad también puede servir para ayudar a las Partes a lograr los Objetivos de Desarrollo Sostenible, como por ejemplo los Objetivos 2 (poner fin al hambre, lograr la seguridad alimentaria y la mejora de la nutrición y promover la agricultura sostenible) y 3 (garantizar una vida sana y promover el bienestar de todos a todas las edades).</w:t>
      </w:r>
    </w:p>
    <w:p w14:paraId="75A48DCF" w14:textId="77777777" w:rsidR="00846826" w:rsidRPr="00A202B4" w:rsidRDefault="00846826" w:rsidP="00846826">
      <w:pPr>
        <w:tabs>
          <w:tab w:val="left" w:pos="993"/>
        </w:tabs>
        <w:spacing w:before="120" w:after="120"/>
        <w:jc w:val="center"/>
        <w:rPr>
          <w:lang w:val="es-ES_tradnl"/>
        </w:rPr>
      </w:pPr>
      <w:r w:rsidRPr="00A202B4">
        <w:rPr>
          <w:b/>
          <w:bCs/>
          <w:lang w:val="es-ES_tradnl"/>
        </w:rPr>
        <w:lastRenderedPageBreak/>
        <w:t>III.</w:t>
      </w:r>
      <w:r w:rsidRPr="00A202B4">
        <w:rPr>
          <w:b/>
          <w:bCs/>
          <w:lang w:val="es-ES_tradnl"/>
        </w:rPr>
        <w:tab/>
        <w:t>ESTRUCTURA DEL PLAN DE APLICACIÓN PARA LA CREACIÓN DE CAPACIDAD</w:t>
      </w:r>
    </w:p>
    <w:p w14:paraId="44E12753" w14:textId="77777777" w:rsidR="00846826" w:rsidRPr="00A202B4" w:rsidRDefault="00846826" w:rsidP="00846826">
      <w:pPr>
        <w:spacing w:before="120" w:after="120"/>
        <w:rPr>
          <w:lang w:val="es-ES_tradnl"/>
        </w:rPr>
      </w:pPr>
      <w:r w:rsidRPr="00A202B4">
        <w:rPr>
          <w:lang w:val="es-ES_tradnl"/>
        </w:rPr>
        <w:t>6.</w:t>
      </w:r>
      <w:r w:rsidRPr="00A202B4">
        <w:rPr>
          <w:lang w:val="es-ES_tradnl"/>
        </w:rPr>
        <w:tab/>
        <w:t>En el apéndice que figura a continuación, se presenta un cuadro con las metas, las áreas clave para la creación de capacidad y ejemplos de actividades, indicadores y resultados de creación de capacidad del Plan de Acción para la Creación de Capacidad.</w:t>
      </w:r>
    </w:p>
    <w:p w14:paraId="0CAE6F00" w14:textId="77777777" w:rsidR="00846826" w:rsidRPr="00A202B4" w:rsidRDefault="00846826" w:rsidP="00846826">
      <w:pPr>
        <w:spacing w:before="120" w:after="120"/>
        <w:rPr>
          <w:lang w:val="es-ES_tradnl"/>
        </w:rPr>
      </w:pPr>
      <w:r w:rsidRPr="00A202B4">
        <w:rPr>
          <w:lang w:val="es-ES_tradnl"/>
        </w:rPr>
        <w:t>7.</w:t>
      </w:r>
      <w:r w:rsidRPr="00A202B4">
        <w:rPr>
          <w:lang w:val="es-ES_tradnl"/>
        </w:rPr>
        <w:tab/>
        <w:t>El Plan de Acción para la Creación de Capacidad está alineado con las metas del Plan de Aplicación. Estas metas representan amplios logros deseables de las Partes. Para cada meta, se brindan áreas clave para la creación de capacidad, ejemplos de actividades de creación de capacidad, indicadores y resultados.</w:t>
      </w:r>
    </w:p>
    <w:p w14:paraId="1AE5104B" w14:textId="77777777" w:rsidR="00846826" w:rsidRPr="00A202B4" w:rsidRDefault="00846826" w:rsidP="00846826">
      <w:pPr>
        <w:spacing w:before="120" w:after="120"/>
        <w:rPr>
          <w:lang w:val="es-ES_tradnl"/>
        </w:rPr>
      </w:pPr>
      <w:r w:rsidRPr="00A202B4">
        <w:rPr>
          <w:lang w:val="es-ES_tradnl"/>
        </w:rPr>
        <w:t>8.</w:t>
      </w:r>
      <w:r w:rsidRPr="00A202B4">
        <w:rPr>
          <w:lang w:val="es-ES_tradnl"/>
        </w:rPr>
        <w:tab/>
        <w:t xml:space="preserve">Las </w:t>
      </w:r>
      <w:r w:rsidRPr="00A202B4">
        <w:rPr>
          <w:i/>
          <w:iCs/>
          <w:lang w:val="es-ES_tradnl"/>
        </w:rPr>
        <w:t>áreas clave para la creación de capacidad</w:t>
      </w:r>
      <w:r w:rsidRPr="00A202B4">
        <w:rPr>
          <w:lang w:val="es-ES_tradnl"/>
        </w:rPr>
        <w:t xml:space="preserve"> están relacionadas con cada una de las metas del Plan de Aplicación. Las áreas clave para la creación de capacidad están alineadas con los objetivos del Plan de Aplicación e incluyen áreas para las que se sugieren actividades de creación de capacidad.</w:t>
      </w:r>
    </w:p>
    <w:p w14:paraId="60AED70C" w14:textId="77777777" w:rsidR="00846826" w:rsidRPr="00A202B4" w:rsidRDefault="00846826" w:rsidP="00846826">
      <w:pPr>
        <w:spacing w:before="120" w:after="120"/>
        <w:rPr>
          <w:lang w:val="es-ES_tradnl"/>
        </w:rPr>
      </w:pPr>
      <w:r w:rsidRPr="00A202B4">
        <w:rPr>
          <w:lang w:val="es-ES_tradnl"/>
        </w:rPr>
        <w:t>9.</w:t>
      </w:r>
      <w:r w:rsidRPr="00A202B4">
        <w:rPr>
          <w:lang w:val="es-ES_tradnl"/>
        </w:rPr>
        <w:tab/>
        <w:t xml:space="preserve">El Plan de Acción para la Creación de Capacidad también ofrece una lista de </w:t>
      </w:r>
      <w:r w:rsidRPr="00A202B4">
        <w:rPr>
          <w:iCs/>
          <w:lang w:val="es-ES_tradnl"/>
        </w:rPr>
        <w:t>ejemplos de</w:t>
      </w:r>
      <w:r w:rsidRPr="00A202B4">
        <w:rPr>
          <w:i/>
          <w:iCs/>
          <w:lang w:val="es-ES_tradnl"/>
        </w:rPr>
        <w:t xml:space="preserve"> actividades de creación de capacidad</w:t>
      </w:r>
      <w:r w:rsidRPr="00A202B4">
        <w:rPr>
          <w:lang w:val="es-ES_tradnl"/>
        </w:rPr>
        <w:t>, que fueron elaborados teniendo en cuenta las actividades de creación de capacidad que continúan siendo pertinentes y se incluyen, entre otros, en el Marco y Plan de Acción para la Creación de Capacidad para la Aplicación Efectiva del Protocolo de Cartagena sobre Seguridad de la Biotecnología adoptado en 2012, y el programa de trabajo sobre concienciación, educación y participación del público. Las actividades de creación de capacidad están dirigidas a apoyar la aplicación exitosa del Protocolo de Cartagena, y pueden contribuir a uno o más resultados.</w:t>
      </w:r>
    </w:p>
    <w:p w14:paraId="2E7CE457" w14:textId="77777777" w:rsidR="00846826" w:rsidRPr="00A202B4" w:rsidRDefault="00846826" w:rsidP="00846826">
      <w:pPr>
        <w:spacing w:before="120" w:after="120"/>
        <w:rPr>
          <w:lang w:val="es-ES_tradnl"/>
        </w:rPr>
      </w:pPr>
      <w:r w:rsidRPr="00A202B4">
        <w:rPr>
          <w:lang w:val="es-ES_tradnl"/>
        </w:rPr>
        <w:t>10.</w:t>
      </w:r>
      <w:r w:rsidRPr="00A202B4">
        <w:rPr>
          <w:lang w:val="es-ES_tradnl"/>
        </w:rPr>
        <w:tab/>
        <w:t>Las áreas clave y las actividades de creación de capacidad expuestas en el Plan de Acción para la Creación de Capacidad no pretenden ser preceptivas ni exhaustivas. Las áreas clave para la creación de capacidad se entienden como áreas indicativas en las que podrían necesitarse capacidades y en las que podrían centrarse las intervenciones de creación de capacidad, dependiendo de las circunstancias y necesidades nacionales. Las actividades de creación de capacidad son ejemplos y no constituyen una lista exhaustiva, dado que cada país deberá adaptar las actividades a su realidad y sus necesidades. Además, las lecciones aprendidas en las actividades de creación de capacidad anteriores pueden apoyar la determinación de las actividades más adecuadas que se desarrollarán para cada país. Se reconoce que las necesidades y circunstancias nacionales y regionales deberían determinar en última instancia el diseño y la ejecución de las actividades de creación de capacidad, teniendo también en cuenta la orientación estratégica proporcionada en el marco estratégico a largo plazo para la creación y desarrollo de capacidad, según proceda.</w:t>
      </w:r>
    </w:p>
    <w:p w14:paraId="0850B68D" w14:textId="77777777" w:rsidR="00846826" w:rsidRPr="00A202B4" w:rsidRDefault="00846826" w:rsidP="00846826">
      <w:pPr>
        <w:spacing w:before="120" w:after="120"/>
        <w:rPr>
          <w:lang w:val="es-ES_tradnl"/>
        </w:rPr>
      </w:pPr>
      <w:r w:rsidRPr="00A202B4">
        <w:rPr>
          <w:lang w:val="es-ES_tradnl"/>
        </w:rPr>
        <w:t>11.</w:t>
      </w:r>
      <w:r w:rsidRPr="00A202B4">
        <w:rPr>
          <w:lang w:val="es-ES_tradnl"/>
        </w:rPr>
        <w:tab/>
        <w:t>El Plan de Acción para la Creación de Capacidad también incluye un conjunto de indicadores diseñados para medir el éxito de las actividades o la contribución de las actividades al resultado. Los indicadores se han diseñado de manera que sean simples, mensurables y pertinentes para el resultado. Cada indicador se refiere a una actividad o al resultado.</w:t>
      </w:r>
    </w:p>
    <w:p w14:paraId="1B77E3A4" w14:textId="77777777" w:rsidR="00846826" w:rsidRPr="00A202B4" w:rsidRDefault="00846826" w:rsidP="00846826">
      <w:pPr>
        <w:spacing w:before="120" w:after="120"/>
        <w:rPr>
          <w:lang w:val="es-ES_tradnl"/>
        </w:rPr>
      </w:pPr>
      <w:r w:rsidRPr="00A202B4">
        <w:rPr>
          <w:lang w:val="es-ES_tradnl"/>
        </w:rPr>
        <w:t>12.</w:t>
      </w:r>
      <w:r w:rsidRPr="00A202B4">
        <w:rPr>
          <w:lang w:val="es-ES_tradnl"/>
        </w:rPr>
        <w:tab/>
        <w:t>A través del Centro de Intercambio de Información sobre Seguridad de la Biotecnología se deberá compartir información sobre las actividades de creación de capacidad realizadas o sobre los recursos o materiales para la creación de capacidad elaborados en el contexto del Plan de Acción para la Creación de Capacidad.</w:t>
      </w:r>
    </w:p>
    <w:p w14:paraId="6164C8B1" w14:textId="77777777" w:rsidR="00846826" w:rsidRPr="00A202B4" w:rsidRDefault="00846826" w:rsidP="00FD020A">
      <w:pPr>
        <w:spacing w:before="120" w:after="160"/>
        <w:jc w:val="center"/>
        <w:rPr>
          <w:i/>
          <w:iCs/>
          <w:lang w:val="es-ES_tradnl"/>
        </w:rPr>
      </w:pPr>
      <w:r w:rsidRPr="00A202B4">
        <w:rPr>
          <w:i/>
          <w:iCs/>
          <w:lang w:val="es-ES_tradnl"/>
        </w:rPr>
        <w:t>Proveedores de creación de capacidad y públicos destinatarios</w:t>
      </w:r>
    </w:p>
    <w:p w14:paraId="72741E64" w14:textId="77777777" w:rsidR="00846826" w:rsidRPr="00A202B4" w:rsidRDefault="00846826" w:rsidP="00846826">
      <w:pPr>
        <w:spacing w:before="120" w:after="120"/>
        <w:rPr>
          <w:lang w:val="es-ES_tradnl"/>
        </w:rPr>
      </w:pPr>
      <w:r w:rsidRPr="00A202B4">
        <w:rPr>
          <w:lang w:val="es-ES_tradnl"/>
        </w:rPr>
        <w:t>13.</w:t>
      </w:r>
      <w:r w:rsidRPr="00A202B4">
        <w:rPr>
          <w:lang w:val="es-ES_tradnl"/>
        </w:rPr>
        <w:tab/>
        <w:t xml:space="preserve">Las actividades de creación de capacidad pueden llevarse a cabo en distintos niveles, entre ellos el nivel nacional, regional y mundial. </w:t>
      </w:r>
    </w:p>
    <w:p w14:paraId="6BBED856" w14:textId="77777777" w:rsidR="00846826" w:rsidRPr="00A202B4" w:rsidRDefault="00846826" w:rsidP="00846826">
      <w:pPr>
        <w:spacing w:before="120" w:after="120"/>
        <w:rPr>
          <w:lang w:val="es-ES_tradnl"/>
        </w:rPr>
      </w:pPr>
      <w:r w:rsidRPr="00A202B4">
        <w:rPr>
          <w:lang w:val="es-ES_tradnl"/>
        </w:rPr>
        <w:t>14.</w:t>
      </w:r>
      <w:r w:rsidRPr="00A202B4">
        <w:rPr>
          <w:lang w:val="es-ES_tradnl"/>
        </w:rPr>
        <w:tab/>
        <w:t xml:space="preserve">En la implementación de las actividades de creación de capacidad podrían participar diversos autores. La determinación de actores en este sentido depende en gran medida de las circunstancias, necesidades y prioridades nacionales. Los actores podrían ser, entre otros, autoridades e instituciones nacionales pertinentes, funcionarios de aduana y fronteras, otros Gobiernos, el sector académico, instituciones de investigación, redes de laboratorios, pueblos indígenas y comunidades locales, organizaciones no gubernamentales, el público y otros interesados pertinentes, el Fondo para el Medio </w:t>
      </w:r>
      <w:r w:rsidRPr="00A202B4">
        <w:rPr>
          <w:lang w:val="es-ES_tradnl"/>
        </w:rPr>
        <w:lastRenderedPageBreak/>
        <w:t>Ambiente Mundial y otras organizaciones internacionales de financiación, el sector privado, incluidos bancos, grandes compañías e inversores, organismos de las Naciones Unidas y la Secretaría.</w:t>
      </w:r>
    </w:p>
    <w:p w14:paraId="137E5EBF" w14:textId="77777777" w:rsidR="00846826" w:rsidRPr="00A202B4" w:rsidRDefault="00846826" w:rsidP="00846826">
      <w:pPr>
        <w:spacing w:before="120" w:after="120"/>
        <w:rPr>
          <w:lang w:val="es-ES_tradnl"/>
        </w:rPr>
      </w:pPr>
      <w:r w:rsidRPr="00A202B4">
        <w:rPr>
          <w:lang w:val="es-ES_tradnl"/>
        </w:rPr>
        <w:t>15.</w:t>
      </w:r>
      <w:r w:rsidRPr="00A202B4">
        <w:rPr>
          <w:lang w:val="es-ES_tradnl"/>
        </w:rPr>
        <w:tab/>
        <w:t>De la misma manera, diversos públicos destinatarios podrían beneficiarse de actividades específicas de creación de capacidad, dependiendo de las circunstancias, necesidades y prioridades nacionales. Entre esos públicos podría haber encargados de la formulación de políticas, autoridades administrativas, técnicos de laboratorio y funcionarios de aduanas, entre otros.</w:t>
      </w:r>
    </w:p>
    <w:p w14:paraId="72057078" w14:textId="77777777" w:rsidR="00846826" w:rsidRPr="00A202B4" w:rsidRDefault="00846826" w:rsidP="00846826">
      <w:pPr>
        <w:spacing w:before="120" w:after="120"/>
        <w:rPr>
          <w:lang w:val="es-ES_tradnl"/>
        </w:rPr>
      </w:pPr>
      <w:r w:rsidRPr="00A202B4">
        <w:rPr>
          <w:lang w:val="es-ES_tradnl"/>
        </w:rPr>
        <w:t>16.</w:t>
      </w:r>
      <w:r w:rsidRPr="00A202B4">
        <w:rPr>
          <w:lang w:val="es-ES_tradnl"/>
        </w:rPr>
        <w:tab/>
        <w:t>Al diseñar intervenciones de creación de capacidad en las áreas de creación de capacidad o sobre la base de los ejemplos de actividades planteados en el Plan de Acción para la Creación de Capacidad, se deberán definir los actores y los públicos destinatarios. Como se indica en las metas dentro del “entorno propicio” del Plan de Aplicación y el Plan de Acción para la Creación de Capacidad, la cooperación y la colaboración, además de la provisión de recursos adecuados, son condiciones indispensables para llevar a cabo actividades de creación de capacidad en apoyo de la aplicación del Protocolo.</w:t>
      </w:r>
    </w:p>
    <w:p w14:paraId="55B89671" w14:textId="77777777" w:rsidR="00846826" w:rsidRPr="00A202B4" w:rsidRDefault="00846826" w:rsidP="00846826">
      <w:pPr>
        <w:spacing w:before="120" w:after="120"/>
        <w:rPr>
          <w:lang w:val="es-ES_tradnl"/>
        </w:rPr>
      </w:pPr>
      <w:r w:rsidRPr="00A202B4">
        <w:rPr>
          <w:lang w:val="es-ES_tradnl"/>
        </w:rPr>
        <w:t xml:space="preserve">17. </w:t>
      </w:r>
      <w:r w:rsidRPr="00A202B4">
        <w:rPr>
          <w:lang w:val="es-ES_tradnl"/>
        </w:rPr>
        <w:tab/>
        <w:t>El Protocolo Suplementario de Nagoya – Kuala Lumpur sobre Responsabilidad y Compensación fue adoptado por la Conferencia de las Partes que actúa como reunión de las Partes en el Protocolo en 2010 (decisión BS-V/11). El Plan Estratégico para el Protocolo de Cartagena sobre Seguridad de la Biotecnología para el período 2011-2020, también adoptado en 2010, incluía elementos sobre responsabilidad y compensación y el Protocolo Suplementario. El Protocolo Suplementario entró en vigor el 5 de marzo de 2018.</w:t>
      </w:r>
    </w:p>
    <w:p w14:paraId="257047CA" w14:textId="77777777" w:rsidR="00846826" w:rsidRPr="00A202B4" w:rsidRDefault="00846826" w:rsidP="00846826">
      <w:pPr>
        <w:spacing w:before="120" w:after="120"/>
        <w:rPr>
          <w:lang w:val="es-ES_tradnl"/>
        </w:rPr>
      </w:pPr>
      <w:r w:rsidRPr="00A202B4">
        <w:rPr>
          <w:lang w:val="es-ES_tradnl"/>
        </w:rPr>
        <w:t xml:space="preserve">18. </w:t>
      </w:r>
      <w:r w:rsidRPr="00A202B4">
        <w:rPr>
          <w:lang w:val="es-ES_tradnl"/>
        </w:rPr>
        <w:tab/>
        <w:t>En el apéndice que figura a continuación se incluye un componente sobre el Protocolo Suplementario. La inclusión de un componente sobre el Protocolo Suplementario tiene la finalidad de apoyar la creación de capacidad para la aplicación del Protocolo de Cartagena y contribuir a la aplicación efectiva del Protocolo Suplementario, si bien se reconoce que son instrumentos jurídicos separados y que las obligaciones dimanantes de estos instrumentos solo obligan a las Partes en el respectivo instrumento.</w:t>
      </w:r>
    </w:p>
    <w:p w14:paraId="5F7EE8F2" w14:textId="368D18C4" w:rsidR="00846826" w:rsidRPr="00A202B4" w:rsidRDefault="00FF4CAD" w:rsidP="00846826">
      <w:pPr>
        <w:keepNext/>
        <w:tabs>
          <w:tab w:val="left" w:pos="993"/>
        </w:tabs>
        <w:spacing w:before="120" w:after="120"/>
        <w:jc w:val="center"/>
        <w:rPr>
          <w:lang w:val="es-ES_tradnl"/>
        </w:rPr>
      </w:pPr>
      <w:r>
        <w:rPr>
          <w:b/>
          <w:bCs/>
          <w:lang w:val="es-ES_tradnl"/>
        </w:rPr>
        <w:t>IV.</w:t>
      </w:r>
      <w:r w:rsidR="00846826" w:rsidRPr="00A202B4">
        <w:rPr>
          <w:b/>
          <w:bCs/>
          <w:lang w:val="es-ES_tradnl"/>
        </w:rPr>
        <w:tab/>
        <w:t>EVALUACIÓN Y REVISIÓN</w:t>
      </w:r>
    </w:p>
    <w:p w14:paraId="22BB8094" w14:textId="77777777" w:rsidR="00846826" w:rsidRPr="00A202B4" w:rsidRDefault="00846826" w:rsidP="00846826">
      <w:pPr>
        <w:spacing w:before="120" w:after="120"/>
        <w:rPr>
          <w:lang w:val="es-ES_tradnl"/>
        </w:rPr>
      </w:pPr>
      <w:r w:rsidRPr="00A202B4">
        <w:rPr>
          <w:lang w:val="es-ES_tradnl"/>
        </w:rPr>
        <w:t xml:space="preserve">19. </w:t>
      </w:r>
      <w:r w:rsidRPr="00A202B4">
        <w:rPr>
          <w:lang w:val="es-ES_tradnl"/>
        </w:rPr>
        <w:tab/>
        <w:t>La Conferencia de las Partes que actúa como reunión de las Partes en el Protocolo de Cartagena realizará una evaluación a mitad de período y podrá decidir realizar una evaluación final del Plan de Aplicación y el Plan de Acción de Creación de Capacidad. Estas evaluaciones podrían basarse en la información proporcionada por las Partes en sus informes nacionales, información sobre actividades de creación de capacidad e información del Centro de Intercambio de Información sobre Seguridad de la Biotecnología, entre otros datos. Esta información podría emplearse para evaluar en qué medida se están cumpliendo los objetivos del Plan de Aplicación, incluso mediante actividades de creación de capacidad.</w:t>
      </w:r>
    </w:p>
    <w:p w14:paraId="0E40807D" w14:textId="77777777" w:rsidR="00846826" w:rsidRPr="00A202B4" w:rsidRDefault="00846826" w:rsidP="00846826">
      <w:pPr>
        <w:spacing w:before="120" w:after="120"/>
        <w:rPr>
          <w:lang w:val="es-ES_tradnl"/>
        </w:rPr>
      </w:pPr>
      <w:r w:rsidRPr="00A202B4">
        <w:rPr>
          <w:lang w:val="es-ES_tradnl"/>
        </w:rPr>
        <w:t xml:space="preserve">20. </w:t>
      </w:r>
      <w:r w:rsidRPr="00A202B4">
        <w:rPr>
          <w:lang w:val="es-ES_tradnl"/>
        </w:rPr>
        <w:tab/>
        <w:t>Los resultados de la cuarta evaluación y revisión de la eficacia del Protocolo de Cartagena y la evaluación final del Plan Estratégico para el Protocolo de Cartagena sobre Seguridad de la Biotecnología para el período 2011-2020</w:t>
      </w:r>
      <w:r w:rsidRPr="00A202B4">
        <w:rPr>
          <w:rStyle w:val="FootnoteReference"/>
          <w:rFonts w:asciiTheme="majorBidi" w:hAnsiTheme="majorBidi" w:cstheme="majorBidi"/>
          <w:sz w:val="22"/>
          <w:szCs w:val="22"/>
          <w:u w:val="none"/>
          <w:vertAlign w:val="superscript"/>
          <w:lang w:val="es-ES_tradnl"/>
        </w:rPr>
        <w:footnoteReference w:id="14"/>
      </w:r>
      <w:r w:rsidRPr="00A202B4">
        <w:rPr>
          <w:lang w:val="es-ES_tradnl"/>
        </w:rPr>
        <w:t xml:space="preserve"> se utilizarán para establecer valores de referencia para medir los progresos en el logro de las metas del Plan de Aplicación y el Plan de Acción para la Creación de Capacidad.</w:t>
      </w:r>
    </w:p>
    <w:p w14:paraId="5B8E0344" w14:textId="3F351962" w:rsidR="00846826" w:rsidRPr="00A202B4" w:rsidRDefault="00FF4CAD" w:rsidP="00846826">
      <w:pPr>
        <w:keepNext/>
        <w:tabs>
          <w:tab w:val="left" w:pos="993"/>
        </w:tabs>
        <w:spacing w:before="120" w:after="120"/>
        <w:jc w:val="center"/>
        <w:rPr>
          <w:b/>
          <w:bCs/>
          <w:lang w:val="es-ES_tradnl"/>
        </w:rPr>
      </w:pPr>
      <w:r>
        <w:rPr>
          <w:b/>
          <w:bCs/>
          <w:lang w:val="es-ES_tradnl"/>
        </w:rPr>
        <w:t>V.</w:t>
      </w:r>
      <w:r w:rsidR="00846826" w:rsidRPr="00A202B4">
        <w:rPr>
          <w:b/>
          <w:bCs/>
          <w:lang w:val="es-ES_tradnl"/>
        </w:rPr>
        <w:tab/>
        <w:t>PRIORIDADES Y PROGRAMACIÓN</w:t>
      </w:r>
    </w:p>
    <w:p w14:paraId="722028F5" w14:textId="77777777" w:rsidR="00846826" w:rsidRPr="00A202B4" w:rsidRDefault="00846826" w:rsidP="00846826">
      <w:pPr>
        <w:spacing w:before="120" w:after="120"/>
        <w:rPr>
          <w:lang w:val="es-ES_tradnl"/>
        </w:rPr>
      </w:pPr>
      <w:r w:rsidRPr="00A202B4">
        <w:rPr>
          <w:lang w:val="es-ES_tradnl"/>
        </w:rPr>
        <w:t>21.</w:t>
      </w:r>
      <w:r w:rsidRPr="00A202B4">
        <w:rPr>
          <w:lang w:val="es-ES_tradnl"/>
        </w:rPr>
        <w:tab/>
        <w:t>La Conferencia de las Partes que actúa como reunión de las Partes en el Protocolo de Cartagena podría establecer en forma periódica prioridades para planificar y programar la labor a realizar dentro del período de vigencia del Plan de Acción para la Creación de Capacidad. Esto podría plantear la necesidad de hacer ajustes al Plan de Acción para la Creación de Capacidad.</w:t>
      </w:r>
    </w:p>
    <w:p w14:paraId="56D0365D" w14:textId="77777777" w:rsidR="00846826" w:rsidRPr="00A202B4" w:rsidRDefault="00846826" w:rsidP="00846826">
      <w:pPr>
        <w:spacing w:before="120" w:after="120"/>
        <w:rPr>
          <w:lang w:val="es-ES_tradnl"/>
        </w:rPr>
      </w:pPr>
      <w:r w:rsidRPr="00A202B4">
        <w:rPr>
          <w:lang w:val="es-ES_tradnl"/>
        </w:rPr>
        <w:t>22.</w:t>
      </w:r>
      <w:r w:rsidRPr="00A202B4">
        <w:rPr>
          <w:lang w:val="es-ES_tradnl"/>
        </w:rPr>
        <w:tab/>
        <w:t>Al determinar las prioridades y la programación, la Conferencia de las Partes que actúa como reunión de las Partes en el Protocolo de Cartagena podría estimar oportuno tener en cuenta las novedades y los avances en el campo de la seguridad de la biotecnología y la biotecnología. En este sentido, el enfoque adoptado en el Plan de Acción para la Creación de Capacidad implica que cuando los organismos desarrollados mediante nuevas tecnologías constituyen “organismos vivos modificados”, tal como se definen en el Protocolo, estos organismos se abordan en el Plan.</w:t>
      </w:r>
    </w:p>
    <w:p w14:paraId="0CC27544" w14:textId="5A3297D2" w:rsidR="00846826" w:rsidRPr="00A202B4" w:rsidRDefault="00FF4CAD" w:rsidP="00846826">
      <w:pPr>
        <w:tabs>
          <w:tab w:val="left" w:pos="993"/>
        </w:tabs>
        <w:spacing w:before="120" w:after="120"/>
        <w:jc w:val="center"/>
        <w:rPr>
          <w:lang w:val="es-ES_tradnl"/>
        </w:rPr>
      </w:pPr>
      <w:r>
        <w:rPr>
          <w:b/>
          <w:bCs/>
          <w:lang w:val="es-ES_tradnl"/>
        </w:rPr>
        <w:lastRenderedPageBreak/>
        <w:t>VI.</w:t>
      </w:r>
      <w:r w:rsidR="00846826" w:rsidRPr="00A202B4">
        <w:rPr>
          <w:b/>
          <w:bCs/>
          <w:lang w:val="es-ES_tradnl"/>
        </w:rPr>
        <w:tab/>
        <w:t>RECURSOS</w:t>
      </w:r>
    </w:p>
    <w:p w14:paraId="1B195F43" w14:textId="77777777" w:rsidR="00846826" w:rsidRPr="00A202B4" w:rsidRDefault="00846826" w:rsidP="00846826">
      <w:pPr>
        <w:spacing w:before="120" w:after="120"/>
        <w:rPr>
          <w:lang w:val="es-ES_tradnl"/>
        </w:rPr>
      </w:pPr>
      <w:r w:rsidRPr="00A202B4">
        <w:rPr>
          <w:lang w:val="es-ES_tradnl"/>
        </w:rPr>
        <w:t>23.</w:t>
      </w:r>
      <w:r w:rsidRPr="00A202B4">
        <w:rPr>
          <w:lang w:val="es-ES_tradnl"/>
        </w:rPr>
        <w:tab/>
        <w:t>La aplicación exitosa del Protocolo depende en gran medida del acceso a recursos humanos, técnicos y financieros suficientes y una cooperación eficaz de conformidad con los artículos 22 y 28 del Protocolo. El Plan de Acción para la Creación de Capacidad tiene la finalidad de apoyar a las Partes en este sentido, en particular en el marco de las metas relacionadas con la creación de un entorno propicio.</w:t>
      </w:r>
    </w:p>
    <w:p w14:paraId="3768519A" w14:textId="0934624B" w:rsidR="00846826" w:rsidRPr="00A202B4" w:rsidRDefault="00846826" w:rsidP="00846826">
      <w:pPr>
        <w:tabs>
          <w:tab w:val="left" w:pos="993"/>
        </w:tabs>
        <w:spacing w:before="120" w:after="120"/>
        <w:jc w:val="center"/>
        <w:rPr>
          <w:lang w:val="es-ES_tradnl"/>
        </w:rPr>
      </w:pPr>
      <w:r w:rsidRPr="00A202B4">
        <w:rPr>
          <w:b/>
          <w:bCs/>
          <w:lang w:val="es-ES_tradnl"/>
        </w:rPr>
        <w:t>VII.</w:t>
      </w:r>
      <w:r w:rsidRPr="00A202B4">
        <w:rPr>
          <w:b/>
          <w:bCs/>
          <w:lang w:val="es-ES_tradnl"/>
        </w:rPr>
        <w:tab/>
        <w:t>FUNCIÓN DE LA SECRETARÍA</w:t>
      </w:r>
    </w:p>
    <w:p w14:paraId="380F46A1" w14:textId="77777777" w:rsidR="00846826" w:rsidRPr="00A202B4" w:rsidRDefault="00846826" w:rsidP="00FD020A">
      <w:pPr>
        <w:rPr>
          <w:lang w:val="es-ES_tradnl"/>
        </w:rPr>
      </w:pPr>
      <w:r w:rsidRPr="00A202B4">
        <w:rPr>
          <w:lang w:val="es-ES_tradnl"/>
        </w:rPr>
        <w:t>24.</w:t>
      </w:r>
      <w:r w:rsidRPr="00A202B4">
        <w:rPr>
          <w:lang w:val="es-ES_tradnl"/>
        </w:rPr>
        <w:tab/>
        <w:t>Si bien el Plan de Acción para la Creación de Capacidad está dirigido principalmente a las Partes y otros interesados, la Secretaría del Convenio sobre la Diversidad Biológica apoyará a las Partes en sus esfuerzos, siguiendo la orientación de la Conferencia de las Partes que actúa como reunión de las Partes en el Protocolo de Cartagena y de conformidad con el artículo 31 del Protocolo de Cartagena y el artículo 24 del Convenio sobre la Diversidad Biológica. Este apoyo incluye la gestión y el mantenimiento del Centro de Intercambio de Información sobre Seguridad de la Biotecnología, así como la realización de actividades, incluidas actividades de creación de capacidad, según lo solicitado por la Conferencia de las Partes que actúa como reunión de las Partes en el Protocolo.</w:t>
      </w:r>
    </w:p>
    <w:p w14:paraId="590B07F5" w14:textId="656CDF88" w:rsidR="00846826" w:rsidRPr="00A202B4" w:rsidRDefault="00846826" w:rsidP="00FD020A">
      <w:pPr>
        <w:rPr>
          <w:lang w:val="es-ES_tradnl"/>
        </w:rPr>
      </w:pPr>
    </w:p>
    <w:p w14:paraId="1CC848F6" w14:textId="77777777" w:rsidR="00846826" w:rsidRPr="00A202B4" w:rsidRDefault="00846826" w:rsidP="00FD020A">
      <w:pPr>
        <w:rPr>
          <w:lang w:val="es-ES_tradnl"/>
        </w:rPr>
        <w:sectPr w:rsidR="00846826" w:rsidRPr="00A202B4" w:rsidSect="009474D1">
          <w:footnotePr>
            <w:numRestart w:val="eachSect"/>
          </w:footnotePr>
          <w:pgSz w:w="12240" w:h="15840"/>
          <w:pgMar w:top="1021" w:right="1440" w:bottom="1021" w:left="1440" w:header="459" w:footer="720" w:gutter="0"/>
          <w:cols w:space="708"/>
          <w:docGrid w:linePitch="360"/>
        </w:sectPr>
      </w:pPr>
    </w:p>
    <w:p w14:paraId="6EF64D0B" w14:textId="0CB8AA84" w:rsidR="000C0573" w:rsidRPr="00A202B4" w:rsidRDefault="00CC26FC" w:rsidP="00CC26FC">
      <w:pPr>
        <w:jc w:val="center"/>
        <w:rPr>
          <w:rFonts w:asciiTheme="majorBidi" w:hAnsiTheme="majorBidi" w:cstheme="majorBidi"/>
          <w:bCs/>
          <w:i/>
          <w:iCs/>
          <w:kern w:val="22"/>
          <w:szCs w:val="22"/>
          <w:lang w:val="es-ES_tradnl"/>
        </w:rPr>
      </w:pPr>
      <w:r w:rsidRPr="00A202B4">
        <w:rPr>
          <w:rFonts w:asciiTheme="majorBidi" w:hAnsiTheme="majorBidi" w:cstheme="majorBidi"/>
          <w:bCs/>
          <w:i/>
          <w:iCs/>
          <w:kern w:val="22"/>
          <w:szCs w:val="22"/>
          <w:lang w:val="es-ES_tradnl"/>
        </w:rPr>
        <w:lastRenderedPageBreak/>
        <w:t>Apéndice</w:t>
      </w:r>
    </w:p>
    <w:p w14:paraId="15E3C276" w14:textId="77777777" w:rsidR="00CC26FC" w:rsidRPr="00A202B4" w:rsidRDefault="00CC26FC" w:rsidP="00FD020A">
      <w:pPr>
        <w:rPr>
          <w:rFonts w:asciiTheme="majorBidi" w:hAnsiTheme="majorBidi" w:cstheme="majorBidi"/>
          <w:bCs/>
          <w:iCs/>
          <w:kern w:val="22"/>
          <w:szCs w:val="22"/>
          <w:lang w:val="es-ES_tradnl"/>
        </w:rPr>
      </w:pP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95"/>
        <w:gridCol w:w="2453"/>
        <w:gridCol w:w="3118"/>
        <w:gridCol w:w="3261"/>
        <w:gridCol w:w="2835"/>
      </w:tblGrid>
      <w:tr w:rsidR="00846826" w:rsidRPr="00A202B4" w14:paraId="08B24FFB" w14:textId="77777777" w:rsidTr="00C90053">
        <w:trPr>
          <w:tblHeader/>
          <w:jc w:val="center"/>
        </w:trPr>
        <w:tc>
          <w:tcPr>
            <w:tcW w:w="13462" w:type="dxa"/>
            <w:gridSpan w:val="5"/>
            <w:tcBorders>
              <w:top w:val="single" w:sz="4" w:space="0" w:color="auto"/>
              <w:left w:val="single" w:sz="4" w:space="0" w:color="auto"/>
              <w:bottom w:val="nil"/>
              <w:right w:val="single" w:sz="4" w:space="0" w:color="auto"/>
            </w:tcBorders>
            <w:vAlign w:val="center"/>
          </w:tcPr>
          <w:p w14:paraId="57CDAEA8" w14:textId="77777777" w:rsidR="00846826" w:rsidRPr="00A202B4" w:rsidRDefault="00846826" w:rsidP="00FD020A">
            <w:pPr>
              <w:rPr>
                <w:lang w:val="es-ES_tradnl"/>
              </w:rPr>
            </w:pPr>
            <w:r w:rsidRPr="00A202B4">
              <w:rPr>
                <w:b/>
                <w:bCs/>
                <w:kern w:val="22"/>
                <w:lang w:val="es-ES_tradnl"/>
              </w:rPr>
              <w:t>Plan de Acción para la Creación de Capacidad para el Protocolo de Cartagena sobre Seguridad de la Biotecnología</w:t>
            </w:r>
          </w:p>
        </w:tc>
      </w:tr>
      <w:tr w:rsidR="00846826" w:rsidRPr="00A202B4" w14:paraId="4436917C" w14:textId="77777777" w:rsidTr="00FD020A">
        <w:trPr>
          <w:tblHeader/>
          <w:jc w:val="center"/>
        </w:trPr>
        <w:tc>
          <w:tcPr>
            <w:tcW w:w="1795" w:type="dxa"/>
            <w:tcBorders>
              <w:top w:val="single" w:sz="4" w:space="0" w:color="auto"/>
              <w:left w:val="single" w:sz="4" w:space="0" w:color="auto"/>
              <w:bottom w:val="nil"/>
              <w:right w:val="single" w:sz="4" w:space="0" w:color="auto"/>
            </w:tcBorders>
            <w:vAlign w:val="center"/>
          </w:tcPr>
          <w:p w14:paraId="3BB307B5" w14:textId="77777777" w:rsidR="00846826" w:rsidRPr="00A202B4" w:rsidRDefault="00846826" w:rsidP="00A202B4">
            <w:pPr>
              <w:jc w:val="center"/>
              <w:rPr>
                <w:lang w:val="es-ES_tradnl"/>
              </w:rPr>
            </w:pPr>
            <w:r w:rsidRPr="00A202B4">
              <w:rPr>
                <w:b/>
                <w:bCs/>
                <w:kern w:val="22"/>
                <w:lang w:val="es-ES_tradnl"/>
              </w:rPr>
              <w:t>Metas</w:t>
            </w:r>
          </w:p>
        </w:tc>
        <w:tc>
          <w:tcPr>
            <w:tcW w:w="2453" w:type="dxa"/>
            <w:tcBorders>
              <w:top w:val="single" w:sz="4" w:space="0" w:color="auto"/>
              <w:left w:val="single" w:sz="4" w:space="0" w:color="auto"/>
              <w:bottom w:val="nil"/>
              <w:right w:val="single" w:sz="4" w:space="0" w:color="auto"/>
            </w:tcBorders>
            <w:vAlign w:val="center"/>
          </w:tcPr>
          <w:p w14:paraId="5E3B7515" w14:textId="77777777" w:rsidR="00846826" w:rsidRPr="00A202B4" w:rsidRDefault="00846826" w:rsidP="00A202B4">
            <w:pPr>
              <w:jc w:val="center"/>
              <w:rPr>
                <w:lang w:val="es-ES_tradnl"/>
              </w:rPr>
            </w:pPr>
            <w:r w:rsidRPr="00A202B4">
              <w:rPr>
                <w:b/>
                <w:bCs/>
                <w:kern w:val="22"/>
                <w:lang w:val="es-ES_tradnl"/>
              </w:rPr>
              <w:t>Áreas clave para la creación de capacidad</w:t>
            </w:r>
          </w:p>
        </w:tc>
        <w:tc>
          <w:tcPr>
            <w:tcW w:w="3118" w:type="dxa"/>
            <w:tcBorders>
              <w:top w:val="single" w:sz="4" w:space="0" w:color="auto"/>
              <w:left w:val="single" w:sz="4" w:space="0" w:color="auto"/>
              <w:bottom w:val="nil"/>
              <w:right w:val="single" w:sz="4" w:space="0" w:color="auto"/>
            </w:tcBorders>
            <w:vAlign w:val="center"/>
          </w:tcPr>
          <w:p w14:paraId="2A0787AA" w14:textId="77777777" w:rsidR="00846826" w:rsidRPr="00A202B4" w:rsidRDefault="00846826" w:rsidP="00A202B4">
            <w:pPr>
              <w:jc w:val="center"/>
              <w:rPr>
                <w:lang w:val="es-ES_tradnl"/>
              </w:rPr>
            </w:pPr>
            <w:r w:rsidRPr="00A202B4">
              <w:rPr>
                <w:b/>
                <w:bCs/>
                <w:kern w:val="22"/>
                <w:lang w:val="es-ES_tradnl"/>
              </w:rPr>
              <w:t>Actividades de creación de capacidad</w:t>
            </w:r>
          </w:p>
        </w:tc>
        <w:tc>
          <w:tcPr>
            <w:tcW w:w="3261" w:type="dxa"/>
            <w:tcBorders>
              <w:top w:val="single" w:sz="4" w:space="0" w:color="auto"/>
              <w:left w:val="single" w:sz="4" w:space="0" w:color="auto"/>
              <w:bottom w:val="nil"/>
              <w:right w:val="single" w:sz="4" w:space="0" w:color="auto"/>
            </w:tcBorders>
            <w:vAlign w:val="center"/>
          </w:tcPr>
          <w:p w14:paraId="7DEC40D9" w14:textId="77777777" w:rsidR="00846826" w:rsidRPr="00A202B4" w:rsidRDefault="00846826" w:rsidP="00A202B4">
            <w:pPr>
              <w:jc w:val="center"/>
              <w:rPr>
                <w:lang w:val="es-ES_tradnl"/>
              </w:rPr>
            </w:pPr>
            <w:r w:rsidRPr="00A202B4">
              <w:rPr>
                <w:b/>
                <w:bCs/>
                <w:lang w:val="es-ES_tradnl"/>
              </w:rPr>
              <w:t>Indicadores</w:t>
            </w:r>
          </w:p>
        </w:tc>
        <w:tc>
          <w:tcPr>
            <w:tcW w:w="2835" w:type="dxa"/>
            <w:tcBorders>
              <w:top w:val="single" w:sz="4" w:space="0" w:color="auto"/>
              <w:left w:val="single" w:sz="4" w:space="0" w:color="auto"/>
              <w:bottom w:val="nil"/>
              <w:right w:val="single" w:sz="4" w:space="0" w:color="auto"/>
            </w:tcBorders>
            <w:vAlign w:val="center"/>
          </w:tcPr>
          <w:p w14:paraId="6B80B898" w14:textId="77777777" w:rsidR="00846826" w:rsidRPr="00A202B4" w:rsidRDefault="00846826" w:rsidP="00A202B4">
            <w:pPr>
              <w:jc w:val="center"/>
              <w:rPr>
                <w:lang w:val="es-ES_tradnl"/>
              </w:rPr>
            </w:pPr>
            <w:r w:rsidRPr="00A202B4">
              <w:rPr>
                <w:b/>
                <w:bCs/>
                <w:kern w:val="22"/>
                <w:lang w:val="es-ES_tradnl"/>
              </w:rPr>
              <w:t>Resultados</w:t>
            </w:r>
          </w:p>
        </w:tc>
      </w:tr>
      <w:tr w:rsidR="00846826" w:rsidRPr="00A202B4" w14:paraId="751EFFF8" w14:textId="77777777" w:rsidTr="00FD020A">
        <w:trPr>
          <w:trHeight w:val="807"/>
          <w:jc w:val="center"/>
        </w:trPr>
        <w:tc>
          <w:tcPr>
            <w:tcW w:w="1795" w:type="dxa"/>
            <w:tcBorders>
              <w:top w:val="nil"/>
              <w:left w:val="single" w:sz="4" w:space="0" w:color="auto"/>
              <w:bottom w:val="single" w:sz="2" w:space="0" w:color="auto"/>
              <w:right w:val="single" w:sz="4" w:space="0" w:color="auto"/>
            </w:tcBorders>
          </w:tcPr>
          <w:p w14:paraId="7C781C08" w14:textId="77777777" w:rsidR="00846826" w:rsidRPr="00A202B4" w:rsidRDefault="00846826" w:rsidP="00A202B4">
            <w:pPr>
              <w:jc w:val="center"/>
              <w:rPr>
                <w:lang w:val="es-ES_tradnl"/>
              </w:rPr>
            </w:pPr>
            <w:r w:rsidRPr="00A202B4">
              <w:rPr>
                <w:i/>
                <w:iCs/>
                <w:kern w:val="22"/>
                <w:lang w:val="es-ES_tradnl"/>
              </w:rPr>
              <w:t>(Logros deseables)</w:t>
            </w:r>
          </w:p>
        </w:tc>
        <w:tc>
          <w:tcPr>
            <w:tcW w:w="2453" w:type="dxa"/>
            <w:tcBorders>
              <w:top w:val="nil"/>
              <w:left w:val="single" w:sz="4" w:space="0" w:color="auto"/>
              <w:bottom w:val="single" w:sz="2" w:space="0" w:color="auto"/>
              <w:right w:val="single" w:sz="4" w:space="0" w:color="auto"/>
            </w:tcBorders>
          </w:tcPr>
          <w:p w14:paraId="26D864E1" w14:textId="77777777" w:rsidR="00846826" w:rsidRPr="00A202B4" w:rsidRDefault="00846826" w:rsidP="00A202B4">
            <w:pPr>
              <w:jc w:val="center"/>
              <w:rPr>
                <w:lang w:val="es-ES_tradnl"/>
              </w:rPr>
            </w:pPr>
            <w:r w:rsidRPr="00A202B4">
              <w:rPr>
                <w:i/>
                <w:iCs/>
                <w:kern w:val="22"/>
                <w:lang w:val="es-ES_tradnl"/>
              </w:rPr>
              <w:t>(Áreas clave donde podrían necesitarse capacidades)</w:t>
            </w:r>
          </w:p>
        </w:tc>
        <w:tc>
          <w:tcPr>
            <w:tcW w:w="3118" w:type="dxa"/>
            <w:tcBorders>
              <w:top w:val="nil"/>
              <w:left w:val="single" w:sz="4" w:space="0" w:color="auto"/>
              <w:bottom w:val="single" w:sz="2" w:space="0" w:color="auto"/>
              <w:right w:val="single" w:sz="4" w:space="0" w:color="auto"/>
            </w:tcBorders>
          </w:tcPr>
          <w:p w14:paraId="56A2DCE2" w14:textId="77777777" w:rsidR="00846826" w:rsidRPr="00A202B4" w:rsidRDefault="00846826" w:rsidP="00A202B4">
            <w:pPr>
              <w:jc w:val="center"/>
              <w:rPr>
                <w:lang w:val="es-ES_tradnl"/>
              </w:rPr>
            </w:pPr>
            <w:r w:rsidRPr="00A202B4">
              <w:rPr>
                <w:i/>
                <w:iCs/>
                <w:kern w:val="22"/>
                <w:lang w:val="es-ES_tradnl"/>
              </w:rPr>
              <w:t>(Ejemplos de actividades de creación de capacidad sugeridas dentro de las áreas clave para la creación de capacidad)</w:t>
            </w:r>
          </w:p>
        </w:tc>
        <w:tc>
          <w:tcPr>
            <w:tcW w:w="3261" w:type="dxa"/>
            <w:tcBorders>
              <w:top w:val="nil"/>
              <w:left w:val="single" w:sz="4" w:space="0" w:color="auto"/>
              <w:bottom w:val="single" w:sz="2" w:space="0" w:color="auto"/>
              <w:right w:val="single" w:sz="4" w:space="0" w:color="auto"/>
            </w:tcBorders>
          </w:tcPr>
          <w:p w14:paraId="4100BF71" w14:textId="77777777" w:rsidR="00846826" w:rsidRPr="00A202B4" w:rsidRDefault="00846826" w:rsidP="00A202B4">
            <w:pPr>
              <w:jc w:val="center"/>
              <w:rPr>
                <w:lang w:val="es-ES_tradnl"/>
              </w:rPr>
            </w:pPr>
            <w:r w:rsidRPr="00A202B4">
              <w:rPr>
                <w:i/>
                <w:iCs/>
                <w:lang w:val="es-ES_tradnl"/>
              </w:rPr>
              <w:t>(Mide si se llevó a cabo la actividad)</w:t>
            </w:r>
          </w:p>
        </w:tc>
        <w:tc>
          <w:tcPr>
            <w:tcW w:w="2835" w:type="dxa"/>
            <w:tcBorders>
              <w:top w:val="nil"/>
              <w:left w:val="single" w:sz="4" w:space="0" w:color="auto"/>
              <w:bottom w:val="single" w:sz="2" w:space="0" w:color="auto"/>
              <w:right w:val="single" w:sz="4" w:space="0" w:color="auto"/>
            </w:tcBorders>
          </w:tcPr>
          <w:p w14:paraId="54BD16C2" w14:textId="77777777" w:rsidR="00846826" w:rsidRPr="00A202B4" w:rsidRDefault="00846826" w:rsidP="00A202B4">
            <w:pPr>
              <w:jc w:val="center"/>
              <w:rPr>
                <w:lang w:val="es-ES_tradnl"/>
              </w:rPr>
            </w:pPr>
            <w:r w:rsidRPr="00A202B4">
              <w:rPr>
                <w:i/>
                <w:iCs/>
                <w:kern w:val="22"/>
                <w:lang w:val="es-ES_tradnl"/>
              </w:rPr>
              <w:t>(El efecto de las actividades completadas con éxito)</w:t>
            </w:r>
          </w:p>
        </w:tc>
      </w:tr>
      <w:tr w:rsidR="00846826" w:rsidRPr="00A202B4" w14:paraId="0304DDF4" w14:textId="77777777" w:rsidTr="00C90053">
        <w:trPr>
          <w:jc w:val="center"/>
        </w:trPr>
        <w:tc>
          <w:tcPr>
            <w:tcW w:w="13462" w:type="dxa"/>
            <w:gridSpan w:val="5"/>
            <w:tcBorders>
              <w:top w:val="single" w:sz="2" w:space="0" w:color="auto"/>
              <w:left w:val="single" w:sz="4" w:space="0" w:color="auto"/>
              <w:bottom w:val="single" w:sz="2" w:space="0" w:color="auto"/>
              <w:right w:val="single" w:sz="4" w:space="0" w:color="auto"/>
            </w:tcBorders>
          </w:tcPr>
          <w:p w14:paraId="414EB1B9" w14:textId="7DE02295" w:rsidR="00846826" w:rsidRPr="00FF4CAD" w:rsidRDefault="00846826" w:rsidP="006A4072">
            <w:pPr>
              <w:pStyle w:val="ListParagraph"/>
              <w:numPr>
                <w:ilvl w:val="0"/>
                <w:numId w:val="11"/>
              </w:numPr>
              <w:jc w:val="center"/>
              <w:rPr>
                <w:lang w:val="es-ES_tradnl"/>
              </w:rPr>
            </w:pPr>
            <w:r w:rsidRPr="00FF4CAD">
              <w:rPr>
                <w:b/>
                <w:bCs/>
                <w:kern w:val="22"/>
                <w:lang w:val="es-ES_tradnl"/>
              </w:rPr>
              <w:t>Esferas de aplicación</w:t>
            </w:r>
          </w:p>
        </w:tc>
      </w:tr>
      <w:tr w:rsidR="00846826" w:rsidRPr="00A202B4" w14:paraId="163E0E5A" w14:textId="77777777" w:rsidTr="00FD020A">
        <w:trPr>
          <w:jc w:val="center"/>
        </w:trPr>
        <w:tc>
          <w:tcPr>
            <w:tcW w:w="1795" w:type="dxa"/>
            <w:tcBorders>
              <w:top w:val="single" w:sz="2" w:space="0" w:color="auto"/>
              <w:left w:val="single" w:sz="4" w:space="0" w:color="auto"/>
              <w:bottom w:val="single" w:sz="4" w:space="0" w:color="auto"/>
              <w:right w:val="single" w:sz="4" w:space="0" w:color="auto"/>
            </w:tcBorders>
          </w:tcPr>
          <w:p w14:paraId="6CC381A6" w14:textId="77777777" w:rsidR="00846826" w:rsidRPr="00A202B4" w:rsidRDefault="00846826" w:rsidP="00FD020A">
            <w:pPr>
              <w:jc w:val="left"/>
              <w:rPr>
                <w:lang w:val="es-ES_tradnl"/>
              </w:rPr>
            </w:pPr>
            <w:r w:rsidRPr="00A202B4">
              <w:rPr>
                <w:b/>
                <w:bCs/>
                <w:kern w:val="22"/>
                <w:lang w:val="es-ES_tradnl"/>
              </w:rPr>
              <w:t>A.1. Las Partes han establecido marcos nacionales de seguridad de la biotecnología funcionales</w:t>
            </w:r>
          </w:p>
        </w:tc>
        <w:tc>
          <w:tcPr>
            <w:tcW w:w="2453" w:type="dxa"/>
            <w:tcBorders>
              <w:top w:val="single" w:sz="2" w:space="0" w:color="auto"/>
              <w:left w:val="single" w:sz="4" w:space="0" w:color="auto"/>
              <w:bottom w:val="single" w:sz="4" w:space="0" w:color="auto"/>
              <w:right w:val="single" w:sz="4" w:space="0" w:color="auto"/>
            </w:tcBorders>
          </w:tcPr>
          <w:p w14:paraId="2351BD5D" w14:textId="77777777" w:rsidR="00846826" w:rsidRPr="00A202B4" w:rsidRDefault="00846826" w:rsidP="00FD020A">
            <w:pPr>
              <w:jc w:val="left"/>
              <w:rPr>
                <w:kern w:val="22"/>
                <w:lang w:val="es-ES_tradnl"/>
              </w:rPr>
            </w:pPr>
            <w:r w:rsidRPr="00A202B4">
              <w:rPr>
                <w:kern w:val="22"/>
                <w:lang w:val="es-ES_tradnl"/>
              </w:rPr>
              <w:t>1) Desarrollo e implementación de medidas jurídicas, administrativas y de otra índole para aplicar el Protocolo;</w:t>
            </w:r>
          </w:p>
          <w:p w14:paraId="11DA4D2A" w14:textId="77777777" w:rsidR="00846826" w:rsidRPr="00A202B4" w:rsidRDefault="00846826" w:rsidP="00FD020A">
            <w:pPr>
              <w:jc w:val="left"/>
              <w:rPr>
                <w:lang w:val="es-ES_tradnl"/>
              </w:rPr>
            </w:pPr>
            <w:r w:rsidRPr="00A202B4">
              <w:rPr>
                <w:kern w:val="22"/>
                <w:lang w:val="es-ES_tradnl"/>
              </w:rPr>
              <w:t>2) Fortalecimiento de las capacidades de las autoridades nacionales competentes.</w:t>
            </w:r>
          </w:p>
        </w:tc>
        <w:tc>
          <w:tcPr>
            <w:tcW w:w="3118" w:type="dxa"/>
            <w:tcBorders>
              <w:top w:val="single" w:sz="2" w:space="0" w:color="auto"/>
              <w:left w:val="single" w:sz="4" w:space="0" w:color="auto"/>
              <w:bottom w:val="single" w:sz="4" w:space="0" w:color="auto"/>
              <w:right w:val="single" w:sz="4" w:space="0" w:color="auto"/>
            </w:tcBorders>
          </w:tcPr>
          <w:p w14:paraId="7ECEF675" w14:textId="77777777" w:rsidR="00846826" w:rsidRPr="00A202B4" w:rsidRDefault="00846826" w:rsidP="00FD020A">
            <w:pPr>
              <w:jc w:val="left"/>
              <w:rPr>
                <w:kern w:val="22"/>
                <w:lang w:val="es-ES_tradnl"/>
              </w:rPr>
            </w:pPr>
            <w:r w:rsidRPr="00A202B4">
              <w:rPr>
                <w:kern w:val="22"/>
                <w:lang w:val="es-ES_tradnl"/>
              </w:rPr>
              <w:t>i) Proporcionar capacitación sobre el desarrollo y la implementación de medidas jurídicas, administrativas y de otra índole para aplicar el Protocolo;</w:t>
            </w:r>
          </w:p>
          <w:p w14:paraId="64D1DB2A" w14:textId="77777777" w:rsidR="00846826" w:rsidRPr="00A202B4" w:rsidRDefault="00846826" w:rsidP="00FD020A">
            <w:pPr>
              <w:jc w:val="left"/>
              <w:rPr>
                <w:lang w:val="es-ES_tradnl"/>
              </w:rPr>
            </w:pPr>
            <w:r w:rsidRPr="00A202B4">
              <w:rPr>
                <w:kern w:val="22"/>
                <w:lang w:val="es-ES_tradnl"/>
              </w:rPr>
              <w:t>ii) Capacitar al personal de autoridades nacionales competentes en la administración de su sistema nacional de regulación de la seguridad de la biotecnología.</w:t>
            </w:r>
          </w:p>
        </w:tc>
        <w:tc>
          <w:tcPr>
            <w:tcW w:w="3261" w:type="dxa"/>
            <w:tcBorders>
              <w:top w:val="single" w:sz="2" w:space="0" w:color="auto"/>
              <w:left w:val="single" w:sz="4" w:space="0" w:color="auto"/>
              <w:bottom w:val="single" w:sz="4" w:space="0" w:color="auto"/>
              <w:right w:val="single" w:sz="4" w:space="0" w:color="auto"/>
            </w:tcBorders>
          </w:tcPr>
          <w:p w14:paraId="61D1D36A" w14:textId="77777777" w:rsidR="00846826" w:rsidRPr="00A202B4" w:rsidRDefault="00846826" w:rsidP="00FD020A">
            <w:pPr>
              <w:jc w:val="left"/>
              <w:rPr>
                <w:kern w:val="22"/>
                <w:lang w:val="es-ES_tradnl"/>
              </w:rPr>
            </w:pPr>
            <w:r w:rsidRPr="00A202B4">
              <w:rPr>
                <w:lang w:val="es-ES_tradnl"/>
              </w:rPr>
              <w:t>a) Porcentaje de Partes que requieren capacitación sobre el desarrollo y la implementación de medidas jurídicas, administrativas y de otra índole para aplicar el Protocolo que ejecutaron exitosamente actividades de capacitación;</w:t>
            </w:r>
          </w:p>
          <w:p w14:paraId="49A87EB2" w14:textId="77777777" w:rsidR="00846826" w:rsidRPr="00A202B4" w:rsidRDefault="00846826" w:rsidP="00FD020A">
            <w:pPr>
              <w:jc w:val="left"/>
              <w:rPr>
                <w:lang w:val="es-ES_tradnl"/>
              </w:rPr>
            </w:pPr>
            <w:r w:rsidRPr="00A202B4">
              <w:rPr>
                <w:lang w:val="es-ES_tradnl"/>
              </w:rPr>
              <w:t>b) Porcentaje de Partes que cuentan con suficiente personal capacitado para administrar el sistema nacional de seguridad de la biotecnología.</w:t>
            </w:r>
          </w:p>
        </w:tc>
        <w:tc>
          <w:tcPr>
            <w:tcW w:w="2835" w:type="dxa"/>
            <w:tcBorders>
              <w:top w:val="single" w:sz="2" w:space="0" w:color="auto"/>
              <w:left w:val="single" w:sz="4" w:space="0" w:color="auto"/>
              <w:bottom w:val="single" w:sz="4" w:space="0" w:color="auto"/>
              <w:right w:val="single" w:sz="4" w:space="0" w:color="auto"/>
            </w:tcBorders>
          </w:tcPr>
          <w:p w14:paraId="60114FCC" w14:textId="77777777" w:rsidR="00846826" w:rsidRPr="00A202B4" w:rsidRDefault="00846826" w:rsidP="00FD020A">
            <w:pPr>
              <w:jc w:val="left"/>
              <w:rPr>
                <w:kern w:val="22"/>
                <w:lang w:val="es-ES_tradnl"/>
              </w:rPr>
            </w:pPr>
            <w:r w:rsidRPr="00A202B4">
              <w:rPr>
                <w:kern w:val="22"/>
                <w:lang w:val="es-ES_tradnl"/>
              </w:rPr>
              <w:t>Los marcos nacionales de seguridad de la biotecnología funcionales permiten que las autoridades competentes, los puntos focales nacionales y los puntos de contacto en virtud del artículo 17 de todas las Partes cumplan las obligaciones dimanantes del Protocolo de manera eficaz y eficiente</w:t>
            </w:r>
          </w:p>
          <w:p w14:paraId="132F3CD9" w14:textId="77777777" w:rsidR="00846826" w:rsidRPr="00A202B4" w:rsidRDefault="00846826" w:rsidP="00FD020A">
            <w:pPr>
              <w:jc w:val="left"/>
              <w:rPr>
                <w:kern w:val="22"/>
                <w:lang w:val="es-ES_tradnl"/>
              </w:rPr>
            </w:pPr>
          </w:p>
        </w:tc>
      </w:tr>
      <w:tr w:rsidR="00846826" w:rsidRPr="00A202B4" w14:paraId="45EE6155" w14:textId="77777777" w:rsidTr="00FD020A">
        <w:trPr>
          <w:jc w:val="center"/>
        </w:trPr>
        <w:tc>
          <w:tcPr>
            <w:tcW w:w="1795" w:type="dxa"/>
            <w:tcBorders>
              <w:top w:val="single" w:sz="4" w:space="0" w:color="auto"/>
              <w:left w:val="single" w:sz="4" w:space="0" w:color="auto"/>
              <w:bottom w:val="single" w:sz="4" w:space="0" w:color="auto"/>
              <w:right w:val="single" w:sz="4" w:space="0" w:color="auto"/>
            </w:tcBorders>
            <w:tcMar>
              <w:left w:w="115" w:type="dxa"/>
              <w:right w:w="29" w:type="dxa"/>
            </w:tcMar>
          </w:tcPr>
          <w:p w14:paraId="65B94B0A" w14:textId="77777777" w:rsidR="00846826" w:rsidRPr="00A202B4" w:rsidRDefault="00846826" w:rsidP="00FD020A">
            <w:pPr>
              <w:jc w:val="left"/>
              <w:rPr>
                <w:lang w:val="es-ES_tradnl"/>
              </w:rPr>
            </w:pPr>
            <w:r w:rsidRPr="00A202B4">
              <w:rPr>
                <w:rFonts w:ascii="Times New Roman Bold" w:hAnsi="Times New Roman Bold"/>
                <w:b/>
                <w:bCs/>
                <w:spacing w:val="-4"/>
                <w:kern w:val="22"/>
                <w:lang w:val="es-ES_tradnl"/>
              </w:rPr>
              <w:t>A.2. Las Partes han mejorado la disponibilidad y el intercambio de información</w:t>
            </w:r>
            <w:r w:rsidRPr="00A202B4">
              <w:rPr>
                <w:b/>
                <w:bCs/>
                <w:kern w:val="22"/>
                <w:lang w:val="es-ES_tradnl"/>
              </w:rPr>
              <w:t xml:space="preserve"> pertinente a </w:t>
            </w:r>
            <w:r w:rsidRPr="00A202B4">
              <w:rPr>
                <w:rFonts w:ascii="Times New Roman Bold" w:hAnsi="Times New Roman Bold"/>
                <w:b/>
                <w:bCs/>
                <w:spacing w:val="-8"/>
                <w:kern w:val="22"/>
                <w:lang w:val="es-ES_tradnl"/>
              </w:rPr>
              <w:t>través del Centro</w:t>
            </w:r>
            <w:r w:rsidRPr="00A202B4">
              <w:rPr>
                <w:rFonts w:ascii="Times New Roman Bold" w:hAnsi="Times New Roman Bold"/>
                <w:b/>
                <w:bCs/>
                <w:spacing w:val="-6"/>
                <w:kern w:val="22"/>
                <w:lang w:val="es-ES_tradnl"/>
              </w:rPr>
              <w:t xml:space="preserve"> de Intercambio de Información sobre Seguridad </w:t>
            </w:r>
            <w:r w:rsidRPr="00A202B4">
              <w:rPr>
                <w:rFonts w:ascii="Times New Roman Bold" w:hAnsi="Times New Roman Bold"/>
                <w:b/>
                <w:bCs/>
                <w:spacing w:val="-10"/>
                <w:kern w:val="22"/>
                <w:lang w:val="es-ES_tradnl"/>
              </w:rPr>
              <w:t>de la Biotecnología (CIISB)</w:t>
            </w:r>
          </w:p>
        </w:tc>
        <w:tc>
          <w:tcPr>
            <w:tcW w:w="2453" w:type="dxa"/>
            <w:tcBorders>
              <w:top w:val="single" w:sz="4" w:space="0" w:color="auto"/>
              <w:left w:val="single" w:sz="4" w:space="0" w:color="auto"/>
              <w:bottom w:val="single" w:sz="4" w:space="0" w:color="auto"/>
              <w:right w:val="single" w:sz="4" w:space="0" w:color="auto"/>
            </w:tcBorders>
          </w:tcPr>
          <w:p w14:paraId="1080AF41" w14:textId="77777777" w:rsidR="00846826" w:rsidRPr="00A202B4" w:rsidRDefault="00846826" w:rsidP="00FD020A">
            <w:pPr>
              <w:jc w:val="left"/>
              <w:rPr>
                <w:kern w:val="22"/>
                <w:lang w:val="es-ES_tradnl"/>
              </w:rPr>
            </w:pPr>
            <w:r w:rsidRPr="00A202B4">
              <w:rPr>
                <w:kern w:val="22"/>
                <w:lang w:val="es-ES_tradnl"/>
              </w:rPr>
              <w:t>1) Publicación de información en el CIISB;</w:t>
            </w:r>
          </w:p>
          <w:p w14:paraId="33D00451" w14:textId="77777777" w:rsidR="00846826" w:rsidRPr="00A202B4" w:rsidRDefault="00846826" w:rsidP="00FD020A">
            <w:pPr>
              <w:jc w:val="left"/>
              <w:rPr>
                <w:lang w:val="es-ES_tradnl"/>
              </w:rPr>
            </w:pPr>
            <w:r w:rsidRPr="00A202B4">
              <w:rPr>
                <w:kern w:val="22"/>
                <w:lang w:val="es-ES_tradnl"/>
              </w:rPr>
              <w:t>2) Acceso y uso de la información en el CIISB.</w:t>
            </w:r>
          </w:p>
        </w:tc>
        <w:tc>
          <w:tcPr>
            <w:tcW w:w="3118" w:type="dxa"/>
            <w:tcBorders>
              <w:top w:val="single" w:sz="4" w:space="0" w:color="auto"/>
              <w:left w:val="single" w:sz="4" w:space="0" w:color="auto"/>
              <w:bottom w:val="single" w:sz="4" w:space="0" w:color="auto"/>
              <w:right w:val="single" w:sz="4" w:space="0" w:color="auto"/>
            </w:tcBorders>
          </w:tcPr>
          <w:p w14:paraId="4E4257A4" w14:textId="77777777" w:rsidR="00846826" w:rsidRPr="00A202B4" w:rsidRDefault="00846826" w:rsidP="00FD020A">
            <w:pPr>
              <w:jc w:val="left"/>
              <w:rPr>
                <w:kern w:val="22"/>
                <w:lang w:val="es-ES_tradnl"/>
              </w:rPr>
            </w:pPr>
            <w:r w:rsidRPr="00A202B4">
              <w:rPr>
                <w:kern w:val="22"/>
                <w:lang w:val="es-ES_tradnl"/>
              </w:rPr>
              <w:t>i) Desarrollar, actualizar y mantener herramientas de apoyo interactivas, tras la migración del CIISB a la nueva plataforma;</w:t>
            </w:r>
          </w:p>
          <w:p w14:paraId="6228FB9A" w14:textId="77777777" w:rsidR="00846826" w:rsidRPr="00A202B4" w:rsidRDefault="00846826" w:rsidP="00FD020A">
            <w:pPr>
              <w:jc w:val="left"/>
              <w:rPr>
                <w:lang w:val="es-ES_tradnl"/>
              </w:rPr>
            </w:pPr>
            <w:r w:rsidRPr="00A202B4">
              <w:rPr>
                <w:kern w:val="22"/>
                <w:lang w:val="es-ES_tradnl"/>
              </w:rPr>
              <w:t>ii) Proporcionar capacitación sobre el uso del CIISB.</w:t>
            </w:r>
          </w:p>
        </w:tc>
        <w:tc>
          <w:tcPr>
            <w:tcW w:w="3261" w:type="dxa"/>
            <w:tcBorders>
              <w:top w:val="single" w:sz="4" w:space="0" w:color="auto"/>
              <w:left w:val="single" w:sz="4" w:space="0" w:color="auto"/>
              <w:bottom w:val="single" w:sz="4" w:space="0" w:color="auto"/>
              <w:right w:val="single" w:sz="4" w:space="0" w:color="auto"/>
            </w:tcBorders>
          </w:tcPr>
          <w:p w14:paraId="594938A8" w14:textId="77777777" w:rsidR="00846826" w:rsidRPr="00A202B4" w:rsidRDefault="00846826" w:rsidP="00FD020A">
            <w:pPr>
              <w:jc w:val="left"/>
              <w:rPr>
                <w:kern w:val="22"/>
                <w:lang w:val="es-ES_tradnl"/>
              </w:rPr>
            </w:pPr>
            <w:r w:rsidRPr="00A202B4">
              <w:rPr>
                <w:lang w:val="es-ES_tradnl"/>
              </w:rPr>
              <w:t>a) Porcentaje de herramientas de apoyo interactivas que están actualizadas según las funciones de la nueva plataforma del CIISB;</w:t>
            </w:r>
          </w:p>
          <w:p w14:paraId="690F6C94" w14:textId="77777777" w:rsidR="00846826" w:rsidRPr="00A202B4" w:rsidRDefault="00846826" w:rsidP="00FD020A">
            <w:pPr>
              <w:jc w:val="left"/>
              <w:rPr>
                <w:lang w:val="es-ES_tradnl"/>
              </w:rPr>
            </w:pPr>
            <w:r w:rsidRPr="00A202B4">
              <w:rPr>
                <w:lang w:val="es-ES_tradnl"/>
              </w:rPr>
              <w:t>b) Número de usuarios que utilizan los materiales de capacitación sobre el uso del CIISB;</w:t>
            </w:r>
          </w:p>
          <w:p w14:paraId="0FC56B05" w14:textId="77777777" w:rsidR="00846826" w:rsidRPr="00A202B4" w:rsidRDefault="00846826" w:rsidP="00FD020A">
            <w:pPr>
              <w:jc w:val="left"/>
              <w:rPr>
                <w:lang w:val="es-ES_tradnl"/>
              </w:rPr>
            </w:pPr>
            <w:r w:rsidRPr="00A202B4">
              <w:rPr>
                <w:lang w:val="es-ES_tradnl"/>
              </w:rPr>
              <w:t>c) Porcentaje de Partes que cuentan con información pertinente y actualizada en el CIISB.</w:t>
            </w:r>
          </w:p>
        </w:tc>
        <w:tc>
          <w:tcPr>
            <w:tcW w:w="2835" w:type="dxa"/>
            <w:tcBorders>
              <w:top w:val="single" w:sz="4" w:space="0" w:color="auto"/>
              <w:left w:val="single" w:sz="4" w:space="0" w:color="auto"/>
              <w:bottom w:val="single" w:sz="4" w:space="0" w:color="auto"/>
              <w:right w:val="single" w:sz="4" w:space="0" w:color="auto"/>
            </w:tcBorders>
            <w:tcMar>
              <w:left w:w="115" w:type="dxa"/>
              <w:right w:w="58" w:type="dxa"/>
            </w:tcMar>
          </w:tcPr>
          <w:p w14:paraId="23A75EF5" w14:textId="77777777" w:rsidR="00846826" w:rsidRPr="00A202B4" w:rsidRDefault="00846826" w:rsidP="00FD020A">
            <w:pPr>
              <w:jc w:val="left"/>
              <w:rPr>
                <w:kern w:val="22"/>
                <w:lang w:val="es-ES_tradnl"/>
              </w:rPr>
            </w:pPr>
            <w:r w:rsidRPr="00A202B4">
              <w:rPr>
                <w:kern w:val="22"/>
                <w:lang w:val="es-ES_tradnl"/>
              </w:rPr>
              <w:t>El CIISB facilita la disponibilidad y el intercambio de información relacionada con la seguridad de la biotecnología y permite que las Partes adopten decisiones informadas</w:t>
            </w:r>
          </w:p>
          <w:p w14:paraId="05667049" w14:textId="6E11FDB7" w:rsidR="00846826" w:rsidRPr="00A202B4" w:rsidRDefault="00846826" w:rsidP="00FD020A">
            <w:pPr>
              <w:jc w:val="left"/>
              <w:rPr>
                <w:kern w:val="22"/>
                <w:lang w:val="es-ES_tradnl"/>
              </w:rPr>
            </w:pPr>
            <w:r w:rsidRPr="00A202B4">
              <w:rPr>
                <w:kern w:val="22"/>
                <w:lang w:val="es-ES_tradnl"/>
              </w:rPr>
              <w:t>El CIISB se utiliza como plataforma de información de referencia para información relacionada con la seguridad de la biotecnología</w:t>
            </w:r>
            <w:r w:rsidR="00FF4CAD">
              <w:rPr>
                <w:kern w:val="22"/>
                <w:lang w:val="es-ES_tradnl"/>
              </w:rPr>
              <w:t>.</w:t>
            </w:r>
          </w:p>
        </w:tc>
      </w:tr>
      <w:tr w:rsidR="00846826" w:rsidRPr="00A202B4" w14:paraId="0D48354D" w14:textId="77777777" w:rsidTr="00FD020A">
        <w:trPr>
          <w:jc w:val="center"/>
        </w:trPr>
        <w:tc>
          <w:tcPr>
            <w:tcW w:w="1795" w:type="dxa"/>
            <w:tcBorders>
              <w:top w:val="single" w:sz="4" w:space="0" w:color="auto"/>
              <w:left w:val="single" w:sz="4" w:space="0" w:color="auto"/>
              <w:bottom w:val="single" w:sz="4" w:space="0" w:color="auto"/>
              <w:right w:val="single" w:sz="4" w:space="0" w:color="auto"/>
            </w:tcBorders>
          </w:tcPr>
          <w:p w14:paraId="6518D849" w14:textId="77777777" w:rsidR="00846826" w:rsidRPr="00A202B4" w:rsidRDefault="00846826" w:rsidP="00FD020A">
            <w:pPr>
              <w:jc w:val="left"/>
              <w:rPr>
                <w:lang w:val="es-ES_tradnl"/>
              </w:rPr>
            </w:pPr>
            <w:r w:rsidRPr="00A202B4">
              <w:rPr>
                <w:b/>
                <w:bCs/>
                <w:kern w:val="22"/>
                <w:lang w:val="es-ES_tradnl"/>
              </w:rPr>
              <w:lastRenderedPageBreak/>
              <w:t>A.3. Las Partes facilitan de manera oportuna información completa sobre la aplicación del Protocolo</w:t>
            </w:r>
          </w:p>
        </w:tc>
        <w:tc>
          <w:tcPr>
            <w:tcW w:w="2453" w:type="dxa"/>
            <w:tcBorders>
              <w:top w:val="single" w:sz="4" w:space="0" w:color="auto"/>
              <w:left w:val="single" w:sz="4" w:space="0" w:color="auto"/>
              <w:bottom w:val="single" w:sz="4" w:space="0" w:color="auto"/>
              <w:right w:val="single" w:sz="4" w:space="0" w:color="auto"/>
            </w:tcBorders>
          </w:tcPr>
          <w:p w14:paraId="052E63A1" w14:textId="77777777" w:rsidR="00846826" w:rsidRPr="00A202B4" w:rsidRDefault="00846826" w:rsidP="00FD020A">
            <w:pPr>
              <w:jc w:val="left"/>
              <w:rPr>
                <w:kern w:val="22"/>
                <w:lang w:val="es-ES_tradnl"/>
              </w:rPr>
            </w:pPr>
            <w:r w:rsidRPr="00A202B4">
              <w:rPr>
                <w:kern w:val="22"/>
                <w:lang w:val="es-ES_tradnl"/>
              </w:rPr>
              <w:t>1) Creación y fortalecimiento de sistemas nacionales de coordinación para recopilar información sobre seguridad de la biotecnología;</w:t>
            </w:r>
          </w:p>
          <w:p w14:paraId="5FB0DBAC" w14:textId="77777777" w:rsidR="00846826" w:rsidRPr="00A202B4" w:rsidRDefault="00846826" w:rsidP="00FD020A">
            <w:pPr>
              <w:jc w:val="left"/>
              <w:rPr>
                <w:lang w:val="es-ES_tradnl"/>
              </w:rPr>
            </w:pPr>
            <w:r w:rsidRPr="00A202B4">
              <w:rPr>
                <w:kern w:val="22"/>
                <w:lang w:val="es-ES_tradnl"/>
              </w:rPr>
              <w:t>2) Elaboración de un informe nacional.</w:t>
            </w:r>
          </w:p>
        </w:tc>
        <w:tc>
          <w:tcPr>
            <w:tcW w:w="3118" w:type="dxa"/>
            <w:tcBorders>
              <w:top w:val="single" w:sz="4" w:space="0" w:color="auto"/>
              <w:left w:val="single" w:sz="4" w:space="0" w:color="auto"/>
              <w:bottom w:val="single" w:sz="4" w:space="0" w:color="auto"/>
              <w:right w:val="single" w:sz="4" w:space="0" w:color="auto"/>
            </w:tcBorders>
          </w:tcPr>
          <w:p w14:paraId="1EE83A91" w14:textId="77777777" w:rsidR="00846826" w:rsidRPr="00A202B4" w:rsidRDefault="00846826" w:rsidP="00FD020A">
            <w:pPr>
              <w:jc w:val="left"/>
              <w:rPr>
                <w:kern w:val="22"/>
                <w:lang w:val="es-ES_tradnl"/>
              </w:rPr>
            </w:pPr>
            <w:r w:rsidRPr="00A202B4">
              <w:rPr>
                <w:kern w:val="22"/>
                <w:lang w:val="es-ES_tradnl"/>
              </w:rPr>
              <w:t>i) Proporcionar capacitación sobre recopilación de información y gestión de datos a las autoridades nacionales pertinentes para la presentación de informes nacionales;</w:t>
            </w:r>
          </w:p>
          <w:p w14:paraId="4E1B816D" w14:textId="77777777" w:rsidR="00846826" w:rsidRPr="00A202B4" w:rsidRDefault="00846826" w:rsidP="00FD020A">
            <w:pPr>
              <w:jc w:val="left"/>
              <w:rPr>
                <w:kern w:val="22"/>
                <w:lang w:val="es-ES_tradnl"/>
              </w:rPr>
            </w:pPr>
            <w:r w:rsidRPr="00A202B4">
              <w:rPr>
                <w:kern w:val="22"/>
                <w:lang w:val="es-ES_tradnl"/>
              </w:rPr>
              <w:t>ii) Desarrollar herramientas para asistir a las Partes en la elaboración y presentación de sus informes nacionales;</w:t>
            </w:r>
          </w:p>
          <w:p w14:paraId="104107A5" w14:textId="77777777" w:rsidR="00846826" w:rsidRPr="00A202B4" w:rsidRDefault="00846826" w:rsidP="00FD020A">
            <w:pPr>
              <w:jc w:val="left"/>
              <w:rPr>
                <w:lang w:val="es-ES_tradnl"/>
              </w:rPr>
            </w:pPr>
            <w:r w:rsidRPr="00A202B4">
              <w:rPr>
                <w:lang w:val="es-ES_tradnl"/>
              </w:rPr>
              <w:t>iii) Apoyar la cooperación entre las Partes a fin de asistir a aquellas Partes que tienen recursos insuficientes en la preparación y presentación de sus informes nacionales.</w:t>
            </w:r>
          </w:p>
        </w:tc>
        <w:tc>
          <w:tcPr>
            <w:tcW w:w="3261" w:type="dxa"/>
            <w:tcBorders>
              <w:top w:val="single" w:sz="4" w:space="0" w:color="auto"/>
              <w:left w:val="single" w:sz="4" w:space="0" w:color="auto"/>
              <w:bottom w:val="single" w:sz="4" w:space="0" w:color="auto"/>
              <w:right w:val="single" w:sz="4" w:space="0" w:color="auto"/>
            </w:tcBorders>
          </w:tcPr>
          <w:p w14:paraId="29CEFEA3" w14:textId="77777777" w:rsidR="00846826" w:rsidRPr="00A202B4" w:rsidRDefault="00846826" w:rsidP="00FD020A">
            <w:pPr>
              <w:jc w:val="left"/>
              <w:rPr>
                <w:kern w:val="22"/>
                <w:lang w:val="es-ES_tradnl"/>
              </w:rPr>
            </w:pPr>
            <w:r w:rsidRPr="00A202B4">
              <w:rPr>
                <w:lang w:val="es-ES_tradnl"/>
              </w:rPr>
              <w:t>a) Porcentaje de Partes que definen sus necesidades de capacitación en materia de presentación de informes nacionales y desarrollan capacitación para las autoridades nacionales pertinentes;</w:t>
            </w:r>
          </w:p>
          <w:p w14:paraId="050B87D0" w14:textId="77777777" w:rsidR="00846826" w:rsidRPr="00A202B4" w:rsidRDefault="00846826" w:rsidP="00FD020A">
            <w:pPr>
              <w:jc w:val="left"/>
              <w:rPr>
                <w:kern w:val="22"/>
                <w:lang w:val="es-ES_tradnl"/>
              </w:rPr>
            </w:pPr>
            <w:r w:rsidRPr="00A202B4">
              <w:rPr>
                <w:kern w:val="22"/>
                <w:lang w:val="es-ES_tradnl"/>
              </w:rPr>
              <w:t>b) Porcentaje de Partes con necesidades de asistencia que, mediante el uso de herramientas de ayuda, prepararon y presentaron sus informes de manera oportuna;</w:t>
            </w:r>
          </w:p>
          <w:p w14:paraId="2665ECD0" w14:textId="77777777" w:rsidR="00846826" w:rsidRPr="00A202B4" w:rsidRDefault="00846826" w:rsidP="00FD020A">
            <w:pPr>
              <w:jc w:val="left"/>
              <w:rPr>
                <w:lang w:val="es-ES_tradnl"/>
              </w:rPr>
            </w:pPr>
            <w:r w:rsidRPr="00A202B4">
              <w:rPr>
                <w:lang w:val="es-ES_tradnl"/>
              </w:rPr>
              <w:t>c) Porcentaje de Partes que requerían apoyo que se beneficiaron de actividades de cooperación para ayudarles a preparar y presentar su informe nacional.</w:t>
            </w:r>
          </w:p>
        </w:tc>
        <w:tc>
          <w:tcPr>
            <w:tcW w:w="2835" w:type="dxa"/>
            <w:tcBorders>
              <w:top w:val="single" w:sz="4" w:space="0" w:color="auto"/>
              <w:left w:val="single" w:sz="4" w:space="0" w:color="auto"/>
              <w:bottom w:val="single" w:sz="4" w:space="0" w:color="auto"/>
              <w:right w:val="single" w:sz="4" w:space="0" w:color="auto"/>
            </w:tcBorders>
          </w:tcPr>
          <w:p w14:paraId="7945FEAD" w14:textId="07EF2FD6" w:rsidR="00846826" w:rsidRPr="00A202B4" w:rsidRDefault="00846826" w:rsidP="00FF4CAD">
            <w:pPr>
              <w:jc w:val="left"/>
              <w:rPr>
                <w:kern w:val="22"/>
                <w:lang w:val="es-ES_tradnl"/>
              </w:rPr>
            </w:pPr>
            <w:r w:rsidRPr="00A202B4">
              <w:rPr>
                <w:kern w:val="22"/>
                <w:lang w:val="es-ES_tradnl"/>
              </w:rPr>
              <w:t>Información precisa y oportuna sobre la aplicación del Protocolo permite a la Conferencia de las Partes que actúa como reunión de las Partes en el Protocolo fijar prioridades y definir dónde se necesita apoyo</w:t>
            </w:r>
            <w:r w:rsidR="00FF4CAD">
              <w:rPr>
                <w:kern w:val="22"/>
                <w:lang w:val="es-ES_tradnl"/>
              </w:rPr>
              <w:t>.</w:t>
            </w:r>
          </w:p>
        </w:tc>
      </w:tr>
      <w:tr w:rsidR="00846826" w:rsidRPr="00A202B4" w14:paraId="1CC5F047" w14:textId="77777777" w:rsidTr="00FD020A">
        <w:trPr>
          <w:jc w:val="center"/>
        </w:trPr>
        <w:tc>
          <w:tcPr>
            <w:tcW w:w="1795" w:type="dxa"/>
            <w:tcBorders>
              <w:top w:val="single" w:sz="4" w:space="0" w:color="auto"/>
              <w:left w:val="single" w:sz="4" w:space="0" w:color="auto"/>
              <w:bottom w:val="single" w:sz="4" w:space="0" w:color="auto"/>
              <w:right w:val="single" w:sz="4" w:space="0" w:color="auto"/>
            </w:tcBorders>
          </w:tcPr>
          <w:p w14:paraId="26318797" w14:textId="77777777" w:rsidR="00846826" w:rsidRPr="00A202B4" w:rsidRDefault="00846826" w:rsidP="00FD020A">
            <w:pPr>
              <w:jc w:val="left"/>
              <w:rPr>
                <w:lang w:val="es-ES_tradnl"/>
              </w:rPr>
            </w:pPr>
            <w:r w:rsidRPr="00A202B4">
              <w:rPr>
                <w:b/>
                <w:bCs/>
                <w:kern w:val="22"/>
                <w:lang w:val="es-ES_tradnl"/>
              </w:rPr>
              <w:t>A.4. Las Partes cumplen con los requisitos del Protocolo</w:t>
            </w:r>
          </w:p>
        </w:tc>
        <w:tc>
          <w:tcPr>
            <w:tcW w:w="2453" w:type="dxa"/>
            <w:tcBorders>
              <w:top w:val="single" w:sz="4" w:space="0" w:color="auto"/>
              <w:left w:val="single" w:sz="4" w:space="0" w:color="auto"/>
              <w:bottom w:val="single" w:sz="4" w:space="0" w:color="auto"/>
              <w:right w:val="single" w:sz="4" w:space="0" w:color="auto"/>
            </w:tcBorders>
          </w:tcPr>
          <w:p w14:paraId="552B83AC" w14:textId="77777777" w:rsidR="00846826" w:rsidRPr="00A202B4" w:rsidRDefault="00846826" w:rsidP="00FD020A">
            <w:pPr>
              <w:jc w:val="left"/>
              <w:rPr>
                <w:lang w:val="es-ES_tradnl"/>
              </w:rPr>
            </w:pPr>
            <w:r w:rsidRPr="00A202B4">
              <w:rPr>
                <w:kern w:val="22"/>
                <w:lang w:val="es-ES_tradnl"/>
              </w:rPr>
              <w:t>1) Abordar cuestiones de incumplimiento detectadas por el Comité de Cumplimiento.</w:t>
            </w:r>
          </w:p>
        </w:tc>
        <w:tc>
          <w:tcPr>
            <w:tcW w:w="3118" w:type="dxa"/>
            <w:tcBorders>
              <w:top w:val="single" w:sz="4" w:space="0" w:color="auto"/>
              <w:left w:val="single" w:sz="4" w:space="0" w:color="auto"/>
              <w:bottom w:val="single" w:sz="4" w:space="0" w:color="auto"/>
              <w:right w:val="single" w:sz="4" w:space="0" w:color="auto"/>
            </w:tcBorders>
          </w:tcPr>
          <w:p w14:paraId="016732D5" w14:textId="77777777" w:rsidR="00846826" w:rsidRPr="00A202B4" w:rsidRDefault="00846826" w:rsidP="00FD020A">
            <w:pPr>
              <w:jc w:val="left"/>
              <w:rPr>
                <w:lang w:val="es-ES_tradnl"/>
              </w:rPr>
            </w:pPr>
            <w:r w:rsidRPr="00A202B4">
              <w:rPr>
                <w:kern w:val="22"/>
                <w:lang w:val="es-ES_tradnl"/>
              </w:rPr>
              <w:t>i) Brindar apoyo técnico y suficiente asistencia financiera a las Partes en cuestión para llevar a cabo las actividades indicadas en planes de acción para el cumplimiento, a fin de abordar las cuestiones de incumplimiento detectadas.</w:t>
            </w:r>
          </w:p>
        </w:tc>
        <w:tc>
          <w:tcPr>
            <w:tcW w:w="3261" w:type="dxa"/>
            <w:tcBorders>
              <w:top w:val="single" w:sz="4" w:space="0" w:color="auto"/>
              <w:left w:val="single" w:sz="4" w:space="0" w:color="auto"/>
              <w:bottom w:val="single" w:sz="4" w:space="0" w:color="auto"/>
              <w:right w:val="single" w:sz="4" w:space="0" w:color="auto"/>
            </w:tcBorders>
          </w:tcPr>
          <w:p w14:paraId="6F15C495" w14:textId="77777777" w:rsidR="00846826" w:rsidRPr="00A202B4" w:rsidRDefault="00846826" w:rsidP="00FD020A">
            <w:pPr>
              <w:jc w:val="left"/>
              <w:rPr>
                <w:lang w:val="es-ES_tradnl"/>
              </w:rPr>
            </w:pPr>
            <w:r w:rsidRPr="00A202B4">
              <w:rPr>
                <w:lang w:val="es-ES_tradnl"/>
              </w:rPr>
              <w:t>a) Porcentaje de Partes en situación de incumplimiento a quienes la ejecución exitosa del plan de acción para el cumplimiento permitió lograr el pleno cumplimiento.</w:t>
            </w:r>
          </w:p>
        </w:tc>
        <w:tc>
          <w:tcPr>
            <w:tcW w:w="2835" w:type="dxa"/>
            <w:tcBorders>
              <w:top w:val="single" w:sz="4" w:space="0" w:color="auto"/>
              <w:left w:val="single" w:sz="4" w:space="0" w:color="auto"/>
              <w:bottom w:val="single" w:sz="4" w:space="0" w:color="auto"/>
              <w:right w:val="single" w:sz="4" w:space="0" w:color="auto"/>
            </w:tcBorders>
          </w:tcPr>
          <w:p w14:paraId="3123729B" w14:textId="77777777" w:rsidR="00846826" w:rsidRPr="00A202B4" w:rsidRDefault="00846826" w:rsidP="00FD020A">
            <w:pPr>
              <w:jc w:val="left"/>
              <w:rPr>
                <w:kern w:val="22"/>
                <w:lang w:val="es-ES_tradnl"/>
              </w:rPr>
            </w:pPr>
            <w:r w:rsidRPr="00A202B4">
              <w:rPr>
                <w:lang w:val="es-ES_tradnl"/>
              </w:rPr>
              <w:t>Un mecanismo de cumplimiento eficaz facilita la aplicación del Protocolo</w:t>
            </w:r>
          </w:p>
          <w:p w14:paraId="37F067AC" w14:textId="77777777" w:rsidR="00846826" w:rsidRPr="00A202B4" w:rsidRDefault="00846826" w:rsidP="00FD020A">
            <w:pPr>
              <w:jc w:val="left"/>
              <w:rPr>
                <w:kern w:val="22"/>
                <w:lang w:val="es-ES_tradnl"/>
              </w:rPr>
            </w:pPr>
          </w:p>
        </w:tc>
      </w:tr>
      <w:tr w:rsidR="00846826" w:rsidRPr="00A202B4" w14:paraId="6CCD7707" w14:textId="77777777" w:rsidTr="00A202B4">
        <w:trPr>
          <w:trHeight w:val="2156"/>
          <w:jc w:val="center"/>
        </w:trPr>
        <w:tc>
          <w:tcPr>
            <w:tcW w:w="1795" w:type="dxa"/>
            <w:tcBorders>
              <w:top w:val="single" w:sz="4" w:space="0" w:color="auto"/>
              <w:left w:val="single" w:sz="4" w:space="0" w:color="auto"/>
              <w:bottom w:val="single" w:sz="4" w:space="0" w:color="auto"/>
              <w:right w:val="single" w:sz="4" w:space="0" w:color="auto"/>
            </w:tcBorders>
          </w:tcPr>
          <w:p w14:paraId="709F8F82" w14:textId="77777777" w:rsidR="00846826" w:rsidRPr="00A202B4" w:rsidRDefault="00846826" w:rsidP="00FD020A">
            <w:pPr>
              <w:jc w:val="left"/>
              <w:rPr>
                <w:lang w:val="es-ES_tradnl"/>
              </w:rPr>
            </w:pPr>
            <w:r w:rsidRPr="00A202B4">
              <w:rPr>
                <w:b/>
                <w:bCs/>
                <w:kern w:val="22"/>
                <w:lang w:val="es-ES_tradnl"/>
              </w:rPr>
              <w:lastRenderedPageBreak/>
              <w:t>A.5. Las Partes llevan a cabo evaluaciones del riesgo de organismos vivos modificados (OVM) con arreglo a procedimientos científicos y gestionan y controlan los riesgos detectados para prevenir efectos adversos de los OVM en la conservación y utilización sostenible de la diversidad biológica, teniendo también en cuenta los riesgos para la salud humana</w:t>
            </w:r>
          </w:p>
        </w:tc>
        <w:tc>
          <w:tcPr>
            <w:tcW w:w="2453" w:type="dxa"/>
            <w:tcBorders>
              <w:top w:val="single" w:sz="4" w:space="0" w:color="auto"/>
              <w:left w:val="single" w:sz="4" w:space="0" w:color="auto"/>
              <w:bottom w:val="single" w:sz="4" w:space="0" w:color="auto"/>
              <w:right w:val="single" w:sz="4" w:space="0" w:color="auto"/>
            </w:tcBorders>
          </w:tcPr>
          <w:p w14:paraId="34516583" w14:textId="77777777" w:rsidR="00846826" w:rsidRPr="00A202B4" w:rsidRDefault="00846826" w:rsidP="00FD020A">
            <w:pPr>
              <w:jc w:val="left"/>
              <w:rPr>
                <w:kern w:val="22"/>
                <w:lang w:val="es-ES_tradnl"/>
              </w:rPr>
            </w:pPr>
            <w:r w:rsidRPr="00A202B4">
              <w:rPr>
                <w:kern w:val="22"/>
                <w:lang w:val="es-ES_tradnl"/>
              </w:rPr>
              <w:t>1) Realización y revisión de evaluaciones del riesgo con arreglo a procedimientos científicos;</w:t>
            </w:r>
          </w:p>
          <w:p w14:paraId="31B03306" w14:textId="77777777" w:rsidR="00846826" w:rsidRPr="00A202B4" w:rsidRDefault="00846826" w:rsidP="00FD020A">
            <w:pPr>
              <w:jc w:val="left"/>
              <w:rPr>
                <w:kern w:val="22"/>
                <w:lang w:val="es-ES_tradnl"/>
              </w:rPr>
            </w:pPr>
            <w:r w:rsidRPr="00A202B4">
              <w:rPr>
                <w:kern w:val="22"/>
                <w:lang w:val="es-ES_tradnl"/>
              </w:rPr>
              <w:t>2) Regulación, gestión y control de los riesgos detectados;</w:t>
            </w:r>
          </w:p>
          <w:p w14:paraId="4FA23E40" w14:textId="77777777" w:rsidR="00846826" w:rsidRPr="00A202B4" w:rsidRDefault="00846826" w:rsidP="00FD020A">
            <w:pPr>
              <w:jc w:val="left"/>
              <w:rPr>
                <w:kern w:val="22"/>
                <w:lang w:val="es-ES_tradnl"/>
              </w:rPr>
            </w:pPr>
            <w:r w:rsidRPr="00A202B4">
              <w:rPr>
                <w:kern w:val="22"/>
                <w:lang w:val="es-ES_tradnl"/>
              </w:rPr>
              <w:t>3) Acceso a infraestructura y conocimientos técnicos para la evaluación del riesgo y la gestión del riesgo;</w:t>
            </w:r>
          </w:p>
          <w:p w14:paraId="1E3B0B9F" w14:textId="77777777" w:rsidR="00846826" w:rsidRPr="00A202B4" w:rsidRDefault="00846826" w:rsidP="00FD020A">
            <w:pPr>
              <w:jc w:val="left"/>
              <w:rPr>
                <w:kern w:val="22"/>
                <w:lang w:val="es-ES_tradnl"/>
              </w:rPr>
            </w:pPr>
            <w:r w:rsidRPr="00A202B4">
              <w:rPr>
                <w:kern w:val="22"/>
                <w:lang w:val="es-ES_tradnl"/>
              </w:rPr>
              <w:t>4) Acceso a datos científicos pertinentes para la evaluación del riesgo y la gestión del riesgo;</w:t>
            </w:r>
          </w:p>
          <w:p w14:paraId="5A399B97" w14:textId="77777777" w:rsidR="00846826" w:rsidRPr="00A202B4" w:rsidRDefault="00846826" w:rsidP="00FD020A">
            <w:pPr>
              <w:jc w:val="left"/>
              <w:rPr>
                <w:i/>
                <w:iCs/>
                <w:highlight w:val="yellow"/>
                <w:lang w:val="es-ES_tradnl"/>
              </w:rPr>
            </w:pPr>
            <w:r w:rsidRPr="00A202B4">
              <w:rPr>
                <w:lang w:val="es-ES_tradnl"/>
              </w:rPr>
              <w:t xml:space="preserve">5) Las Partes cuentan con personal calificado para realizar evaluaciones del riesgo y gestión del riesgo caso por caso. </w:t>
            </w:r>
          </w:p>
          <w:p w14:paraId="6F12DEF9" w14:textId="77777777" w:rsidR="00846826" w:rsidRPr="00A202B4" w:rsidRDefault="00846826" w:rsidP="00FD020A">
            <w:pPr>
              <w:jc w:val="left"/>
              <w:rPr>
                <w:kern w:val="22"/>
                <w:highlight w:val="yellow"/>
                <w:lang w:val="es-ES_tradnl"/>
              </w:rPr>
            </w:pPr>
          </w:p>
        </w:tc>
        <w:tc>
          <w:tcPr>
            <w:tcW w:w="3118" w:type="dxa"/>
            <w:tcBorders>
              <w:top w:val="single" w:sz="4" w:space="0" w:color="auto"/>
              <w:left w:val="single" w:sz="4" w:space="0" w:color="auto"/>
              <w:bottom w:val="single" w:sz="4" w:space="0" w:color="auto"/>
              <w:right w:val="single" w:sz="4" w:space="0" w:color="auto"/>
            </w:tcBorders>
          </w:tcPr>
          <w:p w14:paraId="4200DE9C" w14:textId="77777777" w:rsidR="00846826" w:rsidRPr="00A202B4" w:rsidRDefault="00846826" w:rsidP="00FD020A">
            <w:pPr>
              <w:jc w:val="left"/>
              <w:rPr>
                <w:kern w:val="22"/>
                <w:lang w:val="es-ES_tradnl"/>
              </w:rPr>
            </w:pPr>
            <w:r w:rsidRPr="00A202B4">
              <w:rPr>
                <w:kern w:val="22"/>
                <w:lang w:val="es-ES_tradnl"/>
              </w:rPr>
              <w:t>i) Elaborar o actualizar, según sea necesario, y difundir materiales de capacitación sobre evaluación del riesgo y gestión del riesgo;</w:t>
            </w:r>
          </w:p>
          <w:p w14:paraId="3668CCBB" w14:textId="77777777" w:rsidR="00846826" w:rsidRPr="00A202B4" w:rsidRDefault="00846826" w:rsidP="00FD020A">
            <w:pPr>
              <w:jc w:val="left"/>
              <w:rPr>
                <w:kern w:val="22"/>
                <w:lang w:val="es-ES_tradnl"/>
              </w:rPr>
            </w:pPr>
            <w:r w:rsidRPr="00A202B4">
              <w:rPr>
                <w:kern w:val="22"/>
                <w:lang w:val="es-ES_tradnl"/>
              </w:rPr>
              <w:t>ii) Proporcionar capacitación sobre la realización y revisión de evaluaciones del riesgo, incluido el uso de documentos de referencia y la recopilación y análisis de información científica;</w:t>
            </w:r>
          </w:p>
          <w:p w14:paraId="6D82F567" w14:textId="77777777" w:rsidR="00846826" w:rsidRPr="00A202B4" w:rsidRDefault="00846826" w:rsidP="00FD020A">
            <w:pPr>
              <w:jc w:val="left"/>
              <w:rPr>
                <w:kern w:val="22"/>
                <w:lang w:val="es-ES_tradnl"/>
              </w:rPr>
            </w:pPr>
            <w:r w:rsidRPr="00A202B4">
              <w:rPr>
                <w:kern w:val="22"/>
                <w:lang w:val="es-ES_tradnl"/>
              </w:rPr>
              <w:t>iii) Facilitar el acceso a infraestructura y conocimientos técnicos adecuados para la evaluación del riesgo y la gestión del riesgo;</w:t>
            </w:r>
          </w:p>
          <w:p w14:paraId="540D5798" w14:textId="77777777" w:rsidR="00846826" w:rsidRPr="00A202B4" w:rsidRDefault="00846826" w:rsidP="00FD020A">
            <w:pPr>
              <w:jc w:val="left"/>
              <w:rPr>
                <w:kern w:val="22"/>
                <w:lang w:val="es-ES_tradnl"/>
              </w:rPr>
            </w:pPr>
            <w:r w:rsidRPr="00A202B4">
              <w:rPr>
                <w:kern w:val="22"/>
                <w:lang w:val="es-ES_tradnl"/>
              </w:rPr>
              <w:t>iv) Proporcionar capacitación para realizar investigaciones científicas, revisar y reunir datos sobre diversidad biológica para zonas ecológicas específicas que sean pertinentes para la evaluación del riesgo y la gestión del riesgo;</w:t>
            </w:r>
          </w:p>
          <w:p w14:paraId="1EE640B5" w14:textId="77777777" w:rsidR="00846826" w:rsidRPr="00A202B4" w:rsidRDefault="00846826" w:rsidP="00FD020A">
            <w:pPr>
              <w:jc w:val="left"/>
              <w:rPr>
                <w:lang w:val="es-ES_tradnl"/>
              </w:rPr>
            </w:pPr>
            <w:r w:rsidRPr="00A202B4">
              <w:rPr>
                <w:lang w:val="es-ES_tradnl"/>
              </w:rPr>
              <w:t>v) Establecer relaciones con instituciones académicas o entidades de investigación específicas a fin de desarrollar programas educativos específicos sobre evaluación del riesgo y gestión del riesgo.</w:t>
            </w:r>
          </w:p>
        </w:tc>
        <w:tc>
          <w:tcPr>
            <w:tcW w:w="3261" w:type="dxa"/>
            <w:tcBorders>
              <w:top w:val="single" w:sz="4" w:space="0" w:color="auto"/>
              <w:left w:val="single" w:sz="4" w:space="0" w:color="auto"/>
              <w:bottom w:val="single" w:sz="4" w:space="0" w:color="auto"/>
              <w:right w:val="single" w:sz="4" w:space="0" w:color="auto"/>
            </w:tcBorders>
            <w:tcMar>
              <w:left w:w="115" w:type="dxa"/>
              <w:right w:w="43" w:type="dxa"/>
            </w:tcMar>
          </w:tcPr>
          <w:p w14:paraId="024D151B" w14:textId="77777777" w:rsidR="00846826" w:rsidRPr="00A202B4" w:rsidRDefault="00846826" w:rsidP="00FD020A">
            <w:pPr>
              <w:jc w:val="left"/>
              <w:rPr>
                <w:spacing w:val="-4"/>
                <w:kern w:val="22"/>
                <w:lang w:val="es-ES_tradnl"/>
              </w:rPr>
            </w:pPr>
            <w:r w:rsidRPr="00A202B4">
              <w:rPr>
                <w:spacing w:val="-4"/>
                <w:lang w:val="es-ES_tradnl"/>
              </w:rPr>
              <w:t>a) Porcentaje de Partes que elaboraron o actualizaron sus materiales de capacitación, según fuera necesario, sobre evaluación del riesgo y gestión del riesgo con arreglo a procedimientos científicos;</w:t>
            </w:r>
          </w:p>
          <w:p w14:paraId="622F6CDF" w14:textId="77777777" w:rsidR="00846826" w:rsidRPr="00A202B4" w:rsidRDefault="00846826" w:rsidP="00FD020A">
            <w:pPr>
              <w:jc w:val="left"/>
              <w:rPr>
                <w:i/>
                <w:iCs/>
                <w:spacing w:val="-4"/>
                <w:highlight w:val="yellow"/>
                <w:lang w:val="es-ES_tradnl"/>
              </w:rPr>
            </w:pPr>
            <w:r w:rsidRPr="00A202B4">
              <w:rPr>
                <w:spacing w:val="-4"/>
                <w:lang w:val="es-ES_tradnl"/>
              </w:rPr>
              <w:t>b) Porcentaje de Partes que proporcionan capacitación sobre realización y revisión de evaluaciones del riesgo y gestión del riesgo;</w:t>
            </w:r>
          </w:p>
          <w:p w14:paraId="50708C77" w14:textId="77777777" w:rsidR="00846826" w:rsidRPr="00A202B4" w:rsidRDefault="00846826" w:rsidP="00FD020A">
            <w:pPr>
              <w:jc w:val="left"/>
              <w:rPr>
                <w:spacing w:val="-4"/>
                <w:lang w:val="es-ES_tradnl"/>
              </w:rPr>
            </w:pPr>
            <w:r w:rsidRPr="00A202B4">
              <w:rPr>
                <w:spacing w:val="-4"/>
                <w:lang w:val="es-ES_tradnl"/>
              </w:rPr>
              <w:t>c) Número de expertos por Partes que son capaces de realizar o revisar una gestión del riesgo y evaluación del riesgo caso por caso;</w:t>
            </w:r>
          </w:p>
          <w:p w14:paraId="08C99FD4" w14:textId="77777777" w:rsidR="00846826" w:rsidRPr="00A202B4" w:rsidRDefault="00846826" w:rsidP="00FD020A">
            <w:pPr>
              <w:jc w:val="left"/>
              <w:rPr>
                <w:spacing w:val="-4"/>
                <w:kern w:val="22"/>
                <w:lang w:val="es-ES_tradnl"/>
              </w:rPr>
            </w:pPr>
            <w:r w:rsidRPr="00A202B4">
              <w:rPr>
                <w:spacing w:val="-4"/>
                <w:kern w:val="22"/>
                <w:lang w:val="es-ES_tradnl"/>
              </w:rPr>
              <w:t>d) Porcentaje de Partes que tienen acceso a infraestructura y conocimientos adecuados para evaluar y gestionar los riesgos;</w:t>
            </w:r>
          </w:p>
          <w:p w14:paraId="3A053F63" w14:textId="77777777" w:rsidR="00846826" w:rsidRPr="00A202B4" w:rsidRDefault="00846826" w:rsidP="00FD020A">
            <w:pPr>
              <w:jc w:val="left"/>
              <w:rPr>
                <w:spacing w:val="-4"/>
                <w:kern w:val="22"/>
                <w:lang w:val="es-ES_tradnl"/>
              </w:rPr>
            </w:pPr>
            <w:r w:rsidRPr="00A202B4">
              <w:rPr>
                <w:spacing w:val="-4"/>
                <w:kern w:val="22"/>
                <w:lang w:val="es-ES_tradnl"/>
              </w:rPr>
              <w:t>e) Porcentaje de Partes que proporcionan capacitación para realizar investigaciones científicas, revisar y reunir datos pertinentes para la evaluación del riesgo y la gestión del riesgo;</w:t>
            </w:r>
          </w:p>
          <w:p w14:paraId="765D9BB8" w14:textId="77777777" w:rsidR="00846826" w:rsidRPr="00A202B4" w:rsidRDefault="00846826" w:rsidP="00FD020A">
            <w:pPr>
              <w:jc w:val="left"/>
              <w:rPr>
                <w:spacing w:val="-4"/>
                <w:lang w:val="es-ES_tradnl"/>
              </w:rPr>
            </w:pPr>
            <w:r w:rsidRPr="00A202B4">
              <w:rPr>
                <w:spacing w:val="-4"/>
                <w:lang w:val="es-ES_tradnl"/>
              </w:rPr>
              <w:t>f) Porcentaje de Partes que han establecido relaciones con instituciones académicas o entidades de investigación específicas para el desarrollo de programas educativos específicos sobre evaluación del riesgo y gestión del riesgo.</w:t>
            </w:r>
          </w:p>
        </w:tc>
        <w:tc>
          <w:tcPr>
            <w:tcW w:w="2835" w:type="dxa"/>
            <w:tcBorders>
              <w:top w:val="single" w:sz="4" w:space="0" w:color="auto"/>
              <w:left w:val="single" w:sz="4" w:space="0" w:color="auto"/>
              <w:bottom w:val="single" w:sz="4" w:space="0" w:color="auto"/>
              <w:right w:val="single" w:sz="4" w:space="0" w:color="auto"/>
            </w:tcBorders>
          </w:tcPr>
          <w:p w14:paraId="002BCB1F" w14:textId="4E110DF9" w:rsidR="00846826" w:rsidRPr="00A202B4" w:rsidRDefault="00846826" w:rsidP="00FD020A">
            <w:pPr>
              <w:jc w:val="left"/>
              <w:rPr>
                <w:kern w:val="22"/>
                <w:lang w:val="es-ES_tradnl"/>
              </w:rPr>
            </w:pPr>
            <w:r w:rsidRPr="00A202B4">
              <w:rPr>
                <w:kern w:val="22"/>
                <w:lang w:val="es-ES_tradnl"/>
              </w:rPr>
              <w:t>Las Partes detectan, evalúan y gestionan y controlan adecuadamente los riesgos de los OVM para la diversidad biológica, teniendo también en cuenta los riesgos para la salud humana</w:t>
            </w:r>
            <w:r w:rsidR="00FF4CAD">
              <w:rPr>
                <w:kern w:val="22"/>
                <w:lang w:val="es-ES_tradnl"/>
              </w:rPr>
              <w:t>.</w:t>
            </w:r>
          </w:p>
          <w:p w14:paraId="2B1C1FAE" w14:textId="77777777" w:rsidR="00846826" w:rsidRPr="00A202B4" w:rsidRDefault="00846826" w:rsidP="00FD020A">
            <w:pPr>
              <w:jc w:val="left"/>
              <w:rPr>
                <w:kern w:val="22"/>
                <w:lang w:val="es-ES_tradnl"/>
              </w:rPr>
            </w:pPr>
          </w:p>
          <w:p w14:paraId="70F8319F" w14:textId="0F92C926" w:rsidR="00846826" w:rsidRPr="00A202B4" w:rsidRDefault="00846826" w:rsidP="00FD020A">
            <w:pPr>
              <w:jc w:val="left"/>
              <w:rPr>
                <w:kern w:val="22"/>
                <w:lang w:val="es-ES_tradnl"/>
              </w:rPr>
            </w:pPr>
            <w:r w:rsidRPr="00A202B4">
              <w:rPr>
                <w:kern w:val="22"/>
                <w:lang w:val="es-ES_tradnl"/>
              </w:rPr>
              <w:t>Una mayor participación del sector académico e instituciones de investigación especializadas refuerza el apoyo científico para la evaluación del riesgo y la gestión del riesgo</w:t>
            </w:r>
            <w:r w:rsidR="00FF4CAD">
              <w:rPr>
                <w:kern w:val="22"/>
                <w:lang w:val="es-ES_tradnl"/>
              </w:rPr>
              <w:t>.</w:t>
            </w:r>
          </w:p>
          <w:p w14:paraId="7C94A010" w14:textId="77777777" w:rsidR="00846826" w:rsidRPr="00A202B4" w:rsidRDefault="00846826" w:rsidP="00FD020A">
            <w:pPr>
              <w:jc w:val="left"/>
              <w:rPr>
                <w:kern w:val="22"/>
                <w:lang w:val="es-ES_tradnl"/>
              </w:rPr>
            </w:pPr>
          </w:p>
        </w:tc>
      </w:tr>
      <w:tr w:rsidR="00846826" w:rsidRPr="00A202B4" w14:paraId="6528417A" w14:textId="77777777" w:rsidTr="00FD020A">
        <w:trPr>
          <w:jc w:val="center"/>
        </w:trPr>
        <w:tc>
          <w:tcPr>
            <w:tcW w:w="1795" w:type="dxa"/>
            <w:tcBorders>
              <w:top w:val="single" w:sz="4" w:space="0" w:color="auto"/>
              <w:left w:val="single" w:sz="4" w:space="0" w:color="auto"/>
              <w:bottom w:val="single" w:sz="4" w:space="0" w:color="auto"/>
              <w:right w:val="single" w:sz="4" w:space="0" w:color="auto"/>
            </w:tcBorders>
          </w:tcPr>
          <w:p w14:paraId="215C3311" w14:textId="77777777" w:rsidR="00846826" w:rsidRPr="00A202B4" w:rsidRDefault="00846826" w:rsidP="00FD020A">
            <w:pPr>
              <w:jc w:val="left"/>
              <w:rPr>
                <w:lang w:val="es-ES_tradnl"/>
              </w:rPr>
            </w:pPr>
            <w:r w:rsidRPr="00A202B4">
              <w:rPr>
                <w:b/>
                <w:bCs/>
                <w:kern w:val="22"/>
                <w:lang w:val="es-ES_tradnl"/>
              </w:rPr>
              <w:lastRenderedPageBreak/>
              <w:t>A.6. Las Partes previenen y abordan los movimientos transfronterizos ilícitos e involuntarios de OVM</w:t>
            </w:r>
          </w:p>
        </w:tc>
        <w:tc>
          <w:tcPr>
            <w:tcW w:w="2453" w:type="dxa"/>
            <w:tcBorders>
              <w:top w:val="single" w:sz="4" w:space="0" w:color="auto"/>
              <w:left w:val="single" w:sz="4" w:space="0" w:color="auto"/>
              <w:bottom w:val="single" w:sz="4" w:space="0" w:color="auto"/>
              <w:right w:val="single" w:sz="4" w:space="0" w:color="auto"/>
            </w:tcBorders>
          </w:tcPr>
          <w:p w14:paraId="691FDFD3" w14:textId="77777777" w:rsidR="00846826" w:rsidRPr="00A202B4" w:rsidRDefault="00846826" w:rsidP="00FD020A">
            <w:pPr>
              <w:jc w:val="left"/>
              <w:rPr>
                <w:kern w:val="22"/>
                <w:lang w:val="es-ES_tradnl"/>
              </w:rPr>
            </w:pPr>
            <w:r w:rsidRPr="00A202B4">
              <w:rPr>
                <w:kern w:val="22"/>
                <w:lang w:val="es-ES_tradnl"/>
              </w:rPr>
              <w:t>1) Establecimiento de sistemas nacionales funcionales de detección y notificación y respuestas adecuadas a los movimientos transfronterizos involuntarios, de conformidad con el artículo 17 del Protocolo;</w:t>
            </w:r>
          </w:p>
          <w:p w14:paraId="06DA9AE4" w14:textId="77777777" w:rsidR="00846826" w:rsidRPr="00A202B4" w:rsidRDefault="00846826" w:rsidP="00FD020A">
            <w:pPr>
              <w:jc w:val="left"/>
              <w:rPr>
                <w:lang w:val="es-ES_tradnl"/>
              </w:rPr>
            </w:pPr>
            <w:r w:rsidRPr="00A202B4">
              <w:rPr>
                <w:lang w:val="es-ES_tradnl"/>
              </w:rPr>
              <w:t>2) Establecimiento de medidas nacionales funcionales para prevenir y abordar el movimiento transfronterizo ilícito de conformidad con el artículo 25 del Protocolo.</w:t>
            </w:r>
          </w:p>
        </w:tc>
        <w:tc>
          <w:tcPr>
            <w:tcW w:w="3118" w:type="dxa"/>
            <w:tcBorders>
              <w:top w:val="single" w:sz="4" w:space="0" w:color="auto"/>
              <w:left w:val="single" w:sz="4" w:space="0" w:color="auto"/>
              <w:bottom w:val="single" w:sz="4" w:space="0" w:color="auto"/>
              <w:right w:val="single" w:sz="4" w:space="0" w:color="auto"/>
            </w:tcBorders>
          </w:tcPr>
          <w:p w14:paraId="0B74CC43" w14:textId="77777777" w:rsidR="00846826" w:rsidRPr="00A202B4" w:rsidRDefault="00846826" w:rsidP="00FD020A">
            <w:pPr>
              <w:jc w:val="left"/>
              <w:rPr>
                <w:kern w:val="22"/>
                <w:lang w:val="es-ES_tradnl"/>
              </w:rPr>
            </w:pPr>
            <w:r w:rsidRPr="00A202B4">
              <w:rPr>
                <w:kern w:val="22"/>
                <w:lang w:val="es-ES_tradnl"/>
              </w:rPr>
              <w:t>i) Proporcionar capacitación sobre documentación, muestreo, detección e identificación de OVM a los interesados pertinentes;</w:t>
            </w:r>
          </w:p>
          <w:p w14:paraId="1ACCD8FE" w14:textId="77777777" w:rsidR="00846826" w:rsidRPr="00A202B4" w:rsidRDefault="00846826" w:rsidP="00FD020A">
            <w:pPr>
              <w:jc w:val="left"/>
              <w:rPr>
                <w:lang w:val="es-ES_tradnl"/>
              </w:rPr>
            </w:pPr>
            <w:r w:rsidRPr="00A202B4">
              <w:rPr>
                <w:lang w:val="es-ES_tradnl"/>
              </w:rPr>
              <w:t>ii) Proporcionar capacitación sobre medidas nacionales para prevenir y abordar el movimiento transfronterizo ilícito de conformidad con el artículo 25 del Protocolo;</w:t>
            </w:r>
          </w:p>
          <w:p w14:paraId="3FAD5A05" w14:textId="77777777" w:rsidR="00846826" w:rsidRPr="00A202B4" w:rsidRDefault="00846826" w:rsidP="00FD020A">
            <w:pPr>
              <w:jc w:val="left"/>
              <w:rPr>
                <w:lang w:val="es-ES_tradnl"/>
              </w:rPr>
            </w:pPr>
            <w:r w:rsidRPr="00A202B4">
              <w:rPr>
                <w:lang w:val="es-ES_tradnl"/>
              </w:rPr>
              <w:t>iii) Impartir capacitación sobre la vigilancia de movimientos transfronterizos ilícitos de OVM.</w:t>
            </w:r>
          </w:p>
          <w:p w14:paraId="7863522C" w14:textId="77777777" w:rsidR="00846826" w:rsidRPr="00A202B4" w:rsidRDefault="00846826" w:rsidP="00FD020A">
            <w:pPr>
              <w:jc w:val="left"/>
              <w:rPr>
                <w:kern w:val="22"/>
                <w:lang w:val="es-ES_tradnl"/>
              </w:rPr>
            </w:pPr>
          </w:p>
        </w:tc>
        <w:tc>
          <w:tcPr>
            <w:tcW w:w="3261" w:type="dxa"/>
            <w:tcBorders>
              <w:top w:val="single" w:sz="4" w:space="0" w:color="auto"/>
              <w:left w:val="single" w:sz="4" w:space="0" w:color="auto"/>
              <w:bottom w:val="single" w:sz="4" w:space="0" w:color="auto"/>
              <w:right w:val="single" w:sz="4" w:space="0" w:color="auto"/>
            </w:tcBorders>
          </w:tcPr>
          <w:p w14:paraId="15545274" w14:textId="77777777" w:rsidR="00846826" w:rsidRPr="00A202B4" w:rsidRDefault="00846826" w:rsidP="00FD020A">
            <w:pPr>
              <w:jc w:val="left"/>
              <w:rPr>
                <w:lang w:val="es-ES_tradnl"/>
              </w:rPr>
            </w:pPr>
            <w:r w:rsidRPr="00A202B4">
              <w:rPr>
                <w:lang w:val="es-ES_tradnl"/>
              </w:rPr>
              <w:t>a) Porcentaje de Partes que proporcionan capacitación sobre documentación, muestreo, detección e identificación de OVM a interesados directos pertinentes;</w:t>
            </w:r>
          </w:p>
          <w:p w14:paraId="5EEBF857" w14:textId="77777777" w:rsidR="00846826" w:rsidRPr="00A202B4" w:rsidRDefault="00846826" w:rsidP="00FD020A">
            <w:pPr>
              <w:jc w:val="left"/>
              <w:rPr>
                <w:kern w:val="22"/>
                <w:lang w:val="es-ES_tradnl"/>
              </w:rPr>
            </w:pPr>
            <w:r w:rsidRPr="00A202B4">
              <w:rPr>
                <w:lang w:val="es-ES_tradnl"/>
              </w:rPr>
              <w:t>b) Número de casos informados de movimientos transfronterizos ilícitos o involuntarios de OVM;</w:t>
            </w:r>
          </w:p>
          <w:p w14:paraId="1DA31765" w14:textId="77777777" w:rsidR="00846826" w:rsidRPr="00A202B4" w:rsidRDefault="00846826" w:rsidP="00FD020A">
            <w:pPr>
              <w:jc w:val="left"/>
              <w:rPr>
                <w:lang w:val="es-ES_tradnl"/>
              </w:rPr>
            </w:pPr>
            <w:r w:rsidRPr="00A202B4">
              <w:rPr>
                <w:lang w:val="es-ES_tradnl"/>
              </w:rPr>
              <w:t>c) Porcentaje de Partes que proporcionan capacitación con medidas nacionales funcionales para prevenir y gestionar los movimientos transfronterizos ilícitos e involuntarios de OVM;</w:t>
            </w:r>
          </w:p>
          <w:p w14:paraId="14C545DA" w14:textId="77777777" w:rsidR="00846826" w:rsidRPr="00A202B4" w:rsidRDefault="00846826" w:rsidP="00FD020A">
            <w:pPr>
              <w:jc w:val="left"/>
              <w:rPr>
                <w:lang w:val="es-ES_tradnl"/>
              </w:rPr>
            </w:pPr>
            <w:r w:rsidRPr="00A202B4">
              <w:rPr>
                <w:lang w:val="es-ES_tradnl"/>
              </w:rPr>
              <w:t>d) Porcentaje de Partes que proporcionan capacitación sobre la vigilancia de movimientos transfronterizos ilícitos de OVM.</w:t>
            </w:r>
          </w:p>
        </w:tc>
        <w:tc>
          <w:tcPr>
            <w:tcW w:w="2835" w:type="dxa"/>
            <w:tcBorders>
              <w:top w:val="single" w:sz="4" w:space="0" w:color="auto"/>
              <w:left w:val="single" w:sz="4" w:space="0" w:color="auto"/>
              <w:bottom w:val="single" w:sz="4" w:space="0" w:color="auto"/>
              <w:right w:val="single" w:sz="4" w:space="0" w:color="auto"/>
            </w:tcBorders>
          </w:tcPr>
          <w:p w14:paraId="6F156C99" w14:textId="31629FE4" w:rsidR="00846826" w:rsidRPr="00A202B4" w:rsidRDefault="00846826" w:rsidP="00FD020A">
            <w:pPr>
              <w:jc w:val="left"/>
              <w:rPr>
                <w:kern w:val="22"/>
                <w:lang w:val="es-ES_tradnl"/>
              </w:rPr>
            </w:pPr>
            <w:r w:rsidRPr="00A202B4">
              <w:rPr>
                <w:kern w:val="22"/>
                <w:lang w:val="es-ES_tradnl"/>
              </w:rPr>
              <w:t>Se previenen o reducen al mínimo los movimientos transfronterizos ilícitos e involuntarios de OVM</w:t>
            </w:r>
            <w:r w:rsidR="00FF4CAD">
              <w:rPr>
                <w:kern w:val="22"/>
                <w:lang w:val="es-ES_tradnl"/>
              </w:rPr>
              <w:t>.</w:t>
            </w:r>
          </w:p>
          <w:p w14:paraId="23F41076" w14:textId="77777777" w:rsidR="00846826" w:rsidRPr="00A202B4" w:rsidRDefault="00846826" w:rsidP="00FD020A">
            <w:pPr>
              <w:jc w:val="left"/>
              <w:rPr>
                <w:kern w:val="22"/>
                <w:lang w:val="es-ES_tradnl"/>
              </w:rPr>
            </w:pPr>
          </w:p>
        </w:tc>
      </w:tr>
      <w:tr w:rsidR="00846826" w:rsidRPr="00A202B4" w14:paraId="0519B6D3" w14:textId="77777777" w:rsidTr="00F921F6">
        <w:trPr>
          <w:jc w:val="center"/>
        </w:trPr>
        <w:tc>
          <w:tcPr>
            <w:tcW w:w="1795" w:type="dxa"/>
            <w:tcBorders>
              <w:top w:val="single" w:sz="4" w:space="0" w:color="auto"/>
              <w:left w:val="single" w:sz="4" w:space="0" w:color="auto"/>
              <w:bottom w:val="single" w:sz="4" w:space="0" w:color="auto"/>
              <w:right w:val="single" w:sz="4" w:space="0" w:color="auto"/>
            </w:tcBorders>
          </w:tcPr>
          <w:p w14:paraId="5464D184" w14:textId="77777777" w:rsidR="00846826" w:rsidRPr="00A202B4" w:rsidRDefault="00846826" w:rsidP="00FD020A">
            <w:pPr>
              <w:jc w:val="left"/>
              <w:rPr>
                <w:lang w:val="es-ES_tradnl"/>
              </w:rPr>
            </w:pPr>
            <w:r w:rsidRPr="00A202B4">
              <w:rPr>
                <w:b/>
                <w:bCs/>
                <w:kern w:val="22"/>
                <w:lang w:val="es-ES_tradnl"/>
              </w:rPr>
              <w:t>A.7. Las Partes han implementado medidas para cumplir con los requisitos de manipulación, transporte, envasado e identificación de OVM establecidos en el artículo 18 del Protocolo</w:t>
            </w:r>
          </w:p>
        </w:tc>
        <w:tc>
          <w:tcPr>
            <w:tcW w:w="2453" w:type="dxa"/>
            <w:tcBorders>
              <w:top w:val="single" w:sz="4" w:space="0" w:color="auto"/>
              <w:left w:val="single" w:sz="4" w:space="0" w:color="auto"/>
              <w:bottom w:val="single" w:sz="4" w:space="0" w:color="auto"/>
              <w:right w:val="single" w:sz="4" w:space="0" w:color="auto"/>
            </w:tcBorders>
          </w:tcPr>
          <w:p w14:paraId="3AC699E2" w14:textId="77777777" w:rsidR="00846826" w:rsidRPr="00A202B4" w:rsidRDefault="00846826" w:rsidP="00FD020A">
            <w:pPr>
              <w:jc w:val="left"/>
              <w:rPr>
                <w:kern w:val="22"/>
                <w:lang w:val="es-ES_tradnl"/>
              </w:rPr>
            </w:pPr>
            <w:r w:rsidRPr="00A202B4">
              <w:rPr>
                <w:lang w:val="es-ES_tradnl"/>
              </w:rPr>
              <w:t>1) Establecimiento de sistemas nacionales funcionales para la manipulación, transporte, envasado e identificación, incluso con respecto a la documentación.</w:t>
            </w:r>
          </w:p>
          <w:p w14:paraId="700A4046" w14:textId="77777777" w:rsidR="00846826" w:rsidRPr="00A202B4" w:rsidRDefault="00846826" w:rsidP="00FD020A">
            <w:pPr>
              <w:jc w:val="left"/>
              <w:rPr>
                <w:kern w:val="22"/>
                <w:lang w:val="es-ES_tradnl"/>
              </w:rPr>
            </w:pPr>
          </w:p>
        </w:tc>
        <w:tc>
          <w:tcPr>
            <w:tcW w:w="3118" w:type="dxa"/>
            <w:tcBorders>
              <w:top w:val="single" w:sz="4" w:space="0" w:color="auto"/>
              <w:left w:val="single" w:sz="4" w:space="0" w:color="auto"/>
              <w:bottom w:val="single" w:sz="4" w:space="0" w:color="auto"/>
              <w:right w:val="single" w:sz="4" w:space="0" w:color="auto"/>
            </w:tcBorders>
          </w:tcPr>
          <w:p w14:paraId="5450C114" w14:textId="77777777" w:rsidR="00846826" w:rsidRPr="00A202B4" w:rsidRDefault="00846826" w:rsidP="00FD020A">
            <w:pPr>
              <w:jc w:val="left"/>
              <w:rPr>
                <w:kern w:val="22"/>
                <w:lang w:val="es-ES_tradnl"/>
              </w:rPr>
            </w:pPr>
            <w:r w:rsidRPr="00A202B4">
              <w:rPr>
                <w:kern w:val="22"/>
                <w:lang w:val="es-ES_tradnl"/>
              </w:rPr>
              <w:t>i) Proporcionar capacitación a autoridades nacionales competentes pertinentes sobre manipulación, transporte, envasado e identificación de OVM.</w:t>
            </w:r>
          </w:p>
          <w:p w14:paraId="390BFBA6" w14:textId="77777777" w:rsidR="00846826" w:rsidRPr="00A202B4" w:rsidRDefault="00846826" w:rsidP="00FD020A">
            <w:pPr>
              <w:jc w:val="left"/>
              <w:rPr>
                <w:kern w:val="22"/>
                <w:lang w:val="es-ES_tradnl"/>
              </w:rPr>
            </w:pPr>
          </w:p>
        </w:tc>
        <w:tc>
          <w:tcPr>
            <w:tcW w:w="3261" w:type="dxa"/>
            <w:tcBorders>
              <w:top w:val="single" w:sz="4" w:space="0" w:color="auto"/>
              <w:left w:val="single" w:sz="4" w:space="0" w:color="auto"/>
              <w:bottom w:val="single" w:sz="4" w:space="0" w:color="auto"/>
              <w:right w:val="single" w:sz="4" w:space="0" w:color="auto"/>
            </w:tcBorders>
          </w:tcPr>
          <w:p w14:paraId="1BC1F1EA" w14:textId="77777777" w:rsidR="00846826" w:rsidRPr="00A202B4" w:rsidRDefault="00846826" w:rsidP="00FD020A">
            <w:pPr>
              <w:jc w:val="left"/>
              <w:rPr>
                <w:kern w:val="22"/>
                <w:lang w:val="es-ES_tradnl"/>
              </w:rPr>
            </w:pPr>
            <w:r w:rsidRPr="00A202B4">
              <w:rPr>
                <w:lang w:val="es-ES_tradnl"/>
              </w:rPr>
              <w:t>a) Porcentaje de Partes con personal capacitado en la verificación de los documentos que acompañan a los envíos de OVM;</w:t>
            </w:r>
          </w:p>
          <w:p w14:paraId="7A6A52FB" w14:textId="77777777" w:rsidR="00846826" w:rsidRPr="00A202B4" w:rsidRDefault="00846826" w:rsidP="00FD020A">
            <w:pPr>
              <w:jc w:val="left"/>
              <w:rPr>
                <w:lang w:val="es-ES_tradnl"/>
              </w:rPr>
            </w:pPr>
            <w:r w:rsidRPr="00A202B4">
              <w:rPr>
                <w:lang w:val="es-ES_tradnl"/>
              </w:rPr>
              <w:t>b) Porcentaje de Partes que han recibido capacitación sobre manipulación, transporte, envasado e identificación de OVM.</w:t>
            </w:r>
          </w:p>
        </w:tc>
        <w:tc>
          <w:tcPr>
            <w:tcW w:w="2835" w:type="dxa"/>
            <w:tcBorders>
              <w:top w:val="single" w:sz="4" w:space="0" w:color="auto"/>
              <w:left w:val="single" w:sz="4" w:space="0" w:color="auto"/>
              <w:bottom w:val="single" w:sz="4" w:space="0" w:color="auto"/>
              <w:right w:val="single" w:sz="4" w:space="0" w:color="auto"/>
            </w:tcBorders>
          </w:tcPr>
          <w:p w14:paraId="5BFE5121" w14:textId="57E6C9FE" w:rsidR="00846826" w:rsidRPr="00A202B4" w:rsidRDefault="00846826" w:rsidP="00FD020A">
            <w:pPr>
              <w:jc w:val="left"/>
              <w:rPr>
                <w:kern w:val="22"/>
                <w:lang w:val="es-ES_tradnl"/>
              </w:rPr>
            </w:pPr>
            <w:r w:rsidRPr="00A202B4">
              <w:rPr>
                <w:kern w:val="22"/>
                <w:lang w:val="es-ES_tradnl"/>
              </w:rPr>
              <w:t>Mediante la manipulación, transporte, envasado e identificación adecuados de los OVM, las Partes son capaces de gestionar con seguridad los movimientos transfronterizos intencionales de OVM</w:t>
            </w:r>
            <w:r w:rsidR="00FF4CAD">
              <w:rPr>
                <w:kern w:val="22"/>
                <w:lang w:val="es-ES_tradnl"/>
              </w:rPr>
              <w:t>.</w:t>
            </w:r>
          </w:p>
          <w:p w14:paraId="467B5932" w14:textId="77777777" w:rsidR="00846826" w:rsidRPr="00A202B4" w:rsidRDefault="00846826" w:rsidP="00FD020A">
            <w:pPr>
              <w:jc w:val="left"/>
              <w:rPr>
                <w:kern w:val="22"/>
                <w:lang w:val="es-ES_tradnl"/>
              </w:rPr>
            </w:pPr>
          </w:p>
        </w:tc>
      </w:tr>
      <w:tr w:rsidR="00846826" w:rsidRPr="00A202B4" w14:paraId="3F7CB693" w14:textId="77777777" w:rsidTr="00FD020A">
        <w:trPr>
          <w:jc w:val="center"/>
        </w:trPr>
        <w:tc>
          <w:tcPr>
            <w:tcW w:w="1795" w:type="dxa"/>
            <w:tcBorders>
              <w:top w:val="single" w:sz="4" w:space="0" w:color="auto"/>
              <w:left w:val="single" w:sz="4" w:space="0" w:color="auto"/>
              <w:bottom w:val="single" w:sz="4" w:space="0" w:color="auto"/>
              <w:right w:val="single" w:sz="4" w:space="0" w:color="auto"/>
            </w:tcBorders>
          </w:tcPr>
          <w:p w14:paraId="46876018" w14:textId="77777777" w:rsidR="00846826" w:rsidRPr="00A202B4" w:rsidRDefault="00846826" w:rsidP="00FD020A">
            <w:pPr>
              <w:jc w:val="left"/>
              <w:rPr>
                <w:lang w:val="es-ES_tradnl"/>
              </w:rPr>
            </w:pPr>
            <w:r w:rsidRPr="00A202B4">
              <w:rPr>
                <w:b/>
                <w:bCs/>
                <w:kern w:val="22"/>
                <w:lang w:val="es-ES_tradnl"/>
              </w:rPr>
              <w:lastRenderedPageBreak/>
              <w:t>A.8. Las Partes tienen capacidad para detectar e identificar OVM</w:t>
            </w:r>
          </w:p>
        </w:tc>
        <w:tc>
          <w:tcPr>
            <w:tcW w:w="2453" w:type="dxa"/>
            <w:tcBorders>
              <w:top w:val="single" w:sz="4" w:space="0" w:color="auto"/>
              <w:left w:val="single" w:sz="4" w:space="0" w:color="auto"/>
              <w:bottom w:val="single" w:sz="4" w:space="0" w:color="auto"/>
              <w:right w:val="single" w:sz="4" w:space="0" w:color="auto"/>
            </w:tcBorders>
            <w:vAlign w:val="center"/>
          </w:tcPr>
          <w:p w14:paraId="527E4F56" w14:textId="77777777" w:rsidR="00846826" w:rsidRPr="00A202B4" w:rsidRDefault="00846826" w:rsidP="00FD020A">
            <w:pPr>
              <w:jc w:val="left"/>
              <w:rPr>
                <w:kern w:val="22"/>
                <w:lang w:val="es-ES_tradnl"/>
              </w:rPr>
            </w:pPr>
            <w:r w:rsidRPr="00A202B4">
              <w:rPr>
                <w:kern w:val="22"/>
                <w:lang w:val="es-ES_tradnl"/>
              </w:rPr>
              <w:t>1) Desarrollo, según sea necesario, y acceso a materiales de referencia, procedimientos e información para el muestreo, detección e identificación de OVM;</w:t>
            </w:r>
          </w:p>
          <w:p w14:paraId="52B66F2E" w14:textId="77777777" w:rsidR="00846826" w:rsidRPr="00A202B4" w:rsidRDefault="00846826" w:rsidP="00FD020A">
            <w:pPr>
              <w:jc w:val="left"/>
              <w:rPr>
                <w:kern w:val="22"/>
                <w:lang w:val="es-ES_tradnl"/>
              </w:rPr>
            </w:pPr>
            <w:r w:rsidRPr="00A202B4">
              <w:rPr>
                <w:kern w:val="22"/>
                <w:lang w:val="es-ES_tradnl"/>
              </w:rPr>
              <w:t>2) Fortalecimiento de las capacidades de los funcionarios y el personal de los laboratorios en materia de muestreo, detección e identificación;</w:t>
            </w:r>
          </w:p>
          <w:p w14:paraId="3BD428DA" w14:textId="77777777" w:rsidR="00846826" w:rsidRPr="00A202B4" w:rsidRDefault="00846826" w:rsidP="00FD020A">
            <w:pPr>
              <w:jc w:val="left"/>
              <w:rPr>
                <w:kern w:val="22"/>
                <w:lang w:val="es-ES_tradnl"/>
              </w:rPr>
            </w:pPr>
            <w:r w:rsidRPr="00A202B4">
              <w:rPr>
                <w:kern w:val="22"/>
                <w:lang w:val="es-ES_tradnl"/>
              </w:rPr>
              <w:t>3) Acceso a infraestructura técnica para la detección e identificación, incluidos materiales de referencia certificados;</w:t>
            </w:r>
          </w:p>
          <w:p w14:paraId="553017AC" w14:textId="77777777" w:rsidR="00846826" w:rsidRPr="00A202B4" w:rsidRDefault="00846826" w:rsidP="00FD020A">
            <w:pPr>
              <w:jc w:val="left"/>
              <w:rPr>
                <w:lang w:val="es-ES_tradnl"/>
              </w:rPr>
            </w:pPr>
            <w:r w:rsidRPr="00A202B4">
              <w:rPr>
                <w:kern w:val="22"/>
                <w:lang w:val="es-ES_tradnl"/>
              </w:rPr>
              <w:t>4) Fortalecimiento de la colaboración, incluso a través de redes de laboratorios.</w:t>
            </w:r>
          </w:p>
        </w:tc>
        <w:tc>
          <w:tcPr>
            <w:tcW w:w="3118" w:type="dxa"/>
            <w:tcBorders>
              <w:top w:val="single" w:sz="4" w:space="0" w:color="auto"/>
              <w:left w:val="single" w:sz="4" w:space="0" w:color="auto"/>
              <w:bottom w:val="single" w:sz="4" w:space="0" w:color="auto"/>
              <w:right w:val="single" w:sz="4" w:space="0" w:color="auto"/>
            </w:tcBorders>
          </w:tcPr>
          <w:p w14:paraId="31091194" w14:textId="77777777" w:rsidR="00846826" w:rsidRPr="00A202B4" w:rsidRDefault="00846826" w:rsidP="00FD020A">
            <w:pPr>
              <w:jc w:val="left"/>
              <w:rPr>
                <w:kern w:val="22"/>
                <w:lang w:val="es-ES_tradnl"/>
              </w:rPr>
            </w:pPr>
            <w:r w:rsidRPr="00A202B4">
              <w:rPr>
                <w:lang w:val="es-ES_tradnl"/>
              </w:rPr>
              <w:t>i) Impartir capacitación sobre metodologías y protocolos de muestreo, detección e identificación de OVM;</w:t>
            </w:r>
          </w:p>
          <w:p w14:paraId="43F42A6A" w14:textId="77777777" w:rsidR="00846826" w:rsidRPr="00A202B4" w:rsidRDefault="00846826" w:rsidP="00FD020A">
            <w:pPr>
              <w:jc w:val="left"/>
              <w:rPr>
                <w:kern w:val="22"/>
                <w:lang w:val="es-ES_tradnl"/>
              </w:rPr>
            </w:pPr>
            <w:r w:rsidRPr="00A202B4">
              <w:rPr>
                <w:lang w:val="es-ES_tradnl"/>
              </w:rPr>
              <w:t>ii) Establecer infraestructura y facilitar el acceso para la detección e identificación de OVM, incluidos laboratorios acreditados, materiales de referencia certificados e insumos;</w:t>
            </w:r>
          </w:p>
          <w:p w14:paraId="090C0193" w14:textId="77777777" w:rsidR="00846826" w:rsidRPr="00A202B4" w:rsidRDefault="00846826" w:rsidP="00FD020A">
            <w:pPr>
              <w:jc w:val="left"/>
              <w:rPr>
                <w:lang w:val="es-ES_tradnl"/>
              </w:rPr>
            </w:pPr>
            <w:r w:rsidRPr="00A202B4">
              <w:rPr>
                <w:lang w:val="es-ES_tradnl"/>
              </w:rPr>
              <w:t>iii) Establecer, fortalecer y mantener redes de laboratorios para la detección e identificación de OVM.</w:t>
            </w:r>
          </w:p>
        </w:tc>
        <w:tc>
          <w:tcPr>
            <w:tcW w:w="3261" w:type="dxa"/>
            <w:tcBorders>
              <w:top w:val="single" w:sz="4" w:space="0" w:color="auto"/>
              <w:left w:val="single" w:sz="4" w:space="0" w:color="auto"/>
              <w:bottom w:val="single" w:sz="4" w:space="0" w:color="auto"/>
              <w:right w:val="single" w:sz="4" w:space="0" w:color="auto"/>
            </w:tcBorders>
          </w:tcPr>
          <w:p w14:paraId="2CA50872" w14:textId="77777777" w:rsidR="00846826" w:rsidRPr="00A202B4" w:rsidRDefault="00846826" w:rsidP="00FD020A">
            <w:pPr>
              <w:jc w:val="left"/>
              <w:rPr>
                <w:kern w:val="22"/>
                <w:lang w:val="es-ES_tradnl"/>
              </w:rPr>
            </w:pPr>
            <w:r w:rsidRPr="00A202B4">
              <w:rPr>
                <w:lang w:val="es-ES_tradnl"/>
              </w:rPr>
              <w:t>a) Porcentaje de Partes que han recibido capacitación sobre métodos y protocolos de muestreo, detección e identificación de OVM;</w:t>
            </w:r>
          </w:p>
          <w:p w14:paraId="5241BF0D" w14:textId="77777777" w:rsidR="00846826" w:rsidRPr="00A202B4" w:rsidRDefault="00846826" w:rsidP="00FD020A">
            <w:pPr>
              <w:jc w:val="left"/>
              <w:rPr>
                <w:kern w:val="22"/>
                <w:lang w:val="es-ES_tradnl"/>
              </w:rPr>
            </w:pPr>
            <w:r w:rsidRPr="00A202B4">
              <w:rPr>
                <w:kern w:val="22"/>
                <w:lang w:val="es-ES_tradnl"/>
              </w:rPr>
              <w:t>b) Porcentaje de Partes que cuentan con acceso a infraestructura de muestreo, detección e identificación de OVM;</w:t>
            </w:r>
          </w:p>
          <w:p w14:paraId="3F4B340F" w14:textId="77777777" w:rsidR="00846826" w:rsidRPr="00A202B4" w:rsidRDefault="00846826" w:rsidP="00FD020A">
            <w:pPr>
              <w:jc w:val="left"/>
              <w:rPr>
                <w:kern w:val="22"/>
                <w:lang w:val="es-ES_tradnl"/>
              </w:rPr>
            </w:pPr>
            <w:r w:rsidRPr="00A202B4">
              <w:rPr>
                <w:kern w:val="22"/>
                <w:lang w:val="es-ES_tradnl"/>
              </w:rPr>
              <w:t>c) Porcentaje de Partes que han establecido laboratorios acreditados;</w:t>
            </w:r>
          </w:p>
          <w:p w14:paraId="4318F13A" w14:textId="77777777" w:rsidR="00846826" w:rsidRPr="00A202B4" w:rsidRDefault="00846826" w:rsidP="00FD020A">
            <w:pPr>
              <w:jc w:val="left"/>
              <w:rPr>
                <w:lang w:val="es-ES_tradnl"/>
              </w:rPr>
            </w:pPr>
            <w:r w:rsidRPr="00A202B4">
              <w:rPr>
                <w:lang w:val="es-ES_tradnl"/>
              </w:rPr>
              <w:t>d) Porcentaje de Partes que son miembros de redes de laboratorios para la detección e identificación de OVM.</w:t>
            </w:r>
          </w:p>
        </w:tc>
        <w:tc>
          <w:tcPr>
            <w:tcW w:w="2835" w:type="dxa"/>
            <w:tcBorders>
              <w:top w:val="single" w:sz="4" w:space="0" w:color="auto"/>
              <w:left w:val="single" w:sz="4" w:space="0" w:color="auto"/>
              <w:bottom w:val="single" w:sz="4" w:space="0" w:color="auto"/>
              <w:right w:val="single" w:sz="4" w:space="0" w:color="auto"/>
            </w:tcBorders>
          </w:tcPr>
          <w:p w14:paraId="2EEB0661" w14:textId="01F81F3D" w:rsidR="00846826" w:rsidRPr="00A202B4" w:rsidRDefault="00846826" w:rsidP="00FD020A">
            <w:pPr>
              <w:jc w:val="left"/>
              <w:rPr>
                <w:kern w:val="22"/>
                <w:lang w:val="es-ES_tradnl"/>
              </w:rPr>
            </w:pPr>
            <w:r w:rsidRPr="00A202B4">
              <w:rPr>
                <w:kern w:val="22"/>
                <w:lang w:val="es-ES_tradnl"/>
              </w:rPr>
              <w:t>Mediante la detección e identificación de OVM, las Partes pueden responder a los movimientos transfronterizos involuntarios e ilícitos y cumplir los requisitos de manipulación, transporte, envasado e identificación de conformidad con el Protocolo</w:t>
            </w:r>
            <w:r w:rsidR="00FF4CAD">
              <w:rPr>
                <w:kern w:val="22"/>
                <w:lang w:val="es-ES_tradnl"/>
              </w:rPr>
              <w:t>.</w:t>
            </w:r>
          </w:p>
          <w:p w14:paraId="09607595" w14:textId="77777777" w:rsidR="00846826" w:rsidRPr="00A202B4" w:rsidRDefault="00846826" w:rsidP="00FD020A">
            <w:pPr>
              <w:jc w:val="left"/>
              <w:rPr>
                <w:kern w:val="22"/>
                <w:lang w:val="es-ES_tradnl"/>
              </w:rPr>
            </w:pPr>
          </w:p>
          <w:p w14:paraId="08BC6BB5" w14:textId="2247363A" w:rsidR="00846826" w:rsidRPr="00A202B4" w:rsidRDefault="00846826" w:rsidP="00FF4CAD">
            <w:pPr>
              <w:jc w:val="left"/>
              <w:rPr>
                <w:kern w:val="22"/>
                <w:lang w:val="es-ES_tradnl"/>
              </w:rPr>
            </w:pPr>
            <w:r w:rsidRPr="00A202B4">
              <w:rPr>
                <w:kern w:val="22"/>
                <w:lang w:val="es-ES_tradnl"/>
              </w:rPr>
              <w:t>Al compartir información y programas de control de calidad en redes de laboratorios, se promueven resultados analíticos precisos, sólidos y fiables y procedimientos eficientes.</w:t>
            </w:r>
          </w:p>
        </w:tc>
      </w:tr>
      <w:tr w:rsidR="00846826" w:rsidRPr="00A202B4" w14:paraId="53389B71" w14:textId="77777777" w:rsidTr="00FD020A">
        <w:trPr>
          <w:trHeight w:val="752"/>
          <w:jc w:val="center"/>
        </w:trPr>
        <w:tc>
          <w:tcPr>
            <w:tcW w:w="1795" w:type="dxa"/>
            <w:tcBorders>
              <w:top w:val="single" w:sz="4" w:space="0" w:color="auto"/>
              <w:left w:val="single" w:sz="4" w:space="0" w:color="auto"/>
              <w:bottom w:val="single" w:sz="4" w:space="0" w:color="auto"/>
              <w:right w:val="single" w:sz="4" w:space="0" w:color="auto"/>
            </w:tcBorders>
          </w:tcPr>
          <w:p w14:paraId="2E750B9B" w14:textId="77777777" w:rsidR="00846826" w:rsidRPr="00A202B4" w:rsidRDefault="00846826" w:rsidP="00FD020A">
            <w:pPr>
              <w:jc w:val="left"/>
              <w:rPr>
                <w:lang w:val="es-ES_tradnl"/>
              </w:rPr>
            </w:pPr>
            <w:r w:rsidRPr="00A202B4">
              <w:rPr>
                <w:b/>
                <w:bCs/>
                <w:kern w:val="22"/>
                <w:lang w:val="es-ES_tradnl"/>
              </w:rPr>
              <w:t xml:space="preserve">A.9. Las Partes que así lo deciden, tienen en cuenta consideraciones socioeconómicas al tomar decisiones sobre la importación </w:t>
            </w:r>
            <w:r w:rsidRPr="00A202B4">
              <w:rPr>
                <w:b/>
                <w:bCs/>
                <w:kern w:val="22"/>
                <w:lang w:val="es-ES_tradnl"/>
              </w:rPr>
              <w:lastRenderedPageBreak/>
              <w:t>de OVM y cooperan en la investigación e intercambio de información de conformidad con el artículo 26 del Protocolo</w:t>
            </w:r>
          </w:p>
        </w:tc>
        <w:tc>
          <w:tcPr>
            <w:tcW w:w="2453" w:type="dxa"/>
            <w:tcBorders>
              <w:top w:val="single" w:sz="4" w:space="0" w:color="auto"/>
              <w:left w:val="single" w:sz="4" w:space="0" w:color="auto"/>
              <w:bottom w:val="single" w:sz="4" w:space="0" w:color="auto"/>
              <w:right w:val="single" w:sz="4" w:space="0" w:color="auto"/>
            </w:tcBorders>
          </w:tcPr>
          <w:p w14:paraId="5B4B09DB" w14:textId="77777777" w:rsidR="00846826" w:rsidRPr="00A202B4" w:rsidRDefault="00846826" w:rsidP="00FD020A">
            <w:pPr>
              <w:jc w:val="left"/>
              <w:rPr>
                <w:kern w:val="22"/>
                <w:lang w:val="es-ES_tradnl"/>
              </w:rPr>
            </w:pPr>
            <w:r w:rsidRPr="00A202B4">
              <w:rPr>
                <w:kern w:val="22"/>
                <w:lang w:val="es-ES_tradnl"/>
              </w:rPr>
              <w:lastRenderedPageBreak/>
              <w:t>1) Fortalecimiento de la capacidad para tener en cuenta consideraciones socioeconómicas de conformidad con el artículo 26;</w:t>
            </w:r>
          </w:p>
          <w:p w14:paraId="68C5FA83" w14:textId="77777777" w:rsidR="00846826" w:rsidRPr="00A202B4" w:rsidRDefault="00846826" w:rsidP="00FD020A">
            <w:pPr>
              <w:jc w:val="left"/>
              <w:rPr>
                <w:lang w:val="es-ES_tradnl"/>
              </w:rPr>
            </w:pPr>
            <w:r w:rsidRPr="00A202B4">
              <w:rPr>
                <w:kern w:val="22"/>
                <w:lang w:val="es-ES_tradnl"/>
              </w:rPr>
              <w:t xml:space="preserve">2) Desarrollo y acceso a materiales de referencia </w:t>
            </w:r>
            <w:r w:rsidRPr="00A202B4">
              <w:rPr>
                <w:kern w:val="22"/>
                <w:lang w:val="es-ES_tradnl"/>
              </w:rPr>
              <w:lastRenderedPageBreak/>
              <w:t>sobre consideraciones socioeconómicas.</w:t>
            </w:r>
          </w:p>
        </w:tc>
        <w:tc>
          <w:tcPr>
            <w:tcW w:w="3118" w:type="dxa"/>
            <w:tcBorders>
              <w:top w:val="single" w:sz="4" w:space="0" w:color="auto"/>
              <w:left w:val="single" w:sz="4" w:space="0" w:color="auto"/>
              <w:bottom w:val="single" w:sz="4" w:space="0" w:color="auto"/>
              <w:right w:val="single" w:sz="4" w:space="0" w:color="auto"/>
            </w:tcBorders>
          </w:tcPr>
          <w:p w14:paraId="0E285945" w14:textId="77777777" w:rsidR="00846826" w:rsidRPr="00A202B4" w:rsidRDefault="00846826" w:rsidP="00FD020A">
            <w:pPr>
              <w:jc w:val="left"/>
              <w:rPr>
                <w:kern w:val="22"/>
                <w:lang w:val="es-ES_tradnl"/>
              </w:rPr>
            </w:pPr>
            <w:r w:rsidRPr="00A202B4">
              <w:rPr>
                <w:kern w:val="22"/>
                <w:lang w:val="es-ES_tradnl"/>
              </w:rPr>
              <w:lastRenderedPageBreak/>
              <w:t>i) Proporcionar capacitación a las autoridades nacionales pertinentes sobre la forma de tener en cuenta consideraciones socioeconómicas, de conformidad con el artículo 26;</w:t>
            </w:r>
          </w:p>
          <w:p w14:paraId="3CF57233" w14:textId="77777777" w:rsidR="00846826" w:rsidRPr="00A202B4" w:rsidRDefault="00846826" w:rsidP="00FD020A">
            <w:pPr>
              <w:jc w:val="left"/>
              <w:rPr>
                <w:kern w:val="22"/>
                <w:lang w:val="es-ES_tradnl"/>
              </w:rPr>
            </w:pPr>
            <w:r w:rsidRPr="00A202B4">
              <w:rPr>
                <w:kern w:val="22"/>
                <w:lang w:val="es-ES_tradnl"/>
              </w:rPr>
              <w:t xml:space="preserve">ii) Elaborar, según sea necesario, y actualizar y difundir materiales de capacitación sobre </w:t>
            </w:r>
            <w:r w:rsidRPr="00A202B4">
              <w:rPr>
                <w:kern w:val="22"/>
                <w:lang w:val="es-ES_tradnl"/>
              </w:rPr>
              <w:lastRenderedPageBreak/>
              <w:t>consideraciones socioeconómicas;</w:t>
            </w:r>
          </w:p>
          <w:p w14:paraId="2F2AE8F8" w14:textId="77777777" w:rsidR="00846826" w:rsidRPr="00A202B4" w:rsidRDefault="00846826" w:rsidP="00FD020A">
            <w:pPr>
              <w:jc w:val="left"/>
              <w:rPr>
                <w:kern w:val="22"/>
                <w:lang w:val="es-ES_tradnl"/>
              </w:rPr>
            </w:pPr>
            <w:r w:rsidRPr="00A202B4">
              <w:rPr>
                <w:kern w:val="22"/>
                <w:lang w:val="es-ES_tradnl"/>
              </w:rPr>
              <w:t>iii) Compartir experiencias y enfoques para tener en cuenta consideraciones socioeconómicas;</w:t>
            </w:r>
          </w:p>
          <w:p w14:paraId="1C382ECA" w14:textId="77777777" w:rsidR="00846826" w:rsidRPr="00A202B4" w:rsidRDefault="00846826" w:rsidP="00FD020A">
            <w:pPr>
              <w:jc w:val="left"/>
              <w:rPr>
                <w:lang w:val="es-ES_tradnl"/>
              </w:rPr>
            </w:pPr>
            <w:r w:rsidRPr="00A202B4">
              <w:rPr>
                <w:lang w:val="es-ES_tradnl"/>
              </w:rPr>
              <w:t>iv) Establecer instancias de cooperación con el sector académico, otros interesados y pueblos indígenas y comunidades locales en materia de investigación e intercambio de información sobre cualquier consideración socioeconómica derivada de los efectos de los OVM en la conservación y utilización sostenible de la diversidad biológica, especialmente en los pueblos indígenas y comunidades locales.</w:t>
            </w:r>
          </w:p>
        </w:tc>
        <w:tc>
          <w:tcPr>
            <w:tcW w:w="3261" w:type="dxa"/>
            <w:tcBorders>
              <w:top w:val="single" w:sz="4" w:space="0" w:color="auto"/>
              <w:left w:val="single" w:sz="4" w:space="0" w:color="auto"/>
              <w:bottom w:val="single" w:sz="4" w:space="0" w:color="auto"/>
              <w:right w:val="single" w:sz="4" w:space="0" w:color="auto"/>
            </w:tcBorders>
          </w:tcPr>
          <w:p w14:paraId="3267B3CE" w14:textId="77777777" w:rsidR="00846826" w:rsidRPr="00A202B4" w:rsidRDefault="00846826" w:rsidP="00FD020A">
            <w:pPr>
              <w:jc w:val="left"/>
              <w:rPr>
                <w:kern w:val="22"/>
                <w:lang w:val="es-ES_tradnl"/>
              </w:rPr>
            </w:pPr>
            <w:r w:rsidRPr="00A202B4">
              <w:rPr>
                <w:lang w:val="es-ES_tradnl"/>
              </w:rPr>
              <w:lastRenderedPageBreak/>
              <w:t xml:space="preserve">a) Porcentaje de autoridades nacionales competentes de las Partes que tienen acceso a capacitación adecuada para tener en cuenta consideraciones socioeconómicas, especialmente en lo que respecta al valor de la diversidad biológica para los </w:t>
            </w:r>
            <w:r w:rsidRPr="00A202B4">
              <w:rPr>
                <w:lang w:val="es-ES_tradnl"/>
              </w:rPr>
              <w:lastRenderedPageBreak/>
              <w:t>pueblos indígenas y las comunidades locales;</w:t>
            </w:r>
          </w:p>
          <w:p w14:paraId="4F69B70F" w14:textId="77777777" w:rsidR="00846826" w:rsidRPr="00A202B4" w:rsidRDefault="00846826" w:rsidP="00FD020A">
            <w:pPr>
              <w:jc w:val="left"/>
              <w:rPr>
                <w:kern w:val="22"/>
                <w:lang w:val="es-ES_tradnl"/>
              </w:rPr>
            </w:pPr>
            <w:r w:rsidRPr="00A202B4">
              <w:rPr>
                <w:kern w:val="22"/>
                <w:lang w:val="es-ES_tradnl"/>
              </w:rPr>
              <w:t>b) Número de materiales de capacitación sobre consideraciones socioeconómicas elaborados, actualizados y difundidos;</w:t>
            </w:r>
          </w:p>
          <w:p w14:paraId="25A09065" w14:textId="77777777" w:rsidR="00846826" w:rsidRPr="00A202B4" w:rsidRDefault="00846826" w:rsidP="00FD020A">
            <w:pPr>
              <w:jc w:val="left"/>
              <w:rPr>
                <w:kern w:val="22"/>
                <w:lang w:val="es-ES_tradnl"/>
              </w:rPr>
            </w:pPr>
            <w:r w:rsidRPr="00A202B4">
              <w:rPr>
                <w:kern w:val="22"/>
                <w:lang w:val="es-ES_tradnl"/>
              </w:rPr>
              <w:t>c) Porcentaje de Partes que comparten sus experiencias en materia de consideraciones socioeconómicas y los enfoques para tenerlas en cuenta;</w:t>
            </w:r>
          </w:p>
          <w:p w14:paraId="1BD03348" w14:textId="77777777" w:rsidR="00846826" w:rsidRPr="00A202B4" w:rsidRDefault="00846826" w:rsidP="00FD020A">
            <w:pPr>
              <w:jc w:val="left"/>
              <w:rPr>
                <w:lang w:val="es-ES_tradnl"/>
              </w:rPr>
            </w:pPr>
            <w:r w:rsidRPr="00A202B4">
              <w:rPr>
                <w:lang w:val="es-ES_tradnl"/>
              </w:rPr>
              <w:t>d) Porcentaje de Partes que han establecido instancias de colaboración con instituciones académicas que cuentan con la experiencia necesaria en evaluaciones socioeconómicas y con los pueblos indígenas y las comunidades locales.</w:t>
            </w:r>
          </w:p>
        </w:tc>
        <w:tc>
          <w:tcPr>
            <w:tcW w:w="2835" w:type="dxa"/>
            <w:tcBorders>
              <w:top w:val="single" w:sz="4" w:space="0" w:color="auto"/>
              <w:left w:val="single" w:sz="4" w:space="0" w:color="auto"/>
              <w:bottom w:val="single" w:sz="4" w:space="0" w:color="auto"/>
              <w:right w:val="single" w:sz="4" w:space="0" w:color="auto"/>
            </w:tcBorders>
          </w:tcPr>
          <w:p w14:paraId="0BA7A681" w14:textId="32C83DE2" w:rsidR="00846826" w:rsidRPr="00A202B4" w:rsidRDefault="00846826" w:rsidP="00FD020A">
            <w:pPr>
              <w:jc w:val="left"/>
              <w:rPr>
                <w:kern w:val="22"/>
                <w:lang w:val="es-ES_tradnl"/>
              </w:rPr>
            </w:pPr>
            <w:r w:rsidRPr="00A202B4">
              <w:rPr>
                <w:lang w:val="es-ES_tradnl"/>
              </w:rPr>
              <w:lastRenderedPageBreak/>
              <w:t>Las Partes que así lo deciden, tienen en cuenta consideraciones socioeconómicas de conformidad con el artículo 26 en la adopción de decisiones sobre las importaciones de OVM</w:t>
            </w:r>
            <w:r w:rsidR="00FF4CAD">
              <w:rPr>
                <w:kern w:val="22"/>
                <w:lang w:val="es-ES_tradnl"/>
              </w:rPr>
              <w:t>.</w:t>
            </w:r>
          </w:p>
          <w:p w14:paraId="39AB65ED" w14:textId="1FBE1A0E" w:rsidR="00846826" w:rsidRPr="00A202B4" w:rsidRDefault="00846826" w:rsidP="00FD020A">
            <w:pPr>
              <w:jc w:val="left"/>
              <w:rPr>
                <w:kern w:val="22"/>
                <w:lang w:val="es-ES_tradnl"/>
              </w:rPr>
            </w:pPr>
            <w:r w:rsidRPr="00A202B4">
              <w:rPr>
                <w:kern w:val="22"/>
                <w:lang w:val="es-ES_tradnl"/>
              </w:rPr>
              <w:lastRenderedPageBreak/>
              <w:t>Las Partes comparten experiencias acerca de la forma de tener en cuenta consideraciones socioeconómicas</w:t>
            </w:r>
            <w:r w:rsidR="00FF4CAD">
              <w:rPr>
                <w:kern w:val="22"/>
                <w:lang w:val="es-ES_tradnl"/>
              </w:rPr>
              <w:t>.</w:t>
            </w:r>
          </w:p>
          <w:p w14:paraId="7F71FE60" w14:textId="77777777" w:rsidR="00846826" w:rsidRPr="00A202B4" w:rsidRDefault="00846826" w:rsidP="00FD020A">
            <w:pPr>
              <w:jc w:val="left"/>
              <w:rPr>
                <w:kern w:val="22"/>
                <w:lang w:val="es-ES_tradnl"/>
              </w:rPr>
            </w:pPr>
          </w:p>
        </w:tc>
      </w:tr>
      <w:tr w:rsidR="00846826" w:rsidRPr="00A202B4" w14:paraId="0728E373" w14:textId="77777777" w:rsidTr="00FD020A">
        <w:trPr>
          <w:jc w:val="center"/>
        </w:trPr>
        <w:tc>
          <w:tcPr>
            <w:tcW w:w="1795" w:type="dxa"/>
            <w:tcBorders>
              <w:top w:val="single" w:sz="4" w:space="0" w:color="auto"/>
              <w:left w:val="single" w:sz="4" w:space="0" w:color="auto"/>
              <w:bottom w:val="single" w:sz="4" w:space="0" w:color="auto"/>
              <w:right w:val="single" w:sz="4" w:space="0" w:color="auto"/>
            </w:tcBorders>
          </w:tcPr>
          <w:p w14:paraId="3DB00D8D" w14:textId="77777777" w:rsidR="00846826" w:rsidRPr="00A202B4" w:rsidRDefault="00846826" w:rsidP="00FD020A">
            <w:pPr>
              <w:jc w:val="left"/>
              <w:rPr>
                <w:rFonts w:ascii="Times New Roman Bold" w:hAnsi="Times New Roman Bold"/>
                <w:spacing w:val="-4"/>
                <w:lang w:val="es-ES_tradnl"/>
              </w:rPr>
            </w:pPr>
            <w:r w:rsidRPr="00A202B4">
              <w:rPr>
                <w:rFonts w:ascii="Times New Roman Bold" w:hAnsi="Times New Roman Bold"/>
                <w:b/>
                <w:bCs/>
                <w:spacing w:val="-4"/>
                <w:kern w:val="22"/>
                <w:lang w:val="es-ES_tradnl"/>
              </w:rPr>
              <w:lastRenderedPageBreak/>
              <w:t xml:space="preserve">A.10. Las Partes en el Protocolo de Cartagena que se convierten en Partes en el Protocolo Suplementario de Nagoya – Kuala Lumpur sobre Responsabilidad y Compensación </w:t>
            </w:r>
            <w:r w:rsidRPr="00A202B4">
              <w:rPr>
                <w:rFonts w:ascii="Times New Roman Bold" w:hAnsi="Times New Roman Bold"/>
                <w:b/>
                <w:bCs/>
                <w:spacing w:val="-4"/>
                <w:kern w:val="22"/>
                <w:lang w:val="es-ES_tradnl"/>
              </w:rPr>
              <w:lastRenderedPageBreak/>
              <w:t>han establecido medidas para cumplir con sus obligaciones en virtud del Protocolo Suplementario</w:t>
            </w:r>
          </w:p>
        </w:tc>
        <w:tc>
          <w:tcPr>
            <w:tcW w:w="2453" w:type="dxa"/>
            <w:tcBorders>
              <w:top w:val="single" w:sz="4" w:space="0" w:color="auto"/>
              <w:left w:val="single" w:sz="4" w:space="0" w:color="auto"/>
              <w:bottom w:val="single" w:sz="4" w:space="0" w:color="auto"/>
              <w:right w:val="single" w:sz="4" w:space="0" w:color="auto"/>
            </w:tcBorders>
          </w:tcPr>
          <w:p w14:paraId="2604A959" w14:textId="77777777" w:rsidR="00846826" w:rsidRPr="00A202B4" w:rsidRDefault="00846826" w:rsidP="00FD020A">
            <w:pPr>
              <w:jc w:val="left"/>
              <w:rPr>
                <w:kern w:val="22"/>
                <w:lang w:val="es-ES_tradnl"/>
              </w:rPr>
            </w:pPr>
            <w:r w:rsidRPr="00A202B4">
              <w:rPr>
                <w:kern w:val="22"/>
                <w:lang w:val="es-ES_tradnl"/>
              </w:rPr>
              <w:lastRenderedPageBreak/>
              <w:t>1) Apoyo a las Partes en el Protocolo de Cartagena para que ratifiquen el Protocolo Suplementario;</w:t>
            </w:r>
          </w:p>
          <w:p w14:paraId="1BE18DFB" w14:textId="77777777" w:rsidR="00846826" w:rsidRPr="00A202B4" w:rsidRDefault="00846826" w:rsidP="00FD020A">
            <w:pPr>
              <w:jc w:val="left"/>
              <w:rPr>
                <w:b/>
                <w:bCs/>
                <w:kern w:val="22"/>
                <w:lang w:val="es-ES_tradnl"/>
              </w:rPr>
            </w:pPr>
          </w:p>
          <w:p w14:paraId="37109713" w14:textId="77777777" w:rsidR="00846826" w:rsidRPr="00A202B4" w:rsidRDefault="00846826" w:rsidP="00FD020A">
            <w:pPr>
              <w:jc w:val="left"/>
              <w:rPr>
                <w:b/>
                <w:bCs/>
                <w:kern w:val="22"/>
                <w:lang w:val="es-ES_tradnl"/>
              </w:rPr>
            </w:pPr>
            <w:r w:rsidRPr="00A202B4">
              <w:rPr>
                <w:b/>
                <w:bCs/>
                <w:kern w:val="22"/>
                <w:lang w:val="es-ES_tradnl"/>
              </w:rPr>
              <w:t>Para las Partes en el Protocolo Suplementario:</w:t>
            </w:r>
          </w:p>
          <w:p w14:paraId="128072EC" w14:textId="77777777" w:rsidR="00846826" w:rsidRPr="00A202B4" w:rsidRDefault="00846826" w:rsidP="00FD020A">
            <w:pPr>
              <w:jc w:val="left"/>
              <w:rPr>
                <w:kern w:val="22"/>
                <w:lang w:val="es-ES_tradnl"/>
              </w:rPr>
            </w:pPr>
            <w:r w:rsidRPr="00A202B4">
              <w:rPr>
                <w:kern w:val="22"/>
                <w:lang w:val="es-ES_tradnl"/>
              </w:rPr>
              <w:t xml:space="preserve">2) Desarrollo de medidas nacionales jurídicas, administrativas y de otra </w:t>
            </w:r>
            <w:r w:rsidRPr="00A202B4">
              <w:rPr>
                <w:kern w:val="22"/>
                <w:lang w:val="es-ES_tradnl"/>
              </w:rPr>
              <w:lastRenderedPageBreak/>
              <w:t>índole para aplicar el Protocolo Suplementario;</w:t>
            </w:r>
          </w:p>
          <w:p w14:paraId="64C571FE" w14:textId="77777777" w:rsidR="00846826" w:rsidRPr="00A202B4" w:rsidRDefault="00846826" w:rsidP="00FD020A">
            <w:pPr>
              <w:jc w:val="left"/>
              <w:rPr>
                <w:kern w:val="22"/>
                <w:lang w:val="es-ES_tradnl"/>
              </w:rPr>
            </w:pPr>
            <w:r w:rsidRPr="00A202B4">
              <w:rPr>
                <w:kern w:val="22"/>
                <w:lang w:val="es-ES_tradnl"/>
              </w:rPr>
              <w:t>3) Elaboración y acceso a materiales de referencia, experiencias y lecciones aprendidas en relación con la aplicación del Protocolo Suplementario;</w:t>
            </w:r>
          </w:p>
          <w:p w14:paraId="05B30833" w14:textId="77777777" w:rsidR="00846826" w:rsidRPr="00A202B4" w:rsidRDefault="00846826" w:rsidP="00FD020A">
            <w:pPr>
              <w:jc w:val="left"/>
              <w:rPr>
                <w:kern w:val="22"/>
                <w:lang w:val="es-ES_tradnl"/>
              </w:rPr>
            </w:pPr>
            <w:r w:rsidRPr="00A202B4">
              <w:rPr>
                <w:kern w:val="22"/>
                <w:lang w:val="es-ES_tradnl"/>
              </w:rPr>
              <w:t>4) Fortalecimiento de las capacidades de las autoridades competentes de las Partes en el Protocolo Suplementario para cumplir sus funciones;</w:t>
            </w:r>
          </w:p>
          <w:p w14:paraId="404E47B9" w14:textId="77777777" w:rsidR="00846826" w:rsidRPr="00A202B4" w:rsidRDefault="00846826" w:rsidP="00FD020A">
            <w:pPr>
              <w:jc w:val="left"/>
              <w:rPr>
                <w:lang w:val="es-ES_tradnl"/>
              </w:rPr>
            </w:pPr>
            <w:r w:rsidRPr="00A202B4">
              <w:rPr>
                <w:kern w:val="22"/>
                <w:lang w:val="es-ES_tradnl"/>
              </w:rPr>
              <w:t>5) Desarrollo o identificación de valores de referencia sobre el estado de la diversidad biológica.</w:t>
            </w:r>
          </w:p>
        </w:tc>
        <w:tc>
          <w:tcPr>
            <w:tcW w:w="3118" w:type="dxa"/>
            <w:tcBorders>
              <w:top w:val="single" w:sz="4" w:space="0" w:color="auto"/>
              <w:left w:val="single" w:sz="4" w:space="0" w:color="auto"/>
              <w:bottom w:val="single" w:sz="4" w:space="0" w:color="auto"/>
              <w:right w:val="single" w:sz="4" w:space="0" w:color="auto"/>
            </w:tcBorders>
          </w:tcPr>
          <w:p w14:paraId="16224AB8" w14:textId="77777777" w:rsidR="00846826" w:rsidRPr="00A202B4" w:rsidRDefault="00846826" w:rsidP="00FD020A">
            <w:pPr>
              <w:jc w:val="left"/>
              <w:rPr>
                <w:kern w:val="22"/>
                <w:lang w:val="es-ES_tradnl"/>
              </w:rPr>
            </w:pPr>
            <w:r w:rsidRPr="00A202B4">
              <w:rPr>
                <w:lang w:val="es-ES_tradnl"/>
              </w:rPr>
              <w:lastRenderedPageBreak/>
              <w:t>i) Proporcionar capacitación en materia de concienciación sobre el Protocolo Suplementario para apoyar su ratificación y aplicación;</w:t>
            </w:r>
          </w:p>
          <w:p w14:paraId="3C992566" w14:textId="77777777" w:rsidR="00846826" w:rsidRPr="00A202B4" w:rsidRDefault="00846826" w:rsidP="00FD020A">
            <w:pPr>
              <w:jc w:val="left"/>
              <w:rPr>
                <w:b/>
                <w:bCs/>
                <w:kern w:val="22"/>
                <w:lang w:val="es-ES_tradnl"/>
              </w:rPr>
            </w:pPr>
          </w:p>
          <w:p w14:paraId="5A3C8881" w14:textId="77777777" w:rsidR="00846826" w:rsidRPr="00A202B4" w:rsidRDefault="00846826" w:rsidP="00FD020A">
            <w:pPr>
              <w:jc w:val="left"/>
              <w:rPr>
                <w:lang w:val="es-ES_tradnl"/>
              </w:rPr>
            </w:pPr>
            <w:r w:rsidRPr="00A202B4">
              <w:rPr>
                <w:b/>
                <w:bCs/>
                <w:kern w:val="22"/>
                <w:lang w:val="es-ES_tradnl"/>
              </w:rPr>
              <w:t xml:space="preserve">Para las Partes en el Protocolo Suplementario: </w:t>
            </w:r>
          </w:p>
          <w:p w14:paraId="5F4D9D85" w14:textId="77777777" w:rsidR="00846826" w:rsidRPr="00A202B4" w:rsidRDefault="00846826" w:rsidP="00FD020A">
            <w:pPr>
              <w:jc w:val="left"/>
              <w:rPr>
                <w:kern w:val="22"/>
                <w:lang w:val="es-ES_tradnl"/>
              </w:rPr>
            </w:pPr>
            <w:r w:rsidRPr="00A202B4">
              <w:rPr>
                <w:kern w:val="22"/>
                <w:lang w:val="es-ES_tradnl"/>
              </w:rPr>
              <w:t xml:space="preserve">ii) Proporcionar capacitación sobre el análisis de leyes, políticas y marcos institucionales para determinar </w:t>
            </w:r>
            <w:r w:rsidRPr="00A202B4">
              <w:rPr>
                <w:kern w:val="22"/>
                <w:lang w:val="es-ES_tradnl"/>
              </w:rPr>
              <w:lastRenderedPageBreak/>
              <w:t>cómo abordan los requisitos del Protocolo Suplementario;</w:t>
            </w:r>
          </w:p>
          <w:p w14:paraId="3FA0DD4B" w14:textId="77777777" w:rsidR="00846826" w:rsidRPr="00A202B4" w:rsidRDefault="00846826" w:rsidP="00FD020A">
            <w:pPr>
              <w:jc w:val="left"/>
              <w:rPr>
                <w:kern w:val="22"/>
                <w:lang w:val="es-ES_tradnl"/>
              </w:rPr>
            </w:pPr>
            <w:r w:rsidRPr="00A202B4">
              <w:rPr>
                <w:kern w:val="22"/>
                <w:lang w:val="es-ES_tradnl"/>
              </w:rPr>
              <w:t>iii) Proporcionar capacitación sobre la elaboración o reforma de marcos jurídicos y administrativos nacionales para aplicar el Protocolo Suplementario;</w:t>
            </w:r>
          </w:p>
          <w:p w14:paraId="19566841" w14:textId="77777777" w:rsidR="00846826" w:rsidRPr="00A202B4" w:rsidRDefault="00846826" w:rsidP="00FD020A">
            <w:pPr>
              <w:jc w:val="left"/>
              <w:rPr>
                <w:kern w:val="22"/>
                <w:lang w:val="es-ES_tradnl"/>
              </w:rPr>
            </w:pPr>
            <w:r w:rsidRPr="00A202B4">
              <w:rPr>
                <w:kern w:val="22"/>
                <w:lang w:val="es-ES_tradnl"/>
              </w:rPr>
              <w:t>iv) Elaborar materiales de referencia para ayudar a las autoridades competentes a cumplir con sus responsabilidades en virtud del Protocolo Suplementario;</w:t>
            </w:r>
          </w:p>
          <w:p w14:paraId="22EA4F92" w14:textId="77777777" w:rsidR="00846826" w:rsidRPr="00A202B4" w:rsidRDefault="00846826" w:rsidP="00FD020A">
            <w:pPr>
              <w:jc w:val="left"/>
              <w:rPr>
                <w:kern w:val="22"/>
                <w:lang w:val="es-ES_tradnl"/>
              </w:rPr>
            </w:pPr>
            <w:r w:rsidRPr="00A202B4">
              <w:rPr>
                <w:kern w:val="22"/>
                <w:lang w:val="es-ES_tradnl"/>
              </w:rPr>
              <w:t>v) Proporcionar capacitación a autoridades competentes y otros interesados pertinentes en materia de evaluación de daños, establecimiento de relaciones causales y determinación de medidas de respuesta apropiadas;</w:t>
            </w:r>
          </w:p>
          <w:p w14:paraId="11FB523C" w14:textId="77777777" w:rsidR="00846826" w:rsidRPr="00A202B4" w:rsidRDefault="00846826" w:rsidP="00FD020A">
            <w:pPr>
              <w:jc w:val="left"/>
              <w:rPr>
                <w:lang w:val="es-ES_tradnl"/>
              </w:rPr>
            </w:pPr>
            <w:r w:rsidRPr="00A202B4">
              <w:rPr>
                <w:spacing w:val="-4"/>
                <w:kern w:val="22"/>
                <w:lang w:val="es-ES_tradnl"/>
              </w:rPr>
              <w:t>vi) Recopilar y compartir información sobre experiencias y lecciones aprendidas en la aplicación del Protocolo Suplementario</w:t>
            </w:r>
            <w:r w:rsidRPr="00A202B4">
              <w:rPr>
                <w:kern w:val="22"/>
                <w:lang w:val="es-ES_tradnl"/>
              </w:rPr>
              <w:t>.</w:t>
            </w:r>
          </w:p>
        </w:tc>
        <w:tc>
          <w:tcPr>
            <w:tcW w:w="3261" w:type="dxa"/>
            <w:tcBorders>
              <w:top w:val="single" w:sz="4" w:space="0" w:color="auto"/>
              <w:left w:val="single" w:sz="4" w:space="0" w:color="auto"/>
              <w:bottom w:val="single" w:sz="4" w:space="0" w:color="auto"/>
              <w:right w:val="single" w:sz="4" w:space="0" w:color="auto"/>
            </w:tcBorders>
          </w:tcPr>
          <w:p w14:paraId="718E7221" w14:textId="77777777" w:rsidR="00846826" w:rsidRPr="00A202B4" w:rsidRDefault="00846826" w:rsidP="00FD020A">
            <w:pPr>
              <w:jc w:val="left"/>
              <w:rPr>
                <w:lang w:val="es-ES_tradnl"/>
              </w:rPr>
            </w:pPr>
            <w:r w:rsidRPr="00A202B4">
              <w:rPr>
                <w:lang w:val="es-ES_tradnl"/>
              </w:rPr>
              <w:lastRenderedPageBreak/>
              <w:t>a) Porcentaje de Partes en el Protocolo de Cartagena que han recibido capacitación para la ratificación del Protocolo Suplementario;</w:t>
            </w:r>
          </w:p>
          <w:p w14:paraId="00BD4DE2" w14:textId="77777777" w:rsidR="00846826" w:rsidRPr="00A202B4" w:rsidRDefault="00846826" w:rsidP="00FD020A">
            <w:pPr>
              <w:jc w:val="left"/>
              <w:rPr>
                <w:kern w:val="22"/>
                <w:lang w:val="es-ES_tradnl"/>
              </w:rPr>
            </w:pPr>
            <w:r w:rsidRPr="00A202B4">
              <w:rPr>
                <w:kern w:val="22"/>
                <w:lang w:val="es-ES_tradnl"/>
              </w:rPr>
              <w:t>b) Porcentaje de Partes que cuentan con personal capacitado en el análisis de leyes, políticas y marcos institucionales en relación con los requisitos del Protocolo Suplementario;</w:t>
            </w:r>
          </w:p>
          <w:p w14:paraId="79618E2C" w14:textId="77777777" w:rsidR="00846826" w:rsidRPr="00A202B4" w:rsidRDefault="00846826" w:rsidP="00FD020A">
            <w:pPr>
              <w:jc w:val="left"/>
              <w:rPr>
                <w:kern w:val="22"/>
                <w:lang w:val="es-ES_tradnl"/>
              </w:rPr>
            </w:pPr>
            <w:r w:rsidRPr="00A202B4">
              <w:rPr>
                <w:kern w:val="22"/>
                <w:lang w:val="es-ES_tradnl"/>
              </w:rPr>
              <w:lastRenderedPageBreak/>
              <w:t>c) Porcentaje de Partes que cuentan con personal capacitado para elaborar o reformar los marcos jurídicos y administrativos nacionales para aplicar el Protocolo Suplementario;</w:t>
            </w:r>
          </w:p>
          <w:p w14:paraId="2E981B3B" w14:textId="77777777" w:rsidR="00846826" w:rsidRPr="00A202B4" w:rsidRDefault="00846826" w:rsidP="00FD020A">
            <w:pPr>
              <w:jc w:val="left"/>
              <w:rPr>
                <w:kern w:val="22"/>
                <w:lang w:val="es-ES_tradnl"/>
              </w:rPr>
            </w:pPr>
            <w:r w:rsidRPr="00A202B4">
              <w:rPr>
                <w:kern w:val="22"/>
                <w:lang w:val="es-ES_tradnl"/>
              </w:rPr>
              <w:t>d) Porcentaje de Partes que utilizan materiales de referencia sobre la aplicación del Protocolo Suplementario;</w:t>
            </w:r>
          </w:p>
          <w:p w14:paraId="1C59855F" w14:textId="77777777" w:rsidR="00846826" w:rsidRPr="00A202B4" w:rsidRDefault="00846826" w:rsidP="00FD020A">
            <w:pPr>
              <w:jc w:val="left"/>
              <w:rPr>
                <w:kern w:val="22"/>
                <w:lang w:val="es-ES_tradnl"/>
              </w:rPr>
            </w:pPr>
            <w:r w:rsidRPr="00A202B4">
              <w:rPr>
                <w:kern w:val="22"/>
                <w:lang w:val="es-ES_tradnl"/>
              </w:rPr>
              <w:t>e) Porcentaje de Partes cuyas autoridades competentes y otros interesados pertinentes han recibido capacitación para evaluar daños, establecer relaciones causales y determinar medidas de respuesta apropiadas;</w:t>
            </w:r>
          </w:p>
          <w:p w14:paraId="315E464F" w14:textId="77777777" w:rsidR="00846826" w:rsidRPr="00A202B4" w:rsidRDefault="00846826" w:rsidP="00FD020A">
            <w:pPr>
              <w:jc w:val="left"/>
              <w:rPr>
                <w:lang w:val="es-ES_tradnl"/>
              </w:rPr>
            </w:pPr>
            <w:r w:rsidRPr="00A202B4">
              <w:rPr>
                <w:lang w:val="es-ES_tradnl"/>
              </w:rPr>
              <w:t>f) Porcentaje de Partes que recopilan y comparten información sobre experiencias y lecciones aprendidas en la aplicación del Protocolo Suplementario.</w:t>
            </w:r>
          </w:p>
          <w:p w14:paraId="08BC1267" w14:textId="77777777" w:rsidR="00846826" w:rsidRPr="00A202B4" w:rsidRDefault="00846826" w:rsidP="00FD020A">
            <w:pPr>
              <w:jc w:val="left"/>
              <w:rPr>
                <w:kern w:val="22"/>
                <w:lang w:val="es-ES_tradnl"/>
              </w:rPr>
            </w:pPr>
          </w:p>
        </w:tc>
        <w:tc>
          <w:tcPr>
            <w:tcW w:w="2835" w:type="dxa"/>
            <w:tcBorders>
              <w:top w:val="single" w:sz="4" w:space="0" w:color="auto"/>
              <w:left w:val="single" w:sz="4" w:space="0" w:color="auto"/>
              <w:bottom w:val="single" w:sz="4" w:space="0" w:color="auto"/>
              <w:right w:val="single" w:sz="4" w:space="0" w:color="auto"/>
            </w:tcBorders>
          </w:tcPr>
          <w:p w14:paraId="321ABAC2" w14:textId="206048B3" w:rsidR="00846826" w:rsidRPr="00A202B4" w:rsidRDefault="00846826" w:rsidP="00FD020A">
            <w:pPr>
              <w:jc w:val="left"/>
              <w:rPr>
                <w:kern w:val="22"/>
                <w:lang w:val="es-ES_tradnl"/>
              </w:rPr>
            </w:pPr>
            <w:r w:rsidRPr="00A202B4">
              <w:rPr>
                <w:kern w:val="22"/>
                <w:lang w:val="es-ES_tradnl"/>
              </w:rPr>
              <w:lastRenderedPageBreak/>
              <w:t>El aumento del número de ratificaciones del Protocolo Suplementario de Nagoya – Kuala Lumpur sobre Responsabilidad y Compensación favorece la elaboración de normas y procedimientos nacionales sobre responsabilidad y compensación por daños resultantes de movimientos transfronterizos de OVM</w:t>
            </w:r>
            <w:r w:rsidR="00FF4CAD">
              <w:rPr>
                <w:kern w:val="22"/>
                <w:lang w:val="es-ES_tradnl"/>
              </w:rPr>
              <w:t>.</w:t>
            </w:r>
          </w:p>
          <w:p w14:paraId="467B66F0" w14:textId="77777777" w:rsidR="00846826" w:rsidRPr="00A202B4" w:rsidRDefault="00846826" w:rsidP="00FD020A">
            <w:pPr>
              <w:jc w:val="left"/>
              <w:rPr>
                <w:kern w:val="22"/>
                <w:lang w:val="es-ES_tradnl"/>
              </w:rPr>
            </w:pPr>
          </w:p>
        </w:tc>
      </w:tr>
      <w:tr w:rsidR="00FF4CAD" w:rsidRPr="00A202B4" w14:paraId="51928AB3" w14:textId="77777777" w:rsidTr="00D250E3">
        <w:trPr>
          <w:jc w:val="center"/>
        </w:trPr>
        <w:tc>
          <w:tcPr>
            <w:tcW w:w="13462" w:type="dxa"/>
            <w:gridSpan w:val="5"/>
            <w:tcBorders>
              <w:top w:val="single" w:sz="4" w:space="0" w:color="auto"/>
              <w:left w:val="single" w:sz="4" w:space="0" w:color="auto"/>
              <w:bottom w:val="single" w:sz="4" w:space="0" w:color="auto"/>
              <w:right w:val="single" w:sz="4" w:space="0" w:color="auto"/>
            </w:tcBorders>
          </w:tcPr>
          <w:p w14:paraId="15073BEC" w14:textId="77777777" w:rsidR="00FF4CAD" w:rsidRPr="00A202B4" w:rsidRDefault="00FF4CAD" w:rsidP="00FF4CAD">
            <w:pPr>
              <w:jc w:val="center"/>
              <w:rPr>
                <w:lang w:val="es-ES_tradnl"/>
              </w:rPr>
            </w:pPr>
            <w:r w:rsidRPr="00A202B4">
              <w:rPr>
                <w:b/>
                <w:bCs/>
                <w:kern w:val="22"/>
                <w:lang w:val="es-ES_tradnl"/>
              </w:rPr>
              <w:lastRenderedPageBreak/>
              <w:t>B.</w:t>
            </w:r>
            <w:r w:rsidRPr="00A202B4">
              <w:rPr>
                <w:b/>
                <w:bCs/>
                <w:kern w:val="22"/>
                <w:lang w:val="es-ES_tradnl"/>
              </w:rPr>
              <w:tab/>
              <w:t>Entorno propicio</w:t>
            </w:r>
          </w:p>
        </w:tc>
      </w:tr>
      <w:tr w:rsidR="00846826" w:rsidRPr="00A202B4" w14:paraId="2C1DAF15" w14:textId="77777777" w:rsidTr="00FD020A">
        <w:trPr>
          <w:jc w:val="center"/>
        </w:trPr>
        <w:tc>
          <w:tcPr>
            <w:tcW w:w="1795" w:type="dxa"/>
            <w:tcBorders>
              <w:top w:val="single" w:sz="4" w:space="0" w:color="auto"/>
              <w:left w:val="single" w:sz="4" w:space="0" w:color="auto"/>
              <w:bottom w:val="single" w:sz="4" w:space="0" w:color="auto"/>
              <w:right w:val="single" w:sz="4" w:space="0" w:color="auto"/>
            </w:tcBorders>
          </w:tcPr>
          <w:p w14:paraId="7DDFD72E" w14:textId="77777777" w:rsidR="00846826" w:rsidRPr="00A202B4" w:rsidRDefault="00846826" w:rsidP="00FD020A">
            <w:pPr>
              <w:jc w:val="left"/>
              <w:rPr>
                <w:lang w:val="es-ES_tradnl"/>
              </w:rPr>
            </w:pPr>
            <w:r w:rsidRPr="00A202B4">
              <w:rPr>
                <w:b/>
                <w:bCs/>
                <w:kern w:val="22"/>
                <w:lang w:val="es-ES_tradnl"/>
              </w:rPr>
              <w:t>B.1. Las Partes participan en actividades de creación de capacidad</w:t>
            </w:r>
          </w:p>
        </w:tc>
        <w:tc>
          <w:tcPr>
            <w:tcW w:w="2453" w:type="dxa"/>
            <w:tcBorders>
              <w:top w:val="single" w:sz="4" w:space="0" w:color="auto"/>
              <w:left w:val="single" w:sz="4" w:space="0" w:color="auto"/>
              <w:bottom w:val="single" w:sz="4" w:space="0" w:color="auto"/>
              <w:right w:val="single" w:sz="4" w:space="0" w:color="auto"/>
            </w:tcBorders>
          </w:tcPr>
          <w:p w14:paraId="0F4EFDF8" w14:textId="77777777" w:rsidR="00846826" w:rsidRPr="00A202B4" w:rsidRDefault="00846826" w:rsidP="00FD020A">
            <w:pPr>
              <w:jc w:val="left"/>
              <w:rPr>
                <w:kern w:val="22"/>
                <w:lang w:val="es-ES_tradnl"/>
              </w:rPr>
            </w:pPr>
            <w:r w:rsidRPr="00A202B4">
              <w:rPr>
                <w:kern w:val="22"/>
                <w:lang w:val="es-ES_tradnl"/>
              </w:rPr>
              <w:t>1) Autoevaluación de las necesidades y prioridades de creación de capacidad;</w:t>
            </w:r>
          </w:p>
          <w:p w14:paraId="6471C91D" w14:textId="77777777" w:rsidR="00846826" w:rsidRPr="00A202B4" w:rsidRDefault="00846826" w:rsidP="00FD020A">
            <w:pPr>
              <w:jc w:val="left"/>
              <w:rPr>
                <w:kern w:val="22"/>
                <w:lang w:val="es-ES_tradnl"/>
              </w:rPr>
            </w:pPr>
            <w:r w:rsidRPr="00A202B4">
              <w:rPr>
                <w:kern w:val="22"/>
                <w:lang w:val="es-ES_tradnl"/>
              </w:rPr>
              <w:lastRenderedPageBreak/>
              <w:t>2) Prestación de apoyo para actividades de creación de capacidad;</w:t>
            </w:r>
          </w:p>
          <w:p w14:paraId="7C3D5C4F" w14:textId="77777777" w:rsidR="00846826" w:rsidRPr="00A202B4" w:rsidRDefault="00846826" w:rsidP="00FD020A">
            <w:pPr>
              <w:jc w:val="left"/>
              <w:rPr>
                <w:kern w:val="22"/>
                <w:lang w:val="es-ES_tradnl"/>
              </w:rPr>
            </w:pPr>
            <w:r w:rsidRPr="00A202B4">
              <w:rPr>
                <w:kern w:val="22"/>
                <w:lang w:val="es-ES_tradnl"/>
              </w:rPr>
              <w:t>3) Acceso a materiales de creación de capacidad;</w:t>
            </w:r>
          </w:p>
          <w:p w14:paraId="590B4FCA" w14:textId="77777777" w:rsidR="00846826" w:rsidRPr="00A202B4" w:rsidRDefault="00846826" w:rsidP="00FD020A">
            <w:pPr>
              <w:jc w:val="left"/>
              <w:rPr>
                <w:lang w:val="es-ES_tradnl"/>
              </w:rPr>
            </w:pPr>
            <w:r w:rsidRPr="00A202B4">
              <w:rPr>
                <w:kern w:val="22"/>
                <w:lang w:val="es-ES_tradnl"/>
              </w:rPr>
              <w:t>4) Cooperación en actividades de creación de capacidad.</w:t>
            </w:r>
          </w:p>
        </w:tc>
        <w:tc>
          <w:tcPr>
            <w:tcW w:w="3118" w:type="dxa"/>
            <w:tcBorders>
              <w:top w:val="single" w:sz="4" w:space="0" w:color="auto"/>
              <w:left w:val="single" w:sz="4" w:space="0" w:color="auto"/>
              <w:bottom w:val="single" w:sz="4" w:space="0" w:color="auto"/>
              <w:right w:val="single" w:sz="4" w:space="0" w:color="auto"/>
            </w:tcBorders>
          </w:tcPr>
          <w:p w14:paraId="2200D36C" w14:textId="77777777" w:rsidR="00846826" w:rsidRPr="00A202B4" w:rsidRDefault="00846826" w:rsidP="00FD020A">
            <w:pPr>
              <w:jc w:val="left"/>
              <w:rPr>
                <w:kern w:val="22"/>
                <w:lang w:val="es-ES_tradnl"/>
              </w:rPr>
            </w:pPr>
            <w:r w:rsidRPr="00A202B4">
              <w:rPr>
                <w:kern w:val="22"/>
                <w:lang w:val="es-ES_tradnl"/>
              </w:rPr>
              <w:lastRenderedPageBreak/>
              <w:t>i) Realizar una autoevaluación de las necesidades y prioridades de creación de capacidad;</w:t>
            </w:r>
          </w:p>
          <w:p w14:paraId="14BBA450" w14:textId="77777777" w:rsidR="00846826" w:rsidRPr="00A202B4" w:rsidRDefault="00846826" w:rsidP="00FD020A">
            <w:pPr>
              <w:jc w:val="left"/>
              <w:rPr>
                <w:kern w:val="22"/>
                <w:lang w:val="es-ES_tradnl"/>
              </w:rPr>
            </w:pPr>
            <w:r w:rsidRPr="00A202B4">
              <w:rPr>
                <w:kern w:val="22"/>
                <w:lang w:val="es-ES_tradnl"/>
              </w:rPr>
              <w:t xml:space="preserve">ii) Proporcionar apoyo técnico, financiero o de otra índole para </w:t>
            </w:r>
            <w:r w:rsidRPr="00A202B4">
              <w:rPr>
                <w:kern w:val="22"/>
                <w:lang w:val="es-ES_tradnl"/>
              </w:rPr>
              <w:lastRenderedPageBreak/>
              <w:t>actividades de creación de capacidad, incluidas las que se esbozan en este Plan de Acción para la Creación de Capacidad;</w:t>
            </w:r>
          </w:p>
          <w:p w14:paraId="7D9B4EE0" w14:textId="77777777" w:rsidR="00846826" w:rsidRPr="00A202B4" w:rsidRDefault="00846826" w:rsidP="00FD020A">
            <w:pPr>
              <w:jc w:val="left"/>
              <w:rPr>
                <w:kern w:val="22"/>
                <w:lang w:val="es-ES_tradnl"/>
              </w:rPr>
            </w:pPr>
            <w:r w:rsidRPr="00A202B4">
              <w:rPr>
                <w:kern w:val="22"/>
                <w:lang w:val="es-ES_tradnl"/>
              </w:rPr>
              <w:t>iii) Elaborar y difundir materiales de creación de capacidad y los resultados de las actividades, incluso en idiomas locales;</w:t>
            </w:r>
          </w:p>
          <w:p w14:paraId="4A2DE1F5" w14:textId="77777777" w:rsidR="00846826" w:rsidRPr="00A202B4" w:rsidRDefault="00846826" w:rsidP="00FD020A">
            <w:pPr>
              <w:jc w:val="left"/>
              <w:rPr>
                <w:lang w:val="es-ES_tradnl"/>
              </w:rPr>
            </w:pPr>
            <w:r w:rsidRPr="00A202B4">
              <w:rPr>
                <w:kern w:val="22"/>
                <w:lang w:val="es-ES_tradnl"/>
              </w:rPr>
              <w:t>iv) Cooperar a nivel nacional, bilateral, regional y multilateral con asociados de sectores pertinentes e interesados para la realización de actividades de creación de capacidad.</w:t>
            </w:r>
          </w:p>
        </w:tc>
        <w:tc>
          <w:tcPr>
            <w:tcW w:w="3261" w:type="dxa"/>
            <w:tcBorders>
              <w:top w:val="single" w:sz="2" w:space="0" w:color="auto"/>
              <w:left w:val="single" w:sz="4" w:space="0" w:color="auto"/>
              <w:bottom w:val="single" w:sz="4" w:space="0" w:color="auto"/>
              <w:right w:val="single" w:sz="4" w:space="0" w:color="auto"/>
            </w:tcBorders>
          </w:tcPr>
          <w:p w14:paraId="5D425423" w14:textId="77777777" w:rsidR="00846826" w:rsidRPr="00A202B4" w:rsidRDefault="00846826" w:rsidP="00FD020A">
            <w:pPr>
              <w:jc w:val="left"/>
              <w:rPr>
                <w:kern w:val="22"/>
                <w:lang w:val="es-ES_tradnl"/>
              </w:rPr>
            </w:pPr>
            <w:r w:rsidRPr="00A202B4">
              <w:rPr>
                <w:lang w:val="es-ES_tradnl"/>
              </w:rPr>
              <w:lastRenderedPageBreak/>
              <w:t>a) Porcentaje de Partes que han realizado una autoevaluación de las necesidades y prioridades de creación de capacidad;</w:t>
            </w:r>
          </w:p>
          <w:p w14:paraId="54A29E47" w14:textId="77777777" w:rsidR="00846826" w:rsidRPr="00A202B4" w:rsidRDefault="00846826" w:rsidP="00FD020A">
            <w:pPr>
              <w:jc w:val="left"/>
              <w:rPr>
                <w:kern w:val="22"/>
                <w:lang w:val="es-ES_tradnl"/>
              </w:rPr>
            </w:pPr>
            <w:r w:rsidRPr="00A202B4">
              <w:rPr>
                <w:kern w:val="22"/>
                <w:lang w:val="es-ES_tradnl"/>
              </w:rPr>
              <w:lastRenderedPageBreak/>
              <w:t>b) Porcentaje de Partes que reciben apoyo técnico, financiero o de otra índole para actividades de creación de capacidad;</w:t>
            </w:r>
          </w:p>
          <w:p w14:paraId="7D9EE248" w14:textId="77777777" w:rsidR="00846826" w:rsidRPr="00A202B4" w:rsidRDefault="00846826" w:rsidP="00FD020A">
            <w:pPr>
              <w:jc w:val="left"/>
              <w:rPr>
                <w:kern w:val="22"/>
                <w:lang w:val="es-ES_tradnl"/>
              </w:rPr>
            </w:pPr>
            <w:r w:rsidRPr="00A202B4">
              <w:rPr>
                <w:kern w:val="22"/>
                <w:lang w:val="es-ES_tradnl"/>
              </w:rPr>
              <w:t>c) Porcentaje de Partes que proporcionan apoyo técnico, financiero o de otra índole para actividades de creación de capacidad;</w:t>
            </w:r>
          </w:p>
          <w:p w14:paraId="535BD1DA" w14:textId="77777777" w:rsidR="00846826" w:rsidRPr="00A202B4" w:rsidRDefault="00846826" w:rsidP="00FD020A">
            <w:pPr>
              <w:jc w:val="left"/>
              <w:rPr>
                <w:kern w:val="22"/>
                <w:lang w:val="es-ES_tradnl"/>
              </w:rPr>
            </w:pPr>
            <w:r w:rsidRPr="00A202B4">
              <w:rPr>
                <w:kern w:val="22"/>
                <w:lang w:val="es-ES_tradnl"/>
              </w:rPr>
              <w:t>d) Porcentaje de Partes que han elaborado y difundido materiales de creación de capacidad y resultados de actividades, incluso en idiomas locales;</w:t>
            </w:r>
          </w:p>
          <w:p w14:paraId="048E6F0B" w14:textId="77777777" w:rsidR="00846826" w:rsidRPr="00A202B4" w:rsidRDefault="00846826" w:rsidP="00FD020A">
            <w:pPr>
              <w:jc w:val="left"/>
              <w:rPr>
                <w:lang w:val="es-ES_tradnl"/>
              </w:rPr>
            </w:pPr>
            <w:r w:rsidRPr="00A202B4">
              <w:rPr>
                <w:lang w:val="es-ES_tradnl"/>
              </w:rPr>
              <w:t>e) Porcentaje de Partes que establecen asociaciones a nivel nacional, bilateral, regional y multilateral con asociados de sectores pertinentes e interesados para la realización de actividades de creación de capacidad.</w:t>
            </w:r>
          </w:p>
        </w:tc>
        <w:tc>
          <w:tcPr>
            <w:tcW w:w="2835" w:type="dxa"/>
            <w:tcBorders>
              <w:top w:val="single" w:sz="2" w:space="0" w:color="auto"/>
              <w:left w:val="single" w:sz="4" w:space="0" w:color="auto"/>
              <w:bottom w:val="single" w:sz="4" w:space="0" w:color="auto"/>
              <w:right w:val="single" w:sz="4" w:space="0" w:color="auto"/>
            </w:tcBorders>
          </w:tcPr>
          <w:p w14:paraId="67469A1D" w14:textId="59F66894" w:rsidR="00846826" w:rsidRPr="00A202B4" w:rsidRDefault="00846826" w:rsidP="00FD020A">
            <w:pPr>
              <w:jc w:val="left"/>
              <w:rPr>
                <w:kern w:val="22"/>
                <w:lang w:val="es-ES_tradnl"/>
              </w:rPr>
            </w:pPr>
            <w:r w:rsidRPr="00A202B4">
              <w:rPr>
                <w:kern w:val="22"/>
                <w:lang w:val="es-ES_tradnl"/>
              </w:rPr>
              <w:lastRenderedPageBreak/>
              <w:t>Las Partes tienen la capacidad necesaria para aplicar el Protocolo</w:t>
            </w:r>
            <w:r w:rsidR="00FF4CAD">
              <w:rPr>
                <w:kern w:val="22"/>
                <w:lang w:val="es-ES_tradnl"/>
              </w:rPr>
              <w:t>.</w:t>
            </w:r>
          </w:p>
          <w:p w14:paraId="1A932F51" w14:textId="77777777" w:rsidR="00846826" w:rsidRPr="00A202B4" w:rsidRDefault="00846826" w:rsidP="00FD020A">
            <w:pPr>
              <w:jc w:val="left"/>
              <w:rPr>
                <w:kern w:val="22"/>
                <w:lang w:val="es-ES_tradnl"/>
              </w:rPr>
            </w:pPr>
          </w:p>
          <w:p w14:paraId="1B8AF5AB" w14:textId="77777777" w:rsidR="00846826" w:rsidRPr="00A202B4" w:rsidRDefault="00846826" w:rsidP="00FD020A">
            <w:pPr>
              <w:jc w:val="left"/>
              <w:rPr>
                <w:kern w:val="22"/>
                <w:lang w:val="es-ES_tradnl"/>
              </w:rPr>
            </w:pPr>
            <w:r w:rsidRPr="00A202B4">
              <w:rPr>
                <w:lang w:val="es-ES_tradnl"/>
              </w:rPr>
              <w:lastRenderedPageBreak/>
              <w:t>Las Partes han identificado sus necesidades de creación de capacidad y reconocen e implementan acciones apropiadas para resolver esas necesidades</w:t>
            </w:r>
          </w:p>
          <w:p w14:paraId="3CFF6049" w14:textId="77777777" w:rsidR="00846826" w:rsidRPr="00A202B4" w:rsidRDefault="00846826" w:rsidP="00FD020A">
            <w:pPr>
              <w:jc w:val="left"/>
              <w:rPr>
                <w:kern w:val="22"/>
                <w:lang w:val="es-ES_tradnl"/>
              </w:rPr>
            </w:pPr>
          </w:p>
        </w:tc>
      </w:tr>
      <w:tr w:rsidR="00846826" w:rsidRPr="00A202B4" w14:paraId="6683CFAF" w14:textId="77777777" w:rsidTr="00FD020A">
        <w:trPr>
          <w:jc w:val="center"/>
        </w:trPr>
        <w:tc>
          <w:tcPr>
            <w:tcW w:w="1795" w:type="dxa"/>
            <w:tcBorders>
              <w:top w:val="single" w:sz="4" w:space="0" w:color="auto"/>
              <w:left w:val="single" w:sz="4" w:space="0" w:color="auto"/>
              <w:bottom w:val="single" w:sz="4" w:space="0" w:color="auto"/>
              <w:right w:val="single" w:sz="4" w:space="0" w:color="auto"/>
            </w:tcBorders>
          </w:tcPr>
          <w:p w14:paraId="09D274F3" w14:textId="77777777" w:rsidR="00846826" w:rsidRPr="00A202B4" w:rsidRDefault="00846826" w:rsidP="00FD020A">
            <w:pPr>
              <w:jc w:val="left"/>
              <w:rPr>
                <w:lang w:val="es-ES_tradnl"/>
              </w:rPr>
            </w:pPr>
            <w:r w:rsidRPr="00A202B4">
              <w:rPr>
                <w:b/>
                <w:bCs/>
                <w:kern w:val="22"/>
                <w:lang w:val="es-ES_tradnl"/>
              </w:rPr>
              <w:lastRenderedPageBreak/>
              <w:t xml:space="preserve">B.2. </w:t>
            </w:r>
            <w:r w:rsidRPr="00A202B4">
              <w:rPr>
                <w:b/>
                <w:bCs/>
                <w:lang w:val="es-ES_tradnl"/>
              </w:rPr>
              <w:t>Las Partes movilizan recursos adecuados de todas las fuentes para apoyar la aplicación del Protocolo de conformidad con el artículo 28 del Protocolo</w:t>
            </w:r>
          </w:p>
        </w:tc>
        <w:tc>
          <w:tcPr>
            <w:tcW w:w="2453" w:type="dxa"/>
            <w:tcBorders>
              <w:top w:val="single" w:sz="4" w:space="0" w:color="auto"/>
              <w:left w:val="single" w:sz="4" w:space="0" w:color="auto"/>
              <w:bottom w:val="single" w:sz="4" w:space="0" w:color="auto"/>
              <w:right w:val="single" w:sz="4" w:space="0" w:color="auto"/>
            </w:tcBorders>
          </w:tcPr>
          <w:p w14:paraId="69DD4A38" w14:textId="77777777" w:rsidR="00846826" w:rsidRPr="00A202B4" w:rsidRDefault="00846826" w:rsidP="00FD020A">
            <w:pPr>
              <w:jc w:val="left"/>
              <w:rPr>
                <w:kern w:val="22"/>
                <w:lang w:val="es-ES_tradnl"/>
              </w:rPr>
            </w:pPr>
            <w:r w:rsidRPr="00A202B4">
              <w:rPr>
                <w:kern w:val="22"/>
                <w:lang w:val="es-ES_tradnl"/>
              </w:rPr>
              <w:t>1) Establecimiento de un mecanismo nacional de asignación de presupuesto para la seguridad de la biotecnología;</w:t>
            </w:r>
          </w:p>
          <w:p w14:paraId="69752C2B" w14:textId="77777777" w:rsidR="00846826" w:rsidRPr="00A202B4" w:rsidRDefault="00846826" w:rsidP="00FD020A">
            <w:pPr>
              <w:jc w:val="left"/>
              <w:rPr>
                <w:kern w:val="22"/>
                <w:lang w:val="es-ES_tradnl"/>
              </w:rPr>
            </w:pPr>
            <w:r w:rsidRPr="00A202B4">
              <w:rPr>
                <w:kern w:val="22"/>
                <w:lang w:val="es-ES_tradnl"/>
              </w:rPr>
              <w:t>2) Coordinación con autoridades, organismos de financiación y donantes a nivel nacional;</w:t>
            </w:r>
          </w:p>
          <w:p w14:paraId="4F2C680E" w14:textId="77777777" w:rsidR="00846826" w:rsidRPr="00A202B4" w:rsidRDefault="00846826" w:rsidP="00FD020A">
            <w:pPr>
              <w:jc w:val="left"/>
              <w:rPr>
                <w:lang w:val="es-ES_tradnl"/>
              </w:rPr>
            </w:pPr>
            <w:r w:rsidRPr="00A202B4">
              <w:rPr>
                <w:lang w:val="es-ES_tradnl"/>
              </w:rPr>
              <w:lastRenderedPageBreak/>
              <w:t>3) Acceso a recursos adicionales a través de cooperación con otras Partes y donantes, incluido el sector privado, y a través de programas de cooperación internacional.</w:t>
            </w:r>
          </w:p>
          <w:p w14:paraId="75A0B348" w14:textId="77777777" w:rsidR="00846826" w:rsidRPr="00A202B4" w:rsidRDefault="00846826" w:rsidP="00FD020A">
            <w:pPr>
              <w:jc w:val="left"/>
              <w:rPr>
                <w:kern w:val="22"/>
                <w:lang w:val="es-ES_tradnl"/>
              </w:rPr>
            </w:pPr>
          </w:p>
        </w:tc>
        <w:tc>
          <w:tcPr>
            <w:tcW w:w="3118" w:type="dxa"/>
            <w:tcBorders>
              <w:top w:val="single" w:sz="4" w:space="0" w:color="auto"/>
              <w:left w:val="single" w:sz="4" w:space="0" w:color="auto"/>
              <w:bottom w:val="single" w:sz="4" w:space="0" w:color="auto"/>
              <w:right w:val="single" w:sz="4" w:space="0" w:color="auto"/>
            </w:tcBorders>
          </w:tcPr>
          <w:p w14:paraId="310AB4F6" w14:textId="77777777" w:rsidR="00846826" w:rsidRPr="00A202B4" w:rsidRDefault="00846826" w:rsidP="00FD020A">
            <w:pPr>
              <w:jc w:val="left"/>
              <w:rPr>
                <w:kern w:val="22"/>
                <w:lang w:val="es-ES_tradnl"/>
              </w:rPr>
            </w:pPr>
            <w:r w:rsidRPr="00A202B4">
              <w:rPr>
                <w:kern w:val="22"/>
                <w:lang w:val="es-ES_tradnl"/>
              </w:rPr>
              <w:lastRenderedPageBreak/>
              <w:t>i) Proporcionar capacitación o sensibilizar sobre el establecimiento y el desarrollo de mecanismos para captar recursos suficientes de los presupuestos nacionales para llevar a cabo actividades necesarias para la aplicación del Protocolo;</w:t>
            </w:r>
          </w:p>
          <w:p w14:paraId="02CD191D" w14:textId="77777777" w:rsidR="00846826" w:rsidRPr="00A202B4" w:rsidRDefault="00846826" w:rsidP="00FD020A">
            <w:pPr>
              <w:jc w:val="left"/>
              <w:rPr>
                <w:kern w:val="22"/>
                <w:lang w:val="es-ES_tradnl"/>
              </w:rPr>
            </w:pPr>
            <w:r w:rsidRPr="00A202B4">
              <w:rPr>
                <w:lang w:val="es-ES_tradnl"/>
              </w:rPr>
              <w:t xml:space="preserve">ii) Establecer/fortalecer la coordinación a nivel nacional entre autoridades competentes, </w:t>
            </w:r>
            <w:r w:rsidRPr="00A202B4">
              <w:rPr>
                <w:lang w:val="es-ES_tradnl"/>
              </w:rPr>
              <w:lastRenderedPageBreak/>
              <w:t>organismos de financiación y otros donantes;</w:t>
            </w:r>
          </w:p>
          <w:p w14:paraId="1149158D" w14:textId="77777777" w:rsidR="00846826" w:rsidRPr="00A202B4" w:rsidRDefault="00846826" w:rsidP="00FD020A">
            <w:pPr>
              <w:jc w:val="left"/>
              <w:rPr>
                <w:lang w:val="es-ES_tradnl"/>
              </w:rPr>
            </w:pPr>
            <w:r w:rsidRPr="00A202B4">
              <w:rPr>
                <w:lang w:val="es-ES_tradnl"/>
              </w:rPr>
              <w:t>iii) Establecer/fortalecer la cooperación entre las Partes que son donantes y otros donantes, las Partes que son países en desarrollo y las Partes con economías en transición para garantizar la aplicación plena del Protocolo.</w:t>
            </w:r>
          </w:p>
        </w:tc>
        <w:tc>
          <w:tcPr>
            <w:tcW w:w="3261" w:type="dxa"/>
            <w:tcBorders>
              <w:top w:val="single" w:sz="4" w:space="0" w:color="auto"/>
              <w:left w:val="single" w:sz="4" w:space="0" w:color="auto"/>
              <w:bottom w:val="single" w:sz="4" w:space="0" w:color="auto"/>
              <w:right w:val="single" w:sz="4" w:space="0" w:color="auto"/>
            </w:tcBorders>
          </w:tcPr>
          <w:p w14:paraId="3BCC758D" w14:textId="77777777" w:rsidR="00846826" w:rsidRPr="00A202B4" w:rsidRDefault="00846826" w:rsidP="00FD020A">
            <w:pPr>
              <w:jc w:val="left"/>
              <w:rPr>
                <w:kern w:val="22"/>
                <w:lang w:val="es-ES_tradnl"/>
              </w:rPr>
            </w:pPr>
            <w:r w:rsidRPr="00A202B4">
              <w:rPr>
                <w:lang w:val="es-ES_tradnl"/>
              </w:rPr>
              <w:lastRenderedPageBreak/>
              <w:t>a) Porcentaje de Partes que han asignado recursos de sus presupuestos nacionales para llevar a cabo actividades necesarias para la aplicación del Protocolo;</w:t>
            </w:r>
          </w:p>
          <w:p w14:paraId="2DC67CF6" w14:textId="77777777" w:rsidR="00846826" w:rsidRPr="00A202B4" w:rsidRDefault="00846826" w:rsidP="00FD020A">
            <w:pPr>
              <w:jc w:val="left"/>
              <w:rPr>
                <w:kern w:val="22"/>
                <w:lang w:val="es-ES_tradnl"/>
              </w:rPr>
            </w:pPr>
            <w:r w:rsidRPr="00A202B4">
              <w:rPr>
                <w:kern w:val="22"/>
                <w:lang w:val="es-ES_tradnl"/>
              </w:rPr>
              <w:t>b) Porcentaje de Partes que han fortalecido la coordinación entre las autoridades competentes, organismos de financiación y otros donantes;</w:t>
            </w:r>
          </w:p>
          <w:p w14:paraId="32B4C1EF" w14:textId="77777777" w:rsidR="00846826" w:rsidRPr="00A202B4" w:rsidRDefault="00846826" w:rsidP="00FD020A">
            <w:pPr>
              <w:jc w:val="left"/>
              <w:rPr>
                <w:lang w:val="es-ES_tradnl"/>
              </w:rPr>
            </w:pPr>
            <w:r w:rsidRPr="00A202B4">
              <w:rPr>
                <w:lang w:val="es-ES_tradnl"/>
              </w:rPr>
              <w:lastRenderedPageBreak/>
              <w:t>c) Porcentaje de Partes que han fortalecido la cooperación entre las Partes que son donantes y otros donantes, las Partes que son países en desarrollo y las Partes con economías en transición para garantizar la aplicación plena del Protocolo;</w:t>
            </w:r>
          </w:p>
          <w:p w14:paraId="5B80BC1F" w14:textId="77777777" w:rsidR="00846826" w:rsidRPr="00A202B4" w:rsidRDefault="00846826" w:rsidP="00FD020A">
            <w:pPr>
              <w:jc w:val="left"/>
              <w:rPr>
                <w:spacing w:val="-6"/>
                <w:lang w:val="es-ES_tradnl"/>
              </w:rPr>
            </w:pPr>
            <w:r w:rsidRPr="00A202B4">
              <w:rPr>
                <w:spacing w:val="-6"/>
                <w:lang w:val="es-ES_tradnl"/>
              </w:rPr>
              <w:t>d) Porcentaje de Partes que han aportado recursos a otras Partes para fortalecer su capacidad para aplicar el Protocolo.</w:t>
            </w:r>
          </w:p>
        </w:tc>
        <w:tc>
          <w:tcPr>
            <w:tcW w:w="2835" w:type="dxa"/>
            <w:tcBorders>
              <w:top w:val="single" w:sz="4" w:space="0" w:color="auto"/>
              <w:left w:val="single" w:sz="4" w:space="0" w:color="auto"/>
              <w:bottom w:val="single" w:sz="4" w:space="0" w:color="auto"/>
              <w:right w:val="single" w:sz="4" w:space="0" w:color="auto"/>
            </w:tcBorders>
          </w:tcPr>
          <w:p w14:paraId="74BDEA58" w14:textId="1061F519" w:rsidR="00846826" w:rsidRPr="00A202B4" w:rsidRDefault="00846826" w:rsidP="00FD020A">
            <w:pPr>
              <w:jc w:val="left"/>
              <w:rPr>
                <w:kern w:val="22"/>
                <w:lang w:val="es-ES_tradnl"/>
              </w:rPr>
            </w:pPr>
            <w:r w:rsidRPr="00A202B4">
              <w:rPr>
                <w:kern w:val="22"/>
                <w:lang w:val="es-ES_tradnl"/>
              </w:rPr>
              <w:lastRenderedPageBreak/>
              <w:t>Los recursos adecuados permiten la plena aplicación del Protocolo</w:t>
            </w:r>
            <w:r w:rsidR="00FF4CAD">
              <w:rPr>
                <w:kern w:val="22"/>
                <w:lang w:val="es-ES_tradnl"/>
              </w:rPr>
              <w:t>.</w:t>
            </w:r>
          </w:p>
          <w:p w14:paraId="34D42030" w14:textId="77777777" w:rsidR="00846826" w:rsidRPr="00A202B4" w:rsidRDefault="00846826" w:rsidP="00FD020A">
            <w:pPr>
              <w:jc w:val="left"/>
              <w:rPr>
                <w:kern w:val="22"/>
                <w:lang w:val="es-ES_tradnl"/>
              </w:rPr>
            </w:pPr>
          </w:p>
          <w:p w14:paraId="624E0788" w14:textId="0262EBB9" w:rsidR="00846826" w:rsidRPr="00A202B4" w:rsidRDefault="00846826" w:rsidP="00FF4CAD">
            <w:pPr>
              <w:jc w:val="left"/>
              <w:rPr>
                <w:kern w:val="22"/>
                <w:lang w:val="es-ES_tradnl"/>
              </w:rPr>
            </w:pPr>
            <w:r w:rsidRPr="00A202B4">
              <w:rPr>
                <w:lang w:val="es-ES_tradnl"/>
              </w:rPr>
              <w:t>Se movilizan recursos públicos y privados y estos brindan apoyo regular y sostenido a las acciones necesarias</w:t>
            </w:r>
            <w:r w:rsidR="00FF4CAD">
              <w:rPr>
                <w:lang w:val="es-ES_tradnl"/>
              </w:rPr>
              <w:t>.</w:t>
            </w:r>
          </w:p>
        </w:tc>
      </w:tr>
      <w:tr w:rsidR="00846826" w:rsidRPr="00A202B4" w14:paraId="03FC90CC" w14:textId="77777777" w:rsidTr="00FD020A">
        <w:trPr>
          <w:jc w:val="center"/>
        </w:trPr>
        <w:tc>
          <w:tcPr>
            <w:tcW w:w="1795" w:type="dxa"/>
            <w:tcBorders>
              <w:top w:val="single" w:sz="4" w:space="0" w:color="auto"/>
              <w:left w:val="single" w:sz="4" w:space="0" w:color="auto"/>
              <w:bottom w:val="single" w:sz="4" w:space="0" w:color="auto"/>
              <w:right w:val="single" w:sz="4" w:space="0" w:color="auto"/>
            </w:tcBorders>
          </w:tcPr>
          <w:p w14:paraId="69C36043" w14:textId="77777777" w:rsidR="00846826" w:rsidRPr="00A202B4" w:rsidRDefault="00846826" w:rsidP="00FD020A">
            <w:pPr>
              <w:jc w:val="left"/>
              <w:rPr>
                <w:lang w:val="es-ES_tradnl"/>
              </w:rPr>
            </w:pPr>
            <w:r w:rsidRPr="00A202B4">
              <w:rPr>
                <w:b/>
                <w:bCs/>
                <w:kern w:val="22"/>
                <w:lang w:val="es-ES_tradnl"/>
              </w:rPr>
              <w:t>B.3. Las Partes promueven y facilitan la concienciación, educación y participación del público en materia de transferencia, manipulación y utilización seguras de OVM, de conformidad con el artículo 23 del Protocolo</w:t>
            </w:r>
          </w:p>
        </w:tc>
        <w:tc>
          <w:tcPr>
            <w:tcW w:w="2453" w:type="dxa"/>
            <w:tcBorders>
              <w:top w:val="single" w:sz="4" w:space="0" w:color="auto"/>
              <w:left w:val="single" w:sz="4" w:space="0" w:color="auto"/>
              <w:bottom w:val="single" w:sz="4" w:space="0" w:color="auto"/>
              <w:right w:val="single" w:sz="4" w:space="0" w:color="auto"/>
            </w:tcBorders>
          </w:tcPr>
          <w:p w14:paraId="0750D591" w14:textId="77777777" w:rsidR="00846826" w:rsidRPr="00A202B4" w:rsidRDefault="00846826" w:rsidP="00FD020A">
            <w:pPr>
              <w:jc w:val="left"/>
              <w:rPr>
                <w:kern w:val="22"/>
                <w:lang w:val="es-ES_tradnl"/>
              </w:rPr>
            </w:pPr>
            <w:r w:rsidRPr="00A202B4">
              <w:rPr>
                <w:kern w:val="22"/>
                <w:lang w:val="es-ES_tradnl"/>
              </w:rPr>
              <w:t>1) Establecimiento de sistemas nacionales para promover la concienciación, educación y participación del público;</w:t>
            </w:r>
          </w:p>
          <w:p w14:paraId="431DCC61" w14:textId="77777777" w:rsidR="00846826" w:rsidRPr="00A202B4" w:rsidRDefault="00846826" w:rsidP="00FD020A">
            <w:pPr>
              <w:jc w:val="left"/>
              <w:rPr>
                <w:kern w:val="22"/>
                <w:lang w:val="es-ES_tradnl"/>
              </w:rPr>
            </w:pPr>
            <w:r w:rsidRPr="00A202B4">
              <w:rPr>
                <w:kern w:val="22"/>
                <w:lang w:val="es-ES_tradnl"/>
              </w:rPr>
              <w:t>2) Elaboración y difusión de materiales de referencia y capacitación sobre concienciación, educación y participación del público;</w:t>
            </w:r>
          </w:p>
          <w:p w14:paraId="6936819F" w14:textId="77777777" w:rsidR="00846826" w:rsidRPr="00A202B4" w:rsidRDefault="00846826" w:rsidP="00FD020A">
            <w:pPr>
              <w:jc w:val="left"/>
              <w:rPr>
                <w:b/>
                <w:bCs/>
                <w:kern w:val="22"/>
                <w:lang w:val="es-ES_tradnl"/>
              </w:rPr>
            </w:pPr>
            <w:r w:rsidRPr="00A202B4">
              <w:rPr>
                <w:kern w:val="22"/>
                <w:lang w:val="es-ES_tradnl"/>
              </w:rPr>
              <w:t>3) Enseñanza en materia de seguridad de la biotecnología;</w:t>
            </w:r>
          </w:p>
          <w:p w14:paraId="6B17AF8A" w14:textId="77777777" w:rsidR="00846826" w:rsidRPr="00A202B4" w:rsidRDefault="00846826" w:rsidP="00FD020A">
            <w:pPr>
              <w:jc w:val="left"/>
              <w:rPr>
                <w:kern w:val="22"/>
                <w:lang w:val="es-ES_tradnl"/>
              </w:rPr>
            </w:pPr>
            <w:r w:rsidRPr="00A202B4">
              <w:rPr>
                <w:kern w:val="22"/>
                <w:lang w:val="es-ES_tradnl"/>
              </w:rPr>
              <w:t>4) Fortalecimiento de mecanismos para la participación en la adopción de decisiones;</w:t>
            </w:r>
          </w:p>
          <w:p w14:paraId="06B627DD" w14:textId="77777777" w:rsidR="00846826" w:rsidRPr="00A202B4" w:rsidRDefault="00846826" w:rsidP="00FD020A">
            <w:pPr>
              <w:jc w:val="left"/>
              <w:rPr>
                <w:lang w:val="es-ES_tradnl"/>
              </w:rPr>
            </w:pPr>
            <w:r w:rsidRPr="00A202B4">
              <w:rPr>
                <w:kern w:val="22"/>
                <w:lang w:val="es-ES_tradnl"/>
              </w:rPr>
              <w:lastRenderedPageBreak/>
              <w:t>5) Desarrollo de programas de concienciación del público.</w:t>
            </w:r>
          </w:p>
        </w:tc>
        <w:tc>
          <w:tcPr>
            <w:tcW w:w="3118" w:type="dxa"/>
            <w:tcBorders>
              <w:top w:val="single" w:sz="4" w:space="0" w:color="auto"/>
              <w:left w:val="single" w:sz="4" w:space="0" w:color="auto"/>
              <w:bottom w:val="single" w:sz="4" w:space="0" w:color="auto"/>
              <w:right w:val="single" w:sz="4" w:space="0" w:color="auto"/>
            </w:tcBorders>
          </w:tcPr>
          <w:p w14:paraId="1523FDF6" w14:textId="77777777" w:rsidR="00846826" w:rsidRPr="00A202B4" w:rsidRDefault="00846826" w:rsidP="00FD020A">
            <w:pPr>
              <w:jc w:val="left"/>
              <w:rPr>
                <w:kern w:val="22"/>
                <w:lang w:val="es-ES_tradnl"/>
              </w:rPr>
            </w:pPr>
            <w:r w:rsidRPr="00A202B4">
              <w:rPr>
                <w:kern w:val="22"/>
                <w:lang w:val="es-ES_tradnl"/>
              </w:rPr>
              <w:lastRenderedPageBreak/>
              <w:t>i) Elaborar y difundir materiales de creación de capacidad en materia de concienciación, educación y participación del público;</w:t>
            </w:r>
          </w:p>
          <w:p w14:paraId="20D29472" w14:textId="77777777" w:rsidR="00846826" w:rsidRPr="00A202B4" w:rsidRDefault="00846826" w:rsidP="00FD020A">
            <w:pPr>
              <w:jc w:val="left"/>
              <w:rPr>
                <w:kern w:val="22"/>
                <w:lang w:val="es-ES_tradnl"/>
              </w:rPr>
            </w:pPr>
            <w:r w:rsidRPr="00A202B4">
              <w:rPr>
                <w:kern w:val="22"/>
                <w:lang w:val="es-ES_tradnl"/>
              </w:rPr>
              <w:t>ii) Desarrollar o actualizar programas de educación en materia de seguridad de la biotecnología y fortalecer la capacidad institucional;</w:t>
            </w:r>
          </w:p>
          <w:p w14:paraId="4995973B" w14:textId="77777777" w:rsidR="00846826" w:rsidRPr="00A202B4" w:rsidRDefault="00846826" w:rsidP="00FD020A">
            <w:pPr>
              <w:jc w:val="left"/>
              <w:rPr>
                <w:kern w:val="22"/>
                <w:lang w:val="es-ES_tradnl"/>
              </w:rPr>
            </w:pPr>
            <w:r w:rsidRPr="00A202B4">
              <w:rPr>
                <w:kern w:val="22"/>
                <w:lang w:val="es-ES_tradnl"/>
              </w:rPr>
              <w:t>iii) Integrar la seguridad de la biotecnología en programas educativos pertinentes;</w:t>
            </w:r>
          </w:p>
          <w:p w14:paraId="0AD786A8" w14:textId="77777777" w:rsidR="00846826" w:rsidRPr="00A202B4" w:rsidRDefault="00846826" w:rsidP="00FD020A">
            <w:pPr>
              <w:jc w:val="left"/>
              <w:rPr>
                <w:kern w:val="22"/>
                <w:lang w:val="es-ES_tradnl"/>
              </w:rPr>
            </w:pPr>
            <w:r w:rsidRPr="00A202B4">
              <w:rPr>
                <w:lang w:val="es-ES_tradnl"/>
              </w:rPr>
              <w:t>iv) Establecer programas de intercambio académico y becas, incluso en materia de biotecnología moderna e investigaciones de biotecnología;</w:t>
            </w:r>
          </w:p>
          <w:p w14:paraId="095594CE" w14:textId="77777777" w:rsidR="00846826" w:rsidRPr="00A202B4" w:rsidRDefault="00846826" w:rsidP="00FD020A">
            <w:pPr>
              <w:jc w:val="left"/>
              <w:rPr>
                <w:kern w:val="22"/>
                <w:lang w:val="es-ES_tradnl"/>
              </w:rPr>
            </w:pPr>
            <w:r w:rsidRPr="00A202B4">
              <w:rPr>
                <w:kern w:val="22"/>
                <w:lang w:val="es-ES_tradnl"/>
              </w:rPr>
              <w:t xml:space="preserve">v) Proporcionar capacitación sobre la participación en la </w:t>
            </w:r>
            <w:r w:rsidRPr="00A202B4">
              <w:rPr>
                <w:kern w:val="22"/>
                <w:lang w:val="es-ES_tradnl"/>
              </w:rPr>
              <w:lastRenderedPageBreak/>
              <w:t>adopción de decisiones, de conformidad con las leyes y reglamentos nacionales, incluso sobre el establecimiento de mecanismos para informar al público sobre las modalidades de participación;</w:t>
            </w:r>
          </w:p>
          <w:p w14:paraId="333A5809" w14:textId="77777777" w:rsidR="00846826" w:rsidRPr="00A202B4" w:rsidRDefault="00846826" w:rsidP="00FD020A">
            <w:pPr>
              <w:jc w:val="left"/>
              <w:rPr>
                <w:kern w:val="22"/>
                <w:lang w:val="es-ES_tradnl"/>
              </w:rPr>
            </w:pPr>
            <w:r w:rsidRPr="00A202B4">
              <w:rPr>
                <w:kern w:val="22"/>
                <w:lang w:val="es-ES_tradnl"/>
              </w:rPr>
              <w:t>vi) Proporcionar capacitación sobre el desarrollo y la implementación de programas de concienciación del público en materia de seguridad de la biotecnología;</w:t>
            </w:r>
          </w:p>
          <w:p w14:paraId="605029C2" w14:textId="77777777" w:rsidR="00846826" w:rsidRPr="00A202B4" w:rsidRDefault="00846826" w:rsidP="00FD020A">
            <w:pPr>
              <w:jc w:val="left"/>
              <w:rPr>
                <w:lang w:val="es-ES_tradnl"/>
              </w:rPr>
            </w:pPr>
            <w:r w:rsidRPr="00A202B4">
              <w:rPr>
                <w:kern w:val="22"/>
                <w:lang w:val="es-ES_tradnl"/>
              </w:rPr>
              <w:t>vii) Proporcionar capacitación en materia de comunicación sobre seguridad de la biotecnología.</w:t>
            </w:r>
          </w:p>
        </w:tc>
        <w:tc>
          <w:tcPr>
            <w:tcW w:w="3261" w:type="dxa"/>
            <w:tcBorders>
              <w:top w:val="single" w:sz="4" w:space="0" w:color="auto"/>
              <w:left w:val="single" w:sz="4" w:space="0" w:color="auto"/>
              <w:bottom w:val="single" w:sz="4" w:space="0" w:color="auto"/>
              <w:right w:val="single" w:sz="4" w:space="0" w:color="auto"/>
            </w:tcBorders>
          </w:tcPr>
          <w:p w14:paraId="7E5EE52B" w14:textId="77777777" w:rsidR="00846826" w:rsidRPr="00A202B4" w:rsidRDefault="00846826" w:rsidP="00FD020A">
            <w:pPr>
              <w:jc w:val="left"/>
              <w:rPr>
                <w:kern w:val="22"/>
                <w:lang w:val="es-ES_tradnl"/>
              </w:rPr>
            </w:pPr>
            <w:r w:rsidRPr="00A202B4">
              <w:rPr>
                <w:lang w:val="es-ES_tradnl"/>
              </w:rPr>
              <w:lastRenderedPageBreak/>
              <w:t>a) Porcentaje de Partes que han elaborado y difundido materiales de creación de capacidad en materia de concienciación, educación y participación del público;</w:t>
            </w:r>
          </w:p>
          <w:p w14:paraId="198A9FD4" w14:textId="77777777" w:rsidR="00846826" w:rsidRPr="00A202B4" w:rsidRDefault="00846826" w:rsidP="00FD020A">
            <w:pPr>
              <w:jc w:val="left"/>
              <w:rPr>
                <w:kern w:val="22"/>
                <w:lang w:val="es-ES_tradnl"/>
              </w:rPr>
            </w:pPr>
            <w:r w:rsidRPr="00A202B4">
              <w:rPr>
                <w:kern w:val="22"/>
                <w:lang w:val="es-ES_tradnl"/>
              </w:rPr>
              <w:t>b) Porcentaje de Partes que han desarrollado o actualizado programas de educación en materia de seguridad de la biotecnología y fortalecido las capacidades institucionales;</w:t>
            </w:r>
          </w:p>
          <w:p w14:paraId="76224F92" w14:textId="77777777" w:rsidR="00846826" w:rsidRPr="00A202B4" w:rsidRDefault="00846826" w:rsidP="00FD020A">
            <w:pPr>
              <w:jc w:val="left"/>
              <w:rPr>
                <w:kern w:val="22"/>
                <w:lang w:val="es-ES_tradnl"/>
              </w:rPr>
            </w:pPr>
            <w:r w:rsidRPr="00A202B4">
              <w:rPr>
                <w:kern w:val="22"/>
                <w:lang w:val="es-ES_tradnl"/>
              </w:rPr>
              <w:t>c) Porcentaje de Partes que han integrado la seguridad de la biotecnología en programas educativos pertinentes;</w:t>
            </w:r>
          </w:p>
          <w:p w14:paraId="1D537FCA" w14:textId="77777777" w:rsidR="00846826" w:rsidRPr="00A202B4" w:rsidRDefault="00846826" w:rsidP="00FD020A">
            <w:pPr>
              <w:jc w:val="left"/>
              <w:rPr>
                <w:kern w:val="22"/>
                <w:lang w:val="es-ES_tradnl"/>
              </w:rPr>
            </w:pPr>
            <w:r w:rsidRPr="00A202B4">
              <w:rPr>
                <w:kern w:val="22"/>
                <w:lang w:val="es-ES_tradnl"/>
              </w:rPr>
              <w:t>d) Porcentaje de Partes que han establecido programas de intercambio académico y becas;</w:t>
            </w:r>
          </w:p>
          <w:p w14:paraId="275A23A7" w14:textId="77777777" w:rsidR="00846826" w:rsidRPr="00A202B4" w:rsidRDefault="00846826" w:rsidP="00FD020A">
            <w:pPr>
              <w:jc w:val="left"/>
              <w:rPr>
                <w:kern w:val="22"/>
                <w:lang w:val="es-ES_tradnl"/>
              </w:rPr>
            </w:pPr>
            <w:r w:rsidRPr="00A202B4">
              <w:rPr>
                <w:kern w:val="22"/>
                <w:lang w:val="es-ES_tradnl"/>
              </w:rPr>
              <w:t xml:space="preserve">e) Porcentaje de Partes que han proporcionado capacitación sobre </w:t>
            </w:r>
            <w:r w:rsidRPr="00A202B4">
              <w:rPr>
                <w:kern w:val="22"/>
                <w:lang w:val="es-ES_tradnl"/>
              </w:rPr>
              <w:lastRenderedPageBreak/>
              <w:t>la participación en la adopción de decisiones, de conformidad con las leyes y reglamentos nacionales, incluido el establecimiento de mecanismos para informar al público sobre las modalidades de participación;</w:t>
            </w:r>
          </w:p>
          <w:p w14:paraId="48168B25" w14:textId="77777777" w:rsidR="00846826" w:rsidRPr="00A202B4" w:rsidRDefault="00846826" w:rsidP="00FD020A">
            <w:pPr>
              <w:jc w:val="left"/>
              <w:rPr>
                <w:spacing w:val="-6"/>
                <w:kern w:val="22"/>
                <w:lang w:val="es-ES_tradnl"/>
              </w:rPr>
            </w:pPr>
            <w:r w:rsidRPr="00A202B4">
              <w:rPr>
                <w:spacing w:val="-6"/>
                <w:kern w:val="22"/>
                <w:lang w:val="es-ES_tradnl"/>
              </w:rPr>
              <w:t>f) Porcentaje de Partes que han proporcionado capacitación sobre la elaboración y aplicación de programas de concienciación del público en materia de seguridad de la biotecnología;</w:t>
            </w:r>
          </w:p>
          <w:p w14:paraId="1E083BFD" w14:textId="7CB2E148" w:rsidR="00846826" w:rsidRPr="00A202B4" w:rsidRDefault="00846826" w:rsidP="00A202B4">
            <w:pPr>
              <w:jc w:val="left"/>
              <w:rPr>
                <w:kern w:val="22"/>
                <w:lang w:val="es-ES_tradnl"/>
              </w:rPr>
            </w:pPr>
            <w:r w:rsidRPr="00A202B4">
              <w:rPr>
                <w:lang w:val="es-ES_tradnl"/>
              </w:rPr>
              <w:t>g) Porcentaje de Partes que han proporcionado capacitación sobre comunicación en materia de seguridad de la biotecnología.</w:t>
            </w:r>
          </w:p>
        </w:tc>
        <w:tc>
          <w:tcPr>
            <w:tcW w:w="2835" w:type="dxa"/>
            <w:tcBorders>
              <w:top w:val="single" w:sz="4" w:space="0" w:color="auto"/>
              <w:left w:val="single" w:sz="4" w:space="0" w:color="auto"/>
              <w:bottom w:val="single" w:sz="4" w:space="0" w:color="auto"/>
              <w:right w:val="single" w:sz="4" w:space="0" w:color="auto"/>
            </w:tcBorders>
          </w:tcPr>
          <w:p w14:paraId="2D507DF3" w14:textId="30D9BCBD" w:rsidR="00846826" w:rsidRPr="00A202B4" w:rsidRDefault="00846826" w:rsidP="00FD020A">
            <w:pPr>
              <w:jc w:val="left"/>
              <w:rPr>
                <w:kern w:val="22"/>
                <w:lang w:val="es-ES_tradnl"/>
              </w:rPr>
            </w:pPr>
            <w:r w:rsidRPr="00A202B4">
              <w:rPr>
                <w:kern w:val="22"/>
                <w:lang w:val="es-ES_tradnl"/>
              </w:rPr>
              <w:lastRenderedPageBreak/>
              <w:t>A través de la concienciación, educación y participación del público, las Partes garantizan que el público esté adecuadamente informado sobre la transferencia, manipulación y utilización seguras de OVM y participen en la adopción de decisiones relativas a la transferencia, manipulaci</w:t>
            </w:r>
            <w:r w:rsidR="00FF4CAD">
              <w:rPr>
                <w:kern w:val="22"/>
                <w:lang w:val="es-ES_tradnl"/>
              </w:rPr>
              <w:t>ón y utilización seguras de OVM.</w:t>
            </w:r>
          </w:p>
        </w:tc>
      </w:tr>
      <w:tr w:rsidR="00846826" w:rsidRPr="00A202B4" w14:paraId="4DCF532F" w14:textId="77777777" w:rsidTr="00A202B4">
        <w:trPr>
          <w:jc w:val="center"/>
        </w:trPr>
        <w:tc>
          <w:tcPr>
            <w:tcW w:w="1795" w:type="dxa"/>
            <w:tcBorders>
              <w:top w:val="single" w:sz="4" w:space="0" w:color="auto"/>
              <w:left w:val="single" w:sz="4" w:space="0" w:color="auto"/>
              <w:bottom w:val="single" w:sz="4" w:space="0" w:color="auto"/>
              <w:right w:val="single" w:sz="4" w:space="0" w:color="auto"/>
            </w:tcBorders>
          </w:tcPr>
          <w:p w14:paraId="0B4B9A76" w14:textId="77777777" w:rsidR="00846826" w:rsidRPr="00A202B4" w:rsidRDefault="00846826" w:rsidP="00FD020A">
            <w:pPr>
              <w:jc w:val="left"/>
              <w:rPr>
                <w:lang w:val="es-ES_tradnl"/>
              </w:rPr>
            </w:pPr>
            <w:r w:rsidRPr="00A202B4">
              <w:rPr>
                <w:b/>
                <w:bCs/>
                <w:kern w:val="22"/>
                <w:lang w:val="es-ES_tradnl"/>
              </w:rPr>
              <w:t>B.4. Las Partes intensifican la cooperación y la coordinación en cuestiones de seguridad de la biotecnología a nivel nacional, regional e internacional</w:t>
            </w:r>
          </w:p>
        </w:tc>
        <w:tc>
          <w:tcPr>
            <w:tcW w:w="2453" w:type="dxa"/>
            <w:tcBorders>
              <w:top w:val="single" w:sz="4" w:space="0" w:color="auto"/>
              <w:left w:val="single" w:sz="4" w:space="0" w:color="auto"/>
              <w:bottom w:val="single" w:sz="4" w:space="0" w:color="auto"/>
              <w:right w:val="single" w:sz="4" w:space="0" w:color="auto"/>
            </w:tcBorders>
          </w:tcPr>
          <w:p w14:paraId="6E7144C1" w14:textId="77777777" w:rsidR="00846826" w:rsidRPr="00A202B4" w:rsidRDefault="00846826" w:rsidP="00FD020A">
            <w:pPr>
              <w:jc w:val="left"/>
              <w:rPr>
                <w:kern w:val="22"/>
                <w:lang w:val="es-ES_tradnl"/>
              </w:rPr>
            </w:pPr>
            <w:r w:rsidRPr="00A202B4">
              <w:rPr>
                <w:kern w:val="22"/>
                <w:lang w:val="es-ES_tradnl"/>
              </w:rPr>
              <w:t>1) Cooperación entre las Partes y dentro de ellas;</w:t>
            </w:r>
          </w:p>
          <w:p w14:paraId="0A67A08B" w14:textId="77777777" w:rsidR="00846826" w:rsidRPr="00A202B4" w:rsidRDefault="00846826" w:rsidP="00FD020A">
            <w:pPr>
              <w:jc w:val="left"/>
              <w:rPr>
                <w:kern w:val="22"/>
                <w:lang w:val="es-ES_tradnl"/>
              </w:rPr>
            </w:pPr>
            <w:r w:rsidRPr="00A202B4">
              <w:rPr>
                <w:kern w:val="22"/>
                <w:lang w:val="es-ES_tradnl"/>
              </w:rPr>
              <w:t>2) Participación de los pueblos indígenas y las comunidades locales e interesados de sectores pertinentes;</w:t>
            </w:r>
          </w:p>
          <w:p w14:paraId="4486B4DC" w14:textId="77777777" w:rsidR="00846826" w:rsidRPr="00A202B4" w:rsidRDefault="00846826" w:rsidP="00FD020A">
            <w:pPr>
              <w:jc w:val="left"/>
              <w:rPr>
                <w:lang w:val="es-ES_tradnl"/>
              </w:rPr>
            </w:pPr>
            <w:r w:rsidRPr="00A202B4">
              <w:rPr>
                <w:kern w:val="22"/>
                <w:lang w:val="es-ES_tradnl"/>
              </w:rPr>
              <w:t>3) Integración de la seguridad de la biotecnología en la legislación, las políticas y los planes sectoriales e intersectoriales.</w:t>
            </w:r>
          </w:p>
        </w:tc>
        <w:tc>
          <w:tcPr>
            <w:tcW w:w="3118" w:type="dxa"/>
            <w:tcBorders>
              <w:top w:val="single" w:sz="4" w:space="0" w:color="auto"/>
              <w:left w:val="single" w:sz="4" w:space="0" w:color="auto"/>
              <w:bottom w:val="single" w:sz="4" w:space="0" w:color="auto"/>
              <w:right w:val="single" w:sz="4" w:space="0" w:color="auto"/>
            </w:tcBorders>
            <w:tcMar>
              <w:left w:w="115" w:type="dxa"/>
              <w:right w:w="43" w:type="dxa"/>
            </w:tcMar>
          </w:tcPr>
          <w:p w14:paraId="7ED536E2" w14:textId="77777777" w:rsidR="00846826" w:rsidRPr="00A202B4" w:rsidRDefault="00846826" w:rsidP="00FD020A">
            <w:pPr>
              <w:jc w:val="left"/>
              <w:rPr>
                <w:spacing w:val="-4"/>
                <w:kern w:val="22"/>
                <w:lang w:val="es-ES_tradnl"/>
              </w:rPr>
            </w:pPr>
            <w:r w:rsidRPr="00A202B4">
              <w:rPr>
                <w:kern w:val="22"/>
                <w:lang w:val="es-ES_tradnl"/>
              </w:rPr>
              <w:t>i</w:t>
            </w:r>
            <w:r w:rsidRPr="00A202B4">
              <w:rPr>
                <w:spacing w:val="-4"/>
                <w:kern w:val="22"/>
                <w:lang w:val="es-ES_tradnl"/>
              </w:rPr>
              <w:t xml:space="preserve">) Organizar actividades para facilitar la cooperación científica y técnica, el acceso a tecnología y la transferencia de tecnología, y el intercambio de información y experiencias a todos los niveles, en </w:t>
            </w:r>
            <w:r w:rsidRPr="00A202B4">
              <w:rPr>
                <w:spacing w:val="-4"/>
                <w:lang w:val="es-ES_tradnl"/>
              </w:rPr>
              <w:t xml:space="preserve">particular para las Partes que son países en desarrollo y los pequeños Estados insulares en desarrollo entre ellas, así como las Partes con economías en transición; </w:t>
            </w:r>
          </w:p>
          <w:p w14:paraId="54A76992" w14:textId="77777777" w:rsidR="00846826" w:rsidRPr="00A202B4" w:rsidRDefault="00846826" w:rsidP="00FD020A">
            <w:pPr>
              <w:jc w:val="left"/>
              <w:rPr>
                <w:lang w:val="es-ES_tradnl"/>
              </w:rPr>
            </w:pPr>
            <w:r w:rsidRPr="00A202B4">
              <w:rPr>
                <w:spacing w:val="-4"/>
                <w:kern w:val="22"/>
                <w:lang w:val="es-ES_tradnl"/>
              </w:rPr>
              <w:t>ii) Organizar actividades conjuntas con los pueblos indígenas y las comunidades locales e interesados pertinentes de distintos sectores.</w:t>
            </w:r>
          </w:p>
        </w:tc>
        <w:tc>
          <w:tcPr>
            <w:tcW w:w="3261" w:type="dxa"/>
            <w:tcBorders>
              <w:top w:val="single" w:sz="4" w:space="0" w:color="auto"/>
              <w:left w:val="single" w:sz="4" w:space="0" w:color="auto"/>
              <w:bottom w:val="single" w:sz="4" w:space="0" w:color="auto"/>
              <w:right w:val="single" w:sz="4" w:space="0" w:color="auto"/>
            </w:tcBorders>
          </w:tcPr>
          <w:p w14:paraId="3589EE6A" w14:textId="77777777" w:rsidR="00846826" w:rsidRPr="00A202B4" w:rsidRDefault="00846826" w:rsidP="00FD020A">
            <w:pPr>
              <w:jc w:val="left"/>
              <w:rPr>
                <w:kern w:val="22"/>
                <w:lang w:val="es-ES_tradnl"/>
              </w:rPr>
            </w:pPr>
            <w:r w:rsidRPr="00A202B4">
              <w:rPr>
                <w:lang w:val="es-ES_tradnl"/>
              </w:rPr>
              <w:t>a) Porcentaje de Partes que han organizado actividades para facilitar la cooperación científica y técnica y el intercambio de información a nivel bilateral, subregional y regional;</w:t>
            </w:r>
          </w:p>
          <w:p w14:paraId="078C3353" w14:textId="77777777" w:rsidR="00846826" w:rsidRPr="00A202B4" w:rsidRDefault="00846826" w:rsidP="00FD020A">
            <w:pPr>
              <w:jc w:val="left"/>
              <w:rPr>
                <w:lang w:val="es-ES_tradnl"/>
              </w:rPr>
            </w:pPr>
            <w:r w:rsidRPr="00A202B4">
              <w:rPr>
                <w:lang w:val="es-ES_tradnl"/>
              </w:rPr>
              <w:t>b) Porcentaje de Partes que han organizado actividades conjuntas con los pueblos indígenas y las comunidades locales e interesados pertinentes de distintos sectores.</w:t>
            </w:r>
          </w:p>
        </w:tc>
        <w:tc>
          <w:tcPr>
            <w:tcW w:w="2835" w:type="dxa"/>
            <w:tcBorders>
              <w:top w:val="single" w:sz="4" w:space="0" w:color="auto"/>
              <w:left w:val="single" w:sz="4" w:space="0" w:color="auto"/>
              <w:bottom w:val="single" w:sz="4" w:space="0" w:color="auto"/>
              <w:right w:val="single" w:sz="4" w:space="0" w:color="auto"/>
            </w:tcBorders>
          </w:tcPr>
          <w:p w14:paraId="2899B053" w14:textId="320B5C05" w:rsidR="00846826" w:rsidRPr="00A202B4" w:rsidRDefault="00846826" w:rsidP="00FD020A">
            <w:pPr>
              <w:jc w:val="left"/>
              <w:rPr>
                <w:kern w:val="22"/>
                <w:lang w:val="es-ES_tradnl"/>
              </w:rPr>
            </w:pPr>
            <w:r w:rsidRPr="00A202B4">
              <w:rPr>
                <w:kern w:val="22"/>
                <w:lang w:val="es-ES_tradnl"/>
              </w:rPr>
              <w:t>Mediante la cooperación en los planos nacional, regional e internacional y la participación de los interesados la aplicación del Protocolo por las Partes es más eficaz</w:t>
            </w:r>
            <w:r w:rsidR="00FF4CAD">
              <w:rPr>
                <w:kern w:val="22"/>
                <w:lang w:val="es-ES_tradnl"/>
              </w:rPr>
              <w:t>.</w:t>
            </w:r>
          </w:p>
          <w:p w14:paraId="2B0E2A55" w14:textId="77777777" w:rsidR="00846826" w:rsidRPr="00A202B4" w:rsidRDefault="00846826" w:rsidP="00FD020A">
            <w:pPr>
              <w:jc w:val="left"/>
              <w:rPr>
                <w:kern w:val="22"/>
                <w:lang w:val="es-ES_tradnl"/>
              </w:rPr>
            </w:pPr>
          </w:p>
          <w:p w14:paraId="57D62827" w14:textId="780199CE" w:rsidR="00846826" w:rsidRPr="00A202B4" w:rsidRDefault="00846826" w:rsidP="00A202B4">
            <w:pPr>
              <w:jc w:val="left"/>
              <w:rPr>
                <w:kern w:val="22"/>
                <w:lang w:val="es-ES_tradnl"/>
              </w:rPr>
            </w:pPr>
            <w:r w:rsidRPr="00A202B4">
              <w:rPr>
                <w:lang w:val="es-ES_tradnl"/>
              </w:rPr>
              <w:t>Aumento de la concienciación acerca de la importancia de la seguridad de la biotecnología en todo el gobierno y entre los interesados pertinentes</w:t>
            </w:r>
            <w:r w:rsidR="00FF4CAD">
              <w:rPr>
                <w:lang w:val="es-ES_tradnl"/>
              </w:rPr>
              <w:t>.</w:t>
            </w:r>
          </w:p>
        </w:tc>
      </w:tr>
    </w:tbl>
    <w:p w14:paraId="61DEF42D" w14:textId="094AEAC8" w:rsidR="00DD4BAA" w:rsidRPr="00A202B4" w:rsidRDefault="00DD4BAA" w:rsidP="00FD020A">
      <w:pPr>
        <w:rPr>
          <w:lang w:val="es-ES_tradnl"/>
        </w:rPr>
      </w:pPr>
    </w:p>
    <w:p w14:paraId="1A1DB2A1" w14:textId="77777777" w:rsidR="00846826" w:rsidRPr="00A202B4" w:rsidRDefault="00846826" w:rsidP="00811B78">
      <w:pPr>
        <w:pStyle w:val="decision"/>
        <w:spacing w:before="240"/>
        <w:ind w:left="1560" w:right="146" w:hanging="1134"/>
        <w:jc w:val="left"/>
        <w:outlineLvl w:val="9"/>
        <w:rPr>
          <w:rFonts w:hint="eastAsia"/>
          <w:lang w:val="es-ES_tradnl"/>
        </w:rPr>
        <w:sectPr w:rsidR="00846826" w:rsidRPr="00A202B4" w:rsidSect="00DD4BAA">
          <w:footnotePr>
            <w:numRestart w:val="eachSect"/>
          </w:footnotePr>
          <w:pgSz w:w="15840" w:h="12240" w:orient="landscape"/>
          <w:pgMar w:top="1440" w:right="1022" w:bottom="1440" w:left="1022" w:header="461" w:footer="720" w:gutter="0"/>
          <w:cols w:space="708"/>
          <w:docGrid w:linePitch="360"/>
        </w:sectPr>
      </w:pPr>
    </w:p>
    <w:p w14:paraId="1497DCE6" w14:textId="7B8A10AF" w:rsidR="00DD4BAA" w:rsidRPr="00A202B4" w:rsidRDefault="00DD4BAA" w:rsidP="00DD4BAA">
      <w:pPr>
        <w:pStyle w:val="decision"/>
        <w:spacing w:before="0"/>
        <w:rPr>
          <w:rFonts w:hint="eastAsia"/>
          <w:lang w:val="es-ES_tradnl"/>
        </w:rPr>
      </w:pPr>
      <w:bookmarkStart w:id="11" w:name="_Toc152776494"/>
      <w:r w:rsidRPr="00A202B4">
        <w:rPr>
          <w:lang w:val="es-ES_tradnl"/>
        </w:rPr>
        <w:lastRenderedPageBreak/>
        <w:t>CP-10/5.</w:t>
      </w:r>
      <w:r w:rsidRPr="00A202B4">
        <w:rPr>
          <w:lang w:val="es-ES_tradnl"/>
        </w:rPr>
        <w:tab/>
      </w:r>
      <w:r w:rsidR="00846826" w:rsidRPr="00A202B4">
        <w:rPr>
          <w:lang w:val="es-ES_tradnl"/>
        </w:rPr>
        <w:t>Funcionamiento y actividades del Centro de Intercambio de Información sobre Seguridad de la Biotecnología (artículo 20)</w:t>
      </w:r>
      <w:bookmarkEnd w:id="11"/>
    </w:p>
    <w:p w14:paraId="5D662974" w14:textId="77777777" w:rsidR="00846826" w:rsidRPr="00A202B4" w:rsidRDefault="00846826" w:rsidP="00846826">
      <w:pPr>
        <w:pStyle w:val="Para1"/>
        <w:numPr>
          <w:ilvl w:val="0"/>
          <w:numId w:val="0"/>
        </w:numPr>
        <w:shd w:val="clear" w:color="auto" w:fill="FFFFFF" w:themeFill="background1"/>
        <w:ind w:firstLine="720"/>
        <w:rPr>
          <w:i/>
          <w:iCs/>
          <w:lang w:val="es-ES_tradnl"/>
        </w:rPr>
      </w:pPr>
      <w:r w:rsidRPr="00A202B4">
        <w:rPr>
          <w:rStyle w:val="None"/>
          <w:i/>
          <w:lang w:val="es-ES_tradnl"/>
        </w:rPr>
        <w:t>La Conferencia de las Partes que actúa como reunión de las Partes en el Protocolo de Cartagena sobre Seguridad de la Biotecnología,</w:t>
      </w:r>
    </w:p>
    <w:p w14:paraId="3351380F" w14:textId="77777777" w:rsidR="00846826" w:rsidRPr="00A202B4" w:rsidRDefault="00846826" w:rsidP="00846826">
      <w:pPr>
        <w:pStyle w:val="Para1"/>
        <w:numPr>
          <w:ilvl w:val="0"/>
          <w:numId w:val="0"/>
        </w:numPr>
        <w:shd w:val="clear" w:color="auto" w:fill="FFFFFF" w:themeFill="background1"/>
        <w:ind w:firstLine="720"/>
        <w:rPr>
          <w:i/>
          <w:iCs/>
          <w:snapToGrid/>
          <w:lang w:val="es-ES_tradnl"/>
        </w:rPr>
      </w:pPr>
      <w:r w:rsidRPr="00A202B4">
        <w:rPr>
          <w:i/>
          <w:iCs/>
          <w:lang w:val="es-ES_tradnl"/>
        </w:rPr>
        <w:t xml:space="preserve">Reafirmando </w:t>
      </w:r>
      <w:r w:rsidRPr="00A202B4">
        <w:rPr>
          <w:lang w:val="es-ES_tradnl"/>
        </w:rPr>
        <w:t xml:space="preserve">la función crucial del </w:t>
      </w:r>
      <w:r w:rsidRPr="00A202B4">
        <w:rPr>
          <w:rStyle w:val="None"/>
          <w:lang w:val="es-ES_tradnl"/>
        </w:rPr>
        <w:t>Centro de Intercambio de Información sobre Seguridad de la Biotecnología</w:t>
      </w:r>
      <w:r w:rsidRPr="00A202B4">
        <w:rPr>
          <w:lang w:val="es-ES_tradnl"/>
        </w:rPr>
        <w:t xml:space="preserve"> como mecanismo de intercambio de información que facilita la aplicación del Protocolo de Cartagena sobre Seguridad de la Biotecnología y de medidas relacionadas con la creación de capacidad, así como observando la creciente relevancia de dicho centro para los foros en línea,</w:t>
      </w:r>
    </w:p>
    <w:p w14:paraId="4DE06706" w14:textId="11DA5E5A" w:rsidR="00846826" w:rsidRPr="00A202B4" w:rsidRDefault="00846826" w:rsidP="00846826">
      <w:pPr>
        <w:shd w:val="clear" w:color="auto" w:fill="FFFFFF" w:themeFill="background1"/>
        <w:snapToGrid w:val="0"/>
        <w:spacing w:before="120" w:after="120"/>
        <w:ind w:firstLine="720"/>
        <w:rPr>
          <w:snapToGrid w:val="0"/>
          <w:szCs w:val="22"/>
          <w:lang w:val="es-ES_tradnl"/>
        </w:rPr>
      </w:pPr>
      <w:r w:rsidRPr="00A202B4">
        <w:rPr>
          <w:snapToGrid w:val="0"/>
          <w:color w:val="000000" w:themeColor="text1"/>
          <w:szCs w:val="22"/>
          <w:lang w:val="es-ES_tradnl"/>
        </w:rPr>
        <w:t>1.</w:t>
      </w:r>
      <w:r w:rsidRPr="00A202B4">
        <w:rPr>
          <w:snapToGrid w:val="0"/>
          <w:color w:val="000000" w:themeColor="text1"/>
          <w:szCs w:val="22"/>
          <w:lang w:val="es-ES_tradnl"/>
        </w:rPr>
        <w:tab/>
      </w:r>
      <w:r w:rsidRPr="00A202B4">
        <w:rPr>
          <w:rStyle w:val="None"/>
          <w:i/>
          <w:lang w:val="es-ES_tradnl"/>
        </w:rPr>
        <w:t xml:space="preserve">Acoge con satisfacción </w:t>
      </w:r>
      <w:r w:rsidRPr="00A202B4">
        <w:rPr>
          <w:rStyle w:val="None"/>
          <w:lang w:val="es-ES_tradnl"/>
        </w:rPr>
        <w:t>la migración del portal central del Centro de Intercambio de Información sobre Seguridad de la Biotecnología a su nueva plataforma y las mejoras introducidas de conformidad con las modalidades conjuntas de funcionamiento del mecanismo de facilitación del Convenio, el Centro de Intercambio de Información sobre Seguridad de la Biotecnología y el Centro de Intercambio de Información sobre Acceso y Participación en los Beneficios respaldadas en la decisión</w:t>
      </w:r>
      <w:r w:rsidRPr="00A202B4">
        <w:rPr>
          <w:rStyle w:val="None"/>
          <w:szCs w:val="22"/>
          <w:lang w:val="es-ES_tradnl"/>
        </w:rPr>
        <w:t xml:space="preserve"> CP</w:t>
      </w:r>
      <w:r w:rsidR="00304AA3">
        <w:rPr>
          <w:rStyle w:val="None"/>
          <w:szCs w:val="22"/>
          <w:lang w:val="es-ES_tradnl"/>
        </w:rPr>
        <w:noBreakHyphen/>
      </w:r>
      <w:r w:rsidRPr="00A202B4">
        <w:rPr>
          <w:rStyle w:val="None"/>
          <w:szCs w:val="22"/>
          <w:lang w:val="es-ES_tradnl"/>
        </w:rPr>
        <w:t>9/2</w:t>
      </w:r>
      <w:r w:rsidR="00CF3796">
        <w:rPr>
          <w:snapToGrid w:val="0"/>
          <w:szCs w:val="22"/>
          <w:lang w:val="es-ES_tradnl"/>
        </w:rPr>
        <w:t>;</w:t>
      </w:r>
    </w:p>
    <w:p w14:paraId="34DD2746" w14:textId="46CAD512" w:rsidR="00846826" w:rsidRPr="00A202B4" w:rsidDel="00EF45A3" w:rsidRDefault="00846826" w:rsidP="00846826">
      <w:pPr>
        <w:shd w:val="clear" w:color="auto" w:fill="FFFFFF" w:themeFill="background1"/>
        <w:snapToGrid w:val="0"/>
        <w:spacing w:before="120" w:after="120"/>
        <w:ind w:firstLine="720"/>
        <w:rPr>
          <w:snapToGrid w:val="0"/>
          <w:szCs w:val="22"/>
          <w:lang w:val="es-ES_tradnl"/>
        </w:rPr>
      </w:pPr>
      <w:r w:rsidRPr="00A202B4">
        <w:rPr>
          <w:snapToGrid w:val="0"/>
          <w:color w:val="000000" w:themeColor="text1"/>
          <w:szCs w:val="22"/>
          <w:lang w:val="es-ES_tradnl"/>
        </w:rPr>
        <w:t>2.</w:t>
      </w:r>
      <w:r w:rsidRPr="00A202B4">
        <w:rPr>
          <w:snapToGrid w:val="0"/>
          <w:color w:val="000000" w:themeColor="text1"/>
          <w:szCs w:val="22"/>
          <w:lang w:val="es-ES_tradnl"/>
        </w:rPr>
        <w:tab/>
      </w:r>
      <w:r w:rsidRPr="00A202B4">
        <w:rPr>
          <w:rStyle w:val="None"/>
          <w:i/>
          <w:lang w:val="es-ES_tradnl"/>
        </w:rPr>
        <w:t>Exhorta</w:t>
      </w:r>
      <w:r w:rsidRPr="00A202B4">
        <w:rPr>
          <w:rStyle w:val="None"/>
          <w:lang w:val="es-ES_tradnl"/>
        </w:rPr>
        <w:t xml:space="preserve"> a las Partes y otros Gobiernos a que publiquen la información disponible a nivel nacional en el Centro de Intercambio de Información sobre Seguridad de la Biotecnología, de conformidad con las obligaciones dimanantes del Protocolo</w:t>
      </w:r>
      <w:r w:rsidRPr="00A202B4">
        <w:rPr>
          <w:snapToGrid w:val="0"/>
          <w:szCs w:val="22"/>
          <w:lang w:val="es-ES_tradnl"/>
        </w:rPr>
        <w:t>;</w:t>
      </w:r>
    </w:p>
    <w:p w14:paraId="233876F5" w14:textId="77777777" w:rsidR="00846826" w:rsidRPr="00A202B4" w:rsidDel="00EF45A3" w:rsidRDefault="00846826" w:rsidP="00846826">
      <w:pPr>
        <w:shd w:val="clear" w:color="auto" w:fill="FFFFFF" w:themeFill="background1"/>
        <w:snapToGrid w:val="0"/>
        <w:spacing w:before="120" w:after="120"/>
        <w:ind w:firstLine="720"/>
        <w:rPr>
          <w:snapToGrid w:val="0"/>
          <w:szCs w:val="22"/>
          <w:lang w:val="es-ES_tradnl"/>
        </w:rPr>
      </w:pPr>
      <w:r w:rsidRPr="00A202B4">
        <w:rPr>
          <w:snapToGrid w:val="0"/>
          <w:color w:val="000000" w:themeColor="text1"/>
          <w:szCs w:val="22"/>
          <w:lang w:val="es-ES_tradnl"/>
        </w:rPr>
        <w:t>3.</w:t>
      </w:r>
      <w:r w:rsidRPr="00A202B4">
        <w:rPr>
          <w:snapToGrid w:val="0"/>
          <w:color w:val="000000" w:themeColor="text1"/>
          <w:szCs w:val="22"/>
          <w:lang w:val="es-ES_tradnl"/>
        </w:rPr>
        <w:tab/>
      </w:r>
      <w:r w:rsidRPr="00A202B4">
        <w:rPr>
          <w:rStyle w:val="None"/>
          <w:i/>
          <w:lang w:val="es-ES_tradnl"/>
        </w:rPr>
        <w:t>Exhorta</w:t>
      </w:r>
      <w:r w:rsidRPr="00A202B4">
        <w:rPr>
          <w:rStyle w:val="None"/>
          <w:lang w:val="es-ES_tradnl"/>
        </w:rPr>
        <w:t xml:space="preserve"> a las Partes, otros Gobiernos y las organizaciones pertinentes a que revisen los registros que hayan publicado anteriormente en el Centro de Intercambio de Información sobre Seguridad de la Biotecnología para verificar su precisión en la nueva plataforma y a que realicen las revisiones o actualizaciones necesarias de forma oportuna</w:t>
      </w:r>
      <w:r w:rsidRPr="00A202B4">
        <w:rPr>
          <w:snapToGrid w:val="0"/>
          <w:szCs w:val="22"/>
          <w:lang w:val="es-ES_tradnl"/>
        </w:rPr>
        <w:t>;</w:t>
      </w:r>
    </w:p>
    <w:p w14:paraId="48385644" w14:textId="77777777" w:rsidR="00846826" w:rsidRPr="00A202B4" w:rsidRDefault="00846826" w:rsidP="00304AA3">
      <w:pPr>
        <w:ind w:firstLine="720"/>
        <w:rPr>
          <w:sz w:val="24"/>
          <w:lang w:val="es-ES_tradnl" w:eastAsia="zh-CN"/>
        </w:rPr>
      </w:pPr>
      <w:r w:rsidRPr="00A202B4">
        <w:rPr>
          <w:snapToGrid w:val="0"/>
          <w:color w:val="000000" w:themeColor="text1"/>
          <w:szCs w:val="22"/>
          <w:lang w:val="es-ES_tradnl"/>
        </w:rPr>
        <w:t>4.</w:t>
      </w:r>
      <w:r w:rsidRPr="00A202B4">
        <w:rPr>
          <w:snapToGrid w:val="0"/>
          <w:color w:val="000000" w:themeColor="text1"/>
          <w:szCs w:val="22"/>
          <w:lang w:val="es-ES_tradnl"/>
        </w:rPr>
        <w:tab/>
      </w:r>
      <w:r w:rsidRPr="00A202B4">
        <w:rPr>
          <w:i/>
          <w:lang w:val="es-ES_tradnl"/>
        </w:rPr>
        <w:t xml:space="preserve">Toma nota </w:t>
      </w:r>
      <w:r w:rsidRPr="00A202B4">
        <w:rPr>
          <w:lang w:val="es-ES_tradnl"/>
        </w:rPr>
        <w:t>de la meta A.2 y de las actividades de creación de capacidad conexas que figuran en el Plan de Aplicación para el Protocolo de Cartagena sobre Seguridad de la Biotecnología</w:t>
      </w:r>
      <w:r w:rsidRPr="00A202B4">
        <w:rPr>
          <w:rStyle w:val="FootnoteReference"/>
          <w:sz w:val="22"/>
          <w:szCs w:val="22"/>
          <w:u w:val="none"/>
          <w:vertAlign w:val="superscript"/>
          <w:lang w:val="es-ES_tradnl"/>
        </w:rPr>
        <w:footnoteReference w:id="15"/>
      </w:r>
      <w:r w:rsidRPr="00A202B4">
        <w:rPr>
          <w:lang w:val="es-ES_tradnl"/>
        </w:rPr>
        <w:t xml:space="preserve"> y en el Plan de Acción para la Creación de Capacidad para el Protocolo de Cartagena sobre Seguridad de la Biotecnología</w:t>
      </w:r>
      <w:r w:rsidRPr="00A202B4">
        <w:rPr>
          <w:szCs w:val="22"/>
          <w:vertAlign w:val="superscript"/>
          <w:lang w:val="es-ES_tradnl"/>
        </w:rPr>
        <w:footnoteReference w:id="16"/>
      </w:r>
      <w:r w:rsidRPr="00A202B4">
        <w:rPr>
          <w:szCs w:val="22"/>
          <w:lang w:val="es-ES_tradnl"/>
        </w:rPr>
        <w:t xml:space="preserve"> e </w:t>
      </w:r>
      <w:r w:rsidRPr="00A202B4">
        <w:rPr>
          <w:i/>
          <w:iCs/>
          <w:szCs w:val="22"/>
          <w:lang w:val="es-ES_tradnl"/>
        </w:rPr>
        <w:t>invita</w:t>
      </w:r>
      <w:r w:rsidRPr="00A202B4">
        <w:rPr>
          <w:szCs w:val="22"/>
          <w:lang w:val="es-ES_tradnl"/>
        </w:rPr>
        <w:t xml:space="preserve"> </w:t>
      </w:r>
      <w:r w:rsidRPr="00A202B4">
        <w:rPr>
          <w:lang w:val="es-ES_tradnl"/>
        </w:rPr>
        <w:t>a las Partes, otros Gobiernos y las organizaciones pertinentes a que lleven a cabo actividades conexas con miras a seguir fortaleciendo la función del Centro de Intercambio de Información sobre Seguridad de la Biotecnología en la aplicación del Protocolo de Cartagena</w:t>
      </w:r>
      <w:r w:rsidRPr="00A202B4">
        <w:rPr>
          <w:szCs w:val="22"/>
          <w:lang w:val="es-ES_tradnl"/>
        </w:rPr>
        <w:t>;</w:t>
      </w:r>
    </w:p>
    <w:p w14:paraId="3452508F" w14:textId="77777777" w:rsidR="00846826" w:rsidRPr="00A202B4" w:rsidRDefault="00846826" w:rsidP="00846826">
      <w:pPr>
        <w:shd w:val="clear" w:color="auto" w:fill="FFFFFF" w:themeFill="background1"/>
        <w:snapToGrid w:val="0"/>
        <w:spacing w:before="120" w:after="120"/>
        <w:ind w:firstLine="720"/>
        <w:rPr>
          <w:szCs w:val="22"/>
          <w:lang w:val="es-ES_tradnl"/>
        </w:rPr>
      </w:pPr>
      <w:r w:rsidRPr="00A202B4">
        <w:rPr>
          <w:snapToGrid w:val="0"/>
          <w:color w:val="000000" w:themeColor="text1"/>
          <w:szCs w:val="22"/>
          <w:lang w:val="es-ES_tradnl"/>
        </w:rPr>
        <w:t>5.</w:t>
      </w:r>
      <w:r w:rsidRPr="00A202B4">
        <w:rPr>
          <w:snapToGrid w:val="0"/>
          <w:color w:val="000000" w:themeColor="text1"/>
          <w:szCs w:val="22"/>
          <w:lang w:val="es-ES_tradnl"/>
        </w:rPr>
        <w:tab/>
      </w:r>
      <w:r w:rsidRPr="00A202B4">
        <w:rPr>
          <w:rStyle w:val="None"/>
          <w:i/>
          <w:lang w:val="es-ES_tradnl"/>
        </w:rPr>
        <w:t>Acoge con satisfacción</w:t>
      </w:r>
      <w:r w:rsidRPr="00A202B4">
        <w:rPr>
          <w:lang w:val="es-ES_tradnl"/>
        </w:rPr>
        <w:t xml:space="preserve"> la ejecución satisfactoria del “Proyecto para la Creación de Capacidad Sostenible para una Efectiva Participación en el Centro de Intercambio de Información sobre Seguridad de la Biotecnología” del Programa de las Naciones Unidas para el Medio Ambiente y el Fondo para el Medio Ambiente Mundial (Proyecto CIISB-III), e invita al Programa de las Naciones Unidas para el Medio Ambiente a continuar desarrollando otros proyectos de creación de capacidad relacionados con el Centro de Intercambio de Información sobre Seguridad de la Biotecnología</w:t>
      </w:r>
      <w:r w:rsidRPr="00A202B4">
        <w:rPr>
          <w:snapToGrid w:val="0"/>
          <w:szCs w:val="22"/>
          <w:lang w:val="es-ES_tradnl"/>
        </w:rPr>
        <w:t>;</w:t>
      </w:r>
      <w:r w:rsidRPr="00A202B4">
        <w:rPr>
          <w:i/>
          <w:iCs/>
          <w:snapToGrid w:val="0"/>
          <w:szCs w:val="22"/>
          <w:lang w:val="es-ES_tradnl"/>
        </w:rPr>
        <w:t xml:space="preserve"> </w:t>
      </w:r>
    </w:p>
    <w:p w14:paraId="54E96054" w14:textId="77777777" w:rsidR="00846826" w:rsidRPr="00A202B4" w:rsidRDefault="00846826" w:rsidP="00846826">
      <w:pPr>
        <w:shd w:val="clear" w:color="auto" w:fill="FFFFFF" w:themeFill="background1"/>
        <w:snapToGrid w:val="0"/>
        <w:spacing w:before="120" w:after="120"/>
        <w:ind w:firstLine="720"/>
        <w:rPr>
          <w:snapToGrid w:val="0"/>
          <w:szCs w:val="22"/>
          <w:lang w:val="es-ES_tradnl"/>
        </w:rPr>
      </w:pPr>
      <w:r w:rsidRPr="00A202B4">
        <w:rPr>
          <w:snapToGrid w:val="0"/>
          <w:color w:val="000000" w:themeColor="text1"/>
          <w:szCs w:val="22"/>
          <w:lang w:val="es-ES_tradnl"/>
        </w:rPr>
        <w:t>6.</w:t>
      </w:r>
      <w:r w:rsidRPr="00A202B4">
        <w:rPr>
          <w:snapToGrid w:val="0"/>
          <w:color w:val="000000" w:themeColor="text1"/>
          <w:szCs w:val="22"/>
          <w:lang w:val="es-ES_tradnl"/>
        </w:rPr>
        <w:tab/>
      </w:r>
      <w:r w:rsidRPr="00A202B4">
        <w:rPr>
          <w:rStyle w:val="None"/>
          <w:i/>
          <w:lang w:val="es-ES_tradnl"/>
        </w:rPr>
        <w:t xml:space="preserve">También acoge con satisfacción </w:t>
      </w:r>
      <w:r w:rsidRPr="00A202B4">
        <w:rPr>
          <w:rStyle w:val="None"/>
          <w:lang w:val="es-ES_tradnl"/>
        </w:rPr>
        <w:t>las actividades de colaboración emprendidas entre las bases de datos de seguridad de la biotecnología de la Organización de las Naciones Unidas para la Alimentación y la Agricultura y la Organización de Cooperación y Desarrollo Económicos, y el Centro de Intercambio de Información sobre Seguridad de la Biotecnología</w:t>
      </w:r>
      <w:r w:rsidRPr="00A202B4">
        <w:rPr>
          <w:snapToGrid w:val="0"/>
          <w:szCs w:val="22"/>
          <w:lang w:val="es-ES_tradnl"/>
        </w:rPr>
        <w:t>;</w:t>
      </w:r>
    </w:p>
    <w:p w14:paraId="18216350" w14:textId="77777777" w:rsidR="00846826" w:rsidRPr="00A202B4" w:rsidRDefault="00846826" w:rsidP="00846826">
      <w:pPr>
        <w:shd w:val="clear" w:color="auto" w:fill="FFFFFF" w:themeFill="background1"/>
        <w:snapToGrid w:val="0"/>
        <w:spacing w:before="120" w:after="120"/>
        <w:ind w:firstLine="720"/>
        <w:rPr>
          <w:snapToGrid w:val="0"/>
          <w:color w:val="000000" w:themeColor="text1"/>
          <w:szCs w:val="22"/>
          <w:lang w:val="es-ES_tradnl"/>
        </w:rPr>
      </w:pPr>
      <w:r w:rsidRPr="00A202B4">
        <w:rPr>
          <w:snapToGrid w:val="0"/>
          <w:color w:val="000000" w:themeColor="text1"/>
          <w:szCs w:val="22"/>
          <w:lang w:val="es-ES_tradnl"/>
        </w:rPr>
        <w:t>7.</w:t>
      </w:r>
      <w:r w:rsidRPr="00A202B4">
        <w:rPr>
          <w:snapToGrid w:val="0"/>
          <w:color w:val="000000" w:themeColor="text1"/>
          <w:szCs w:val="22"/>
          <w:lang w:val="es-ES_tradnl"/>
        </w:rPr>
        <w:tab/>
      </w:r>
      <w:r w:rsidRPr="00A202B4">
        <w:rPr>
          <w:i/>
          <w:color w:val="000000" w:themeColor="text1"/>
          <w:lang w:val="es-ES_tradnl"/>
        </w:rPr>
        <w:t>Pide</w:t>
      </w:r>
      <w:r w:rsidRPr="00A202B4">
        <w:rPr>
          <w:color w:val="000000" w:themeColor="text1"/>
          <w:lang w:val="es-ES_tradnl"/>
        </w:rPr>
        <w:t xml:space="preserve"> a la Secretaria Ejecutiva que siga manteniendo el Centro de Intercambio de Información sobre Seguridad de la Biotecnología y realizando las mejoras necesarias, que incluyen</w:t>
      </w:r>
      <w:r w:rsidRPr="00A202B4">
        <w:rPr>
          <w:snapToGrid w:val="0"/>
          <w:color w:val="000000" w:themeColor="text1"/>
          <w:szCs w:val="22"/>
          <w:lang w:val="es-ES_tradnl"/>
        </w:rPr>
        <w:t>:</w:t>
      </w:r>
    </w:p>
    <w:p w14:paraId="53EBC403" w14:textId="77777777" w:rsidR="00846826" w:rsidRPr="00A202B4" w:rsidRDefault="00846826" w:rsidP="00846826">
      <w:pPr>
        <w:suppressLineNumbers/>
        <w:shd w:val="clear" w:color="auto" w:fill="FFFFFF" w:themeFill="background1"/>
        <w:suppressAutoHyphens/>
        <w:spacing w:before="120" w:after="120"/>
        <w:ind w:firstLine="720"/>
        <w:rPr>
          <w:color w:val="000000" w:themeColor="text1"/>
          <w:szCs w:val="22"/>
          <w:lang w:val="es-ES_tradnl"/>
        </w:rPr>
      </w:pPr>
      <w:r w:rsidRPr="00A202B4">
        <w:rPr>
          <w:color w:val="000000" w:themeColor="text1"/>
          <w:szCs w:val="22"/>
          <w:lang w:val="es-ES_tradnl"/>
        </w:rPr>
        <w:t>a)</w:t>
      </w:r>
      <w:r w:rsidRPr="00A202B4">
        <w:rPr>
          <w:color w:val="000000" w:themeColor="text1"/>
          <w:szCs w:val="22"/>
          <w:lang w:val="es-ES_tradnl"/>
        </w:rPr>
        <w:tab/>
      </w:r>
      <w:r w:rsidRPr="00A202B4">
        <w:rPr>
          <w:color w:val="000000" w:themeColor="text1"/>
          <w:lang w:val="es-ES_tradnl"/>
        </w:rPr>
        <w:t>Traducir más páginas del Centro de Intercambio de Información sobre Seguridad de la Biotecnología, tales como nuevas características y contenidos a medida que se desarrollen, a fin de garantizar que el Centro de Intercambio de Información esté disponible en los seis idiomas oficiales de las Naciones Unidas</w:t>
      </w:r>
      <w:r w:rsidRPr="00A202B4">
        <w:rPr>
          <w:color w:val="000000" w:themeColor="text1"/>
          <w:szCs w:val="22"/>
          <w:lang w:val="es-ES_tradnl"/>
        </w:rPr>
        <w:t xml:space="preserve">; </w:t>
      </w:r>
    </w:p>
    <w:p w14:paraId="16CB79AA" w14:textId="77777777" w:rsidR="00846826" w:rsidRPr="00A202B4" w:rsidRDefault="00846826" w:rsidP="00846826">
      <w:pPr>
        <w:suppressLineNumbers/>
        <w:shd w:val="clear" w:color="auto" w:fill="FFFFFF" w:themeFill="background1"/>
        <w:suppressAutoHyphens/>
        <w:spacing w:before="120" w:after="120"/>
        <w:ind w:firstLine="720"/>
        <w:rPr>
          <w:color w:val="000000" w:themeColor="text1"/>
          <w:szCs w:val="22"/>
          <w:lang w:val="es-ES_tradnl"/>
        </w:rPr>
      </w:pPr>
      <w:r w:rsidRPr="00A202B4">
        <w:rPr>
          <w:color w:val="000000" w:themeColor="text1"/>
          <w:szCs w:val="22"/>
          <w:lang w:val="es-ES_tradnl"/>
        </w:rPr>
        <w:t>b)</w:t>
      </w:r>
      <w:r w:rsidRPr="00A202B4">
        <w:rPr>
          <w:color w:val="000000" w:themeColor="text1"/>
          <w:szCs w:val="22"/>
          <w:lang w:val="es-ES_tradnl"/>
        </w:rPr>
        <w:tab/>
      </w:r>
      <w:r w:rsidRPr="00A202B4">
        <w:rPr>
          <w:color w:val="000000" w:themeColor="text1"/>
          <w:lang w:val="es-ES_tradnl"/>
        </w:rPr>
        <w:t xml:space="preserve">Estudiar cómo puede utilizarse la herramienta Bioland para facilitar el vínculo entre los sitios web nacionales y el Centro de Intercambio de Información sobre Seguridad de la Biotecnología, y </w:t>
      </w:r>
      <w:r w:rsidRPr="00A202B4">
        <w:rPr>
          <w:color w:val="000000" w:themeColor="text1"/>
          <w:lang w:val="es-ES_tradnl"/>
        </w:rPr>
        <w:lastRenderedPageBreak/>
        <w:t>otros mecanismos que permitan a los centros de intercambio de información nacionales recuperar información del Centro de Intercambio de Información sobre Seguridad de la Biotecnología</w:t>
      </w:r>
      <w:r w:rsidRPr="00A202B4">
        <w:rPr>
          <w:color w:val="000000" w:themeColor="text1"/>
          <w:szCs w:val="22"/>
          <w:lang w:val="es-ES_tradnl"/>
        </w:rPr>
        <w:t>;</w:t>
      </w:r>
    </w:p>
    <w:p w14:paraId="170728AE" w14:textId="77777777" w:rsidR="00846826" w:rsidRPr="00A202B4" w:rsidRDefault="00846826" w:rsidP="00846826">
      <w:pPr>
        <w:suppressLineNumbers/>
        <w:shd w:val="clear" w:color="auto" w:fill="FFFFFF" w:themeFill="background1"/>
        <w:suppressAutoHyphens/>
        <w:spacing w:before="120" w:after="120"/>
        <w:ind w:firstLine="720"/>
        <w:rPr>
          <w:color w:val="000000" w:themeColor="text1"/>
          <w:szCs w:val="22"/>
          <w:lang w:val="es-ES_tradnl"/>
        </w:rPr>
      </w:pPr>
      <w:r w:rsidRPr="00A202B4">
        <w:rPr>
          <w:color w:val="000000" w:themeColor="text1"/>
          <w:szCs w:val="22"/>
          <w:lang w:val="es-ES_tradnl"/>
        </w:rPr>
        <w:t>c)</w:t>
      </w:r>
      <w:r w:rsidRPr="00A202B4">
        <w:rPr>
          <w:color w:val="000000" w:themeColor="text1"/>
          <w:szCs w:val="22"/>
          <w:lang w:val="es-ES_tradnl"/>
        </w:rPr>
        <w:tab/>
        <w:t>Continuar asegurándose de que la información del centro esté al día;</w:t>
      </w:r>
    </w:p>
    <w:p w14:paraId="08B05E5A" w14:textId="77777777" w:rsidR="00846826" w:rsidRPr="00A202B4" w:rsidRDefault="00846826" w:rsidP="00846826">
      <w:pPr>
        <w:keepNext/>
        <w:suppressLineNumbers/>
        <w:shd w:val="clear" w:color="auto" w:fill="FFFFFF" w:themeFill="background1"/>
        <w:suppressAutoHyphens/>
        <w:snapToGrid w:val="0"/>
        <w:spacing w:before="120" w:after="120"/>
        <w:ind w:firstLine="720"/>
        <w:rPr>
          <w:snapToGrid w:val="0"/>
          <w:color w:val="000000" w:themeColor="text1"/>
          <w:szCs w:val="22"/>
          <w:lang w:val="es-ES_tradnl"/>
        </w:rPr>
      </w:pPr>
      <w:r w:rsidRPr="00A202B4">
        <w:rPr>
          <w:snapToGrid w:val="0"/>
          <w:color w:val="000000" w:themeColor="text1"/>
          <w:szCs w:val="22"/>
          <w:lang w:val="es-ES_tradnl"/>
        </w:rPr>
        <w:t>8</w:t>
      </w:r>
      <w:r w:rsidRPr="00A202B4">
        <w:rPr>
          <w:i/>
          <w:iCs/>
          <w:snapToGrid w:val="0"/>
          <w:color w:val="000000" w:themeColor="text1"/>
          <w:szCs w:val="22"/>
          <w:lang w:val="es-ES_tradnl"/>
        </w:rPr>
        <w:t>.</w:t>
      </w:r>
      <w:r w:rsidRPr="00A202B4">
        <w:rPr>
          <w:i/>
          <w:iCs/>
          <w:snapToGrid w:val="0"/>
          <w:color w:val="000000" w:themeColor="text1"/>
          <w:szCs w:val="22"/>
          <w:lang w:val="es-ES_tradnl"/>
        </w:rPr>
        <w:tab/>
      </w:r>
      <w:r w:rsidRPr="00A202B4">
        <w:rPr>
          <w:i/>
          <w:color w:val="000000" w:themeColor="text1"/>
          <w:lang w:val="es-ES_tradnl"/>
        </w:rPr>
        <w:t>Pide además</w:t>
      </w:r>
      <w:r w:rsidRPr="00A202B4">
        <w:rPr>
          <w:color w:val="000000" w:themeColor="text1"/>
          <w:lang w:val="es-ES_tradnl"/>
        </w:rPr>
        <w:t xml:space="preserve"> a la Secretaria Ejecutiva que</w:t>
      </w:r>
      <w:r w:rsidRPr="00A202B4">
        <w:rPr>
          <w:snapToGrid w:val="0"/>
          <w:color w:val="000000" w:themeColor="text1"/>
          <w:szCs w:val="22"/>
          <w:lang w:val="es-ES_tradnl"/>
        </w:rPr>
        <w:t xml:space="preserve">: </w:t>
      </w:r>
    </w:p>
    <w:p w14:paraId="71204C94" w14:textId="77777777" w:rsidR="00846826" w:rsidRPr="00A202B4" w:rsidRDefault="00846826" w:rsidP="00846826">
      <w:pPr>
        <w:suppressLineNumbers/>
        <w:shd w:val="clear" w:color="auto" w:fill="FFFFFF" w:themeFill="background1"/>
        <w:suppressAutoHyphens/>
        <w:spacing w:before="120" w:after="120"/>
        <w:ind w:firstLine="720"/>
        <w:rPr>
          <w:color w:val="000000" w:themeColor="text1"/>
          <w:szCs w:val="22"/>
          <w:lang w:val="es-ES_tradnl"/>
        </w:rPr>
      </w:pPr>
      <w:r w:rsidRPr="00A202B4">
        <w:rPr>
          <w:color w:val="000000" w:themeColor="text1"/>
          <w:szCs w:val="22"/>
          <w:lang w:val="es-ES_tradnl"/>
        </w:rPr>
        <w:t>a)</w:t>
      </w:r>
      <w:r w:rsidRPr="00A202B4">
        <w:rPr>
          <w:color w:val="000000" w:themeColor="text1"/>
          <w:szCs w:val="22"/>
          <w:lang w:val="es-ES_tradnl"/>
        </w:rPr>
        <w:tab/>
      </w:r>
      <w:r w:rsidRPr="00A202B4">
        <w:rPr>
          <w:color w:val="000000" w:themeColor="text1"/>
          <w:lang w:val="es-ES_tradnl"/>
        </w:rPr>
        <w:t>Elabore materiales de creación de capacidad basados en las prioridades identificadas por las Partes e imparta cursos de capacitación sobre las nuevas funcionalidades del Centro de Intercambio de Información sobre Seguridad de la Biotecnología, incluso como contribución a las actividades fundamentales destacadas en el Plan de Acción para la Creación de Capacidad para el Protocolo de Cartagena sobre Seguridad de la Biotecnología adoptado en la decisión CP-10/4</w:t>
      </w:r>
      <w:r w:rsidRPr="00A202B4">
        <w:rPr>
          <w:color w:val="000000" w:themeColor="text1"/>
          <w:szCs w:val="22"/>
          <w:lang w:val="es-ES_tradnl"/>
        </w:rPr>
        <w:t xml:space="preserve">; </w:t>
      </w:r>
    </w:p>
    <w:p w14:paraId="7F26B835" w14:textId="77777777" w:rsidR="00846826" w:rsidRPr="00A202B4" w:rsidRDefault="00846826" w:rsidP="00846826">
      <w:pPr>
        <w:suppressLineNumbers/>
        <w:shd w:val="clear" w:color="auto" w:fill="FFFFFF" w:themeFill="background1"/>
        <w:suppressAutoHyphens/>
        <w:spacing w:before="120" w:after="120"/>
        <w:ind w:firstLine="720"/>
        <w:jc w:val="left"/>
        <w:rPr>
          <w:color w:val="000000" w:themeColor="text1"/>
          <w:szCs w:val="22"/>
          <w:lang w:val="es-ES_tradnl"/>
        </w:rPr>
      </w:pPr>
      <w:r w:rsidRPr="00A202B4">
        <w:rPr>
          <w:color w:val="000000" w:themeColor="text1"/>
          <w:szCs w:val="22"/>
          <w:lang w:val="es-ES_tradnl"/>
        </w:rPr>
        <w:t>b)</w:t>
      </w:r>
      <w:r w:rsidRPr="00A202B4">
        <w:rPr>
          <w:color w:val="000000" w:themeColor="text1"/>
          <w:szCs w:val="22"/>
          <w:lang w:val="es-ES_tradnl"/>
        </w:rPr>
        <w:tab/>
      </w:r>
      <w:r w:rsidRPr="00A202B4">
        <w:rPr>
          <w:color w:val="000000" w:themeColor="text1"/>
          <w:lang w:val="es-ES_tradnl"/>
        </w:rPr>
        <w:t>Estudie opciones e implemente un enfoque coordinado de la infraestructura web para los foros en línea en todos los centros de intercambio de información</w:t>
      </w:r>
      <w:r w:rsidRPr="00A202B4">
        <w:rPr>
          <w:color w:val="000000" w:themeColor="text1"/>
          <w:szCs w:val="22"/>
          <w:lang w:val="es-ES_tradnl"/>
        </w:rPr>
        <w:t xml:space="preserve">; </w:t>
      </w:r>
    </w:p>
    <w:p w14:paraId="7AAF147D" w14:textId="6F9D2765" w:rsidR="00846826" w:rsidRPr="00A202B4" w:rsidRDefault="00846826" w:rsidP="00CF3796">
      <w:pPr>
        <w:suppressLineNumbers/>
        <w:shd w:val="clear" w:color="auto" w:fill="FFFFFF" w:themeFill="background1"/>
        <w:suppressAutoHyphens/>
        <w:spacing w:before="120" w:after="120"/>
        <w:ind w:firstLine="720"/>
        <w:jc w:val="left"/>
        <w:rPr>
          <w:lang w:val="es-ES_tradnl"/>
        </w:rPr>
      </w:pPr>
      <w:r w:rsidRPr="00A202B4">
        <w:rPr>
          <w:color w:val="000000" w:themeColor="text1"/>
          <w:szCs w:val="22"/>
          <w:lang w:val="es-ES_tradnl"/>
        </w:rPr>
        <w:t>c)</w:t>
      </w:r>
      <w:r w:rsidRPr="00A202B4">
        <w:rPr>
          <w:color w:val="000000" w:themeColor="text1"/>
          <w:szCs w:val="22"/>
          <w:lang w:val="es-ES_tradnl"/>
        </w:rPr>
        <w:tab/>
      </w:r>
      <w:r w:rsidRPr="00A202B4">
        <w:rPr>
          <w:color w:val="000000" w:themeColor="text1"/>
          <w:lang w:val="es-ES_tradnl"/>
        </w:rPr>
        <w:t>Continúe colaborando con otras bases de datos y organizaciones relacionadas con la seguridad de la biotecnología</w:t>
      </w:r>
      <w:r w:rsidRPr="00A202B4">
        <w:rPr>
          <w:color w:val="000000" w:themeColor="text1"/>
          <w:szCs w:val="22"/>
          <w:lang w:val="es-ES_tradnl"/>
        </w:rPr>
        <w:t>.</w:t>
      </w:r>
    </w:p>
    <w:p w14:paraId="6797B72B" w14:textId="73EB35B8" w:rsidR="00846826" w:rsidRPr="00A202B4" w:rsidRDefault="00846826" w:rsidP="00DD4BAA">
      <w:pPr>
        <w:pStyle w:val="decision"/>
        <w:spacing w:before="0"/>
        <w:rPr>
          <w:rFonts w:hint="eastAsia"/>
          <w:lang w:val="es-ES_tradnl"/>
        </w:rPr>
      </w:pPr>
    </w:p>
    <w:p w14:paraId="2178BDB8" w14:textId="77777777" w:rsidR="00846826" w:rsidRPr="00A202B4" w:rsidRDefault="00846826" w:rsidP="00DD4BAA">
      <w:pPr>
        <w:pStyle w:val="decision"/>
        <w:spacing w:before="0"/>
        <w:rPr>
          <w:rFonts w:hint="eastAsia"/>
          <w:lang w:val="es-ES_tradnl"/>
        </w:rPr>
        <w:sectPr w:rsidR="00846826" w:rsidRPr="00A202B4" w:rsidSect="009474D1">
          <w:footnotePr>
            <w:numRestart w:val="eachSect"/>
          </w:footnotePr>
          <w:pgSz w:w="12240" w:h="15840"/>
          <w:pgMar w:top="1021" w:right="1440" w:bottom="1021" w:left="1440" w:header="459" w:footer="720" w:gutter="0"/>
          <w:cols w:space="708"/>
          <w:docGrid w:linePitch="360"/>
        </w:sectPr>
      </w:pPr>
    </w:p>
    <w:p w14:paraId="198B4DE3" w14:textId="085ADAD2" w:rsidR="00DD4BAA" w:rsidRPr="00A202B4" w:rsidRDefault="00DD4BAA" w:rsidP="00DD4BAA">
      <w:pPr>
        <w:pStyle w:val="decision"/>
        <w:spacing w:before="0"/>
        <w:rPr>
          <w:rFonts w:hint="eastAsia"/>
          <w:lang w:val="es-ES_tradnl"/>
        </w:rPr>
      </w:pPr>
      <w:bookmarkStart w:id="12" w:name="_Toc152776495"/>
      <w:r w:rsidRPr="00A202B4">
        <w:rPr>
          <w:lang w:val="es-ES_tradnl"/>
        </w:rPr>
        <w:lastRenderedPageBreak/>
        <w:t>CP-10/6.</w:t>
      </w:r>
      <w:r w:rsidRPr="00A202B4">
        <w:rPr>
          <w:lang w:val="es-ES_tradnl"/>
        </w:rPr>
        <w:tab/>
      </w:r>
      <w:r w:rsidR="005C3E00" w:rsidRPr="00A202B4">
        <w:rPr>
          <w:lang w:val="es-ES_tradnl"/>
        </w:rPr>
        <w:t>Asuntos relacionados con el mecanismo financiero y los recursos financieros (artículo 28)</w:t>
      </w:r>
      <w:bookmarkEnd w:id="12"/>
    </w:p>
    <w:p w14:paraId="40FE5AB7" w14:textId="77777777" w:rsidR="005C3E00" w:rsidRPr="00A202B4" w:rsidRDefault="005C3E00" w:rsidP="005C3E00">
      <w:pPr>
        <w:spacing w:before="120" w:after="120"/>
        <w:ind w:firstLine="720"/>
        <w:rPr>
          <w:i/>
          <w:iCs/>
          <w:kern w:val="22"/>
          <w:szCs w:val="22"/>
          <w:lang w:val="es-ES_tradnl"/>
        </w:rPr>
      </w:pPr>
      <w:r w:rsidRPr="00A202B4">
        <w:rPr>
          <w:i/>
          <w:iCs/>
          <w:szCs w:val="22"/>
          <w:lang w:val="es-ES_tradnl"/>
        </w:rPr>
        <w:t>La Conferencia de las Partes que actúa como reunión de las Partes en el Protocolo de Cartagena sobre Seguridad de la Biotecnología</w:t>
      </w:r>
    </w:p>
    <w:p w14:paraId="78EB0534" w14:textId="77777777" w:rsidR="005C3E00" w:rsidRPr="00A202B4" w:rsidRDefault="005C3E00" w:rsidP="005C3E00">
      <w:pPr>
        <w:shd w:val="clear" w:color="auto" w:fill="FFFFFF" w:themeFill="background1"/>
        <w:spacing w:before="120" w:after="120"/>
        <w:ind w:firstLine="709"/>
        <w:rPr>
          <w:szCs w:val="22"/>
          <w:lang w:val="es-ES_tradnl" w:eastAsia="en-GB"/>
        </w:rPr>
      </w:pPr>
      <w:r w:rsidRPr="00A202B4">
        <w:rPr>
          <w:szCs w:val="22"/>
          <w:lang w:val="es-ES_tradnl" w:eastAsia="en-GB"/>
        </w:rPr>
        <w:t>1.</w:t>
      </w:r>
      <w:r w:rsidRPr="00A202B4">
        <w:rPr>
          <w:i/>
          <w:iCs/>
          <w:szCs w:val="22"/>
          <w:lang w:val="es-ES_tradnl" w:eastAsia="en-GB"/>
        </w:rPr>
        <w:tab/>
        <w:t xml:space="preserve">Acoge con beneplácito </w:t>
      </w:r>
      <w:r w:rsidRPr="00A202B4">
        <w:rPr>
          <w:szCs w:val="22"/>
          <w:lang w:val="es-ES_tradnl" w:eastAsia="en-GB"/>
        </w:rPr>
        <w:t xml:space="preserve">la octava reposición del Fondo Fiduciario del Fondo para el Medio Ambiente Mundial y sus orientaciones programáticas, y el apoyo que ello proporciona a las Partes para la aplicación del Protocolo de Cartagena sobre Seguridad de la Biotecnología; </w:t>
      </w:r>
    </w:p>
    <w:p w14:paraId="6B339D37" w14:textId="77777777" w:rsidR="005C3E00" w:rsidRPr="00A202B4" w:rsidRDefault="005C3E00" w:rsidP="005C3E00">
      <w:pPr>
        <w:shd w:val="clear" w:color="auto" w:fill="FFFFFF" w:themeFill="background1"/>
        <w:spacing w:before="120" w:after="120"/>
        <w:ind w:firstLine="709"/>
        <w:rPr>
          <w:szCs w:val="22"/>
          <w:lang w:val="es-ES_tradnl" w:eastAsia="en-GB"/>
        </w:rPr>
      </w:pPr>
      <w:r w:rsidRPr="00A202B4">
        <w:rPr>
          <w:szCs w:val="22"/>
          <w:lang w:val="es-ES_tradnl" w:eastAsia="en-GB"/>
        </w:rPr>
        <w:t>2</w:t>
      </w:r>
      <w:r w:rsidRPr="00A202B4">
        <w:rPr>
          <w:i/>
          <w:iCs/>
          <w:szCs w:val="22"/>
          <w:lang w:val="es-ES_tradnl" w:eastAsia="en-GB"/>
        </w:rPr>
        <w:t>.</w:t>
      </w:r>
      <w:r w:rsidRPr="00A202B4">
        <w:rPr>
          <w:i/>
          <w:iCs/>
          <w:szCs w:val="22"/>
          <w:lang w:val="es-ES_tradnl" w:eastAsia="en-GB"/>
        </w:rPr>
        <w:tab/>
        <w:t>Observa con preocupación</w:t>
      </w:r>
      <w:r w:rsidRPr="00A202B4">
        <w:rPr>
          <w:szCs w:val="22"/>
          <w:lang w:val="es-ES_tradnl" w:eastAsia="en-GB"/>
        </w:rPr>
        <w:t xml:space="preserve"> que </w:t>
      </w:r>
      <w:r w:rsidRPr="00A202B4">
        <w:rPr>
          <w:rFonts w:eastAsia="MS Mincho"/>
          <w:iCs/>
          <w:szCs w:val="22"/>
          <w:lang w:val="es-ES_tradnl"/>
        </w:rPr>
        <w:t>se presentaron muy pocos proyectos para apoyar la aplicación del Protocolo de Cartagena durante el séptimo período de reposición del Fondo Fiduciario del Fondo para el Medio Ambiente Mundial;</w:t>
      </w:r>
    </w:p>
    <w:p w14:paraId="3623349A" w14:textId="77777777" w:rsidR="005C3E00" w:rsidRPr="00A202B4" w:rsidRDefault="005C3E00" w:rsidP="005C3E00">
      <w:pPr>
        <w:shd w:val="clear" w:color="auto" w:fill="FFFFFF" w:themeFill="background1"/>
        <w:spacing w:before="120" w:after="120"/>
        <w:ind w:firstLine="709"/>
        <w:rPr>
          <w:szCs w:val="22"/>
          <w:lang w:val="es-ES_tradnl"/>
        </w:rPr>
      </w:pPr>
      <w:r w:rsidRPr="00A202B4">
        <w:rPr>
          <w:szCs w:val="22"/>
          <w:lang w:val="es-ES_tradnl"/>
        </w:rPr>
        <w:t>3.</w:t>
      </w:r>
      <w:r w:rsidRPr="00A202B4">
        <w:rPr>
          <w:i/>
          <w:iCs/>
          <w:szCs w:val="22"/>
          <w:lang w:val="es-ES_tradnl"/>
        </w:rPr>
        <w:tab/>
        <w:t xml:space="preserve">Recomienda </w:t>
      </w:r>
      <w:r w:rsidRPr="00A202B4">
        <w:rPr>
          <w:szCs w:val="22"/>
          <w:lang w:val="es-ES_tradnl"/>
        </w:rPr>
        <w:t xml:space="preserve">a la Conferencia de las Partes que, en la orientación que brinde al Fondo para el Medio Ambiente Mundial respecto del apoyo para la aplicación del Protocolo de Cartagena, invite al </w:t>
      </w:r>
      <w:r w:rsidRPr="00A202B4">
        <w:rPr>
          <w:rFonts w:eastAsia="MS Mincho"/>
          <w:iCs/>
          <w:szCs w:val="22"/>
          <w:lang w:val="es-ES_tradnl"/>
        </w:rPr>
        <w:t>Fondo para el Medio Ambiente Mundial</w:t>
      </w:r>
      <w:r w:rsidRPr="00A202B4">
        <w:rPr>
          <w:szCs w:val="22"/>
          <w:lang w:val="es-ES_tradnl"/>
        </w:rPr>
        <w:t xml:space="preserve"> a que:</w:t>
      </w:r>
    </w:p>
    <w:p w14:paraId="7FA5C7E4" w14:textId="18EC6D57" w:rsidR="005C3E00" w:rsidRPr="00A202B4" w:rsidRDefault="005C3E00" w:rsidP="000C7D37">
      <w:pPr>
        <w:shd w:val="clear" w:color="auto" w:fill="FFFFFF" w:themeFill="background1"/>
        <w:spacing w:before="120" w:after="120"/>
        <w:ind w:firstLine="720"/>
        <w:rPr>
          <w:snapToGrid w:val="0"/>
          <w:kern w:val="22"/>
          <w:lang w:val="es-ES_tradnl"/>
        </w:rPr>
      </w:pPr>
      <w:r w:rsidRPr="00A202B4">
        <w:rPr>
          <w:szCs w:val="22"/>
          <w:lang w:val="es-ES_tradnl"/>
        </w:rPr>
        <w:t>a)</w:t>
      </w:r>
      <w:r w:rsidRPr="00A202B4">
        <w:rPr>
          <w:szCs w:val="22"/>
          <w:lang w:val="es-ES_tradnl"/>
        </w:rPr>
        <w:tab/>
        <w:t>Refuerce su programa de financiación dedicado al Protocolo de Cartagena sobre Seguridad de la Biotecnología para ayudar a las Partes que reúnan los requisitos necesarios a aplicar el Protocolo, el Plan de Aplicación para el Protocolo de Cartagena sobre Seguridad de la Biotecnología</w:t>
      </w:r>
      <w:r w:rsidRPr="00A202B4">
        <w:rPr>
          <w:rStyle w:val="FootnoteReference"/>
          <w:snapToGrid w:val="0"/>
          <w:kern w:val="22"/>
          <w:sz w:val="22"/>
          <w:szCs w:val="22"/>
          <w:u w:val="none"/>
          <w:vertAlign w:val="superscript"/>
          <w:lang w:val="es-ES_tradnl"/>
        </w:rPr>
        <w:footnoteReference w:id="17"/>
      </w:r>
      <w:r w:rsidRPr="00A202B4">
        <w:rPr>
          <w:szCs w:val="22"/>
          <w:lang w:val="es-ES_tradnl"/>
        </w:rPr>
        <w:t xml:space="preserve"> y el Plan de Acción para la Creación de Capacidad para el Protocolo de Cartagena sobre Seguridad de la Biotecnología</w:t>
      </w:r>
      <w:r w:rsidRPr="00A202B4">
        <w:rPr>
          <w:rStyle w:val="FootnoteReference"/>
          <w:snapToGrid w:val="0"/>
          <w:kern w:val="22"/>
          <w:sz w:val="22"/>
          <w:szCs w:val="22"/>
          <w:u w:val="none"/>
          <w:vertAlign w:val="superscript"/>
          <w:lang w:val="es-ES_tradnl"/>
        </w:rPr>
        <w:footnoteReference w:id="18"/>
      </w:r>
      <w:r w:rsidR="000C7D37" w:rsidRPr="00A202B4">
        <w:rPr>
          <w:snapToGrid w:val="0"/>
          <w:kern w:val="22"/>
          <w:lang w:val="es-ES_tradnl"/>
        </w:rPr>
        <w:t>;</w:t>
      </w:r>
    </w:p>
    <w:p w14:paraId="15F26EC4" w14:textId="77777777" w:rsidR="005C3E00" w:rsidRPr="00A202B4" w:rsidRDefault="005C3E00" w:rsidP="005C3E00">
      <w:pPr>
        <w:shd w:val="clear" w:color="auto" w:fill="FFFFFF" w:themeFill="background1"/>
        <w:spacing w:before="120" w:after="120"/>
        <w:ind w:firstLine="720"/>
        <w:rPr>
          <w:snapToGrid w:val="0"/>
          <w:kern w:val="22"/>
          <w:lang w:val="es-ES_tradnl"/>
        </w:rPr>
      </w:pPr>
      <w:r w:rsidRPr="00A202B4">
        <w:rPr>
          <w:snapToGrid w:val="0"/>
          <w:kern w:val="22"/>
          <w:lang w:val="es-ES_tradnl"/>
        </w:rPr>
        <w:t>b)</w:t>
      </w:r>
      <w:r w:rsidRPr="00A202B4">
        <w:rPr>
          <w:snapToGrid w:val="0"/>
          <w:kern w:val="22"/>
          <w:lang w:val="es-ES_tradnl"/>
        </w:rPr>
        <w:tab/>
        <w:t xml:space="preserve">Mejore y simplifique las modalidades de acceso a su financiación para el </w:t>
      </w:r>
      <w:r w:rsidRPr="00A202B4">
        <w:rPr>
          <w:rFonts w:eastAsia="MS Mincho"/>
          <w:iCs/>
          <w:szCs w:val="22"/>
          <w:lang w:val="es-ES_tradnl"/>
        </w:rPr>
        <w:t xml:space="preserve">Protocolo de Cartagena sobre Seguridad de la Biotecnología con el fin de ayudar a las Partes que reúnan los requisitos a aplicar el </w:t>
      </w:r>
      <w:r w:rsidRPr="00A202B4">
        <w:rPr>
          <w:snapToGrid w:val="0"/>
          <w:kern w:val="22"/>
          <w:lang w:val="es-ES_tradnl"/>
        </w:rPr>
        <w:t>Protocolo, el Plan de Aplicación y el Plan de Acción para la Creación de Capacidad;</w:t>
      </w:r>
    </w:p>
    <w:p w14:paraId="10900F47" w14:textId="77777777" w:rsidR="005C3E00" w:rsidRPr="00A202B4" w:rsidRDefault="005C3E00" w:rsidP="005C3E00">
      <w:pPr>
        <w:shd w:val="clear" w:color="auto" w:fill="FFFFFF" w:themeFill="background1"/>
        <w:spacing w:before="120" w:after="120"/>
        <w:ind w:firstLine="720"/>
        <w:rPr>
          <w:szCs w:val="22"/>
          <w:lang w:val="es-ES_tradnl"/>
        </w:rPr>
      </w:pPr>
      <w:r w:rsidRPr="00A202B4">
        <w:rPr>
          <w:szCs w:val="22"/>
          <w:lang w:val="es-ES_tradnl"/>
        </w:rPr>
        <w:t xml:space="preserve">c) </w:t>
      </w:r>
      <w:r w:rsidRPr="00A202B4">
        <w:rPr>
          <w:szCs w:val="22"/>
          <w:lang w:val="es-ES_tradnl"/>
        </w:rPr>
        <w:tab/>
        <w:t>Continúe proporcionando de manera oportuna fondos para apoyar a las Partes que reúnan los requisitos necesarios en la preparación y presentación de sus quintos informes nacionales en virtud del Protocolo de Cartagena;</w:t>
      </w:r>
    </w:p>
    <w:p w14:paraId="01A6C182" w14:textId="77777777" w:rsidR="005C3E00" w:rsidRPr="00A202B4" w:rsidRDefault="005C3E00" w:rsidP="005C3E00">
      <w:pPr>
        <w:shd w:val="clear" w:color="auto" w:fill="FFFFFF" w:themeFill="background1"/>
        <w:spacing w:before="120" w:after="120"/>
        <w:ind w:firstLine="720"/>
        <w:rPr>
          <w:lang w:val="es-ES_tradnl"/>
        </w:rPr>
      </w:pPr>
      <w:r w:rsidRPr="00A202B4">
        <w:rPr>
          <w:lang w:val="es-ES_tradnl"/>
        </w:rPr>
        <w:t>d)</w:t>
      </w:r>
      <w:r w:rsidRPr="00A202B4">
        <w:rPr>
          <w:lang w:val="es-ES_tradnl"/>
        </w:rPr>
        <w:tab/>
        <w:t>Continúe ayudando a las Partes que reúnan los requisitos necesarios a realizar actividades en las siguientes áreas: elaboración y puesta en práctica de medidas jurídicas, administrativas y de otra índole para aplicar el Protocolo; evaluación del riesgo y gestión del riesgo; detección e identificación de organismos vivos modificados; concienciación, educación y participación del público; consideraciones socioeconómicas; responsabilidad y compensación; presentación de informes nacionales; intercambio de información y Centro de Intercambio de Información sobre Seguridad de la Biotecnología; transferencia de conocimientos y tecnología, e implementación de planes de acción para el cumplimiento del Protocolo;</w:t>
      </w:r>
    </w:p>
    <w:p w14:paraId="755A39DE" w14:textId="77777777" w:rsidR="005C3E00" w:rsidRPr="00A202B4" w:rsidRDefault="005C3E00" w:rsidP="005C3E00">
      <w:pPr>
        <w:shd w:val="clear" w:color="auto" w:fill="FFFFFF" w:themeFill="background1"/>
        <w:spacing w:before="120" w:after="120"/>
        <w:ind w:firstLine="720"/>
        <w:rPr>
          <w:snapToGrid w:val="0"/>
          <w:kern w:val="22"/>
          <w:lang w:val="es-ES_tradnl"/>
        </w:rPr>
      </w:pPr>
      <w:r w:rsidRPr="00A202B4">
        <w:rPr>
          <w:snapToGrid w:val="0"/>
          <w:kern w:val="22"/>
          <w:lang w:val="es-ES_tradnl"/>
        </w:rPr>
        <w:t>4.</w:t>
      </w:r>
      <w:r w:rsidRPr="00A202B4">
        <w:rPr>
          <w:snapToGrid w:val="0"/>
          <w:kern w:val="22"/>
          <w:lang w:val="es-ES_tradnl"/>
        </w:rPr>
        <w:tab/>
      </w:r>
      <w:r w:rsidRPr="00A202B4">
        <w:rPr>
          <w:i/>
          <w:iCs/>
          <w:snapToGrid w:val="0"/>
          <w:kern w:val="22"/>
          <w:lang w:val="es-ES_tradnl"/>
        </w:rPr>
        <w:t>Invita</w:t>
      </w:r>
      <w:r w:rsidRPr="00A202B4">
        <w:rPr>
          <w:snapToGrid w:val="0"/>
          <w:kern w:val="22"/>
          <w:lang w:val="es-ES_tradnl"/>
        </w:rPr>
        <w:t xml:space="preserve"> al Consejo del Fondo para el Medio Ambiente Mundial a estudiar la posibilidad de crear una dotación financiera específicamente para el </w:t>
      </w:r>
      <w:r w:rsidRPr="00A202B4">
        <w:rPr>
          <w:rFonts w:eastAsia="MS Mincho"/>
          <w:iCs/>
          <w:szCs w:val="22"/>
          <w:lang w:val="es-ES_tradnl"/>
        </w:rPr>
        <w:t>Protocolo de Cartagena sobre Seguridad de la Biotecnología</w:t>
      </w:r>
      <w:r w:rsidRPr="00A202B4">
        <w:rPr>
          <w:snapToGrid w:val="0"/>
          <w:kern w:val="22"/>
          <w:lang w:val="es-ES_tradnl"/>
        </w:rPr>
        <w:t>;</w:t>
      </w:r>
    </w:p>
    <w:p w14:paraId="216AE8D8" w14:textId="77777777" w:rsidR="005C3E00" w:rsidRPr="00A202B4" w:rsidRDefault="005C3E00" w:rsidP="005C3E00">
      <w:pPr>
        <w:shd w:val="clear" w:color="auto" w:fill="FFFFFF" w:themeFill="background1"/>
        <w:spacing w:before="120" w:after="120"/>
        <w:ind w:firstLine="709"/>
        <w:rPr>
          <w:snapToGrid w:val="0"/>
          <w:kern w:val="22"/>
          <w:szCs w:val="22"/>
          <w:lang w:val="es-ES_tradnl"/>
        </w:rPr>
      </w:pPr>
      <w:r w:rsidRPr="00A202B4">
        <w:rPr>
          <w:snapToGrid w:val="0"/>
          <w:kern w:val="22"/>
          <w:szCs w:val="22"/>
          <w:lang w:val="es-ES_tradnl"/>
        </w:rPr>
        <w:t>5.</w:t>
      </w:r>
      <w:r w:rsidRPr="00A202B4">
        <w:rPr>
          <w:i/>
          <w:iCs/>
          <w:snapToGrid w:val="0"/>
          <w:kern w:val="22"/>
          <w:szCs w:val="22"/>
          <w:lang w:val="es-ES_tradnl"/>
        </w:rPr>
        <w:tab/>
        <w:t xml:space="preserve">Insta </w:t>
      </w:r>
      <w:r w:rsidRPr="00A202B4">
        <w:rPr>
          <w:snapToGrid w:val="0"/>
          <w:kern w:val="22"/>
          <w:szCs w:val="22"/>
          <w:lang w:val="es-ES_tradnl"/>
        </w:rPr>
        <w:t>a las Partes en el Convenio que también son Partes en el Protocolo de Cartagena a que incluyan proyectos de seguridad de la biotecnología en su utilización de los fondos asignados en el marco del Sistema para la Asignación Transparente de Recursos para el octavo período de reposición del Fondo Fiduciario del Fondo para el Medio Ambiente Mundial, teniendo en cuenta el Plan de Aplicación para el Protocolo de Cartagena sobre Seguridad de la Biotecnología y el Plan de Acción para la Creación de Capacidad para el Protocolo de Cartagena sobre Seguridad de la Biotecnología, sus obligaciones contraídas en virtud del Protocolo de Cartagena sobre Seguridad de la Biotecnología y la orientación de la Conferencia de las Partes al Fondo para el Medio Ambiente Mundial</w:t>
      </w:r>
      <w:r w:rsidRPr="00A202B4">
        <w:rPr>
          <w:lang w:val="es-ES_tradnl"/>
        </w:rPr>
        <w:t>;</w:t>
      </w:r>
    </w:p>
    <w:p w14:paraId="1D737AC4" w14:textId="77777777" w:rsidR="005C3E00" w:rsidRPr="00A202B4" w:rsidRDefault="005C3E00" w:rsidP="005C3E00">
      <w:pPr>
        <w:shd w:val="clear" w:color="auto" w:fill="FFFFFF" w:themeFill="background1"/>
        <w:spacing w:before="120" w:after="120"/>
        <w:ind w:firstLine="709"/>
        <w:rPr>
          <w:rFonts w:asciiTheme="majorBidi" w:hAnsiTheme="majorBidi" w:cstheme="majorBidi"/>
          <w:lang w:val="es-ES_tradnl"/>
        </w:rPr>
      </w:pPr>
      <w:r w:rsidRPr="00A202B4">
        <w:rPr>
          <w:rFonts w:asciiTheme="majorBidi" w:hAnsiTheme="majorBidi" w:cstheme="majorBidi"/>
          <w:lang w:val="es-ES_tradnl"/>
        </w:rPr>
        <w:lastRenderedPageBreak/>
        <w:t>6.</w:t>
      </w:r>
      <w:r w:rsidRPr="00A202B4">
        <w:rPr>
          <w:rFonts w:asciiTheme="majorBidi" w:hAnsiTheme="majorBidi" w:cstheme="majorBidi"/>
          <w:i/>
          <w:iCs/>
          <w:lang w:val="es-ES_tradnl"/>
        </w:rPr>
        <w:tab/>
        <w:t>Alienta</w:t>
      </w:r>
      <w:r w:rsidRPr="00A202B4">
        <w:rPr>
          <w:rFonts w:asciiTheme="majorBidi" w:hAnsiTheme="majorBidi" w:cstheme="majorBidi"/>
          <w:lang w:val="es-ES_tradnl"/>
        </w:rPr>
        <w:t xml:space="preserve"> a las Partes a que incluyan las necesidades y disposiciones para la aplicación del Protocolo de Cartagena en sus planes nacionales de financiación de la diversidad biológica y en su aplicación nacional de la estrategia de movilización de recursos para el período posterior a 2020</w:t>
      </w:r>
      <w:r w:rsidRPr="00A202B4">
        <w:rPr>
          <w:rStyle w:val="FootnoteReference"/>
          <w:rFonts w:asciiTheme="majorBidi" w:hAnsiTheme="majorBidi" w:cstheme="majorBidi"/>
          <w:sz w:val="22"/>
          <w:szCs w:val="22"/>
          <w:u w:val="none"/>
          <w:vertAlign w:val="superscript"/>
          <w:lang w:val="es-ES_tradnl"/>
        </w:rPr>
        <w:footnoteReference w:id="19"/>
      </w:r>
      <w:r w:rsidRPr="00A202B4">
        <w:rPr>
          <w:rFonts w:asciiTheme="majorBidi" w:hAnsiTheme="majorBidi" w:cstheme="majorBidi"/>
          <w:lang w:val="es-ES_tradnl"/>
        </w:rPr>
        <w:t>;</w:t>
      </w:r>
    </w:p>
    <w:p w14:paraId="723971F0" w14:textId="77777777" w:rsidR="005C3E00" w:rsidRPr="00A202B4" w:rsidRDefault="005C3E00" w:rsidP="005C3E00">
      <w:pPr>
        <w:shd w:val="clear" w:color="auto" w:fill="FFFFFF" w:themeFill="background1"/>
        <w:spacing w:before="120" w:after="120"/>
        <w:ind w:firstLine="709"/>
        <w:rPr>
          <w:lang w:val="es-ES_tradnl"/>
        </w:rPr>
      </w:pPr>
      <w:r w:rsidRPr="00A202B4">
        <w:rPr>
          <w:lang w:val="es-ES_tradnl"/>
        </w:rPr>
        <w:t xml:space="preserve">7. </w:t>
      </w:r>
      <w:r w:rsidRPr="00A202B4">
        <w:rPr>
          <w:lang w:val="es-ES_tradnl"/>
        </w:rPr>
        <w:tab/>
      </w:r>
      <w:r w:rsidRPr="00A202B4">
        <w:rPr>
          <w:rFonts w:asciiTheme="majorBidi" w:hAnsiTheme="majorBidi" w:cstheme="majorBidi"/>
          <w:i/>
          <w:iCs/>
          <w:lang w:val="es-ES_tradnl"/>
        </w:rPr>
        <w:t>Pide</w:t>
      </w:r>
      <w:r w:rsidRPr="00A202B4">
        <w:rPr>
          <w:rFonts w:asciiTheme="majorBidi" w:hAnsiTheme="majorBidi" w:cstheme="majorBidi"/>
          <w:lang w:val="es-ES_tradnl"/>
        </w:rPr>
        <w:t xml:space="preserve"> a la Secretaria Ejecutiva que</w:t>
      </w:r>
      <w:r w:rsidRPr="00A202B4">
        <w:rPr>
          <w:lang w:val="es-ES_tradnl"/>
        </w:rPr>
        <w:t>:</w:t>
      </w:r>
    </w:p>
    <w:p w14:paraId="20D501FF" w14:textId="77777777" w:rsidR="005C3E00" w:rsidRPr="00A202B4" w:rsidRDefault="005C3E00" w:rsidP="005C3E00">
      <w:pPr>
        <w:shd w:val="clear" w:color="auto" w:fill="FFFFFF" w:themeFill="background1"/>
        <w:spacing w:before="120" w:after="120"/>
        <w:ind w:firstLine="709"/>
        <w:rPr>
          <w:lang w:val="es-ES_tradnl"/>
        </w:rPr>
      </w:pPr>
      <w:r w:rsidRPr="00A202B4">
        <w:rPr>
          <w:lang w:val="es-ES_tradnl"/>
        </w:rPr>
        <w:t>a)</w:t>
      </w:r>
      <w:r w:rsidRPr="00A202B4">
        <w:rPr>
          <w:lang w:val="es-ES_tradnl"/>
        </w:rPr>
        <w:tab/>
      </w:r>
      <w:r w:rsidRPr="00A202B4">
        <w:rPr>
          <w:rFonts w:asciiTheme="majorBidi" w:hAnsiTheme="majorBidi" w:cstheme="majorBidi"/>
          <w:lang w:val="es-ES_tradnl"/>
        </w:rPr>
        <w:t>Identifique y comunique fuentes de financiación de la seguridad de la biotecnología para apoyar a las Partes</w:t>
      </w:r>
      <w:r w:rsidRPr="00A202B4">
        <w:rPr>
          <w:lang w:val="es-ES_tradnl"/>
        </w:rPr>
        <w:t>;</w:t>
      </w:r>
    </w:p>
    <w:p w14:paraId="26BA4637" w14:textId="77777777" w:rsidR="005C3E00" w:rsidRPr="00A202B4" w:rsidRDefault="005C3E00" w:rsidP="005C3E00">
      <w:pPr>
        <w:shd w:val="clear" w:color="auto" w:fill="FFFFFF" w:themeFill="background1"/>
        <w:spacing w:before="120" w:after="120"/>
        <w:ind w:firstLine="709"/>
        <w:rPr>
          <w:i/>
          <w:iCs/>
          <w:szCs w:val="22"/>
          <w:lang w:val="es-ES_tradnl" w:eastAsia="en-GB"/>
        </w:rPr>
      </w:pPr>
      <w:r w:rsidRPr="00A202B4">
        <w:rPr>
          <w:lang w:val="es-ES_tradnl"/>
        </w:rPr>
        <w:t>b)</w:t>
      </w:r>
      <w:r w:rsidRPr="00A202B4">
        <w:rPr>
          <w:lang w:val="es-ES_tradnl"/>
        </w:rPr>
        <w:tab/>
        <w:t>Analice la eficacia del mecanismo financiero a la hora de aplicar el Protocolo de Cartagena en su sexto examen de la eficacia del mecanismo financiero</w:t>
      </w:r>
      <w:r w:rsidRPr="00A202B4">
        <w:rPr>
          <w:rStyle w:val="FootnoteReference"/>
          <w:snapToGrid w:val="0"/>
          <w:kern w:val="22"/>
          <w:sz w:val="22"/>
          <w:u w:val="none"/>
          <w:vertAlign w:val="superscript"/>
          <w:lang w:val="es-ES_tradnl"/>
        </w:rPr>
        <w:footnoteReference w:id="20"/>
      </w:r>
      <w:r w:rsidRPr="00A202B4">
        <w:rPr>
          <w:lang w:val="es-ES_tradnl"/>
        </w:rPr>
        <w:t>,</w:t>
      </w:r>
      <w:r w:rsidRPr="00A202B4">
        <w:rPr>
          <w:snapToGrid w:val="0"/>
          <w:kern w:val="22"/>
          <w:lang w:val="es-ES_tradnl"/>
        </w:rPr>
        <w:t xml:space="preserve"> teniendo en cuenta la pertinencia de crear una dotación aparte para la seguridad de la biotecnología y el proceso de creación de esta, para su consideración por</w:t>
      </w:r>
      <w:r w:rsidRPr="00A202B4">
        <w:rPr>
          <w:lang w:val="es-ES_tradnl"/>
        </w:rPr>
        <w:t xml:space="preserve"> la Conferencia de las Partes que actúa como Reunión de las Partes en el Protocolo de Cartagena su 11ª reunión</w:t>
      </w:r>
      <w:r w:rsidRPr="00A202B4">
        <w:rPr>
          <w:snapToGrid w:val="0"/>
          <w:kern w:val="22"/>
          <w:lang w:val="es-ES_tradnl"/>
        </w:rPr>
        <w:t>.</w:t>
      </w:r>
    </w:p>
    <w:p w14:paraId="49B60331" w14:textId="77777777" w:rsidR="00DD4BAA" w:rsidRPr="00A202B4" w:rsidRDefault="00DD4BAA" w:rsidP="00DD4BAA">
      <w:pPr>
        <w:spacing w:before="120" w:after="120"/>
        <w:ind w:firstLine="567"/>
        <w:jc w:val="center"/>
        <w:rPr>
          <w:lang w:val="es-ES_tradnl"/>
        </w:rPr>
      </w:pPr>
    </w:p>
    <w:p w14:paraId="311ECE69" w14:textId="77777777" w:rsidR="00DD4BAA" w:rsidRPr="00A202B4" w:rsidRDefault="00DD4BAA" w:rsidP="00DD4BAA">
      <w:pPr>
        <w:pStyle w:val="decision"/>
        <w:spacing w:before="0"/>
        <w:rPr>
          <w:rFonts w:hint="eastAsia"/>
          <w:lang w:val="es-ES_tradnl"/>
        </w:rPr>
        <w:sectPr w:rsidR="00DD4BAA" w:rsidRPr="00A202B4" w:rsidSect="009474D1">
          <w:footnotePr>
            <w:numRestart w:val="eachSect"/>
          </w:footnotePr>
          <w:pgSz w:w="12240" w:h="15840"/>
          <w:pgMar w:top="1021" w:right="1440" w:bottom="1021" w:left="1440" w:header="459" w:footer="720" w:gutter="0"/>
          <w:cols w:space="708"/>
          <w:docGrid w:linePitch="360"/>
        </w:sectPr>
      </w:pPr>
    </w:p>
    <w:p w14:paraId="7C9B8084" w14:textId="18B4F30C" w:rsidR="00DD4BAA" w:rsidRPr="00A202B4" w:rsidRDefault="00DD4BAA" w:rsidP="00DD4BAA">
      <w:pPr>
        <w:pStyle w:val="decision"/>
        <w:ind w:left="2268" w:right="429" w:hanging="1134"/>
        <w:jc w:val="left"/>
        <w:rPr>
          <w:rFonts w:hint="eastAsia"/>
          <w:lang w:val="es-ES_tradnl"/>
        </w:rPr>
      </w:pPr>
      <w:bookmarkStart w:id="13" w:name="_Toc152776496"/>
      <w:r w:rsidRPr="00A202B4">
        <w:rPr>
          <w:lang w:val="es-ES_tradnl"/>
        </w:rPr>
        <w:lastRenderedPageBreak/>
        <w:t>CP-10/7.</w:t>
      </w:r>
      <w:r w:rsidRPr="00A202B4">
        <w:rPr>
          <w:lang w:val="es-ES_tradnl"/>
        </w:rPr>
        <w:tab/>
      </w:r>
      <w:r w:rsidR="005C3E00" w:rsidRPr="00A202B4">
        <w:rPr>
          <w:lang w:val="es-ES_tradnl"/>
        </w:rPr>
        <w:t>Evaluación y revisión de la eficacia del Protocolo (artículo 35) y evaluación final del Plan Estratégico para el Protocolo de Cartagena sobre Seguridad de la Biotecnología para el período 2011-2020</w:t>
      </w:r>
      <w:bookmarkEnd w:id="13"/>
    </w:p>
    <w:p w14:paraId="483609DB"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jc w:val="left"/>
        <w:rPr>
          <w:i/>
          <w:snapToGrid w:val="0"/>
          <w:kern w:val="22"/>
          <w:szCs w:val="22"/>
          <w:lang w:val="es-ES_tradnl"/>
        </w:rPr>
      </w:pPr>
      <w:r w:rsidRPr="00A202B4">
        <w:rPr>
          <w:i/>
          <w:snapToGrid w:val="0"/>
          <w:kern w:val="22"/>
          <w:szCs w:val="22"/>
          <w:lang w:val="es-ES_tradnl"/>
        </w:rPr>
        <w:t xml:space="preserve">La </w:t>
      </w:r>
      <w:r w:rsidRPr="00A202B4">
        <w:rPr>
          <w:i/>
          <w:iCs/>
          <w:snapToGrid w:val="0"/>
          <w:kern w:val="22"/>
          <w:lang w:val="es-ES_tradnl"/>
        </w:rPr>
        <w:t>Conferencia de las Partes que actúa como reunión de las Partes en el Protocolo de Cartagena sobre Seguridad de la Biotecnología</w:t>
      </w:r>
      <w:r w:rsidRPr="00A202B4">
        <w:rPr>
          <w:i/>
          <w:snapToGrid w:val="0"/>
          <w:kern w:val="22"/>
          <w:szCs w:val="22"/>
          <w:lang w:val="es-ES_tradnl"/>
        </w:rPr>
        <w:t>,</w:t>
      </w:r>
    </w:p>
    <w:p w14:paraId="5C24E89B"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lang w:val="es-ES_tradnl"/>
        </w:rPr>
      </w:pPr>
      <w:r w:rsidRPr="00A202B4">
        <w:rPr>
          <w:i/>
          <w:iCs/>
          <w:lang w:val="es-ES_tradnl"/>
        </w:rPr>
        <w:t xml:space="preserve">Recordando </w:t>
      </w:r>
      <w:r w:rsidRPr="00A202B4">
        <w:rPr>
          <w:lang w:val="es-ES_tradnl"/>
        </w:rPr>
        <w:t>el objetivo del Protocolo de Cartagena sobre Seguridad de la Biotecnología establecido en su Artículo 1,</w:t>
      </w:r>
    </w:p>
    <w:p w14:paraId="0EFC582E"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i/>
          <w:iCs/>
          <w:lang w:val="es-ES_tradnl"/>
        </w:rPr>
        <w:t>Recordando también</w:t>
      </w:r>
      <w:r w:rsidRPr="00A202B4">
        <w:rPr>
          <w:lang w:val="es-ES_tradnl"/>
        </w:rPr>
        <w:t xml:space="preserve"> el artículo 22 del Protocolo, sobre creación de capacidad, y el artículo 28 del Protocolo, sobre mecanismos y recursos financieros,</w:t>
      </w:r>
    </w:p>
    <w:p w14:paraId="01CF9656" w14:textId="77777777" w:rsidR="005C3E00" w:rsidRPr="00A202B4" w:rsidRDefault="005C3E00" w:rsidP="006A4072">
      <w:pPr>
        <w:pStyle w:val="ListParagraph"/>
        <w:numPr>
          <w:ilvl w:val="0"/>
          <w:numId w:val="7"/>
        </w:numPr>
        <w:suppressLineNumbers/>
        <w:suppressAutoHyphens/>
        <w:kinsoku w:val="0"/>
        <w:overflowPunct w:val="0"/>
        <w:autoSpaceDE w:val="0"/>
        <w:autoSpaceDN w:val="0"/>
        <w:adjustRightInd w:val="0"/>
        <w:snapToGrid w:val="0"/>
        <w:spacing w:before="120" w:after="120" w:line="238" w:lineRule="auto"/>
        <w:ind w:left="0" w:firstLine="709"/>
        <w:rPr>
          <w:snapToGrid w:val="0"/>
          <w:lang w:val="es-ES_tradnl"/>
        </w:rPr>
      </w:pPr>
      <w:r w:rsidRPr="00A202B4">
        <w:rPr>
          <w:i/>
          <w:snapToGrid w:val="0"/>
          <w:kern w:val="22"/>
          <w:szCs w:val="22"/>
          <w:lang w:val="es-ES_tradnl"/>
        </w:rPr>
        <w:t>Reconoce</w:t>
      </w:r>
      <w:r w:rsidRPr="00A202B4">
        <w:rPr>
          <w:snapToGrid w:val="0"/>
          <w:kern w:val="22"/>
          <w:szCs w:val="22"/>
          <w:lang w:val="es-ES_tradnl"/>
        </w:rPr>
        <w:t xml:space="preserve"> la </w:t>
      </w:r>
      <w:r w:rsidRPr="00A202B4">
        <w:rPr>
          <w:lang w:val="es-ES_tradnl"/>
        </w:rPr>
        <w:t xml:space="preserve">utilidad del Plan Estratégico para el Protocolo de Cartagena sobre Seguridad de la Biotecnología en el período </w:t>
      </w:r>
      <w:r w:rsidRPr="00A202B4">
        <w:rPr>
          <w:snapToGrid w:val="0"/>
          <w:kern w:val="22"/>
          <w:szCs w:val="22"/>
          <w:lang w:val="es-ES_tradnl"/>
        </w:rPr>
        <w:t>2011-2020</w:t>
      </w:r>
      <w:r w:rsidRPr="00A202B4">
        <w:rPr>
          <w:rStyle w:val="FootnoteReference"/>
          <w:snapToGrid w:val="0"/>
          <w:kern w:val="22"/>
          <w:sz w:val="22"/>
          <w:szCs w:val="22"/>
          <w:u w:val="none"/>
          <w:vertAlign w:val="superscript"/>
          <w:lang w:val="es-ES_tradnl"/>
        </w:rPr>
        <w:footnoteReference w:id="21"/>
      </w:r>
      <w:r w:rsidRPr="00A202B4">
        <w:rPr>
          <w:snapToGrid w:val="0"/>
          <w:kern w:val="22"/>
          <w:szCs w:val="22"/>
          <w:lang w:val="es-ES_tradnl"/>
        </w:rPr>
        <w:t xml:space="preserve"> </w:t>
      </w:r>
      <w:r w:rsidRPr="00A202B4">
        <w:rPr>
          <w:snapToGrid w:val="0"/>
          <w:kern w:val="22"/>
          <w:lang w:val="es-ES_tradnl"/>
        </w:rPr>
        <w:t xml:space="preserve">como </w:t>
      </w:r>
      <w:r w:rsidRPr="00A202B4">
        <w:rPr>
          <w:lang w:val="es-ES_tradnl"/>
        </w:rPr>
        <w:t>apoyo a la aplicación en el ámbito naciona</w:t>
      </w:r>
      <w:r w:rsidRPr="00A202B4">
        <w:rPr>
          <w:snapToGrid w:val="0"/>
          <w:kern w:val="22"/>
          <w:lang w:val="es-ES_tradnl"/>
        </w:rPr>
        <w:t>l</w:t>
      </w:r>
      <w:r w:rsidRPr="00A202B4">
        <w:rPr>
          <w:snapToGrid w:val="0"/>
          <w:kern w:val="22"/>
          <w:szCs w:val="22"/>
          <w:lang w:val="es-ES_tradnl"/>
        </w:rPr>
        <w:t>;</w:t>
      </w:r>
    </w:p>
    <w:p w14:paraId="13C70882" w14:textId="77777777" w:rsidR="005C3E00" w:rsidRPr="00A202B4" w:rsidRDefault="005C3E00" w:rsidP="005C3E00">
      <w:pPr>
        <w:rPr>
          <w:snapToGrid w:val="0"/>
          <w:sz w:val="2"/>
          <w:szCs w:val="2"/>
          <w:lang w:val="es-ES_tradnl"/>
        </w:rPr>
      </w:pPr>
    </w:p>
    <w:p w14:paraId="559E1D99" w14:textId="77777777" w:rsidR="005C3E00" w:rsidRPr="00A202B4" w:rsidRDefault="005C3E00" w:rsidP="006A4072">
      <w:pPr>
        <w:pStyle w:val="ListParagraph"/>
        <w:numPr>
          <w:ilvl w:val="0"/>
          <w:numId w:val="7"/>
        </w:numPr>
        <w:suppressLineNumbers/>
        <w:suppressAutoHyphens/>
        <w:kinsoku w:val="0"/>
        <w:overflowPunct w:val="0"/>
        <w:autoSpaceDE w:val="0"/>
        <w:autoSpaceDN w:val="0"/>
        <w:adjustRightInd w:val="0"/>
        <w:snapToGrid w:val="0"/>
        <w:spacing w:after="120" w:line="238" w:lineRule="auto"/>
        <w:ind w:left="0" w:firstLine="709"/>
        <w:rPr>
          <w:snapToGrid w:val="0"/>
          <w:kern w:val="22"/>
          <w:szCs w:val="22"/>
          <w:lang w:val="es-ES_tradnl"/>
        </w:rPr>
      </w:pPr>
      <w:r w:rsidRPr="00A202B4">
        <w:rPr>
          <w:i/>
          <w:snapToGrid w:val="0"/>
          <w:kern w:val="22"/>
          <w:szCs w:val="22"/>
          <w:lang w:val="es-ES_tradnl"/>
        </w:rPr>
        <w:t xml:space="preserve">Reconoce </w:t>
      </w:r>
      <w:r w:rsidRPr="00A202B4">
        <w:rPr>
          <w:i/>
          <w:iCs/>
          <w:snapToGrid w:val="0"/>
          <w:kern w:val="22"/>
          <w:lang w:val="es-ES_tradnl"/>
        </w:rPr>
        <w:t xml:space="preserve">también </w:t>
      </w:r>
      <w:r w:rsidRPr="00A202B4">
        <w:rPr>
          <w:lang w:val="es-ES_tradnl"/>
        </w:rPr>
        <w:t xml:space="preserve">que el </w:t>
      </w:r>
      <w:r w:rsidRPr="00A202B4">
        <w:rPr>
          <w:bCs/>
          <w:lang w:val="es-ES_tradnl"/>
        </w:rPr>
        <w:t>Marco Mundial de Biodiversidad de Kunming-Montreal</w:t>
      </w:r>
      <w:r w:rsidRPr="00A202B4">
        <w:rPr>
          <w:lang w:val="es-ES_tradnl"/>
        </w:rPr>
        <w:t xml:space="preserve"> debe contribuir a la aplicación y el cumplimiento del Protocolo de Cartagena sobre Seguridad de la Biotecnología, y </w:t>
      </w:r>
      <w:r w:rsidRPr="00A202B4">
        <w:rPr>
          <w:i/>
          <w:iCs/>
          <w:lang w:val="es-ES_tradnl"/>
        </w:rPr>
        <w:t>reconoce</w:t>
      </w:r>
      <w:r w:rsidRPr="00A202B4">
        <w:rPr>
          <w:lang w:val="es-ES_tradnl"/>
        </w:rPr>
        <w:t xml:space="preserve"> la pertinencia del Protocolo, del Plan de Aplicación para el Protocolo de Cartagena sobre Seguridad de la Biotecnología</w:t>
      </w:r>
      <w:r w:rsidRPr="00A202B4">
        <w:rPr>
          <w:rStyle w:val="FootnoteReference"/>
          <w:snapToGrid w:val="0"/>
          <w:kern w:val="22"/>
          <w:sz w:val="22"/>
          <w:szCs w:val="22"/>
          <w:u w:val="none"/>
          <w:vertAlign w:val="superscript"/>
          <w:lang w:val="es-ES_tradnl"/>
        </w:rPr>
        <w:footnoteReference w:id="22"/>
      </w:r>
      <w:r w:rsidRPr="00A202B4">
        <w:rPr>
          <w:lang w:val="es-ES_tradnl"/>
        </w:rPr>
        <w:t xml:space="preserve"> y del Plan de Acción para la Creación de Capacidad para el Protocolo de Cartagena sobre Seguridad de la Biotecnología</w:t>
      </w:r>
      <w:r w:rsidRPr="00A202B4">
        <w:rPr>
          <w:rStyle w:val="FootnoteReference"/>
          <w:snapToGrid w:val="0"/>
          <w:kern w:val="22"/>
          <w:sz w:val="22"/>
          <w:szCs w:val="22"/>
          <w:u w:val="none"/>
          <w:vertAlign w:val="superscript"/>
          <w:lang w:val="es-ES_tradnl"/>
        </w:rPr>
        <w:footnoteReference w:id="23"/>
      </w:r>
      <w:r w:rsidRPr="00A202B4">
        <w:rPr>
          <w:lang w:val="es-ES_tradnl"/>
        </w:rPr>
        <w:t xml:space="preserve"> a la hora de lograr los tres objetivos del Convenio sobre la Diversidad Biológica</w:t>
      </w:r>
      <w:r w:rsidRPr="00A202B4">
        <w:rPr>
          <w:snapToGrid w:val="0"/>
          <w:kern w:val="22"/>
          <w:szCs w:val="22"/>
          <w:lang w:val="es-ES_tradnl"/>
        </w:rPr>
        <w:t>;</w:t>
      </w:r>
    </w:p>
    <w:p w14:paraId="2DE2542B"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3.</w:t>
      </w:r>
      <w:r w:rsidRPr="00A202B4">
        <w:rPr>
          <w:snapToGrid w:val="0"/>
          <w:kern w:val="22"/>
          <w:szCs w:val="22"/>
          <w:lang w:val="es-ES_tradnl"/>
        </w:rPr>
        <w:tab/>
      </w:r>
      <w:r w:rsidRPr="00A202B4">
        <w:rPr>
          <w:i/>
          <w:snapToGrid w:val="0"/>
          <w:kern w:val="22"/>
          <w:szCs w:val="22"/>
          <w:lang w:val="es-ES_tradnl"/>
        </w:rPr>
        <w:t xml:space="preserve">Acoge </w:t>
      </w:r>
      <w:r w:rsidRPr="00A202B4">
        <w:rPr>
          <w:i/>
          <w:iCs/>
          <w:snapToGrid w:val="0"/>
          <w:kern w:val="22"/>
          <w:lang w:val="es-ES_tradnl"/>
        </w:rPr>
        <w:t xml:space="preserve">con satisfacción </w:t>
      </w:r>
      <w:r w:rsidRPr="00A202B4">
        <w:rPr>
          <w:snapToGrid w:val="0"/>
          <w:kern w:val="22"/>
          <w:lang w:val="es-ES_tradnl"/>
        </w:rPr>
        <w:t xml:space="preserve">la </w:t>
      </w:r>
      <w:r w:rsidRPr="00A202B4">
        <w:rPr>
          <w:lang w:val="es-ES_tradnl"/>
        </w:rPr>
        <w:t xml:space="preserve">contribución del Grupo de Enlace del Protocolo de Cartagena sobre Seguridad de la Biotecnología y el Comité de Cumplimiento a la cuarta evaluación y revisión de la eficacia del Protocolo y evaluación final del Plan Estratégico para el Protocolo de Cartagena sobre Seguridad de la Biotecnología en el período </w:t>
      </w:r>
      <w:r w:rsidRPr="00A202B4">
        <w:rPr>
          <w:snapToGrid w:val="0"/>
          <w:kern w:val="22"/>
          <w:szCs w:val="22"/>
          <w:lang w:val="es-ES_tradnl"/>
        </w:rPr>
        <w:t>2011-2020</w:t>
      </w:r>
      <w:r w:rsidRPr="00A202B4">
        <w:rPr>
          <w:rStyle w:val="FootnoteReference"/>
          <w:snapToGrid w:val="0"/>
          <w:kern w:val="22"/>
          <w:sz w:val="22"/>
          <w:szCs w:val="22"/>
          <w:u w:val="none"/>
          <w:vertAlign w:val="superscript"/>
          <w:lang w:val="es-ES_tradnl"/>
        </w:rPr>
        <w:footnoteReference w:id="24"/>
      </w:r>
      <w:r w:rsidRPr="00A202B4">
        <w:rPr>
          <w:snapToGrid w:val="0"/>
          <w:kern w:val="22"/>
          <w:szCs w:val="22"/>
          <w:lang w:val="es-ES_tradnl"/>
        </w:rPr>
        <w:t xml:space="preserve">, y </w:t>
      </w:r>
      <w:r w:rsidRPr="00A202B4">
        <w:rPr>
          <w:lang w:val="es-ES_tradnl"/>
        </w:rPr>
        <w:t xml:space="preserve">les </w:t>
      </w:r>
      <w:r w:rsidRPr="00A202B4">
        <w:rPr>
          <w:i/>
          <w:iCs/>
          <w:lang w:val="es-ES_tradnl"/>
        </w:rPr>
        <w:t>pide</w:t>
      </w:r>
      <w:r w:rsidRPr="00A202B4">
        <w:rPr>
          <w:lang w:val="es-ES_tradnl"/>
        </w:rPr>
        <w:t xml:space="preserve"> que realicen aportaciones a la quinta evaluación y revisión y al proceso de evaluación del Plan de Aplicación para el Protocolo de Cartagena sobre Seguridad de la Biotecnología, según proceda</w:t>
      </w:r>
      <w:r w:rsidRPr="00A202B4">
        <w:rPr>
          <w:snapToGrid w:val="0"/>
          <w:kern w:val="22"/>
          <w:szCs w:val="22"/>
          <w:lang w:val="es-ES_tradnl"/>
        </w:rPr>
        <w:t>;</w:t>
      </w:r>
    </w:p>
    <w:p w14:paraId="5EC3CA70" w14:textId="77777777" w:rsidR="005C3E00" w:rsidRPr="00A202B4" w:rsidRDefault="005C3E00" w:rsidP="005C3E00">
      <w:pPr>
        <w:keepNext/>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_tradnl"/>
        </w:rPr>
      </w:pPr>
      <w:r w:rsidRPr="00A202B4">
        <w:rPr>
          <w:b/>
          <w:snapToGrid w:val="0"/>
          <w:kern w:val="22"/>
          <w:szCs w:val="22"/>
          <w:lang w:val="es-ES_tradnl"/>
        </w:rPr>
        <w:t>A.</w:t>
      </w:r>
      <w:r w:rsidRPr="00A202B4">
        <w:rPr>
          <w:b/>
          <w:snapToGrid w:val="0"/>
          <w:kern w:val="22"/>
          <w:szCs w:val="22"/>
          <w:lang w:val="es-ES_tradnl"/>
        </w:rPr>
        <w:tab/>
        <w:t xml:space="preserve">Marcos </w:t>
      </w:r>
      <w:r w:rsidRPr="00A202B4">
        <w:rPr>
          <w:b/>
          <w:bCs/>
          <w:snapToGrid w:val="0"/>
          <w:kern w:val="22"/>
          <w:lang w:val="es-ES_tradnl"/>
        </w:rPr>
        <w:t>nacionales de seguridad de la biotecnología</w:t>
      </w:r>
    </w:p>
    <w:p w14:paraId="183A1C35"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4.</w:t>
      </w:r>
      <w:r w:rsidRPr="00A202B4">
        <w:rPr>
          <w:snapToGrid w:val="0"/>
          <w:kern w:val="22"/>
          <w:szCs w:val="22"/>
          <w:lang w:val="es-ES_tradnl"/>
        </w:rPr>
        <w:tab/>
      </w:r>
      <w:r w:rsidRPr="00A202B4">
        <w:rPr>
          <w:i/>
          <w:snapToGrid w:val="0"/>
          <w:kern w:val="22"/>
          <w:szCs w:val="22"/>
          <w:lang w:val="es-ES_tradnl"/>
        </w:rPr>
        <w:t xml:space="preserve">Acoge </w:t>
      </w:r>
      <w:r w:rsidRPr="00A202B4">
        <w:rPr>
          <w:i/>
          <w:iCs/>
          <w:snapToGrid w:val="0"/>
          <w:kern w:val="22"/>
          <w:lang w:val="es-ES_tradnl"/>
        </w:rPr>
        <w:t xml:space="preserve">con satisfacción </w:t>
      </w:r>
      <w:r w:rsidRPr="00A202B4">
        <w:rPr>
          <w:snapToGrid w:val="0"/>
          <w:kern w:val="22"/>
          <w:lang w:val="es-ES_tradnl"/>
        </w:rPr>
        <w:t xml:space="preserve">los </w:t>
      </w:r>
      <w:r w:rsidRPr="00A202B4">
        <w:rPr>
          <w:lang w:val="es-ES_tradnl"/>
        </w:rPr>
        <w:t xml:space="preserve">progresos realizados en el establecimiento de arreglos administrativos funcionales, </w:t>
      </w:r>
      <w:r w:rsidRPr="00A202B4">
        <w:rPr>
          <w:iCs/>
          <w:lang w:val="es-ES_tradnl"/>
        </w:rPr>
        <w:t>observando</w:t>
      </w:r>
      <w:r w:rsidRPr="00A202B4">
        <w:rPr>
          <w:i/>
          <w:iCs/>
          <w:lang w:val="es-ES_tradnl"/>
        </w:rPr>
        <w:t xml:space="preserve"> </w:t>
      </w:r>
      <w:r w:rsidRPr="00A202B4">
        <w:rPr>
          <w:lang w:val="es-ES_tradnl"/>
        </w:rPr>
        <w:t>que casi todas las Partes cuentan con personal permanente que se encarga de las funciones relativas a la seguridad de la biotecnología</w:t>
      </w:r>
      <w:r w:rsidRPr="00A202B4">
        <w:rPr>
          <w:snapToGrid w:val="0"/>
          <w:kern w:val="22"/>
          <w:szCs w:val="22"/>
          <w:lang w:val="es-ES_tradnl"/>
        </w:rPr>
        <w:t>;</w:t>
      </w:r>
    </w:p>
    <w:p w14:paraId="0858D7DA"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5</w:t>
      </w:r>
      <w:r w:rsidRPr="00A202B4">
        <w:rPr>
          <w:snapToGrid w:val="0"/>
          <w:kern w:val="22"/>
          <w:szCs w:val="22"/>
          <w:lang w:val="es-ES_tradnl"/>
        </w:rPr>
        <w:tab/>
      </w:r>
      <w:r w:rsidRPr="00A202B4">
        <w:rPr>
          <w:i/>
          <w:snapToGrid w:val="0"/>
          <w:kern w:val="22"/>
          <w:szCs w:val="22"/>
          <w:lang w:val="es-ES_tradnl"/>
        </w:rPr>
        <w:t xml:space="preserve">Insta </w:t>
      </w:r>
      <w:r w:rsidRPr="00A202B4">
        <w:rPr>
          <w:snapToGrid w:val="0"/>
          <w:kern w:val="22"/>
          <w:szCs w:val="22"/>
          <w:lang w:val="es-ES_tradnl"/>
        </w:rPr>
        <w:t xml:space="preserve">a </w:t>
      </w:r>
      <w:r w:rsidRPr="00A202B4">
        <w:rPr>
          <w:lang w:val="es-ES_tradnl"/>
        </w:rPr>
        <w:t>las Partes a asignar los recursos que sean necesarios para el funcionamiento de sus instituciones de seguridad de la biotecnología, dado que estas instituciones desempeñan una función crucial en la aplicación del Protocolo;</w:t>
      </w:r>
    </w:p>
    <w:p w14:paraId="535D7B52"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6.</w:t>
      </w:r>
      <w:r w:rsidRPr="00A202B4">
        <w:rPr>
          <w:snapToGrid w:val="0"/>
          <w:kern w:val="22"/>
          <w:szCs w:val="22"/>
          <w:lang w:val="es-ES_tradnl"/>
        </w:rPr>
        <w:tab/>
      </w:r>
      <w:r w:rsidRPr="00A202B4">
        <w:rPr>
          <w:i/>
          <w:snapToGrid w:val="0"/>
          <w:kern w:val="22"/>
          <w:szCs w:val="22"/>
          <w:lang w:val="es-ES_tradnl"/>
        </w:rPr>
        <w:t xml:space="preserve">Insta además </w:t>
      </w:r>
      <w:r w:rsidRPr="00A202B4">
        <w:rPr>
          <w:snapToGrid w:val="0"/>
          <w:kern w:val="22"/>
          <w:lang w:val="es-ES_tradnl"/>
        </w:rPr>
        <w:t>a las Partes a movilizar recursos de todas las fuentes nacionales e internacionales disponibles, incluidos la cooperación internacional y el sector privado, para seguir apoyando el funcionamiento de sus instituciones de seguridad de la biotecnología</w:t>
      </w:r>
      <w:r w:rsidRPr="00A202B4">
        <w:rPr>
          <w:snapToGrid w:val="0"/>
          <w:kern w:val="22"/>
          <w:szCs w:val="22"/>
          <w:lang w:val="es-ES_tradnl"/>
        </w:rPr>
        <w:t>;</w:t>
      </w:r>
    </w:p>
    <w:p w14:paraId="4450CA50"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7.</w:t>
      </w:r>
      <w:r w:rsidRPr="00A202B4">
        <w:rPr>
          <w:snapToGrid w:val="0"/>
          <w:kern w:val="22"/>
          <w:szCs w:val="22"/>
          <w:lang w:val="es-ES_tradnl"/>
        </w:rPr>
        <w:tab/>
      </w:r>
      <w:r w:rsidRPr="00A202B4">
        <w:rPr>
          <w:i/>
          <w:snapToGrid w:val="0"/>
          <w:kern w:val="22"/>
          <w:szCs w:val="22"/>
          <w:lang w:val="es-ES_tradnl"/>
        </w:rPr>
        <w:t xml:space="preserve">Observa </w:t>
      </w:r>
      <w:r w:rsidRPr="00A202B4">
        <w:rPr>
          <w:i/>
          <w:snapToGrid w:val="0"/>
          <w:kern w:val="22"/>
          <w:lang w:val="es-ES_tradnl"/>
        </w:rPr>
        <w:t>con gran preocupación</w:t>
      </w:r>
      <w:r w:rsidRPr="00A202B4">
        <w:rPr>
          <w:lang w:val="es-ES_tradnl"/>
        </w:rPr>
        <w:t xml:space="preserve"> que solo alrededor de la mitad de las Partes ha introducido plenamente las medidas legislativas, administrativas y de otro tipo necesarias para cumplir sus obligaciones dimanantes del Protocolo y que ha habido escasos progresos en este sentido desde la evaluación de mitad de período del Plan Estratégico para el Protocolo de Cartagena sobre Seguridad de la Biotecnología para el período 2011-2020</w:t>
      </w:r>
      <w:r w:rsidRPr="00A202B4">
        <w:rPr>
          <w:rStyle w:val="FootnoteReference"/>
          <w:rFonts w:asciiTheme="majorBidi" w:hAnsiTheme="majorBidi" w:cstheme="majorBidi"/>
          <w:sz w:val="22"/>
          <w:szCs w:val="22"/>
          <w:u w:val="none"/>
          <w:vertAlign w:val="superscript"/>
          <w:lang w:val="es-ES_tradnl"/>
        </w:rPr>
        <w:footnoteReference w:id="25"/>
      </w:r>
      <w:r w:rsidRPr="00A202B4">
        <w:rPr>
          <w:snapToGrid w:val="0"/>
          <w:kern w:val="22"/>
          <w:szCs w:val="22"/>
          <w:lang w:val="es-ES_tradnl"/>
        </w:rPr>
        <w:t>;</w:t>
      </w:r>
    </w:p>
    <w:p w14:paraId="6A6E2A83"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8.</w:t>
      </w:r>
      <w:r w:rsidRPr="00A202B4">
        <w:rPr>
          <w:snapToGrid w:val="0"/>
          <w:kern w:val="22"/>
          <w:szCs w:val="22"/>
          <w:lang w:val="es-ES_tradnl"/>
        </w:rPr>
        <w:tab/>
      </w:r>
      <w:r w:rsidRPr="00A202B4">
        <w:rPr>
          <w:i/>
          <w:snapToGrid w:val="0"/>
          <w:kern w:val="22"/>
          <w:szCs w:val="22"/>
          <w:lang w:val="es-ES_tradnl"/>
        </w:rPr>
        <w:t xml:space="preserve">Insta </w:t>
      </w:r>
      <w:r w:rsidRPr="00A202B4">
        <w:rPr>
          <w:lang w:val="es-ES_tradnl"/>
        </w:rPr>
        <w:t xml:space="preserve">a las Partes que aún no hayan introducido plenamente medidas legislativas, administrativas y de otro tipo para cumplir sus obligaciones dimanantes del Protocolo, en especial leyes de </w:t>
      </w:r>
      <w:r w:rsidRPr="00A202B4">
        <w:rPr>
          <w:lang w:val="es-ES_tradnl"/>
        </w:rPr>
        <w:lastRenderedPageBreak/>
        <w:t>seguridad de la biotecnología, a que lo hagan con carácter prioritario, y reconoce que se necesita más apoyo en esta esfera</w:t>
      </w:r>
      <w:r w:rsidRPr="00A202B4">
        <w:rPr>
          <w:snapToGrid w:val="0"/>
          <w:kern w:val="22"/>
          <w:szCs w:val="22"/>
          <w:lang w:val="es-ES_tradnl"/>
        </w:rPr>
        <w:t>;</w:t>
      </w:r>
    </w:p>
    <w:p w14:paraId="1F61E06C"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9.</w:t>
      </w:r>
      <w:r w:rsidRPr="00A202B4">
        <w:rPr>
          <w:snapToGrid w:val="0"/>
          <w:kern w:val="22"/>
          <w:szCs w:val="22"/>
          <w:lang w:val="es-ES_tradnl"/>
        </w:rPr>
        <w:tab/>
      </w:r>
      <w:r w:rsidRPr="00A202B4">
        <w:rPr>
          <w:i/>
          <w:snapToGrid w:val="0"/>
          <w:kern w:val="22"/>
          <w:szCs w:val="22"/>
          <w:lang w:val="es-ES_tradnl"/>
        </w:rPr>
        <w:t xml:space="preserve">Alienta </w:t>
      </w:r>
      <w:r w:rsidRPr="00A202B4">
        <w:rPr>
          <w:snapToGrid w:val="0"/>
          <w:kern w:val="22"/>
          <w:lang w:val="es-ES_tradnl"/>
        </w:rPr>
        <w:t>a las Partes a que en sus marcos nacionales de seguridad de la biotecnología tengan en cuenta un enfoque basado en los pueblos indígenas y las comunidades locales, el género, las mujeres, la juventud y los derechos</w:t>
      </w:r>
      <w:r w:rsidRPr="00A202B4">
        <w:rPr>
          <w:snapToGrid w:val="0"/>
          <w:kern w:val="22"/>
          <w:szCs w:val="22"/>
          <w:lang w:val="es-ES_tradnl"/>
        </w:rPr>
        <w:t xml:space="preserve"> humanos;</w:t>
      </w:r>
    </w:p>
    <w:p w14:paraId="08EB5A3E"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_tradnl"/>
        </w:rPr>
      </w:pPr>
      <w:r w:rsidRPr="00A202B4">
        <w:rPr>
          <w:b/>
          <w:snapToGrid w:val="0"/>
          <w:kern w:val="22"/>
          <w:szCs w:val="22"/>
          <w:lang w:val="es-ES_tradnl"/>
        </w:rPr>
        <w:t>B.</w:t>
      </w:r>
      <w:r w:rsidRPr="00A202B4">
        <w:rPr>
          <w:b/>
          <w:snapToGrid w:val="0"/>
          <w:kern w:val="22"/>
          <w:szCs w:val="22"/>
          <w:lang w:val="es-ES_tradnl"/>
        </w:rPr>
        <w:tab/>
        <w:t>Coordinación y apoyo</w:t>
      </w:r>
    </w:p>
    <w:p w14:paraId="47F1A92E"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10.</w:t>
      </w:r>
      <w:r w:rsidRPr="00A202B4">
        <w:rPr>
          <w:snapToGrid w:val="0"/>
          <w:kern w:val="22"/>
          <w:szCs w:val="22"/>
          <w:lang w:val="es-ES_tradnl"/>
        </w:rPr>
        <w:tab/>
      </w:r>
      <w:r w:rsidRPr="00A202B4">
        <w:rPr>
          <w:i/>
          <w:snapToGrid w:val="0"/>
          <w:kern w:val="22"/>
          <w:szCs w:val="22"/>
          <w:lang w:val="es-ES_tradnl"/>
        </w:rPr>
        <w:t xml:space="preserve">Reconoce </w:t>
      </w:r>
      <w:r w:rsidRPr="00A202B4">
        <w:rPr>
          <w:snapToGrid w:val="0"/>
          <w:kern w:val="22"/>
          <w:lang w:val="es-ES_tradnl"/>
        </w:rPr>
        <w:t>la importancia de la coordinación entre las autoridades pertinentes y a diversos niveles, y de la integración de la seguridad de la biotecnología en todos los instrumentos sectoriales e intersectoriales pertinentes, incluidas las estrategias y planes de acción nacionales en materia de biodiversidad, para que avance la aplicación del Protocolo</w:t>
      </w:r>
      <w:r w:rsidRPr="00A202B4">
        <w:rPr>
          <w:snapToGrid w:val="0"/>
          <w:kern w:val="22"/>
          <w:szCs w:val="22"/>
          <w:lang w:val="es-ES_tradnl"/>
        </w:rPr>
        <w:t>;</w:t>
      </w:r>
    </w:p>
    <w:p w14:paraId="1CF42D71"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11.</w:t>
      </w:r>
      <w:r w:rsidRPr="00A202B4">
        <w:rPr>
          <w:snapToGrid w:val="0"/>
          <w:kern w:val="22"/>
          <w:szCs w:val="22"/>
          <w:lang w:val="es-ES_tradnl"/>
        </w:rPr>
        <w:tab/>
      </w:r>
      <w:r w:rsidRPr="00A202B4">
        <w:rPr>
          <w:i/>
          <w:snapToGrid w:val="0"/>
          <w:kern w:val="22"/>
          <w:szCs w:val="22"/>
          <w:lang w:val="es-ES_tradnl"/>
        </w:rPr>
        <w:t xml:space="preserve">Acoge </w:t>
      </w:r>
      <w:r w:rsidRPr="00A202B4">
        <w:rPr>
          <w:i/>
          <w:iCs/>
          <w:snapToGrid w:val="0"/>
          <w:kern w:val="22"/>
          <w:lang w:val="es-ES_tradnl"/>
        </w:rPr>
        <w:t xml:space="preserve">con satisfacción </w:t>
      </w:r>
      <w:r w:rsidRPr="00A202B4">
        <w:rPr>
          <w:snapToGrid w:val="0"/>
          <w:kern w:val="22"/>
          <w:lang w:val="es-ES_tradnl"/>
        </w:rPr>
        <w:t>el apoyo a la creación de capacidad prestado para promover el Plan Estratégico para el Protocolo de Cartagena sobre Seguridad de la Biotecnología para el período 2011-2020, pero observa con preocupación que la satisfacción de las necesidades de creación de capacidad no ha progresado en la mayoría de las regiones</w:t>
      </w:r>
      <w:r w:rsidRPr="00A202B4">
        <w:rPr>
          <w:snapToGrid w:val="0"/>
          <w:kern w:val="22"/>
          <w:szCs w:val="22"/>
          <w:lang w:val="es-ES_tradnl"/>
        </w:rPr>
        <w:t>;</w:t>
      </w:r>
    </w:p>
    <w:p w14:paraId="5E8018D2"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12.</w:t>
      </w:r>
      <w:r w:rsidRPr="00A202B4">
        <w:rPr>
          <w:snapToGrid w:val="0"/>
          <w:kern w:val="22"/>
          <w:szCs w:val="22"/>
          <w:lang w:val="es-ES_tradnl"/>
        </w:rPr>
        <w:tab/>
      </w:r>
      <w:r w:rsidRPr="00A202B4">
        <w:rPr>
          <w:i/>
          <w:snapToGrid w:val="0"/>
          <w:kern w:val="22"/>
          <w:szCs w:val="22"/>
          <w:lang w:val="es-ES_tradnl"/>
        </w:rPr>
        <w:t xml:space="preserve">Subraya </w:t>
      </w:r>
      <w:r w:rsidRPr="00A202B4">
        <w:rPr>
          <w:snapToGrid w:val="0"/>
          <w:kern w:val="22"/>
          <w:lang w:val="es-ES_tradnl"/>
        </w:rPr>
        <w:t xml:space="preserve">la necesidad </w:t>
      </w:r>
      <w:r w:rsidRPr="00A202B4">
        <w:rPr>
          <w:lang w:val="es-ES_tradnl"/>
        </w:rPr>
        <w:t>permanente de desarrollar y fortalecer las capacidades de las Partes para aplicar el Protocolo, teniendo en cuenta también el rápido desarrollo en curso de las biotecnologías pertinentes para el Protocolo de Cartagena, y reconoce la función facilitadora que puede desempeñar al respecto el Plan de Acción para la Creación de Capacidad para el Protocolo de Cartagena sobre Seguridad de la Biotecnología</w:t>
      </w:r>
      <w:r w:rsidRPr="00A202B4">
        <w:rPr>
          <w:snapToGrid w:val="0"/>
          <w:kern w:val="22"/>
          <w:szCs w:val="22"/>
          <w:lang w:val="es-ES_tradnl"/>
        </w:rPr>
        <w:t>;</w:t>
      </w:r>
    </w:p>
    <w:p w14:paraId="73452925"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13.</w:t>
      </w:r>
      <w:r w:rsidRPr="00A202B4">
        <w:rPr>
          <w:i/>
          <w:snapToGrid w:val="0"/>
          <w:kern w:val="22"/>
          <w:szCs w:val="22"/>
          <w:lang w:val="es-ES_tradnl"/>
        </w:rPr>
        <w:tab/>
        <w:t xml:space="preserve">Alienta </w:t>
      </w:r>
      <w:r w:rsidRPr="00A202B4">
        <w:rPr>
          <w:snapToGrid w:val="0"/>
          <w:kern w:val="22"/>
          <w:lang w:val="es-ES_tradnl"/>
        </w:rPr>
        <w:t>a las Partes a cooperar en la creación de capacidad en materia de seguridad de la biotecnología, incluso a nivel regional</w:t>
      </w:r>
      <w:r w:rsidRPr="00A202B4">
        <w:rPr>
          <w:snapToGrid w:val="0"/>
          <w:kern w:val="22"/>
          <w:szCs w:val="22"/>
          <w:lang w:val="es-ES_tradnl"/>
        </w:rPr>
        <w:t>;</w:t>
      </w:r>
    </w:p>
    <w:p w14:paraId="3F48701F"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14.</w:t>
      </w:r>
      <w:r w:rsidRPr="00A202B4">
        <w:rPr>
          <w:snapToGrid w:val="0"/>
          <w:kern w:val="22"/>
          <w:szCs w:val="22"/>
          <w:lang w:val="es-ES_tradnl"/>
        </w:rPr>
        <w:tab/>
      </w:r>
      <w:r w:rsidRPr="00A202B4">
        <w:rPr>
          <w:i/>
          <w:snapToGrid w:val="0"/>
          <w:kern w:val="22"/>
          <w:szCs w:val="22"/>
          <w:lang w:val="es-ES_tradnl"/>
        </w:rPr>
        <w:t xml:space="preserve">Observa </w:t>
      </w:r>
      <w:r w:rsidRPr="00A202B4">
        <w:rPr>
          <w:snapToGrid w:val="0"/>
          <w:kern w:val="22"/>
          <w:lang w:val="es-ES_tradnl"/>
        </w:rPr>
        <w:t>con preocupación que menos Partes tenían acceso a recursos financieros adicionales aparte de sus presupuestos nacionales en comparación con la tercera evaluación y revisión de la eficacia del Protocolo de Cartagena y la evaluación de mitad de período del Plan Estratégico</w:t>
      </w:r>
      <w:r w:rsidRPr="00A202B4">
        <w:rPr>
          <w:lang w:val="es-ES_tradnl"/>
        </w:rPr>
        <w:t xml:space="preserve"> para el Protocolo de Cartagena sobre Seguridad de la Biotecnología para el período 2011-2020</w:t>
      </w:r>
      <w:r w:rsidRPr="00A202B4">
        <w:rPr>
          <w:snapToGrid w:val="0"/>
          <w:kern w:val="22"/>
          <w:szCs w:val="22"/>
          <w:lang w:val="es-ES_tradnl"/>
        </w:rPr>
        <w:t>;</w:t>
      </w:r>
    </w:p>
    <w:p w14:paraId="59021C84" w14:textId="77777777" w:rsidR="005C3E00" w:rsidRPr="00A202B4" w:rsidRDefault="005C3E00" w:rsidP="005C3E00">
      <w:pPr>
        <w:spacing w:before="120" w:after="120"/>
        <w:ind w:firstLine="720"/>
        <w:rPr>
          <w:lang w:val="es-ES_tradnl"/>
        </w:rPr>
      </w:pPr>
      <w:r w:rsidRPr="00A202B4">
        <w:rPr>
          <w:snapToGrid w:val="0"/>
          <w:kern w:val="22"/>
          <w:szCs w:val="22"/>
          <w:lang w:val="es-ES_tradnl"/>
        </w:rPr>
        <w:t>15.</w:t>
      </w:r>
      <w:r w:rsidRPr="00A202B4">
        <w:rPr>
          <w:snapToGrid w:val="0"/>
          <w:kern w:val="22"/>
          <w:szCs w:val="22"/>
          <w:lang w:val="es-ES_tradnl"/>
        </w:rPr>
        <w:tab/>
      </w:r>
      <w:r w:rsidRPr="00A202B4">
        <w:rPr>
          <w:i/>
          <w:snapToGrid w:val="0"/>
          <w:kern w:val="22"/>
          <w:szCs w:val="22"/>
          <w:lang w:val="es-ES_tradnl"/>
        </w:rPr>
        <w:t xml:space="preserve">Insta </w:t>
      </w:r>
      <w:r w:rsidRPr="00A202B4">
        <w:rPr>
          <w:snapToGrid w:val="0"/>
          <w:kern w:val="22"/>
          <w:szCs w:val="22"/>
          <w:lang w:val="es-ES_tradnl"/>
        </w:rPr>
        <w:t xml:space="preserve">a las Partes e </w:t>
      </w:r>
      <w:r w:rsidRPr="00A202B4">
        <w:rPr>
          <w:i/>
          <w:iCs/>
          <w:snapToGrid w:val="0"/>
          <w:kern w:val="22"/>
          <w:szCs w:val="22"/>
          <w:lang w:val="es-ES_tradnl"/>
        </w:rPr>
        <w:t>invita</w:t>
      </w:r>
      <w:r w:rsidRPr="00A202B4">
        <w:rPr>
          <w:snapToGrid w:val="0"/>
          <w:kern w:val="22"/>
          <w:szCs w:val="22"/>
          <w:lang w:val="es-ES_tradnl"/>
        </w:rPr>
        <w:t xml:space="preserve"> </w:t>
      </w:r>
      <w:r w:rsidRPr="00A202B4">
        <w:rPr>
          <w:snapToGrid w:val="0"/>
          <w:kern w:val="22"/>
          <w:lang w:val="es-ES_tradnl"/>
        </w:rPr>
        <w:t xml:space="preserve">a </w:t>
      </w:r>
      <w:r w:rsidRPr="00A202B4">
        <w:rPr>
          <w:lang w:val="es-ES_tradnl"/>
        </w:rPr>
        <w:t>otros Gobiernos, donantes e iniciativas de creación de capacidad en materia de seguridad de la biotecnología a que aporten los recursos disponibles para apoyar los esfuerzos de las Partes por fortalecer su capacidad y mejorar la aplicación del Protocolo de Cartagena en las siguientes esferas prioritarias: elaboración y aplicación de medidas jurídicas, administrativas y de otro tipo para aplicar el Protocolo; evaluación del riesgo y gestión del riesgo; detección e identificación de organismos vivos modificados; concienciación, educación y participación del público; consideraciones socioeconómicas; responsabilidad y compensación; presentación de informes nacionales, y transferencia de tecnología;</w:t>
      </w:r>
    </w:p>
    <w:p w14:paraId="410CEA31"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_tradnl"/>
        </w:rPr>
      </w:pPr>
      <w:r w:rsidRPr="00A202B4">
        <w:rPr>
          <w:b/>
          <w:snapToGrid w:val="0"/>
          <w:kern w:val="22"/>
          <w:szCs w:val="22"/>
          <w:lang w:val="es-ES_tradnl"/>
        </w:rPr>
        <w:t>C.</w:t>
      </w:r>
      <w:r w:rsidRPr="00A202B4">
        <w:rPr>
          <w:b/>
          <w:snapToGrid w:val="0"/>
          <w:kern w:val="22"/>
          <w:szCs w:val="22"/>
          <w:lang w:val="es-ES_tradnl"/>
        </w:rPr>
        <w:tab/>
        <w:t xml:space="preserve">Evaluación </w:t>
      </w:r>
      <w:r w:rsidRPr="00A202B4">
        <w:rPr>
          <w:b/>
          <w:bCs/>
          <w:lang w:val="es-ES_tradnl"/>
        </w:rPr>
        <w:t>del riesgo y gestión del riesgo</w:t>
      </w:r>
    </w:p>
    <w:p w14:paraId="27812568"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16.</w:t>
      </w:r>
      <w:r w:rsidRPr="00A202B4">
        <w:rPr>
          <w:snapToGrid w:val="0"/>
          <w:kern w:val="22"/>
          <w:szCs w:val="22"/>
          <w:lang w:val="es-ES_tradnl"/>
        </w:rPr>
        <w:tab/>
      </w:r>
      <w:r w:rsidRPr="00A202B4">
        <w:rPr>
          <w:i/>
          <w:snapToGrid w:val="0"/>
          <w:kern w:val="22"/>
          <w:szCs w:val="22"/>
          <w:lang w:val="es-ES_tradnl"/>
        </w:rPr>
        <w:t xml:space="preserve">Acoge </w:t>
      </w:r>
      <w:r w:rsidRPr="00A202B4">
        <w:rPr>
          <w:i/>
          <w:iCs/>
          <w:lang w:val="es-ES_tradnl"/>
        </w:rPr>
        <w:t>con satisfacción</w:t>
      </w:r>
      <w:r w:rsidRPr="00A202B4">
        <w:rPr>
          <w:lang w:val="es-ES_tradnl"/>
        </w:rPr>
        <w:t xml:space="preserve"> los progresos alcanzados por las Partes en la realización de evaluaciones del riesgo de conformidad con el Protocolo y en la publicación de informes resumidos de evaluaciones del riesgo además de las decisiones en el Centro de Intercambio de Información sobre Seguridad de la Biotecnología</w:t>
      </w:r>
      <w:r w:rsidRPr="00A202B4">
        <w:rPr>
          <w:snapToGrid w:val="0"/>
          <w:kern w:val="22"/>
          <w:szCs w:val="22"/>
          <w:lang w:val="es-ES_tradnl"/>
        </w:rPr>
        <w:t>;</w:t>
      </w:r>
    </w:p>
    <w:p w14:paraId="2084C4D3"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17.</w:t>
      </w:r>
      <w:r w:rsidRPr="00A202B4">
        <w:rPr>
          <w:snapToGrid w:val="0"/>
          <w:kern w:val="22"/>
          <w:szCs w:val="22"/>
          <w:lang w:val="es-ES_tradnl"/>
        </w:rPr>
        <w:tab/>
      </w:r>
      <w:r w:rsidRPr="00A202B4">
        <w:rPr>
          <w:i/>
          <w:snapToGrid w:val="0"/>
          <w:kern w:val="22"/>
          <w:szCs w:val="22"/>
          <w:lang w:val="es-ES_tradnl"/>
        </w:rPr>
        <w:t>A</w:t>
      </w:r>
      <w:r w:rsidRPr="00A202B4">
        <w:rPr>
          <w:i/>
          <w:iCs/>
          <w:snapToGrid w:val="0"/>
          <w:kern w:val="22"/>
          <w:lang w:val="es-ES_tradnl"/>
        </w:rPr>
        <w:t>cog</w:t>
      </w:r>
      <w:r w:rsidRPr="00A202B4">
        <w:rPr>
          <w:i/>
          <w:iCs/>
          <w:lang w:val="es-ES_tradnl"/>
        </w:rPr>
        <w:t>e con satisfacción</w:t>
      </w:r>
      <w:r w:rsidRPr="00A202B4">
        <w:rPr>
          <w:lang w:val="es-ES_tradnl"/>
        </w:rPr>
        <w:t xml:space="preserve"> </w:t>
      </w:r>
      <w:r w:rsidRPr="00A202B4">
        <w:rPr>
          <w:i/>
          <w:iCs/>
          <w:lang w:val="es-ES_tradnl"/>
        </w:rPr>
        <w:t xml:space="preserve">también </w:t>
      </w:r>
      <w:r w:rsidRPr="00A202B4">
        <w:rPr>
          <w:lang w:val="es-ES_tradnl"/>
        </w:rPr>
        <w:t>los progresos alcanzados por las Partes en la adopción de enfoques comunes de evaluación del riesgo, de conformidad con el anexo III del Protocolo de Cartagena, y de gestión del riesgo y en la adopción o utilización de documentos de orientación voluntaria con el fin de realizar evaluaciones del riesgo o de evaluar informes resumidos sobre evaluaciones del riesgo presentados por notificadore</w:t>
      </w:r>
      <w:r w:rsidRPr="00A202B4">
        <w:rPr>
          <w:snapToGrid w:val="0"/>
          <w:kern w:val="22"/>
          <w:lang w:val="es-ES_tradnl"/>
        </w:rPr>
        <w:t>s</w:t>
      </w:r>
      <w:r w:rsidRPr="00A202B4">
        <w:rPr>
          <w:snapToGrid w:val="0"/>
          <w:kern w:val="22"/>
          <w:szCs w:val="22"/>
          <w:lang w:val="es-ES_tradnl"/>
        </w:rPr>
        <w:t>;</w:t>
      </w:r>
    </w:p>
    <w:p w14:paraId="207F956A"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18.</w:t>
      </w:r>
      <w:r w:rsidRPr="00A202B4">
        <w:rPr>
          <w:snapToGrid w:val="0"/>
          <w:kern w:val="22"/>
          <w:szCs w:val="22"/>
          <w:lang w:val="es-ES_tradnl"/>
        </w:rPr>
        <w:tab/>
      </w:r>
      <w:r w:rsidRPr="00A202B4">
        <w:rPr>
          <w:i/>
          <w:snapToGrid w:val="0"/>
          <w:kern w:val="22"/>
          <w:szCs w:val="22"/>
          <w:lang w:val="es-ES_tradnl"/>
        </w:rPr>
        <w:t xml:space="preserve">Reconoce </w:t>
      </w:r>
      <w:r w:rsidRPr="00A202B4">
        <w:rPr>
          <w:snapToGrid w:val="0"/>
          <w:kern w:val="22"/>
          <w:lang w:val="es-ES_tradnl"/>
        </w:rPr>
        <w:t>la</w:t>
      </w:r>
      <w:r w:rsidRPr="00A202B4">
        <w:rPr>
          <w:lang w:val="es-ES_tradnl"/>
        </w:rPr>
        <w:t xml:space="preserve"> necesidad de seguir prestando apoyo para la evaluación del riesgo y la gestión del riesgo, por ejemplo, fortaleciendo la capacidad de recursos humanos y facilitando el acceso a recursos financieros suficientes y a conocimientos científicos e infraestructura técnica adecuados</w:t>
      </w:r>
      <w:r w:rsidRPr="00A202B4">
        <w:rPr>
          <w:snapToGrid w:val="0"/>
          <w:kern w:val="22"/>
          <w:szCs w:val="22"/>
          <w:lang w:val="es-ES_tradnl"/>
        </w:rPr>
        <w:t>;</w:t>
      </w:r>
    </w:p>
    <w:p w14:paraId="5993D747" w14:textId="77777777" w:rsidR="005C3E00" w:rsidRPr="00A202B4" w:rsidRDefault="005C3E00" w:rsidP="005C3E00">
      <w:pPr>
        <w:keepNext/>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_tradnl"/>
        </w:rPr>
      </w:pPr>
      <w:r w:rsidRPr="00A202B4">
        <w:rPr>
          <w:b/>
          <w:snapToGrid w:val="0"/>
          <w:kern w:val="22"/>
          <w:szCs w:val="22"/>
          <w:lang w:val="es-ES_tradnl"/>
        </w:rPr>
        <w:lastRenderedPageBreak/>
        <w:t>D.</w:t>
      </w:r>
      <w:r w:rsidRPr="00A202B4">
        <w:rPr>
          <w:b/>
          <w:snapToGrid w:val="0"/>
          <w:kern w:val="22"/>
          <w:szCs w:val="22"/>
          <w:lang w:val="es-ES_tradnl"/>
        </w:rPr>
        <w:tab/>
        <w:t xml:space="preserve">Organismos </w:t>
      </w:r>
      <w:r w:rsidRPr="00A202B4">
        <w:rPr>
          <w:b/>
          <w:bCs/>
          <w:lang w:val="es-ES_tradnl"/>
        </w:rPr>
        <w:t>vivos modificados o rasgos que puedan tener efectos adversos</w:t>
      </w:r>
    </w:p>
    <w:p w14:paraId="17B69B7B"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19.</w:t>
      </w:r>
      <w:r w:rsidRPr="00A202B4">
        <w:rPr>
          <w:snapToGrid w:val="0"/>
          <w:kern w:val="22"/>
          <w:szCs w:val="22"/>
          <w:lang w:val="es-ES_tradnl"/>
        </w:rPr>
        <w:tab/>
      </w:r>
      <w:r w:rsidRPr="00A202B4">
        <w:rPr>
          <w:i/>
          <w:snapToGrid w:val="0"/>
          <w:kern w:val="22"/>
          <w:szCs w:val="22"/>
          <w:lang w:val="es-ES_tradnl"/>
        </w:rPr>
        <w:t xml:space="preserve">Elogia </w:t>
      </w:r>
      <w:r w:rsidRPr="00A202B4">
        <w:rPr>
          <w:snapToGrid w:val="0"/>
          <w:kern w:val="22"/>
          <w:lang w:val="es-ES_tradnl"/>
        </w:rPr>
        <w:t xml:space="preserve">al </w:t>
      </w:r>
      <w:r w:rsidRPr="00A202B4">
        <w:rPr>
          <w:lang w:val="es-ES_tradnl"/>
        </w:rPr>
        <w:t>gran número de Partes que han adquirido la capacidad de detectar, identificar, evaluar y vigilar los organismos vivos modificados o rasgos que puedan tener efectos adversos en la conservación y la utilización sostenible de la diversidad biológica</w:t>
      </w:r>
      <w:r w:rsidRPr="00A202B4">
        <w:rPr>
          <w:snapToGrid w:val="0"/>
          <w:kern w:val="22"/>
          <w:szCs w:val="22"/>
          <w:lang w:val="es-ES_tradnl"/>
        </w:rPr>
        <w:t>;</w:t>
      </w:r>
    </w:p>
    <w:p w14:paraId="53778B9C"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20.</w:t>
      </w:r>
      <w:r w:rsidRPr="00A202B4">
        <w:rPr>
          <w:snapToGrid w:val="0"/>
          <w:kern w:val="22"/>
          <w:szCs w:val="22"/>
          <w:lang w:val="es-ES_tradnl"/>
        </w:rPr>
        <w:tab/>
      </w:r>
      <w:r w:rsidRPr="00A202B4">
        <w:rPr>
          <w:i/>
          <w:snapToGrid w:val="0"/>
          <w:kern w:val="22"/>
          <w:szCs w:val="22"/>
          <w:lang w:val="es-ES_tradnl"/>
        </w:rPr>
        <w:t>Reconoce</w:t>
      </w:r>
      <w:r w:rsidRPr="00A202B4">
        <w:rPr>
          <w:snapToGrid w:val="0"/>
          <w:kern w:val="22"/>
          <w:szCs w:val="22"/>
          <w:lang w:val="es-ES_tradnl"/>
        </w:rPr>
        <w:t xml:space="preserve">, </w:t>
      </w:r>
      <w:r w:rsidRPr="00A202B4">
        <w:rPr>
          <w:lang w:val="es-ES_tradnl"/>
        </w:rPr>
        <w:t>sin embargo, que se necesita más apoyo para fortalecer la capacidad institucional y de recursos humanos</w:t>
      </w:r>
      <w:r w:rsidRPr="00A202B4">
        <w:rPr>
          <w:snapToGrid w:val="0"/>
          <w:kern w:val="22"/>
          <w:lang w:val="es-ES_tradnl"/>
        </w:rPr>
        <w:t xml:space="preserve">, especialmente mediante una mayor cooperación internacional entre las Partes, para identificar organismos vivos modificados o rasgos específicos que puedan tener efectos adversos en la conservación y la utilización sostenible de la diversidad biológica, conforme a lo dispuesto en el artículo 16, y para facilitar </w:t>
      </w:r>
      <w:r w:rsidRPr="00A202B4">
        <w:rPr>
          <w:lang w:val="es-ES_tradnl"/>
        </w:rPr>
        <w:t>el acceso a una infraestructura técnica adecuada para identificar, evaluar y vigilar los organismos vivos modificados</w:t>
      </w:r>
      <w:r w:rsidRPr="00A202B4">
        <w:rPr>
          <w:szCs w:val="22"/>
          <w:lang w:val="es-ES_tradnl"/>
        </w:rPr>
        <w:t>;</w:t>
      </w:r>
    </w:p>
    <w:p w14:paraId="2C33B5EA" w14:textId="77777777" w:rsidR="005C3E00" w:rsidRPr="00A202B4" w:rsidRDefault="005C3E00" w:rsidP="005C3E00">
      <w:pPr>
        <w:keepNext/>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_tradnl"/>
        </w:rPr>
      </w:pPr>
      <w:r w:rsidRPr="00A202B4">
        <w:rPr>
          <w:b/>
          <w:snapToGrid w:val="0"/>
          <w:kern w:val="22"/>
          <w:szCs w:val="22"/>
          <w:lang w:val="es-ES_tradnl"/>
        </w:rPr>
        <w:t>E.</w:t>
      </w:r>
      <w:r w:rsidRPr="00A202B4">
        <w:rPr>
          <w:b/>
          <w:snapToGrid w:val="0"/>
          <w:kern w:val="22"/>
          <w:szCs w:val="22"/>
          <w:lang w:val="es-ES_tradnl"/>
        </w:rPr>
        <w:tab/>
        <w:t>Responsabilidad y compensación</w:t>
      </w:r>
    </w:p>
    <w:p w14:paraId="56D6AE78"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21.</w:t>
      </w:r>
      <w:r w:rsidRPr="00A202B4">
        <w:rPr>
          <w:snapToGrid w:val="0"/>
          <w:kern w:val="22"/>
          <w:szCs w:val="22"/>
          <w:lang w:val="es-ES_tradnl"/>
        </w:rPr>
        <w:tab/>
      </w:r>
      <w:r w:rsidRPr="00A202B4">
        <w:rPr>
          <w:i/>
          <w:snapToGrid w:val="0"/>
          <w:kern w:val="22"/>
          <w:szCs w:val="22"/>
          <w:lang w:val="es-ES_tradnl"/>
        </w:rPr>
        <w:t>Observa</w:t>
      </w:r>
      <w:r w:rsidRPr="00A202B4">
        <w:rPr>
          <w:iCs/>
          <w:snapToGrid w:val="0"/>
          <w:kern w:val="22"/>
          <w:szCs w:val="22"/>
          <w:lang w:val="es-ES_tradnl"/>
        </w:rPr>
        <w:t xml:space="preserve"> </w:t>
      </w:r>
      <w:r w:rsidRPr="00A202B4">
        <w:rPr>
          <w:lang w:val="es-ES_tradnl"/>
        </w:rPr>
        <w:t>el limitado número de Partes en el Protocolo de Cartagena sobre Seguridad de la Biotecnología que ha ratificado el Protocolo Suplementario de Nagoya-Kuala Lumpur sobre Responsabilidad y Compensación</w:t>
      </w:r>
      <w:r w:rsidRPr="00A202B4">
        <w:rPr>
          <w:snapToGrid w:val="0"/>
          <w:kern w:val="22"/>
          <w:szCs w:val="22"/>
          <w:lang w:val="es-ES_tradnl"/>
        </w:rPr>
        <w:t>;</w:t>
      </w:r>
    </w:p>
    <w:p w14:paraId="04F010FB"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22.</w:t>
      </w:r>
      <w:r w:rsidRPr="00A202B4">
        <w:rPr>
          <w:snapToGrid w:val="0"/>
          <w:kern w:val="22"/>
          <w:szCs w:val="22"/>
          <w:lang w:val="es-ES_tradnl"/>
        </w:rPr>
        <w:tab/>
      </w:r>
      <w:r w:rsidRPr="00A202B4">
        <w:rPr>
          <w:i/>
          <w:snapToGrid w:val="0"/>
          <w:kern w:val="22"/>
          <w:szCs w:val="22"/>
          <w:lang w:val="es-ES_tradnl"/>
        </w:rPr>
        <w:t xml:space="preserve">Acoge </w:t>
      </w:r>
      <w:r w:rsidRPr="00A202B4">
        <w:rPr>
          <w:i/>
          <w:iCs/>
          <w:lang w:val="es-ES_tradnl"/>
        </w:rPr>
        <w:t>con satisfacción</w:t>
      </w:r>
      <w:r w:rsidRPr="00A202B4">
        <w:rPr>
          <w:lang w:val="es-ES_tradnl"/>
        </w:rPr>
        <w:t xml:space="preserve"> los progresos alcanzados por las Partes en el Protocolo Suplementario en la introducción de medidas para aplicarlo, reconociendo al mismo tiempo que se necesita apoyo para las Partes en el Protocolo Suplementario que enfrentan dificultades al respecto</w:t>
      </w:r>
      <w:r w:rsidRPr="00A202B4">
        <w:rPr>
          <w:snapToGrid w:val="0"/>
          <w:kern w:val="22"/>
          <w:szCs w:val="22"/>
          <w:lang w:val="es-ES_tradnl"/>
        </w:rPr>
        <w:t>;</w:t>
      </w:r>
    </w:p>
    <w:p w14:paraId="08C8296E"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23.</w:t>
      </w:r>
      <w:r w:rsidRPr="00A202B4">
        <w:rPr>
          <w:snapToGrid w:val="0"/>
          <w:kern w:val="22"/>
          <w:szCs w:val="22"/>
          <w:lang w:val="es-ES_tradnl"/>
        </w:rPr>
        <w:tab/>
      </w:r>
      <w:r w:rsidRPr="00A202B4">
        <w:rPr>
          <w:i/>
          <w:snapToGrid w:val="0"/>
          <w:kern w:val="22"/>
          <w:szCs w:val="22"/>
          <w:lang w:val="es-ES_tradnl"/>
        </w:rPr>
        <w:t xml:space="preserve">Pide </w:t>
      </w:r>
      <w:r w:rsidRPr="00A202B4">
        <w:rPr>
          <w:lang w:val="es-ES_tradnl"/>
        </w:rPr>
        <w:t xml:space="preserve">a la Secretaria Ejecutiva que, con sujeción a la disponibilidad de recursos, emprenda actividades para apoyar los esfuerzos de ratificación, e </w:t>
      </w:r>
      <w:r w:rsidRPr="00A202B4">
        <w:rPr>
          <w:i/>
          <w:iCs/>
          <w:lang w:val="es-ES_tradnl"/>
        </w:rPr>
        <w:t>invita</w:t>
      </w:r>
      <w:r w:rsidRPr="00A202B4">
        <w:rPr>
          <w:lang w:val="es-ES_tradnl"/>
        </w:rPr>
        <w:t xml:space="preserve"> a otros asociados a que también emprendan actividades de concienciación sobre el Protocolo Suplementario</w:t>
      </w:r>
      <w:r w:rsidRPr="00A202B4">
        <w:rPr>
          <w:snapToGrid w:val="0"/>
          <w:kern w:val="22"/>
          <w:szCs w:val="22"/>
          <w:lang w:val="es-ES_tradnl"/>
        </w:rPr>
        <w:t>;</w:t>
      </w:r>
    </w:p>
    <w:p w14:paraId="01EA15F0" w14:textId="77777777" w:rsidR="005C3E00" w:rsidRPr="00A202B4" w:rsidRDefault="005C3E00" w:rsidP="005C3E00">
      <w:pPr>
        <w:keepNext/>
        <w:suppressLineNumbers/>
        <w:suppressAutoHyphens/>
        <w:kinsoku w:val="0"/>
        <w:overflowPunct w:val="0"/>
        <w:autoSpaceDE w:val="0"/>
        <w:autoSpaceDN w:val="0"/>
        <w:adjustRightInd w:val="0"/>
        <w:snapToGrid w:val="0"/>
        <w:spacing w:before="120" w:after="120" w:line="238" w:lineRule="auto"/>
        <w:jc w:val="center"/>
        <w:rPr>
          <w:b/>
          <w:bCs/>
          <w:lang w:val="es-ES_tradnl"/>
        </w:rPr>
      </w:pPr>
      <w:r w:rsidRPr="00A202B4">
        <w:rPr>
          <w:b/>
          <w:snapToGrid w:val="0"/>
          <w:kern w:val="22"/>
          <w:szCs w:val="22"/>
          <w:lang w:val="es-ES_tradnl"/>
        </w:rPr>
        <w:t xml:space="preserve">F. </w:t>
      </w:r>
      <w:r w:rsidRPr="00A202B4">
        <w:rPr>
          <w:b/>
          <w:snapToGrid w:val="0"/>
          <w:kern w:val="22"/>
          <w:szCs w:val="22"/>
          <w:lang w:val="es-ES_tradnl"/>
        </w:rPr>
        <w:tab/>
        <w:t xml:space="preserve">Manipulación, </w:t>
      </w:r>
      <w:r w:rsidRPr="00A202B4">
        <w:rPr>
          <w:b/>
          <w:bCs/>
          <w:lang w:val="es-ES_tradnl"/>
        </w:rPr>
        <w:t>transporte, envasado e identificación</w:t>
      </w:r>
    </w:p>
    <w:p w14:paraId="0C585BC7"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24.</w:t>
      </w:r>
      <w:r w:rsidRPr="00A202B4">
        <w:rPr>
          <w:snapToGrid w:val="0"/>
          <w:kern w:val="22"/>
          <w:szCs w:val="22"/>
          <w:lang w:val="es-ES_tradnl"/>
        </w:rPr>
        <w:tab/>
      </w:r>
      <w:r w:rsidRPr="00A202B4">
        <w:rPr>
          <w:i/>
          <w:snapToGrid w:val="0"/>
          <w:kern w:val="22"/>
          <w:szCs w:val="22"/>
          <w:lang w:val="es-ES_tradnl"/>
        </w:rPr>
        <w:t xml:space="preserve">Acoge </w:t>
      </w:r>
      <w:r w:rsidRPr="00A202B4">
        <w:rPr>
          <w:i/>
          <w:iCs/>
          <w:lang w:val="es-ES_tradnl"/>
        </w:rPr>
        <w:t xml:space="preserve">con satisfacción </w:t>
      </w:r>
      <w:r w:rsidRPr="00A202B4">
        <w:rPr>
          <w:lang w:val="es-ES_tradnl"/>
        </w:rPr>
        <w:t xml:space="preserve">el hecho de que casi todas las Partes hayan capacitado a personal de laboratorio para detectar organismos vivos modificados, </w:t>
      </w:r>
      <w:r w:rsidRPr="00A202B4">
        <w:rPr>
          <w:i/>
          <w:iCs/>
          <w:lang w:val="es-ES_tradnl"/>
        </w:rPr>
        <w:t>reconociendo</w:t>
      </w:r>
      <w:r w:rsidRPr="00A202B4">
        <w:rPr>
          <w:lang w:val="es-ES_tradnl"/>
        </w:rPr>
        <w:t xml:space="preserve"> al mismo tiempo que alrededor de la mitad de estas Partes ha indicado que haría falta más capacitación</w:t>
      </w:r>
      <w:r w:rsidRPr="00A202B4">
        <w:rPr>
          <w:snapToGrid w:val="0"/>
          <w:kern w:val="22"/>
          <w:szCs w:val="22"/>
          <w:lang w:val="es-ES_tradnl"/>
        </w:rPr>
        <w:t>;</w:t>
      </w:r>
    </w:p>
    <w:p w14:paraId="34C58EA1"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25.</w:t>
      </w:r>
      <w:r w:rsidRPr="00A202B4">
        <w:rPr>
          <w:snapToGrid w:val="0"/>
          <w:kern w:val="22"/>
          <w:szCs w:val="22"/>
          <w:lang w:val="es-ES_tradnl"/>
        </w:rPr>
        <w:tab/>
      </w:r>
      <w:r w:rsidRPr="00A202B4">
        <w:rPr>
          <w:i/>
          <w:snapToGrid w:val="0"/>
          <w:kern w:val="22"/>
          <w:szCs w:val="22"/>
          <w:lang w:val="es-ES_tradnl"/>
        </w:rPr>
        <w:t xml:space="preserve">Observa </w:t>
      </w:r>
      <w:r w:rsidRPr="00A202B4">
        <w:rPr>
          <w:lang w:val="es-ES_tradnl"/>
        </w:rPr>
        <w:t>que la mayoría de las Partes informaron que tenían acceso fiable a laboratorios, aunque observa con preocupación que otras Partes siguen enfrentándose a dificultades y que se necesita apoyo en este sentido</w:t>
      </w:r>
      <w:r w:rsidRPr="00A202B4">
        <w:rPr>
          <w:snapToGrid w:val="0"/>
          <w:kern w:val="22"/>
          <w:szCs w:val="22"/>
          <w:lang w:val="es-ES_tradnl"/>
        </w:rPr>
        <w:t>;</w:t>
      </w:r>
    </w:p>
    <w:p w14:paraId="19FD7CD7" w14:textId="77777777" w:rsidR="005C3E00" w:rsidRPr="00A202B4" w:rsidRDefault="005C3E00" w:rsidP="005C3E00">
      <w:pPr>
        <w:keepNext/>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_tradnl"/>
        </w:rPr>
      </w:pPr>
      <w:r w:rsidRPr="00A202B4">
        <w:rPr>
          <w:b/>
          <w:snapToGrid w:val="0"/>
          <w:kern w:val="22"/>
          <w:szCs w:val="22"/>
          <w:lang w:val="es-ES_tradnl"/>
        </w:rPr>
        <w:t>G.</w:t>
      </w:r>
      <w:r w:rsidRPr="00A202B4">
        <w:rPr>
          <w:b/>
          <w:snapToGrid w:val="0"/>
          <w:kern w:val="22"/>
          <w:szCs w:val="22"/>
          <w:lang w:val="es-ES_tradnl"/>
        </w:rPr>
        <w:tab/>
        <w:t>Consideraciones socioeconómicas</w:t>
      </w:r>
    </w:p>
    <w:p w14:paraId="2CAAFDD7"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26.</w:t>
      </w:r>
      <w:r w:rsidRPr="00A202B4">
        <w:rPr>
          <w:snapToGrid w:val="0"/>
          <w:kern w:val="22"/>
          <w:szCs w:val="22"/>
          <w:lang w:val="es-ES_tradnl"/>
        </w:rPr>
        <w:tab/>
      </w:r>
      <w:r w:rsidRPr="00A202B4">
        <w:rPr>
          <w:i/>
          <w:snapToGrid w:val="0"/>
          <w:kern w:val="22"/>
          <w:szCs w:val="22"/>
          <w:lang w:val="es-ES_tradnl"/>
        </w:rPr>
        <w:t xml:space="preserve">Observa </w:t>
      </w:r>
      <w:r w:rsidRPr="00A202B4">
        <w:rPr>
          <w:lang w:val="es-ES_tradnl"/>
        </w:rPr>
        <w:t>que aproximadamente la mitad de las Partes tiene enfoques o requisitos específicos que facilitan la forma en que deben tenerse en cuenta las consideraciones socioeconómicas al tomar decisiones sobre los organismos vivos modificados</w:t>
      </w:r>
      <w:r w:rsidRPr="00A202B4">
        <w:rPr>
          <w:snapToGrid w:val="0"/>
          <w:kern w:val="22"/>
          <w:szCs w:val="22"/>
          <w:lang w:val="es-ES_tradnl"/>
        </w:rPr>
        <w:t>;</w:t>
      </w:r>
    </w:p>
    <w:p w14:paraId="36D8E601"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27.</w:t>
      </w:r>
      <w:r w:rsidRPr="00A202B4">
        <w:rPr>
          <w:snapToGrid w:val="0"/>
          <w:kern w:val="22"/>
          <w:szCs w:val="22"/>
          <w:lang w:val="es-ES_tradnl"/>
        </w:rPr>
        <w:tab/>
      </w:r>
      <w:r w:rsidRPr="00A202B4">
        <w:rPr>
          <w:i/>
          <w:snapToGrid w:val="0"/>
          <w:kern w:val="22"/>
          <w:szCs w:val="22"/>
          <w:lang w:val="es-ES_tradnl"/>
        </w:rPr>
        <w:t xml:space="preserve">Observa también </w:t>
      </w:r>
      <w:r w:rsidRPr="00A202B4">
        <w:rPr>
          <w:snapToGrid w:val="0"/>
          <w:kern w:val="22"/>
          <w:lang w:val="es-ES_tradnl"/>
        </w:rPr>
        <w:t xml:space="preserve">que se debería reunir y compartir más información sobre metodologías y enfoques, y </w:t>
      </w:r>
      <w:r w:rsidRPr="00A202B4">
        <w:rPr>
          <w:i/>
          <w:iCs/>
          <w:snapToGrid w:val="0"/>
          <w:kern w:val="22"/>
          <w:lang w:val="es-ES_tradnl"/>
        </w:rPr>
        <w:t xml:space="preserve">alienta </w:t>
      </w:r>
      <w:r w:rsidRPr="00A202B4">
        <w:rPr>
          <w:snapToGrid w:val="0"/>
          <w:kern w:val="22"/>
          <w:lang w:val="es-ES_tradnl"/>
        </w:rPr>
        <w:t xml:space="preserve">a las Partes </w:t>
      </w:r>
      <w:r w:rsidRPr="00A202B4">
        <w:rPr>
          <w:lang w:val="es-ES_tradnl"/>
        </w:rPr>
        <w:t xml:space="preserve">a intercambiar investigaciones e información acerca de consideraciones socioeconómicas </w:t>
      </w:r>
      <w:r w:rsidRPr="00A202B4">
        <w:rPr>
          <w:snapToGrid w:val="0"/>
          <w:kern w:val="22"/>
          <w:lang w:val="es-ES_tradnl"/>
        </w:rPr>
        <w:t xml:space="preserve">para apoyar a las Partes que deseen tener en cuenta dichas consideraciones </w:t>
      </w:r>
      <w:r w:rsidRPr="00A202B4">
        <w:rPr>
          <w:snapToGrid w:val="0"/>
          <w:kern w:val="22"/>
          <w:szCs w:val="22"/>
          <w:lang w:val="es-ES_tradnl"/>
        </w:rPr>
        <w:t>de conformidad con el artículo 26 y el artículo 20 del Protocolo;</w:t>
      </w:r>
    </w:p>
    <w:p w14:paraId="39FC7BBC"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28.</w:t>
      </w:r>
      <w:r w:rsidRPr="00A202B4">
        <w:rPr>
          <w:snapToGrid w:val="0"/>
          <w:kern w:val="22"/>
          <w:szCs w:val="22"/>
          <w:lang w:val="es-ES_tradnl"/>
        </w:rPr>
        <w:tab/>
      </w:r>
      <w:r w:rsidRPr="00A202B4">
        <w:rPr>
          <w:i/>
          <w:snapToGrid w:val="0"/>
          <w:kern w:val="22"/>
          <w:szCs w:val="22"/>
          <w:lang w:val="es-ES_tradnl"/>
        </w:rPr>
        <w:t xml:space="preserve">Alienta </w:t>
      </w:r>
      <w:r w:rsidRPr="00A202B4">
        <w:rPr>
          <w:snapToGrid w:val="0"/>
          <w:kern w:val="22"/>
          <w:lang w:val="es-ES_tradnl"/>
        </w:rPr>
        <w:t>a las Partes a que promuevan la participación de los pueblos indígenas y las comunidades locales, las mujeres y la juventud cuando lleven a cabo investigaciones sobre consideraciones socioeconómicas</w:t>
      </w:r>
      <w:r w:rsidRPr="00A202B4">
        <w:rPr>
          <w:snapToGrid w:val="0"/>
          <w:kern w:val="22"/>
          <w:szCs w:val="22"/>
          <w:lang w:val="es-ES_tradnl"/>
        </w:rPr>
        <w:t>;</w:t>
      </w:r>
    </w:p>
    <w:p w14:paraId="2623A27B" w14:textId="77777777" w:rsidR="005C3E00" w:rsidRPr="00A202B4" w:rsidRDefault="005C3E00" w:rsidP="005C3E00">
      <w:pPr>
        <w:keepNext/>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_tradnl"/>
        </w:rPr>
      </w:pPr>
      <w:r w:rsidRPr="00A202B4">
        <w:rPr>
          <w:b/>
          <w:snapToGrid w:val="0"/>
          <w:kern w:val="22"/>
          <w:szCs w:val="22"/>
          <w:lang w:val="es-ES_tradnl"/>
        </w:rPr>
        <w:t>H.</w:t>
      </w:r>
      <w:r w:rsidRPr="00A202B4">
        <w:rPr>
          <w:b/>
          <w:snapToGrid w:val="0"/>
          <w:kern w:val="22"/>
          <w:szCs w:val="22"/>
          <w:lang w:val="es-ES_tradnl"/>
        </w:rPr>
        <w:tab/>
        <w:t xml:space="preserve">Tránsito, </w:t>
      </w:r>
      <w:r w:rsidRPr="00A202B4">
        <w:rPr>
          <w:b/>
          <w:bCs/>
          <w:lang w:val="es-ES_tradnl"/>
        </w:rPr>
        <w:t>uso confinado, movimientos transfronterizos involuntarios y medidas de emergencia</w:t>
      </w:r>
    </w:p>
    <w:p w14:paraId="401D1197"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29.</w:t>
      </w:r>
      <w:r w:rsidRPr="00A202B4">
        <w:rPr>
          <w:snapToGrid w:val="0"/>
          <w:kern w:val="22"/>
          <w:szCs w:val="22"/>
          <w:lang w:val="es-ES_tradnl"/>
        </w:rPr>
        <w:tab/>
      </w:r>
      <w:r w:rsidRPr="00A202B4">
        <w:rPr>
          <w:i/>
          <w:snapToGrid w:val="0"/>
          <w:kern w:val="22"/>
          <w:szCs w:val="22"/>
          <w:lang w:val="es-ES_tradnl"/>
        </w:rPr>
        <w:t xml:space="preserve">Acoge </w:t>
      </w:r>
      <w:r w:rsidRPr="00A202B4">
        <w:rPr>
          <w:i/>
          <w:iCs/>
          <w:lang w:val="es-ES_tradnl"/>
        </w:rPr>
        <w:t xml:space="preserve">con satisfacción </w:t>
      </w:r>
      <w:r w:rsidRPr="00A202B4">
        <w:rPr>
          <w:lang w:val="es-ES_tradnl"/>
        </w:rPr>
        <w:t>el hecho de que aproximadamente tres cuartos de las Partes hayan tomado medidas para regular el uso confinado y el tránsito de organismos vivos modificados</w:t>
      </w:r>
      <w:r w:rsidRPr="00A202B4">
        <w:rPr>
          <w:snapToGrid w:val="0"/>
          <w:kern w:val="22"/>
          <w:szCs w:val="22"/>
          <w:lang w:val="es-ES_tradnl"/>
        </w:rPr>
        <w:t>;</w:t>
      </w:r>
    </w:p>
    <w:p w14:paraId="36389D95"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30.</w:t>
      </w:r>
      <w:r w:rsidRPr="00A202B4">
        <w:rPr>
          <w:snapToGrid w:val="0"/>
          <w:kern w:val="22"/>
          <w:szCs w:val="22"/>
          <w:lang w:val="es-ES_tradnl"/>
        </w:rPr>
        <w:tab/>
      </w:r>
      <w:r w:rsidRPr="00A202B4">
        <w:rPr>
          <w:i/>
          <w:snapToGrid w:val="0"/>
          <w:kern w:val="22"/>
          <w:szCs w:val="22"/>
          <w:lang w:val="es-ES_tradnl"/>
        </w:rPr>
        <w:t xml:space="preserve">Acoge </w:t>
      </w:r>
      <w:r w:rsidRPr="00A202B4">
        <w:rPr>
          <w:i/>
          <w:iCs/>
          <w:lang w:val="es-ES_tradnl"/>
        </w:rPr>
        <w:t xml:space="preserve">con satisfacción </w:t>
      </w:r>
      <w:r w:rsidRPr="00A202B4">
        <w:rPr>
          <w:i/>
          <w:snapToGrid w:val="0"/>
          <w:kern w:val="22"/>
          <w:szCs w:val="22"/>
          <w:lang w:val="es-ES_tradnl"/>
        </w:rPr>
        <w:t>también</w:t>
      </w:r>
      <w:r w:rsidRPr="00A202B4">
        <w:rPr>
          <w:i/>
          <w:iCs/>
          <w:lang w:val="es-ES_tradnl"/>
        </w:rPr>
        <w:t xml:space="preserve"> </w:t>
      </w:r>
      <w:r w:rsidRPr="00A202B4">
        <w:rPr>
          <w:lang w:val="es-ES_tradnl"/>
        </w:rPr>
        <w:t>el hecho de que casi dos tercios</w:t>
      </w:r>
      <w:r w:rsidRPr="00A202B4">
        <w:rPr>
          <w:snapToGrid w:val="0"/>
          <w:kern w:val="22"/>
          <w:szCs w:val="22"/>
          <w:lang w:val="es-ES_tradnl"/>
        </w:rPr>
        <w:t xml:space="preserve"> </w:t>
      </w:r>
      <w:r w:rsidRPr="00A202B4">
        <w:rPr>
          <w:lang w:val="es-ES_tradnl"/>
        </w:rPr>
        <w:t>de las Partes tengan capacidad para tomar medidas apropiadas en caso de movimientos transfronterizos involuntarios de organismos vivos modificados</w:t>
      </w:r>
      <w:r w:rsidRPr="00A202B4">
        <w:rPr>
          <w:snapToGrid w:val="0"/>
          <w:kern w:val="22"/>
          <w:szCs w:val="22"/>
          <w:lang w:val="es-ES_tradnl"/>
        </w:rPr>
        <w:t>;</w:t>
      </w:r>
    </w:p>
    <w:p w14:paraId="35021ACC"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spacing w:val="-2"/>
          <w:kern w:val="22"/>
          <w:szCs w:val="22"/>
          <w:lang w:val="es-ES_tradnl"/>
        </w:rPr>
      </w:pPr>
      <w:r w:rsidRPr="00A202B4">
        <w:rPr>
          <w:snapToGrid w:val="0"/>
          <w:spacing w:val="-2"/>
          <w:kern w:val="22"/>
          <w:szCs w:val="22"/>
          <w:lang w:val="es-ES_tradnl"/>
        </w:rPr>
        <w:lastRenderedPageBreak/>
        <w:t>31.</w:t>
      </w:r>
      <w:r w:rsidRPr="00A202B4">
        <w:rPr>
          <w:snapToGrid w:val="0"/>
          <w:spacing w:val="-2"/>
          <w:kern w:val="22"/>
          <w:szCs w:val="22"/>
          <w:lang w:val="es-ES_tradnl"/>
        </w:rPr>
        <w:tab/>
      </w:r>
      <w:r w:rsidRPr="00A202B4">
        <w:rPr>
          <w:i/>
          <w:snapToGrid w:val="0"/>
          <w:spacing w:val="-2"/>
          <w:kern w:val="22"/>
          <w:szCs w:val="22"/>
          <w:lang w:val="es-ES_tradnl"/>
        </w:rPr>
        <w:t xml:space="preserve">Alienta </w:t>
      </w:r>
      <w:r w:rsidRPr="00A202B4">
        <w:rPr>
          <w:snapToGrid w:val="0"/>
          <w:kern w:val="22"/>
          <w:lang w:val="es-ES_tradnl"/>
        </w:rPr>
        <w:t xml:space="preserve">a las Partes que aún no lo hayan hecho a que adopten las medidas necesarias para regular el uso confinado y el tránsito de organismos vivos modificados, así como los movimientos transfronterizos involuntarios de organismos vivos modificados, y </w:t>
      </w:r>
      <w:r w:rsidRPr="00A202B4">
        <w:rPr>
          <w:i/>
          <w:snapToGrid w:val="0"/>
          <w:kern w:val="22"/>
          <w:lang w:val="es-ES_tradnl"/>
        </w:rPr>
        <w:t>reconoce</w:t>
      </w:r>
      <w:r w:rsidRPr="00A202B4">
        <w:rPr>
          <w:i/>
          <w:iCs/>
          <w:snapToGrid w:val="0"/>
          <w:kern w:val="22"/>
          <w:lang w:val="es-ES_tradnl"/>
        </w:rPr>
        <w:t xml:space="preserve"> </w:t>
      </w:r>
      <w:r w:rsidRPr="00A202B4">
        <w:rPr>
          <w:snapToGrid w:val="0"/>
          <w:kern w:val="22"/>
          <w:lang w:val="es-ES_tradnl"/>
        </w:rPr>
        <w:t>la importancia de apoyar a esas Partes en la adopción de dichas medidas y el desarrollo de capacidades en ese sentido</w:t>
      </w:r>
      <w:r w:rsidRPr="00A202B4">
        <w:rPr>
          <w:snapToGrid w:val="0"/>
          <w:spacing w:val="-2"/>
          <w:kern w:val="22"/>
          <w:szCs w:val="22"/>
          <w:lang w:val="es-ES_tradnl"/>
        </w:rPr>
        <w:t>;</w:t>
      </w:r>
    </w:p>
    <w:p w14:paraId="2CCACA65" w14:textId="77777777" w:rsidR="005C3E00" w:rsidRPr="00A202B4" w:rsidRDefault="005C3E00" w:rsidP="005C3E00">
      <w:pPr>
        <w:keepNext/>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_tradnl"/>
        </w:rPr>
      </w:pPr>
      <w:r w:rsidRPr="00A202B4">
        <w:rPr>
          <w:b/>
          <w:snapToGrid w:val="0"/>
          <w:kern w:val="22"/>
          <w:szCs w:val="22"/>
          <w:lang w:val="es-ES_tradnl"/>
        </w:rPr>
        <w:t>I.</w:t>
      </w:r>
      <w:r w:rsidRPr="00A202B4">
        <w:rPr>
          <w:b/>
          <w:snapToGrid w:val="0"/>
          <w:kern w:val="22"/>
          <w:szCs w:val="22"/>
          <w:lang w:val="es-ES_tradnl"/>
        </w:rPr>
        <w:tab/>
        <w:t>Intercambio de información</w:t>
      </w:r>
    </w:p>
    <w:p w14:paraId="7AC346B3"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32.</w:t>
      </w:r>
      <w:r w:rsidRPr="00A202B4">
        <w:rPr>
          <w:snapToGrid w:val="0"/>
          <w:kern w:val="22"/>
          <w:szCs w:val="22"/>
          <w:lang w:val="es-ES_tradnl"/>
        </w:rPr>
        <w:tab/>
      </w:r>
      <w:r w:rsidRPr="00A202B4">
        <w:rPr>
          <w:i/>
          <w:snapToGrid w:val="0"/>
          <w:kern w:val="22"/>
          <w:szCs w:val="22"/>
          <w:lang w:val="es-ES_tradnl"/>
        </w:rPr>
        <w:t>Observa</w:t>
      </w:r>
      <w:r w:rsidRPr="00A202B4">
        <w:rPr>
          <w:lang w:val="es-ES_tradnl"/>
        </w:rPr>
        <w:t xml:space="preserve"> las tendencias positivas del intercambio de información a través del Centro de Intercambio de Información sobre Seguridad de la Biotecnología, por ejemplo, en relación con el número de registros nacionales y registros de referencia publicados y el número de visitantes</w:t>
      </w:r>
      <w:r w:rsidRPr="00A202B4">
        <w:rPr>
          <w:snapToGrid w:val="0"/>
          <w:kern w:val="22"/>
          <w:szCs w:val="22"/>
          <w:lang w:val="es-ES_tradnl"/>
        </w:rPr>
        <w:t>;</w:t>
      </w:r>
    </w:p>
    <w:p w14:paraId="307C4234"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33.</w:t>
      </w:r>
      <w:r w:rsidRPr="00A202B4">
        <w:rPr>
          <w:snapToGrid w:val="0"/>
          <w:kern w:val="22"/>
          <w:szCs w:val="22"/>
          <w:lang w:val="es-ES_tradnl"/>
        </w:rPr>
        <w:tab/>
      </w:r>
      <w:r w:rsidRPr="00A202B4">
        <w:rPr>
          <w:i/>
          <w:snapToGrid w:val="0"/>
          <w:kern w:val="22"/>
          <w:szCs w:val="22"/>
          <w:lang w:val="es-ES_tradnl"/>
        </w:rPr>
        <w:t xml:space="preserve">Exhorta </w:t>
      </w:r>
      <w:r w:rsidRPr="00A202B4">
        <w:rPr>
          <w:lang w:val="es-ES_tradnl"/>
        </w:rPr>
        <w:t xml:space="preserve">a las Partes y </w:t>
      </w:r>
      <w:r w:rsidRPr="00A202B4">
        <w:rPr>
          <w:i/>
          <w:lang w:val="es-ES_tradnl"/>
        </w:rPr>
        <w:t>alienta</w:t>
      </w:r>
      <w:r w:rsidRPr="00A202B4">
        <w:rPr>
          <w:lang w:val="es-ES_tradnl"/>
        </w:rPr>
        <w:t xml:space="preserve"> a otros usuarios a velar por que los registros se mantengan actualizados</w:t>
      </w:r>
      <w:r w:rsidRPr="00A202B4">
        <w:rPr>
          <w:snapToGrid w:val="0"/>
          <w:kern w:val="22"/>
          <w:szCs w:val="22"/>
          <w:lang w:val="es-ES_tradnl"/>
        </w:rPr>
        <w:t>;</w:t>
      </w:r>
    </w:p>
    <w:p w14:paraId="2A04A46D"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34.</w:t>
      </w:r>
      <w:r w:rsidRPr="00A202B4">
        <w:rPr>
          <w:snapToGrid w:val="0"/>
          <w:kern w:val="22"/>
          <w:szCs w:val="22"/>
          <w:lang w:val="es-ES_tradnl"/>
        </w:rPr>
        <w:tab/>
      </w:r>
      <w:r w:rsidRPr="00A202B4">
        <w:rPr>
          <w:i/>
          <w:snapToGrid w:val="0"/>
          <w:kern w:val="22"/>
          <w:szCs w:val="22"/>
          <w:lang w:val="es-ES_tradnl"/>
        </w:rPr>
        <w:t xml:space="preserve">Acoge </w:t>
      </w:r>
      <w:r w:rsidRPr="00A202B4">
        <w:rPr>
          <w:i/>
          <w:iCs/>
          <w:lang w:val="es-ES_tradnl"/>
        </w:rPr>
        <w:t>con satisfacción</w:t>
      </w:r>
      <w:r w:rsidRPr="00A202B4">
        <w:rPr>
          <w:lang w:val="es-ES_tradnl"/>
        </w:rPr>
        <w:t xml:space="preserve"> el hecho de que casi todas las Partes han designado su punto focal nacional para el Protocolo de Cartagena y su punto focal para el Centro de Intercambio de Información sobre Seguridad de la Biotecnología</w:t>
      </w:r>
      <w:r w:rsidRPr="00A202B4">
        <w:rPr>
          <w:snapToGrid w:val="0"/>
          <w:kern w:val="22"/>
          <w:szCs w:val="22"/>
          <w:lang w:val="es-ES_tradnl"/>
        </w:rPr>
        <w:t>;</w:t>
      </w:r>
    </w:p>
    <w:p w14:paraId="0F24B3C8"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35.</w:t>
      </w:r>
      <w:r w:rsidRPr="00A202B4">
        <w:rPr>
          <w:snapToGrid w:val="0"/>
          <w:kern w:val="22"/>
          <w:szCs w:val="22"/>
          <w:lang w:val="es-ES_tradnl"/>
        </w:rPr>
        <w:tab/>
      </w:r>
      <w:r w:rsidRPr="00A202B4">
        <w:rPr>
          <w:i/>
          <w:snapToGrid w:val="0"/>
          <w:kern w:val="22"/>
          <w:szCs w:val="22"/>
          <w:lang w:val="es-ES_tradnl"/>
        </w:rPr>
        <w:t>Observa</w:t>
      </w:r>
      <w:r w:rsidRPr="00A202B4">
        <w:rPr>
          <w:lang w:val="es-ES_tradnl"/>
        </w:rPr>
        <w:t xml:space="preserve"> los progresos de las Partes en la designación de su punto de contacto para recibir notificaciones según lo dispuesto en el artículo 17 (movimientos transfronterizos involuntarios y medidas de emergencia</w:t>
      </w:r>
      <w:r w:rsidRPr="00A202B4">
        <w:rPr>
          <w:snapToGrid w:val="0"/>
          <w:kern w:val="22"/>
          <w:szCs w:val="22"/>
          <w:lang w:val="es-ES_tradnl"/>
        </w:rPr>
        <w:t>);</w:t>
      </w:r>
    </w:p>
    <w:p w14:paraId="0E11AC64"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36.</w:t>
      </w:r>
      <w:r w:rsidRPr="00A202B4">
        <w:rPr>
          <w:snapToGrid w:val="0"/>
          <w:kern w:val="22"/>
          <w:szCs w:val="22"/>
          <w:lang w:val="es-ES_tradnl"/>
        </w:rPr>
        <w:tab/>
      </w:r>
      <w:r w:rsidRPr="00A202B4">
        <w:rPr>
          <w:i/>
          <w:snapToGrid w:val="0"/>
          <w:kern w:val="22"/>
          <w:szCs w:val="22"/>
          <w:lang w:val="es-ES_tradnl"/>
        </w:rPr>
        <w:t xml:space="preserve">Insta </w:t>
      </w:r>
      <w:r w:rsidRPr="00A202B4">
        <w:rPr>
          <w:lang w:val="es-ES_tradnl"/>
        </w:rPr>
        <w:t>a las Partes que aún no lo hayan hecho plenamente a que hagan llegar toda la información obligatoria al Centro de Intercambio de Información sobre Seguridad de la Biotecnología y a que mantengan sus registros al día, centrándose especialmente en la información relacionada con: a) leyes, reglamentos y directrices nacionales; b) resúmenes de evaluaciones del riesgo; c) decisiones finales sobre la importación o liberación de organismos vivos modificados; d) puntos focales nacionales, puntos nacionales de contacto y autoridades nacionales competentes; e) información sobre los acuerdos o arreglos bilaterales, regionales o multilaterales que han concertado, y f) información relativa a movimientos transfronterizos ilícitos de organismos vivos modificados</w:t>
      </w:r>
      <w:r w:rsidRPr="00A202B4">
        <w:rPr>
          <w:snapToGrid w:val="0"/>
          <w:kern w:val="22"/>
          <w:szCs w:val="22"/>
          <w:lang w:val="es-ES_tradnl"/>
        </w:rPr>
        <w:t>;</w:t>
      </w:r>
    </w:p>
    <w:p w14:paraId="570F3CA9" w14:textId="77777777" w:rsidR="005C3E00" w:rsidRPr="00A202B4" w:rsidRDefault="005C3E00" w:rsidP="005C3E00">
      <w:pPr>
        <w:spacing w:before="120" w:after="120"/>
        <w:ind w:firstLine="720"/>
        <w:rPr>
          <w:lang w:val="es-ES_tradnl"/>
        </w:rPr>
      </w:pPr>
      <w:r w:rsidRPr="00A202B4">
        <w:rPr>
          <w:lang w:val="es-ES_tradnl"/>
        </w:rPr>
        <w:t>37.</w:t>
      </w:r>
      <w:r w:rsidRPr="00A202B4">
        <w:rPr>
          <w:lang w:val="es-ES_tradnl"/>
        </w:rPr>
        <w:tab/>
      </w:r>
      <w:r w:rsidRPr="00A202B4">
        <w:rPr>
          <w:i/>
          <w:iCs/>
          <w:lang w:val="es-ES_tradnl"/>
        </w:rPr>
        <w:t xml:space="preserve">Pide </w:t>
      </w:r>
      <w:r w:rsidRPr="00A202B4">
        <w:rPr>
          <w:lang w:val="es-ES_tradnl"/>
        </w:rPr>
        <w:t>a la Secretaria Ejecutiva que asegure que se brinde el apoyo adecuado al Centro de Intercambio de Información sobre Seguridad de la Biotecnología para permitir que el mecanismo funcione en toda su capacidad y potencial;</w:t>
      </w:r>
    </w:p>
    <w:p w14:paraId="7E971268" w14:textId="77777777" w:rsidR="005C3E00" w:rsidRPr="00A202B4" w:rsidRDefault="005C3E00" w:rsidP="005C3E00">
      <w:pPr>
        <w:keepNext/>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_tradnl"/>
        </w:rPr>
      </w:pPr>
      <w:r w:rsidRPr="00A202B4">
        <w:rPr>
          <w:b/>
          <w:snapToGrid w:val="0"/>
          <w:kern w:val="22"/>
          <w:szCs w:val="22"/>
          <w:lang w:val="es-ES_tradnl"/>
        </w:rPr>
        <w:t>J.</w:t>
      </w:r>
      <w:r w:rsidRPr="00A202B4">
        <w:rPr>
          <w:b/>
          <w:snapToGrid w:val="0"/>
          <w:kern w:val="22"/>
          <w:szCs w:val="22"/>
          <w:lang w:val="es-ES_tradnl"/>
        </w:rPr>
        <w:tab/>
        <w:t>Cumplimiento y revisión</w:t>
      </w:r>
    </w:p>
    <w:p w14:paraId="04AA1905"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38.</w:t>
      </w:r>
      <w:r w:rsidRPr="00A202B4">
        <w:rPr>
          <w:snapToGrid w:val="0"/>
          <w:kern w:val="22"/>
          <w:szCs w:val="22"/>
          <w:lang w:val="es-ES_tradnl"/>
        </w:rPr>
        <w:tab/>
      </w:r>
      <w:r w:rsidRPr="00A202B4">
        <w:rPr>
          <w:i/>
          <w:snapToGrid w:val="0"/>
          <w:kern w:val="22"/>
          <w:szCs w:val="22"/>
          <w:lang w:val="es-ES_tradnl"/>
        </w:rPr>
        <w:t xml:space="preserve">Observa </w:t>
      </w:r>
      <w:r w:rsidRPr="00A202B4">
        <w:rPr>
          <w:lang w:val="es-ES_tradnl"/>
        </w:rPr>
        <w:t>considerables diferencias entre los progresos de las Partes en el cumplimiento de obligaciones fundamentales contraídas en virtud del Protocolo</w:t>
      </w:r>
      <w:r w:rsidRPr="00A202B4">
        <w:rPr>
          <w:snapToGrid w:val="0"/>
          <w:kern w:val="22"/>
          <w:szCs w:val="22"/>
          <w:lang w:val="es-ES_tradnl"/>
        </w:rPr>
        <w:t>;</w:t>
      </w:r>
    </w:p>
    <w:p w14:paraId="0C8E8466"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39.</w:t>
      </w:r>
      <w:r w:rsidRPr="00A202B4">
        <w:rPr>
          <w:snapToGrid w:val="0"/>
          <w:kern w:val="22"/>
          <w:szCs w:val="22"/>
          <w:lang w:val="es-ES_tradnl"/>
        </w:rPr>
        <w:tab/>
      </w:r>
      <w:r w:rsidRPr="00A202B4">
        <w:rPr>
          <w:i/>
          <w:snapToGrid w:val="0"/>
          <w:kern w:val="22"/>
          <w:szCs w:val="22"/>
          <w:lang w:val="es-ES_tradnl"/>
        </w:rPr>
        <w:t xml:space="preserve">Acoge </w:t>
      </w:r>
      <w:r w:rsidRPr="00A202B4">
        <w:rPr>
          <w:i/>
          <w:iCs/>
          <w:lang w:val="es-ES_tradnl"/>
        </w:rPr>
        <w:t>con satisfacción</w:t>
      </w:r>
      <w:r w:rsidRPr="00A202B4">
        <w:rPr>
          <w:lang w:val="es-ES_tradnl"/>
        </w:rPr>
        <w:t xml:space="preserve"> los progresos alcanzados por las Partes en el cumplimiento de sus obligaciones en virtud del Protocolo, entre ellas las relativas a: a) publicar cierta información en el Centro de Intercambio de Información sobre Seguridad de la Biotecnología y b) designar puntos focales nacionales y autoridades nacionales competentes</w:t>
      </w:r>
      <w:r w:rsidRPr="00A202B4">
        <w:rPr>
          <w:snapToGrid w:val="0"/>
          <w:kern w:val="22"/>
          <w:szCs w:val="22"/>
          <w:lang w:val="es-ES_tradnl"/>
        </w:rPr>
        <w:t>;</w:t>
      </w:r>
    </w:p>
    <w:p w14:paraId="5279FDA4"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40.</w:t>
      </w:r>
      <w:r w:rsidRPr="00A202B4">
        <w:rPr>
          <w:snapToGrid w:val="0"/>
          <w:kern w:val="22"/>
          <w:szCs w:val="22"/>
          <w:lang w:val="es-ES_tradnl"/>
        </w:rPr>
        <w:tab/>
      </w:r>
      <w:r w:rsidRPr="00A202B4">
        <w:rPr>
          <w:i/>
          <w:snapToGrid w:val="0"/>
          <w:kern w:val="22"/>
          <w:szCs w:val="22"/>
          <w:lang w:val="es-ES_tradnl"/>
        </w:rPr>
        <w:t xml:space="preserve">Observa </w:t>
      </w:r>
      <w:r w:rsidRPr="00A202B4">
        <w:rPr>
          <w:i/>
          <w:lang w:val="es-ES_tradnl"/>
        </w:rPr>
        <w:t>con preocupación</w:t>
      </w:r>
      <w:r w:rsidRPr="00A202B4">
        <w:rPr>
          <w:lang w:val="es-ES_tradnl"/>
        </w:rPr>
        <w:t xml:space="preserve"> que un gran número de Partes no está cumpliendo plenamente obligaciones fundamentales dimanantes del Protocolo, entre ellas: a) la obligación de tomar las medidas legislativas, administrativas y de otro tipo que sean necesarias para aplicar el Protocolo y b) la obligación de presentar un informe nacional de manera oportuna</w:t>
      </w:r>
      <w:r w:rsidRPr="00A202B4">
        <w:rPr>
          <w:snapToGrid w:val="0"/>
          <w:kern w:val="22"/>
          <w:szCs w:val="22"/>
          <w:lang w:val="es-ES_tradnl"/>
        </w:rPr>
        <w:t>;</w:t>
      </w:r>
    </w:p>
    <w:p w14:paraId="2D046C73"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41.</w:t>
      </w:r>
      <w:r w:rsidRPr="00A202B4">
        <w:rPr>
          <w:snapToGrid w:val="0"/>
          <w:kern w:val="22"/>
          <w:szCs w:val="22"/>
          <w:lang w:val="es-ES_tradnl"/>
        </w:rPr>
        <w:tab/>
      </w:r>
      <w:r w:rsidRPr="00A202B4">
        <w:rPr>
          <w:i/>
          <w:snapToGrid w:val="0"/>
          <w:kern w:val="22"/>
          <w:szCs w:val="22"/>
          <w:lang w:val="es-ES_tradnl"/>
        </w:rPr>
        <w:t xml:space="preserve">Reconoce </w:t>
      </w:r>
      <w:r w:rsidRPr="00A202B4">
        <w:rPr>
          <w:lang w:val="es-ES_tradnl"/>
        </w:rPr>
        <w:t>que las Partes necesitan disponer de sistemas para vigilar la aplicación del Protocolo y hacer que se cumpla</w:t>
      </w:r>
      <w:r w:rsidRPr="00A202B4">
        <w:rPr>
          <w:snapToGrid w:val="0"/>
          <w:kern w:val="22"/>
          <w:szCs w:val="22"/>
          <w:lang w:val="es-ES_tradnl"/>
        </w:rPr>
        <w:t>;</w:t>
      </w:r>
    </w:p>
    <w:p w14:paraId="1DC13286"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42.</w:t>
      </w:r>
      <w:r w:rsidRPr="00A202B4">
        <w:rPr>
          <w:snapToGrid w:val="0"/>
          <w:kern w:val="22"/>
          <w:szCs w:val="22"/>
          <w:lang w:val="es-ES_tradnl"/>
        </w:rPr>
        <w:tab/>
      </w:r>
      <w:r w:rsidRPr="00A202B4">
        <w:rPr>
          <w:i/>
          <w:snapToGrid w:val="0"/>
          <w:kern w:val="22"/>
          <w:szCs w:val="22"/>
          <w:lang w:val="es-ES_tradnl"/>
        </w:rPr>
        <w:t xml:space="preserve">Acoge </w:t>
      </w:r>
      <w:r w:rsidRPr="00A202B4">
        <w:rPr>
          <w:i/>
          <w:iCs/>
          <w:lang w:val="es-ES_tradnl"/>
        </w:rPr>
        <w:t>con satisfacción</w:t>
      </w:r>
      <w:r w:rsidRPr="00A202B4">
        <w:rPr>
          <w:lang w:val="es-ES_tradnl"/>
        </w:rPr>
        <w:t xml:space="preserve"> la función de apoyo del Comité de Cumplimiento, realizada de conformidad con la decisión</w:t>
      </w:r>
      <w:r w:rsidRPr="00A202B4">
        <w:rPr>
          <w:snapToGrid w:val="0"/>
          <w:kern w:val="22"/>
          <w:lang w:val="es-ES_tradnl"/>
        </w:rPr>
        <w:t xml:space="preserve"> BS-V/1, como </w:t>
      </w:r>
      <w:r w:rsidRPr="00A202B4">
        <w:rPr>
          <w:lang w:val="es-ES_tradnl"/>
        </w:rPr>
        <w:t>contribución a los progresos que han comunicado las Partes en cuanto al cumplimiento de sus obligaciones dimanantes del Protocolo</w:t>
      </w:r>
      <w:r w:rsidRPr="00A202B4">
        <w:rPr>
          <w:snapToGrid w:val="0"/>
          <w:kern w:val="22"/>
          <w:szCs w:val="22"/>
          <w:lang w:val="es-ES_tradnl"/>
        </w:rPr>
        <w:t>;</w:t>
      </w:r>
    </w:p>
    <w:p w14:paraId="17BC01BE"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43.</w:t>
      </w:r>
      <w:r w:rsidRPr="00A202B4">
        <w:rPr>
          <w:snapToGrid w:val="0"/>
          <w:kern w:val="22"/>
          <w:szCs w:val="22"/>
          <w:lang w:val="es-ES_tradnl"/>
        </w:rPr>
        <w:tab/>
      </w:r>
      <w:r w:rsidRPr="00A202B4">
        <w:rPr>
          <w:i/>
          <w:snapToGrid w:val="0"/>
          <w:kern w:val="22"/>
          <w:szCs w:val="22"/>
          <w:lang w:val="es-ES_tradnl"/>
        </w:rPr>
        <w:t>Pide</w:t>
      </w:r>
      <w:r w:rsidRPr="00A202B4">
        <w:rPr>
          <w:snapToGrid w:val="0"/>
          <w:kern w:val="22"/>
          <w:szCs w:val="22"/>
          <w:lang w:val="es-ES_tradnl"/>
        </w:rPr>
        <w:t xml:space="preserve"> </w:t>
      </w:r>
      <w:r w:rsidRPr="00A202B4">
        <w:rPr>
          <w:lang w:val="es-ES_tradnl"/>
        </w:rPr>
        <w:t xml:space="preserve">a la Secretaria Ejecutiva que, según proceda y siguiendo la orientación proporcionada por el Comité de Cumplimiento, continúe realizando un seguimiento de la situación con las Partes que aún no han cumplido plenamente sus obligaciones dimanantes del Protocolo, y </w:t>
      </w:r>
      <w:r w:rsidRPr="00A202B4">
        <w:rPr>
          <w:i/>
          <w:iCs/>
          <w:lang w:val="es-ES_tradnl"/>
        </w:rPr>
        <w:t>pide</w:t>
      </w:r>
      <w:r w:rsidRPr="00A202B4">
        <w:rPr>
          <w:lang w:val="es-ES_tradnl"/>
        </w:rPr>
        <w:t xml:space="preserve"> a las Partes que colaboren plenamente en este sentido</w:t>
      </w:r>
      <w:r w:rsidRPr="00A202B4">
        <w:rPr>
          <w:snapToGrid w:val="0"/>
          <w:kern w:val="22"/>
          <w:szCs w:val="22"/>
          <w:lang w:val="es-ES_tradnl"/>
        </w:rPr>
        <w:t>;</w:t>
      </w:r>
    </w:p>
    <w:p w14:paraId="229B9F4E"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_tradnl"/>
        </w:rPr>
      </w:pPr>
      <w:r w:rsidRPr="00A202B4">
        <w:rPr>
          <w:b/>
          <w:snapToGrid w:val="0"/>
          <w:kern w:val="22"/>
          <w:szCs w:val="22"/>
          <w:lang w:val="es-ES_tradnl"/>
        </w:rPr>
        <w:lastRenderedPageBreak/>
        <w:t>K.</w:t>
      </w:r>
      <w:r w:rsidRPr="00A202B4">
        <w:rPr>
          <w:b/>
          <w:snapToGrid w:val="0"/>
          <w:kern w:val="22"/>
          <w:szCs w:val="22"/>
          <w:lang w:val="es-ES_tradnl"/>
        </w:rPr>
        <w:tab/>
        <w:t xml:space="preserve">Concienciación </w:t>
      </w:r>
      <w:r w:rsidRPr="00A202B4">
        <w:rPr>
          <w:b/>
          <w:bCs/>
          <w:lang w:val="es-ES_tradnl"/>
        </w:rPr>
        <w:t>y participación del público y educación y capacitación en seguridad de la biotecnología</w:t>
      </w:r>
    </w:p>
    <w:p w14:paraId="473B3F8A"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44.</w:t>
      </w:r>
      <w:r w:rsidRPr="00A202B4">
        <w:rPr>
          <w:snapToGrid w:val="0"/>
          <w:kern w:val="22"/>
          <w:szCs w:val="22"/>
          <w:lang w:val="es-ES_tradnl"/>
        </w:rPr>
        <w:tab/>
      </w:r>
      <w:r w:rsidRPr="00A202B4">
        <w:rPr>
          <w:i/>
          <w:snapToGrid w:val="0"/>
          <w:kern w:val="22"/>
          <w:szCs w:val="22"/>
          <w:lang w:val="es-ES_tradnl"/>
        </w:rPr>
        <w:t xml:space="preserve">Destaca </w:t>
      </w:r>
      <w:r w:rsidRPr="00A202B4">
        <w:rPr>
          <w:lang w:val="es-ES_tradnl"/>
        </w:rPr>
        <w:t>la importancia de la concienciación, educación y participación del público para la aplicación del Protocolo, reconociendo que se necesita más apoyo en esta esfera</w:t>
      </w:r>
      <w:r w:rsidRPr="00A202B4">
        <w:rPr>
          <w:snapToGrid w:val="0"/>
          <w:kern w:val="22"/>
          <w:szCs w:val="22"/>
          <w:lang w:val="es-ES_tradnl"/>
        </w:rPr>
        <w:t>;</w:t>
      </w:r>
    </w:p>
    <w:p w14:paraId="4701608F"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45.</w:t>
      </w:r>
      <w:r w:rsidRPr="00A202B4">
        <w:rPr>
          <w:snapToGrid w:val="0"/>
          <w:kern w:val="22"/>
          <w:szCs w:val="22"/>
          <w:lang w:val="es-ES_tradnl"/>
        </w:rPr>
        <w:tab/>
      </w:r>
      <w:r w:rsidRPr="00A202B4">
        <w:rPr>
          <w:i/>
          <w:snapToGrid w:val="0"/>
          <w:kern w:val="22"/>
          <w:szCs w:val="22"/>
          <w:lang w:val="es-ES_tradnl"/>
        </w:rPr>
        <w:t>Observa</w:t>
      </w:r>
      <w:r w:rsidRPr="00A202B4">
        <w:rPr>
          <w:lang w:val="es-ES_tradnl"/>
        </w:rPr>
        <w:t xml:space="preserve"> los progresos en la creación de mecanismos para la participación del público en la adopción de decisiones respecto a los organismos vivos modificados y en el número de Partes que tienen instituciones académicas que ofrecen programas de educación y capacitación en seguridad de la biotecnología</w:t>
      </w:r>
      <w:r w:rsidRPr="00A202B4">
        <w:rPr>
          <w:snapToGrid w:val="0"/>
          <w:kern w:val="22"/>
          <w:szCs w:val="22"/>
          <w:lang w:val="es-ES_tradnl"/>
        </w:rPr>
        <w:t>;</w:t>
      </w:r>
    </w:p>
    <w:p w14:paraId="1AE2161C"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46.</w:t>
      </w:r>
      <w:r w:rsidRPr="00A202B4">
        <w:rPr>
          <w:snapToGrid w:val="0"/>
          <w:kern w:val="22"/>
          <w:szCs w:val="22"/>
          <w:lang w:val="es-ES_tradnl"/>
        </w:rPr>
        <w:tab/>
      </w:r>
      <w:r w:rsidRPr="00A202B4">
        <w:rPr>
          <w:i/>
          <w:snapToGrid w:val="0"/>
          <w:kern w:val="22"/>
          <w:szCs w:val="22"/>
          <w:lang w:val="es-ES_tradnl"/>
        </w:rPr>
        <w:t xml:space="preserve">Alienta </w:t>
      </w:r>
      <w:r w:rsidRPr="00A202B4">
        <w:rPr>
          <w:lang w:val="es-ES_tradnl"/>
        </w:rPr>
        <w:t xml:space="preserve">a las Partes e </w:t>
      </w:r>
      <w:r w:rsidRPr="00A202B4">
        <w:rPr>
          <w:iCs/>
          <w:lang w:val="es-ES_tradnl"/>
        </w:rPr>
        <w:t>invita</w:t>
      </w:r>
      <w:r w:rsidRPr="00A202B4">
        <w:rPr>
          <w:lang w:val="es-ES_tradnl"/>
        </w:rPr>
        <w:t xml:space="preserve"> a otros usuarios a que compartan materiales pertinentes sobre concienciación, educación y participación del público a través del Centro de Intercambio de Información sobre Seguridad de la Biotecnología</w:t>
      </w:r>
      <w:r w:rsidRPr="00A202B4">
        <w:rPr>
          <w:snapToGrid w:val="0"/>
          <w:kern w:val="22"/>
          <w:szCs w:val="22"/>
          <w:lang w:val="es-ES_tradnl"/>
        </w:rPr>
        <w:t>;</w:t>
      </w:r>
    </w:p>
    <w:p w14:paraId="6E76E093" w14:textId="77777777" w:rsidR="005C3E00" w:rsidRPr="00A202B4" w:rsidRDefault="005C3E00" w:rsidP="005C3E00">
      <w:pPr>
        <w:keepNext/>
        <w:suppressLineNumbers/>
        <w:suppressAutoHyphens/>
        <w:kinsoku w:val="0"/>
        <w:overflowPunct w:val="0"/>
        <w:autoSpaceDE w:val="0"/>
        <w:autoSpaceDN w:val="0"/>
        <w:adjustRightInd w:val="0"/>
        <w:snapToGrid w:val="0"/>
        <w:spacing w:before="120" w:after="120" w:line="238" w:lineRule="auto"/>
        <w:jc w:val="center"/>
        <w:rPr>
          <w:b/>
          <w:snapToGrid w:val="0"/>
          <w:kern w:val="22"/>
          <w:szCs w:val="22"/>
          <w:lang w:val="es-ES_tradnl"/>
        </w:rPr>
      </w:pPr>
      <w:r w:rsidRPr="00A202B4">
        <w:rPr>
          <w:b/>
          <w:snapToGrid w:val="0"/>
          <w:kern w:val="22"/>
          <w:szCs w:val="22"/>
          <w:lang w:val="es-ES_tradnl"/>
        </w:rPr>
        <w:t>L.</w:t>
      </w:r>
      <w:r w:rsidRPr="00A202B4">
        <w:rPr>
          <w:b/>
          <w:snapToGrid w:val="0"/>
          <w:kern w:val="22"/>
          <w:szCs w:val="22"/>
          <w:lang w:val="es-ES_tradnl"/>
        </w:rPr>
        <w:tab/>
        <w:t>Divulgación y cooperación</w:t>
      </w:r>
    </w:p>
    <w:p w14:paraId="61924E47"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47.</w:t>
      </w:r>
      <w:r w:rsidRPr="00A202B4">
        <w:rPr>
          <w:snapToGrid w:val="0"/>
          <w:kern w:val="22"/>
          <w:szCs w:val="22"/>
          <w:lang w:val="es-ES_tradnl"/>
        </w:rPr>
        <w:tab/>
      </w:r>
      <w:r w:rsidRPr="00A202B4">
        <w:rPr>
          <w:i/>
          <w:snapToGrid w:val="0"/>
          <w:kern w:val="22"/>
          <w:szCs w:val="22"/>
          <w:lang w:val="es-ES_tradnl"/>
        </w:rPr>
        <w:t xml:space="preserve">Destaca </w:t>
      </w:r>
      <w:r w:rsidRPr="00A202B4">
        <w:rPr>
          <w:lang w:val="es-ES_tradnl"/>
        </w:rPr>
        <w:t>la importancia de la cooperación entre las Partes además de la cooperación entre organizaciones intergubernamentales para apoyar la aplicación del Protocolo</w:t>
      </w:r>
      <w:r w:rsidRPr="00A202B4">
        <w:rPr>
          <w:snapToGrid w:val="0"/>
          <w:kern w:val="22"/>
          <w:szCs w:val="22"/>
          <w:lang w:val="es-ES_tradnl"/>
        </w:rPr>
        <w:t>;</w:t>
      </w:r>
    </w:p>
    <w:p w14:paraId="44D1E2C4"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snapToGrid w:val="0"/>
          <w:kern w:val="22"/>
          <w:szCs w:val="22"/>
          <w:lang w:val="es-ES_tradnl"/>
        </w:rPr>
      </w:pPr>
      <w:r w:rsidRPr="00A202B4">
        <w:rPr>
          <w:snapToGrid w:val="0"/>
          <w:kern w:val="22"/>
          <w:szCs w:val="22"/>
          <w:lang w:val="es-ES_tradnl"/>
        </w:rPr>
        <w:t>48.</w:t>
      </w:r>
      <w:r w:rsidRPr="00A202B4">
        <w:rPr>
          <w:snapToGrid w:val="0"/>
          <w:kern w:val="22"/>
          <w:szCs w:val="22"/>
          <w:lang w:val="es-ES_tradnl"/>
        </w:rPr>
        <w:tab/>
      </w:r>
      <w:r w:rsidRPr="00A202B4">
        <w:rPr>
          <w:i/>
          <w:snapToGrid w:val="0"/>
          <w:kern w:val="22"/>
          <w:szCs w:val="22"/>
          <w:lang w:val="es-ES_tradnl"/>
        </w:rPr>
        <w:t xml:space="preserve">Destaca </w:t>
      </w:r>
      <w:r w:rsidRPr="00A202B4">
        <w:rPr>
          <w:i/>
          <w:iCs/>
          <w:snapToGrid w:val="0"/>
          <w:kern w:val="22"/>
          <w:lang w:val="es-ES_tradnl"/>
        </w:rPr>
        <w:t xml:space="preserve">asimismo </w:t>
      </w:r>
      <w:r w:rsidRPr="00A202B4">
        <w:rPr>
          <w:snapToGrid w:val="0"/>
          <w:kern w:val="22"/>
          <w:lang w:val="es-ES_tradnl"/>
        </w:rPr>
        <w:t>la importancia de la divulgación y cooperación con los pueblos indígenas y las comunidades locales, así como con las mujeres, la juventud y otros interesados pertinentes, para la aplicación eficaz del Protocolo</w:t>
      </w:r>
      <w:r w:rsidRPr="00A202B4">
        <w:rPr>
          <w:snapToGrid w:val="0"/>
          <w:kern w:val="22"/>
          <w:szCs w:val="22"/>
          <w:lang w:val="es-ES_tradnl"/>
        </w:rPr>
        <w:t>;</w:t>
      </w:r>
    </w:p>
    <w:p w14:paraId="42F56566" w14:textId="77777777" w:rsidR="005C3E00" w:rsidRPr="00A202B4" w:rsidRDefault="005C3E00" w:rsidP="005C3E00">
      <w:pPr>
        <w:suppressLineNumbers/>
        <w:suppressAutoHyphens/>
        <w:kinsoku w:val="0"/>
        <w:overflowPunct w:val="0"/>
        <w:autoSpaceDE w:val="0"/>
        <w:autoSpaceDN w:val="0"/>
        <w:adjustRightInd w:val="0"/>
        <w:snapToGrid w:val="0"/>
        <w:spacing w:before="120" w:after="120" w:line="238" w:lineRule="auto"/>
        <w:ind w:firstLine="720"/>
        <w:rPr>
          <w:i/>
          <w:iCs/>
          <w:szCs w:val="22"/>
          <w:lang w:val="es-ES_tradnl"/>
        </w:rPr>
      </w:pPr>
      <w:r w:rsidRPr="00A202B4">
        <w:rPr>
          <w:szCs w:val="22"/>
          <w:lang w:val="es-ES_tradnl"/>
        </w:rPr>
        <w:t>49.</w:t>
      </w:r>
      <w:r w:rsidRPr="00A202B4">
        <w:rPr>
          <w:szCs w:val="22"/>
          <w:lang w:val="es-ES_tradnl"/>
        </w:rPr>
        <w:tab/>
      </w:r>
      <w:r w:rsidRPr="00A202B4">
        <w:rPr>
          <w:i/>
          <w:snapToGrid w:val="0"/>
          <w:kern w:val="22"/>
          <w:szCs w:val="22"/>
          <w:lang w:val="es-ES_tradnl"/>
        </w:rPr>
        <w:t xml:space="preserve">Alienta </w:t>
      </w:r>
      <w:r w:rsidRPr="00A202B4">
        <w:rPr>
          <w:snapToGrid w:val="0"/>
          <w:kern w:val="22"/>
          <w:lang w:val="es-ES_tradnl"/>
        </w:rPr>
        <w:t>a las Partes a que presten apoyo, especialmente a los países en desarrollo, para la participación efectiva en actividades de investigación biotecnológica y de seguridad de la biotecnología, de conformidad con el artículo 22 del Protocolo y el artículo 19 del Convenio</w:t>
      </w:r>
      <w:r w:rsidRPr="00A202B4">
        <w:rPr>
          <w:snapToGrid w:val="0"/>
          <w:kern w:val="22"/>
          <w:szCs w:val="22"/>
          <w:lang w:val="es-ES_tradnl"/>
        </w:rPr>
        <w:t>.</w:t>
      </w:r>
    </w:p>
    <w:p w14:paraId="1F4EA29E" w14:textId="77777777" w:rsidR="005C3E00" w:rsidRPr="00A202B4" w:rsidRDefault="005C3E00" w:rsidP="005C3E00">
      <w:pPr>
        <w:pStyle w:val="decision"/>
        <w:ind w:left="2268" w:right="429" w:hanging="1134"/>
        <w:jc w:val="both"/>
        <w:rPr>
          <w:rFonts w:hint="eastAsia"/>
          <w:caps/>
          <w:lang w:val="es-ES_tradnl"/>
        </w:rPr>
      </w:pPr>
    </w:p>
    <w:p w14:paraId="317A9BDD" w14:textId="77777777" w:rsidR="00DD4BAA" w:rsidRPr="00A202B4" w:rsidRDefault="00DD4BAA" w:rsidP="00DD4BAA">
      <w:pPr>
        <w:pStyle w:val="decision"/>
        <w:ind w:left="2268" w:right="429" w:hanging="1134"/>
        <w:jc w:val="left"/>
        <w:rPr>
          <w:rFonts w:hint="eastAsia"/>
          <w:caps/>
          <w:lang w:val="es-ES_tradnl"/>
        </w:rPr>
        <w:sectPr w:rsidR="00DD4BAA" w:rsidRPr="00A202B4" w:rsidSect="009474D1">
          <w:footnotePr>
            <w:numRestart w:val="eachSect"/>
          </w:footnotePr>
          <w:pgSz w:w="12240" w:h="15840"/>
          <w:pgMar w:top="1021" w:right="1440" w:bottom="1021" w:left="1440" w:header="459" w:footer="720" w:gutter="0"/>
          <w:cols w:space="708"/>
          <w:docGrid w:linePitch="360"/>
        </w:sectPr>
      </w:pPr>
    </w:p>
    <w:p w14:paraId="343FE5DA" w14:textId="774984D0" w:rsidR="00DD4BAA" w:rsidRPr="00A202B4" w:rsidRDefault="00DD4BAA" w:rsidP="00DD4BAA">
      <w:pPr>
        <w:pStyle w:val="decision"/>
        <w:ind w:left="1701" w:right="288" w:hanging="1134"/>
        <w:jc w:val="left"/>
        <w:rPr>
          <w:rFonts w:hint="eastAsia"/>
          <w:lang w:val="es-ES_tradnl"/>
        </w:rPr>
      </w:pPr>
      <w:bookmarkStart w:id="14" w:name="_Toc152776497"/>
      <w:r w:rsidRPr="00A202B4">
        <w:rPr>
          <w:lang w:val="es-ES_tradnl"/>
        </w:rPr>
        <w:lastRenderedPageBreak/>
        <w:t>CP-10/8.</w:t>
      </w:r>
      <w:r w:rsidRPr="00A202B4">
        <w:rPr>
          <w:lang w:val="es-ES_tradnl"/>
        </w:rPr>
        <w:tab/>
      </w:r>
      <w:r w:rsidR="005C3E00" w:rsidRPr="00A202B4">
        <w:rPr>
          <w:lang w:val="es-ES_tradnl"/>
        </w:rPr>
        <w:t>Revisión de la eficacia de las estructuras y los procesos en el marco del Convenio y sus Protocolos</w:t>
      </w:r>
      <w:bookmarkEnd w:id="14"/>
    </w:p>
    <w:p w14:paraId="081B82FC" w14:textId="77777777" w:rsidR="005C3E00" w:rsidRPr="00A202B4" w:rsidRDefault="005C3E00" w:rsidP="005C3E00">
      <w:pPr>
        <w:suppressLineNumbers/>
        <w:suppressAutoHyphens/>
        <w:autoSpaceDE w:val="0"/>
        <w:autoSpaceDN w:val="0"/>
        <w:adjustRightInd w:val="0"/>
        <w:spacing w:before="240" w:after="120"/>
        <w:ind w:firstLine="720"/>
        <w:rPr>
          <w:i/>
          <w:iCs/>
          <w:kern w:val="22"/>
          <w:lang w:val="es-ES_tradnl"/>
        </w:rPr>
      </w:pPr>
      <w:r w:rsidRPr="00A202B4">
        <w:rPr>
          <w:i/>
          <w:iCs/>
          <w:kern w:val="22"/>
          <w:lang w:val="es-ES_tradnl"/>
        </w:rPr>
        <w:t>La Conferencia de las Partes que actúa como reunión de las Partes en el Protocolo de Cartagena sobre Seguridad de la Biotecnología</w:t>
      </w:r>
      <w:r w:rsidRPr="00A202B4">
        <w:rPr>
          <w:kern w:val="22"/>
          <w:lang w:val="es-ES_tradnl"/>
        </w:rPr>
        <w:t>,</w:t>
      </w:r>
    </w:p>
    <w:p w14:paraId="227CB359" w14:textId="77777777" w:rsidR="005C3E00" w:rsidRPr="00A202B4" w:rsidRDefault="005C3E00" w:rsidP="005C3E00">
      <w:pPr>
        <w:keepNext/>
        <w:suppressLineNumbers/>
        <w:suppressAutoHyphens/>
        <w:autoSpaceDE w:val="0"/>
        <w:autoSpaceDN w:val="0"/>
        <w:adjustRightInd w:val="0"/>
        <w:spacing w:before="120" w:after="120"/>
        <w:ind w:left="14" w:hanging="14"/>
        <w:jc w:val="center"/>
        <w:rPr>
          <w:i/>
          <w:iCs/>
          <w:lang w:val="es-ES_tradnl"/>
        </w:rPr>
      </w:pPr>
      <w:r w:rsidRPr="00A202B4">
        <w:rPr>
          <w:b/>
          <w:bCs/>
          <w:kern w:val="22"/>
          <w:lang w:val="es-ES_tradnl"/>
        </w:rPr>
        <w:t>A.</w:t>
      </w:r>
      <w:r w:rsidRPr="00A202B4">
        <w:rPr>
          <w:b/>
          <w:bCs/>
          <w:kern w:val="22"/>
          <w:lang w:val="es-ES_tradnl"/>
        </w:rPr>
        <w:tab/>
        <w:t>Experiencia con reuniones concurrentes</w:t>
      </w:r>
    </w:p>
    <w:p w14:paraId="24F920D8" w14:textId="77777777" w:rsidR="005C3E00" w:rsidRPr="00A202B4" w:rsidRDefault="005C3E00" w:rsidP="005C3E00">
      <w:pPr>
        <w:suppressLineNumbers/>
        <w:suppressAutoHyphens/>
        <w:autoSpaceDE w:val="0"/>
        <w:autoSpaceDN w:val="0"/>
        <w:adjustRightInd w:val="0"/>
        <w:spacing w:before="120" w:after="120"/>
        <w:ind w:firstLine="720"/>
        <w:rPr>
          <w:kern w:val="22"/>
          <w:lang w:val="es-ES_tradnl"/>
        </w:rPr>
      </w:pPr>
      <w:r w:rsidRPr="00A202B4">
        <w:rPr>
          <w:i/>
          <w:iCs/>
          <w:kern w:val="22"/>
          <w:lang w:val="es-ES_tradnl"/>
        </w:rPr>
        <w:t xml:space="preserve">Recordando las </w:t>
      </w:r>
      <w:r w:rsidRPr="00A202B4">
        <w:rPr>
          <w:kern w:val="22"/>
          <w:lang w:val="es-ES_tradnl"/>
        </w:rPr>
        <w:t>decisiones BS-VII/9, CP-VIII/10 y CP</w:t>
      </w:r>
      <w:r w:rsidRPr="00A202B4">
        <w:rPr>
          <w:kern w:val="22"/>
          <w:lang w:val="es-ES_tradnl"/>
        </w:rPr>
        <w:noBreakHyphen/>
        <w:t>9/8,</w:t>
      </w:r>
    </w:p>
    <w:p w14:paraId="046DCB33" w14:textId="77777777" w:rsidR="005C3E00" w:rsidRPr="00A202B4" w:rsidRDefault="005C3E00" w:rsidP="005C3E00">
      <w:pPr>
        <w:suppressLineNumbers/>
        <w:suppressAutoHyphens/>
        <w:autoSpaceDE w:val="0"/>
        <w:autoSpaceDN w:val="0"/>
        <w:adjustRightInd w:val="0"/>
        <w:spacing w:before="120" w:after="120"/>
        <w:ind w:firstLine="720"/>
        <w:rPr>
          <w:kern w:val="22"/>
          <w:lang w:val="es-ES_tradnl"/>
        </w:rPr>
      </w:pPr>
      <w:r w:rsidRPr="00A202B4">
        <w:rPr>
          <w:i/>
          <w:iCs/>
          <w:kern w:val="22"/>
          <w:lang w:val="es-ES_tradnl"/>
        </w:rPr>
        <w:t xml:space="preserve">Habiendo revisado </w:t>
      </w:r>
      <w:r w:rsidRPr="00A202B4">
        <w:rPr>
          <w:kern w:val="22"/>
          <w:lang w:val="es-ES_tradnl"/>
        </w:rPr>
        <w:t>la experiencia en la celebración de reuniones concurrentes de la Conferencia de las Partes, la Conferencia de las Partes que actúa como reunión de las Partes en el Protocolo de Cartagena y la Conferencia de las Partes que actúa como reunión de las Partes en el Protocolo de Nagoya, aplicando los criterios previamente acordados,</w:t>
      </w:r>
    </w:p>
    <w:p w14:paraId="03191702" w14:textId="77777777" w:rsidR="005C3E00" w:rsidRPr="00A202B4" w:rsidRDefault="005C3E00" w:rsidP="005C3E00">
      <w:pPr>
        <w:suppressLineNumbers/>
        <w:suppressAutoHyphens/>
        <w:autoSpaceDE w:val="0"/>
        <w:autoSpaceDN w:val="0"/>
        <w:adjustRightInd w:val="0"/>
        <w:spacing w:before="120" w:after="120"/>
        <w:ind w:firstLine="720"/>
        <w:rPr>
          <w:kern w:val="22"/>
          <w:lang w:val="es-ES_tradnl"/>
        </w:rPr>
      </w:pPr>
      <w:r w:rsidRPr="00A202B4">
        <w:rPr>
          <w:i/>
          <w:iCs/>
          <w:kern w:val="22"/>
          <w:lang w:val="es-ES_tradnl"/>
        </w:rPr>
        <w:t xml:space="preserve">Tomando en cuenta </w:t>
      </w:r>
      <w:r w:rsidRPr="00A202B4">
        <w:rPr>
          <w:lang w:val="es-ES_tradnl"/>
        </w:rPr>
        <w:t>las opiniones de las Partes y los observadores que participaron en las reuniones concurrentes celebradas en 2016 y 2018, sintetizadas y expuestas en las notas de la Secretaria Ejecutiva sobre el examen de la experiencia en la celebración de reuniones concurrentes de la Conferencia de las Partes en el Convenio y reuniones de las Partes en los Protocolos</w:t>
      </w:r>
      <w:r w:rsidRPr="00A202B4">
        <w:rPr>
          <w:kern w:val="22"/>
          <w:vertAlign w:val="superscript"/>
          <w:lang w:val="es-ES_tradnl"/>
        </w:rPr>
        <w:footnoteReference w:id="26"/>
      </w:r>
      <w:r w:rsidRPr="00A202B4">
        <w:rPr>
          <w:kern w:val="22"/>
          <w:lang w:val="es-ES_tradnl"/>
        </w:rPr>
        <w:t>,</w:t>
      </w:r>
    </w:p>
    <w:p w14:paraId="74945308" w14:textId="77777777" w:rsidR="005C3E00" w:rsidRPr="00A202B4" w:rsidRDefault="005C3E00" w:rsidP="005C3E00">
      <w:pPr>
        <w:suppressLineNumbers/>
        <w:suppressAutoHyphens/>
        <w:autoSpaceDE w:val="0"/>
        <w:autoSpaceDN w:val="0"/>
        <w:adjustRightInd w:val="0"/>
        <w:spacing w:before="120" w:after="120"/>
        <w:ind w:firstLine="720"/>
        <w:rPr>
          <w:kern w:val="22"/>
          <w:lang w:val="es-ES_tradnl"/>
        </w:rPr>
      </w:pPr>
      <w:r w:rsidRPr="00A202B4">
        <w:rPr>
          <w:kern w:val="22"/>
          <w:lang w:val="es-ES_tradnl"/>
        </w:rPr>
        <w:t>1.</w:t>
      </w:r>
      <w:r w:rsidRPr="00A202B4">
        <w:rPr>
          <w:kern w:val="22"/>
          <w:lang w:val="es-ES_tradnl"/>
        </w:rPr>
        <w:tab/>
      </w:r>
      <w:r w:rsidRPr="00A202B4">
        <w:rPr>
          <w:i/>
          <w:iCs/>
          <w:kern w:val="22"/>
          <w:lang w:val="es-ES_tradnl"/>
        </w:rPr>
        <w:t xml:space="preserve">Observa con satisfacción </w:t>
      </w:r>
      <w:r w:rsidRPr="00A202B4">
        <w:rPr>
          <w:kern w:val="22"/>
          <w:lang w:val="es-ES_tradnl"/>
        </w:rPr>
        <w:t>que se consideró que, en general, las reuniones concurrentes habían permitido una mayor integración entre el Convenio y sus Protocolos, así como mejores consultas, coordinación y sinergias entre los respectivos puntos focales nacionales;</w:t>
      </w:r>
    </w:p>
    <w:p w14:paraId="794259A8" w14:textId="77777777" w:rsidR="005C3E00" w:rsidRPr="00A202B4" w:rsidRDefault="005C3E00" w:rsidP="005C3E00">
      <w:pPr>
        <w:suppressLineNumbers/>
        <w:suppressAutoHyphens/>
        <w:autoSpaceDE w:val="0"/>
        <w:autoSpaceDN w:val="0"/>
        <w:adjustRightInd w:val="0"/>
        <w:spacing w:before="120" w:after="120"/>
        <w:ind w:firstLine="720"/>
        <w:rPr>
          <w:kern w:val="22"/>
          <w:lang w:val="es-ES_tradnl"/>
        </w:rPr>
      </w:pPr>
      <w:r w:rsidRPr="00A202B4">
        <w:rPr>
          <w:kern w:val="22"/>
          <w:lang w:val="es-ES_tradnl"/>
        </w:rPr>
        <w:t>2.</w:t>
      </w:r>
      <w:r w:rsidRPr="00A202B4">
        <w:rPr>
          <w:kern w:val="22"/>
          <w:lang w:val="es-ES_tradnl"/>
        </w:rPr>
        <w:tab/>
      </w:r>
      <w:r w:rsidRPr="00A202B4">
        <w:rPr>
          <w:i/>
          <w:iCs/>
          <w:spacing w:val="-2"/>
          <w:kern w:val="22"/>
          <w:lang w:val="es-ES_tradnl"/>
        </w:rPr>
        <w:t>Observa</w:t>
      </w:r>
      <w:r w:rsidRPr="00A202B4">
        <w:rPr>
          <w:spacing w:val="-2"/>
          <w:kern w:val="22"/>
          <w:lang w:val="es-ES_tradnl"/>
        </w:rPr>
        <w:t xml:space="preserve"> que se consideró que la mayoría de los criterios se cumplían total o parcialmente y que se podría seguir mejorando el funcionamiento de las reuniones concurrentes, en particular para lograr mejores resultados y una mayor eficacia en las reuniones de las Partes en los Protocolos</w:t>
      </w:r>
      <w:r w:rsidRPr="00A202B4">
        <w:rPr>
          <w:kern w:val="22"/>
          <w:lang w:val="es-ES_tradnl"/>
        </w:rPr>
        <w:t>;</w:t>
      </w:r>
    </w:p>
    <w:p w14:paraId="01768DA0" w14:textId="77777777" w:rsidR="005C3E00" w:rsidRPr="00A202B4" w:rsidRDefault="005C3E00" w:rsidP="005C3E00">
      <w:pPr>
        <w:suppressLineNumbers/>
        <w:suppressAutoHyphens/>
        <w:autoSpaceDE w:val="0"/>
        <w:autoSpaceDN w:val="0"/>
        <w:adjustRightInd w:val="0"/>
        <w:spacing w:before="120" w:after="120"/>
        <w:ind w:firstLine="720"/>
        <w:rPr>
          <w:kern w:val="22"/>
          <w:lang w:val="es-ES_tradnl"/>
        </w:rPr>
      </w:pPr>
      <w:r w:rsidRPr="00A202B4">
        <w:rPr>
          <w:kern w:val="22"/>
          <w:lang w:val="es-ES_tradnl"/>
        </w:rPr>
        <w:t>3.</w:t>
      </w:r>
      <w:r w:rsidRPr="00A202B4">
        <w:rPr>
          <w:kern w:val="22"/>
          <w:lang w:val="es-ES_tradnl"/>
        </w:rPr>
        <w:tab/>
      </w:r>
      <w:r w:rsidRPr="00A202B4">
        <w:rPr>
          <w:i/>
          <w:iCs/>
          <w:kern w:val="22"/>
          <w:lang w:val="es-ES_tradnl"/>
        </w:rPr>
        <w:t xml:space="preserve">Reitera </w:t>
      </w:r>
      <w:r w:rsidRPr="00A202B4">
        <w:rPr>
          <w:kern w:val="22"/>
          <w:lang w:val="es-ES_tradnl"/>
        </w:rPr>
        <w:t>la importancia de garantizar que en las reuniones concurrentes participen plena y efectivamente representantes de las Partes que son países en desarrollo, en particular los países menos adelantados y los pequeños Estados insulares en desarrollo entre ellos, así como los países con economías en transición, y la importancia, en especial, de garantizar una participación adecuada de representantes en las reuniones de las Partes en los Protocolos mediante la facilitación de fondos para dicha participación y, en ese sentido, recuerda los párrafos 36 a 46 de la decisión 14/37;</w:t>
      </w:r>
    </w:p>
    <w:p w14:paraId="3C23F5E3" w14:textId="77777777" w:rsidR="005C3E00" w:rsidRPr="00A202B4" w:rsidRDefault="005C3E00" w:rsidP="005C3E00">
      <w:pPr>
        <w:suppressLineNumbers/>
        <w:suppressAutoHyphens/>
        <w:autoSpaceDE w:val="0"/>
        <w:autoSpaceDN w:val="0"/>
        <w:adjustRightInd w:val="0"/>
        <w:spacing w:before="120" w:after="120"/>
        <w:ind w:firstLine="720"/>
        <w:rPr>
          <w:kern w:val="22"/>
          <w:lang w:val="es-ES_tradnl"/>
        </w:rPr>
      </w:pPr>
      <w:r w:rsidRPr="00A202B4">
        <w:rPr>
          <w:kern w:val="22"/>
          <w:lang w:val="es-ES_tradnl"/>
        </w:rPr>
        <w:t>4.</w:t>
      </w:r>
      <w:r w:rsidRPr="00A202B4">
        <w:rPr>
          <w:kern w:val="22"/>
          <w:lang w:val="es-ES_tradnl"/>
        </w:rPr>
        <w:tab/>
      </w:r>
      <w:r w:rsidRPr="00A202B4">
        <w:rPr>
          <w:i/>
          <w:iCs/>
          <w:kern w:val="22"/>
          <w:lang w:val="es-ES_tradnl"/>
        </w:rPr>
        <w:t xml:space="preserve">Pide </w:t>
      </w:r>
      <w:r w:rsidRPr="00A202B4">
        <w:rPr>
          <w:kern w:val="22"/>
          <w:lang w:val="es-ES_tradnl"/>
        </w:rPr>
        <w:t>a la Secretaria Ejecutiva que, en consulta con la Mesa, siga mejorando la planificación y organización de futuras reuniones concurrentes sobre la base de la experiencia adquirida hasta la fecha y de las opiniones expresadas por las Partes y los observadores;</w:t>
      </w:r>
    </w:p>
    <w:p w14:paraId="4A9CD93C" w14:textId="77777777" w:rsidR="005C3E00" w:rsidRPr="00A202B4" w:rsidRDefault="005C3E00" w:rsidP="005C3E00">
      <w:pPr>
        <w:keepNext/>
        <w:suppressLineNumbers/>
        <w:suppressAutoHyphens/>
        <w:autoSpaceDE w:val="0"/>
        <w:autoSpaceDN w:val="0"/>
        <w:adjustRightInd w:val="0"/>
        <w:spacing w:before="120" w:after="120"/>
        <w:ind w:left="14" w:hanging="14"/>
        <w:jc w:val="center"/>
        <w:rPr>
          <w:lang w:val="es-ES_tradnl"/>
        </w:rPr>
      </w:pPr>
      <w:r w:rsidRPr="00A202B4">
        <w:rPr>
          <w:b/>
          <w:bCs/>
          <w:kern w:val="22"/>
          <w:lang w:val="es-ES_tradnl"/>
        </w:rPr>
        <w:t>B.</w:t>
      </w:r>
      <w:r w:rsidRPr="00A202B4">
        <w:rPr>
          <w:b/>
          <w:bCs/>
          <w:kern w:val="22"/>
          <w:lang w:val="es-ES_tradnl"/>
        </w:rPr>
        <w:tab/>
        <w:t>Experiencia con reuniones virtuales</w:t>
      </w:r>
    </w:p>
    <w:p w14:paraId="7E46BAF2" w14:textId="77777777" w:rsidR="005C3E00" w:rsidRPr="00A202B4" w:rsidRDefault="005C3E00" w:rsidP="005C3E00">
      <w:pPr>
        <w:suppressLineNumbers/>
        <w:suppressAutoHyphens/>
        <w:autoSpaceDE w:val="0"/>
        <w:autoSpaceDN w:val="0"/>
        <w:adjustRightInd w:val="0"/>
        <w:spacing w:before="120" w:after="120"/>
        <w:ind w:firstLine="720"/>
        <w:rPr>
          <w:kern w:val="22"/>
          <w:lang w:val="es-ES_tradnl"/>
        </w:rPr>
      </w:pPr>
      <w:r w:rsidRPr="00A202B4">
        <w:rPr>
          <w:i/>
          <w:iCs/>
          <w:kern w:val="22"/>
          <w:lang w:val="es-ES_tradnl"/>
        </w:rPr>
        <w:t xml:space="preserve">Reconociendo </w:t>
      </w:r>
      <w:r w:rsidRPr="00A202B4">
        <w:rPr>
          <w:kern w:val="22"/>
          <w:lang w:val="es-ES_tradnl"/>
        </w:rPr>
        <w:t>las restricciones impuestas desde marzo de 2020 como consecuencia de la pandemia de COVID-19, que tornaron inviables las reuniones presenciales y dieron lugar a la convocatoria de reuniones virtuales,</w:t>
      </w:r>
    </w:p>
    <w:p w14:paraId="7A7EC22F" w14:textId="77777777" w:rsidR="005C3E00" w:rsidRPr="00A202B4" w:rsidRDefault="005C3E00" w:rsidP="005C3E00">
      <w:pPr>
        <w:suppressLineNumbers/>
        <w:suppressAutoHyphens/>
        <w:autoSpaceDE w:val="0"/>
        <w:autoSpaceDN w:val="0"/>
        <w:adjustRightInd w:val="0"/>
        <w:spacing w:before="120" w:after="120"/>
        <w:ind w:firstLine="720"/>
        <w:rPr>
          <w:kern w:val="22"/>
          <w:lang w:val="es-ES_tradnl"/>
        </w:rPr>
      </w:pPr>
      <w:r w:rsidRPr="00A202B4">
        <w:rPr>
          <w:kern w:val="22"/>
          <w:lang w:val="es-ES_tradnl"/>
        </w:rPr>
        <w:t>5.</w:t>
      </w:r>
      <w:r w:rsidRPr="00A202B4">
        <w:rPr>
          <w:kern w:val="22"/>
          <w:lang w:val="es-ES_tradnl"/>
        </w:rPr>
        <w:tab/>
      </w:r>
      <w:r w:rsidRPr="00A202B4">
        <w:rPr>
          <w:i/>
          <w:iCs/>
          <w:kern w:val="22"/>
          <w:lang w:val="es-ES_tradnl"/>
        </w:rPr>
        <w:t xml:space="preserve">Observa </w:t>
      </w:r>
      <w:r w:rsidRPr="00A202B4">
        <w:rPr>
          <w:kern w:val="22"/>
          <w:lang w:val="es-ES_tradnl"/>
        </w:rPr>
        <w:t>los expeditivos ajustes y preparativos realizados por la Secretaría, así como la comprensión y flexibilidad demostradas por las presidencias y los participantes, que permitieron organizar una serie de reuniones y consultas en un entorno virtual para sortear las restricciones ocasionadas por la situación de pandemia, más allá de los inconvenientes planteados por un entorno de tales características y de las limitaciones que se acordaron con respecto a la adopción de decisiones;</w:t>
      </w:r>
    </w:p>
    <w:p w14:paraId="6BEC710B" w14:textId="5D52409F" w:rsidR="005C3E00" w:rsidRPr="00A202B4" w:rsidRDefault="005C3E00" w:rsidP="005C3E00">
      <w:pPr>
        <w:suppressLineNumbers/>
        <w:suppressAutoHyphens/>
        <w:autoSpaceDE w:val="0"/>
        <w:autoSpaceDN w:val="0"/>
        <w:adjustRightInd w:val="0"/>
        <w:spacing w:before="120" w:after="120"/>
        <w:ind w:firstLine="720"/>
        <w:rPr>
          <w:kern w:val="22"/>
          <w:lang w:val="es-ES_tradnl"/>
        </w:rPr>
      </w:pPr>
      <w:r w:rsidRPr="00A202B4">
        <w:rPr>
          <w:kern w:val="22"/>
          <w:lang w:val="es-ES_tradnl"/>
        </w:rPr>
        <w:t>6.</w:t>
      </w:r>
      <w:r w:rsidRPr="00A202B4">
        <w:rPr>
          <w:i/>
          <w:iCs/>
          <w:kern w:val="22"/>
          <w:lang w:val="es-ES_tradnl"/>
        </w:rPr>
        <w:tab/>
        <w:t>Conviene en que</w:t>
      </w:r>
      <w:r w:rsidRPr="00A202B4">
        <w:rPr>
          <w:kern w:val="22"/>
          <w:lang w:val="es-ES_tradnl"/>
        </w:rPr>
        <w:t xml:space="preserve"> la convocatoria de reuniones oficiales en un entorno virtual, si bien fue importante para hacer frente a las circunstancias extraordinarias ocasionadas por la pandemia de COVID</w:t>
      </w:r>
      <w:r w:rsidR="0078461F">
        <w:rPr>
          <w:kern w:val="22"/>
          <w:lang w:val="es-ES_tradnl"/>
        </w:rPr>
        <w:noBreakHyphen/>
      </w:r>
      <w:r w:rsidRPr="00A202B4">
        <w:rPr>
          <w:kern w:val="22"/>
          <w:lang w:val="es-ES_tradnl"/>
        </w:rPr>
        <w:t>19, no sienta un precedente para la futura organización de reuniones similares en el marco del Convenio y de los Protocolos;</w:t>
      </w:r>
    </w:p>
    <w:p w14:paraId="68B9A975" w14:textId="77777777" w:rsidR="005C3E00" w:rsidRPr="00A202B4" w:rsidRDefault="005C3E00" w:rsidP="005C3E00">
      <w:pPr>
        <w:suppressLineNumbers/>
        <w:suppressAutoHyphens/>
        <w:autoSpaceDE w:val="0"/>
        <w:autoSpaceDN w:val="0"/>
        <w:adjustRightInd w:val="0"/>
        <w:spacing w:before="120" w:after="120"/>
        <w:ind w:firstLine="720"/>
        <w:rPr>
          <w:kern w:val="22"/>
          <w:lang w:val="es-ES_tradnl"/>
        </w:rPr>
      </w:pPr>
      <w:r w:rsidRPr="00A202B4">
        <w:rPr>
          <w:kern w:val="22"/>
          <w:lang w:val="es-ES_tradnl"/>
        </w:rPr>
        <w:t>7.</w:t>
      </w:r>
      <w:r w:rsidRPr="00A202B4">
        <w:rPr>
          <w:kern w:val="22"/>
          <w:lang w:val="es-ES_tradnl"/>
        </w:rPr>
        <w:tab/>
      </w:r>
      <w:r w:rsidRPr="00A202B4">
        <w:rPr>
          <w:i/>
          <w:iCs/>
          <w:kern w:val="22"/>
          <w:lang w:val="es-ES_tradnl"/>
        </w:rPr>
        <w:t>Alienta</w:t>
      </w:r>
      <w:r w:rsidRPr="00A202B4">
        <w:rPr>
          <w:kern w:val="22"/>
          <w:lang w:val="es-ES_tradnl"/>
        </w:rPr>
        <w:t xml:space="preserve"> a las Partes y a los observadores a que sigan participando en reuniones híbridas, cuando proceda, y en reuniones virtuales cuando se den circunstancias extraordinarias, reconociendo a la </w:t>
      </w:r>
      <w:r w:rsidRPr="00A202B4">
        <w:rPr>
          <w:kern w:val="22"/>
          <w:lang w:val="es-ES_tradnl"/>
        </w:rPr>
        <w:lastRenderedPageBreak/>
        <w:t>vez la necesidad de garantizar la participación plena y efectiva de las Partes, especialmente las Partes que son países en desarrollo, en particular los países menos adelantados y los pequeños Estados insulares en desarrollo entre ellos, así como las Partes con economías en transición, a fin de promover procesos transparentes e inclusivos en el marco del Convenio y de los Protocolos, siempre que no se adopten decisiones definitivas en modalidad virtual, con excepción de cuestiones presupuestarias y de procedimiento;</w:t>
      </w:r>
    </w:p>
    <w:p w14:paraId="35A6CE16" w14:textId="77777777" w:rsidR="005C3E00" w:rsidRPr="00A202B4" w:rsidRDefault="005C3E00" w:rsidP="005C3E00">
      <w:pPr>
        <w:suppressLineNumbers/>
        <w:suppressAutoHyphens/>
        <w:autoSpaceDE w:val="0"/>
        <w:autoSpaceDN w:val="0"/>
        <w:adjustRightInd w:val="0"/>
        <w:spacing w:before="120" w:after="120"/>
        <w:ind w:firstLine="720"/>
        <w:rPr>
          <w:kern w:val="22"/>
          <w:lang w:val="es-ES_tradnl"/>
        </w:rPr>
      </w:pPr>
      <w:r w:rsidRPr="00A202B4">
        <w:rPr>
          <w:kern w:val="22"/>
          <w:lang w:val="es-ES_tradnl"/>
        </w:rPr>
        <w:t>8.</w:t>
      </w:r>
      <w:r w:rsidRPr="00A202B4">
        <w:rPr>
          <w:kern w:val="22"/>
          <w:lang w:val="es-ES_tradnl"/>
        </w:rPr>
        <w:tab/>
      </w:r>
      <w:r w:rsidRPr="00A202B4">
        <w:rPr>
          <w:i/>
          <w:iCs/>
          <w:kern w:val="22"/>
          <w:lang w:val="es-ES_tradnl"/>
        </w:rPr>
        <w:t>Pide</w:t>
      </w:r>
      <w:r w:rsidRPr="00A202B4">
        <w:rPr>
          <w:kern w:val="22"/>
          <w:lang w:val="es-ES_tradnl"/>
        </w:rPr>
        <w:t xml:space="preserve"> a la Secretaria Ejecutiva que recopile opiniones de las Partes y de interesados pertinentes, así como las experiencias y los estudios pertinentes que existan, en especial en el sistema de las Naciones Unidas, sobre la celebración de reuniones virtuales y reuniones híbridas en 2021 y 2022, y que prepare opciones de procedimiento para tales reuniones híbridas, y para reuniones virtuales en circunstancias extraordinarias, tomando en cuenta los problemas específicos que pudieran afectar a aquellas delegaciones que tienen dificultades de red y conectividad, especialmente en el caso de las Partes que son países en desarrollo, en particular los países menos adelantados y los pequeños Estados insulares en desarrollo entre ellos, así como las Partes con economías en transición, y en el caso de los pueblos indígenas y las comunidades locales y los observadores, y también las delegaciones de países que en la fecha prevista para las reuniones pudieran estar atravesando circunstancias difíciles, contemplando así cuestiones de igualdad, participación y legitimidad, y que presente dicha recopilación y opciones al Órgano Subsidiario sobre la Aplicación para que las considere en su cuarta reunión;</w:t>
      </w:r>
    </w:p>
    <w:p w14:paraId="5B3D0100" w14:textId="77777777" w:rsidR="005C3E00" w:rsidRPr="00A202B4" w:rsidRDefault="005C3E00" w:rsidP="005C3E00">
      <w:pPr>
        <w:suppressLineNumbers/>
        <w:suppressAutoHyphens/>
        <w:autoSpaceDE w:val="0"/>
        <w:autoSpaceDN w:val="0"/>
        <w:adjustRightInd w:val="0"/>
        <w:spacing w:before="120" w:after="120"/>
        <w:ind w:firstLine="720"/>
        <w:rPr>
          <w:kern w:val="22"/>
          <w:lang w:val="es-ES_tradnl"/>
        </w:rPr>
      </w:pPr>
      <w:r w:rsidRPr="00A202B4">
        <w:rPr>
          <w:kern w:val="22"/>
          <w:lang w:val="es-ES_tradnl"/>
        </w:rPr>
        <w:t>9.</w:t>
      </w:r>
      <w:r w:rsidRPr="00A202B4">
        <w:rPr>
          <w:kern w:val="22"/>
          <w:lang w:val="es-ES_tradnl"/>
        </w:rPr>
        <w:tab/>
      </w:r>
      <w:r w:rsidRPr="00A202B4">
        <w:rPr>
          <w:i/>
          <w:iCs/>
          <w:kern w:val="22"/>
          <w:lang w:val="es-ES_tradnl"/>
        </w:rPr>
        <w:t xml:space="preserve">Pide </w:t>
      </w:r>
      <w:r w:rsidRPr="00A202B4">
        <w:rPr>
          <w:kern w:val="22"/>
          <w:lang w:val="es-ES_tradnl"/>
        </w:rPr>
        <w:t>al Órgano Subsidiario sobre la Aplicación que examine la recopilación de opiniones, el análisis y las opciones a las que se hace referencia en el párrafo 8 anterior y que formule recomendaciones para el abordaje de esas cuestiones y se las presente a los órganos rectores del Convenio y de los Protocolos para que las consideren en sus próximas reuniones.</w:t>
      </w:r>
    </w:p>
    <w:p w14:paraId="4E5C4320" w14:textId="77777777" w:rsidR="005C3E00" w:rsidRPr="00A202B4" w:rsidRDefault="005C3E00" w:rsidP="005C3E00">
      <w:pPr>
        <w:keepNext/>
        <w:suppressLineNumbers/>
        <w:suppressAutoHyphens/>
        <w:autoSpaceDE w:val="0"/>
        <w:autoSpaceDN w:val="0"/>
        <w:adjustRightInd w:val="0"/>
        <w:spacing w:before="120" w:after="120"/>
        <w:ind w:left="14" w:hanging="14"/>
        <w:jc w:val="center"/>
        <w:rPr>
          <w:lang w:val="es-ES_tradnl"/>
        </w:rPr>
      </w:pPr>
      <w:r w:rsidRPr="00A202B4">
        <w:rPr>
          <w:b/>
          <w:bCs/>
          <w:kern w:val="22"/>
          <w:lang w:val="es-ES_tradnl"/>
        </w:rPr>
        <w:t>C.</w:t>
      </w:r>
      <w:r w:rsidRPr="00A202B4">
        <w:rPr>
          <w:b/>
          <w:bCs/>
          <w:kern w:val="22"/>
          <w:lang w:val="es-ES_tradnl"/>
        </w:rPr>
        <w:tab/>
        <w:t>Otras áreas para mejorar la eficacia</w:t>
      </w:r>
    </w:p>
    <w:p w14:paraId="5A790D1B" w14:textId="51988DE6" w:rsidR="005C3E00" w:rsidRPr="00A202B4" w:rsidRDefault="005C3E00" w:rsidP="005C3E00">
      <w:pPr>
        <w:suppressLineNumbers/>
        <w:suppressAutoHyphens/>
        <w:autoSpaceDE w:val="0"/>
        <w:autoSpaceDN w:val="0"/>
        <w:adjustRightInd w:val="0"/>
        <w:spacing w:before="120" w:after="120"/>
        <w:ind w:firstLine="720"/>
        <w:rPr>
          <w:lang w:val="es-ES_tradnl"/>
        </w:rPr>
      </w:pPr>
      <w:r w:rsidRPr="00A202B4">
        <w:rPr>
          <w:kern w:val="22"/>
          <w:lang w:val="es-ES_tradnl"/>
        </w:rPr>
        <w:t>10.</w:t>
      </w:r>
      <w:r w:rsidRPr="00A202B4">
        <w:rPr>
          <w:kern w:val="22"/>
          <w:lang w:val="es-ES_tradnl"/>
        </w:rPr>
        <w:tab/>
      </w:r>
      <w:r w:rsidRPr="00A202B4">
        <w:rPr>
          <w:i/>
          <w:iCs/>
          <w:kern w:val="22"/>
          <w:lang w:val="es-ES_tradnl"/>
        </w:rPr>
        <w:t>Pide</w:t>
      </w:r>
      <w:r w:rsidRPr="00A202B4">
        <w:rPr>
          <w:kern w:val="22"/>
          <w:lang w:val="es-ES_tradnl"/>
        </w:rPr>
        <w:t xml:space="preserve"> a la Secretaria Ejecutiva que, en consulta con las Partes, los miembros de la Mesa, los asociados y los interesados, prepare un análisis de opciones para seguir mejorando la eficacia de las reuniones celebradas en el marco del Convenio y de los Protocolos, incluidas, entre otras, opciones para mejorar los procesos de negociación, para dar un mejor seguimiento a decisiones anteriores, para aprovechar las innovaciones en materia de tecnologías y métodos de adopción de decisiones y para estudiar modalidades para la participación de observadores en los procesos en el marco del Convenio y de los Protocolos, garantizando al mismo tiempo que se respete el reglamento del Convenio y de los Protocolos, y que presente dicho análisis de opciones al Órgano Subsidiario sobre la Aplicación para que lo considere en su cuarta reunión.</w:t>
      </w:r>
    </w:p>
    <w:p w14:paraId="0B2E90BF" w14:textId="77777777" w:rsidR="005C3E00" w:rsidRPr="00A202B4" w:rsidRDefault="005C3E00" w:rsidP="005C3E00">
      <w:pPr>
        <w:pStyle w:val="decision"/>
        <w:ind w:right="288"/>
        <w:jc w:val="left"/>
        <w:rPr>
          <w:rFonts w:hint="eastAsia"/>
          <w:caps/>
          <w:lang w:val="es-ES_tradnl"/>
        </w:rPr>
      </w:pPr>
    </w:p>
    <w:p w14:paraId="101B52D9" w14:textId="77777777" w:rsidR="00DD4BAA" w:rsidRPr="00A202B4" w:rsidRDefault="00DD4BAA" w:rsidP="00DD4BAA">
      <w:pPr>
        <w:pStyle w:val="decision"/>
        <w:ind w:left="2268" w:right="429" w:hanging="1134"/>
        <w:jc w:val="left"/>
        <w:rPr>
          <w:rFonts w:hint="eastAsia"/>
          <w:caps/>
          <w:lang w:val="es-ES_tradnl"/>
        </w:rPr>
        <w:sectPr w:rsidR="00DD4BAA" w:rsidRPr="00A202B4" w:rsidSect="009474D1">
          <w:footnotePr>
            <w:numRestart w:val="eachSect"/>
          </w:footnotePr>
          <w:pgSz w:w="12240" w:h="15840"/>
          <w:pgMar w:top="1021" w:right="1440" w:bottom="1021" w:left="1440" w:header="459" w:footer="720" w:gutter="0"/>
          <w:cols w:space="708"/>
          <w:docGrid w:linePitch="360"/>
        </w:sectPr>
      </w:pPr>
    </w:p>
    <w:p w14:paraId="2F103986" w14:textId="1E58A5EB" w:rsidR="00DD4BAA" w:rsidRPr="00A202B4" w:rsidRDefault="00DD4BAA" w:rsidP="00DD4BAA">
      <w:pPr>
        <w:pStyle w:val="decision"/>
        <w:rPr>
          <w:rFonts w:asciiTheme="majorBidi" w:hAnsiTheme="majorBidi" w:cstheme="majorBidi"/>
          <w:bCs/>
          <w:caps/>
          <w:snapToGrid w:val="0"/>
          <w:kern w:val="22"/>
          <w:lang w:val="es-ES_tradnl"/>
        </w:rPr>
      </w:pPr>
      <w:bookmarkStart w:id="15" w:name="_Toc152776498"/>
      <w:r w:rsidRPr="00A202B4">
        <w:rPr>
          <w:lang w:val="es-ES_tradnl"/>
        </w:rPr>
        <w:lastRenderedPageBreak/>
        <w:t>CP-10/9.</w:t>
      </w:r>
      <w:r w:rsidRPr="00A202B4">
        <w:rPr>
          <w:lang w:val="es-ES_tradnl"/>
        </w:rPr>
        <w:tab/>
      </w:r>
      <w:r w:rsidR="005C3E00" w:rsidRPr="00A202B4">
        <w:rPr>
          <w:rFonts w:asciiTheme="majorBidi" w:hAnsiTheme="majorBidi" w:cstheme="majorBidi"/>
          <w:bCs/>
          <w:caps/>
          <w:snapToGrid w:val="0"/>
          <w:kern w:val="22"/>
          <w:lang w:val="es-ES_tradnl"/>
        </w:rPr>
        <w:t>V</w:t>
      </w:r>
      <w:r w:rsidR="005C3E00" w:rsidRPr="00A202B4">
        <w:rPr>
          <w:rFonts w:asciiTheme="majorBidi" w:hAnsiTheme="majorBidi" w:cstheme="majorBidi"/>
          <w:bCs/>
          <w:snapToGrid w:val="0"/>
          <w:kern w:val="22"/>
          <w:lang w:val="es-ES_tradnl"/>
        </w:rPr>
        <w:t xml:space="preserve">igilancia y presentación de informes </w:t>
      </w:r>
      <w:r w:rsidR="005C3E00" w:rsidRPr="00A202B4">
        <w:rPr>
          <w:rFonts w:asciiTheme="majorBidi" w:hAnsiTheme="majorBidi" w:cstheme="majorBidi"/>
          <w:bCs/>
          <w:caps/>
          <w:snapToGrid w:val="0"/>
          <w:kern w:val="22"/>
          <w:lang w:val="es-ES_tradnl"/>
        </w:rPr>
        <w:t>(</w:t>
      </w:r>
      <w:r w:rsidR="005C3E00" w:rsidRPr="00A202B4">
        <w:rPr>
          <w:rFonts w:asciiTheme="majorBidi" w:hAnsiTheme="majorBidi" w:cstheme="majorBidi"/>
          <w:bCs/>
          <w:snapToGrid w:val="0"/>
          <w:kern w:val="22"/>
          <w:lang w:val="es-ES_tradnl"/>
        </w:rPr>
        <w:t>artículo</w:t>
      </w:r>
      <w:r w:rsidR="005C3E00" w:rsidRPr="00A202B4">
        <w:rPr>
          <w:rFonts w:asciiTheme="majorBidi" w:hAnsiTheme="majorBidi" w:cstheme="majorBidi"/>
          <w:bCs/>
          <w:caps/>
          <w:snapToGrid w:val="0"/>
          <w:kern w:val="22"/>
          <w:lang w:val="es-ES_tradnl"/>
        </w:rPr>
        <w:t xml:space="preserve"> 33)</w:t>
      </w:r>
      <w:bookmarkEnd w:id="15"/>
    </w:p>
    <w:p w14:paraId="5C166CD3" w14:textId="77777777" w:rsidR="005C3E00" w:rsidRPr="00A202B4" w:rsidRDefault="005C3E00" w:rsidP="005C3E00">
      <w:pPr>
        <w:shd w:val="clear" w:color="auto" w:fill="FFFFFF" w:themeFill="background1"/>
        <w:spacing w:before="120" w:after="120"/>
        <w:ind w:firstLine="720"/>
        <w:rPr>
          <w:i/>
          <w:iCs/>
          <w:szCs w:val="22"/>
          <w:lang w:val="es-ES_tradnl"/>
        </w:rPr>
      </w:pPr>
      <w:r w:rsidRPr="00A202B4">
        <w:rPr>
          <w:i/>
          <w:iCs/>
          <w:szCs w:val="22"/>
          <w:lang w:val="es-ES_tradnl"/>
        </w:rPr>
        <w:t>La Conferencia de las Partes que actúa como reunión de las Partes en el Protocolo de Cartagena sobre Seguridad de la Biotecnología,</w:t>
      </w:r>
    </w:p>
    <w:p w14:paraId="6359D229" w14:textId="77777777" w:rsidR="005C3E00" w:rsidRPr="00A202B4" w:rsidRDefault="005C3E00" w:rsidP="005C3E00">
      <w:pPr>
        <w:shd w:val="clear" w:color="auto" w:fill="FFFFFF" w:themeFill="background1"/>
        <w:spacing w:before="120" w:after="120"/>
        <w:ind w:firstLine="720"/>
        <w:rPr>
          <w:i/>
          <w:iCs/>
          <w:szCs w:val="22"/>
          <w:lang w:val="es-ES_tradnl"/>
        </w:rPr>
      </w:pPr>
      <w:r w:rsidRPr="00A202B4">
        <w:rPr>
          <w:i/>
          <w:iCs/>
          <w:szCs w:val="22"/>
          <w:lang w:val="es-ES_tradnl"/>
        </w:rPr>
        <w:t xml:space="preserve">Recordando </w:t>
      </w:r>
      <w:r w:rsidRPr="00A202B4">
        <w:rPr>
          <w:szCs w:val="22"/>
          <w:lang w:val="es-ES_tradnl"/>
        </w:rPr>
        <w:t>el artículo 33 y la decisión CP-9/5, en las que se pedía a las Partes que prepararan y presentaran a la Secretaría sus cuartos informes nacionales sobre la aplicación del Protocolo de Cartagena,</w:t>
      </w:r>
    </w:p>
    <w:p w14:paraId="07E0643C" w14:textId="77777777" w:rsidR="005C3E00" w:rsidRPr="00A202B4" w:rsidRDefault="005C3E00" w:rsidP="005C3E00">
      <w:pPr>
        <w:shd w:val="clear" w:color="auto" w:fill="FFFFFF" w:themeFill="background1"/>
        <w:spacing w:before="120" w:after="120"/>
        <w:ind w:firstLine="720"/>
        <w:rPr>
          <w:szCs w:val="22"/>
          <w:lang w:val="es-ES_tradnl"/>
        </w:rPr>
      </w:pPr>
      <w:r w:rsidRPr="00A202B4">
        <w:rPr>
          <w:i/>
          <w:iCs/>
          <w:szCs w:val="22"/>
          <w:lang w:val="es-ES_tradnl"/>
        </w:rPr>
        <w:t>Recordando también</w:t>
      </w:r>
      <w:r w:rsidRPr="00A202B4">
        <w:rPr>
          <w:szCs w:val="22"/>
          <w:lang w:val="es-ES_tradnl"/>
        </w:rPr>
        <w:t xml:space="preserve"> la decisión CP-9/5, en la que aceptó la invitación de la Conferencia de las Partes en el Convenio incluida en la decisión 14/27 y decidió tener un ciclo sincronizado de presentación de informes nacionales,</w:t>
      </w:r>
    </w:p>
    <w:p w14:paraId="46721682" w14:textId="77777777" w:rsidR="005C3E00" w:rsidRPr="00A202B4" w:rsidRDefault="005C3E00" w:rsidP="005C3E00">
      <w:pPr>
        <w:keepNext/>
        <w:shd w:val="clear" w:color="auto" w:fill="FFFFFF" w:themeFill="background1"/>
        <w:spacing w:before="120" w:after="120"/>
        <w:jc w:val="center"/>
        <w:rPr>
          <w:b/>
          <w:bCs/>
          <w:szCs w:val="22"/>
          <w:lang w:val="es-ES_tradnl"/>
        </w:rPr>
      </w:pPr>
      <w:r w:rsidRPr="00A202B4">
        <w:rPr>
          <w:b/>
          <w:bCs/>
          <w:szCs w:val="22"/>
          <w:lang w:val="es-ES_tradnl"/>
        </w:rPr>
        <w:t>A.</w:t>
      </w:r>
      <w:r w:rsidRPr="00A202B4">
        <w:rPr>
          <w:b/>
          <w:bCs/>
          <w:szCs w:val="22"/>
          <w:lang w:val="es-ES_tradnl"/>
        </w:rPr>
        <w:tab/>
        <w:t>Cuartos informes nacionales sobre la aplicación del Protocolo de Cartagena</w:t>
      </w:r>
    </w:p>
    <w:p w14:paraId="21D6425C" w14:textId="77777777" w:rsidR="005C3E00" w:rsidRPr="00A202B4" w:rsidRDefault="005C3E00" w:rsidP="005C3E00">
      <w:pPr>
        <w:shd w:val="clear" w:color="auto" w:fill="FFFFFF" w:themeFill="background1"/>
        <w:spacing w:before="120" w:after="120"/>
        <w:ind w:firstLine="720"/>
        <w:rPr>
          <w:szCs w:val="22"/>
          <w:lang w:val="es-ES_tradnl"/>
        </w:rPr>
      </w:pPr>
      <w:r w:rsidRPr="00A202B4">
        <w:rPr>
          <w:szCs w:val="22"/>
          <w:lang w:val="es-ES_tradnl"/>
        </w:rPr>
        <w:t>1.</w:t>
      </w:r>
      <w:r w:rsidRPr="00A202B4">
        <w:rPr>
          <w:szCs w:val="22"/>
          <w:lang w:val="es-ES_tradnl"/>
        </w:rPr>
        <w:tab/>
      </w:r>
      <w:r w:rsidRPr="00A202B4">
        <w:rPr>
          <w:i/>
          <w:iCs/>
          <w:szCs w:val="22"/>
          <w:lang w:val="es-ES_tradnl"/>
        </w:rPr>
        <w:t>Acoge con satisfacción</w:t>
      </w:r>
      <w:r w:rsidRPr="00A202B4">
        <w:rPr>
          <w:szCs w:val="22"/>
          <w:lang w:val="es-ES_tradnl"/>
        </w:rPr>
        <w:t xml:space="preserve"> los 135 cuartos informes nacionales completos presentados a través del Centro de Intercambio de Información sobre Seguridad de la Biotecnología;</w:t>
      </w:r>
    </w:p>
    <w:p w14:paraId="33BC81B0" w14:textId="77777777" w:rsidR="005C3E00" w:rsidRPr="00A202B4" w:rsidRDefault="005C3E00" w:rsidP="005C3E00">
      <w:pPr>
        <w:shd w:val="clear" w:color="auto" w:fill="FFFFFF" w:themeFill="background1"/>
        <w:spacing w:before="120" w:after="120"/>
        <w:ind w:firstLine="720"/>
        <w:rPr>
          <w:szCs w:val="22"/>
          <w:lang w:val="es-ES_tradnl"/>
        </w:rPr>
      </w:pPr>
      <w:r w:rsidRPr="00A202B4">
        <w:rPr>
          <w:szCs w:val="22"/>
          <w:lang w:val="es-ES_tradnl"/>
        </w:rPr>
        <w:t>2.</w:t>
      </w:r>
      <w:r w:rsidRPr="00A202B4">
        <w:rPr>
          <w:szCs w:val="22"/>
          <w:lang w:val="es-ES_tradnl"/>
        </w:rPr>
        <w:tab/>
      </w:r>
      <w:r w:rsidRPr="00A202B4">
        <w:rPr>
          <w:i/>
          <w:iCs/>
          <w:szCs w:val="22"/>
          <w:lang w:val="es-ES_tradnl"/>
        </w:rPr>
        <w:t>Expresa preocupación</w:t>
      </w:r>
      <w:r w:rsidRPr="00A202B4">
        <w:rPr>
          <w:szCs w:val="22"/>
          <w:lang w:val="es-ES_tradnl"/>
        </w:rPr>
        <w:t xml:space="preserve"> por el escaso número de cuartos informes nacionales presentados;</w:t>
      </w:r>
    </w:p>
    <w:p w14:paraId="61C8149A" w14:textId="77777777" w:rsidR="005C3E00" w:rsidRPr="00A202B4" w:rsidRDefault="005C3E00" w:rsidP="005C3E00">
      <w:pPr>
        <w:shd w:val="clear" w:color="auto" w:fill="FFFFFF" w:themeFill="background1"/>
        <w:spacing w:before="120" w:after="120"/>
        <w:ind w:firstLine="720"/>
        <w:rPr>
          <w:szCs w:val="22"/>
          <w:lang w:val="es-ES_tradnl"/>
        </w:rPr>
      </w:pPr>
      <w:r w:rsidRPr="00A202B4">
        <w:rPr>
          <w:szCs w:val="22"/>
          <w:lang w:val="es-ES_tradnl"/>
        </w:rPr>
        <w:t>3.</w:t>
      </w:r>
      <w:r w:rsidRPr="00A202B4">
        <w:rPr>
          <w:szCs w:val="22"/>
          <w:lang w:val="es-ES_tradnl"/>
        </w:rPr>
        <w:tab/>
      </w:r>
      <w:r w:rsidRPr="00A202B4">
        <w:rPr>
          <w:i/>
          <w:iCs/>
          <w:szCs w:val="22"/>
          <w:lang w:val="es-ES_tradnl"/>
        </w:rPr>
        <w:t>Expresa también su preocupación</w:t>
      </w:r>
      <w:r w:rsidRPr="00A202B4">
        <w:rPr>
          <w:szCs w:val="22"/>
          <w:lang w:val="es-ES_tradnl"/>
        </w:rPr>
        <w:t xml:space="preserve"> por los retrasos en la presentación de los proyectos al Fondo para el Medio Ambiente Mundial a fin de apoyar a las Partes que reúnan los requisitos en la preparación de sus cuartos informes nacionales, señalando que dicha financiación no estaba disponible antes de la fecha límite para la presentación de los cuartos informes nacionales, que es uno de los factores que pueden haber influido en la tasa de presentación;</w:t>
      </w:r>
    </w:p>
    <w:p w14:paraId="53CB45B7" w14:textId="77777777" w:rsidR="005C3E00" w:rsidRPr="00A202B4" w:rsidRDefault="005C3E00" w:rsidP="005C3E00">
      <w:pPr>
        <w:shd w:val="clear" w:color="auto" w:fill="FFFFFF" w:themeFill="background1"/>
        <w:spacing w:before="120" w:after="120"/>
        <w:ind w:firstLine="720"/>
        <w:rPr>
          <w:szCs w:val="22"/>
          <w:lang w:val="es-ES_tradnl"/>
        </w:rPr>
      </w:pPr>
      <w:r w:rsidRPr="00A202B4">
        <w:rPr>
          <w:szCs w:val="22"/>
          <w:lang w:val="es-ES_tradnl"/>
        </w:rPr>
        <w:t>4.</w:t>
      </w:r>
      <w:r w:rsidRPr="00A202B4">
        <w:rPr>
          <w:szCs w:val="22"/>
          <w:lang w:val="es-ES_tradnl"/>
        </w:rPr>
        <w:tab/>
      </w:r>
      <w:r w:rsidRPr="00A202B4">
        <w:rPr>
          <w:i/>
          <w:iCs/>
          <w:szCs w:val="22"/>
          <w:lang w:val="es-ES_tradnl"/>
        </w:rPr>
        <w:t xml:space="preserve">Insta </w:t>
      </w:r>
      <w:r w:rsidRPr="00A202B4">
        <w:rPr>
          <w:szCs w:val="22"/>
          <w:lang w:val="es-ES_tradnl"/>
        </w:rPr>
        <w:t>a las Partes que todavía no hayan presentado sus cuartos informes nacionales a que lo hagan lo antes posible</w:t>
      </w:r>
      <w:r w:rsidRPr="00A202B4">
        <w:rPr>
          <w:szCs w:val="22"/>
          <w:vertAlign w:val="superscript"/>
          <w:lang w:val="es-ES_tradnl"/>
        </w:rPr>
        <w:footnoteReference w:id="27"/>
      </w:r>
      <w:r w:rsidRPr="00A202B4">
        <w:rPr>
          <w:szCs w:val="22"/>
          <w:lang w:val="es-ES_tradnl"/>
        </w:rPr>
        <w:t>;</w:t>
      </w:r>
    </w:p>
    <w:p w14:paraId="383E5B4B" w14:textId="77777777" w:rsidR="005C3E00" w:rsidRPr="00A202B4" w:rsidRDefault="005C3E00" w:rsidP="005C3E00">
      <w:pPr>
        <w:pStyle w:val="ListParagraph"/>
        <w:shd w:val="clear" w:color="auto" w:fill="FFFFFF" w:themeFill="background1"/>
        <w:spacing w:before="120" w:after="120"/>
        <w:ind w:left="0" w:firstLine="720"/>
        <w:contextualSpacing w:val="0"/>
        <w:rPr>
          <w:szCs w:val="22"/>
          <w:lang w:val="es-ES_tradnl"/>
        </w:rPr>
      </w:pPr>
      <w:r w:rsidRPr="00A202B4">
        <w:rPr>
          <w:lang w:val="es-ES_tradnl"/>
        </w:rPr>
        <w:t>5.</w:t>
      </w:r>
      <w:r w:rsidRPr="00A202B4">
        <w:rPr>
          <w:lang w:val="es-ES_tradnl"/>
        </w:rPr>
        <w:tab/>
      </w:r>
      <w:r w:rsidRPr="00A202B4">
        <w:rPr>
          <w:i/>
          <w:iCs/>
          <w:szCs w:val="22"/>
          <w:lang w:val="es-ES_tradnl"/>
        </w:rPr>
        <w:t xml:space="preserve">Observa con preocupación </w:t>
      </w:r>
      <w:r w:rsidRPr="00A202B4">
        <w:rPr>
          <w:szCs w:val="22"/>
          <w:lang w:val="es-ES_tradnl"/>
        </w:rPr>
        <w:t>que, de las Partes que todavía no han presentado sus cuartos informes nacionales, hay algunas que tampoco han presentado sus terceros informes nacionales</w:t>
      </w:r>
      <w:r w:rsidRPr="00A202B4">
        <w:rPr>
          <w:szCs w:val="22"/>
          <w:vertAlign w:val="superscript"/>
          <w:lang w:val="es-ES_tradnl"/>
        </w:rPr>
        <w:footnoteReference w:id="28"/>
      </w:r>
      <w:r w:rsidRPr="00A202B4">
        <w:rPr>
          <w:szCs w:val="22"/>
          <w:lang w:val="es-ES_tradnl"/>
        </w:rPr>
        <w:t>;</w:t>
      </w:r>
    </w:p>
    <w:p w14:paraId="4B410F9B" w14:textId="77777777" w:rsidR="005C3E00" w:rsidRPr="00A202B4" w:rsidRDefault="005C3E00" w:rsidP="005C3E00">
      <w:pPr>
        <w:pStyle w:val="ListParagraph"/>
        <w:shd w:val="clear" w:color="auto" w:fill="FFFFFF" w:themeFill="background1"/>
        <w:spacing w:before="120" w:after="120"/>
        <w:ind w:left="0" w:firstLine="720"/>
        <w:contextualSpacing w:val="0"/>
        <w:rPr>
          <w:szCs w:val="22"/>
          <w:lang w:val="es-ES_tradnl"/>
        </w:rPr>
      </w:pPr>
      <w:r w:rsidRPr="00A202B4">
        <w:rPr>
          <w:lang w:val="es-ES_tradnl"/>
        </w:rPr>
        <w:t>6.</w:t>
      </w:r>
      <w:r w:rsidRPr="00A202B4">
        <w:rPr>
          <w:lang w:val="es-ES_tradnl"/>
        </w:rPr>
        <w:tab/>
      </w:r>
      <w:r w:rsidRPr="00A202B4">
        <w:rPr>
          <w:i/>
          <w:iCs/>
          <w:szCs w:val="22"/>
          <w:lang w:val="es-ES_tradnl"/>
        </w:rPr>
        <w:t xml:space="preserve">Recuerda </w:t>
      </w:r>
      <w:r w:rsidRPr="00A202B4">
        <w:rPr>
          <w:szCs w:val="22"/>
          <w:lang w:val="es-ES_tradnl"/>
        </w:rPr>
        <w:t>a las Partes su obligación de publicar sus informes nacionales en el Centro de Intercambio de Información sobre Seguridad de la Biotecnología, de conformidad con el artículo 20 del Protocolo;</w:t>
      </w:r>
    </w:p>
    <w:p w14:paraId="1A009277" w14:textId="77777777" w:rsidR="005C3E00" w:rsidRPr="00A202B4" w:rsidRDefault="005C3E00" w:rsidP="005C3E00">
      <w:pPr>
        <w:pStyle w:val="ListParagraph"/>
        <w:shd w:val="clear" w:color="auto" w:fill="FFFFFF" w:themeFill="background1"/>
        <w:spacing w:before="120" w:after="120"/>
        <w:ind w:left="0" w:firstLine="720"/>
        <w:contextualSpacing w:val="0"/>
        <w:rPr>
          <w:szCs w:val="22"/>
          <w:lang w:val="es-ES_tradnl"/>
        </w:rPr>
      </w:pPr>
      <w:r w:rsidRPr="00A202B4">
        <w:rPr>
          <w:lang w:val="es-ES_tradnl"/>
        </w:rPr>
        <w:t>7.</w:t>
      </w:r>
      <w:r w:rsidRPr="00A202B4">
        <w:rPr>
          <w:lang w:val="es-ES_tradnl"/>
        </w:rPr>
        <w:tab/>
      </w:r>
      <w:r w:rsidRPr="00A202B4">
        <w:rPr>
          <w:i/>
          <w:iCs/>
          <w:szCs w:val="22"/>
          <w:lang w:val="es-ES_tradnl"/>
        </w:rPr>
        <w:t xml:space="preserve">Alienta </w:t>
      </w:r>
      <w:r w:rsidRPr="00A202B4">
        <w:rPr>
          <w:szCs w:val="22"/>
          <w:lang w:val="es-ES_tradnl"/>
        </w:rPr>
        <w:t>a las Partes que hayan presentado sus informes fuera de línea a que se aseguren de su publicación en el Centro de Intercambio de Información sobre Seguridad de la Biotecnología en coordinación con la Secretaría, según sea necesario;</w:t>
      </w:r>
    </w:p>
    <w:p w14:paraId="22FF9AF3" w14:textId="77777777" w:rsidR="005C3E00" w:rsidRPr="00A202B4" w:rsidRDefault="005C3E00" w:rsidP="005C3E00">
      <w:pPr>
        <w:pStyle w:val="ListParagraph"/>
        <w:shd w:val="clear" w:color="auto" w:fill="FFFFFF" w:themeFill="background1"/>
        <w:spacing w:before="120" w:after="120"/>
        <w:ind w:left="0" w:firstLine="720"/>
        <w:contextualSpacing w:val="0"/>
        <w:rPr>
          <w:szCs w:val="22"/>
          <w:lang w:val="es-ES_tradnl"/>
        </w:rPr>
      </w:pPr>
      <w:r w:rsidRPr="00A202B4">
        <w:rPr>
          <w:lang w:val="es-ES_tradnl"/>
        </w:rPr>
        <w:t>8.</w:t>
      </w:r>
      <w:r w:rsidRPr="00A202B4">
        <w:rPr>
          <w:lang w:val="es-ES_tradnl"/>
        </w:rPr>
        <w:tab/>
      </w:r>
      <w:r w:rsidRPr="00A202B4">
        <w:rPr>
          <w:i/>
          <w:iCs/>
          <w:szCs w:val="22"/>
          <w:lang w:val="es-ES_tradnl"/>
        </w:rPr>
        <w:t xml:space="preserve">Insta </w:t>
      </w:r>
      <w:r w:rsidRPr="00A202B4">
        <w:rPr>
          <w:szCs w:val="22"/>
          <w:lang w:val="es-ES_tradnl"/>
        </w:rPr>
        <w:t>a las Partes que han presentado un cuarto informe nacional incompleto a que proporcionen la información que falta lo antes posible;</w:t>
      </w:r>
    </w:p>
    <w:p w14:paraId="42E82D33" w14:textId="77777777" w:rsidR="005C3E00" w:rsidRPr="00A202B4" w:rsidRDefault="005C3E00" w:rsidP="005C3E00">
      <w:pPr>
        <w:pStyle w:val="ListParagraph"/>
        <w:shd w:val="clear" w:color="auto" w:fill="FFFFFF" w:themeFill="background1"/>
        <w:spacing w:before="120" w:after="120"/>
        <w:ind w:left="0"/>
        <w:contextualSpacing w:val="0"/>
        <w:jc w:val="center"/>
        <w:rPr>
          <w:b/>
          <w:bCs/>
          <w:szCs w:val="22"/>
          <w:lang w:val="es-ES_tradnl"/>
        </w:rPr>
      </w:pPr>
      <w:r w:rsidRPr="00A202B4">
        <w:rPr>
          <w:b/>
          <w:bCs/>
          <w:szCs w:val="22"/>
          <w:lang w:val="es-ES_tradnl"/>
        </w:rPr>
        <w:t>B.</w:t>
      </w:r>
      <w:r w:rsidRPr="00A202B4">
        <w:rPr>
          <w:szCs w:val="22"/>
          <w:lang w:val="es-ES_tradnl"/>
        </w:rPr>
        <w:tab/>
      </w:r>
      <w:r w:rsidRPr="00A202B4">
        <w:rPr>
          <w:b/>
          <w:bCs/>
          <w:szCs w:val="22"/>
          <w:lang w:val="es-ES_tradnl"/>
        </w:rPr>
        <w:t>Quintos informes nacionales sobre la aplicación del Protocolo de Cartagena</w:t>
      </w:r>
    </w:p>
    <w:p w14:paraId="601ADDF5" w14:textId="77777777" w:rsidR="005C3E00" w:rsidRPr="00A202B4" w:rsidRDefault="005C3E00" w:rsidP="005C3E00">
      <w:pPr>
        <w:pStyle w:val="ListParagraph"/>
        <w:shd w:val="clear" w:color="auto" w:fill="FFFFFF" w:themeFill="background1"/>
        <w:spacing w:before="120" w:after="120"/>
        <w:ind w:left="0" w:firstLine="720"/>
        <w:contextualSpacing w:val="0"/>
        <w:rPr>
          <w:szCs w:val="22"/>
          <w:lang w:val="es-ES_tradnl"/>
        </w:rPr>
      </w:pPr>
      <w:r w:rsidRPr="00A202B4">
        <w:rPr>
          <w:szCs w:val="22"/>
          <w:lang w:val="es-ES_tradnl"/>
        </w:rPr>
        <w:t>9.</w:t>
      </w:r>
      <w:r w:rsidRPr="00A202B4">
        <w:rPr>
          <w:szCs w:val="22"/>
          <w:lang w:val="es-ES_tradnl"/>
        </w:rPr>
        <w:tab/>
      </w:r>
      <w:r w:rsidRPr="00A202B4">
        <w:rPr>
          <w:i/>
          <w:iCs/>
          <w:szCs w:val="22"/>
          <w:lang w:val="es-ES_tradnl"/>
        </w:rPr>
        <w:t>Acoge con satisfacción</w:t>
      </w:r>
      <w:r w:rsidRPr="00A202B4">
        <w:rPr>
          <w:szCs w:val="22"/>
          <w:lang w:val="es-ES_tradnl"/>
        </w:rPr>
        <w:t xml:space="preserve"> el proyecto de formato para los quintos informes nacionales que figura en el anexo del documento CBD/CP/MOP/10/5 y pide a la Secretaria Ejecutiva que:</w:t>
      </w:r>
    </w:p>
    <w:p w14:paraId="01C1F772" w14:textId="77777777" w:rsidR="005C3E00" w:rsidRPr="00A202B4" w:rsidRDefault="005C3E00" w:rsidP="005C3E00">
      <w:pPr>
        <w:pStyle w:val="ListParagraph"/>
        <w:shd w:val="clear" w:color="auto" w:fill="FFFFFF" w:themeFill="background1"/>
        <w:spacing w:before="120" w:after="120"/>
        <w:ind w:left="0" w:firstLine="709"/>
        <w:contextualSpacing w:val="0"/>
        <w:rPr>
          <w:szCs w:val="22"/>
          <w:lang w:val="es-ES_tradnl"/>
        </w:rPr>
      </w:pPr>
      <w:r w:rsidRPr="00A202B4">
        <w:rPr>
          <w:szCs w:val="22"/>
          <w:lang w:val="es-ES_tradnl"/>
        </w:rPr>
        <w:t>a)</w:t>
      </w:r>
      <w:r w:rsidRPr="00A202B4">
        <w:rPr>
          <w:szCs w:val="22"/>
          <w:lang w:val="es-ES_tradnl"/>
        </w:rPr>
        <w:tab/>
        <w:t>Realice las modificaciones necesarias en las preguntas habida cuenta del texto final de los indicadores del Plan de Aplicación para el Protocolo de Cartagena sobre Seguridad de la Biotecnología, tal como se aprobó en la decisión CP-10/3;</w:t>
      </w:r>
    </w:p>
    <w:p w14:paraId="093E720F" w14:textId="77777777" w:rsidR="005C3E00" w:rsidRPr="00A202B4" w:rsidRDefault="005C3E00" w:rsidP="005C3E00">
      <w:pPr>
        <w:pStyle w:val="ListParagraph"/>
        <w:shd w:val="clear" w:color="auto" w:fill="FFFFFF" w:themeFill="background1"/>
        <w:spacing w:before="120" w:after="120"/>
        <w:ind w:left="0" w:firstLine="709"/>
        <w:contextualSpacing w:val="0"/>
        <w:rPr>
          <w:szCs w:val="22"/>
          <w:lang w:val="es-ES_tradnl"/>
        </w:rPr>
      </w:pPr>
      <w:r w:rsidRPr="00A202B4">
        <w:rPr>
          <w:szCs w:val="22"/>
          <w:lang w:val="es-ES_tradnl"/>
        </w:rPr>
        <w:t>b)</w:t>
      </w:r>
      <w:r w:rsidRPr="00A202B4">
        <w:rPr>
          <w:szCs w:val="22"/>
          <w:lang w:val="es-ES_tradnl"/>
        </w:rPr>
        <w:tab/>
        <w:t>Publique el formato final en línea a través del Centro de Intercambio de Información sobre Seguridad de la Biotecnología;</w:t>
      </w:r>
    </w:p>
    <w:p w14:paraId="3BAA7248" w14:textId="77777777" w:rsidR="005C3E00" w:rsidRPr="00A202B4" w:rsidRDefault="005C3E00" w:rsidP="005C3E00">
      <w:pPr>
        <w:pStyle w:val="ListParagraph"/>
        <w:shd w:val="clear" w:color="auto" w:fill="FFFFFF" w:themeFill="background1"/>
        <w:spacing w:before="120" w:after="120"/>
        <w:ind w:left="0" w:firstLine="709"/>
        <w:contextualSpacing w:val="0"/>
        <w:rPr>
          <w:szCs w:val="22"/>
          <w:lang w:val="es-ES_tradnl"/>
        </w:rPr>
      </w:pPr>
      <w:r w:rsidRPr="00A202B4">
        <w:rPr>
          <w:szCs w:val="22"/>
          <w:lang w:val="es-ES_tradnl"/>
        </w:rPr>
        <w:t>10.</w:t>
      </w:r>
      <w:r w:rsidRPr="00A202B4">
        <w:rPr>
          <w:szCs w:val="22"/>
          <w:lang w:val="es-ES_tradnl"/>
        </w:rPr>
        <w:tab/>
      </w:r>
      <w:r w:rsidRPr="00A202B4">
        <w:rPr>
          <w:i/>
          <w:iCs/>
          <w:szCs w:val="22"/>
          <w:lang w:val="es-ES_tradnl"/>
        </w:rPr>
        <w:t>Pide</w:t>
      </w:r>
      <w:r w:rsidRPr="00A202B4">
        <w:rPr>
          <w:szCs w:val="22"/>
          <w:lang w:val="es-ES_tradnl"/>
        </w:rPr>
        <w:t xml:space="preserve"> a las Partes que utilicen el formato final para la preparación de sus quintos informes nacionales sobre la aplicación del Protocolo de Cartagena sobre Seguridad de la Biotecnología;</w:t>
      </w:r>
    </w:p>
    <w:p w14:paraId="14EF13E8" w14:textId="77777777" w:rsidR="005C3E00" w:rsidRPr="00A202B4" w:rsidRDefault="005C3E00" w:rsidP="005C3E00">
      <w:pPr>
        <w:pStyle w:val="ListParagraph"/>
        <w:shd w:val="clear" w:color="auto" w:fill="FFFFFF" w:themeFill="background1"/>
        <w:spacing w:before="120" w:after="120"/>
        <w:ind w:left="0" w:firstLine="720"/>
        <w:contextualSpacing w:val="0"/>
        <w:rPr>
          <w:szCs w:val="22"/>
          <w:lang w:val="es-ES_tradnl"/>
        </w:rPr>
      </w:pPr>
      <w:r w:rsidRPr="00A202B4">
        <w:rPr>
          <w:szCs w:val="22"/>
          <w:lang w:val="es-ES_tradnl"/>
        </w:rPr>
        <w:lastRenderedPageBreak/>
        <w:t>11.</w:t>
      </w:r>
      <w:r w:rsidRPr="00A202B4">
        <w:rPr>
          <w:szCs w:val="22"/>
          <w:lang w:val="es-ES_tradnl"/>
        </w:rPr>
        <w:tab/>
      </w:r>
      <w:r w:rsidRPr="00A202B4">
        <w:rPr>
          <w:i/>
          <w:iCs/>
          <w:szCs w:val="22"/>
          <w:lang w:val="es-ES_tradnl"/>
        </w:rPr>
        <w:t>Invita</w:t>
      </w:r>
      <w:r w:rsidRPr="00A202B4">
        <w:rPr>
          <w:szCs w:val="22"/>
          <w:lang w:val="es-ES_tradnl"/>
        </w:rPr>
        <w:t xml:space="preserve"> a las Partes a preparar sus informes mediante un proceso consultivo en el que participen los pueblos indígenas y las comunidades locales, las mujeres y la juventud </w:t>
      </w:r>
      <w:r w:rsidRPr="00A202B4">
        <w:rPr>
          <w:lang w:val="es-ES_tradnl"/>
        </w:rPr>
        <w:t xml:space="preserve">y </w:t>
      </w:r>
      <w:r w:rsidRPr="00A202B4">
        <w:rPr>
          <w:szCs w:val="22"/>
          <w:lang w:val="es-ES_tradnl"/>
        </w:rPr>
        <w:t>todos los interesados nacionales pertinentes, según proceda;</w:t>
      </w:r>
    </w:p>
    <w:p w14:paraId="32DB7B15" w14:textId="77777777" w:rsidR="005C3E00" w:rsidRPr="00A202B4" w:rsidRDefault="005C3E00" w:rsidP="005C3E00">
      <w:pPr>
        <w:pStyle w:val="ListParagraph"/>
        <w:shd w:val="clear" w:color="auto" w:fill="FFFFFF" w:themeFill="background1"/>
        <w:spacing w:before="120" w:after="120"/>
        <w:ind w:left="0" w:firstLine="720"/>
        <w:contextualSpacing w:val="0"/>
        <w:rPr>
          <w:szCs w:val="22"/>
          <w:lang w:val="es-ES_tradnl"/>
        </w:rPr>
      </w:pPr>
      <w:r w:rsidRPr="00A202B4">
        <w:rPr>
          <w:szCs w:val="22"/>
          <w:lang w:val="es-ES_tradnl"/>
        </w:rPr>
        <w:t>12.</w:t>
      </w:r>
      <w:r w:rsidRPr="00A202B4">
        <w:rPr>
          <w:szCs w:val="22"/>
          <w:lang w:val="es-ES_tradnl"/>
        </w:rPr>
        <w:tab/>
      </w:r>
      <w:r w:rsidRPr="00A202B4">
        <w:rPr>
          <w:i/>
          <w:iCs/>
          <w:szCs w:val="22"/>
          <w:lang w:val="es-ES_tradnl"/>
        </w:rPr>
        <w:t xml:space="preserve">Alienta </w:t>
      </w:r>
      <w:r w:rsidRPr="00A202B4">
        <w:rPr>
          <w:szCs w:val="22"/>
          <w:lang w:val="es-ES_tradnl"/>
        </w:rPr>
        <w:t>a las Partes a que respondan a todas las preguntas en el formato de presentación de informes y destaca la importancia de la presentación de los quintos informes nacionales en el plazo establecido con el fin de facilitar la evaluación a mitad de período del Plan de Aplicación para el Protocolo de Cartagena sobre Seguridad de la Biotecnología;</w:t>
      </w:r>
    </w:p>
    <w:p w14:paraId="290D9944" w14:textId="77777777" w:rsidR="005C3E00" w:rsidRPr="00A202B4" w:rsidRDefault="005C3E00" w:rsidP="005C3E00">
      <w:pPr>
        <w:pStyle w:val="ListParagraph"/>
        <w:shd w:val="clear" w:color="auto" w:fill="FFFFFF" w:themeFill="background1"/>
        <w:spacing w:before="120" w:after="120"/>
        <w:ind w:left="0" w:firstLine="720"/>
        <w:contextualSpacing w:val="0"/>
        <w:rPr>
          <w:szCs w:val="22"/>
          <w:lang w:val="es-ES_tradnl"/>
        </w:rPr>
      </w:pPr>
      <w:r w:rsidRPr="00A202B4">
        <w:rPr>
          <w:szCs w:val="22"/>
          <w:lang w:val="es-ES_tradnl"/>
        </w:rPr>
        <w:t>13.</w:t>
      </w:r>
      <w:r w:rsidRPr="00A202B4">
        <w:rPr>
          <w:i/>
          <w:iCs/>
          <w:szCs w:val="22"/>
          <w:lang w:val="es-ES_tradnl"/>
        </w:rPr>
        <w:tab/>
        <w:t xml:space="preserve">Pide </w:t>
      </w:r>
      <w:r w:rsidRPr="00A202B4">
        <w:rPr>
          <w:szCs w:val="22"/>
          <w:lang w:val="es-ES_tradnl"/>
        </w:rPr>
        <w:t>a las Partes e invita a otros Gobiernos a que presenten a la Secretaría sus quintos informes nacionales sobre la aplicación del Protocolo de Cartagena sobre Seguridad de la Biotecnología:</w:t>
      </w:r>
    </w:p>
    <w:p w14:paraId="09BD87DE" w14:textId="77777777" w:rsidR="005C3E00" w:rsidRPr="00A202B4" w:rsidRDefault="005C3E00" w:rsidP="006A4072">
      <w:pPr>
        <w:pStyle w:val="ListParagraph"/>
        <w:numPr>
          <w:ilvl w:val="0"/>
          <w:numId w:val="8"/>
        </w:numPr>
        <w:shd w:val="clear" w:color="auto" w:fill="FFFFFF" w:themeFill="background1"/>
        <w:spacing w:before="120" w:after="120"/>
        <w:ind w:left="1412" w:hanging="706"/>
        <w:contextualSpacing w:val="0"/>
        <w:rPr>
          <w:szCs w:val="22"/>
          <w:lang w:val="es-ES_tradnl"/>
        </w:rPr>
      </w:pPr>
      <w:r w:rsidRPr="00A202B4">
        <w:rPr>
          <w:szCs w:val="22"/>
          <w:lang w:val="es-ES_tradnl"/>
        </w:rPr>
        <w:t>En un idioma oficial de las Naciones Unidas;</w:t>
      </w:r>
    </w:p>
    <w:p w14:paraId="47121209" w14:textId="77777777" w:rsidR="005C3E00" w:rsidRPr="00A202B4" w:rsidRDefault="005C3E00" w:rsidP="006A4072">
      <w:pPr>
        <w:pStyle w:val="ListParagraph"/>
        <w:numPr>
          <w:ilvl w:val="0"/>
          <w:numId w:val="8"/>
        </w:numPr>
        <w:shd w:val="clear" w:color="auto" w:fill="FFFFFF" w:themeFill="background1"/>
        <w:spacing w:before="120" w:after="120"/>
        <w:ind w:left="1412" w:hanging="706"/>
        <w:contextualSpacing w:val="0"/>
        <w:rPr>
          <w:szCs w:val="22"/>
          <w:lang w:val="es-ES_tradnl"/>
        </w:rPr>
      </w:pPr>
      <w:r w:rsidRPr="00A202B4">
        <w:rPr>
          <w:szCs w:val="22"/>
          <w:lang w:val="es-ES_tradnl"/>
        </w:rPr>
        <w:t>Al mismo tiempo que deben presentarse los séptimos informes nacionales en virtud del Convenio</w:t>
      </w:r>
      <w:r w:rsidRPr="00A202B4">
        <w:rPr>
          <w:szCs w:val="22"/>
          <w:vertAlign w:val="superscript"/>
          <w:lang w:val="es-ES_tradnl"/>
        </w:rPr>
        <w:footnoteReference w:id="29"/>
      </w:r>
      <w:r w:rsidRPr="00A202B4">
        <w:rPr>
          <w:szCs w:val="22"/>
          <w:lang w:val="es-ES_tradnl"/>
        </w:rPr>
        <w:t>;</w:t>
      </w:r>
    </w:p>
    <w:p w14:paraId="1B4ABA90" w14:textId="77777777" w:rsidR="005C3E00" w:rsidRPr="00A202B4" w:rsidRDefault="005C3E00" w:rsidP="006A4072">
      <w:pPr>
        <w:pStyle w:val="ListParagraph"/>
        <w:numPr>
          <w:ilvl w:val="0"/>
          <w:numId w:val="8"/>
        </w:numPr>
        <w:shd w:val="clear" w:color="auto" w:fill="FFFFFF" w:themeFill="background1"/>
        <w:spacing w:before="120" w:after="120"/>
        <w:ind w:left="1412" w:hanging="706"/>
        <w:contextualSpacing w:val="0"/>
        <w:rPr>
          <w:szCs w:val="22"/>
          <w:lang w:val="es-ES_tradnl"/>
        </w:rPr>
      </w:pPr>
      <w:r w:rsidRPr="00A202B4">
        <w:rPr>
          <w:szCs w:val="22"/>
          <w:lang w:val="es-ES_tradnl"/>
        </w:rPr>
        <w:t>A través del Centro de Intercambio de Información sobre Seguridad de la Biotecnología;</w:t>
      </w:r>
    </w:p>
    <w:p w14:paraId="1CE3F13E" w14:textId="77777777" w:rsidR="005C3E00" w:rsidRPr="00A202B4" w:rsidRDefault="005C3E00" w:rsidP="005C3E00">
      <w:pPr>
        <w:pStyle w:val="ListParagraph"/>
        <w:shd w:val="clear" w:color="auto" w:fill="FFFFFF" w:themeFill="background1"/>
        <w:spacing w:before="120" w:after="120"/>
        <w:ind w:left="0" w:firstLine="720"/>
        <w:contextualSpacing w:val="0"/>
        <w:rPr>
          <w:szCs w:val="22"/>
          <w:lang w:val="es-ES_tradnl"/>
        </w:rPr>
      </w:pPr>
      <w:r w:rsidRPr="00A202B4">
        <w:rPr>
          <w:szCs w:val="22"/>
          <w:lang w:val="es-ES_tradnl"/>
        </w:rPr>
        <w:t>14.</w:t>
      </w:r>
      <w:r w:rsidRPr="00A202B4">
        <w:rPr>
          <w:i/>
          <w:iCs/>
          <w:szCs w:val="22"/>
          <w:lang w:val="es-ES_tradnl"/>
        </w:rPr>
        <w:tab/>
        <w:t xml:space="preserve">Pide </w:t>
      </w:r>
      <w:r w:rsidRPr="00A202B4">
        <w:rPr>
          <w:szCs w:val="22"/>
          <w:lang w:val="es-ES_tradnl"/>
        </w:rPr>
        <w:t>a las Partes que tengan dificultades para presentar sus informes nacionales a través del Centro de Intercambio de Información sobre Seguridad de la Biotecnología que coordinen con la Secretaría para facilitar la publicación de sus informes nacionales en el Centro de Intercambio de Información sobre Seguridad de la Biotecnología;</w:t>
      </w:r>
    </w:p>
    <w:p w14:paraId="6FAAA393" w14:textId="77777777" w:rsidR="005C3E00" w:rsidRPr="00A202B4" w:rsidRDefault="005C3E00" w:rsidP="005C3E00">
      <w:pPr>
        <w:shd w:val="clear" w:color="auto" w:fill="FFFFFF" w:themeFill="background1"/>
        <w:spacing w:before="120" w:after="120"/>
        <w:ind w:firstLine="720"/>
        <w:rPr>
          <w:lang w:val="es-ES_tradnl"/>
        </w:rPr>
      </w:pPr>
      <w:r w:rsidRPr="00A202B4">
        <w:rPr>
          <w:lang w:val="es-ES_tradnl"/>
        </w:rPr>
        <w:t xml:space="preserve">15. </w:t>
      </w:r>
      <w:r w:rsidRPr="00A202B4">
        <w:rPr>
          <w:lang w:val="es-ES_tradnl"/>
        </w:rPr>
        <w:tab/>
      </w:r>
      <w:r w:rsidRPr="00A202B4">
        <w:rPr>
          <w:i/>
          <w:iCs/>
          <w:lang w:val="es-ES_tradnl"/>
        </w:rPr>
        <w:t xml:space="preserve">Reconoce </w:t>
      </w:r>
      <w:r w:rsidRPr="00A202B4">
        <w:rPr>
          <w:lang w:val="es-ES_tradnl"/>
        </w:rPr>
        <w:t>que los quintos informes nacionales también serán una importante fuente de información, junto con otras fuentes, para medir el progreso en el marco del Plan de Acción para la Creación de Capacidad para el Protocolo de Cartagena sobre Seguridad de la Biotecnología, como se establece en el párrafo 19 del Plan de Acción para la Creación de Capacidad</w:t>
      </w:r>
      <w:r w:rsidRPr="00A202B4">
        <w:rPr>
          <w:rStyle w:val="FootnoteReference"/>
          <w:sz w:val="22"/>
          <w:szCs w:val="22"/>
          <w:u w:val="none"/>
          <w:vertAlign w:val="superscript"/>
          <w:lang w:val="es-ES_tradnl"/>
        </w:rPr>
        <w:footnoteReference w:id="30"/>
      </w:r>
      <w:r w:rsidRPr="00A202B4">
        <w:rPr>
          <w:lang w:val="es-ES_tradnl"/>
        </w:rPr>
        <w:t>;</w:t>
      </w:r>
    </w:p>
    <w:p w14:paraId="00522642" w14:textId="0B65B9CF" w:rsidR="005C3E00" w:rsidRPr="00A202B4" w:rsidRDefault="005C3E00" w:rsidP="005C3E00">
      <w:pPr>
        <w:shd w:val="clear" w:color="auto" w:fill="FFFFFF" w:themeFill="background1"/>
        <w:spacing w:before="120" w:after="120"/>
        <w:ind w:firstLine="720"/>
        <w:rPr>
          <w:lang w:val="es-ES_tradnl"/>
        </w:rPr>
      </w:pPr>
      <w:r w:rsidRPr="00A202B4">
        <w:rPr>
          <w:lang w:val="es-ES_tradnl"/>
        </w:rPr>
        <w:t>16.</w:t>
      </w:r>
      <w:r w:rsidRPr="00A202B4">
        <w:rPr>
          <w:lang w:val="es-ES_tradnl"/>
        </w:rPr>
        <w:tab/>
      </w:r>
      <w:r w:rsidRPr="00A202B4">
        <w:rPr>
          <w:i/>
          <w:iCs/>
          <w:lang w:val="es-ES_tradnl"/>
        </w:rPr>
        <w:t>Insta</w:t>
      </w:r>
      <w:r w:rsidRPr="00A202B4">
        <w:rPr>
          <w:lang w:val="es-ES_tradnl"/>
        </w:rPr>
        <w:t xml:space="preserve"> a las Partes que reúnen los requisitos a que presenten sus cartas de compromiso al organismo de ejecución de manera oportuna para asegurar que los proyectos de apoyo a la preparación de los quintos informes nacionales puedan presentarse al Fondo para el Medio Ambiente Mundial para su aprobación mucho antes de que venza el plazo para la presentación de los informes;</w:t>
      </w:r>
    </w:p>
    <w:p w14:paraId="7529FAE9" w14:textId="677D64DB" w:rsidR="000C0573" w:rsidRPr="00A202B4" w:rsidRDefault="000C0573" w:rsidP="000C0573">
      <w:pPr>
        <w:widowControl w:val="0"/>
        <w:shd w:val="clear" w:color="auto" w:fill="FFFFFF" w:themeFill="background1"/>
        <w:spacing w:before="120" w:after="120"/>
        <w:ind w:firstLine="720"/>
        <w:rPr>
          <w:lang w:val="es-ES_tradnl"/>
        </w:rPr>
      </w:pPr>
      <w:r w:rsidRPr="00A202B4">
        <w:rPr>
          <w:lang w:val="es-ES_tradnl"/>
        </w:rPr>
        <w:t>17.</w:t>
      </w:r>
      <w:r w:rsidRPr="00A202B4">
        <w:rPr>
          <w:lang w:val="es-ES_tradnl"/>
        </w:rPr>
        <w:tab/>
      </w:r>
      <w:r w:rsidRPr="00A202B4">
        <w:rPr>
          <w:i/>
          <w:lang w:val="es-ES_tradnl"/>
        </w:rPr>
        <w:t>Toma nota</w:t>
      </w:r>
      <w:r w:rsidRPr="00A202B4">
        <w:rPr>
          <w:lang w:val="es-ES_tradnl"/>
        </w:rPr>
        <w:t xml:space="preserve"> de la decisión 15/6 y la decisión 15/4 de la Conferencia de las Partes y alienta a las Partes en el Protocolo de Cartagena a que contribuyan a los procesos nacionales para la preparación de los séptimos informes nacionales con arreglo al Convenio, entre otras cosas, proporcionando información relacionada con las metas pertinentes para la seguridad de la biotecnología.</w:t>
      </w:r>
    </w:p>
    <w:p w14:paraId="09DC488A" w14:textId="77777777" w:rsidR="005C3E00" w:rsidRPr="00A202B4" w:rsidRDefault="005C3E00" w:rsidP="000C0573">
      <w:pPr>
        <w:pStyle w:val="decision"/>
        <w:keepNext w:val="0"/>
        <w:widowControl w:val="0"/>
        <w:outlineLvl w:val="9"/>
        <w:rPr>
          <w:rFonts w:hint="eastAsia"/>
          <w:caps/>
          <w:lang w:val="es-ES_tradnl"/>
        </w:rPr>
      </w:pPr>
    </w:p>
    <w:p w14:paraId="67543F37" w14:textId="77777777" w:rsidR="00DD4BAA" w:rsidRPr="00A202B4" w:rsidRDefault="00DD4BAA" w:rsidP="00DD4BAA">
      <w:pPr>
        <w:pStyle w:val="decision"/>
        <w:ind w:left="2268" w:right="429" w:hanging="1134"/>
        <w:jc w:val="left"/>
        <w:rPr>
          <w:rFonts w:hint="eastAsia"/>
          <w:caps/>
          <w:lang w:val="es-ES_tradnl"/>
        </w:rPr>
        <w:sectPr w:rsidR="00DD4BAA" w:rsidRPr="00A202B4" w:rsidSect="009474D1">
          <w:footnotePr>
            <w:numRestart w:val="eachSect"/>
          </w:footnotePr>
          <w:pgSz w:w="12240" w:h="15840"/>
          <w:pgMar w:top="1021" w:right="1440" w:bottom="1021" w:left="1440" w:header="459" w:footer="720" w:gutter="0"/>
          <w:cols w:space="708"/>
          <w:docGrid w:linePitch="360"/>
        </w:sectPr>
      </w:pPr>
    </w:p>
    <w:p w14:paraId="5BA30E5D" w14:textId="65AA0295" w:rsidR="00DD4BAA" w:rsidRPr="00A202B4" w:rsidRDefault="00DD4BAA" w:rsidP="00DD4BAA">
      <w:pPr>
        <w:pStyle w:val="decision"/>
        <w:rPr>
          <w:rFonts w:hint="eastAsia"/>
          <w:lang w:val="es-ES_tradnl"/>
        </w:rPr>
      </w:pPr>
      <w:bookmarkStart w:id="16" w:name="_Toc152776499"/>
      <w:r w:rsidRPr="00A202B4">
        <w:rPr>
          <w:lang w:val="es-ES_tradnl"/>
        </w:rPr>
        <w:lastRenderedPageBreak/>
        <w:t>CP-10/10.</w:t>
      </w:r>
      <w:r w:rsidRPr="00A202B4">
        <w:rPr>
          <w:lang w:val="es-ES_tradnl"/>
        </w:rPr>
        <w:tab/>
      </w:r>
      <w:r w:rsidR="00B83B21" w:rsidRPr="00A202B4">
        <w:rPr>
          <w:lang w:val="es-ES_tradnl"/>
        </w:rPr>
        <w:t>Evaluación del riesgo y gestión del riesgo (artículos 15 y 16)</w:t>
      </w:r>
      <w:bookmarkEnd w:id="16"/>
    </w:p>
    <w:p w14:paraId="243426FA" w14:textId="77777777" w:rsidR="00B83B21" w:rsidRPr="00A202B4" w:rsidRDefault="00B83B21" w:rsidP="00B83B21">
      <w:pPr>
        <w:suppressLineNumbers/>
        <w:suppressAutoHyphens/>
        <w:spacing w:before="240" w:after="120"/>
        <w:ind w:firstLine="720"/>
        <w:rPr>
          <w:i/>
          <w:iCs/>
          <w:snapToGrid w:val="0"/>
          <w:kern w:val="22"/>
          <w:szCs w:val="22"/>
          <w:lang w:val="es-ES_tradnl"/>
        </w:rPr>
      </w:pPr>
      <w:r w:rsidRPr="00A202B4">
        <w:rPr>
          <w:i/>
          <w:lang w:val="es-ES_tradnl"/>
        </w:rPr>
        <w:t>La Conferencia de las Partes que actúa como reunión de las Partes en el Protocolo de Cartagena sobre Seguridad de la Biotecnología,</w:t>
      </w:r>
    </w:p>
    <w:p w14:paraId="7FC805B4" w14:textId="77777777" w:rsidR="00B83B21" w:rsidRPr="00A202B4" w:rsidRDefault="00B83B21" w:rsidP="00B83B21">
      <w:pPr>
        <w:suppressLineNumbers/>
        <w:suppressAutoHyphens/>
        <w:spacing w:before="120" w:after="120"/>
        <w:ind w:firstLine="720"/>
        <w:rPr>
          <w:snapToGrid w:val="0"/>
          <w:kern w:val="22"/>
          <w:szCs w:val="22"/>
          <w:lang w:val="es-ES_tradnl"/>
        </w:rPr>
      </w:pPr>
      <w:r w:rsidRPr="00A202B4">
        <w:rPr>
          <w:i/>
          <w:lang w:val="es-ES_tradnl"/>
        </w:rPr>
        <w:t>Recordando</w:t>
      </w:r>
      <w:r w:rsidRPr="00A202B4">
        <w:rPr>
          <w:lang w:val="es-ES_tradnl"/>
        </w:rPr>
        <w:t xml:space="preserve"> la decisión CP-9/13, párrafo 7, en la que decidió considerar, en su décima reunión, si se requieren materiales de orientación adicionales sobre la evaluación del riesgo para a) organismos vivos modificados que contengan impulsores genéticos modificados, y b) peces vivos modificados</w:t>
      </w:r>
      <w:r w:rsidRPr="00A202B4">
        <w:rPr>
          <w:snapToGrid w:val="0"/>
          <w:kern w:val="22"/>
          <w:szCs w:val="22"/>
          <w:lang w:val="es-ES_tradnl"/>
        </w:rPr>
        <w:t>,</w:t>
      </w:r>
    </w:p>
    <w:p w14:paraId="378FD622" w14:textId="77777777" w:rsidR="00B83B21" w:rsidRPr="00A202B4" w:rsidRDefault="00B83B21" w:rsidP="00B83B21">
      <w:pPr>
        <w:spacing w:before="120" w:after="120"/>
        <w:ind w:firstLine="720"/>
        <w:rPr>
          <w:snapToGrid w:val="0"/>
          <w:kern w:val="22"/>
          <w:szCs w:val="22"/>
          <w:lang w:val="es-ES_tradnl"/>
        </w:rPr>
      </w:pPr>
      <w:r w:rsidRPr="00A202B4">
        <w:rPr>
          <w:i/>
          <w:lang w:val="es-ES_tradnl"/>
        </w:rPr>
        <w:t>Recordando también</w:t>
      </w:r>
      <w:r w:rsidRPr="00A202B4">
        <w:rPr>
          <w:lang w:val="es-ES_tradnl"/>
        </w:rPr>
        <w:t xml:space="preserve"> la decisión BS-VII/12, párrafo 17, en la que recomendó a la Conferencia de las Partes en el Convenio sobre la Diversidad Biológica un enfoque coordinado con la Conferencia de las Partes que actúa como reunión de las Partes en el Protocolo de Cartagena sobre Seguridad de la Biotecnología con respecto a la cuestión de la biología sintética, teniendo en cuenta que las disposiciones del Protocolo también podrían aplicarse a organismos vivos modificados resultantes de la biología sintética</w:t>
      </w:r>
      <w:r w:rsidRPr="00A202B4">
        <w:rPr>
          <w:snapToGrid w:val="0"/>
          <w:kern w:val="22"/>
          <w:szCs w:val="22"/>
          <w:lang w:val="es-ES_tradnl"/>
        </w:rPr>
        <w:t>,</w:t>
      </w:r>
    </w:p>
    <w:p w14:paraId="2416A70D" w14:textId="77777777" w:rsidR="00B83B21" w:rsidRPr="00A202B4" w:rsidRDefault="00B83B21" w:rsidP="00B83B21">
      <w:pPr>
        <w:spacing w:before="120" w:after="120"/>
        <w:ind w:firstLine="720"/>
        <w:rPr>
          <w:snapToGrid w:val="0"/>
          <w:kern w:val="22"/>
          <w:szCs w:val="22"/>
          <w:lang w:val="es-ES_tradnl"/>
        </w:rPr>
      </w:pPr>
      <w:r w:rsidRPr="00A202B4">
        <w:rPr>
          <w:i/>
          <w:iCs/>
          <w:lang w:val="es-ES_tradnl"/>
        </w:rPr>
        <w:t>Recordando asimismo</w:t>
      </w:r>
      <w:r w:rsidRPr="00A202B4">
        <w:rPr>
          <w:lang w:val="es-ES_tradnl"/>
        </w:rPr>
        <w:t xml:space="preserve"> la importancia del enfoque de precaución, de conformidad con el Protocolo de Cartagena sobre Seguridad de la Biotecnología</w:t>
      </w:r>
      <w:r w:rsidRPr="00A202B4">
        <w:rPr>
          <w:snapToGrid w:val="0"/>
          <w:kern w:val="22"/>
          <w:szCs w:val="22"/>
          <w:lang w:val="es-ES_tradnl"/>
        </w:rPr>
        <w:t>,</w:t>
      </w:r>
    </w:p>
    <w:p w14:paraId="14136941" w14:textId="77777777" w:rsidR="00B83B21" w:rsidRPr="00A202B4" w:rsidRDefault="00B83B21" w:rsidP="00B83B21">
      <w:pPr>
        <w:spacing w:before="120" w:after="120"/>
        <w:ind w:firstLine="720"/>
        <w:rPr>
          <w:snapToGrid w:val="0"/>
          <w:kern w:val="22"/>
          <w:szCs w:val="22"/>
          <w:lang w:val="es-ES_tradnl"/>
        </w:rPr>
      </w:pPr>
      <w:r w:rsidRPr="00A202B4">
        <w:rPr>
          <w:i/>
          <w:lang w:val="es-ES_tradnl"/>
        </w:rPr>
        <w:t>Señalando</w:t>
      </w:r>
      <w:r w:rsidRPr="00A202B4">
        <w:rPr>
          <w:lang w:val="es-ES_tradnl"/>
        </w:rPr>
        <w:t xml:space="preserve"> la orientación voluntaria existente sobre la evaluación de las consideraciones socioeconómicas en el contexto del artículo 26 del Protocolo de Cartagena sobre Seguridad de la Biotecnología</w:t>
      </w:r>
      <w:r w:rsidRPr="00A202B4">
        <w:rPr>
          <w:snapToGrid w:val="0"/>
          <w:kern w:val="22"/>
          <w:szCs w:val="22"/>
          <w:lang w:val="es-ES_tradnl"/>
        </w:rPr>
        <w:t>,</w:t>
      </w:r>
    </w:p>
    <w:p w14:paraId="47B999AF" w14:textId="77777777" w:rsidR="00B83B21" w:rsidRPr="00A202B4" w:rsidRDefault="00B83B21" w:rsidP="00B83B21">
      <w:pPr>
        <w:suppressLineNumbers/>
        <w:suppressAutoHyphens/>
        <w:spacing w:before="120" w:after="120"/>
        <w:ind w:firstLine="720"/>
        <w:rPr>
          <w:snapToGrid w:val="0"/>
          <w:kern w:val="22"/>
          <w:szCs w:val="22"/>
          <w:lang w:val="es-ES_tradnl"/>
        </w:rPr>
      </w:pPr>
      <w:r w:rsidRPr="00A202B4">
        <w:rPr>
          <w:snapToGrid w:val="0"/>
          <w:kern w:val="22"/>
          <w:szCs w:val="22"/>
          <w:lang w:val="es-ES_tradnl"/>
        </w:rPr>
        <w:t>1.</w:t>
      </w:r>
      <w:r w:rsidRPr="00A202B4">
        <w:rPr>
          <w:snapToGrid w:val="0"/>
          <w:kern w:val="22"/>
          <w:szCs w:val="22"/>
          <w:lang w:val="es-ES_tradnl"/>
        </w:rPr>
        <w:tab/>
      </w:r>
      <w:r w:rsidRPr="00A202B4">
        <w:rPr>
          <w:i/>
          <w:lang w:val="es-ES_tradnl"/>
        </w:rPr>
        <w:t>Acoge con satisfacción</w:t>
      </w:r>
      <w:r w:rsidRPr="00A202B4">
        <w:rPr>
          <w:lang w:val="es-ES_tradnl"/>
        </w:rPr>
        <w:t xml:space="preserve"> los resultados de los debates del Grupo Especial de Expertos Técnicos sobre Evaluación del Riesgo</w:t>
      </w:r>
      <w:r w:rsidRPr="00A202B4">
        <w:rPr>
          <w:rStyle w:val="FootnoteReference"/>
          <w:kern w:val="22"/>
          <w:sz w:val="22"/>
          <w:szCs w:val="22"/>
          <w:u w:val="none"/>
          <w:vertAlign w:val="superscript"/>
          <w:lang w:val="es-ES_tradnl"/>
        </w:rPr>
        <w:footnoteReference w:id="31"/>
      </w:r>
      <w:r w:rsidRPr="00A202B4">
        <w:rPr>
          <w:kern w:val="22"/>
          <w:szCs w:val="22"/>
          <w:lang w:val="es-ES_tradnl"/>
        </w:rPr>
        <w:t>;</w:t>
      </w:r>
    </w:p>
    <w:p w14:paraId="3649BBD2" w14:textId="77777777" w:rsidR="00B83B21" w:rsidRPr="00A202B4" w:rsidRDefault="00B83B21" w:rsidP="00B83B21">
      <w:pPr>
        <w:suppressLineNumbers/>
        <w:suppressAutoHyphens/>
        <w:spacing w:before="120" w:after="120"/>
        <w:ind w:firstLine="720"/>
        <w:rPr>
          <w:snapToGrid w:val="0"/>
          <w:kern w:val="22"/>
          <w:szCs w:val="22"/>
          <w:lang w:val="es-ES_tradnl"/>
        </w:rPr>
      </w:pPr>
      <w:r w:rsidRPr="00A202B4">
        <w:rPr>
          <w:snapToGrid w:val="0"/>
          <w:kern w:val="22"/>
          <w:szCs w:val="22"/>
          <w:lang w:val="es-ES_tradnl"/>
        </w:rPr>
        <w:t>2.</w:t>
      </w:r>
      <w:r w:rsidRPr="00A202B4">
        <w:rPr>
          <w:snapToGrid w:val="0"/>
          <w:kern w:val="22"/>
          <w:szCs w:val="22"/>
          <w:lang w:val="es-ES_tradnl"/>
        </w:rPr>
        <w:tab/>
      </w:r>
      <w:r w:rsidRPr="00A202B4">
        <w:rPr>
          <w:i/>
          <w:lang w:val="es-ES_tradnl"/>
        </w:rPr>
        <w:t>Toma nota</w:t>
      </w:r>
      <w:r w:rsidRPr="00A202B4">
        <w:rPr>
          <w:lang w:val="es-ES_tradnl"/>
        </w:rPr>
        <w:t xml:space="preserve"> de las aclaraciones realizadas por el Grupo Especial de Expertos Técnicos sobre el anexo I de la decisión CP-9/13 con respecto al proceso de determinación y priorización de cuestiones específicas de la evaluación del riesgo de los organismos vivos modificados que podrían ameritar consideració</w:t>
      </w:r>
      <w:r w:rsidRPr="00A202B4">
        <w:rPr>
          <w:kern w:val="22"/>
          <w:szCs w:val="22"/>
          <w:lang w:val="es-ES_tradnl"/>
        </w:rPr>
        <w:t>n</w:t>
      </w:r>
      <w:r w:rsidRPr="00A202B4">
        <w:rPr>
          <w:rStyle w:val="FootnoteReference"/>
          <w:kern w:val="22"/>
          <w:sz w:val="22"/>
          <w:szCs w:val="22"/>
          <w:u w:val="none"/>
          <w:vertAlign w:val="superscript"/>
          <w:lang w:val="es-ES_tradnl"/>
        </w:rPr>
        <w:footnoteReference w:id="32"/>
      </w:r>
      <w:r w:rsidRPr="00A202B4">
        <w:rPr>
          <w:kern w:val="22"/>
          <w:szCs w:val="22"/>
          <w:lang w:val="es-ES_tradnl"/>
        </w:rPr>
        <w:t>;</w:t>
      </w:r>
    </w:p>
    <w:p w14:paraId="45B73AAF" w14:textId="4332419D" w:rsidR="00B83B21" w:rsidRPr="00A202B4" w:rsidRDefault="00B83B21" w:rsidP="00B83B21">
      <w:pPr>
        <w:suppressLineNumbers/>
        <w:suppressAutoHyphens/>
        <w:spacing w:before="120" w:after="120"/>
        <w:ind w:firstLine="720"/>
        <w:rPr>
          <w:snapToGrid w:val="0"/>
          <w:kern w:val="22"/>
          <w:szCs w:val="22"/>
          <w:lang w:val="es-ES_tradnl"/>
        </w:rPr>
      </w:pPr>
      <w:r w:rsidRPr="00A202B4">
        <w:rPr>
          <w:snapToGrid w:val="0"/>
          <w:kern w:val="22"/>
          <w:szCs w:val="22"/>
          <w:lang w:val="es-ES_tradnl"/>
        </w:rPr>
        <w:t>3.</w:t>
      </w:r>
      <w:r w:rsidRPr="00A202B4">
        <w:rPr>
          <w:snapToGrid w:val="0"/>
          <w:kern w:val="22"/>
          <w:szCs w:val="22"/>
          <w:lang w:val="es-ES_tradnl"/>
        </w:rPr>
        <w:tab/>
      </w:r>
      <w:r w:rsidRPr="00A202B4">
        <w:rPr>
          <w:i/>
          <w:lang w:val="es-ES_tradnl"/>
        </w:rPr>
        <w:t>Acoge con satisfacción</w:t>
      </w:r>
      <w:r w:rsidRPr="00A202B4">
        <w:rPr>
          <w:lang w:val="es-ES_tradnl"/>
        </w:rPr>
        <w:t xml:space="preserve"> el análisis realizado por el Grupo Especial de Expertos Técnicos sobre los temas a) organismos vivos modificados que contengan impulsores genéticos modificados y b)</w:t>
      </w:r>
      <w:r w:rsidR="00DA36DF">
        <w:rPr>
          <w:lang w:val="es-ES_tradnl"/>
        </w:rPr>
        <w:t> </w:t>
      </w:r>
      <w:r w:rsidRPr="00A202B4">
        <w:rPr>
          <w:lang w:val="es-ES_tradnl"/>
        </w:rPr>
        <w:t>peces vivos modificados de conformidad con la decisión CP-9/13, anexo </w:t>
      </w:r>
      <w:r w:rsidRPr="00A202B4">
        <w:rPr>
          <w:kern w:val="22"/>
          <w:szCs w:val="22"/>
          <w:lang w:val="es-ES_tradnl"/>
        </w:rPr>
        <w:t>I</w:t>
      </w:r>
      <w:r w:rsidRPr="00A202B4">
        <w:rPr>
          <w:snapToGrid w:val="0"/>
          <w:kern w:val="22"/>
          <w:szCs w:val="22"/>
          <w:lang w:val="es-ES_tradnl"/>
        </w:rPr>
        <w:t>;</w:t>
      </w:r>
    </w:p>
    <w:p w14:paraId="21532BC9" w14:textId="62B74ECF" w:rsidR="00B83B21" w:rsidRPr="00A202B4" w:rsidRDefault="00B83B21" w:rsidP="00B83B21">
      <w:pPr>
        <w:suppressLineNumbers/>
        <w:suppressAutoHyphens/>
        <w:spacing w:before="120" w:after="120"/>
        <w:ind w:firstLine="720"/>
        <w:rPr>
          <w:snapToGrid w:val="0"/>
          <w:kern w:val="22"/>
          <w:szCs w:val="22"/>
          <w:lang w:val="es-ES_tradnl"/>
        </w:rPr>
      </w:pPr>
      <w:r w:rsidRPr="00A202B4">
        <w:rPr>
          <w:snapToGrid w:val="0"/>
          <w:kern w:val="22"/>
          <w:szCs w:val="22"/>
          <w:lang w:val="es-ES_tradnl"/>
        </w:rPr>
        <w:t>4.</w:t>
      </w:r>
      <w:r w:rsidRPr="00A202B4">
        <w:rPr>
          <w:snapToGrid w:val="0"/>
          <w:kern w:val="22"/>
          <w:szCs w:val="22"/>
          <w:lang w:val="es-ES_tradnl"/>
        </w:rPr>
        <w:tab/>
      </w:r>
      <w:r w:rsidRPr="00A202B4">
        <w:rPr>
          <w:i/>
          <w:iCs/>
          <w:lang w:val="es-ES_tradnl"/>
        </w:rPr>
        <w:t>Toma nota</w:t>
      </w:r>
      <w:r w:rsidRPr="00A202B4">
        <w:rPr>
          <w:lang w:val="es-ES_tradnl"/>
        </w:rPr>
        <w:t xml:space="preserve"> de las diversas perspectivas relativas a la necesidad de elaborar orientaciones sobre la evaluación del riesgo de los peces vivos modificados, </w:t>
      </w:r>
      <w:r w:rsidRPr="00A202B4">
        <w:rPr>
          <w:i/>
          <w:lang w:val="es-ES_tradnl"/>
        </w:rPr>
        <w:t>decide</w:t>
      </w:r>
      <w:r w:rsidRPr="00A202B4">
        <w:rPr>
          <w:lang w:val="es-ES_tradnl"/>
        </w:rPr>
        <w:t xml:space="preserve"> no proceder, en esta etapa, a la elaboración de materiales de orientación voluntaria adicionales sobre la evaluación del riesgo en relación con los peces vivos modificados, y </w:t>
      </w:r>
      <w:r w:rsidRPr="00A202B4">
        <w:rPr>
          <w:i/>
          <w:lang w:val="es-ES_tradnl"/>
        </w:rPr>
        <w:t>alienta</w:t>
      </w:r>
      <w:r w:rsidRPr="00A202B4">
        <w:rPr>
          <w:lang w:val="es-ES_tradnl"/>
        </w:rPr>
        <w:t xml:space="preserve"> a las Partes e </w:t>
      </w:r>
      <w:r w:rsidRPr="00A202B4">
        <w:rPr>
          <w:i/>
          <w:lang w:val="es-ES_tradnl"/>
        </w:rPr>
        <w:t>invita</w:t>
      </w:r>
      <w:r w:rsidRPr="00A202B4">
        <w:rPr>
          <w:lang w:val="es-ES_tradnl"/>
        </w:rPr>
        <w:t xml:space="preserve"> a otros Gobiernos y organizaciones pertinentes a promover la cooperación internacional, el intercambio de información y la creación de capacidad sobre la evaluación del riesgo de los peces vivos modificados, y a utilizar los materiales de orientación existentes, con miras a examinar nuevas orientaciones sobre los peces vivos modificados en su 11ª</w:t>
      </w:r>
      <w:r w:rsidR="00DA36DF">
        <w:rPr>
          <w:lang w:val="es-ES_tradnl"/>
        </w:rPr>
        <w:t> </w:t>
      </w:r>
      <w:r w:rsidRPr="00A202B4">
        <w:rPr>
          <w:lang w:val="es-ES_tradnl"/>
        </w:rPr>
        <w:t xml:space="preserve">reunión, con sujeción a las disposiciones del anexo I de la decisión </w:t>
      </w:r>
      <w:r w:rsidRPr="00A202B4">
        <w:rPr>
          <w:snapToGrid w:val="0"/>
          <w:kern w:val="22"/>
          <w:szCs w:val="22"/>
          <w:lang w:val="es-ES_tradnl"/>
        </w:rPr>
        <w:t>CP-9/13;</w:t>
      </w:r>
    </w:p>
    <w:p w14:paraId="0EC37A31" w14:textId="77777777" w:rsidR="00B83B21" w:rsidRPr="00A202B4" w:rsidRDefault="00B83B21" w:rsidP="00B83B21">
      <w:pPr>
        <w:suppressLineNumbers/>
        <w:suppressAutoHyphens/>
        <w:spacing w:before="120" w:after="120"/>
        <w:ind w:firstLine="720"/>
        <w:rPr>
          <w:snapToGrid w:val="0"/>
          <w:kern w:val="22"/>
          <w:szCs w:val="22"/>
          <w:lang w:val="es-ES_tradnl"/>
        </w:rPr>
      </w:pPr>
      <w:r w:rsidRPr="00A202B4">
        <w:rPr>
          <w:snapToGrid w:val="0"/>
          <w:kern w:val="22"/>
          <w:szCs w:val="22"/>
          <w:lang w:val="es-ES_tradnl"/>
        </w:rPr>
        <w:t>5.</w:t>
      </w:r>
      <w:r w:rsidRPr="00A202B4">
        <w:rPr>
          <w:snapToGrid w:val="0"/>
          <w:kern w:val="22"/>
          <w:szCs w:val="22"/>
          <w:lang w:val="es-ES_tradnl"/>
        </w:rPr>
        <w:tab/>
      </w:r>
      <w:r w:rsidRPr="00A202B4">
        <w:rPr>
          <w:i/>
          <w:iCs/>
          <w:lang w:val="es-ES_tradnl"/>
        </w:rPr>
        <w:t>Hace suya</w:t>
      </w:r>
      <w:r w:rsidRPr="00A202B4">
        <w:rPr>
          <w:lang w:val="es-ES_tradnl"/>
        </w:rPr>
        <w:t xml:space="preserve"> la recomendación del Grupo Especial de Expertos Técnicos de que se deberían elaborar materiales de orientación voluntaria adicionales para apoyar la evaluación del riesgo caso por caso en relación con los organismos vivos modificados que contengan impulsores genéticos modificados, y </w:t>
      </w:r>
      <w:r w:rsidRPr="00A202B4">
        <w:rPr>
          <w:i/>
          <w:lang w:val="es-ES_tradnl"/>
        </w:rPr>
        <w:t>acuerda</w:t>
      </w:r>
      <w:r w:rsidRPr="00A202B4">
        <w:rPr>
          <w:lang w:val="es-ES_tradnl"/>
        </w:rPr>
        <w:t xml:space="preserve"> elaborar esos materiales adicionales de orientación voluntaria de conformidad con el anexo</w:t>
      </w:r>
      <w:r w:rsidRPr="00A202B4">
        <w:rPr>
          <w:kern w:val="22"/>
          <w:szCs w:val="22"/>
          <w:lang w:val="es-ES_tradnl"/>
        </w:rPr>
        <w:t xml:space="preserve"> que figura debajo</w:t>
      </w:r>
      <w:r w:rsidRPr="00A202B4">
        <w:rPr>
          <w:snapToGrid w:val="0"/>
          <w:kern w:val="22"/>
          <w:szCs w:val="22"/>
          <w:lang w:val="es-ES_tradnl"/>
        </w:rPr>
        <w:t>;</w:t>
      </w:r>
    </w:p>
    <w:p w14:paraId="7C3357CE" w14:textId="77777777" w:rsidR="00B83B21" w:rsidRPr="00A202B4" w:rsidRDefault="00B83B21" w:rsidP="00B83B21">
      <w:pPr>
        <w:spacing w:before="120" w:after="120"/>
        <w:ind w:firstLine="720"/>
        <w:rPr>
          <w:snapToGrid w:val="0"/>
          <w:kern w:val="22"/>
          <w:szCs w:val="22"/>
          <w:lang w:val="es-ES_tradnl"/>
        </w:rPr>
      </w:pPr>
      <w:r w:rsidRPr="00A202B4">
        <w:rPr>
          <w:snapToGrid w:val="0"/>
          <w:kern w:val="22"/>
          <w:szCs w:val="22"/>
          <w:lang w:val="es-ES_tradnl"/>
        </w:rPr>
        <w:t>6.</w:t>
      </w:r>
      <w:r w:rsidRPr="00A202B4">
        <w:rPr>
          <w:snapToGrid w:val="0"/>
          <w:kern w:val="22"/>
          <w:szCs w:val="22"/>
          <w:lang w:val="es-ES_tradnl"/>
        </w:rPr>
        <w:tab/>
      </w:r>
      <w:r w:rsidRPr="00A202B4">
        <w:rPr>
          <w:i/>
          <w:snapToGrid w:val="0"/>
          <w:lang w:val="es-ES_tradnl"/>
        </w:rPr>
        <w:t>Decide</w:t>
      </w:r>
      <w:r w:rsidRPr="00A202B4">
        <w:rPr>
          <w:snapToGrid w:val="0"/>
          <w:lang w:val="es-ES_tradnl"/>
        </w:rPr>
        <w:t xml:space="preserve"> establecer un Grupo Especial de Expertos Técnicos sobre Evaluación del Riesgo que trabajará de conformidad con el mandato que se adjunta en el anexo de la presente recomendación</w:t>
      </w:r>
      <w:r w:rsidRPr="00A202B4">
        <w:rPr>
          <w:snapToGrid w:val="0"/>
          <w:kern w:val="22"/>
          <w:szCs w:val="22"/>
          <w:lang w:val="es-ES_tradnl"/>
        </w:rPr>
        <w:t>;</w:t>
      </w:r>
    </w:p>
    <w:p w14:paraId="58BC67E8" w14:textId="77777777" w:rsidR="00B83B21" w:rsidRPr="00A202B4" w:rsidRDefault="00B83B21" w:rsidP="00B83B21">
      <w:pPr>
        <w:suppressLineNumbers/>
        <w:suppressAutoHyphens/>
        <w:spacing w:before="120" w:after="120"/>
        <w:ind w:firstLine="720"/>
        <w:rPr>
          <w:snapToGrid w:val="0"/>
          <w:kern w:val="22"/>
          <w:szCs w:val="22"/>
          <w:lang w:val="es-ES_tradnl"/>
        </w:rPr>
      </w:pPr>
      <w:r w:rsidRPr="00A202B4">
        <w:rPr>
          <w:snapToGrid w:val="0"/>
          <w:kern w:val="22"/>
          <w:szCs w:val="22"/>
          <w:lang w:val="es-ES_tradnl"/>
        </w:rPr>
        <w:t>7.</w:t>
      </w:r>
      <w:r w:rsidRPr="00A202B4">
        <w:rPr>
          <w:snapToGrid w:val="0"/>
          <w:kern w:val="22"/>
          <w:szCs w:val="22"/>
          <w:lang w:val="es-ES_tradnl"/>
        </w:rPr>
        <w:tab/>
      </w:r>
      <w:r w:rsidRPr="00A202B4">
        <w:rPr>
          <w:i/>
          <w:lang w:val="es-ES_tradnl"/>
        </w:rPr>
        <w:t>Invita</w:t>
      </w:r>
      <w:r w:rsidRPr="00A202B4">
        <w:rPr>
          <w:lang w:val="es-ES_tradnl"/>
        </w:rPr>
        <w:t xml:space="preserve"> a las Partes, otros Gobiernos, los pueblos indígenas y las comunidades locales, y organizaciones pertinentes, a que presenten a la Secretaria Ejecutiva información pertinente para la labor del Grupo Especial de Expertos Técnicos</w:t>
      </w:r>
      <w:r w:rsidRPr="00A202B4">
        <w:rPr>
          <w:snapToGrid w:val="0"/>
          <w:lang w:val="es-ES_tradnl"/>
        </w:rPr>
        <w:t xml:space="preserve"> sobre Evaluación del Riesgo establecido en el párrafo 6 anterior</w:t>
      </w:r>
      <w:r w:rsidRPr="00A202B4">
        <w:rPr>
          <w:snapToGrid w:val="0"/>
          <w:kern w:val="22"/>
          <w:szCs w:val="22"/>
          <w:lang w:val="es-ES_tradnl"/>
        </w:rPr>
        <w:t>;</w:t>
      </w:r>
    </w:p>
    <w:p w14:paraId="4EEB02AD" w14:textId="77777777" w:rsidR="00B83B21" w:rsidRPr="00A202B4" w:rsidRDefault="00B83B21" w:rsidP="00B83B21">
      <w:pPr>
        <w:suppressLineNumbers/>
        <w:suppressAutoHyphens/>
        <w:spacing w:before="120" w:after="120"/>
        <w:ind w:firstLine="720"/>
        <w:rPr>
          <w:snapToGrid w:val="0"/>
          <w:kern w:val="22"/>
          <w:szCs w:val="22"/>
          <w:lang w:val="es-ES_tradnl"/>
        </w:rPr>
      </w:pPr>
      <w:r w:rsidRPr="00A202B4">
        <w:rPr>
          <w:snapToGrid w:val="0"/>
          <w:kern w:val="22"/>
          <w:szCs w:val="22"/>
          <w:lang w:val="es-ES_tradnl"/>
        </w:rPr>
        <w:lastRenderedPageBreak/>
        <w:t>8.</w:t>
      </w:r>
      <w:r w:rsidRPr="00A202B4">
        <w:rPr>
          <w:snapToGrid w:val="0"/>
          <w:kern w:val="22"/>
          <w:szCs w:val="22"/>
          <w:lang w:val="es-ES_tradnl"/>
        </w:rPr>
        <w:tab/>
      </w:r>
      <w:r w:rsidRPr="00A202B4">
        <w:rPr>
          <w:i/>
          <w:lang w:val="es-ES_tradnl"/>
        </w:rPr>
        <w:t>Invita</w:t>
      </w:r>
      <w:r w:rsidRPr="00A202B4">
        <w:rPr>
          <w:lang w:val="es-ES_tradnl"/>
        </w:rPr>
        <w:t xml:space="preserve"> a las Partes a que también presenten información sobre sus necesidades y prioridades con respecto a nuevos materiales de orientación sobre temas específicos de la evaluación del riesgo de los organismos vivos modificados, incluida una justificación que siga los criterios establecidos en la decisión CP-9/13, anexo</w:t>
      </w:r>
      <w:r w:rsidRPr="00A202B4">
        <w:rPr>
          <w:snapToGrid w:val="0"/>
          <w:kern w:val="22"/>
          <w:szCs w:val="22"/>
          <w:lang w:val="es-ES_tradnl"/>
        </w:rPr>
        <w:t> I;</w:t>
      </w:r>
    </w:p>
    <w:p w14:paraId="28D2870F" w14:textId="77777777" w:rsidR="00B83B21" w:rsidRPr="00A202B4" w:rsidRDefault="00B83B21" w:rsidP="00B83B21">
      <w:pPr>
        <w:suppressLineNumbers/>
        <w:suppressAutoHyphens/>
        <w:spacing w:before="120" w:after="120"/>
        <w:ind w:firstLine="720"/>
        <w:rPr>
          <w:snapToGrid w:val="0"/>
          <w:kern w:val="22"/>
          <w:szCs w:val="22"/>
          <w:lang w:val="es-ES_tradnl"/>
        </w:rPr>
      </w:pPr>
      <w:r w:rsidRPr="00A202B4">
        <w:rPr>
          <w:snapToGrid w:val="0"/>
          <w:kern w:val="22"/>
          <w:szCs w:val="22"/>
          <w:lang w:val="es-ES_tradnl"/>
        </w:rPr>
        <w:t>9.</w:t>
      </w:r>
      <w:r w:rsidRPr="00A202B4">
        <w:rPr>
          <w:snapToGrid w:val="0"/>
          <w:kern w:val="22"/>
          <w:szCs w:val="22"/>
          <w:lang w:val="es-ES_tradnl"/>
        </w:rPr>
        <w:tab/>
      </w:r>
      <w:r w:rsidRPr="00A202B4">
        <w:rPr>
          <w:i/>
          <w:lang w:val="es-ES_tradnl"/>
        </w:rPr>
        <w:t>Exhorta</w:t>
      </w:r>
      <w:r w:rsidRPr="00A202B4">
        <w:rPr>
          <w:lang w:val="es-ES_tradnl"/>
        </w:rPr>
        <w:t xml:space="preserve"> a las Partes, otros Gobiernos y organizaciones pertinentes a que continúen difundiendo información y compartiendo experiencias, especialmente a través del Centro de Intercambio de Información sobre Seguridad de la Biotecnología, que sean útiles para las evaluaciones del riesgo de los organismos vivos modificados, incluidos los peces vivos modificados y los organismos que contengan impulsores genéticos modificados</w:t>
      </w:r>
      <w:r w:rsidRPr="00A202B4">
        <w:rPr>
          <w:snapToGrid w:val="0"/>
          <w:kern w:val="22"/>
          <w:szCs w:val="22"/>
          <w:lang w:val="es-ES_tradnl"/>
        </w:rPr>
        <w:t>;</w:t>
      </w:r>
    </w:p>
    <w:p w14:paraId="2F94069E" w14:textId="77777777" w:rsidR="00B83B21" w:rsidRPr="00A202B4" w:rsidRDefault="00B83B21" w:rsidP="00B83B21">
      <w:pPr>
        <w:suppressLineNumbers/>
        <w:suppressAutoHyphens/>
        <w:spacing w:before="120" w:after="120"/>
        <w:ind w:firstLine="720"/>
        <w:rPr>
          <w:snapToGrid w:val="0"/>
          <w:kern w:val="22"/>
          <w:szCs w:val="22"/>
          <w:lang w:val="es-ES_tradnl"/>
        </w:rPr>
      </w:pPr>
      <w:r w:rsidRPr="00A202B4">
        <w:rPr>
          <w:snapToGrid w:val="0"/>
          <w:kern w:val="22"/>
          <w:szCs w:val="22"/>
          <w:lang w:val="es-ES_tradnl"/>
        </w:rPr>
        <w:t>10.</w:t>
      </w:r>
      <w:r w:rsidRPr="00A202B4">
        <w:rPr>
          <w:snapToGrid w:val="0"/>
          <w:kern w:val="22"/>
          <w:szCs w:val="22"/>
          <w:lang w:val="es-ES_tradnl"/>
        </w:rPr>
        <w:tab/>
      </w:r>
      <w:r w:rsidRPr="00A202B4">
        <w:rPr>
          <w:i/>
          <w:lang w:val="es-ES_tradnl"/>
        </w:rPr>
        <w:t>Pide</w:t>
      </w:r>
      <w:r w:rsidRPr="00A202B4">
        <w:rPr>
          <w:lang w:val="es-ES_tradnl"/>
        </w:rPr>
        <w:t xml:space="preserve"> a la Secretaria Ejecutiva que</w:t>
      </w:r>
      <w:r w:rsidRPr="00A202B4">
        <w:rPr>
          <w:snapToGrid w:val="0"/>
          <w:kern w:val="22"/>
          <w:szCs w:val="22"/>
          <w:lang w:val="es-ES_tradnl"/>
        </w:rPr>
        <w:t>:</w:t>
      </w:r>
    </w:p>
    <w:p w14:paraId="5CCEAFC4" w14:textId="77777777" w:rsidR="00B83B21" w:rsidRPr="00A202B4" w:rsidRDefault="00B83B21" w:rsidP="00B83B21">
      <w:pPr>
        <w:suppressLineNumbers/>
        <w:suppressAutoHyphens/>
        <w:spacing w:before="120" w:after="120"/>
        <w:ind w:firstLine="720"/>
        <w:rPr>
          <w:snapToGrid w:val="0"/>
          <w:kern w:val="22"/>
          <w:szCs w:val="22"/>
          <w:lang w:val="es-ES_tradnl"/>
        </w:rPr>
      </w:pPr>
      <w:r w:rsidRPr="00A202B4">
        <w:rPr>
          <w:snapToGrid w:val="0"/>
          <w:kern w:val="22"/>
          <w:szCs w:val="22"/>
          <w:lang w:val="es-ES_tradnl"/>
        </w:rPr>
        <w:t>a)</w:t>
      </w:r>
      <w:r w:rsidRPr="00A202B4">
        <w:rPr>
          <w:snapToGrid w:val="0"/>
          <w:kern w:val="22"/>
          <w:szCs w:val="22"/>
          <w:lang w:val="es-ES_tradnl"/>
        </w:rPr>
        <w:tab/>
      </w:r>
      <w:r w:rsidRPr="00A202B4">
        <w:rPr>
          <w:lang w:val="es-ES_tradnl"/>
        </w:rPr>
        <w:t>Encargue, con sujeción a la disponibilidad de recursos y aplicando la decisión 14/33 relativa al procedimiento para evitar o tratar conflictos de intereses en los grupos de expertos, la preparación de un esbozo detallado de materiales de orientación adicionales sobre la evaluación del riesgo de los organismos vivos modificados que contengan impulsores genéticos modificados, para que el foro en línea los examine con el fin de que sirvan de base para la labor del Grupo Especial de Expertos Técnicos</w:t>
      </w:r>
      <w:r w:rsidRPr="00A202B4">
        <w:rPr>
          <w:snapToGrid w:val="0"/>
          <w:kern w:val="22"/>
          <w:szCs w:val="22"/>
          <w:lang w:val="es-ES_tradnl"/>
        </w:rPr>
        <w:t>;</w:t>
      </w:r>
    </w:p>
    <w:p w14:paraId="0039E047" w14:textId="77777777" w:rsidR="00B83B21" w:rsidRPr="00A202B4" w:rsidRDefault="00B83B21" w:rsidP="00B83B21">
      <w:pPr>
        <w:suppressLineNumbers/>
        <w:tabs>
          <w:tab w:val="left" w:pos="1440"/>
        </w:tabs>
        <w:suppressAutoHyphens/>
        <w:spacing w:before="120" w:after="120"/>
        <w:ind w:firstLine="720"/>
        <w:rPr>
          <w:snapToGrid w:val="0"/>
          <w:kern w:val="22"/>
          <w:szCs w:val="22"/>
          <w:lang w:val="es-ES_tradnl"/>
        </w:rPr>
      </w:pPr>
      <w:r w:rsidRPr="00A202B4">
        <w:rPr>
          <w:snapToGrid w:val="0"/>
          <w:kern w:val="22"/>
          <w:szCs w:val="22"/>
          <w:lang w:val="es-ES_tradnl"/>
        </w:rPr>
        <w:t>b)</w:t>
      </w:r>
      <w:r w:rsidRPr="00A202B4">
        <w:rPr>
          <w:snapToGrid w:val="0"/>
          <w:kern w:val="22"/>
          <w:szCs w:val="22"/>
          <w:lang w:val="es-ES_tradnl"/>
        </w:rPr>
        <w:tab/>
      </w:r>
      <w:r w:rsidRPr="00A202B4">
        <w:rPr>
          <w:lang w:val="es-ES_tradnl"/>
        </w:rPr>
        <w:t>Convoque debates en línea del Foro en línea sobre evaluación del riesgo y gestión del riesgo para revisar un esbozo de los materiales de orientación voluntaria adicionales y para apoyar la labor del Grupo Especial de Expertos Técnicos</w:t>
      </w:r>
      <w:r w:rsidRPr="00A202B4">
        <w:rPr>
          <w:snapToGrid w:val="0"/>
          <w:kern w:val="22"/>
          <w:szCs w:val="22"/>
          <w:lang w:val="es-ES_tradnl"/>
        </w:rPr>
        <w:t>;</w:t>
      </w:r>
      <w:bookmarkStart w:id="17" w:name="_Hlk69990939"/>
    </w:p>
    <w:p w14:paraId="475DB0C0" w14:textId="77777777" w:rsidR="00B83B21" w:rsidRPr="00A202B4" w:rsidRDefault="00B83B21" w:rsidP="00B83B21">
      <w:pPr>
        <w:suppressLineNumbers/>
        <w:tabs>
          <w:tab w:val="left" w:pos="1440"/>
        </w:tabs>
        <w:suppressAutoHyphens/>
        <w:spacing w:before="120" w:after="120"/>
        <w:ind w:firstLine="720"/>
        <w:rPr>
          <w:snapToGrid w:val="0"/>
          <w:kern w:val="22"/>
          <w:szCs w:val="22"/>
          <w:lang w:val="es-ES_tradnl"/>
        </w:rPr>
      </w:pPr>
      <w:r w:rsidRPr="00A202B4">
        <w:rPr>
          <w:snapToGrid w:val="0"/>
          <w:kern w:val="22"/>
          <w:szCs w:val="22"/>
          <w:lang w:val="es-ES_tradnl"/>
        </w:rPr>
        <w:t>c)</w:t>
      </w:r>
      <w:r w:rsidRPr="00A202B4">
        <w:rPr>
          <w:snapToGrid w:val="0"/>
          <w:kern w:val="22"/>
          <w:szCs w:val="22"/>
          <w:lang w:val="es-ES_tradnl"/>
        </w:rPr>
        <w:tab/>
      </w:r>
      <w:r w:rsidRPr="00A202B4">
        <w:rPr>
          <w:lang w:val="es-ES_tradnl"/>
        </w:rPr>
        <w:t>Recopile y resuma la información pertinente para facilitar la labor del Foro en línea y del Grupo Especial de Expertos Técnicos</w:t>
      </w:r>
      <w:r w:rsidRPr="00A202B4">
        <w:rPr>
          <w:snapToGrid w:val="0"/>
          <w:kern w:val="22"/>
          <w:szCs w:val="22"/>
          <w:lang w:val="es-ES_tradnl"/>
        </w:rPr>
        <w:t>;</w:t>
      </w:r>
    </w:p>
    <w:bookmarkEnd w:id="17"/>
    <w:p w14:paraId="70528EFD" w14:textId="77777777" w:rsidR="00B83B21" w:rsidRPr="00A202B4" w:rsidRDefault="00B83B21" w:rsidP="00B83B21">
      <w:pPr>
        <w:suppressLineNumbers/>
        <w:tabs>
          <w:tab w:val="left" w:pos="1440"/>
        </w:tabs>
        <w:suppressAutoHyphens/>
        <w:spacing w:before="120" w:after="120"/>
        <w:ind w:firstLine="720"/>
        <w:rPr>
          <w:snapToGrid w:val="0"/>
          <w:kern w:val="22"/>
          <w:szCs w:val="22"/>
          <w:lang w:val="es-ES_tradnl"/>
        </w:rPr>
      </w:pPr>
      <w:r w:rsidRPr="00A202B4">
        <w:rPr>
          <w:snapToGrid w:val="0"/>
          <w:kern w:val="22"/>
          <w:szCs w:val="22"/>
          <w:lang w:val="es-ES_tradnl"/>
        </w:rPr>
        <w:t>d)</w:t>
      </w:r>
      <w:r w:rsidRPr="00A202B4">
        <w:rPr>
          <w:snapToGrid w:val="0"/>
          <w:kern w:val="22"/>
          <w:szCs w:val="22"/>
          <w:lang w:val="es-ES_tradnl"/>
        </w:rPr>
        <w:tab/>
      </w:r>
      <w:r w:rsidRPr="00A202B4">
        <w:rPr>
          <w:lang w:val="es-ES_tradnl"/>
        </w:rPr>
        <w:t>Haga un resumen de las opiniones mencionadas en los párrafos 7 y 8 y de los debates del Foro en línea, y los ponga a disposición del Grupo Especial de Expertos Técnicos</w:t>
      </w:r>
      <w:r w:rsidRPr="00A202B4">
        <w:rPr>
          <w:snapToGrid w:val="0"/>
          <w:kern w:val="22"/>
          <w:szCs w:val="22"/>
          <w:lang w:val="es-ES_tradnl"/>
        </w:rPr>
        <w:t>;</w:t>
      </w:r>
    </w:p>
    <w:p w14:paraId="2A4474F3" w14:textId="77777777" w:rsidR="00B83B21" w:rsidRPr="00A202B4" w:rsidRDefault="00B83B21" w:rsidP="00B83B21">
      <w:pPr>
        <w:suppressLineNumbers/>
        <w:tabs>
          <w:tab w:val="left" w:pos="1440"/>
        </w:tabs>
        <w:suppressAutoHyphens/>
        <w:spacing w:before="120" w:after="120"/>
        <w:ind w:firstLine="720"/>
        <w:rPr>
          <w:snapToGrid w:val="0"/>
          <w:kern w:val="22"/>
          <w:szCs w:val="22"/>
          <w:lang w:val="es-ES_tradnl"/>
        </w:rPr>
      </w:pPr>
      <w:r w:rsidRPr="00A202B4">
        <w:rPr>
          <w:snapToGrid w:val="0"/>
          <w:kern w:val="22"/>
          <w:szCs w:val="22"/>
          <w:lang w:val="es-ES_tradnl"/>
        </w:rPr>
        <w:t>e)</w:t>
      </w:r>
      <w:r w:rsidRPr="00A202B4">
        <w:rPr>
          <w:snapToGrid w:val="0"/>
          <w:kern w:val="22"/>
          <w:szCs w:val="22"/>
          <w:lang w:val="es-ES_tradnl"/>
        </w:rPr>
        <w:tab/>
      </w:r>
      <w:r w:rsidRPr="00A202B4">
        <w:rPr>
          <w:lang w:val="es-ES_tradnl"/>
        </w:rPr>
        <w:t>Convoque, con sujeción a la disponibilidad de recursos, dos reuniones del Grupo Especial de Expertos Técnicos en Evaluación del Riesgo, y que al menos una de las reuniones sea presencial</w:t>
      </w:r>
      <w:r w:rsidRPr="00A202B4">
        <w:rPr>
          <w:rStyle w:val="FootnoteReference"/>
          <w:kern w:val="22"/>
          <w:sz w:val="22"/>
          <w:szCs w:val="22"/>
          <w:u w:val="none"/>
          <w:vertAlign w:val="superscript"/>
          <w:lang w:val="es-ES_tradnl"/>
        </w:rPr>
        <w:footnoteReference w:id="33"/>
      </w:r>
      <w:r w:rsidRPr="00A202B4">
        <w:rPr>
          <w:kern w:val="22"/>
          <w:szCs w:val="22"/>
          <w:lang w:val="es-ES_tradnl"/>
        </w:rPr>
        <w:t>;</w:t>
      </w:r>
    </w:p>
    <w:p w14:paraId="1F475DA1" w14:textId="77777777" w:rsidR="00B83B21" w:rsidRPr="00A202B4" w:rsidRDefault="00B83B21" w:rsidP="00B83B21">
      <w:pPr>
        <w:suppressLineNumbers/>
        <w:suppressAutoHyphens/>
        <w:spacing w:before="120" w:after="120"/>
        <w:ind w:firstLine="720"/>
        <w:rPr>
          <w:snapToGrid w:val="0"/>
          <w:kern w:val="22"/>
          <w:szCs w:val="22"/>
          <w:lang w:val="es-ES_tradnl"/>
        </w:rPr>
      </w:pPr>
      <w:r w:rsidRPr="00A202B4">
        <w:rPr>
          <w:snapToGrid w:val="0"/>
          <w:kern w:val="22"/>
          <w:szCs w:val="22"/>
          <w:lang w:val="es-ES_tradnl"/>
        </w:rPr>
        <w:t>f)</w:t>
      </w:r>
      <w:r w:rsidRPr="00A202B4">
        <w:rPr>
          <w:snapToGrid w:val="0"/>
          <w:kern w:val="22"/>
          <w:szCs w:val="22"/>
          <w:lang w:val="es-ES_tradnl"/>
        </w:rPr>
        <w:tab/>
      </w:r>
      <w:r w:rsidRPr="00A202B4">
        <w:rPr>
          <w:lang w:val="es-ES_tradnl"/>
        </w:rPr>
        <w:t>Facilite el proceso de determinación y priorización de cuestiones específicas de la evaluación del riesgo de los organismos vivos modificados que puedan ameritar consideración, como se establece en el párrafo 6 de la decisión CP-9/13, publicando la información presentada por las Partes sobre los temas determinados de acuerdo con el anexo I de la misma decisión, así como la información útil para la evaluación del riesgo de esos temas, a través de una página web específica dentro del Centro de Intercambio de Información sobre Seguridad de la Biotecnología</w:t>
      </w:r>
      <w:r w:rsidRPr="00A202B4">
        <w:rPr>
          <w:snapToGrid w:val="0"/>
          <w:kern w:val="22"/>
          <w:szCs w:val="22"/>
          <w:lang w:val="es-ES_tradnl"/>
        </w:rPr>
        <w:t>;</w:t>
      </w:r>
    </w:p>
    <w:p w14:paraId="0FDFAAAE" w14:textId="77777777" w:rsidR="00B83B21" w:rsidRPr="00A202B4" w:rsidRDefault="00B83B21" w:rsidP="00B83B21">
      <w:pPr>
        <w:spacing w:before="120" w:after="120"/>
        <w:ind w:firstLine="720"/>
        <w:rPr>
          <w:snapToGrid w:val="0"/>
          <w:lang w:val="es-ES_tradnl"/>
        </w:rPr>
      </w:pPr>
      <w:r w:rsidRPr="00A202B4">
        <w:rPr>
          <w:snapToGrid w:val="0"/>
          <w:kern w:val="22"/>
          <w:szCs w:val="22"/>
          <w:lang w:val="es-ES_tradnl"/>
        </w:rPr>
        <w:t>g)</w:t>
      </w:r>
      <w:r w:rsidRPr="00A202B4">
        <w:rPr>
          <w:snapToGrid w:val="0"/>
          <w:kern w:val="22"/>
          <w:szCs w:val="22"/>
          <w:lang w:val="es-ES_tradnl"/>
        </w:rPr>
        <w:tab/>
      </w:r>
      <w:r w:rsidRPr="00A202B4">
        <w:rPr>
          <w:snapToGrid w:val="0"/>
          <w:lang w:val="es-ES_tradnl"/>
        </w:rPr>
        <w:t>Garantice la participación plena y efectiva de los pueblos indígenas y las comunidades locales en las deliberaciones y en la labor sobre la evaluación del riesgo en el marco del Protocolo de Cartagena</w:t>
      </w:r>
      <w:r w:rsidRPr="00A202B4">
        <w:rPr>
          <w:snapToGrid w:val="0"/>
          <w:kern w:val="22"/>
          <w:szCs w:val="22"/>
          <w:lang w:val="es-ES_tradnl"/>
        </w:rPr>
        <w:t>;</w:t>
      </w:r>
    </w:p>
    <w:p w14:paraId="12A389BD" w14:textId="77777777" w:rsidR="00B83B21" w:rsidRPr="00A202B4" w:rsidRDefault="00B83B21" w:rsidP="00B83B21">
      <w:pPr>
        <w:suppressLineNumbers/>
        <w:suppressAutoHyphens/>
        <w:spacing w:before="120" w:after="120"/>
        <w:ind w:firstLine="720"/>
        <w:rPr>
          <w:snapToGrid w:val="0"/>
          <w:kern w:val="22"/>
          <w:szCs w:val="22"/>
          <w:lang w:val="es-ES_tradnl"/>
        </w:rPr>
      </w:pPr>
      <w:r w:rsidRPr="00A202B4">
        <w:rPr>
          <w:snapToGrid w:val="0"/>
          <w:kern w:val="22"/>
          <w:szCs w:val="22"/>
          <w:lang w:val="es-ES_tradnl"/>
        </w:rPr>
        <w:t>h)</w:t>
      </w:r>
      <w:r w:rsidRPr="00A202B4">
        <w:rPr>
          <w:snapToGrid w:val="0"/>
          <w:kern w:val="22"/>
          <w:szCs w:val="22"/>
          <w:lang w:val="es-ES_tradnl"/>
        </w:rPr>
        <w:tab/>
      </w:r>
      <w:r w:rsidRPr="00A202B4">
        <w:rPr>
          <w:lang w:val="es-ES_tradnl"/>
        </w:rPr>
        <w:t>Explore formas de facilitar y apoyar la creación de capacidad y el intercambio de conocimientos y la transferencia de tecnología en relación con la evaluación del riesgo y la gestión del riesgo de los organismos vivos modificados</w:t>
      </w:r>
      <w:r w:rsidRPr="00A202B4">
        <w:rPr>
          <w:snapToGrid w:val="0"/>
          <w:kern w:val="22"/>
          <w:szCs w:val="22"/>
          <w:lang w:val="es-ES_tradnl"/>
        </w:rPr>
        <w:t>;</w:t>
      </w:r>
    </w:p>
    <w:p w14:paraId="26E7D7CD" w14:textId="77777777" w:rsidR="00B83B21" w:rsidRPr="00A202B4" w:rsidRDefault="00B83B21" w:rsidP="00B83B21">
      <w:pPr>
        <w:suppressLineNumbers/>
        <w:suppressAutoHyphens/>
        <w:spacing w:before="120" w:after="120"/>
        <w:ind w:firstLine="720"/>
        <w:rPr>
          <w:snapToGrid w:val="0"/>
          <w:kern w:val="22"/>
          <w:szCs w:val="22"/>
          <w:lang w:val="es-ES_tradnl"/>
        </w:rPr>
      </w:pPr>
      <w:r w:rsidRPr="00A202B4">
        <w:rPr>
          <w:snapToGrid w:val="0"/>
          <w:kern w:val="22"/>
          <w:szCs w:val="22"/>
          <w:lang w:val="es-ES_tradnl"/>
        </w:rPr>
        <w:t>i)</w:t>
      </w:r>
      <w:r w:rsidRPr="00A202B4">
        <w:rPr>
          <w:snapToGrid w:val="0"/>
          <w:kern w:val="22"/>
          <w:szCs w:val="22"/>
          <w:lang w:val="es-ES_tradnl"/>
        </w:rPr>
        <w:tab/>
      </w:r>
      <w:r w:rsidRPr="00A202B4">
        <w:rPr>
          <w:lang w:val="es-ES_tradnl"/>
        </w:rPr>
        <w:t>Ofrezca páginas web específicas en el Centro de Intercambio de Información sobre Seguridad de la Biotecnología para facilitar el acceso y sensibilizar sobre la información disponible que es pertinente para la evaluación del riesgo de los organismos vivos modificados, incluidos los peces vivos modificados y los organismos que contengan impulsores genéticos modificados</w:t>
      </w:r>
      <w:r w:rsidRPr="00A202B4">
        <w:rPr>
          <w:snapToGrid w:val="0"/>
          <w:kern w:val="22"/>
          <w:szCs w:val="22"/>
          <w:lang w:val="es-ES_tradnl"/>
        </w:rPr>
        <w:t>;</w:t>
      </w:r>
    </w:p>
    <w:p w14:paraId="274E9988" w14:textId="77777777" w:rsidR="00B83B21" w:rsidRPr="00A202B4" w:rsidRDefault="00B83B21" w:rsidP="00B83B21">
      <w:pPr>
        <w:suppressLineNumbers/>
        <w:suppressAutoHyphens/>
        <w:spacing w:before="120" w:after="120"/>
        <w:ind w:firstLine="720"/>
        <w:rPr>
          <w:snapToGrid w:val="0"/>
          <w:kern w:val="22"/>
          <w:szCs w:val="22"/>
          <w:lang w:val="es-ES_tradnl"/>
        </w:rPr>
      </w:pPr>
      <w:r w:rsidRPr="00A202B4">
        <w:rPr>
          <w:snapToGrid w:val="0"/>
          <w:kern w:val="22"/>
          <w:szCs w:val="22"/>
          <w:lang w:val="es-ES_tradnl"/>
        </w:rPr>
        <w:t>11.</w:t>
      </w:r>
      <w:r w:rsidRPr="00A202B4">
        <w:rPr>
          <w:snapToGrid w:val="0"/>
          <w:kern w:val="22"/>
          <w:szCs w:val="22"/>
          <w:lang w:val="es-ES_tradnl"/>
        </w:rPr>
        <w:tab/>
      </w:r>
      <w:r w:rsidRPr="00A202B4">
        <w:rPr>
          <w:i/>
          <w:lang w:val="es-ES_tradnl"/>
        </w:rPr>
        <w:t>Pide</w:t>
      </w:r>
      <w:r w:rsidRPr="00A202B4">
        <w:rPr>
          <w:lang w:val="es-ES_tradnl"/>
        </w:rPr>
        <w:t xml:space="preserve"> al Órgano Subsidiario de Asesoramiento Científico, Técnico y Tecnológico que examine los resultados del Grupo Especial de Expertos Técnicos sobre Evaluación del Riesgo en su 26ª reunión, y que formule una recomendación para someterla a la consideración de la Conferencia de las Partes que actúa como reunión de las Partes en el Protocolo de Cartagena en su 11ª reunión</w:t>
      </w:r>
      <w:r w:rsidRPr="00A202B4">
        <w:rPr>
          <w:snapToGrid w:val="0"/>
          <w:kern w:val="22"/>
          <w:szCs w:val="22"/>
          <w:lang w:val="es-ES_tradnl"/>
        </w:rPr>
        <w:t>;</w:t>
      </w:r>
    </w:p>
    <w:p w14:paraId="0D64C9E1" w14:textId="77777777" w:rsidR="00B83B21" w:rsidRPr="00A202B4" w:rsidRDefault="00B83B21" w:rsidP="00B83B21">
      <w:pPr>
        <w:keepNext/>
        <w:suppressLineNumbers/>
        <w:suppressAutoHyphens/>
        <w:spacing w:before="120" w:after="120"/>
        <w:ind w:firstLine="720"/>
        <w:rPr>
          <w:snapToGrid w:val="0"/>
          <w:kern w:val="22"/>
          <w:szCs w:val="22"/>
          <w:lang w:val="es-ES_tradnl"/>
        </w:rPr>
      </w:pPr>
      <w:r w:rsidRPr="00A202B4">
        <w:rPr>
          <w:snapToGrid w:val="0"/>
          <w:kern w:val="22"/>
          <w:szCs w:val="22"/>
          <w:lang w:val="es-ES_tradnl"/>
        </w:rPr>
        <w:lastRenderedPageBreak/>
        <w:t>12.</w:t>
      </w:r>
      <w:r w:rsidRPr="00A202B4">
        <w:rPr>
          <w:snapToGrid w:val="0"/>
          <w:kern w:val="22"/>
          <w:szCs w:val="22"/>
          <w:lang w:val="es-ES_tradnl"/>
        </w:rPr>
        <w:tab/>
      </w:r>
      <w:r w:rsidRPr="00A202B4">
        <w:rPr>
          <w:i/>
          <w:snapToGrid w:val="0"/>
          <w:lang w:val="es-ES_tradnl"/>
        </w:rPr>
        <w:t>Decide</w:t>
      </w:r>
      <w:r w:rsidRPr="00A202B4">
        <w:rPr>
          <w:snapToGrid w:val="0"/>
          <w:lang w:val="es-ES_tradnl"/>
        </w:rPr>
        <w:t xml:space="preserve"> considerar, en su 11ª reunión, cuestiones adicionales sobre las que podría necesitarse material de orientación sobre la evaluación del riesgo, tras el proceso de determinación y priorización de cuestiones específicas de la evaluación del riesgo de los organismos vivos modificados establecido en la decisión CP-9/13, teniendo en cuenta las prioridades determinadas por las Partes de conformidad con el párrafo 8 anterior y el informe del Grupo Especial de Expertos Técnicos de conformidad con el párrafo 1 e) de su mandato</w:t>
      </w:r>
      <w:r w:rsidRPr="00A202B4">
        <w:rPr>
          <w:snapToGrid w:val="0"/>
          <w:kern w:val="22"/>
          <w:szCs w:val="22"/>
          <w:lang w:val="es-ES_tradnl"/>
        </w:rPr>
        <w:t>.</w:t>
      </w:r>
    </w:p>
    <w:p w14:paraId="6EA17D8C" w14:textId="77777777" w:rsidR="00B83B21" w:rsidRPr="00A202B4" w:rsidRDefault="00B83B21" w:rsidP="00B83B21">
      <w:pPr>
        <w:keepNext/>
        <w:suppressLineNumbers/>
        <w:suppressAutoHyphens/>
        <w:spacing w:before="240" w:after="120"/>
        <w:contextualSpacing/>
        <w:jc w:val="center"/>
        <w:outlineLvl w:val="2"/>
        <w:rPr>
          <w:i/>
          <w:iCs/>
          <w:snapToGrid w:val="0"/>
          <w:kern w:val="22"/>
          <w:szCs w:val="22"/>
          <w:lang w:val="es-ES_tradnl"/>
        </w:rPr>
      </w:pPr>
      <w:bookmarkStart w:id="18" w:name="_Toc118383073"/>
      <w:r w:rsidRPr="00A202B4">
        <w:rPr>
          <w:i/>
          <w:iCs/>
          <w:snapToGrid w:val="0"/>
          <w:kern w:val="22"/>
          <w:szCs w:val="22"/>
          <w:lang w:val="es-ES_tradnl"/>
        </w:rPr>
        <w:t>Anex</w:t>
      </w:r>
      <w:bookmarkEnd w:id="18"/>
      <w:r w:rsidRPr="00A202B4">
        <w:rPr>
          <w:i/>
          <w:iCs/>
          <w:snapToGrid w:val="0"/>
          <w:kern w:val="22"/>
          <w:szCs w:val="22"/>
          <w:lang w:val="es-ES_tradnl"/>
        </w:rPr>
        <w:t>o</w:t>
      </w:r>
    </w:p>
    <w:p w14:paraId="445A68A2" w14:textId="77777777" w:rsidR="00B83B21" w:rsidRPr="00A202B4" w:rsidRDefault="00B83B21" w:rsidP="00B83B21">
      <w:pPr>
        <w:keepNext/>
        <w:tabs>
          <w:tab w:val="left" w:pos="720"/>
        </w:tabs>
        <w:spacing w:before="240" w:after="120"/>
        <w:jc w:val="center"/>
        <w:outlineLvl w:val="2"/>
        <w:rPr>
          <w:b/>
          <w:caps/>
          <w:szCs w:val="22"/>
          <w:lang w:val="es-ES_tradnl"/>
        </w:rPr>
      </w:pPr>
      <w:bookmarkStart w:id="19" w:name="_Toc118383074"/>
      <w:r w:rsidRPr="00A202B4">
        <w:rPr>
          <w:b/>
          <w:caps/>
          <w:szCs w:val="22"/>
          <w:lang w:val="es-ES_tradnl"/>
        </w:rPr>
        <w:t>Mandato para el Grupo Especial de Expertos Técnicos sobre Evaluación del Riesgo</w:t>
      </w:r>
      <w:bookmarkEnd w:id="19"/>
    </w:p>
    <w:p w14:paraId="5B6CE398" w14:textId="77777777" w:rsidR="00B83B21" w:rsidRPr="00A202B4" w:rsidRDefault="00B83B21" w:rsidP="00B83B21">
      <w:pPr>
        <w:keepNext/>
        <w:suppressLineNumbers/>
        <w:suppressAutoHyphens/>
        <w:spacing w:before="120" w:after="120"/>
        <w:rPr>
          <w:snapToGrid w:val="0"/>
          <w:kern w:val="22"/>
          <w:szCs w:val="22"/>
          <w:lang w:val="es-ES_tradnl"/>
        </w:rPr>
      </w:pPr>
      <w:r w:rsidRPr="00A202B4">
        <w:rPr>
          <w:snapToGrid w:val="0"/>
          <w:kern w:val="22"/>
          <w:szCs w:val="22"/>
          <w:lang w:val="es-ES_tradnl"/>
        </w:rPr>
        <w:t>1.</w:t>
      </w:r>
      <w:r w:rsidRPr="00A202B4">
        <w:rPr>
          <w:snapToGrid w:val="0"/>
          <w:kern w:val="22"/>
          <w:szCs w:val="22"/>
          <w:lang w:val="es-ES_tradnl"/>
        </w:rPr>
        <w:tab/>
      </w:r>
      <w:r w:rsidRPr="00A202B4">
        <w:rPr>
          <w:szCs w:val="22"/>
          <w:lang w:val="es-ES_tradnl"/>
        </w:rPr>
        <w:t>El Grupo Especial de Expertos Técnicos (en adelante, el Grupo) sobre Evaluación del Riesgo deberá</w:t>
      </w:r>
      <w:r w:rsidRPr="00A202B4">
        <w:rPr>
          <w:snapToGrid w:val="0"/>
          <w:kern w:val="22"/>
          <w:szCs w:val="22"/>
          <w:lang w:val="es-ES_tradnl"/>
        </w:rPr>
        <w:t>:</w:t>
      </w:r>
    </w:p>
    <w:p w14:paraId="7B6428C3" w14:textId="77777777" w:rsidR="00B83B21" w:rsidRPr="00A202B4" w:rsidRDefault="00B83B21" w:rsidP="00B83B21">
      <w:pPr>
        <w:keepNext/>
        <w:suppressLineNumbers/>
        <w:suppressAutoHyphens/>
        <w:spacing w:before="120" w:after="120"/>
        <w:ind w:firstLine="720"/>
        <w:rPr>
          <w:kern w:val="22"/>
          <w:szCs w:val="22"/>
          <w:lang w:val="es-ES_tradnl"/>
        </w:rPr>
      </w:pPr>
      <w:r w:rsidRPr="00A202B4">
        <w:rPr>
          <w:kern w:val="22"/>
          <w:szCs w:val="22"/>
          <w:lang w:val="es-ES_tradnl"/>
        </w:rPr>
        <w:t>a)</w:t>
      </w:r>
      <w:r w:rsidRPr="00A202B4">
        <w:rPr>
          <w:kern w:val="22"/>
          <w:szCs w:val="22"/>
          <w:lang w:val="es-ES_tradnl"/>
        </w:rPr>
        <w:tab/>
      </w:r>
      <w:r w:rsidRPr="00A202B4">
        <w:rPr>
          <w:szCs w:val="22"/>
          <w:lang w:val="es-ES_tradnl"/>
        </w:rPr>
        <w:t xml:space="preserve">Estar compuesto por expertos seleccionados de conformidad con la sección H del </w:t>
      </w:r>
      <w:r w:rsidRPr="00A202B4">
        <w:rPr>
          <w:i/>
          <w:iCs/>
          <w:szCs w:val="22"/>
          <w:lang w:val="es-ES_tradnl"/>
        </w:rPr>
        <w:t>modus operandi</w:t>
      </w:r>
      <w:r w:rsidRPr="00A202B4">
        <w:rPr>
          <w:szCs w:val="22"/>
          <w:lang w:val="es-ES_tradnl"/>
        </w:rPr>
        <w:t xml:space="preserve"> refundido del Órgano Subsidiario de Asesoramiento Científico, Técnico y Tecnológico, garantizando un conocimiento científico y técnico específico sobre los organismos que contienen impulsores genéticos modificados y sus posibles efectos sobre la diversidad biológica, así como sobre las cuestiones pertinentes para el mandato del Grupo, incluyendo expertos de las organizaciones internacionales pertinente</w:t>
      </w:r>
      <w:r w:rsidRPr="00A202B4">
        <w:rPr>
          <w:kern w:val="22"/>
          <w:szCs w:val="22"/>
          <w:lang w:val="es-ES_tradnl"/>
        </w:rPr>
        <w:t>s</w:t>
      </w:r>
      <w:r w:rsidRPr="00A202B4">
        <w:rPr>
          <w:rStyle w:val="FootnoteReference"/>
          <w:kern w:val="22"/>
          <w:sz w:val="22"/>
          <w:szCs w:val="22"/>
          <w:u w:val="none"/>
          <w:vertAlign w:val="superscript"/>
          <w:lang w:val="es-ES_tradnl"/>
        </w:rPr>
        <w:footnoteReference w:id="34"/>
      </w:r>
      <w:r w:rsidRPr="00A202B4">
        <w:rPr>
          <w:kern w:val="22"/>
          <w:szCs w:val="22"/>
          <w:lang w:val="es-ES_tradnl"/>
        </w:rPr>
        <w:t xml:space="preserve">, así </w:t>
      </w:r>
      <w:r w:rsidRPr="00A202B4">
        <w:rPr>
          <w:szCs w:val="22"/>
          <w:lang w:val="es-ES_tradnl"/>
        </w:rPr>
        <w:t>como de los pueblos indígenas y las comunidades locales, y aplicando la decisión 14/33 sobre el procedimiento para evitar o tratar conflictos de intereses en los grupos de expertos</w:t>
      </w:r>
      <w:r w:rsidRPr="00A202B4">
        <w:rPr>
          <w:kern w:val="22"/>
          <w:szCs w:val="22"/>
          <w:lang w:val="es-ES_tradnl"/>
        </w:rPr>
        <w:t>;</w:t>
      </w:r>
    </w:p>
    <w:p w14:paraId="4C7CCC48" w14:textId="77777777" w:rsidR="00B83B21" w:rsidRPr="00A202B4" w:rsidRDefault="00B83B21" w:rsidP="00B83B21">
      <w:pPr>
        <w:spacing w:before="120" w:after="120"/>
        <w:ind w:firstLine="720"/>
        <w:rPr>
          <w:kern w:val="22"/>
          <w:szCs w:val="22"/>
          <w:lang w:val="es-ES_tradnl"/>
        </w:rPr>
      </w:pPr>
      <w:r w:rsidRPr="00A202B4">
        <w:rPr>
          <w:kern w:val="22"/>
          <w:szCs w:val="22"/>
          <w:lang w:val="es-ES_tradnl"/>
        </w:rPr>
        <w:t>b)</w:t>
      </w:r>
      <w:r w:rsidRPr="00A202B4">
        <w:rPr>
          <w:kern w:val="22"/>
          <w:szCs w:val="22"/>
          <w:lang w:val="es-ES_tradnl"/>
        </w:rPr>
        <w:tab/>
      </w:r>
      <w:r w:rsidRPr="00A202B4">
        <w:rPr>
          <w:szCs w:val="22"/>
          <w:lang w:val="es-ES_tradnl"/>
        </w:rPr>
        <w:t>Reunirse dos veces, con sujeción a la disponibilidad de fondos y con anterioridad a la 11ª reunión de la Conferencia de las Partes que actúa como reunión de las Partes en el Protocolo de Cartagena sobre Seguridad de la Biotecnología, celebrando al menos una de las reuniones en forma presencial, y realizar las tareas necesarias entre sus dos reuniones con el apoyo de medios de comunicación y participación en línea</w:t>
      </w:r>
      <w:r w:rsidRPr="00A202B4">
        <w:rPr>
          <w:kern w:val="22"/>
          <w:szCs w:val="22"/>
          <w:lang w:val="es-ES_tradnl"/>
        </w:rPr>
        <w:t>;</w:t>
      </w:r>
    </w:p>
    <w:p w14:paraId="6AB5C157" w14:textId="77777777" w:rsidR="00B83B21" w:rsidRPr="00A202B4" w:rsidRDefault="00B83B21" w:rsidP="00B83B21">
      <w:pPr>
        <w:suppressLineNumbers/>
        <w:suppressAutoHyphens/>
        <w:spacing w:before="120" w:after="120"/>
        <w:ind w:firstLine="720"/>
        <w:rPr>
          <w:kern w:val="22"/>
          <w:szCs w:val="22"/>
          <w:lang w:val="es-ES_tradnl"/>
        </w:rPr>
      </w:pPr>
      <w:bookmarkStart w:id="20" w:name="_Hlk69979570"/>
      <w:bookmarkStart w:id="21" w:name="_Hlk67401664"/>
      <w:r w:rsidRPr="00A202B4">
        <w:rPr>
          <w:kern w:val="22"/>
          <w:szCs w:val="22"/>
          <w:lang w:val="es-ES_tradnl"/>
        </w:rPr>
        <w:t>c)</w:t>
      </w:r>
      <w:r w:rsidRPr="00A202B4">
        <w:rPr>
          <w:kern w:val="22"/>
          <w:szCs w:val="22"/>
          <w:lang w:val="es-ES_tradnl"/>
        </w:rPr>
        <w:tab/>
      </w:r>
      <w:r w:rsidRPr="00A202B4">
        <w:rPr>
          <w:szCs w:val="22"/>
          <w:lang w:val="es-ES_tradnl"/>
        </w:rPr>
        <w:t xml:space="preserve">Elaborar materiales de orientación voluntaria adicionales para llevar a cabo evaluaciones del riesgo, caso por caso, de los organismos vivos modificados que contengan impulsores genéticos modificados de conformidad con el Anexo III del Protocolo. Este material debería centrarse específicamente en los mosquitos que contienen impulsores genéticos modificados teniendo en cuenta la experiencia actual con el organismo, el tipo de impulsor genético y las cuestiones específicas de la evaluación del riesgo identificadas en el anexo I de la decisión </w:t>
      </w:r>
      <w:r w:rsidRPr="00A202B4">
        <w:rPr>
          <w:kern w:val="22"/>
          <w:szCs w:val="22"/>
          <w:lang w:val="es-ES_tradnl"/>
        </w:rPr>
        <w:t>CP-9/13</w:t>
      </w:r>
      <w:r w:rsidRPr="00A202B4">
        <w:rPr>
          <w:szCs w:val="22"/>
          <w:lang w:val="es-ES_tradnl"/>
        </w:rPr>
        <w:t>, incluyendo los informes existente</w:t>
      </w:r>
      <w:r w:rsidRPr="00DA36DF">
        <w:rPr>
          <w:spacing w:val="-2"/>
          <w:szCs w:val="22"/>
          <w:lang w:val="es-ES_tradnl"/>
        </w:rPr>
        <w:t>s</w:t>
      </w:r>
      <w:r w:rsidRPr="00DA36DF">
        <w:rPr>
          <w:rStyle w:val="FootnoteReference"/>
          <w:spacing w:val="-2"/>
          <w:sz w:val="22"/>
          <w:szCs w:val="22"/>
          <w:u w:val="none"/>
          <w:vertAlign w:val="superscript"/>
          <w:lang w:val="es-ES_tradnl"/>
        </w:rPr>
        <w:footnoteReference w:id="35"/>
      </w:r>
      <w:r w:rsidRPr="00DA36DF">
        <w:rPr>
          <w:spacing w:val="-2"/>
          <w:szCs w:val="22"/>
          <w:lang w:val="es-ES_tradnl"/>
        </w:rPr>
        <w:t>,</w:t>
      </w:r>
      <w:r w:rsidRPr="00A202B4">
        <w:rPr>
          <w:kern w:val="22"/>
          <w:szCs w:val="22"/>
          <w:lang w:val="es-ES_tradnl"/>
        </w:rPr>
        <w:t xml:space="preserve"> </w:t>
      </w:r>
      <w:r w:rsidRPr="00A202B4">
        <w:rPr>
          <w:szCs w:val="22"/>
          <w:lang w:val="es-ES_tradnl"/>
        </w:rPr>
        <w:t>las consideraciones generales sobre los organismos vivos modificados que contienen impulsores genéticos y las experiencias nacionales y regionales existentes en materia de evaluación del riesgo;</w:t>
      </w:r>
    </w:p>
    <w:bookmarkEnd w:id="20"/>
    <w:bookmarkEnd w:id="21"/>
    <w:p w14:paraId="59C728FB" w14:textId="77777777" w:rsidR="00B83B21" w:rsidRPr="00A202B4" w:rsidRDefault="00B83B21" w:rsidP="00B83B21">
      <w:pPr>
        <w:suppressLineNumbers/>
        <w:suppressAutoHyphens/>
        <w:spacing w:before="120" w:after="120"/>
        <w:ind w:firstLine="720"/>
        <w:rPr>
          <w:kern w:val="22"/>
          <w:szCs w:val="22"/>
          <w:lang w:val="es-ES_tradnl"/>
        </w:rPr>
      </w:pPr>
      <w:r w:rsidRPr="00A202B4">
        <w:rPr>
          <w:kern w:val="22"/>
          <w:szCs w:val="22"/>
          <w:lang w:val="es-ES_tradnl"/>
        </w:rPr>
        <w:t>d)</w:t>
      </w:r>
      <w:r w:rsidRPr="00A202B4">
        <w:rPr>
          <w:kern w:val="22"/>
          <w:szCs w:val="22"/>
          <w:lang w:val="es-ES_tradnl"/>
        </w:rPr>
        <w:tab/>
      </w:r>
      <w:r w:rsidRPr="00A202B4">
        <w:rPr>
          <w:szCs w:val="22"/>
          <w:lang w:val="es-ES_tradnl"/>
        </w:rPr>
        <w:t>Analizar la información presentada por las Partes de conformidad con el párrafo 8 de la decisión CP-10/10 y, sobre esa base, preparar una lista de temas prioritarios sobre los que se puede necesitar material de orientación adicional sobre la evaluación del riesgo de conformidad con los criterios de la decisión CP-9/13, anexo I</w:t>
      </w:r>
      <w:r w:rsidRPr="00A202B4">
        <w:rPr>
          <w:kern w:val="22"/>
          <w:szCs w:val="22"/>
          <w:lang w:val="es-ES_tradnl"/>
        </w:rPr>
        <w:t>;</w:t>
      </w:r>
    </w:p>
    <w:p w14:paraId="487C011F" w14:textId="77777777" w:rsidR="00B83B21" w:rsidRPr="00A202B4" w:rsidRDefault="00B83B21" w:rsidP="00B83B21">
      <w:pPr>
        <w:suppressLineNumbers/>
        <w:suppressAutoHyphens/>
        <w:spacing w:before="120" w:after="120"/>
        <w:ind w:firstLine="720"/>
        <w:rPr>
          <w:kern w:val="22"/>
          <w:szCs w:val="22"/>
          <w:lang w:val="es-ES_tradnl"/>
        </w:rPr>
      </w:pPr>
      <w:r w:rsidRPr="00A202B4">
        <w:rPr>
          <w:kern w:val="22"/>
          <w:szCs w:val="22"/>
          <w:lang w:val="es-ES_tradnl"/>
        </w:rPr>
        <w:t>e)</w:t>
      </w:r>
      <w:r w:rsidRPr="00A202B4">
        <w:rPr>
          <w:kern w:val="22"/>
          <w:szCs w:val="22"/>
          <w:lang w:val="es-ES_tradnl"/>
        </w:rPr>
        <w:tab/>
      </w:r>
      <w:r w:rsidRPr="00A202B4">
        <w:rPr>
          <w:szCs w:val="22"/>
          <w:lang w:val="es-ES_tradnl"/>
        </w:rPr>
        <w:t>Preparar un informe que incluya un proyecto de materiales de orientación voluntaria adicionales sobre organismos vivos modificados que contengan impulsores genéticos modificados y una lista de temas prioritarios de conformidad con el párrafo d) anterior, sobre los que pueden necesitarse materiales de orientación adicionales sobre evaluación del riesgo, para su consideración por el Órgano Subsidiario de Asesoramiento Científico, Técnico y Tecnológico</w:t>
      </w:r>
      <w:r w:rsidRPr="00A202B4">
        <w:rPr>
          <w:kern w:val="22"/>
          <w:szCs w:val="22"/>
          <w:lang w:val="es-ES_tradnl"/>
        </w:rPr>
        <w:t>.</w:t>
      </w:r>
    </w:p>
    <w:p w14:paraId="4631EC17" w14:textId="43F44224" w:rsidR="00B83B21" w:rsidRPr="00A202B4" w:rsidRDefault="00B83B21" w:rsidP="00B83B21">
      <w:pPr>
        <w:suppressLineNumbers/>
        <w:suppressAutoHyphens/>
        <w:spacing w:before="120" w:after="120"/>
        <w:rPr>
          <w:kern w:val="22"/>
          <w:szCs w:val="22"/>
          <w:lang w:val="es-ES_tradnl"/>
        </w:rPr>
      </w:pPr>
      <w:r w:rsidRPr="00A202B4">
        <w:rPr>
          <w:kern w:val="22"/>
          <w:szCs w:val="22"/>
          <w:lang w:val="es-ES_tradnl"/>
        </w:rPr>
        <w:t>2.</w:t>
      </w:r>
      <w:r w:rsidRPr="00A202B4">
        <w:rPr>
          <w:kern w:val="22"/>
          <w:szCs w:val="22"/>
          <w:lang w:val="es-ES_tradnl"/>
        </w:rPr>
        <w:tab/>
      </w:r>
      <w:r w:rsidRPr="00A202B4">
        <w:rPr>
          <w:szCs w:val="22"/>
          <w:lang w:val="es-ES_tradnl"/>
        </w:rPr>
        <w:t xml:space="preserve">En el curso de su labor, el Grupo examinará la síntesis de opiniones de las comunicaciones y los debates del foro en línea preparada por la Secretaria Ejecutiva; los recursos existentes, incluidos aquellos identificados en el ejercicio de balance del “estudio sobre la evaluación del riesgo: aplicación del anexo I de la decisión CP-9/13 a los organismos vivos modificados que contienen impulsores genéticos </w:t>
      </w:r>
      <w:r w:rsidRPr="00A202B4">
        <w:rPr>
          <w:szCs w:val="22"/>
          <w:lang w:val="es-ES_tradnl"/>
        </w:rPr>
        <w:lastRenderedPageBreak/>
        <w:t>modificados</w:t>
      </w:r>
      <w:r w:rsidRPr="00A202B4">
        <w:rPr>
          <w:kern w:val="22"/>
          <w:szCs w:val="22"/>
          <w:lang w:val="es-ES_tradnl"/>
        </w:rPr>
        <w:t>”</w:t>
      </w:r>
      <w:r w:rsidRPr="00A202B4">
        <w:rPr>
          <w:rStyle w:val="FootnoteReference"/>
          <w:kern w:val="22"/>
          <w:sz w:val="22"/>
          <w:szCs w:val="22"/>
          <w:u w:val="none"/>
          <w:vertAlign w:val="superscript"/>
          <w:lang w:val="es-ES_tradnl"/>
        </w:rPr>
        <w:footnoteReference w:id="36"/>
      </w:r>
      <w:r w:rsidRPr="00A202B4">
        <w:rPr>
          <w:kern w:val="22"/>
          <w:szCs w:val="22"/>
          <w:lang w:val="es-ES_tradnl"/>
        </w:rPr>
        <w:t xml:space="preserve">, los </w:t>
      </w:r>
      <w:r w:rsidRPr="00A202B4">
        <w:rPr>
          <w:szCs w:val="22"/>
          <w:lang w:val="es-ES_tradnl"/>
        </w:rPr>
        <w:t>materiales de orientación ya disponibles, las decisiones pertinentes sobre evaluación del riesgo y gestión del riesgo adoptadas en el marco del Protocolo de Cartagena sobre Seguridad de la Biotecnología y cualquier otra información pertinente recopilada por la Secretaria Ejecutiva de conformidad con el párrafo 10 c) de la decisión</w:t>
      </w:r>
      <w:r w:rsidRPr="00A202B4">
        <w:rPr>
          <w:kern w:val="22"/>
          <w:szCs w:val="22"/>
          <w:lang w:val="es-ES_tradnl"/>
        </w:rPr>
        <w:t xml:space="preserve"> CP-10/10.</w:t>
      </w:r>
    </w:p>
    <w:p w14:paraId="1CEAFBA4" w14:textId="77777777" w:rsidR="00B83B21" w:rsidRPr="00A202B4" w:rsidRDefault="00B83B21" w:rsidP="00B83B21">
      <w:pPr>
        <w:pStyle w:val="decision"/>
        <w:jc w:val="both"/>
        <w:rPr>
          <w:rFonts w:hint="eastAsia"/>
          <w:b w:val="0"/>
          <w:caps/>
          <w:lang w:val="es-ES_tradnl"/>
        </w:rPr>
      </w:pPr>
    </w:p>
    <w:p w14:paraId="6F85155C" w14:textId="77777777" w:rsidR="00DD4BAA" w:rsidRPr="00A202B4" w:rsidRDefault="00DD4BAA" w:rsidP="00DD4BAA">
      <w:pPr>
        <w:pStyle w:val="decision"/>
        <w:ind w:left="2268" w:right="429" w:hanging="1134"/>
        <w:jc w:val="left"/>
        <w:rPr>
          <w:rFonts w:hint="eastAsia"/>
          <w:caps/>
          <w:lang w:val="es-ES_tradnl"/>
        </w:rPr>
        <w:sectPr w:rsidR="00DD4BAA" w:rsidRPr="00A202B4" w:rsidSect="009474D1">
          <w:footnotePr>
            <w:numRestart w:val="eachSect"/>
          </w:footnotePr>
          <w:pgSz w:w="12240" w:h="15840"/>
          <w:pgMar w:top="1021" w:right="1440" w:bottom="1021" w:left="1440" w:header="459" w:footer="720" w:gutter="0"/>
          <w:cols w:space="708"/>
          <w:docGrid w:linePitch="360"/>
        </w:sectPr>
      </w:pPr>
    </w:p>
    <w:p w14:paraId="5604216E" w14:textId="5BC5EC1D" w:rsidR="00DD4BAA" w:rsidRPr="00A202B4" w:rsidRDefault="00DD4BAA" w:rsidP="00DD4BAA">
      <w:pPr>
        <w:pStyle w:val="decision"/>
        <w:rPr>
          <w:rFonts w:hint="eastAsia"/>
          <w:lang w:val="es-ES_tradnl"/>
        </w:rPr>
      </w:pPr>
      <w:bookmarkStart w:id="22" w:name="_Toc152776500"/>
      <w:r w:rsidRPr="00A202B4">
        <w:rPr>
          <w:lang w:val="es-ES_tradnl"/>
        </w:rPr>
        <w:lastRenderedPageBreak/>
        <w:t>CP-10/11.</w:t>
      </w:r>
      <w:r w:rsidRPr="00A202B4">
        <w:rPr>
          <w:lang w:val="es-ES_tradnl"/>
        </w:rPr>
        <w:tab/>
      </w:r>
      <w:r w:rsidR="00B83B21" w:rsidRPr="00A202B4">
        <w:rPr>
          <w:lang w:val="es-ES_tradnl"/>
        </w:rPr>
        <w:t>Detección e identificación de organismos vivos modificados</w:t>
      </w:r>
      <w:bookmarkEnd w:id="22"/>
    </w:p>
    <w:p w14:paraId="16144D03" w14:textId="77777777" w:rsidR="00B83B21" w:rsidRPr="00A202B4" w:rsidRDefault="00B83B21" w:rsidP="00B83B21">
      <w:pPr>
        <w:pStyle w:val="ListParagraph"/>
        <w:shd w:val="clear" w:color="auto" w:fill="FFFFFF" w:themeFill="background1"/>
        <w:adjustRightInd w:val="0"/>
        <w:snapToGrid w:val="0"/>
        <w:spacing w:before="120" w:after="120"/>
        <w:ind w:left="0" w:firstLine="720"/>
        <w:contextualSpacing w:val="0"/>
        <w:rPr>
          <w:i/>
          <w:iCs/>
          <w:kern w:val="22"/>
          <w:szCs w:val="22"/>
          <w:lang w:val="es-ES_tradnl"/>
        </w:rPr>
      </w:pPr>
      <w:r w:rsidRPr="00A202B4">
        <w:rPr>
          <w:i/>
          <w:iCs/>
          <w:lang w:val="es-ES_tradnl"/>
        </w:rPr>
        <w:t>La Conferencia de las Partes que actúa como reunión de las Partes en el Protocolo de Cartagena sobre la Seguridad de la Biotecnología,</w:t>
      </w:r>
    </w:p>
    <w:p w14:paraId="23DB336C" w14:textId="77777777" w:rsidR="00B83B21" w:rsidRPr="00A202B4" w:rsidRDefault="00B83B21" w:rsidP="00B83B21">
      <w:pPr>
        <w:pStyle w:val="ListParagraph"/>
        <w:shd w:val="clear" w:color="auto" w:fill="FFFFFF" w:themeFill="background1"/>
        <w:adjustRightInd w:val="0"/>
        <w:snapToGrid w:val="0"/>
        <w:spacing w:before="120" w:after="120"/>
        <w:ind w:left="0" w:firstLine="720"/>
        <w:contextualSpacing w:val="0"/>
        <w:rPr>
          <w:i/>
          <w:iCs/>
          <w:kern w:val="22"/>
          <w:szCs w:val="22"/>
          <w:lang w:val="es-ES_tradnl"/>
        </w:rPr>
      </w:pPr>
      <w:r w:rsidRPr="00A202B4">
        <w:rPr>
          <w:i/>
          <w:iCs/>
          <w:kern w:val="22"/>
          <w:szCs w:val="22"/>
          <w:lang w:val="es-ES_tradnl"/>
        </w:rPr>
        <w:t xml:space="preserve">Recordando </w:t>
      </w:r>
      <w:r w:rsidRPr="00A202B4">
        <w:rPr>
          <w:kern w:val="22"/>
          <w:szCs w:val="22"/>
          <w:lang w:val="es-ES_tradnl"/>
        </w:rPr>
        <w:t>la decisión CP-9/11,</w:t>
      </w:r>
    </w:p>
    <w:p w14:paraId="2B508D14" w14:textId="77777777" w:rsidR="00B83B21" w:rsidRPr="00A202B4" w:rsidRDefault="00B83B21" w:rsidP="00B83B21">
      <w:pPr>
        <w:shd w:val="clear" w:color="auto" w:fill="FFFFFF" w:themeFill="background1"/>
        <w:adjustRightInd w:val="0"/>
        <w:snapToGrid w:val="0"/>
        <w:spacing w:before="120" w:after="120"/>
        <w:ind w:firstLine="720"/>
        <w:rPr>
          <w:kern w:val="22"/>
          <w:szCs w:val="22"/>
          <w:lang w:val="es-ES_tradnl"/>
        </w:rPr>
      </w:pPr>
      <w:r w:rsidRPr="00A202B4">
        <w:rPr>
          <w:i/>
          <w:iCs/>
          <w:lang w:val="es-ES_tradnl"/>
        </w:rPr>
        <w:t>Observando</w:t>
      </w:r>
      <w:r w:rsidRPr="00A202B4">
        <w:rPr>
          <w:lang w:val="es-ES_tradnl"/>
        </w:rPr>
        <w:t xml:space="preserve"> la información proporcionada por las Partes en sus cuartos informes nacionales en relación con la detección e identificación de organismos vivos modificados en virtud del Protocolo de Cartagena sobre Seguridad de la Biotecnología, y </w:t>
      </w:r>
      <w:r w:rsidRPr="00A202B4">
        <w:rPr>
          <w:i/>
          <w:iCs/>
          <w:lang w:val="es-ES_tradnl"/>
        </w:rPr>
        <w:t>reconociendo</w:t>
      </w:r>
      <w:r w:rsidRPr="00A202B4">
        <w:rPr>
          <w:lang w:val="es-ES_tradnl"/>
        </w:rPr>
        <w:t xml:space="preserve"> las conclusiones de la cuarta evaluación y revisión de la eficacia del Protocolo</w:t>
      </w:r>
      <w:r w:rsidRPr="00A202B4">
        <w:rPr>
          <w:kern w:val="22"/>
          <w:szCs w:val="22"/>
          <w:lang w:val="es-ES_tradnl"/>
        </w:rPr>
        <w:t>,</w:t>
      </w:r>
    </w:p>
    <w:p w14:paraId="4C40FFBF" w14:textId="77777777" w:rsidR="00B83B21" w:rsidRPr="00A202B4" w:rsidRDefault="00B83B21" w:rsidP="00B83B21">
      <w:pPr>
        <w:pStyle w:val="ListParagraph"/>
        <w:shd w:val="clear" w:color="auto" w:fill="FFFFFF" w:themeFill="background1"/>
        <w:adjustRightInd w:val="0"/>
        <w:snapToGrid w:val="0"/>
        <w:spacing w:before="120" w:after="120"/>
        <w:ind w:left="0" w:firstLine="720"/>
        <w:contextualSpacing w:val="0"/>
        <w:rPr>
          <w:kern w:val="22"/>
          <w:szCs w:val="22"/>
          <w:lang w:val="es-ES_tradnl"/>
        </w:rPr>
      </w:pPr>
      <w:r w:rsidRPr="00A202B4">
        <w:rPr>
          <w:i/>
          <w:iCs/>
          <w:kern w:val="22"/>
          <w:szCs w:val="22"/>
          <w:lang w:val="es-ES_tradnl"/>
        </w:rPr>
        <w:t xml:space="preserve">Observando asimismo </w:t>
      </w:r>
      <w:r w:rsidRPr="00A202B4">
        <w:rPr>
          <w:kern w:val="22"/>
          <w:szCs w:val="22"/>
          <w:lang w:val="es-ES_tradnl"/>
        </w:rPr>
        <w:t>los objetivos A.6 a A.8 del Plan de Aplicación para el Protocolo de Cartagena sobre Seguridad de la Biotecnología</w:t>
      </w:r>
      <w:r w:rsidRPr="00A202B4">
        <w:rPr>
          <w:rStyle w:val="FootnoteReference"/>
          <w:kern w:val="22"/>
          <w:sz w:val="22"/>
          <w:szCs w:val="22"/>
          <w:u w:val="none"/>
          <w:vertAlign w:val="superscript"/>
          <w:lang w:val="es-ES_tradnl"/>
        </w:rPr>
        <w:footnoteReference w:id="37"/>
      </w:r>
      <w:r w:rsidRPr="00A202B4">
        <w:rPr>
          <w:kern w:val="22"/>
          <w:szCs w:val="22"/>
          <w:lang w:val="es-ES_tradnl"/>
        </w:rPr>
        <w:t>, así como de los objetivos A.6 a A.8</w:t>
      </w:r>
      <w:r w:rsidRPr="00A202B4">
        <w:rPr>
          <w:lang w:val="es-ES_tradnl"/>
        </w:rPr>
        <w:t xml:space="preserve"> y las actividades conexas de creación de capacidad</w:t>
      </w:r>
      <w:r w:rsidRPr="00A202B4">
        <w:rPr>
          <w:kern w:val="22"/>
          <w:szCs w:val="22"/>
          <w:lang w:val="es-ES_tradnl"/>
        </w:rPr>
        <w:t xml:space="preserve"> del </w:t>
      </w:r>
      <w:r w:rsidRPr="00A202B4">
        <w:rPr>
          <w:lang w:val="es-ES_tradnl"/>
        </w:rPr>
        <w:t>Plan de Acción para la Creación de Capacidad para el Protocolo de Cartagena sobre Seguridad de la Biotecnología</w:t>
      </w:r>
      <w:r w:rsidRPr="00A202B4">
        <w:rPr>
          <w:rStyle w:val="FootnoteReference"/>
          <w:kern w:val="22"/>
          <w:sz w:val="22"/>
          <w:szCs w:val="22"/>
          <w:u w:val="none"/>
          <w:vertAlign w:val="superscript"/>
          <w:lang w:val="es-ES_tradnl"/>
        </w:rPr>
        <w:footnoteReference w:id="38"/>
      </w:r>
      <w:r w:rsidRPr="00A202B4">
        <w:rPr>
          <w:lang w:val="es-ES_tradnl"/>
        </w:rPr>
        <w:t>,</w:t>
      </w:r>
    </w:p>
    <w:p w14:paraId="74A0272A" w14:textId="77777777" w:rsidR="00B83B21" w:rsidRPr="00A202B4" w:rsidRDefault="00B83B21" w:rsidP="00B83B21">
      <w:pPr>
        <w:shd w:val="clear" w:color="auto" w:fill="FFFFFF" w:themeFill="background1"/>
        <w:adjustRightInd w:val="0"/>
        <w:snapToGrid w:val="0"/>
        <w:spacing w:before="120" w:after="120"/>
        <w:ind w:firstLine="720"/>
        <w:rPr>
          <w:i/>
          <w:iCs/>
          <w:kern w:val="22"/>
          <w:szCs w:val="22"/>
          <w:lang w:val="es-ES_tradnl"/>
        </w:rPr>
      </w:pPr>
      <w:r w:rsidRPr="00A202B4">
        <w:rPr>
          <w:i/>
          <w:iCs/>
          <w:lang w:val="es-ES_tradnl"/>
        </w:rPr>
        <w:t>Reconociendo</w:t>
      </w:r>
      <w:r w:rsidRPr="00A202B4">
        <w:rPr>
          <w:lang w:val="es-ES_tradnl"/>
        </w:rPr>
        <w:t xml:space="preserve"> la importancia del ámbito de la detección e identificación de organismos vivos modificados para el Protocolo de Cartagena sobre Seguridad de la Biotecnología, así como su pertinencia y aplicabilidad a otros ámbitos</w:t>
      </w:r>
      <w:r w:rsidRPr="00A202B4">
        <w:rPr>
          <w:kern w:val="22"/>
          <w:szCs w:val="22"/>
          <w:lang w:val="es-ES_tradnl"/>
        </w:rPr>
        <w:t>,</w:t>
      </w:r>
    </w:p>
    <w:p w14:paraId="3F0B5BDC" w14:textId="77777777" w:rsidR="00B83B21" w:rsidRPr="00A202B4" w:rsidRDefault="00B83B21" w:rsidP="00B83B21">
      <w:pPr>
        <w:shd w:val="clear" w:color="auto" w:fill="FFFFFF" w:themeFill="background1"/>
        <w:adjustRightInd w:val="0"/>
        <w:snapToGrid w:val="0"/>
        <w:spacing w:before="120" w:after="120"/>
        <w:ind w:firstLine="720"/>
        <w:rPr>
          <w:kern w:val="22"/>
          <w:szCs w:val="22"/>
          <w:lang w:val="es-ES_tradnl"/>
        </w:rPr>
      </w:pPr>
      <w:r w:rsidRPr="00A202B4">
        <w:rPr>
          <w:i/>
          <w:iCs/>
          <w:lang w:val="es-ES_tradnl"/>
        </w:rPr>
        <w:t>Reconociendo asimismo</w:t>
      </w:r>
      <w:r w:rsidRPr="00A202B4">
        <w:rPr>
          <w:lang w:val="es-ES_tradnl"/>
        </w:rPr>
        <w:t xml:space="preserve"> las dificultades identificadas por las Partes en relación con la detección e identificación de organismos vivos modificados, incluida la falta de materiales de validación y referencia accesibles y de financiación</w:t>
      </w:r>
      <w:r w:rsidRPr="00A202B4">
        <w:rPr>
          <w:kern w:val="22"/>
          <w:szCs w:val="22"/>
          <w:lang w:val="es-ES_tradnl"/>
        </w:rPr>
        <w:t>,</w:t>
      </w:r>
    </w:p>
    <w:p w14:paraId="31CFEC73" w14:textId="77777777" w:rsidR="00B83B21" w:rsidRPr="00A202B4" w:rsidRDefault="00B83B21" w:rsidP="00B83B21">
      <w:pPr>
        <w:shd w:val="clear" w:color="auto" w:fill="FFFFFF" w:themeFill="background1"/>
        <w:adjustRightInd w:val="0"/>
        <w:snapToGrid w:val="0"/>
        <w:spacing w:before="120" w:after="120"/>
        <w:ind w:firstLine="720"/>
        <w:rPr>
          <w:kern w:val="22"/>
          <w:szCs w:val="22"/>
          <w:lang w:val="es-ES_tradnl"/>
        </w:rPr>
      </w:pPr>
      <w:r w:rsidRPr="00A202B4">
        <w:rPr>
          <w:i/>
          <w:iCs/>
          <w:lang w:val="es-ES_tradnl"/>
        </w:rPr>
        <w:t>Reconociendo además</w:t>
      </w:r>
      <w:r w:rsidRPr="00A202B4">
        <w:rPr>
          <w:lang w:val="es-ES_tradnl"/>
        </w:rPr>
        <w:t xml:space="preserve"> la necesidad de actividades de creación de capacidad para utilizar nuevas técnicas de detección, así como para detectar e identificar organismos vivos modificados no autorizados</w:t>
      </w:r>
      <w:r w:rsidRPr="00A202B4">
        <w:rPr>
          <w:kern w:val="22"/>
          <w:szCs w:val="22"/>
          <w:lang w:val="es-ES_tradnl"/>
        </w:rPr>
        <w:t>,</w:t>
      </w:r>
    </w:p>
    <w:p w14:paraId="10AED657" w14:textId="77777777" w:rsidR="00B83B21" w:rsidRPr="00A202B4" w:rsidRDefault="00B83B21" w:rsidP="00B83B21">
      <w:pPr>
        <w:shd w:val="clear" w:color="auto" w:fill="FFFFFF" w:themeFill="background1"/>
        <w:adjustRightInd w:val="0"/>
        <w:snapToGrid w:val="0"/>
        <w:spacing w:before="120" w:after="120"/>
        <w:ind w:firstLine="720"/>
        <w:rPr>
          <w:kern w:val="22"/>
          <w:szCs w:val="22"/>
          <w:lang w:val="es-ES_tradnl"/>
        </w:rPr>
      </w:pPr>
      <w:r w:rsidRPr="00A202B4">
        <w:rPr>
          <w:kern w:val="22"/>
          <w:szCs w:val="22"/>
          <w:lang w:val="es-ES_tradnl"/>
        </w:rPr>
        <w:t xml:space="preserve">1. </w:t>
      </w:r>
      <w:r w:rsidRPr="00A202B4">
        <w:rPr>
          <w:kern w:val="22"/>
          <w:szCs w:val="22"/>
          <w:lang w:val="es-ES_tradnl"/>
        </w:rPr>
        <w:tab/>
      </w:r>
      <w:r w:rsidRPr="00A202B4">
        <w:rPr>
          <w:i/>
          <w:iCs/>
          <w:kern w:val="22"/>
          <w:szCs w:val="22"/>
          <w:lang w:val="es-ES_tradnl"/>
        </w:rPr>
        <w:t>Acoge con satisfacción</w:t>
      </w:r>
      <w:r w:rsidRPr="00A202B4">
        <w:rPr>
          <w:kern w:val="22"/>
          <w:szCs w:val="22"/>
          <w:lang w:val="es-ES_tradnl"/>
        </w:rPr>
        <w:t xml:space="preserve"> la publicación de la Serie Técnica sobre Seguridad de la Biotecnología núm.</w:t>
      </w:r>
      <w:r w:rsidRPr="00A202B4">
        <w:rPr>
          <w:rFonts w:ascii="Verdana" w:hAnsi="Verdana"/>
          <w:color w:val="505050"/>
          <w:sz w:val="17"/>
          <w:szCs w:val="17"/>
          <w:shd w:val="clear" w:color="auto" w:fill="FFFFFF"/>
          <w:lang w:val="es-ES_tradnl"/>
        </w:rPr>
        <w:t xml:space="preserve"> </w:t>
      </w:r>
      <w:r w:rsidRPr="00A202B4">
        <w:rPr>
          <w:kern w:val="22"/>
          <w:szCs w:val="22"/>
          <w:lang w:val="es-ES_tradnl"/>
        </w:rPr>
        <w:t>05:</w:t>
      </w:r>
      <w:r w:rsidRPr="00A202B4">
        <w:rPr>
          <w:i/>
          <w:iCs/>
          <w:kern w:val="22"/>
          <w:szCs w:val="22"/>
          <w:lang w:val="es-ES_tradnl"/>
        </w:rPr>
        <w:t xml:space="preserve"> Manual de capacitación sobre la detección e identificación de organismos vivos modificados en el contexto del Protocolo de Cartagena sobre Seguridad de la Biotecnología</w:t>
      </w:r>
      <w:r w:rsidRPr="00A202B4">
        <w:rPr>
          <w:kern w:val="22"/>
          <w:szCs w:val="22"/>
          <w:lang w:val="es-ES_tradnl"/>
        </w:rPr>
        <w:t>;</w:t>
      </w:r>
    </w:p>
    <w:p w14:paraId="1E6183ED" w14:textId="77777777" w:rsidR="00B83B21" w:rsidRPr="00A202B4" w:rsidRDefault="00B83B21" w:rsidP="00B83B21">
      <w:pPr>
        <w:shd w:val="clear" w:color="auto" w:fill="FFFFFF" w:themeFill="background1"/>
        <w:adjustRightInd w:val="0"/>
        <w:snapToGrid w:val="0"/>
        <w:spacing w:before="120" w:after="120"/>
        <w:ind w:firstLine="720"/>
        <w:rPr>
          <w:kern w:val="22"/>
          <w:szCs w:val="22"/>
          <w:lang w:val="es-ES_tradnl"/>
        </w:rPr>
      </w:pPr>
      <w:r w:rsidRPr="00A202B4">
        <w:rPr>
          <w:kern w:val="22"/>
          <w:szCs w:val="22"/>
          <w:lang w:val="es-ES_tradnl"/>
        </w:rPr>
        <w:t xml:space="preserve">2. </w:t>
      </w:r>
      <w:r w:rsidRPr="00A202B4">
        <w:rPr>
          <w:kern w:val="22"/>
          <w:szCs w:val="22"/>
          <w:lang w:val="es-ES_tradnl"/>
        </w:rPr>
        <w:tab/>
      </w:r>
      <w:r w:rsidRPr="00A202B4">
        <w:rPr>
          <w:i/>
          <w:iCs/>
          <w:kern w:val="22"/>
          <w:szCs w:val="22"/>
          <w:lang w:val="es-ES_tradnl"/>
        </w:rPr>
        <w:t>Reconoce</w:t>
      </w:r>
      <w:r w:rsidRPr="00A202B4">
        <w:rPr>
          <w:kern w:val="22"/>
          <w:szCs w:val="22"/>
          <w:lang w:val="es-ES_tradnl"/>
        </w:rPr>
        <w:t xml:space="preserve"> la importancia de la Red </w:t>
      </w:r>
      <w:r w:rsidRPr="00A202B4">
        <w:rPr>
          <w:lang w:val="es-ES_tradnl"/>
        </w:rPr>
        <w:t>de laboratorios para la detección e identificación de organismos vivos modificados</w:t>
      </w:r>
      <w:r w:rsidRPr="00A202B4">
        <w:rPr>
          <w:kern w:val="22"/>
          <w:szCs w:val="22"/>
          <w:lang w:val="es-ES_tradnl"/>
        </w:rPr>
        <w:t xml:space="preserve"> y </w:t>
      </w:r>
      <w:r w:rsidRPr="00A202B4">
        <w:rPr>
          <w:i/>
          <w:kern w:val="22"/>
          <w:szCs w:val="22"/>
          <w:lang w:val="es-ES_tradnl"/>
        </w:rPr>
        <w:t>alienta</w:t>
      </w:r>
      <w:r w:rsidRPr="00A202B4">
        <w:rPr>
          <w:kern w:val="22"/>
          <w:szCs w:val="22"/>
          <w:lang w:val="es-ES_tradnl"/>
        </w:rPr>
        <w:t xml:space="preserve"> a las Partes a seguir cooperando para crear redes regionales de laboratorios con el fin de facilitar el intercambio de experiencia e información y la formación de expertos en este campo;</w:t>
      </w:r>
    </w:p>
    <w:p w14:paraId="1E0ED70B" w14:textId="77777777" w:rsidR="00B83B21" w:rsidRPr="00A202B4" w:rsidRDefault="00B83B21" w:rsidP="00B83B21">
      <w:pPr>
        <w:shd w:val="clear" w:color="auto" w:fill="FFFFFF" w:themeFill="background1"/>
        <w:adjustRightInd w:val="0"/>
        <w:snapToGrid w:val="0"/>
        <w:spacing w:before="120" w:after="120"/>
        <w:ind w:firstLine="720"/>
        <w:rPr>
          <w:kern w:val="22"/>
          <w:szCs w:val="22"/>
          <w:lang w:val="es-ES_tradnl"/>
        </w:rPr>
      </w:pPr>
      <w:r w:rsidRPr="00A202B4">
        <w:rPr>
          <w:kern w:val="22"/>
          <w:szCs w:val="22"/>
          <w:lang w:val="es-ES_tradnl"/>
        </w:rPr>
        <w:t>3.</w:t>
      </w:r>
      <w:r w:rsidRPr="00A202B4">
        <w:rPr>
          <w:kern w:val="22"/>
          <w:szCs w:val="22"/>
          <w:lang w:val="es-ES_tradnl"/>
        </w:rPr>
        <w:tab/>
      </w:r>
      <w:r w:rsidRPr="00A202B4">
        <w:rPr>
          <w:i/>
          <w:iCs/>
          <w:lang w:val="es-ES_tradnl"/>
        </w:rPr>
        <w:t>Invita</w:t>
      </w:r>
      <w:r w:rsidRPr="00A202B4">
        <w:rPr>
          <w:lang w:val="es-ES_tradnl"/>
        </w:rPr>
        <w:t xml:space="preserve"> a las Partes y a las organizaciones pertinentes a presentar información sobre su experiencia con las nuevas técnicas de detección, la detección de organismos vivos modificados de reciente creación y no autorizados, y la preparación de materiales de referencia, así como las colaboraciones en curso con la participación de laboratorios nacionales y regionales, y </w:t>
      </w:r>
      <w:r w:rsidRPr="00A202B4">
        <w:rPr>
          <w:i/>
          <w:iCs/>
          <w:lang w:val="es-ES_tradnl"/>
        </w:rPr>
        <w:t>también invita</w:t>
      </w:r>
      <w:r w:rsidRPr="00A202B4">
        <w:rPr>
          <w:lang w:val="es-ES_tradnl"/>
        </w:rPr>
        <w:t xml:space="preserve"> a las Partes, en particular a las que aún no lo hayan hecho, a presentar información sobre sus laboratorios, incluidas sus actividades específicas, al Centro de Intercambio de Información sobre Seguridad de la Biotecnología utilizando el formato común para laboratorios</w:t>
      </w:r>
      <w:r w:rsidRPr="00A202B4">
        <w:rPr>
          <w:kern w:val="22"/>
          <w:szCs w:val="22"/>
          <w:lang w:val="es-ES_tradnl"/>
        </w:rPr>
        <w:t>;</w:t>
      </w:r>
    </w:p>
    <w:p w14:paraId="3A5C8076" w14:textId="77777777" w:rsidR="00B83B21" w:rsidRPr="00A202B4" w:rsidRDefault="00B83B21" w:rsidP="00B83B21">
      <w:pPr>
        <w:shd w:val="clear" w:color="auto" w:fill="FFFFFF" w:themeFill="background1"/>
        <w:adjustRightInd w:val="0"/>
        <w:snapToGrid w:val="0"/>
        <w:spacing w:before="120" w:after="120"/>
        <w:ind w:firstLine="720"/>
        <w:rPr>
          <w:lang w:val="es-ES_tradnl"/>
        </w:rPr>
      </w:pPr>
      <w:r w:rsidRPr="00A202B4">
        <w:rPr>
          <w:kern w:val="22"/>
          <w:szCs w:val="22"/>
          <w:lang w:val="es-ES_tradnl"/>
        </w:rPr>
        <w:t>4.</w:t>
      </w:r>
      <w:r w:rsidRPr="00A202B4">
        <w:rPr>
          <w:kern w:val="22"/>
          <w:szCs w:val="22"/>
          <w:lang w:val="es-ES_tradnl"/>
        </w:rPr>
        <w:tab/>
      </w:r>
      <w:r w:rsidRPr="00A202B4">
        <w:rPr>
          <w:i/>
          <w:iCs/>
          <w:lang w:val="es-ES_tradnl"/>
        </w:rPr>
        <w:t xml:space="preserve">Pide </w:t>
      </w:r>
      <w:r w:rsidRPr="00A202B4">
        <w:rPr>
          <w:iCs/>
          <w:lang w:val="es-ES_tradnl"/>
        </w:rPr>
        <w:t>al Órgano Subsidiario de Asesoramiento Científico, Técnico y Tecnológico</w:t>
      </w:r>
      <w:r w:rsidRPr="00A202B4">
        <w:rPr>
          <w:lang w:val="es-ES_tradnl"/>
        </w:rPr>
        <w:t xml:space="preserve"> que, en sus reuniones 25</w:t>
      </w:r>
      <w:r w:rsidRPr="00A202B4">
        <w:rPr>
          <w:vertAlign w:val="superscript"/>
          <w:lang w:val="es-ES_tradnl"/>
        </w:rPr>
        <w:t>a</w:t>
      </w:r>
      <w:r w:rsidRPr="00A202B4">
        <w:rPr>
          <w:lang w:val="es-ES_tradnl"/>
        </w:rPr>
        <w:t xml:space="preserve"> o 26</w:t>
      </w:r>
      <w:r w:rsidRPr="00A202B4">
        <w:rPr>
          <w:vertAlign w:val="superscript"/>
          <w:lang w:val="es-ES_tradnl"/>
        </w:rPr>
        <w:t>a</w:t>
      </w:r>
      <w:r w:rsidRPr="00A202B4">
        <w:rPr>
          <w:lang w:val="es-ES_tradnl"/>
        </w:rPr>
        <w:t xml:space="preserve"> examine la información presentada por las Partes y las organizaciones pertinentes en respuesta al párrafo 3 anterior, y elabore una recomendación para la 11</w:t>
      </w:r>
      <w:r w:rsidRPr="00A202B4">
        <w:rPr>
          <w:vertAlign w:val="superscript"/>
          <w:lang w:val="es-ES_tradnl"/>
        </w:rPr>
        <w:t>a</w:t>
      </w:r>
      <w:r w:rsidRPr="00A202B4">
        <w:rPr>
          <w:lang w:val="es-ES_tradnl"/>
        </w:rPr>
        <w:t xml:space="preserve"> reunión de la Conferencia de las Partes que actúa como reunión de las Partes en el Protocolo de Cartagena sobre Seguridad de la Biotecnología acerca de la necesidad de actualizar el manual de capacitación sobre la detección e identificación de organismos vivos modificados en el contexto del Protocolo de Cartagena sobre Seguridad de la Biotecnología;</w:t>
      </w:r>
    </w:p>
    <w:p w14:paraId="09B902F1" w14:textId="77777777" w:rsidR="00B83B21" w:rsidRPr="00A202B4" w:rsidRDefault="00B83B21" w:rsidP="00B83B21">
      <w:pPr>
        <w:shd w:val="clear" w:color="auto" w:fill="FFFFFF" w:themeFill="background1"/>
        <w:adjustRightInd w:val="0"/>
        <w:snapToGrid w:val="0"/>
        <w:spacing w:before="120" w:after="120"/>
        <w:ind w:firstLine="720"/>
        <w:rPr>
          <w:kern w:val="22"/>
          <w:szCs w:val="22"/>
          <w:lang w:val="es-ES_tradnl"/>
        </w:rPr>
      </w:pPr>
      <w:r w:rsidRPr="00A202B4">
        <w:rPr>
          <w:kern w:val="22"/>
          <w:szCs w:val="22"/>
          <w:lang w:val="es-ES_tradnl"/>
        </w:rPr>
        <w:t>5.</w:t>
      </w:r>
      <w:r w:rsidRPr="00A202B4">
        <w:rPr>
          <w:kern w:val="22"/>
          <w:szCs w:val="22"/>
          <w:lang w:val="es-ES_tradnl"/>
        </w:rPr>
        <w:tab/>
      </w:r>
      <w:r w:rsidRPr="00A202B4">
        <w:rPr>
          <w:i/>
          <w:iCs/>
          <w:lang w:val="es-ES_tradnl"/>
        </w:rPr>
        <w:t>Insta</w:t>
      </w:r>
      <w:r w:rsidRPr="00A202B4">
        <w:rPr>
          <w:lang w:val="es-ES_tradnl"/>
        </w:rPr>
        <w:t xml:space="preserve"> a las Partes e </w:t>
      </w:r>
      <w:r w:rsidRPr="00A202B4">
        <w:rPr>
          <w:i/>
          <w:lang w:val="es-ES_tradnl"/>
        </w:rPr>
        <w:t xml:space="preserve">invita </w:t>
      </w:r>
      <w:r w:rsidRPr="00A202B4">
        <w:rPr>
          <w:lang w:val="es-ES_tradnl"/>
        </w:rPr>
        <w:t xml:space="preserve">a las organizaciones internacionales a proporcionar recursos financieros a los laboratorios, sobre todo a los de los países en desarrollo, en especial a los países menos </w:t>
      </w:r>
      <w:r w:rsidRPr="00A202B4">
        <w:rPr>
          <w:lang w:val="es-ES_tradnl"/>
        </w:rPr>
        <w:lastRenderedPageBreak/>
        <w:t>adelantados y los pequeños Estados insulares en desarrollo y los países con economías en transición, y a fortalecer la infraestructura para la detección e identificación de organismos vivos modificados</w:t>
      </w:r>
      <w:r w:rsidRPr="00A202B4">
        <w:rPr>
          <w:kern w:val="22"/>
          <w:szCs w:val="22"/>
          <w:lang w:val="es-ES_tradnl"/>
        </w:rPr>
        <w:t>;</w:t>
      </w:r>
    </w:p>
    <w:p w14:paraId="19B28363" w14:textId="77777777" w:rsidR="00B83B21" w:rsidRPr="00A202B4" w:rsidRDefault="00B83B21" w:rsidP="00B83B21">
      <w:pPr>
        <w:shd w:val="clear" w:color="auto" w:fill="FFFFFF" w:themeFill="background1"/>
        <w:adjustRightInd w:val="0"/>
        <w:snapToGrid w:val="0"/>
        <w:spacing w:before="120" w:after="120"/>
        <w:ind w:firstLine="720"/>
        <w:rPr>
          <w:kern w:val="22"/>
          <w:szCs w:val="22"/>
          <w:lang w:val="es-ES_tradnl"/>
        </w:rPr>
      </w:pPr>
      <w:r w:rsidRPr="00A202B4">
        <w:rPr>
          <w:iCs/>
          <w:lang w:val="es-ES_tradnl"/>
        </w:rPr>
        <w:t>6.</w:t>
      </w:r>
      <w:r w:rsidRPr="00A202B4">
        <w:rPr>
          <w:i/>
          <w:iCs/>
          <w:lang w:val="es-ES_tradnl"/>
        </w:rPr>
        <w:tab/>
        <w:t>Alienta</w:t>
      </w:r>
      <w:r w:rsidRPr="00A202B4">
        <w:rPr>
          <w:lang w:val="es-ES_tradnl"/>
        </w:rPr>
        <w:t xml:space="preserve"> a las Partes y a las organizaciones internacionales a financiar el aumento de la capacidad del personal implicado en el campo de la detección e identificación de organismos vivos modificados</w:t>
      </w:r>
      <w:r w:rsidRPr="00A202B4">
        <w:rPr>
          <w:kern w:val="22"/>
          <w:szCs w:val="22"/>
          <w:lang w:val="es-ES_tradnl"/>
        </w:rPr>
        <w:t>;</w:t>
      </w:r>
    </w:p>
    <w:p w14:paraId="70672A67" w14:textId="77777777" w:rsidR="00B83B21" w:rsidRPr="00A202B4" w:rsidRDefault="00B83B21" w:rsidP="00B83B21">
      <w:pPr>
        <w:shd w:val="clear" w:color="auto" w:fill="FFFFFF" w:themeFill="background1"/>
        <w:adjustRightInd w:val="0"/>
        <w:snapToGrid w:val="0"/>
        <w:spacing w:before="120" w:after="120"/>
        <w:ind w:left="720"/>
        <w:rPr>
          <w:kern w:val="22"/>
          <w:szCs w:val="22"/>
          <w:lang w:val="es-ES_tradnl"/>
        </w:rPr>
      </w:pPr>
      <w:r w:rsidRPr="00A202B4">
        <w:rPr>
          <w:kern w:val="22"/>
          <w:szCs w:val="22"/>
          <w:lang w:val="es-ES_tradnl"/>
        </w:rPr>
        <w:t>7.</w:t>
      </w:r>
      <w:r w:rsidRPr="00A202B4">
        <w:rPr>
          <w:kern w:val="22"/>
          <w:szCs w:val="22"/>
          <w:lang w:val="es-ES_tradnl"/>
        </w:rPr>
        <w:tab/>
      </w:r>
      <w:r w:rsidRPr="00A202B4">
        <w:rPr>
          <w:i/>
          <w:iCs/>
          <w:kern w:val="22"/>
          <w:szCs w:val="22"/>
          <w:lang w:val="es-ES_tradnl"/>
        </w:rPr>
        <w:t xml:space="preserve">Pide </w:t>
      </w:r>
      <w:r w:rsidRPr="00A202B4">
        <w:rPr>
          <w:kern w:val="22"/>
          <w:szCs w:val="22"/>
          <w:lang w:val="es-ES_tradnl"/>
        </w:rPr>
        <w:t>a la Secretaria Ejecutiva que:</w:t>
      </w:r>
    </w:p>
    <w:p w14:paraId="40D2AF86" w14:textId="77777777" w:rsidR="00B83B21" w:rsidRPr="00A202B4" w:rsidRDefault="00B83B21" w:rsidP="006A4072">
      <w:pPr>
        <w:pStyle w:val="ListParagraph"/>
        <w:numPr>
          <w:ilvl w:val="0"/>
          <w:numId w:val="9"/>
        </w:numPr>
        <w:shd w:val="clear" w:color="auto" w:fill="FFFFFF" w:themeFill="background1"/>
        <w:adjustRightInd w:val="0"/>
        <w:snapToGrid w:val="0"/>
        <w:spacing w:before="120" w:after="120"/>
        <w:ind w:left="0" w:firstLine="709"/>
        <w:contextualSpacing w:val="0"/>
        <w:rPr>
          <w:kern w:val="22"/>
          <w:szCs w:val="22"/>
          <w:lang w:val="es-ES_tradnl"/>
        </w:rPr>
      </w:pPr>
      <w:r w:rsidRPr="00A202B4">
        <w:rPr>
          <w:lang w:val="es-ES_tradnl"/>
        </w:rPr>
        <w:t xml:space="preserve">Continúe la labor encomendada en la decisión </w:t>
      </w:r>
      <w:r w:rsidRPr="00A202B4">
        <w:rPr>
          <w:kern w:val="22"/>
          <w:szCs w:val="22"/>
          <w:lang w:val="es-ES_tradnl"/>
        </w:rPr>
        <w:t>CP-9/11;</w:t>
      </w:r>
    </w:p>
    <w:p w14:paraId="6DA47621" w14:textId="77777777" w:rsidR="00B83B21" w:rsidRPr="00A202B4" w:rsidRDefault="00B83B21" w:rsidP="006A4072">
      <w:pPr>
        <w:pStyle w:val="ListParagraph"/>
        <w:numPr>
          <w:ilvl w:val="0"/>
          <w:numId w:val="9"/>
        </w:numPr>
        <w:shd w:val="clear" w:color="auto" w:fill="FFFFFF" w:themeFill="background1"/>
        <w:adjustRightInd w:val="0"/>
        <w:snapToGrid w:val="0"/>
        <w:spacing w:before="120" w:after="120"/>
        <w:ind w:left="0" w:firstLine="709"/>
        <w:contextualSpacing w:val="0"/>
        <w:rPr>
          <w:kern w:val="22"/>
          <w:szCs w:val="22"/>
          <w:lang w:val="es-ES_tradnl"/>
        </w:rPr>
      </w:pPr>
      <w:r w:rsidRPr="00A202B4">
        <w:rPr>
          <w:lang w:val="es-ES_tradnl"/>
        </w:rPr>
        <w:t>Sintetice la información recopilada en respuesta al párrafo 3 anterior y presente un informe a la Conferencia de las Partes que actúa como reunión de las Partes en el Protocolo de Cartagena sobre Seguridad de la Biotecnología en su próxima reunión</w:t>
      </w:r>
      <w:r w:rsidRPr="00A202B4">
        <w:rPr>
          <w:kern w:val="22"/>
          <w:szCs w:val="22"/>
          <w:lang w:val="es-ES_tradnl"/>
        </w:rPr>
        <w:t>;</w:t>
      </w:r>
    </w:p>
    <w:p w14:paraId="5300042D" w14:textId="673ADCE6" w:rsidR="00B83B21" w:rsidRPr="00A202B4" w:rsidRDefault="00B83B21" w:rsidP="006A4072">
      <w:pPr>
        <w:pStyle w:val="ListParagraph"/>
        <w:numPr>
          <w:ilvl w:val="0"/>
          <w:numId w:val="9"/>
        </w:numPr>
        <w:shd w:val="clear" w:color="auto" w:fill="FFFFFF" w:themeFill="background1"/>
        <w:adjustRightInd w:val="0"/>
        <w:snapToGrid w:val="0"/>
        <w:spacing w:before="120" w:after="120"/>
        <w:ind w:left="0" w:firstLine="709"/>
        <w:contextualSpacing w:val="0"/>
        <w:rPr>
          <w:szCs w:val="22"/>
          <w:lang w:val="es-ES_tradnl"/>
        </w:rPr>
      </w:pPr>
      <w:r w:rsidRPr="00A202B4">
        <w:rPr>
          <w:lang w:val="es-ES_tradnl"/>
        </w:rPr>
        <w:t>Continúe mejorando la creación de capacidad en el ámbito de la detección e identificación de organismos vivos modificados, incluida la convocatoria, en cooperación con las organizaciones pertinentes y con sujeción a la disponibilidad de recursos, de actividades regionales y subregionales de creación de capacidad, tales como la formación en línea y los talleres presenciales</w:t>
      </w:r>
      <w:r w:rsidRPr="00A202B4">
        <w:rPr>
          <w:kern w:val="22"/>
          <w:szCs w:val="22"/>
          <w:lang w:val="es-ES_tradnl"/>
        </w:rPr>
        <w:t>.</w:t>
      </w:r>
    </w:p>
    <w:p w14:paraId="4DD56A2E" w14:textId="77777777" w:rsidR="00B83B21" w:rsidRPr="00A202B4" w:rsidRDefault="00B83B21" w:rsidP="00B83B21">
      <w:pPr>
        <w:pStyle w:val="decision"/>
        <w:jc w:val="both"/>
        <w:rPr>
          <w:rFonts w:cs="Times New Roman Bold" w:hint="eastAsia"/>
          <w:b w:val="0"/>
          <w:caps/>
          <w:lang w:val="es-ES_tradnl"/>
        </w:rPr>
      </w:pPr>
    </w:p>
    <w:p w14:paraId="1BE4A91A" w14:textId="77777777" w:rsidR="00DD4BAA" w:rsidRPr="00A202B4" w:rsidRDefault="00DD4BAA" w:rsidP="00DD4BAA">
      <w:pPr>
        <w:pStyle w:val="decision"/>
        <w:ind w:left="2268" w:right="429" w:hanging="1134"/>
        <w:jc w:val="left"/>
        <w:rPr>
          <w:rFonts w:hint="eastAsia"/>
          <w:caps/>
          <w:lang w:val="es-ES_tradnl"/>
        </w:rPr>
        <w:sectPr w:rsidR="00DD4BAA" w:rsidRPr="00A202B4" w:rsidSect="009474D1">
          <w:footnotePr>
            <w:numRestart w:val="eachSect"/>
          </w:footnotePr>
          <w:pgSz w:w="12240" w:h="15840"/>
          <w:pgMar w:top="1021" w:right="1440" w:bottom="1021" w:left="1440" w:header="459" w:footer="720" w:gutter="0"/>
          <w:cols w:space="708"/>
          <w:docGrid w:linePitch="360"/>
        </w:sectPr>
      </w:pPr>
    </w:p>
    <w:p w14:paraId="3E01DE67" w14:textId="27CB8491" w:rsidR="00DD4BAA" w:rsidRPr="00A202B4" w:rsidRDefault="00DD4BAA" w:rsidP="00DD4BAA">
      <w:pPr>
        <w:pStyle w:val="decision"/>
        <w:rPr>
          <w:rFonts w:hint="eastAsia"/>
          <w:lang w:val="es-ES_tradnl"/>
        </w:rPr>
      </w:pPr>
      <w:bookmarkStart w:id="23" w:name="_Toc152776501"/>
      <w:r w:rsidRPr="00A202B4">
        <w:rPr>
          <w:lang w:val="es-ES_tradnl"/>
        </w:rPr>
        <w:lastRenderedPageBreak/>
        <w:t>CP-10/12.</w:t>
      </w:r>
      <w:r w:rsidRPr="00A202B4">
        <w:rPr>
          <w:lang w:val="es-ES_tradnl"/>
        </w:rPr>
        <w:tab/>
      </w:r>
      <w:r w:rsidR="00B83B21" w:rsidRPr="00A202B4">
        <w:rPr>
          <w:lang w:val="es-ES_tradnl"/>
        </w:rPr>
        <w:t>Consideraciones socioeconómicas (artículo 26)</w:t>
      </w:r>
      <w:bookmarkEnd w:id="23"/>
    </w:p>
    <w:p w14:paraId="3FEFE0F0" w14:textId="77777777" w:rsidR="00B83B21" w:rsidRPr="00A202B4" w:rsidRDefault="00B83B21" w:rsidP="00B83B21">
      <w:pPr>
        <w:shd w:val="clear" w:color="auto" w:fill="FFFFFF" w:themeFill="background1"/>
        <w:spacing w:before="240" w:after="120"/>
        <w:ind w:firstLine="720"/>
        <w:rPr>
          <w:kern w:val="22"/>
          <w:lang w:val="es-ES_tradnl"/>
        </w:rPr>
      </w:pPr>
      <w:r w:rsidRPr="00A202B4">
        <w:rPr>
          <w:i/>
          <w:iCs/>
          <w:szCs w:val="22"/>
          <w:lang w:val="es-ES_tradnl"/>
        </w:rPr>
        <w:t>La Conferencia de las Partes que actúa como reunión de las Partes en el Protocolo de Cartagena sobre Seguridad de la Biotecnología,</w:t>
      </w:r>
    </w:p>
    <w:p w14:paraId="70952A5B" w14:textId="77777777" w:rsidR="00B83B21" w:rsidRPr="00A202B4" w:rsidRDefault="00B83B21" w:rsidP="00B83B21">
      <w:pPr>
        <w:shd w:val="clear" w:color="auto" w:fill="FFFFFF" w:themeFill="background1"/>
        <w:spacing w:before="120" w:after="120"/>
        <w:ind w:firstLine="720"/>
        <w:rPr>
          <w:i/>
          <w:iCs/>
          <w:kern w:val="22"/>
          <w:lang w:val="es-ES_tradnl"/>
        </w:rPr>
      </w:pPr>
      <w:r w:rsidRPr="00A202B4">
        <w:rPr>
          <w:i/>
          <w:iCs/>
          <w:lang w:val="es-ES_tradnl"/>
        </w:rPr>
        <w:t xml:space="preserve">Recordando </w:t>
      </w:r>
      <w:r w:rsidRPr="00A202B4">
        <w:rPr>
          <w:lang w:val="es-ES_tradnl"/>
        </w:rPr>
        <w:t>el párrafo 2 del artículo 26 del Protocolo de Cartagena sobre Seguridad de la Biotecnología,</w:t>
      </w:r>
    </w:p>
    <w:p w14:paraId="2586D6BA" w14:textId="77777777" w:rsidR="00B83B21" w:rsidRPr="00A202B4" w:rsidRDefault="00B83B21" w:rsidP="00B83B21">
      <w:pPr>
        <w:shd w:val="clear" w:color="auto" w:fill="FFFFFF" w:themeFill="background1"/>
        <w:spacing w:before="120" w:after="120"/>
        <w:ind w:firstLine="720"/>
        <w:rPr>
          <w:i/>
          <w:iCs/>
          <w:kern w:val="22"/>
          <w:lang w:val="es-ES_tradnl"/>
        </w:rPr>
      </w:pPr>
      <w:r w:rsidRPr="00A202B4">
        <w:rPr>
          <w:i/>
          <w:iCs/>
          <w:lang w:val="es-ES_tradnl"/>
        </w:rPr>
        <w:t>Recordando también</w:t>
      </w:r>
      <w:r w:rsidRPr="00A202B4">
        <w:rPr>
          <w:lang w:val="es-ES_tradnl"/>
        </w:rPr>
        <w:t xml:space="preserve"> el preámbulo de la decisión CP-9/14,</w:t>
      </w:r>
    </w:p>
    <w:p w14:paraId="40E8662D" w14:textId="77777777" w:rsidR="00B83B21" w:rsidRPr="00A202B4" w:rsidRDefault="00B83B21" w:rsidP="00B83B21">
      <w:pPr>
        <w:shd w:val="clear" w:color="auto" w:fill="FFFFFF" w:themeFill="background1"/>
        <w:spacing w:before="120" w:after="120"/>
        <w:ind w:firstLine="720"/>
        <w:rPr>
          <w:kern w:val="22"/>
          <w:lang w:val="es-ES_tradnl"/>
        </w:rPr>
      </w:pPr>
      <w:r w:rsidRPr="00A202B4">
        <w:rPr>
          <w:i/>
          <w:iCs/>
          <w:lang w:val="es-ES_tradnl"/>
        </w:rPr>
        <w:t xml:space="preserve">Recordando además </w:t>
      </w:r>
      <w:r w:rsidRPr="00A202B4">
        <w:rPr>
          <w:lang w:val="es-ES_tradnl"/>
        </w:rPr>
        <w:t xml:space="preserve">la “Orientación para la evaluación de las consideraciones socioeconómicas en el contexto del artículo 26 del Protocolo de Cartagena sobre Seguridad de la Biotecnología”, de carácter voluntario, de la que tomó nota en la decisión CP-9/14, </w:t>
      </w:r>
    </w:p>
    <w:p w14:paraId="2EA4A690" w14:textId="77777777" w:rsidR="00B83B21" w:rsidRPr="00A202B4" w:rsidRDefault="00B83B21" w:rsidP="00B83B21">
      <w:pPr>
        <w:shd w:val="clear" w:color="auto" w:fill="FFFFFF" w:themeFill="background1"/>
        <w:spacing w:before="120" w:after="120"/>
        <w:ind w:firstLine="720"/>
        <w:rPr>
          <w:kern w:val="22"/>
          <w:szCs w:val="22"/>
          <w:lang w:val="es-ES_tradnl"/>
        </w:rPr>
      </w:pPr>
      <w:r w:rsidRPr="00A202B4">
        <w:rPr>
          <w:i/>
          <w:iCs/>
          <w:kern w:val="22"/>
          <w:lang w:val="es-ES_tradnl"/>
        </w:rPr>
        <w:t xml:space="preserve">Reconociendo </w:t>
      </w:r>
      <w:r w:rsidRPr="00A202B4">
        <w:rPr>
          <w:kern w:val="22"/>
          <w:lang w:val="es-ES_tradnl"/>
        </w:rPr>
        <w:t>el tiempo limitado que han tenido las Partes, otros Gobiernos, organizaciones pertinentes y otros interesados para hacer uso de la Orientación de carácter voluntario</w:t>
      </w:r>
      <w:r w:rsidRPr="00A202B4">
        <w:rPr>
          <w:lang w:val="es-ES_tradnl"/>
        </w:rPr>
        <w:t xml:space="preserve">, </w:t>
      </w:r>
    </w:p>
    <w:p w14:paraId="7D96B076" w14:textId="77777777" w:rsidR="00B83B21" w:rsidRPr="00A202B4" w:rsidRDefault="00B83B21" w:rsidP="00B83B21">
      <w:pPr>
        <w:shd w:val="clear" w:color="auto" w:fill="FFFFFF" w:themeFill="background1"/>
        <w:spacing w:before="120" w:after="120"/>
        <w:rPr>
          <w:kern w:val="22"/>
          <w:szCs w:val="22"/>
          <w:lang w:val="es-ES_tradnl"/>
        </w:rPr>
      </w:pPr>
      <w:r w:rsidRPr="00A202B4">
        <w:rPr>
          <w:i/>
          <w:iCs/>
          <w:szCs w:val="22"/>
          <w:lang w:val="es-ES_tradnl"/>
        </w:rPr>
        <w:tab/>
      </w:r>
      <w:r w:rsidRPr="00A202B4">
        <w:rPr>
          <w:i/>
          <w:iCs/>
          <w:kern w:val="22"/>
          <w:lang w:val="es-ES_tradnl"/>
        </w:rPr>
        <w:t xml:space="preserve">Reconociendo </w:t>
      </w:r>
      <w:r w:rsidRPr="00A202B4">
        <w:rPr>
          <w:kern w:val="22"/>
          <w:lang w:val="es-ES_tradnl"/>
        </w:rPr>
        <w:t>la necesidad de reunir y compartir más información sobre metodologías y enfoques</w:t>
      </w:r>
      <w:r w:rsidRPr="00A202B4">
        <w:rPr>
          <w:lang w:val="es-ES_tradnl"/>
        </w:rPr>
        <w:t>,</w:t>
      </w:r>
    </w:p>
    <w:p w14:paraId="18FC8A04" w14:textId="5C2B4FBD" w:rsidR="00B83B21" w:rsidRPr="00A202B4" w:rsidRDefault="00B83B21" w:rsidP="00B83B21">
      <w:pPr>
        <w:shd w:val="clear" w:color="auto" w:fill="FFFFFF" w:themeFill="background1"/>
        <w:spacing w:before="120" w:after="120"/>
        <w:ind w:firstLine="720"/>
        <w:rPr>
          <w:kern w:val="22"/>
          <w:szCs w:val="22"/>
          <w:lang w:val="es-ES_tradnl"/>
        </w:rPr>
      </w:pPr>
      <w:r w:rsidRPr="00A202B4">
        <w:rPr>
          <w:i/>
          <w:iCs/>
          <w:kern w:val="22"/>
          <w:lang w:val="es-ES_tradnl"/>
        </w:rPr>
        <w:t xml:space="preserve">Observando </w:t>
      </w:r>
      <w:r w:rsidRPr="00A202B4">
        <w:rPr>
          <w:kern w:val="22"/>
          <w:lang w:val="es-ES_tradnl"/>
        </w:rPr>
        <w:t xml:space="preserve">la información proporcionada por las Partes en sus cuartos informes nacionales en relación con el artículo 26 del Protocolo de Cartagena sobre Seguridad de la Biotecnología, así como las conclusiones sobre consideraciones socioeconómicas de la cuarta evaluación y revisión de la eficacia del Protocolo y de la evaluación final del Plan Estratégico para el Protocolo de Cartagena sobre Seguridad de la Biotecnología para el período 2011-2020, que se exponen en la decisión </w:t>
      </w:r>
      <w:r w:rsidRPr="00A202B4">
        <w:rPr>
          <w:iCs/>
          <w:snapToGrid w:val="0"/>
          <w:kern w:val="22"/>
          <w:szCs w:val="22"/>
          <w:lang w:val="es-ES_tradnl"/>
        </w:rPr>
        <w:t>CP-10/7</w:t>
      </w:r>
      <w:r w:rsidR="00B4170C">
        <w:rPr>
          <w:iCs/>
          <w:snapToGrid w:val="0"/>
          <w:szCs w:val="22"/>
          <w:lang w:val="es-ES_tradnl"/>
        </w:rPr>
        <w:t>,</w:t>
      </w:r>
    </w:p>
    <w:p w14:paraId="2B478BB4" w14:textId="6474BEE2" w:rsidR="00B83B21" w:rsidRPr="00A202B4" w:rsidRDefault="00B83B21" w:rsidP="00B83B21">
      <w:pPr>
        <w:shd w:val="clear" w:color="auto" w:fill="FFFFFF" w:themeFill="background1"/>
        <w:spacing w:before="120" w:after="120"/>
        <w:ind w:firstLine="720"/>
        <w:rPr>
          <w:kern w:val="22"/>
          <w:lang w:val="es-ES_tradnl"/>
        </w:rPr>
      </w:pPr>
      <w:r w:rsidRPr="00A202B4">
        <w:rPr>
          <w:i/>
          <w:iCs/>
          <w:kern w:val="22"/>
          <w:lang w:val="es-ES_tradnl"/>
        </w:rPr>
        <w:t xml:space="preserve">Observando también </w:t>
      </w:r>
      <w:r w:rsidRPr="00A202B4">
        <w:rPr>
          <w:kern w:val="22"/>
          <w:lang w:val="es-ES_tradnl"/>
        </w:rPr>
        <w:t>el objetivo y las actividades de creación de capacidad relacionadas del Plan de Aplicación para el Protocolo de Cartagena sobre Seguridad de la Biotecnología</w:t>
      </w:r>
      <w:r w:rsidRPr="00A202B4">
        <w:rPr>
          <w:rStyle w:val="FootnoteReference"/>
          <w:kern w:val="22"/>
          <w:sz w:val="22"/>
          <w:szCs w:val="22"/>
          <w:u w:val="none"/>
          <w:vertAlign w:val="superscript"/>
          <w:lang w:val="es-ES_tradnl"/>
        </w:rPr>
        <w:footnoteReference w:id="39"/>
      </w:r>
      <w:r w:rsidRPr="00A202B4">
        <w:rPr>
          <w:kern w:val="22"/>
          <w:lang w:val="es-ES_tradnl"/>
        </w:rPr>
        <w:t xml:space="preserve"> y del Plan de Acción para la Creación de Capacidad para el Protocolo de Cartagena sobre Seguridad de la Biotecnología</w:t>
      </w:r>
      <w:r w:rsidRPr="00A202B4">
        <w:rPr>
          <w:rStyle w:val="FootnoteReference"/>
          <w:kern w:val="22"/>
          <w:sz w:val="22"/>
          <w:szCs w:val="22"/>
          <w:u w:val="none"/>
          <w:vertAlign w:val="superscript"/>
          <w:lang w:val="es-ES_tradnl"/>
        </w:rPr>
        <w:footnoteReference w:id="40"/>
      </w:r>
      <w:r w:rsidRPr="00A202B4">
        <w:rPr>
          <w:kern w:val="22"/>
          <w:lang w:val="es-ES_tradnl"/>
        </w:rPr>
        <w:t xml:space="preserve"> que tienen que ver con el artículo 26 del Protocolo de Cartagena, y </w:t>
      </w:r>
      <w:r w:rsidRPr="00A202B4">
        <w:rPr>
          <w:i/>
          <w:iCs/>
          <w:kern w:val="22"/>
          <w:lang w:val="es-ES_tradnl"/>
        </w:rPr>
        <w:t xml:space="preserve">reconociendo </w:t>
      </w:r>
      <w:r w:rsidRPr="00A202B4">
        <w:rPr>
          <w:kern w:val="22"/>
          <w:lang w:val="es-ES_tradnl"/>
        </w:rPr>
        <w:t>la importancia de la creación de capacidad y la cooperación regional y subregional para las Partes que deseen tener en cuenta consideraciones socioeconómicas</w:t>
      </w:r>
      <w:r w:rsidR="00B4170C">
        <w:rPr>
          <w:lang w:val="es-ES_tradnl"/>
        </w:rPr>
        <w:t>,</w:t>
      </w:r>
    </w:p>
    <w:p w14:paraId="72C74078" w14:textId="6AE6A3E7" w:rsidR="00B83B21" w:rsidRPr="00A202B4" w:rsidRDefault="00B83B21" w:rsidP="00B83B21">
      <w:pPr>
        <w:shd w:val="clear" w:color="auto" w:fill="FFFFFF" w:themeFill="background1"/>
        <w:spacing w:before="120" w:after="120"/>
        <w:ind w:firstLine="720"/>
        <w:rPr>
          <w:kern w:val="22"/>
          <w:szCs w:val="22"/>
          <w:lang w:val="es-ES_tradnl"/>
        </w:rPr>
      </w:pPr>
      <w:r w:rsidRPr="00A202B4">
        <w:rPr>
          <w:lang w:val="es-ES_tradnl"/>
        </w:rPr>
        <w:t>1.</w:t>
      </w:r>
      <w:r w:rsidRPr="00A202B4">
        <w:rPr>
          <w:lang w:val="es-ES_tradnl"/>
        </w:rPr>
        <w:tab/>
      </w:r>
      <w:r w:rsidRPr="00A202B4">
        <w:rPr>
          <w:i/>
          <w:iCs/>
          <w:szCs w:val="22"/>
          <w:lang w:val="es-ES_tradnl"/>
        </w:rPr>
        <w:t xml:space="preserve">Toma nota con reconocimiento </w:t>
      </w:r>
      <w:r w:rsidRPr="00A202B4">
        <w:rPr>
          <w:kern w:val="22"/>
          <w:lang w:val="es-ES_tradnl"/>
        </w:rPr>
        <w:t>de las conclusiones de la labor del Grupo Especial de Expertos Técnicos en Consideraciones Socioeconómicas</w:t>
      </w:r>
      <w:r w:rsidRPr="00A202B4">
        <w:rPr>
          <w:kern w:val="22"/>
          <w:szCs w:val="22"/>
          <w:vertAlign w:val="superscript"/>
          <w:lang w:val="es-ES_tradnl"/>
        </w:rPr>
        <w:footnoteReference w:id="41"/>
      </w:r>
      <w:r w:rsidRPr="00A202B4">
        <w:rPr>
          <w:kern w:val="22"/>
          <w:szCs w:val="22"/>
          <w:lang w:val="es-ES_tradnl"/>
        </w:rPr>
        <w:t>;</w:t>
      </w:r>
    </w:p>
    <w:p w14:paraId="610131C1" w14:textId="56C8042D" w:rsidR="00B83B21" w:rsidRPr="00A202B4" w:rsidRDefault="00B83B21" w:rsidP="00B83B21">
      <w:pPr>
        <w:shd w:val="clear" w:color="auto" w:fill="FFFFFF" w:themeFill="background1"/>
        <w:spacing w:before="120"/>
        <w:ind w:firstLine="720"/>
        <w:rPr>
          <w:kern w:val="22"/>
          <w:szCs w:val="22"/>
          <w:lang w:val="es-ES_tradnl"/>
        </w:rPr>
      </w:pPr>
      <w:r w:rsidRPr="00A202B4">
        <w:rPr>
          <w:lang w:val="es-ES_tradnl"/>
        </w:rPr>
        <w:t>2.</w:t>
      </w:r>
      <w:r w:rsidRPr="00A202B4">
        <w:rPr>
          <w:lang w:val="es-ES_tradnl"/>
        </w:rPr>
        <w:tab/>
      </w:r>
      <w:r w:rsidRPr="00A202B4">
        <w:rPr>
          <w:i/>
          <w:snapToGrid w:val="0"/>
          <w:szCs w:val="22"/>
          <w:lang w:val="es-ES_tradnl"/>
        </w:rPr>
        <w:t xml:space="preserve">Invita </w:t>
      </w:r>
      <w:r w:rsidRPr="00A202B4">
        <w:rPr>
          <w:kern w:val="22"/>
          <w:lang w:val="es-ES_tradnl"/>
        </w:rPr>
        <w:t>a las Partes, otros Gobiernos, organizaciones pertinentes y otros interesados a que cooperen y compartan experiencias pertinentes en lo que respecta a tener en cuenta consideraciones socioeconómicas en la toma de decisiones sobre organismos vivos modificados de conformidad con el artículo 26 del Protocolo</w:t>
      </w:r>
      <w:r w:rsidR="000C7D37" w:rsidRPr="00A202B4">
        <w:rPr>
          <w:lang w:val="es-ES_tradnl"/>
        </w:rPr>
        <w:t>;</w:t>
      </w:r>
    </w:p>
    <w:p w14:paraId="05DEA431" w14:textId="3CCD9035" w:rsidR="00B83B21" w:rsidRPr="00A202B4" w:rsidRDefault="00B83B21" w:rsidP="00B83B21">
      <w:pPr>
        <w:shd w:val="clear" w:color="auto" w:fill="FFFFFF" w:themeFill="background1"/>
        <w:spacing w:before="120"/>
        <w:ind w:firstLine="720"/>
        <w:rPr>
          <w:kern w:val="22"/>
          <w:szCs w:val="22"/>
          <w:lang w:val="es-ES_tradnl"/>
        </w:rPr>
      </w:pPr>
      <w:r w:rsidRPr="00A202B4">
        <w:rPr>
          <w:lang w:val="es-ES_tradnl"/>
        </w:rPr>
        <w:t>3.</w:t>
      </w:r>
      <w:r w:rsidRPr="00A202B4">
        <w:rPr>
          <w:lang w:val="es-ES_tradnl"/>
        </w:rPr>
        <w:tab/>
      </w:r>
      <w:r w:rsidRPr="00A202B4">
        <w:rPr>
          <w:i/>
          <w:snapToGrid w:val="0"/>
          <w:szCs w:val="22"/>
          <w:lang w:val="es-ES_tradnl"/>
        </w:rPr>
        <w:t xml:space="preserve">Invita también </w:t>
      </w:r>
      <w:r w:rsidRPr="00A202B4">
        <w:rPr>
          <w:kern w:val="22"/>
          <w:lang w:val="es-ES_tradnl"/>
        </w:rPr>
        <w:t>a las Partes, otros Gobiernos, organizaciones pertinentes y otros interesados, según proceda, a utilizar la Orientación de carácter voluntario y presentar experiencias a la Secretaria Ejecutiva en el uso de la Orientación, así como ejemplos de metodologías y aplicaciones de consideraciones socioeconómicas que tengan en cuenta los elementos de la Orientación de carácter voluntario</w:t>
      </w:r>
      <w:r w:rsidR="000C7D37" w:rsidRPr="00A202B4">
        <w:rPr>
          <w:iCs/>
          <w:snapToGrid w:val="0"/>
          <w:szCs w:val="22"/>
          <w:lang w:val="es-ES_tradnl"/>
        </w:rPr>
        <w:t>;</w:t>
      </w:r>
    </w:p>
    <w:p w14:paraId="494D8E91" w14:textId="51AF23E6" w:rsidR="00B83B21" w:rsidRPr="00A202B4" w:rsidRDefault="00B83B21" w:rsidP="00B83B21">
      <w:pPr>
        <w:shd w:val="clear" w:color="auto" w:fill="FFFFFF" w:themeFill="background1"/>
        <w:spacing w:before="120"/>
        <w:ind w:firstLine="720"/>
        <w:rPr>
          <w:kern w:val="22"/>
          <w:szCs w:val="22"/>
          <w:lang w:val="es-ES_tradnl"/>
        </w:rPr>
      </w:pPr>
      <w:r w:rsidRPr="00A202B4">
        <w:rPr>
          <w:lang w:val="es-ES_tradnl"/>
        </w:rPr>
        <w:t>4.</w:t>
      </w:r>
      <w:r w:rsidRPr="00A202B4">
        <w:rPr>
          <w:lang w:val="es-ES_tradnl"/>
        </w:rPr>
        <w:tab/>
      </w:r>
      <w:r w:rsidRPr="00A202B4">
        <w:rPr>
          <w:i/>
          <w:iCs/>
          <w:kern w:val="22"/>
          <w:lang w:val="es-ES_tradnl"/>
        </w:rPr>
        <w:t xml:space="preserve">Pide </w:t>
      </w:r>
      <w:r w:rsidRPr="00A202B4">
        <w:rPr>
          <w:kern w:val="22"/>
          <w:lang w:val="es-ES_tradnl"/>
        </w:rPr>
        <w:t>a la Secretaria Ejecutiva que contacte a aquellas Partes que, en su cuarto informe nacional, a)</w:t>
      </w:r>
      <w:r w:rsidR="00DA36DF">
        <w:rPr>
          <w:kern w:val="22"/>
          <w:lang w:val="es-ES_tradnl"/>
        </w:rPr>
        <w:t> </w:t>
      </w:r>
      <w:r w:rsidRPr="00A202B4">
        <w:rPr>
          <w:kern w:val="22"/>
          <w:lang w:val="es-ES_tradnl"/>
        </w:rPr>
        <w:t>hayan indicado que tienen enfoques o requisitos específicos que facilitan el tener en cuenta consideraciones socioeconómicas en la toma de decisiones sobre organismos vivos modificados, o b)</w:t>
      </w:r>
      <w:r w:rsidR="00DA36DF">
        <w:rPr>
          <w:kern w:val="22"/>
          <w:lang w:val="es-ES_tradnl"/>
        </w:rPr>
        <w:t> </w:t>
      </w:r>
      <w:r w:rsidRPr="00A202B4">
        <w:rPr>
          <w:kern w:val="22"/>
          <w:lang w:val="es-ES_tradnl"/>
        </w:rPr>
        <w:t>que hayan tenido en cuenta consideraciones socioeconómicas surgidas a raíz del impacto de organismos vivos modificados en la conservación y utilización sostenible de la diversidad biológica, y las invite a compartir información sobre sus experiencias, en lo que respecta al artículo 26</w:t>
      </w:r>
      <w:r w:rsidRPr="00A202B4">
        <w:rPr>
          <w:lang w:val="es-ES_tradnl"/>
        </w:rPr>
        <w:t>;</w:t>
      </w:r>
    </w:p>
    <w:p w14:paraId="4E1CEBCE" w14:textId="5186268B" w:rsidR="00B83B21" w:rsidRPr="00A202B4" w:rsidRDefault="00B83B21" w:rsidP="00B83B21">
      <w:pPr>
        <w:shd w:val="clear" w:color="auto" w:fill="FFFFFF" w:themeFill="background1"/>
        <w:spacing w:before="120"/>
        <w:ind w:firstLine="720"/>
        <w:rPr>
          <w:b/>
          <w:caps/>
          <w:lang w:val="es-ES_tradnl"/>
        </w:rPr>
      </w:pPr>
      <w:r w:rsidRPr="00A202B4">
        <w:rPr>
          <w:lang w:val="es-ES_tradnl"/>
        </w:rPr>
        <w:t>5.</w:t>
      </w:r>
      <w:r w:rsidRPr="00A202B4">
        <w:rPr>
          <w:lang w:val="es-ES_tradnl"/>
        </w:rPr>
        <w:tab/>
      </w:r>
      <w:r w:rsidRPr="00A202B4">
        <w:rPr>
          <w:i/>
          <w:iCs/>
          <w:kern w:val="22"/>
          <w:lang w:val="es-ES_tradnl"/>
        </w:rPr>
        <w:t>Pide también</w:t>
      </w:r>
      <w:r w:rsidRPr="00A202B4">
        <w:rPr>
          <w:kern w:val="22"/>
          <w:lang w:val="es-ES_tradnl"/>
        </w:rPr>
        <w:t xml:space="preserve"> a la Secretaria Ejecutiva que recopile la información recogida en respuesta a los párrafos 3 y 4 anteriores y presente esa síntesis a la Conferencia de las Partes que actúa como reunión de las Partes en el Protocolo de Cartagena para que la considere en su 11ª reunión, con miras a determinar si es necesario seguir trabajando sobre esto</w:t>
      </w:r>
      <w:r w:rsidRPr="00A202B4">
        <w:rPr>
          <w:lang w:val="es-ES_tradnl"/>
        </w:rPr>
        <w:t>.</w:t>
      </w:r>
    </w:p>
    <w:p w14:paraId="6650F524" w14:textId="77777777" w:rsidR="00DD4BAA" w:rsidRPr="00A202B4" w:rsidRDefault="00DD4BAA" w:rsidP="00B83B21">
      <w:pPr>
        <w:pStyle w:val="decision"/>
        <w:ind w:right="429"/>
        <w:jc w:val="left"/>
        <w:rPr>
          <w:rFonts w:hint="eastAsia"/>
          <w:caps/>
          <w:lang w:val="es-ES_tradnl"/>
        </w:rPr>
        <w:sectPr w:rsidR="00DD4BAA" w:rsidRPr="00A202B4" w:rsidSect="009474D1">
          <w:footnotePr>
            <w:numRestart w:val="eachSect"/>
          </w:footnotePr>
          <w:pgSz w:w="12240" w:h="15840"/>
          <w:pgMar w:top="1021" w:right="1440" w:bottom="1021" w:left="1440" w:header="459" w:footer="720" w:gutter="0"/>
          <w:cols w:space="708"/>
          <w:docGrid w:linePitch="360"/>
        </w:sectPr>
      </w:pPr>
    </w:p>
    <w:p w14:paraId="3E27990B" w14:textId="580DF38D" w:rsidR="00DD4BAA" w:rsidRPr="00A202B4" w:rsidRDefault="00DD4BAA" w:rsidP="00DD4BAA">
      <w:pPr>
        <w:pStyle w:val="decision"/>
        <w:rPr>
          <w:rFonts w:hint="eastAsia"/>
          <w:lang w:val="es-ES_tradnl"/>
        </w:rPr>
      </w:pPr>
      <w:bookmarkStart w:id="24" w:name="_Toc152776502"/>
      <w:r w:rsidRPr="00A202B4">
        <w:rPr>
          <w:lang w:val="es-ES_tradnl"/>
        </w:rPr>
        <w:lastRenderedPageBreak/>
        <w:t>CP-10/13.</w:t>
      </w:r>
      <w:r w:rsidRPr="00A202B4">
        <w:rPr>
          <w:lang w:val="es-ES_tradnl"/>
        </w:rPr>
        <w:tab/>
      </w:r>
      <w:r w:rsidR="00C90053" w:rsidRPr="00A202B4">
        <w:rPr>
          <w:lang w:val="es-ES_tradnl"/>
        </w:rPr>
        <w:t>Protocolo Suplementario de Nagoya</w:t>
      </w:r>
      <w:r w:rsidR="006343A6">
        <w:rPr>
          <w:lang w:val="es-ES_tradnl"/>
        </w:rPr>
        <w:t>-</w:t>
      </w:r>
      <w:r w:rsidR="00C90053" w:rsidRPr="00A202B4">
        <w:rPr>
          <w:lang w:val="es-ES_tradnl"/>
        </w:rPr>
        <w:t>Kuala Lumpur sobre Responsabilidad y Compensación</w:t>
      </w:r>
      <w:bookmarkEnd w:id="24"/>
    </w:p>
    <w:p w14:paraId="53731143" w14:textId="77777777" w:rsidR="00C90053" w:rsidRPr="00A202B4" w:rsidRDefault="00C90053" w:rsidP="00C90053">
      <w:pPr>
        <w:pStyle w:val="HEADING"/>
        <w:shd w:val="clear" w:color="auto" w:fill="FFFFFF" w:themeFill="background1"/>
        <w:ind w:firstLine="720"/>
        <w:jc w:val="both"/>
        <w:rPr>
          <w:b w:val="0"/>
          <w:bCs w:val="0"/>
          <w:i/>
          <w:caps w:val="0"/>
          <w:lang w:val="es-ES_tradnl"/>
        </w:rPr>
      </w:pPr>
      <w:r w:rsidRPr="00A202B4">
        <w:rPr>
          <w:b w:val="0"/>
          <w:i/>
          <w:caps w:val="0"/>
          <w:lang w:val="es-ES_tradnl"/>
        </w:rPr>
        <w:t>La Conferencia de las Partes que actúa como reunión de las Partes en el Protocolo de Cartagena sobre Seguridad de la Biotecnología y que también actúa como reunión de las Partes en el Protocolo Suplementario de Nagoya-Kuala Lumpur sobre Responsabilidad y Compensación</w:t>
      </w:r>
      <w:r w:rsidRPr="00A202B4">
        <w:rPr>
          <w:rStyle w:val="FootnoteReference"/>
          <w:b w:val="0"/>
          <w:bCs w:val="0"/>
          <w:caps w:val="0"/>
          <w:kern w:val="22"/>
          <w:sz w:val="22"/>
          <w:szCs w:val="22"/>
          <w:u w:val="none"/>
          <w:vertAlign w:val="superscript"/>
          <w:lang w:val="es-ES_tradnl"/>
        </w:rPr>
        <w:footnoteReference w:id="42"/>
      </w:r>
      <w:r w:rsidRPr="00A202B4">
        <w:rPr>
          <w:b w:val="0"/>
          <w:i/>
          <w:caps w:val="0"/>
          <w:lang w:val="es-ES_tradnl"/>
        </w:rPr>
        <w:t>,</w:t>
      </w:r>
    </w:p>
    <w:p w14:paraId="006A06EB" w14:textId="77777777" w:rsidR="00C90053" w:rsidRPr="00A202B4" w:rsidRDefault="00C90053" w:rsidP="00C90053">
      <w:pPr>
        <w:pStyle w:val="HEADING"/>
        <w:shd w:val="clear" w:color="auto" w:fill="FFFFFF" w:themeFill="background1"/>
        <w:ind w:firstLine="720"/>
        <w:jc w:val="both"/>
        <w:rPr>
          <w:b w:val="0"/>
          <w:bCs w:val="0"/>
          <w:iCs/>
          <w:caps w:val="0"/>
          <w:lang w:val="es-ES_tradnl"/>
        </w:rPr>
      </w:pPr>
      <w:r w:rsidRPr="00A202B4">
        <w:rPr>
          <w:b w:val="0"/>
          <w:i/>
          <w:iCs/>
          <w:caps w:val="0"/>
          <w:lang w:val="es-ES_tradnl"/>
        </w:rPr>
        <w:t>Recordando</w:t>
      </w:r>
      <w:r w:rsidRPr="00A202B4">
        <w:rPr>
          <w:b w:val="0"/>
          <w:caps w:val="0"/>
          <w:lang w:val="es-ES_tradnl"/>
        </w:rPr>
        <w:t xml:space="preserve"> la decisión CP-9/15, </w:t>
      </w:r>
    </w:p>
    <w:p w14:paraId="7E981519" w14:textId="77777777" w:rsidR="00C90053" w:rsidRPr="00A202B4" w:rsidRDefault="00C90053" w:rsidP="00C90053">
      <w:pPr>
        <w:pStyle w:val="HEADING"/>
        <w:shd w:val="clear" w:color="auto" w:fill="FFFFFF" w:themeFill="background1"/>
        <w:ind w:firstLine="720"/>
        <w:jc w:val="both"/>
        <w:rPr>
          <w:b w:val="0"/>
          <w:bCs w:val="0"/>
          <w:iCs/>
          <w:caps w:val="0"/>
          <w:lang w:val="es-ES_tradnl"/>
        </w:rPr>
      </w:pPr>
      <w:r w:rsidRPr="00A202B4">
        <w:rPr>
          <w:b w:val="0"/>
          <w:i/>
          <w:caps w:val="0"/>
          <w:lang w:val="es-ES_tradnl"/>
        </w:rPr>
        <w:t xml:space="preserve">Tomando nota </w:t>
      </w:r>
      <w:r w:rsidRPr="00A202B4">
        <w:rPr>
          <w:b w:val="0"/>
          <w:caps w:val="0"/>
          <w:lang w:val="es-ES_tradnl"/>
        </w:rPr>
        <w:t xml:space="preserve">de la información suministrada por las Partes en sus cuartos informes nacionales en relación con el Protocolo Suplementario de Nagoya-Kuala Lumpur sobre Responsabilidad y Compensación, </w:t>
      </w:r>
    </w:p>
    <w:p w14:paraId="2B6E54F9" w14:textId="77777777" w:rsidR="00C90053" w:rsidRPr="00A202B4" w:rsidRDefault="00C90053" w:rsidP="00C90053">
      <w:pPr>
        <w:pStyle w:val="HEADING"/>
        <w:keepNext w:val="0"/>
        <w:shd w:val="clear" w:color="auto" w:fill="FFFFFF" w:themeFill="background1"/>
        <w:spacing w:before="120"/>
        <w:ind w:firstLine="720"/>
        <w:jc w:val="both"/>
        <w:rPr>
          <w:b w:val="0"/>
          <w:bCs w:val="0"/>
          <w:caps w:val="0"/>
          <w:lang w:val="es-ES_tradnl"/>
        </w:rPr>
      </w:pPr>
      <w:r w:rsidRPr="00A202B4">
        <w:rPr>
          <w:b w:val="0"/>
          <w:lang w:val="es-ES_tradnl"/>
        </w:rPr>
        <w:t>1.</w:t>
      </w:r>
      <w:r w:rsidRPr="00A202B4">
        <w:rPr>
          <w:b w:val="0"/>
          <w:lang w:val="es-ES_tradnl"/>
        </w:rPr>
        <w:tab/>
      </w:r>
      <w:r w:rsidRPr="00A202B4">
        <w:rPr>
          <w:b w:val="0"/>
          <w:i/>
          <w:iCs/>
          <w:caps w:val="0"/>
          <w:lang w:val="es-ES_tradnl"/>
        </w:rPr>
        <w:t>Acoge con satisfacción</w:t>
      </w:r>
      <w:r w:rsidRPr="00A202B4">
        <w:rPr>
          <w:b w:val="0"/>
          <w:caps w:val="0"/>
          <w:lang w:val="es-ES_tradnl"/>
        </w:rPr>
        <w:t xml:space="preserve"> los instrumentos adicionales de ratificación, aceptación, aprobación o adhesión al Protocolo Suplementario de Nagoya</w:t>
      </w:r>
      <w:r w:rsidRPr="00A202B4">
        <w:rPr>
          <w:b w:val="0"/>
          <w:bCs w:val="0"/>
          <w:iCs/>
          <w:caps w:val="0"/>
          <w:lang w:val="es-ES_tradnl"/>
        </w:rPr>
        <w:t>-</w:t>
      </w:r>
      <w:r w:rsidRPr="00A202B4">
        <w:rPr>
          <w:b w:val="0"/>
          <w:caps w:val="0"/>
          <w:lang w:val="es-ES_tradnl"/>
        </w:rPr>
        <w:t>Kuala Lumpur sobre Responsabilidad y Compensación que se han depositado;</w:t>
      </w:r>
    </w:p>
    <w:p w14:paraId="42BEA41B" w14:textId="77777777" w:rsidR="00C90053" w:rsidRPr="00A202B4" w:rsidRDefault="00C90053" w:rsidP="00C90053">
      <w:pPr>
        <w:pStyle w:val="HEADING"/>
        <w:keepNext w:val="0"/>
        <w:shd w:val="clear" w:color="auto" w:fill="FFFFFF" w:themeFill="background1"/>
        <w:spacing w:before="120"/>
        <w:ind w:firstLine="720"/>
        <w:jc w:val="both"/>
        <w:rPr>
          <w:b w:val="0"/>
          <w:bCs w:val="0"/>
          <w:caps w:val="0"/>
          <w:lang w:val="es-ES_tradnl"/>
        </w:rPr>
      </w:pPr>
      <w:r w:rsidRPr="00A202B4">
        <w:rPr>
          <w:b w:val="0"/>
          <w:caps w:val="0"/>
          <w:lang w:val="es-ES_tradnl"/>
        </w:rPr>
        <w:t>2.</w:t>
      </w:r>
      <w:r w:rsidRPr="00A202B4">
        <w:rPr>
          <w:b w:val="0"/>
          <w:caps w:val="0"/>
          <w:lang w:val="es-ES_tradnl"/>
        </w:rPr>
        <w:tab/>
      </w:r>
      <w:r w:rsidRPr="00A202B4">
        <w:rPr>
          <w:b w:val="0"/>
          <w:i/>
          <w:iCs/>
          <w:caps w:val="0"/>
          <w:lang w:val="es-ES_tradnl"/>
        </w:rPr>
        <w:t>Observa con pesar</w:t>
      </w:r>
      <w:r w:rsidRPr="00A202B4">
        <w:rPr>
          <w:b w:val="0"/>
          <w:caps w:val="0"/>
          <w:lang w:val="es-ES_tradnl"/>
        </w:rPr>
        <w:t xml:space="preserve"> el número limitado de Partes en el Protocolo de Cartagena sobre Seguridad de la Biotecnología que han ratificado el Protocolo Suplementario de Nagoya</w:t>
      </w:r>
      <w:r w:rsidRPr="00A202B4">
        <w:rPr>
          <w:b w:val="0"/>
          <w:bCs w:val="0"/>
          <w:iCs/>
          <w:caps w:val="0"/>
          <w:lang w:val="es-ES_tradnl"/>
        </w:rPr>
        <w:t>-</w:t>
      </w:r>
      <w:r w:rsidRPr="00A202B4">
        <w:rPr>
          <w:b w:val="0"/>
          <w:caps w:val="0"/>
          <w:lang w:val="es-ES_tradnl"/>
        </w:rPr>
        <w:t xml:space="preserve">Kuala Lumpur sobre Responsabilidad y Compensación e </w:t>
      </w:r>
      <w:r w:rsidRPr="00A202B4">
        <w:rPr>
          <w:b w:val="0"/>
          <w:i/>
          <w:caps w:val="0"/>
          <w:lang w:val="es-ES_tradnl"/>
        </w:rPr>
        <w:t>invita</w:t>
      </w:r>
      <w:r w:rsidRPr="00A202B4">
        <w:rPr>
          <w:b w:val="0"/>
          <w:caps w:val="0"/>
          <w:lang w:val="es-ES_tradnl"/>
        </w:rPr>
        <w:t xml:space="preserve"> a todas las Partes en el Protocolo de Cartagena sobre Seguridad de la Biotecnología que aún no hayan depositado su instrumento de ratificación, aceptación, aprobación o adhesión al Protocolo Suplementario de Nagoya</w:t>
      </w:r>
      <w:r w:rsidRPr="00A202B4">
        <w:rPr>
          <w:b w:val="0"/>
          <w:bCs w:val="0"/>
          <w:iCs/>
          <w:caps w:val="0"/>
          <w:lang w:val="es-ES_tradnl"/>
        </w:rPr>
        <w:t>-</w:t>
      </w:r>
      <w:r w:rsidRPr="00A202B4">
        <w:rPr>
          <w:b w:val="0"/>
          <w:caps w:val="0"/>
          <w:lang w:val="es-ES_tradnl"/>
        </w:rPr>
        <w:t>Kuala Lumpur sobre Responsabilidad y Compensación a que lo hagan lo antes posible;</w:t>
      </w:r>
    </w:p>
    <w:p w14:paraId="26AA7CDF" w14:textId="77777777" w:rsidR="00C90053" w:rsidRPr="00A202B4" w:rsidRDefault="00C90053" w:rsidP="00C90053">
      <w:pPr>
        <w:pStyle w:val="HEADING"/>
        <w:keepNext w:val="0"/>
        <w:shd w:val="clear" w:color="auto" w:fill="FFFFFF" w:themeFill="background1"/>
        <w:spacing w:before="120"/>
        <w:ind w:firstLine="720"/>
        <w:jc w:val="both"/>
        <w:rPr>
          <w:b w:val="0"/>
          <w:bCs w:val="0"/>
          <w:caps w:val="0"/>
          <w:lang w:val="es-ES_tradnl"/>
        </w:rPr>
      </w:pPr>
      <w:r w:rsidRPr="00A202B4">
        <w:rPr>
          <w:b w:val="0"/>
          <w:lang w:val="es-ES_tradnl"/>
        </w:rPr>
        <w:t>3.</w:t>
      </w:r>
      <w:r w:rsidRPr="00A202B4">
        <w:rPr>
          <w:b w:val="0"/>
          <w:lang w:val="es-ES_tradnl"/>
        </w:rPr>
        <w:tab/>
      </w:r>
      <w:r w:rsidRPr="00A202B4">
        <w:rPr>
          <w:b w:val="0"/>
          <w:i/>
          <w:caps w:val="0"/>
          <w:lang w:val="es-ES_tradnl"/>
        </w:rPr>
        <w:t xml:space="preserve">Acoge </w:t>
      </w:r>
      <w:r w:rsidRPr="00A202B4">
        <w:rPr>
          <w:b w:val="0"/>
          <w:i/>
          <w:iCs/>
          <w:caps w:val="0"/>
          <w:lang w:val="es-ES_tradnl"/>
        </w:rPr>
        <w:t>con satisfacción</w:t>
      </w:r>
      <w:r w:rsidRPr="00A202B4">
        <w:rPr>
          <w:b w:val="0"/>
          <w:caps w:val="0"/>
          <w:lang w:val="es-ES_tradnl"/>
        </w:rPr>
        <w:t xml:space="preserve"> los progresos realizados por muchas Partes en la aplicación del Protocolo Suplementario de Nagoya</w:t>
      </w:r>
      <w:r w:rsidRPr="00A202B4">
        <w:rPr>
          <w:b w:val="0"/>
          <w:bCs w:val="0"/>
          <w:iCs/>
          <w:caps w:val="0"/>
          <w:lang w:val="es-ES_tradnl"/>
        </w:rPr>
        <w:t>-</w:t>
      </w:r>
      <w:r w:rsidRPr="00A202B4">
        <w:rPr>
          <w:b w:val="0"/>
          <w:caps w:val="0"/>
          <w:lang w:val="es-ES_tradnl"/>
        </w:rPr>
        <w:t xml:space="preserve">Kuala Lumpur sobre Responsabilidad y Compensación e </w:t>
      </w:r>
      <w:r w:rsidRPr="00A202B4">
        <w:rPr>
          <w:b w:val="0"/>
          <w:i/>
          <w:caps w:val="0"/>
          <w:lang w:val="es-ES_tradnl"/>
        </w:rPr>
        <w:t>insta</w:t>
      </w:r>
      <w:r w:rsidRPr="00A202B4">
        <w:rPr>
          <w:b w:val="0"/>
          <w:caps w:val="0"/>
          <w:lang w:val="es-ES_tradnl"/>
        </w:rPr>
        <w:t xml:space="preserve"> a las Partes en el Protocolo Suplementario a que adopten las medidas adicionales necesarias para su aplicación plena y efectiva; </w:t>
      </w:r>
    </w:p>
    <w:p w14:paraId="7585416A" w14:textId="77777777" w:rsidR="00C90053" w:rsidRPr="00A202B4" w:rsidRDefault="00C90053" w:rsidP="00C90053">
      <w:pPr>
        <w:pStyle w:val="HEADING"/>
        <w:keepNext w:val="0"/>
        <w:shd w:val="clear" w:color="auto" w:fill="FFFFFF" w:themeFill="background1"/>
        <w:spacing w:before="120"/>
        <w:ind w:firstLine="720"/>
        <w:jc w:val="both"/>
        <w:rPr>
          <w:b w:val="0"/>
          <w:bCs w:val="0"/>
          <w:caps w:val="0"/>
          <w:lang w:val="es-ES_tradnl"/>
        </w:rPr>
      </w:pPr>
      <w:r w:rsidRPr="00A202B4">
        <w:rPr>
          <w:b w:val="0"/>
          <w:lang w:val="es-ES_tradnl"/>
        </w:rPr>
        <w:t>4.</w:t>
      </w:r>
      <w:r w:rsidRPr="00A202B4">
        <w:rPr>
          <w:b w:val="0"/>
          <w:lang w:val="es-ES_tradnl"/>
        </w:rPr>
        <w:tab/>
      </w:r>
      <w:r w:rsidRPr="00A202B4">
        <w:rPr>
          <w:b w:val="0"/>
          <w:i/>
          <w:caps w:val="0"/>
          <w:lang w:val="es-ES_tradnl"/>
        </w:rPr>
        <w:t>Subraya</w:t>
      </w:r>
      <w:r w:rsidRPr="00A202B4">
        <w:rPr>
          <w:b w:val="0"/>
          <w:caps w:val="0"/>
          <w:lang w:val="es-ES_tradnl"/>
        </w:rPr>
        <w:t xml:space="preserve"> la importancia de las actividades de concienciación y creación de capacidad para apoyar nuevas ratificaciones y la aplicación del Protocolo Suplementario, tal como se reconoce en la decisión CP-10/7 sobre la cuarta evaluación y revisión de la eficacia del Protocolo de Cartagena y la evaluación final del Plan Estratégico para el Protocolo de Cartagena sobre Seguridad de la Biotecnología para el período 2011-2020;</w:t>
      </w:r>
    </w:p>
    <w:p w14:paraId="142B6783" w14:textId="77777777" w:rsidR="00C90053" w:rsidRPr="00A202B4" w:rsidRDefault="00C90053" w:rsidP="00C90053">
      <w:pPr>
        <w:pStyle w:val="HEADING"/>
        <w:keepNext w:val="0"/>
        <w:shd w:val="clear" w:color="auto" w:fill="FFFFFF" w:themeFill="background1"/>
        <w:spacing w:before="120"/>
        <w:ind w:firstLine="720"/>
        <w:jc w:val="both"/>
        <w:rPr>
          <w:b w:val="0"/>
          <w:bCs w:val="0"/>
          <w:caps w:val="0"/>
          <w:lang w:val="es-ES_tradnl"/>
        </w:rPr>
      </w:pPr>
      <w:r w:rsidRPr="00A202B4">
        <w:rPr>
          <w:b w:val="0"/>
          <w:lang w:val="es-ES_tradnl"/>
        </w:rPr>
        <w:t>5.</w:t>
      </w:r>
      <w:r w:rsidRPr="00A202B4">
        <w:rPr>
          <w:b w:val="0"/>
          <w:lang w:val="es-ES_tradnl"/>
        </w:rPr>
        <w:tab/>
      </w:r>
      <w:r w:rsidRPr="00A202B4">
        <w:rPr>
          <w:b w:val="0"/>
          <w:i/>
          <w:iCs/>
          <w:caps w:val="0"/>
          <w:lang w:val="es-ES_tradnl"/>
        </w:rPr>
        <w:t>Acoge con satisfacción</w:t>
      </w:r>
      <w:r w:rsidRPr="00A202B4">
        <w:rPr>
          <w:b w:val="0"/>
          <w:caps w:val="0"/>
          <w:lang w:val="es-ES_tradnl"/>
        </w:rPr>
        <w:t xml:space="preserve"> el objetivo referido al Protocolo Suplementario de Nagoya</w:t>
      </w:r>
      <w:r w:rsidRPr="00A202B4">
        <w:rPr>
          <w:b w:val="0"/>
          <w:bCs w:val="0"/>
          <w:iCs/>
          <w:caps w:val="0"/>
          <w:lang w:val="es-ES_tradnl"/>
        </w:rPr>
        <w:t>-</w:t>
      </w:r>
      <w:r w:rsidRPr="00A202B4">
        <w:rPr>
          <w:b w:val="0"/>
          <w:caps w:val="0"/>
          <w:lang w:val="es-ES_tradnl"/>
        </w:rPr>
        <w:t>Kuala Lumpur sobre Responsabilidad y Compensación en el Plan de Aplicación del Protocolo de Cartagena sobre Seguridad de la Biotecnología</w:t>
      </w:r>
      <w:r w:rsidRPr="00A202B4">
        <w:rPr>
          <w:rStyle w:val="FootnoteReference"/>
          <w:b w:val="0"/>
          <w:bCs w:val="0"/>
          <w:caps w:val="0"/>
          <w:sz w:val="22"/>
          <w:szCs w:val="22"/>
          <w:u w:val="none"/>
          <w:vertAlign w:val="superscript"/>
          <w:lang w:val="es-ES_tradnl"/>
        </w:rPr>
        <w:footnoteReference w:id="43"/>
      </w:r>
      <w:r w:rsidRPr="00A202B4">
        <w:rPr>
          <w:b w:val="0"/>
          <w:caps w:val="0"/>
          <w:lang w:val="es-ES_tradnl"/>
        </w:rPr>
        <w:t xml:space="preserve"> y en el Plan de Acción para la Creación de Capacidad para el Protocolo de Cartagena sobre Seguridad de la Biotecnología</w:t>
      </w:r>
      <w:r w:rsidRPr="00A202B4">
        <w:rPr>
          <w:rStyle w:val="FootnoteReference"/>
          <w:b w:val="0"/>
          <w:bCs w:val="0"/>
          <w:caps w:val="0"/>
          <w:sz w:val="22"/>
          <w:szCs w:val="22"/>
          <w:u w:val="none"/>
          <w:vertAlign w:val="superscript"/>
          <w:lang w:val="es-ES_tradnl"/>
        </w:rPr>
        <w:footnoteReference w:id="44"/>
      </w:r>
      <w:r w:rsidRPr="00A202B4">
        <w:rPr>
          <w:b w:val="0"/>
          <w:caps w:val="0"/>
          <w:lang w:val="es-ES_tradnl"/>
        </w:rPr>
        <w:t xml:space="preserve">, así como las actividades relacionadas de creación de capacidad, y </w:t>
      </w:r>
      <w:r w:rsidRPr="00A202B4">
        <w:rPr>
          <w:b w:val="0"/>
          <w:i/>
          <w:iCs/>
          <w:caps w:val="0"/>
          <w:lang w:val="es-ES_tradnl"/>
        </w:rPr>
        <w:t>reconoce</w:t>
      </w:r>
      <w:r w:rsidRPr="00A202B4">
        <w:rPr>
          <w:b w:val="0"/>
          <w:caps w:val="0"/>
          <w:lang w:val="es-ES_tradnl"/>
        </w:rPr>
        <w:t xml:space="preserve"> que algunas de esas actividades están dirigidas principalmente a las Partes en el Protocolo Suplementario de Nagoya</w:t>
      </w:r>
      <w:r w:rsidRPr="00A202B4">
        <w:rPr>
          <w:b w:val="0"/>
          <w:bCs w:val="0"/>
          <w:iCs/>
          <w:caps w:val="0"/>
          <w:lang w:val="es-ES_tradnl"/>
        </w:rPr>
        <w:t>-</w:t>
      </w:r>
      <w:r w:rsidRPr="00A202B4">
        <w:rPr>
          <w:b w:val="0"/>
          <w:caps w:val="0"/>
          <w:lang w:val="es-ES_tradnl"/>
        </w:rPr>
        <w:t>Kuala Lumpur sobre Responsabilidad y Compensación;</w:t>
      </w:r>
    </w:p>
    <w:p w14:paraId="602EC48F" w14:textId="77777777" w:rsidR="00C90053" w:rsidRPr="00A202B4" w:rsidRDefault="00C90053" w:rsidP="00C90053">
      <w:pPr>
        <w:pStyle w:val="HEADING"/>
        <w:keepNext w:val="0"/>
        <w:shd w:val="clear" w:color="auto" w:fill="FFFFFF" w:themeFill="background1"/>
        <w:spacing w:before="120"/>
        <w:ind w:firstLine="720"/>
        <w:jc w:val="both"/>
        <w:rPr>
          <w:b w:val="0"/>
          <w:bCs w:val="0"/>
          <w:caps w:val="0"/>
          <w:lang w:val="es-ES_tradnl"/>
        </w:rPr>
      </w:pPr>
      <w:r w:rsidRPr="00A202B4">
        <w:rPr>
          <w:b w:val="0"/>
          <w:lang w:val="es-ES_tradnl"/>
        </w:rPr>
        <w:t>6.</w:t>
      </w:r>
      <w:r w:rsidRPr="00A202B4">
        <w:rPr>
          <w:b w:val="0"/>
          <w:lang w:val="es-ES_tradnl"/>
        </w:rPr>
        <w:tab/>
      </w:r>
      <w:r w:rsidRPr="00A202B4">
        <w:rPr>
          <w:b w:val="0"/>
          <w:i/>
          <w:iCs/>
          <w:lang w:val="es-ES_tradnl"/>
        </w:rPr>
        <w:t>r</w:t>
      </w:r>
      <w:r w:rsidRPr="00A202B4">
        <w:rPr>
          <w:b w:val="0"/>
          <w:bCs w:val="0"/>
          <w:i/>
          <w:iCs/>
          <w:caps w:val="0"/>
          <w:lang w:val="es-ES_tradnl"/>
        </w:rPr>
        <w:t>ecuerda</w:t>
      </w:r>
      <w:r w:rsidRPr="00A202B4">
        <w:rPr>
          <w:b w:val="0"/>
          <w:bCs w:val="0"/>
          <w:caps w:val="0"/>
          <w:lang w:val="es-ES_tradnl"/>
        </w:rPr>
        <w:t xml:space="preserve"> a las Partes en el Protocolo Suplementario de Nagoya</w:t>
      </w:r>
      <w:r w:rsidRPr="00A202B4">
        <w:rPr>
          <w:b w:val="0"/>
          <w:bCs w:val="0"/>
          <w:iCs/>
          <w:caps w:val="0"/>
          <w:lang w:val="es-ES_tradnl"/>
        </w:rPr>
        <w:t>-</w:t>
      </w:r>
      <w:r w:rsidRPr="00A202B4">
        <w:rPr>
          <w:b w:val="0"/>
          <w:bCs w:val="0"/>
          <w:caps w:val="0"/>
          <w:lang w:val="es-ES_tradnl"/>
        </w:rPr>
        <w:t>Kuala Lumpur sobre Responsabilidad y Compensación que designen una autoridad competente para desempeñar las funciones establecidas en el artículo 5 del Protocolo Suplementario y que publiquen información sobre estas autoridades competentes utilizando el formato común disponible para ese fin en el Centro de Intercambio de Información sobre Seguridad de la Biotecnología;</w:t>
      </w:r>
    </w:p>
    <w:p w14:paraId="7D379616" w14:textId="77777777" w:rsidR="00C90053" w:rsidRPr="00A202B4" w:rsidRDefault="00C90053" w:rsidP="00C90053">
      <w:pPr>
        <w:shd w:val="clear" w:color="auto" w:fill="FFFFFF" w:themeFill="background1"/>
        <w:spacing w:before="120"/>
        <w:ind w:firstLine="720"/>
        <w:rPr>
          <w:lang w:val="es-ES_tradnl"/>
        </w:rPr>
      </w:pPr>
      <w:r w:rsidRPr="00A202B4">
        <w:rPr>
          <w:lang w:val="es-ES_tradnl"/>
        </w:rPr>
        <w:lastRenderedPageBreak/>
        <w:t>7.</w:t>
      </w:r>
      <w:r w:rsidRPr="00A202B4">
        <w:rPr>
          <w:lang w:val="es-ES_tradnl"/>
        </w:rPr>
        <w:tab/>
      </w:r>
      <w:r w:rsidRPr="00A202B4">
        <w:rPr>
          <w:i/>
          <w:lang w:val="es-ES_tradnl"/>
        </w:rPr>
        <w:t>Acoge con satisfacción</w:t>
      </w:r>
      <w:r w:rsidRPr="00A202B4">
        <w:rPr>
          <w:lang w:val="es-ES_tradnl"/>
        </w:rPr>
        <w:t xml:space="preserve"> el estudio sobre los mecanismos de garantía financiera (artículo 10 del Protocolo Suplementario de Nagoya</w:t>
      </w:r>
      <w:r w:rsidRPr="00A202B4">
        <w:rPr>
          <w:iCs/>
          <w:lang w:val="es-ES_tradnl"/>
        </w:rPr>
        <w:t>-</w:t>
      </w:r>
      <w:r w:rsidRPr="00A202B4">
        <w:rPr>
          <w:lang w:val="es-ES_tradnl"/>
        </w:rPr>
        <w:t>Kuala Lumpur)</w:t>
      </w:r>
      <w:r w:rsidRPr="00A202B4">
        <w:rPr>
          <w:rStyle w:val="FootnoteReference"/>
          <w:kern w:val="22"/>
          <w:sz w:val="22"/>
          <w:szCs w:val="22"/>
          <w:u w:val="none"/>
          <w:vertAlign w:val="superscript"/>
          <w:lang w:val="es-ES_tradnl"/>
        </w:rPr>
        <w:footnoteReference w:id="45"/>
      </w:r>
      <w:r w:rsidRPr="00A202B4">
        <w:rPr>
          <w:lang w:val="es-ES_tradnl"/>
        </w:rPr>
        <w:t>;</w:t>
      </w:r>
    </w:p>
    <w:p w14:paraId="5885B8A9" w14:textId="77777777" w:rsidR="00C90053" w:rsidRPr="00A202B4" w:rsidRDefault="00C90053" w:rsidP="00C90053">
      <w:pPr>
        <w:shd w:val="clear" w:color="auto" w:fill="FFFFFF" w:themeFill="background1"/>
        <w:spacing w:before="120"/>
        <w:ind w:firstLine="720"/>
        <w:rPr>
          <w:iCs/>
          <w:lang w:val="es-ES_tradnl"/>
        </w:rPr>
      </w:pPr>
      <w:r w:rsidRPr="00A202B4">
        <w:rPr>
          <w:lang w:val="es-ES_tradnl"/>
        </w:rPr>
        <w:t>8.</w:t>
      </w:r>
      <w:r w:rsidRPr="00A202B4">
        <w:rPr>
          <w:lang w:val="es-ES_tradnl"/>
        </w:rPr>
        <w:tab/>
      </w:r>
      <w:r w:rsidRPr="00A202B4">
        <w:rPr>
          <w:i/>
          <w:iCs/>
          <w:lang w:val="es-ES_tradnl"/>
        </w:rPr>
        <w:t>Recuerda</w:t>
      </w:r>
      <w:r w:rsidRPr="00A202B4">
        <w:rPr>
          <w:lang w:val="es-ES_tradnl"/>
        </w:rPr>
        <w:t xml:space="preserve"> a las Partes en el Protocolo Suplementario de Nagoya</w:t>
      </w:r>
      <w:r w:rsidRPr="00A202B4">
        <w:rPr>
          <w:iCs/>
          <w:lang w:val="es-ES_tradnl"/>
        </w:rPr>
        <w:t>-</w:t>
      </w:r>
      <w:r w:rsidRPr="00A202B4">
        <w:rPr>
          <w:lang w:val="es-ES_tradnl"/>
        </w:rPr>
        <w:t xml:space="preserve">Kuala Lumpur sobre Responsabilidad y Compensación el principio de que quien contamina paga, y las </w:t>
      </w:r>
      <w:r w:rsidRPr="00A202B4">
        <w:rPr>
          <w:i/>
          <w:iCs/>
          <w:lang w:val="es-ES_tradnl"/>
        </w:rPr>
        <w:t>alienta</w:t>
      </w:r>
      <w:r w:rsidRPr="00A202B4">
        <w:rPr>
          <w:lang w:val="es-ES_tradnl"/>
        </w:rPr>
        <w:t xml:space="preserve"> a tomar en cuenta este principio, según proceda, al seguir desarrollando mecanismos de garantía financiera;</w:t>
      </w:r>
    </w:p>
    <w:p w14:paraId="1D0A102D" w14:textId="77777777" w:rsidR="00C90053" w:rsidRPr="00A202B4" w:rsidRDefault="00C90053" w:rsidP="00C90053">
      <w:pPr>
        <w:shd w:val="clear" w:color="auto" w:fill="FFFFFF" w:themeFill="background1"/>
        <w:spacing w:before="120" w:after="120"/>
        <w:ind w:firstLine="720"/>
        <w:rPr>
          <w:i/>
          <w:lang w:val="es-ES_tradnl"/>
        </w:rPr>
      </w:pPr>
      <w:r w:rsidRPr="00A202B4">
        <w:rPr>
          <w:lang w:val="es-ES_tradnl"/>
        </w:rPr>
        <w:t>9.</w:t>
      </w:r>
      <w:r w:rsidRPr="00A202B4">
        <w:rPr>
          <w:lang w:val="es-ES_tradnl"/>
        </w:rPr>
        <w:tab/>
      </w:r>
      <w:r w:rsidRPr="00A202B4">
        <w:rPr>
          <w:i/>
          <w:iCs/>
          <w:lang w:val="es-ES_tradnl"/>
        </w:rPr>
        <w:t>Pide</w:t>
      </w:r>
      <w:r w:rsidRPr="00A202B4">
        <w:rPr>
          <w:lang w:val="es-ES_tradnl"/>
        </w:rPr>
        <w:t xml:space="preserve"> a las Partes en el Protocolo Suplementario e </w:t>
      </w:r>
      <w:r w:rsidRPr="00A202B4">
        <w:rPr>
          <w:i/>
          <w:iCs/>
          <w:lang w:val="es-ES_tradnl"/>
        </w:rPr>
        <w:t>invita</w:t>
      </w:r>
      <w:r w:rsidRPr="00A202B4">
        <w:rPr>
          <w:lang w:val="es-ES_tradnl"/>
        </w:rPr>
        <w:t xml:space="preserve"> a otros Gobiernos a que proporcionen información a la Secretaria Ejecutiva sobre las medidas que hayan establecido para brindar garantías financieras en casos de daños provocados por organismos vivos modificados, en particular cuando hayan informado en sus cuartos informes nacionales que contaban con tales medidas;</w:t>
      </w:r>
    </w:p>
    <w:p w14:paraId="261B4D97" w14:textId="77777777" w:rsidR="00C90053" w:rsidRPr="00A202B4" w:rsidRDefault="00C90053" w:rsidP="00C90053">
      <w:pPr>
        <w:shd w:val="clear" w:color="auto" w:fill="FFFFFF" w:themeFill="background1"/>
        <w:spacing w:before="120" w:after="120"/>
        <w:ind w:firstLine="720"/>
        <w:rPr>
          <w:i/>
          <w:lang w:val="es-ES_tradnl"/>
        </w:rPr>
      </w:pPr>
      <w:r w:rsidRPr="00A202B4">
        <w:rPr>
          <w:lang w:val="es-ES_tradnl"/>
        </w:rPr>
        <w:t>10.</w:t>
      </w:r>
      <w:r w:rsidRPr="00A202B4">
        <w:rPr>
          <w:lang w:val="es-ES_tradnl"/>
        </w:rPr>
        <w:tab/>
      </w:r>
      <w:r w:rsidRPr="00A202B4">
        <w:rPr>
          <w:i/>
          <w:lang w:val="es-ES_tradnl"/>
        </w:rPr>
        <w:t>Pide</w:t>
      </w:r>
      <w:r w:rsidRPr="00A202B4">
        <w:rPr>
          <w:lang w:val="es-ES_tradnl"/>
        </w:rPr>
        <w:t xml:space="preserve"> a la Secretaria Ejecutiva que recopile la información presentada con arreglo al párrafo 9 y la presente para su examen por la Conferencia de las Partes que actúa como reunión de las Partes en el Protocolo en su 11ª reunión;</w:t>
      </w:r>
    </w:p>
    <w:p w14:paraId="007C5906" w14:textId="77777777" w:rsidR="00C90053" w:rsidRPr="00A202B4" w:rsidRDefault="00C90053" w:rsidP="00C90053">
      <w:pPr>
        <w:shd w:val="clear" w:color="auto" w:fill="FFFFFF" w:themeFill="background1"/>
        <w:spacing w:before="120" w:after="120"/>
        <w:ind w:firstLine="720"/>
        <w:rPr>
          <w:iCs/>
          <w:lang w:val="es-ES_tradnl"/>
        </w:rPr>
      </w:pPr>
      <w:r w:rsidRPr="00A202B4">
        <w:rPr>
          <w:lang w:val="es-ES_tradnl"/>
        </w:rPr>
        <w:t>11.</w:t>
      </w:r>
      <w:r w:rsidRPr="00A202B4">
        <w:rPr>
          <w:lang w:val="es-ES_tradnl"/>
        </w:rPr>
        <w:tab/>
      </w:r>
      <w:r w:rsidRPr="00A202B4">
        <w:rPr>
          <w:i/>
          <w:lang w:val="es-ES_tradnl"/>
        </w:rPr>
        <w:t>Acoge con satisfacción</w:t>
      </w:r>
      <w:r w:rsidRPr="00A202B4">
        <w:rPr>
          <w:lang w:val="es-ES_tradnl"/>
        </w:rPr>
        <w:t xml:space="preserve"> la inclusión de preguntas sobre el Protocolo Suplementario en el formato para el quinto informe nacional</w:t>
      </w:r>
      <w:r w:rsidRPr="00A202B4">
        <w:rPr>
          <w:iCs/>
          <w:vertAlign w:val="superscript"/>
          <w:lang w:val="es-ES_tradnl"/>
        </w:rPr>
        <w:footnoteReference w:id="46"/>
      </w:r>
      <w:r w:rsidRPr="00A202B4">
        <w:rPr>
          <w:lang w:val="es-ES_tradnl"/>
        </w:rPr>
        <w:t xml:space="preserve"> y </w:t>
      </w:r>
      <w:r w:rsidRPr="00A202B4">
        <w:rPr>
          <w:i/>
          <w:lang w:val="es-ES_tradnl"/>
        </w:rPr>
        <w:t>pide</w:t>
      </w:r>
      <w:r w:rsidRPr="00A202B4">
        <w:rPr>
          <w:lang w:val="es-ES_tradnl"/>
        </w:rPr>
        <w:t xml:space="preserve"> a las Partes en el Protocolo Suplementario que respondan e </w:t>
      </w:r>
      <w:r w:rsidRPr="00A202B4">
        <w:rPr>
          <w:i/>
          <w:lang w:val="es-ES_tradnl"/>
        </w:rPr>
        <w:t>invita</w:t>
      </w:r>
      <w:r w:rsidRPr="00A202B4">
        <w:rPr>
          <w:lang w:val="es-ES_tradnl"/>
        </w:rPr>
        <w:t xml:space="preserve"> a otros Gobiernos a responder estas preguntas;</w:t>
      </w:r>
    </w:p>
    <w:p w14:paraId="3DBAE473" w14:textId="233A0CD6" w:rsidR="00C90053" w:rsidRPr="00A202B4" w:rsidRDefault="00C90053" w:rsidP="00C90053">
      <w:pPr>
        <w:shd w:val="clear" w:color="auto" w:fill="FFFFFF" w:themeFill="background1"/>
        <w:spacing w:before="120" w:after="120"/>
        <w:ind w:firstLine="720"/>
        <w:rPr>
          <w:rFonts w:asciiTheme="majorBidi" w:hAnsiTheme="majorBidi" w:cstheme="majorBidi"/>
          <w:b/>
          <w:bCs/>
          <w:snapToGrid w:val="0"/>
          <w:kern w:val="22"/>
          <w:lang w:val="es-ES_tradnl"/>
        </w:rPr>
      </w:pPr>
      <w:r w:rsidRPr="00A202B4">
        <w:rPr>
          <w:lang w:val="es-ES_tradnl"/>
        </w:rPr>
        <w:t>12.</w:t>
      </w:r>
      <w:r w:rsidRPr="00A202B4">
        <w:rPr>
          <w:lang w:val="es-ES_tradnl"/>
        </w:rPr>
        <w:tab/>
      </w:r>
      <w:r w:rsidRPr="00A202B4">
        <w:rPr>
          <w:i/>
          <w:lang w:val="es-ES_tradnl"/>
        </w:rPr>
        <w:t>Recuerda</w:t>
      </w:r>
      <w:r w:rsidRPr="00A202B4">
        <w:rPr>
          <w:lang w:val="es-ES_tradnl"/>
        </w:rPr>
        <w:t xml:space="preserve"> el artículo 13 del Protocolo Suplementario de Nagoya</w:t>
      </w:r>
      <w:r w:rsidRPr="00A202B4">
        <w:rPr>
          <w:iCs/>
          <w:lang w:val="es-ES_tradnl"/>
        </w:rPr>
        <w:t>-</w:t>
      </w:r>
      <w:r w:rsidRPr="00A202B4">
        <w:rPr>
          <w:lang w:val="es-ES_tradnl"/>
        </w:rPr>
        <w:t xml:space="preserve">Kuala Lumpur sobre Responsabilidad y Compensación y </w:t>
      </w:r>
      <w:r w:rsidRPr="00A202B4">
        <w:rPr>
          <w:i/>
          <w:lang w:val="es-ES_tradnl"/>
        </w:rPr>
        <w:t>decide</w:t>
      </w:r>
      <w:r w:rsidRPr="00A202B4">
        <w:rPr>
          <w:lang w:val="es-ES_tradnl"/>
        </w:rPr>
        <w:t xml:space="preserve"> que la primera evaluación y revisión de la eficacia del Protocolo Suplementario se realizará en el contexto de la quinta evaluación y revisión de la eficacia del Protocolo de Cartagena.</w:t>
      </w:r>
    </w:p>
    <w:p w14:paraId="1DFE501B" w14:textId="77777777" w:rsidR="00DD4BAA" w:rsidRPr="00A202B4" w:rsidRDefault="00DD4BAA" w:rsidP="00DD4BAA">
      <w:pPr>
        <w:pStyle w:val="decision"/>
        <w:ind w:left="2268" w:right="429" w:hanging="1134"/>
        <w:jc w:val="left"/>
        <w:rPr>
          <w:rFonts w:hint="eastAsia"/>
          <w:caps/>
          <w:lang w:val="es-ES_tradnl"/>
        </w:rPr>
        <w:sectPr w:rsidR="00DD4BAA" w:rsidRPr="00A202B4" w:rsidSect="009474D1">
          <w:footnotePr>
            <w:numRestart w:val="eachSect"/>
          </w:footnotePr>
          <w:pgSz w:w="12240" w:h="15840"/>
          <w:pgMar w:top="1021" w:right="1440" w:bottom="1021" w:left="1440" w:header="459" w:footer="720" w:gutter="0"/>
          <w:cols w:space="708"/>
          <w:docGrid w:linePitch="360"/>
        </w:sectPr>
      </w:pPr>
    </w:p>
    <w:p w14:paraId="418DBCF5" w14:textId="581C8C6A" w:rsidR="00DD4BAA" w:rsidRPr="00A202B4" w:rsidRDefault="00DD4BAA" w:rsidP="00D8083E">
      <w:pPr>
        <w:pStyle w:val="decision"/>
        <w:rPr>
          <w:rFonts w:hint="eastAsia"/>
          <w:caps/>
          <w:lang w:val="es-ES_tradnl"/>
        </w:rPr>
      </w:pPr>
      <w:bookmarkStart w:id="25" w:name="_Toc152776503"/>
      <w:r w:rsidRPr="00A202B4">
        <w:rPr>
          <w:lang w:val="es-ES_tradnl"/>
        </w:rPr>
        <w:lastRenderedPageBreak/>
        <w:t xml:space="preserve">CP-10/14. </w:t>
      </w:r>
      <w:r w:rsidRPr="00A202B4">
        <w:rPr>
          <w:lang w:val="es-ES_tradnl"/>
        </w:rPr>
        <w:tab/>
      </w:r>
      <w:r w:rsidR="00D8083E" w:rsidRPr="00A202B4">
        <w:rPr>
          <w:lang w:val="es-ES_tradnl"/>
        </w:rPr>
        <w:t>Presupuesto para el programa de trabajo integrado de la Secretaría</w:t>
      </w:r>
      <w:bookmarkEnd w:id="25"/>
    </w:p>
    <w:p w14:paraId="61D139E5" w14:textId="77777777" w:rsidR="00D8083E" w:rsidRPr="00A202B4" w:rsidRDefault="00D8083E" w:rsidP="00D8083E">
      <w:pPr>
        <w:spacing w:after="160" w:line="259" w:lineRule="auto"/>
        <w:ind w:firstLine="851"/>
        <w:rPr>
          <w:rFonts w:eastAsia="Malgun Gothic"/>
          <w:i/>
          <w:lang w:val="es-ES_tradnl"/>
        </w:rPr>
      </w:pPr>
      <w:r w:rsidRPr="00A202B4">
        <w:rPr>
          <w:rFonts w:eastAsia="Malgun Gothic"/>
          <w:i/>
          <w:lang w:val="es-ES_tradnl"/>
        </w:rPr>
        <w:t>La Conferencia de las Partes que actúa como reunión de las Partes en el Protocolo de Cartagena,</w:t>
      </w:r>
    </w:p>
    <w:p w14:paraId="32A6F589" w14:textId="77777777" w:rsidR="00D8083E" w:rsidRPr="00A202B4" w:rsidRDefault="00D8083E" w:rsidP="00D8083E">
      <w:pPr>
        <w:spacing w:after="160" w:line="259" w:lineRule="auto"/>
        <w:ind w:firstLine="851"/>
        <w:rPr>
          <w:rFonts w:eastAsia="Malgun Gothic"/>
          <w:lang w:val="es-ES_tradnl"/>
        </w:rPr>
      </w:pPr>
      <w:r w:rsidRPr="00A202B4">
        <w:rPr>
          <w:rFonts w:eastAsia="Malgun Gothic"/>
          <w:i/>
          <w:lang w:val="es-ES_tradnl"/>
        </w:rPr>
        <w:t xml:space="preserve">Recordando </w:t>
      </w:r>
      <w:r w:rsidRPr="00A202B4">
        <w:rPr>
          <w:rFonts w:eastAsia="Malgun Gothic"/>
          <w:lang w:val="es-ES_tradnl"/>
        </w:rPr>
        <w:t>su decisión CP-9/16,</w:t>
      </w:r>
    </w:p>
    <w:p w14:paraId="4A265F76" w14:textId="77777777" w:rsidR="00D8083E" w:rsidRPr="00A202B4" w:rsidRDefault="00D8083E" w:rsidP="00D8083E">
      <w:pPr>
        <w:spacing w:after="160" w:line="259" w:lineRule="auto"/>
        <w:ind w:firstLine="851"/>
        <w:rPr>
          <w:lang w:val="es-ES_tradnl"/>
        </w:rPr>
      </w:pPr>
      <w:r w:rsidRPr="00A202B4">
        <w:rPr>
          <w:i/>
          <w:lang w:val="es-ES_tradnl"/>
        </w:rPr>
        <w:t xml:space="preserve">Recordando también </w:t>
      </w:r>
      <w:r w:rsidRPr="00A202B4">
        <w:rPr>
          <w:lang w:val="es-ES_tradnl"/>
        </w:rPr>
        <w:t>su decisión CP-EM-1/1, en la que aprobó la prórroga del presupuesto para el bienio 2019-2020 y, con carácter excepcional, un presupuesto provisional básico para 2021,</w:t>
      </w:r>
    </w:p>
    <w:p w14:paraId="3D2911C7" w14:textId="77777777" w:rsidR="00D8083E" w:rsidRPr="00A202B4" w:rsidRDefault="00D8083E" w:rsidP="00D8083E">
      <w:pPr>
        <w:spacing w:after="160" w:line="259" w:lineRule="auto"/>
        <w:ind w:firstLine="851"/>
        <w:rPr>
          <w:lang w:val="es-ES_tradnl"/>
        </w:rPr>
      </w:pPr>
      <w:r w:rsidRPr="00A202B4">
        <w:rPr>
          <w:i/>
          <w:lang w:val="es-ES_tradnl"/>
        </w:rPr>
        <w:t>Recordando además</w:t>
      </w:r>
      <w:r w:rsidRPr="00A202B4">
        <w:rPr>
          <w:lang w:val="es-ES_tradnl"/>
        </w:rPr>
        <w:t xml:space="preserve"> su decisión CP-10/1, en la que aprobó la prórroga del presupuesto para el bienio 2019-2020 y, con carácter excepcional, un presupuesto provisional básico para 2022,</w:t>
      </w:r>
    </w:p>
    <w:p w14:paraId="6B9BC5F3" w14:textId="77777777" w:rsidR="00D8083E" w:rsidRPr="00A202B4" w:rsidRDefault="00D8083E" w:rsidP="006A4072">
      <w:pPr>
        <w:numPr>
          <w:ilvl w:val="0"/>
          <w:numId w:val="10"/>
        </w:numPr>
        <w:spacing w:after="160" w:line="259" w:lineRule="auto"/>
        <w:ind w:left="0" w:firstLine="709"/>
        <w:rPr>
          <w:rFonts w:eastAsia="Malgun Gothic"/>
          <w:iCs/>
          <w:lang w:val="es-ES_tradnl"/>
        </w:rPr>
      </w:pPr>
      <w:r w:rsidRPr="00A202B4">
        <w:rPr>
          <w:rFonts w:eastAsia="Malgun Gothic"/>
          <w:i/>
          <w:iCs/>
          <w:lang w:val="es-ES_tradnl"/>
        </w:rPr>
        <w:t xml:space="preserve">Decide </w:t>
      </w:r>
      <w:r w:rsidRPr="00A202B4">
        <w:rPr>
          <w:rFonts w:eastAsia="Malgun Gothic"/>
          <w:iCs/>
          <w:lang w:val="es-ES_tradnl"/>
        </w:rPr>
        <w:t>adoptar un programa de trabajo y un presupuesto integrados para el Convenio sobre la Diversidad Biológica, el Protocolo de Cartagena sobre Seguridad de la Biotecnología y el Protocolo de Nagoya sobre Acceso y Participación en los Beneficios;</w:t>
      </w:r>
    </w:p>
    <w:p w14:paraId="5205E021" w14:textId="77777777" w:rsidR="00D8083E" w:rsidRPr="00A202B4" w:rsidRDefault="00D8083E" w:rsidP="006A4072">
      <w:pPr>
        <w:numPr>
          <w:ilvl w:val="0"/>
          <w:numId w:val="10"/>
        </w:numPr>
        <w:spacing w:after="160" w:line="259" w:lineRule="auto"/>
        <w:ind w:left="0" w:firstLine="709"/>
        <w:rPr>
          <w:rFonts w:eastAsia="Malgun Gothic"/>
          <w:iCs/>
          <w:lang w:val="es-ES_tradnl"/>
        </w:rPr>
      </w:pPr>
      <w:r w:rsidRPr="00A202B4">
        <w:rPr>
          <w:rFonts w:eastAsia="Malgun Gothic"/>
          <w:i/>
          <w:iCs/>
          <w:lang w:val="es-ES_tradnl"/>
        </w:rPr>
        <w:t>Decide también</w:t>
      </w:r>
      <w:r w:rsidRPr="00A202B4">
        <w:rPr>
          <w:rFonts w:eastAsia="Malgun Gothic"/>
          <w:iCs/>
          <w:lang w:val="es-ES_tradnl"/>
        </w:rPr>
        <w:t xml:space="preserve"> compartir todos los costos de los servicios de secretaría entre el Convenio, el Protocolo de Cartagena y el Protocolo de Nagoya a una razón de 72:15:13 para el bienio 2023-2024;</w:t>
      </w:r>
    </w:p>
    <w:p w14:paraId="46743EB6" w14:textId="77777777" w:rsidR="00D8083E" w:rsidRPr="00A202B4" w:rsidRDefault="00D8083E" w:rsidP="006A4072">
      <w:pPr>
        <w:numPr>
          <w:ilvl w:val="0"/>
          <w:numId w:val="10"/>
        </w:numPr>
        <w:spacing w:after="160" w:line="259" w:lineRule="auto"/>
        <w:ind w:left="0" w:firstLine="709"/>
        <w:rPr>
          <w:rFonts w:eastAsia="Malgun Gothic"/>
          <w:iCs/>
          <w:lang w:val="es-ES_tradnl"/>
        </w:rPr>
      </w:pPr>
      <w:r w:rsidRPr="00A202B4">
        <w:rPr>
          <w:rFonts w:eastAsia="Malgun Gothic"/>
          <w:i/>
          <w:iCs/>
          <w:lang w:val="es-ES_tradnl"/>
        </w:rPr>
        <w:t>Aprueba</w:t>
      </w:r>
      <w:r w:rsidRPr="00A202B4">
        <w:rPr>
          <w:rFonts w:eastAsia="Malgun Gothic"/>
          <w:iCs/>
          <w:lang w:val="es-ES_tradnl"/>
        </w:rPr>
        <w:t xml:space="preserve"> un presupuesto básico por programas (BG) para el Protocolo de Cartagena de </w:t>
      </w:r>
      <w:r w:rsidRPr="00A202B4">
        <w:rPr>
          <w:rFonts w:eastAsia="Malgun Gothic"/>
          <w:iCs/>
          <w:color w:val="000000" w:themeColor="text1"/>
          <w:kern w:val="20"/>
          <w:lang w:val="es-ES_tradnl" w:eastAsia="x-none"/>
        </w:rPr>
        <w:t>2.989.700 </w:t>
      </w:r>
      <w:r w:rsidRPr="00A202B4">
        <w:rPr>
          <w:rFonts w:eastAsia="Malgun Gothic"/>
          <w:iCs/>
          <w:lang w:val="es-ES_tradnl"/>
        </w:rPr>
        <w:t xml:space="preserve">dólares de los EE.UU. para el año 2023 y de </w:t>
      </w:r>
      <w:r w:rsidRPr="00A202B4">
        <w:rPr>
          <w:rFonts w:eastAsia="Malgun Gothic"/>
          <w:iCs/>
          <w:color w:val="000000" w:themeColor="text1"/>
          <w:kern w:val="20"/>
          <w:lang w:val="es-ES_tradnl" w:eastAsia="x-none"/>
        </w:rPr>
        <w:t xml:space="preserve">3.257.200 </w:t>
      </w:r>
      <w:r w:rsidRPr="00A202B4">
        <w:rPr>
          <w:rFonts w:eastAsia="Malgun Gothic"/>
          <w:iCs/>
          <w:lang w:val="es-ES_tradnl"/>
        </w:rPr>
        <w:t>dólares para el año 2024, que representa el 15</w:t>
      </w:r>
      <w:r w:rsidRPr="00A202B4">
        <w:rPr>
          <w:lang w:val="es-ES_tradnl"/>
        </w:rPr>
        <w:t xml:space="preserve"> % </w:t>
      </w:r>
      <w:r w:rsidRPr="00A202B4">
        <w:rPr>
          <w:rFonts w:eastAsia="Malgun Gothic"/>
          <w:iCs/>
          <w:lang w:val="es-ES_tradnl"/>
        </w:rPr>
        <w:t xml:space="preserve">del presupuesto integrado de </w:t>
      </w:r>
      <w:r w:rsidRPr="00A202B4">
        <w:rPr>
          <w:rFonts w:eastAsia="Malgun Gothic"/>
          <w:iCs/>
          <w:color w:val="000000" w:themeColor="text1"/>
          <w:kern w:val="20"/>
          <w:lang w:val="es-ES_tradnl" w:eastAsia="x-none"/>
        </w:rPr>
        <w:t xml:space="preserve">19.931.600 </w:t>
      </w:r>
      <w:r w:rsidRPr="00A202B4">
        <w:rPr>
          <w:rFonts w:eastAsia="Malgun Gothic"/>
          <w:iCs/>
          <w:lang w:val="es-ES_tradnl"/>
        </w:rPr>
        <w:t xml:space="preserve">dólares para el año 2023 y </w:t>
      </w:r>
      <w:r w:rsidRPr="00A202B4">
        <w:rPr>
          <w:rFonts w:eastAsia="Malgun Gothic"/>
          <w:iCs/>
          <w:color w:val="000000" w:themeColor="text1"/>
          <w:kern w:val="20"/>
          <w:lang w:val="es-ES_tradnl" w:eastAsia="x-none"/>
        </w:rPr>
        <w:t xml:space="preserve">21.714.500 </w:t>
      </w:r>
      <w:r w:rsidRPr="00A202B4">
        <w:rPr>
          <w:rFonts w:eastAsia="Malgun Gothic"/>
          <w:iCs/>
          <w:lang w:val="es-ES_tradnl"/>
        </w:rPr>
        <w:t xml:space="preserve">dólares para el año 2024 para el Convenio y los Protocolos, a los efectos enumerados en los cuadros 1a y 1b </w:t>
      </w:r>
      <w:r w:rsidRPr="00A202B4">
        <w:rPr>
          <w:rFonts w:eastAsia="Malgun Gothic"/>
          <w:i/>
          <w:iCs/>
          <w:lang w:val="es-ES_tradnl"/>
        </w:rPr>
        <w:t>infra</w:t>
      </w:r>
      <w:r w:rsidRPr="00A202B4">
        <w:rPr>
          <w:rFonts w:eastAsia="Malgun Gothic"/>
          <w:iCs/>
          <w:lang w:val="es-ES_tradnl"/>
        </w:rPr>
        <w:t xml:space="preserve">; </w:t>
      </w:r>
    </w:p>
    <w:p w14:paraId="74969518" w14:textId="77777777" w:rsidR="00D8083E" w:rsidRPr="00A202B4" w:rsidRDefault="00D8083E" w:rsidP="006A4072">
      <w:pPr>
        <w:numPr>
          <w:ilvl w:val="0"/>
          <w:numId w:val="10"/>
        </w:numPr>
        <w:spacing w:after="160" w:line="259" w:lineRule="auto"/>
        <w:ind w:left="0" w:firstLine="709"/>
        <w:rPr>
          <w:rFonts w:eastAsia="Malgun Gothic"/>
          <w:iCs/>
          <w:lang w:val="es-ES_tradnl"/>
        </w:rPr>
      </w:pPr>
      <w:r w:rsidRPr="00A202B4">
        <w:rPr>
          <w:rFonts w:eastAsia="Malgun Gothic"/>
          <w:i/>
          <w:iCs/>
          <w:lang w:val="es-ES_tradnl"/>
        </w:rPr>
        <w:t>Adopta</w:t>
      </w:r>
      <w:r w:rsidRPr="00A202B4">
        <w:rPr>
          <w:rFonts w:eastAsia="Malgun Gothic"/>
          <w:iCs/>
          <w:lang w:val="es-ES_tradnl"/>
        </w:rPr>
        <w:t xml:space="preserve"> la escala de cuotas para el prorrateo de los gastos para 2023 y 2024, de conformidad con la actual escala de cuotas de las Naciones Unidas</w:t>
      </w:r>
      <w:r w:rsidRPr="00A202B4">
        <w:rPr>
          <w:rStyle w:val="FootnoteReference"/>
          <w:rFonts w:eastAsia="Malgun Gothic"/>
          <w:iCs/>
          <w:color w:val="000000" w:themeColor="text1"/>
          <w:kern w:val="20"/>
          <w:sz w:val="22"/>
          <w:szCs w:val="22"/>
          <w:u w:val="none"/>
          <w:vertAlign w:val="superscript"/>
          <w:lang w:val="es-ES_tradnl" w:eastAsia="x-none"/>
        </w:rPr>
        <w:footnoteReference w:id="47"/>
      </w:r>
      <w:r w:rsidRPr="00A202B4">
        <w:rPr>
          <w:rFonts w:eastAsia="Malgun Gothic"/>
          <w:iCs/>
          <w:color w:val="000000" w:themeColor="text1"/>
          <w:kern w:val="20"/>
          <w:lang w:val="es-ES_tradnl" w:eastAsia="x-none"/>
        </w:rPr>
        <w:t>,</w:t>
      </w:r>
      <w:r w:rsidRPr="00A202B4">
        <w:rPr>
          <w:rFonts w:eastAsia="Malgun Gothic"/>
          <w:iCs/>
          <w:lang w:val="es-ES_tradnl"/>
        </w:rPr>
        <w:t xml:space="preserve"> que figura en el cuadro 2 de la presente decisión;</w:t>
      </w:r>
    </w:p>
    <w:p w14:paraId="4FE2B6C6" w14:textId="77777777" w:rsidR="00D8083E" w:rsidRPr="00A202B4" w:rsidRDefault="00D8083E" w:rsidP="006A4072">
      <w:pPr>
        <w:numPr>
          <w:ilvl w:val="0"/>
          <w:numId w:val="10"/>
        </w:numPr>
        <w:spacing w:after="160" w:line="259" w:lineRule="auto"/>
        <w:ind w:left="0" w:firstLine="709"/>
        <w:rPr>
          <w:rFonts w:eastAsia="Malgun Gothic"/>
          <w:iCs/>
          <w:lang w:val="es-ES_tradnl"/>
        </w:rPr>
      </w:pPr>
      <w:r w:rsidRPr="00A202B4">
        <w:rPr>
          <w:i/>
          <w:iCs/>
          <w:lang w:val="es-ES_tradnl"/>
        </w:rPr>
        <w:t>Observa con preocupación</w:t>
      </w:r>
      <w:r w:rsidRPr="00A202B4">
        <w:rPr>
          <w:lang w:val="es-ES_tradnl"/>
        </w:rPr>
        <w:t xml:space="preserve"> que varias Partes en el Convenio y sus Protocolos no han pagado sus contribuciones a los presupuestos básicos (Fondos fiduciarios BY, BG y BB) para 2022 y años anteriores, entre ellas las Partes que nunca han pagado sus contribuciones, y observa además que, de conformidad con las Normas Internacionales de Contabilidad del Sector Público adoptadas por las Naciones Unidas</w:t>
      </w:r>
      <w:r w:rsidRPr="00A202B4">
        <w:rPr>
          <w:rFonts w:asciiTheme="majorBidi" w:hAnsiTheme="majorBidi" w:cstheme="majorBidi"/>
          <w:szCs w:val="22"/>
          <w:vertAlign w:val="superscript"/>
          <w:lang w:val="es-ES_tradnl"/>
        </w:rPr>
        <w:footnoteReference w:id="48"/>
      </w:r>
      <w:r w:rsidRPr="00A202B4">
        <w:rPr>
          <w:lang w:val="es-ES_tradnl"/>
        </w:rPr>
        <w:t>, los pagos atrasados, por un valor estimativo de 556.128 dólares de los EE.UU., están pendientes a fines de 2021 y se deducen del saldo de fondos para cubrir deudas de cobro dudoso y, por lo tanto, no pueden utilizarse en beneficio de todas las Partes respectivas, y pide al Programa de las Naciones Unidas para el Medio Ambiente que acepte contribuciones de todas las Partes en el Convenio de manera oportuna;</w:t>
      </w:r>
    </w:p>
    <w:p w14:paraId="478AA9EA" w14:textId="77777777" w:rsidR="00D8083E" w:rsidRPr="00A202B4" w:rsidRDefault="00D8083E" w:rsidP="006A4072">
      <w:pPr>
        <w:numPr>
          <w:ilvl w:val="0"/>
          <w:numId w:val="10"/>
        </w:numPr>
        <w:spacing w:after="160" w:line="259" w:lineRule="auto"/>
        <w:ind w:left="0" w:firstLine="709"/>
        <w:rPr>
          <w:rFonts w:eastAsia="Malgun Gothic"/>
          <w:iCs/>
          <w:lang w:val="es-ES_tradnl"/>
        </w:rPr>
      </w:pPr>
      <w:r w:rsidRPr="00A202B4">
        <w:rPr>
          <w:i/>
          <w:iCs/>
          <w:lang w:val="es-ES_tradnl"/>
        </w:rPr>
        <w:t xml:space="preserve">Decide </w:t>
      </w:r>
      <w:r w:rsidRPr="00A202B4">
        <w:rPr>
          <w:lang w:val="es-ES_tradnl"/>
        </w:rPr>
        <w:t xml:space="preserve">aplicar, </w:t>
      </w:r>
      <w:r w:rsidRPr="00A202B4">
        <w:rPr>
          <w:i/>
          <w:lang w:val="es-ES_tradnl"/>
        </w:rPr>
        <w:t>mutatis mutandis</w:t>
      </w:r>
      <w:r w:rsidRPr="00A202B4">
        <w:rPr>
          <w:lang w:val="es-ES_tradnl"/>
        </w:rPr>
        <w:t>, los párrafos 4</w:t>
      </w:r>
      <w:r w:rsidRPr="00A202B4">
        <w:rPr>
          <w:rFonts w:ascii="TimesNewRomanPSMT" w:hAnsi="TimesNewRomanPSMT"/>
          <w:szCs w:val="22"/>
          <w:lang w:val="es-ES_tradnl"/>
        </w:rPr>
        <w:t xml:space="preserve"> a </w:t>
      </w:r>
      <w:r w:rsidRPr="00A202B4">
        <w:rPr>
          <w:rFonts w:ascii="TimesNewRomanPSMT" w:hAnsi="TimesNewRomanPSMT"/>
          <w:lang w:val="es-ES_tradnl"/>
        </w:rPr>
        <w:t>6</w:t>
      </w:r>
      <w:r w:rsidRPr="00A202B4">
        <w:rPr>
          <w:rFonts w:ascii="TimesNewRomanPSMT" w:hAnsi="TimesNewRomanPSMT"/>
          <w:szCs w:val="22"/>
          <w:lang w:val="es-ES_tradnl"/>
        </w:rPr>
        <w:t>, 8</w:t>
      </w:r>
      <w:r w:rsidRPr="00A202B4">
        <w:rPr>
          <w:rFonts w:ascii="TimesNewRomanPSMT" w:hAnsi="TimesNewRomanPSMT"/>
          <w:lang w:val="es-ES_tradnl"/>
        </w:rPr>
        <w:t xml:space="preserve"> a </w:t>
      </w:r>
      <w:r w:rsidRPr="00A202B4">
        <w:rPr>
          <w:rFonts w:ascii="TimesNewRomanPSMT" w:hAnsi="TimesNewRomanPSMT"/>
          <w:szCs w:val="22"/>
          <w:lang w:val="es-ES_tradnl"/>
        </w:rPr>
        <w:t>17</w:t>
      </w:r>
      <w:r w:rsidRPr="00A202B4">
        <w:rPr>
          <w:rFonts w:ascii="TimesNewRomanPSMT" w:hAnsi="TimesNewRomanPSMT"/>
          <w:lang w:val="es-ES_tradnl"/>
        </w:rPr>
        <w:t xml:space="preserve"> y </w:t>
      </w:r>
      <w:r w:rsidRPr="00A202B4">
        <w:rPr>
          <w:rFonts w:ascii="TimesNewRomanPSMT" w:hAnsi="TimesNewRomanPSMT"/>
          <w:szCs w:val="22"/>
          <w:lang w:val="es-ES_tradnl"/>
        </w:rPr>
        <w:t>19</w:t>
      </w:r>
      <w:r w:rsidRPr="00A202B4">
        <w:rPr>
          <w:rFonts w:ascii="TimesNewRomanPSMT" w:hAnsi="TimesNewRomanPSMT"/>
          <w:lang w:val="es-ES_tradnl"/>
        </w:rPr>
        <w:t xml:space="preserve"> a </w:t>
      </w:r>
      <w:r w:rsidRPr="00A202B4">
        <w:rPr>
          <w:rFonts w:ascii="TimesNewRomanPSMT" w:hAnsi="TimesNewRomanPSMT"/>
          <w:szCs w:val="22"/>
          <w:lang w:val="es-ES_tradnl"/>
        </w:rPr>
        <w:t>39</w:t>
      </w:r>
      <w:r w:rsidRPr="00A202B4">
        <w:rPr>
          <w:rFonts w:ascii="TimesNewRomanPSMT" w:hAnsi="TimesNewRomanPSMT"/>
          <w:lang w:val="es-ES_tradnl"/>
        </w:rPr>
        <w:t xml:space="preserve"> de la decisión 15/34</w:t>
      </w:r>
      <w:r w:rsidRPr="00A202B4">
        <w:rPr>
          <w:rFonts w:ascii="TimesNewRomanPSMT" w:hAnsi="TimesNewRomanPSMT"/>
          <w:szCs w:val="22"/>
          <w:lang w:val="es-ES_tradnl"/>
        </w:rPr>
        <w:t xml:space="preserve"> </w:t>
      </w:r>
      <w:r w:rsidRPr="00A202B4">
        <w:rPr>
          <w:lang w:val="es-ES_tradnl"/>
        </w:rPr>
        <w:t xml:space="preserve">de la Conferencia de las Partes. </w:t>
      </w:r>
    </w:p>
    <w:p w14:paraId="2DA543A3" w14:textId="77777777" w:rsidR="00D8083E" w:rsidRPr="00A202B4" w:rsidRDefault="00D8083E" w:rsidP="00D8083E">
      <w:pPr>
        <w:spacing w:after="160" w:line="259" w:lineRule="auto"/>
        <w:jc w:val="left"/>
        <w:rPr>
          <w:rFonts w:ascii="TimesNewRomanPSMT" w:hAnsi="TimesNewRomanPSMT"/>
          <w:szCs w:val="22"/>
          <w:lang w:val="es-ES_tradnl"/>
        </w:rPr>
      </w:pPr>
      <w:r w:rsidRPr="00A202B4">
        <w:rPr>
          <w:rFonts w:ascii="TimesNewRomanPSMT" w:hAnsi="TimesNewRomanPSMT"/>
          <w:szCs w:val="22"/>
          <w:lang w:val="es-ES_tradnl"/>
        </w:rPr>
        <w:br w:type="page"/>
      </w:r>
    </w:p>
    <w:p w14:paraId="04A2D004" w14:textId="12C4E1B6" w:rsidR="00D8083E" w:rsidRPr="00A202B4" w:rsidRDefault="00D8083E" w:rsidP="00D8083E">
      <w:pPr>
        <w:tabs>
          <w:tab w:val="left" w:pos="1260"/>
        </w:tabs>
        <w:spacing w:after="60"/>
        <w:ind w:left="1267" w:hanging="1267"/>
        <w:jc w:val="left"/>
        <w:rPr>
          <w:rFonts w:asciiTheme="majorBidi" w:hAnsiTheme="majorBidi" w:cstheme="majorBidi"/>
          <w:b/>
          <w:bCs/>
          <w:szCs w:val="22"/>
          <w:lang w:val="es-ES_tradnl"/>
        </w:rPr>
      </w:pPr>
      <w:r w:rsidRPr="00A202B4">
        <w:rPr>
          <w:rFonts w:ascii="TimesNewRomanPSMT" w:hAnsi="TimesNewRomanPSMT"/>
          <w:b/>
          <w:bCs/>
          <w:szCs w:val="22"/>
          <w:lang w:val="es-ES_tradnl"/>
        </w:rPr>
        <w:lastRenderedPageBreak/>
        <w:t>Cuadro 1a.</w:t>
      </w:r>
      <w:r w:rsidRPr="00A202B4">
        <w:rPr>
          <w:rFonts w:ascii="TimesNewRomanPSMT" w:hAnsi="TimesNewRomanPSMT"/>
          <w:b/>
          <w:bCs/>
          <w:szCs w:val="22"/>
          <w:lang w:val="es-ES_tradnl"/>
        </w:rPr>
        <w:tab/>
      </w:r>
      <w:r w:rsidRPr="00A202B4">
        <w:rPr>
          <w:b/>
          <w:szCs w:val="22"/>
          <w:lang w:val="es-ES_tradnl"/>
        </w:rPr>
        <w:t>Presupuesto integrado para</w:t>
      </w:r>
      <w:r w:rsidRPr="00A202B4">
        <w:rPr>
          <w:b/>
          <w:spacing w:val="-7"/>
          <w:szCs w:val="22"/>
          <w:lang w:val="es-ES_tradnl"/>
        </w:rPr>
        <w:t xml:space="preserve"> el </w:t>
      </w:r>
      <w:r w:rsidRPr="00A202B4">
        <w:rPr>
          <w:b/>
          <w:szCs w:val="22"/>
          <w:lang w:val="es-ES_tradnl"/>
        </w:rPr>
        <w:t>Convenio y sus Protocolos para el período</w:t>
      </w:r>
      <w:r w:rsidRPr="00A202B4">
        <w:rPr>
          <w:b/>
          <w:szCs w:val="22"/>
          <w:lang w:val="es-ES_tradnl"/>
        </w:rPr>
        <w:br/>
      </w:r>
      <w:r w:rsidRPr="00A202B4">
        <w:rPr>
          <w:rFonts w:asciiTheme="majorBidi" w:hAnsiTheme="majorBidi" w:cstheme="majorBidi"/>
          <w:b/>
          <w:bCs/>
          <w:szCs w:val="22"/>
          <w:lang w:val="es-ES_tradnl"/>
        </w:rPr>
        <w:t>2023-2024 (por objeto de gastos)</w:t>
      </w:r>
    </w:p>
    <w:tbl>
      <w:tblPr>
        <w:tblW w:w="8560" w:type="dxa"/>
        <w:tblLook w:val="04A0" w:firstRow="1" w:lastRow="0" w:firstColumn="1" w:lastColumn="0" w:noHBand="0" w:noVBand="1"/>
      </w:tblPr>
      <w:tblGrid>
        <w:gridCol w:w="4360"/>
        <w:gridCol w:w="1400"/>
        <w:gridCol w:w="1400"/>
        <w:gridCol w:w="1400"/>
      </w:tblGrid>
      <w:tr w:rsidR="00D8083E" w:rsidRPr="00A202B4" w14:paraId="77DD2F5C" w14:textId="77777777" w:rsidTr="009A372A">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7512E6D1" w14:textId="77777777" w:rsidR="00D8083E" w:rsidRPr="00A202B4" w:rsidRDefault="00D8083E" w:rsidP="009A372A">
            <w:pPr>
              <w:jc w:val="center"/>
              <w:rPr>
                <w:i/>
                <w:iCs/>
                <w:color w:val="000000"/>
                <w:sz w:val="18"/>
                <w:szCs w:val="18"/>
                <w:lang w:val="es-ES_tradnl"/>
              </w:rPr>
            </w:pPr>
            <w:r w:rsidRPr="00A202B4">
              <w:rPr>
                <w:i/>
                <w:iCs/>
                <w:color w:val="000000"/>
                <w:sz w:val="18"/>
                <w:szCs w:val="18"/>
                <w:lang w:val="es-ES_tradnl"/>
              </w:rPr>
              <w:t>Objeto de gastos</w:t>
            </w:r>
          </w:p>
        </w:tc>
        <w:tc>
          <w:tcPr>
            <w:tcW w:w="1400" w:type="dxa"/>
            <w:tcBorders>
              <w:top w:val="single" w:sz="8" w:space="0" w:color="auto"/>
              <w:left w:val="nil"/>
              <w:bottom w:val="nil"/>
              <w:right w:val="nil"/>
            </w:tcBorders>
            <w:shd w:val="clear" w:color="auto" w:fill="auto"/>
            <w:vAlign w:val="center"/>
            <w:hideMark/>
          </w:tcPr>
          <w:p w14:paraId="712DD70F" w14:textId="77777777" w:rsidR="00D8083E" w:rsidRPr="00A202B4" w:rsidRDefault="00D8083E" w:rsidP="009A372A">
            <w:pPr>
              <w:jc w:val="center"/>
              <w:rPr>
                <w:i/>
                <w:iCs/>
                <w:color w:val="000000"/>
                <w:sz w:val="18"/>
                <w:szCs w:val="18"/>
                <w:lang w:val="es-ES_tradnl"/>
              </w:rPr>
            </w:pPr>
            <w:r w:rsidRPr="00A202B4">
              <w:rPr>
                <w:i/>
                <w:iCs/>
                <w:color w:val="000000"/>
                <w:sz w:val="18"/>
                <w:szCs w:val="18"/>
                <w:lang w:val="es-ES_tradnl"/>
              </w:rPr>
              <w:t xml:space="preserve">2023 </w:t>
            </w:r>
          </w:p>
        </w:tc>
        <w:tc>
          <w:tcPr>
            <w:tcW w:w="1400" w:type="dxa"/>
            <w:tcBorders>
              <w:top w:val="single" w:sz="8" w:space="0" w:color="auto"/>
              <w:left w:val="nil"/>
              <w:bottom w:val="nil"/>
              <w:right w:val="nil"/>
            </w:tcBorders>
            <w:shd w:val="clear" w:color="auto" w:fill="auto"/>
            <w:vAlign w:val="center"/>
            <w:hideMark/>
          </w:tcPr>
          <w:p w14:paraId="06A05376" w14:textId="77777777" w:rsidR="00D8083E" w:rsidRPr="00A202B4" w:rsidRDefault="00D8083E" w:rsidP="009A372A">
            <w:pPr>
              <w:jc w:val="center"/>
              <w:rPr>
                <w:i/>
                <w:iCs/>
                <w:color w:val="000000"/>
                <w:sz w:val="18"/>
                <w:szCs w:val="18"/>
                <w:lang w:val="es-ES_tradnl"/>
              </w:rPr>
            </w:pPr>
            <w:r w:rsidRPr="00A202B4">
              <w:rPr>
                <w:i/>
                <w:iCs/>
                <w:color w:val="000000"/>
                <w:sz w:val="18"/>
                <w:szCs w:val="18"/>
                <w:lang w:val="es-ES_tradnl"/>
              </w:rPr>
              <w:t xml:space="preserve">2024 </w:t>
            </w:r>
          </w:p>
        </w:tc>
        <w:tc>
          <w:tcPr>
            <w:tcW w:w="1400" w:type="dxa"/>
            <w:tcBorders>
              <w:top w:val="single" w:sz="8" w:space="0" w:color="auto"/>
              <w:left w:val="nil"/>
              <w:bottom w:val="nil"/>
              <w:right w:val="nil"/>
            </w:tcBorders>
            <w:shd w:val="clear" w:color="auto" w:fill="auto"/>
            <w:vAlign w:val="center"/>
            <w:hideMark/>
          </w:tcPr>
          <w:p w14:paraId="4FAE96D4" w14:textId="77777777" w:rsidR="00D8083E" w:rsidRPr="00A202B4" w:rsidRDefault="00D8083E" w:rsidP="009A372A">
            <w:pPr>
              <w:jc w:val="center"/>
              <w:rPr>
                <w:b/>
                <w:bCs/>
                <w:i/>
                <w:iCs/>
                <w:color w:val="000000"/>
                <w:sz w:val="18"/>
                <w:szCs w:val="18"/>
                <w:lang w:val="es-ES_tradnl"/>
              </w:rPr>
            </w:pPr>
            <w:r w:rsidRPr="00A202B4">
              <w:rPr>
                <w:b/>
                <w:bCs/>
                <w:i/>
                <w:iCs/>
                <w:color w:val="000000"/>
                <w:sz w:val="18"/>
                <w:szCs w:val="18"/>
                <w:lang w:val="es-ES_tradnl"/>
              </w:rPr>
              <w:t>Total</w:t>
            </w:r>
          </w:p>
        </w:tc>
      </w:tr>
      <w:tr w:rsidR="00D8083E" w:rsidRPr="00A202B4" w14:paraId="272F25E9" w14:textId="77777777" w:rsidTr="009A372A">
        <w:trPr>
          <w:trHeight w:val="290"/>
        </w:trPr>
        <w:tc>
          <w:tcPr>
            <w:tcW w:w="4360" w:type="dxa"/>
            <w:vMerge/>
            <w:tcBorders>
              <w:top w:val="single" w:sz="8" w:space="0" w:color="auto"/>
              <w:left w:val="nil"/>
              <w:bottom w:val="single" w:sz="8" w:space="0" w:color="000000"/>
              <w:right w:val="nil"/>
            </w:tcBorders>
            <w:vAlign w:val="center"/>
            <w:hideMark/>
          </w:tcPr>
          <w:p w14:paraId="7B6ECF49" w14:textId="77777777" w:rsidR="00D8083E" w:rsidRPr="00A202B4" w:rsidRDefault="00D8083E" w:rsidP="009A372A">
            <w:pPr>
              <w:rPr>
                <w:i/>
                <w:iCs/>
                <w:color w:val="000000"/>
                <w:sz w:val="18"/>
                <w:szCs w:val="18"/>
                <w:lang w:val="es-ES_tradnl"/>
              </w:rPr>
            </w:pPr>
          </w:p>
        </w:tc>
        <w:tc>
          <w:tcPr>
            <w:tcW w:w="4200" w:type="dxa"/>
            <w:gridSpan w:val="3"/>
            <w:tcBorders>
              <w:top w:val="nil"/>
              <w:left w:val="nil"/>
              <w:bottom w:val="single" w:sz="8" w:space="0" w:color="auto"/>
              <w:right w:val="nil"/>
            </w:tcBorders>
            <w:shd w:val="clear" w:color="auto" w:fill="auto"/>
            <w:vAlign w:val="center"/>
            <w:hideMark/>
          </w:tcPr>
          <w:p w14:paraId="65130EE4" w14:textId="77777777" w:rsidR="00D8083E" w:rsidRPr="00A202B4" w:rsidRDefault="00D8083E" w:rsidP="009A372A">
            <w:pPr>
              <w:jc w:val="center"/>
              <w:rPr>
                <w:i/>
                <w:iCs/>
                <w:color w:val="000000"/>
                <w:sz w:val="18"/>
                <w:szCs w:val="18"/>
                <w:lang w:val="es-ES_tradnl"/>
              </w:rPr>
            </w:pPr>
            <w:r w:rsidRPr="00A202B4">
              <w:rPr>
                <w:i/>
                <w:iCs/>
                <w:color w:val="000000" w:themeColor="text1"/>
                <w:kern w:val="20"/>
                <w:sz w:val="18"/>
                <w:szCs w:val="18"/>
                <w:lang w:val="es-ES_tradnl"/>
              </w:rPr>
              <w:t>(Miles de dólares de los EE.UU.)</w:t>
            </w:r>
          </w:p>
        </w:tc>
      </w:tr>
      <w:tr w:rsidR="00D8083E" w:rsidRPr="00A202B4" w14:paraId="32B26D48" w14:textId="77777777" w:rsidTr="009A372A">
        <w:trPr>
          <w:trHeight w:val="280"/>
        </w:trPr>
        <w:tc>
          <w:tcPr>
            <w:tcW w:w="4360" w:type="dxa"/>
            <w:tcBorders>
              <w:top w:val="nil"/>
              <w:left w:val="nil"/>
              <w:bottom w:val="nil"/>
              <w:right w:val="nil"/>
            </w:tcBorders>
            <w:shd w:val="clear" w:color="auto" w:fill="auto"/>
            <w:vAlign w:val="center"/>
            <w:hideMark/>
          </w:tcPr>
          <w:p w14:paraId="56CE1065" w14:textId="77777777" w:rsidR="00D8083E" w:rsidRPr="00A202B4" w:rsidRDefault="00D8083E" w:rsidP="009A372A">
            <w:pPr>
              <w:rPr>
                <w:color w:val="000000"/>
                <w:sz w:val="17"/>
                <w:szCs w:val="17"/>
                <w:lang w:val="es-ES_tradnl"/>
              </w:rPr>
            </w:pPr>
            <w:r w:rsidRPr="00A202B4">
              <w:rPr>
                <w:color w:val="000000" w:themeColor="text1"/>
                <w:kern w:val="20"/>
                <w:sz w:val="17"/>
                <w:szCs w:val="17"/>
                <w:lang w:val="es-ES_tradnl"/>
              </w:rPr>
              <w:t>A. Gastos de personal</w:t>
            </w:r>
          </w:p>
        </w:tc>
        <w:tc>
          <w:tcPr>
            <w:tcW w:w="1400" w:type="dxa"/>
            <w:tcBorders>
              <w:top w:val="nil"/>
              <w:left w:val="nil"/>
              <w:bottom w:val="nil"/>
              <w:right w:val="nil"/>
            </w:tcBorders>
            <w:shd w:val="clear" w:color="auto" w:fill="auto"/>
            <w:vAlign w:val="center"/>
            <w:hideMark/>
          </w:tcPr>
          <w:p w14:paraId="3A57C7BC"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11 890,2</w:t>
            </w:r>
          </w:p>
        </w:tc>
        <w:tc>
          <w:tcPr>
            <w:tcW w:w="1400" w:type="dxa"/>
            <w:tcBorders>
              <w:top w:val="nil"/>
              <w:left w:val="nil"/>
              <w:bottom w:val="nil"/>
              <w:right w:val="nil"/>
            </w:tcBorders>
            <w:shd w:val="clear" w:color="auto" w:fill="auto"/>
            <w:vAlign w:val="center"/>
            <w:hideMark/>
          </w:tcPr>
          <w:p w14:paraId="5496575B"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12 267,1</w:t>
            </w:r>
          </w:p>
        </w:tc>
        <w:tc>
          <w:tcPr>
            <w:tcW w:w="1400" w:type="dxa"/>
            <w:tcBorders>
              <w:top w:val="nil"/>
              <w:left w:val="nil"/>
              <w:bottom w:val="nil"/>
              <w:right w:val="nil"/>
            </w:tcBorders>
            <w:shd w:val="clear" w:color="auto" w:fill="auto"/>
            <w:vAlign w:val="center"/>
            <w:hideMark/>
          </w:tcPr>
          <w:p w14:paraId="26A212A8"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24 157,3</w:t>
            </w:r>
          </w:p>
        </w:tc>
      </w:tr>
      <w:tr w:rsidR="00D8083E" w:rsidRPr="00A202B4" w14:paraId="33562B31" w14:textId="77777777" w:rsidTr="009A372A">
        <w:trPr>
          <w:trHeight w:val="280"/>
        </w:trPr>
        <w:tc>
          <w:tcPr>
            <w:tcW w:w="4360" w:type="dxa"/>
            <w:tcBorders>
              <w:top w:val="nil"/>
              <w:left w:val="nil"/>
              <w:bottom w:val="nil"/>
              <w:right w:val="nil"/>
            </w:tcBorders>
            <w:shd w:val="clear" w:color="auto" w:fill="auto"/>
            <w:vAlign w:val="center"/>
            <w:hideMark/>
          </w:tcPr>
          <w:p w14:paraId="02172A1E" w14:textId="77777777" w:rsidR="00D8083E" w:rsidRPr="00A202B4" w:rsidRDefault="00D8083E" w:rsidP="009A372A">
            <w:pPr>
              <w:rPr>
                <w:color w:val="000000"/>
                <w:sz w:val="17"/>
                <w:szCs w:val="17"/>
                <w:lang w:val="es-ES_tradnl"/>
              </w:rPr>
            </w:pPr>
            <w:r w:rsidRPr="00A202B4">
              <w:rPr>
                <w:color w:val="000000" w:themeColor="text1"/>
                <w:kern w:val="20"/>
                <w:sz w:val="17"/>
                <w:szCs w:val="17"/>
                <w:lang w:val="es-ES_tradnl"/>
              </w:rPr>
              <w:t>B. Personal temporario/horas extraordinarias</w:t>
            </w:r>
          </w:p>
        </w:tc>
        <w:tc>
          <w:tcPr>
            <w:tcW w:w="1400" w:type="dxa"/>
            <w:tcBorders>
              <w:top w:val="nil"/>
              <w:left w:val="nil"/>
              <w:bottom w:val="nil"/>
              <w:right w:val="nil"/>
            </w:tcBorders>
            <w:shd w:val="clear" w:color="auto" w:fill="auto"/>
            <w:vAlign w:val="center"/>
            <w:hideMark/>
          </w:tcPr>
          <w:p w14:paraId="4DB774E6"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100,0</w:t>
            </w:r>
          </w:p>
        </w:tc>
        <w:tc>
          <w:tcPr>
            <w:tcW w:w="1400" w:type="dxa"/>
            <w:tcBorders>
              <w:top w:val="nil"/>
              <w:left w:val="nil"/>
              <w:bottom w:val="nil"/>
              <w:right w:val="nil"/>
            </w:tcBorders>
            <w:shd w:val="clear" w:color="auto" w:fill="auto"/>
            <w:vAlign w:val="center"/>
            <w:hideMark/>
          </w:tcPr>
          <w:p w14:paraId="120C77A6"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100,0</w:t>
            </w:r>
          </w:p>
        </w:tc>
        <w:tc>
          <w:tcPr>
            <w:tcW w:w="1400" w:type="dxa"/>
            <w:tcBorders>
              <w:top w:val="nil"/>
              <w:left w:val="nil"/>
              <w:bottom w:val="nil"/>
              <w:right w:val="nil"/>
            </w:tcBorders>
            <w:shd w:val="clear" w:color="auto" w:fill="auto"/>
            <w:vAlign w:val="center"/>
            <w:hideMark/>
          </w:tcPr>
          <w:p w14:paraId="0356C87E"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200,0</w:t>
            </w:r>
          </w:p>
        </w:tc>
      </w:tr>
      <w:tr w:rsidR="00D8083E" w:rsidRPr="00A202B4" w14:paraId="726B8CAC" w14:textId="77777777" w:rsidTr="009A372A">
        <w:trPr>
          <w:trHeight w:val="280"/>
        </w:trPr>
        <w:tc>
          <w:tcPr>
            <w:tcW w:w="4360" w:type="dxa"/>
            <w:tcBorders>
              <w:top w:val="nil"/>
              <w:left w:val="nil"/>
              <w:bottom w:val="nil"/>
              <w:right w:val="nil"/>
            </w:tcBorders>
            <w:shd w:val="clear" w:color="auto" w:fill="auto"/>
            <w:vAlign w:val="center"/>
            <w:hideMark/>
          </w:tcPr>
          <w:p w14:paraId="0BC3D118" w14:textId="77777777" w:rsidR="00D8083E" w:rsidRPr="00A202B4" w:rsidRDefault="00D8083E" w:rsidP="009A372A">
            <w:pPr>
              <w:rPr>
                <w:color w:val="000000"/>
                <w:sz w:val="17"/>
                <w:szCs w:val="17"/>
                <w:lang w:val="es-ES_tradnl"/>
              </w:rPr>
            </w:pPr>
            <w:r w:rsidRPr="00A202B4">
              <w:rPr>
                <w:color w:val="000000" w:themeColor="text1"/>
                <w:kern w:val="20"/>
                <w:sz w:val="17"/>
                <w:szCs w:val="17"/>
                <w:lang w:val="es-ES_tradnl"/>
              </w:rPr>
              <w:t>C. Consultores/subcontratistas</w:t>
            </w:r>
          </w:p>
        </w:tc>
        <w:tc>
          <w:tcPr>
            <w:tcW w:w="1400" w:type="dxa"/>
            <w:tcBorders>
              <w:top w:val="nil"/>
              <w:left w:val="nil"/>
              <w:bottom w:val="nil"/>
              <w:right w:val="nil"/>
            </w:tcBorders>
            <w:shd w:val="clear" w:color="auto" w:fill="auto"/>
            <w:vAlign w:val="center"/>
            <w:hideMark/>
          </w:tcPr>
          <w:p w14:paraId="72393479"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50,0</w:t>
            </w:r>
          </w:p>
        </w:tc>
        <w:tc>
          <w:tcPr>
            <w:tcW w:w="1400" w:type="dxa"/>
            <w:tcBorders>
              <w:top w:val="nil"/>
              <w:left w:val="nil"/>
              <w:bottom w:val="nil"/>
              <w:right w:val="nil"/>
            </w:tcBorders>
            <w:shd w:val="clear" w:color="auto" w:fill="auto"/>
            <w:vAlign w:val="center"/>
            <w:hideMark/>
          </w:tcPr>
          <w:p w14:paraId="179EECFC"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50,0</w:t>
            </w:r>
          </w:p>
        </w:tc>
        <w:tc>
          <w:tcPr>
            <w:tcW w:w="1400" w:type="dxa"/>
            <w:tcBorders>
              <w:top w:val="nil"/>
              <w:left w:val="nil"/>
              <w:bottom w:val="nil"/>
              <w:right w:val="nil"/>
            </w:tcBorders>
            <w:shd w:val="clear" w:color="auto" w:fill="auto"/>
            <w:vAlign w:val="center"/>
            <w:hideMark/>
          </w:tcPr>
          <w:p w14:paraId="46F65018"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100,0</w:t>
            </w:r>
          </w:p>
        </w:tc>
      </w:tr>
      <w:tr w:rsidR="00D8083E" w:rsidRPr="00A202B4" w14:paraId="7C306FF6" w14:textId="77777777" w:rsidTr="009A372A">
        <w:trPr>
          <w:trHeight w:val="280"/>
        </w:trPr>
        <w:tc>
          <w:tcPr>
            <w:tcW w:w="4360" w:type="dxa"/>
            <w:tcBorders>
              <w:top w:val="nil"/>
              <w:left w:val="nil"/>
              <w:bottom w:val="nil"/>
              <w:right w:val="nil"/>
            </w:tcBorders>
            <w:shd w:val="clear" w:color="auto" w:fill="auto"/>
            <w:vAlign w:val="center"/>
            <w:hideMark/>
          </w:tcPr>
          <w:p w14:paraId="2300882A" w14:textId="77777777" w:rsidR="00D8083E" w:rsidRPr="00A202B4" w:rsidRDefault="00D8083E" w:rsidP="009A372A">
            <w:pPr>
              <w:rPr>
                <w:color w:val="000000"/>
                <w:sz w:val="17"/>
                <w:szCs w:val="17"/>
                <w:lang w:val="es-ES_tradnl"/>
              </w:rPr>
            </w:pPr>
            <w:r w:rsidRPr="00A202B4">
              <w:rPr>
                <w:color w:val="000000" w:themeColor="text1"/>
                <w:kern w:val="20"/>
                <w:sz w:val="17"/>
                <w:szCs w:val="17"/>
                <w:lang w:val="es-ES_tradnl"/>
              </w:rPr>
              <w:t>D. Capacitación</w:t>
            </w:r>
          </w:p>
        </w:tc>
        <w:tc>
          <w:tcPr>
            <w:tcW w:w="1400" w:type="dxa"/>
            <w:tcBorders>
              <w:top w:val="nil"/>
              <w:left w:val="nil"/>
              <w:bottom w:val="nil"/>
              <w:right w:val="nil"/>
            </w:tcBorders>
            <w:shd w:val="clear" w:color="auto" w:fill="auto"/>
            <w:vAlign w:val="center"/>
            <w:hideMark/>
          </w:tcPr>
          <w:p w14:paraId="66747977"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5,0</w:t>
            </w:r>
          </w:p>
        </w:tc>
        <w:tc>
          <w:tcPr>
            <w:tcW w:w="1400" w:type="dxa"/>
            <w:tcBorders>
              <w:top w:val="nil"/>
              <w:left w:val="nil"/>
              <w:bottom w:val="nil"/>
              <w:right w:val="nil"/>
            </w:tcBorders>
            <w:shd w:val="clear" w:color="auto" w:fill="auto"/>
            <w:vAlign w:val="center"/>
            <w:hideMark/>
          </w:tcPr>
          <w:p w14:paraId="1D64ABA4"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5,0</w:t>
            </w:r>
          </w:p>
        </w:tc>
        <w:tc>
          <w:tcPr>
            <w:tcW w:w="1400" w:type="dxa"/>
            <w:tcBorders>
              <w:top w:val="nil"/>
              <w:left w:val="nil"/>
              <w:bottom w:val="nil"/>
              <w:right w:val="nil"/>
            </w:tcBorders>
            <w:shd w:val="clear" w:color="auto" w:fill="auto"/>
            <w:vAlign w:val="center"/>
            <w:hideMark/>
          </w:tcPr>
          <w:p w14:paraId="3A196B26"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10,0</w:t>
            </w:r>
          </w:p>
        </w:tc>
      </w:tr>
      <w:tr w:rsidR="00D8083E" w:rsidRPr="00A202B4" w14:paraId="5D4EBA51" w14:textId="77777777" w:rsidTr="009A372A">
        <w:trPr>
          <w:trHeight w:val="280"/>
        </w:trPr>
        <w:tc>
          <w:tcPr>
            <w:tcW w:w="4360" w:type="dxa"/>
            <w:tcBorders>
              <w:top w:val="nil"/>
              <w:left w:val="nil"/>
              <w:bottom w:val="nil"/>
              <w:right w:val="nil"/>
            </w:tcBorders>
            <w:shd w:val="clear" w:color="auto" w:fill="auto"/>
            <w:vAlign w:val="center"/>
            <w:hideMark/>
          </w:tcPr>
          <w:p w14:paraId="6944246E" w14:textId="77777777" w:rsidR="00D8083E" w:rsidRPr="00A202B4" w:rsidRDefault="00D8083E" w:rsidP="009A372A">
            <w:pPr>
              <w:rPr>
                <w:color w:val="000000"/>
                <w:sz w:val="17"/>
                <w:szCs w:val="17"/>
                <w:lang w:val="es-ES_tradnl"/>
              </w:rPr>
            </w:pPr>
            <w:r w:rsidRPr="00A202B4">
              <w:rPr>
                <w:color w:val="000000" w:themeColor="text1"/>
                <w:kern w:val="20"/>
                <w:sz w:val="17"/>
                <w:szCs w:val="17"/>
                <w:lang w:val="es-ES_tradnl"/>
              </w:rPr>
              <w:t>E. Revisión estructural</w:t>
            </w:r>
          </w:p>
        </w:tc>
        <w:tc>
          <w:tcPr>
            <w:tcW w:w="1400" w:type="dxa"/>
            <w:tcBorders>
              <w:top w:val="nil"/>
              <w:left w:val="nil"/>
              <w:bottom w:val="nil"/>
              <w:right w:val="nil"/>
            </w:tcBorders>
            <w:shd w:val="clear" w:color="auto" w:fill="auto"/>
            <w:vAlign w:val="center"/>
            <w:hideMark/>
          </w:tcPr>
          <w:p w14:paraId="763677BC"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250,0</w:t>
            </w:r>
          </w:p>
        </w:tc>
        <w:tc>
          <w:tcPr>
            <w:tcW w:w="1400" w:type="dxa"/>
            <w:tcBorders>
              <w:top w:val="nil"/>
              <w:left w:val="nil"/>
              <w:bottom w:val="nil"/>
              <w:right w:val="nil"/>
            </w:tcBorders>
            <w:shd w:val="clear" w:color="auto" w:fill="auto"/>
            <w:vAlign w:val="center"/>
            <w:hideMark/>
          </w:tcPr>
          <w:p w14:paraId="229C5718"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0,0</w:t>
            </w:r>
          </w:p>
        </w:tc>
        <w:tc>
          <w:tcPr>
            <w:tcW w:w="1400" w:type="dxa"/>
            <w:tcBorders>
              <w:top w:val="nil"/>
              <w:left w:val="nil"/>
              <w:bottom w:val="nil"/>
              <w:right w:val="nil"/>
            </w:tcBorders>
            <w:shd w:val="clear" w:color="auto" w:fill="auto"/>
            <w:vAlign w:val="center"/>
            <w:hideMark/>
          </w:tcPr>
          <w:p w14:paraId="62C5E77E"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250,0</w:t>
            </w:r>
          </w:p>
        </w:tc>
      </w:tr>
      <w:tr w:rsidR="00D8083E" w:rsidRPr="00A202B4" w14:paraId="7E4C3CBE" w14:textId="77777777" w:rsidTr="009A372A">
        <w:trPr>
          <w:trHeight w:val="280"/>
        </w:trPr>
        <w:tc>
          <w:tcPr>
            <w:tcW w:w="4360" w:type="dxa"/>
            <w:tcBorders>
              <w:top w:val="nil"/>
              <w:left w:val="nil"/>
              <w:bottom w:val="nil"/>
              <w:right w:val="nil"/>
            </w:tcBorders>
            <w:shd w:val="clear" w:color="auto" w:fill="auto"/>
            <w:vAlign w:val="center"/>
            <w:hideMark/>
          </w:tcPr>
          <w:p w14:paraId="304EA4B2" w14:textId="77777777" w:rsidR="00D8083E" w:rsidRPr="00A202B4" w:rsidRDefault="00D8083E" w:rsidP="009A372A">
            <w:pPr>
              <w:rPr>
                <w:color w:val="000000"/>
                <w:sz w:val="17"/>
                <w:szCs w:val="17"/>
                <w:lang w:val="es-ES_tradnl"/>
              </w:rPr>
            </w:pPr>
            <w:r w:rsidRPr="00A202B4">
              <w:rPr>
                <w:color w:val="000000" w:themeColor="text1"/>
                <w:kern w:val="20"/>
                <w:sz w:val="17"/>
                <w:szCs w:val="17"/>
                <w:lang w:val="es-ES_tradnl"/>
              </w:rPr>
              <w:t>F. Reuniones de la Mesa</w:t>
            </w:r>
          </w:p>
        </w:tc>
        <w:tc>
          <w:tcPr>
            <w:tcW w:w="1400" w:type="dxa"/>
            <w:tcBorders>
              <w:top w:val="nil"/>
              <w:left w:val="nil"/>
              <w:bottom w:val="nil"/>
              <w:right w:val="nil"/>
            </w:tcBorders>
            <w:shd w:val="clear" w:color="auto" w:fill="auto"/>
            <w:vAlign w:val="center"/>
            <w:hideMark/>
          </w:tcPr>
          <w:p w14:paraId="54111063"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108,0</w:t>
            </w:r>
          </w:p>
        </w:tc>
        <w:tc>
          <w:tcPr>
            <w:tcW w:w="1400" w:type="dxa"/>
            <w:tcBorders>
              <w:top w:val="nil"/>
              <w:left w:val="nil"/>
              <w:bottom w:val="nil"/>
              <w:right w:val="nil"/>
            </w:tcBorders>
            <w:shd w:val="clear" w:color="auto" w:fill="auto"/>
            <w:vAlign w:val="center"/>
            <w:hideMark/>
          </w:tcPr>
          <w:p w14:paraId="2DAE89FF"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170,9</w:t>
            </w:r>
          </w:p>
        </w:tc>
        <w:tc>
          <w:tcPr>
            <w:tcW w:w="1400" w:type="dxa"/>
            <w:tcBorders>
              <w:top w:val="nil"/>
              <w:left w:val="nil"/>
              <w:bottom w:val="nil"/>
              <w:right w:val="nil"/>
            </w:tcBorders>
            <w:shd w:val="clear" w:color="auto" w:fill="auto"/>
            <w:vAlign w:val="center"/>
            <w:hideMark/>
          </w:tcPr>
          <w:p w14:paraId="1BF0C1EC"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278,9</w:t>
            </w:r>
          </w:p>
        </w:tc>
      </w:tr>
      <w:tr w:rsidR="00D8083E" w:rsidRPr="00A202B4" w14:paraId="380518EC" w14:textId="77777777" w:rsidTr="009A372A">
        <w:trPr>
          <w:trHeight w:val="280"/>
        </w:trPr>
        <w:tc>
          <w:tcPr>
            <w:tcW w:w="4360" w:type="dxa"/>
            <w:tcBorders>
              <w:top w:val="nil"/>
              <w:left w:val="nil"/>
              <w:bottom w:val="nil"/>
              <w:right w:val="nil"/>
            </w:tcBorders>
            <w:shd w:val="clear" w:color="auto" w:fill="auto"/>
            <w:vAlign w:val="center"/>
            <w:hideMark/>
          </w:tcPr>
          <w:p w14:paraId="4DC34633" w14:textId="77777777" w:rsidR="00D8083E" w:rsidRPr="00A202B4" w:rsidRDefault="00D8083E" w:rsidP="009A372A">
            <w:pPr>
              <w:rPr>
                <w:color w:val="000000"/>
                <w:sz w:val="17"/>
                <w:szCs w:val="17"/>
                <w:lang w:val="es-ES_tradnl"/>
              </w:rPr>
            </w:pPr>
            <w:r w:rsidRPr="00A202B4">
              <w:rPr>
                <w:color w:val="000000" w:themeColor="text1"/>
                <w:kern w:val="20"/>
                <w:sz w:val="17"/>
                <w:szCs w:val="17"/>
                <w:lang w:val="es-ES_tradnl"/>
              </w:rPr>
              <w:t>G. Reuniones de expertos</w:t>
            </w:r>
          </w:p>
        </w:tc>
        <w:tc>
          <w:tcPr>
            <w:tcW w:w="1400" w:type="dxa"/>
            <w:tcBorders>
              <w:top w:val="nil"/>
              <w:left w:val="nil"/>
              <w:bottom w:val="nil"/>
              <w:right w:val="nil"/>
            </w:tcBorders>
            <w:shd w:val="clear" w:color="auto" w:fill="auto"/>
            <w:vAlign w:val="center"/>
            <w:hideMark/>
          </w:tcPr>
          <w:p w14:paraId="5768F20F"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130,0</w:t>
            </w:r>
          </w:p>
        </w:tc>
        <w:tc>
          <w:tcPr>
            <w:tcW w:w="1400" w:type="dxa"/>
            <w:tcBorders>
              <w:top w:val="nil"/>
              <w:left w:val="nil"/>
              <w:bottom w:val="nil"/>
              <w:right w:val="nil"/>
            </w:tcBorders>
            <w:shd w:val="clear" w:color="auto" w:fill="auto"/>
            <w:vAlign w:val="center"/>
            <w:hideMark/>
          </w:tcPr>
          <w:p w14:paraId="701B19FD"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350,0</w:t>
            </w:r>
          </w:p>
        </w:tc>
        <w:tc>
          <w:tcPr>
            <w:tcW w:w="1400" w:type="dxa"/>
            <w:tcBorders>
              <w:top w:val="nil"/>
              <w:left w:val="nil"/>
              <w:bottom w:val="nil"/>
              <w:right w:val="nil"/>
            </w:tcBorders>
            <w:shd w:val="clear" w:color="auto" w:fill="auto"/>
            <w:vAlign w:val="center"/>
            <w:hideMark/>
          </w:tcPr>
          <w:p w14:paraId="5AC0F85E"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480,0</w:t>
            </w:r>
          </w:p>
        </w:tc>
      </w:tr>
      <w:tr w:rsidR="00D8083E" w:rsidRPr="00A202B4" w14:paraId="011F3716" w14:textId="77777777" w:rsidTr="009A372A">
        <w:trPr>
          <w:trHeight w:val="280"/>
        </w:trPr>
        <w:tc>
          <w:tcPr>
            <w:tcW w:w="4360" w:type="dxa"/>
            <w:tcBorders>
              <w:top w:val="nil"/>
              <w:left w:val="nil"/>
              <w:bottom w:val="nil"/>
              <w:right w:val="nil"/>
            </w:tcBorders>
            <w:shd w:val="clear" w:color="auto" w:fill="auto"/>
            <w:vAlign w:val="center"/>
            <w:hideMark/>
          </w:tcPr>
          <w:p w14:paraId="3699E95B" w14:textId="77777777" w:rsidR="00D8083E" w:rsidRPr="00A202B4" w:rsidRDefault="00D8083E" w:rsidP="009A372A">
            <w:pPr>
              <w:rPr>
                <w:color w:val="000000"/>
                <w:sz w:val="17"/>
                <w:szCs w:val="17"/>
                <w:lang w:val="es-ES_tradnl"/>
              </w:rPr>
            </w:pPr>
            <w:r w:rsidRPr="00A202B4">
              <w:rPr>
                <w:color w:val="000000" w:themeColor="text1"/>
                <w:kern w:val="20"/>
                <w:sz w:val="17"/>
                <w:szCs w:val="17"/>
                <w:lang w:val="es-ES_tradnl"/>
              </w:rPr>
              <w:t>H. Reuniones de órganos intergubernamentales*</w:t>
            </w:r>
          </w:p>
        </w:tc>
        <w:tc>
          <w:tcPr>
            <w:tcW w:w="1400" w:type="dxa"/>
            <w:tcBorders>
              <w:top w:val="nil"/>
              <w:left w:val="nil"/>
              <w:bottom w:val="nil"/>
              <w:right w:val="nil"/>
            </w:tcBorders>
            <w:shd w:val="clear" w:color="auto" w:fill="auto"/>
            <w:vAlign w:val="center"/>
            <w:hideMark/>
          </w:tcPr>
          <w:p w14:paraId="499A16CF"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2 241,6</w:t>
            </w:r>
          </w:p>
        </w:tc>
        <w:tc>
          <w:tcPr>
            <w:tcW w:w="1400" w:type="dxa"/>
            <w:tcBorders>
              <w:top w:val="nil"/>
              <w:left w:val="nil"/>
              <w:bottom w:val="nil"/>
              <w:right w:val="nil"/>
            </w:tcBorders>
            <w:shd w:val="clear" w:color="auto" w:fill="auto"/>
            <w:vAlign w:val="center"/>
            <w:hideMark/>
          </w:tcPr>
          <w:p w14:paraId="3769D95E"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3 343,0</w:t>
            </w:r>
          </w:p>
        </w:tc>
        <w:tc>
          <w:tcPr>
            <w:tcW w:w="1400" w:type="dxa"/>
            <w:tcBorders>
              <w:top w:val="nil"/>
              <w:left w:val="nil"/>
              <w:bottom w:val="nil"/>
              <w:right w:val="nil"/>
            </w:tcBorders>
            <w:shd w:val="clear" w:color="auto" w:fill="auto"/>
            <w:vAlign w:val="center"/>
            <w:hideMark/>
          </w:tcPr>
          <w:p w14:paraId="72C4C0A4"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5 584,6</w:t>
            </w:r>
          </w:p>
        </w:tc>
      </w:tr>
      <w:tr w:rsidR="00D8083E" w:rsidRPr="00A202B4" w14:paraId="710F3A25" w14:textId="77777777" w:rsidTr="009A372A">
        <w:trPr>
          <w:trHeight w:val="280"/>
        </w:trPr>
        <w:tc>
          <w:tcPr>
            <w:tcW w:w="4360" w:type="dxa"/>
            <w:tcBorders>
              <w:top w:val="nil"/>
              <w:left w:val="nil"/>
              <w:bottom w:val="nil"/>
              <w:right w:val="nil"/>
            </w:tcBorders>
            <w:shd w:val="clear" w:color="auto" w:fill="auto"/>
            <w:vAlign w:val="center"/>
            <w:hideMark/>
          </w:tcPr>
          <w:p w14:paraId="259102DD" w14:textId="77777777" w:rsidR="00D8083E" w:rsidRPr="00A202B4" w:rsidRDefault="00D8083E" w:rsidP="009A372A">
            <w:pPr>
              <w:rPr>
                <w:color w:val="000000"/>
                <w:sz w:val="17"/>
                <w:szCs w:val="17"/>
                <w:lang w:val="es-ES_tradnl"/>
              </w:rPr>
            </w:pPr>
            <w:r w:rsidRPr="00A202B4">
              <w:rPr>
                <w:color w:val="000000" w:themeColor="text1"/>
                <w:kern w:val="20"/>
                <w:sz w:val="17"/>
                <w:szCs w:val="17"/>
                <w:lang w:val="es-ES_tradnl"/>
              </w:rPr>
              <w:t>I. Materiales de sensibilización del público/comunicaciones</w:t>
            </w:r>
          </w:p>
        </w:tc>
        <w:tc>
          <w:tcPr>
            <w:tcW w:w="1400" w:type="dxa"/>
            <w:tcBorders>
              <w:top w:val="nil"/>
              <w:left w:val="nil"/>
              <w:bottom w:val="nil"/>
              <w:right w:val="nil"/>
            </w:tcBorders>
            <w:shd w:val="clear" w:color="auto" w:fill="auto"/>
            <w:vAlign w:val="center"/>
            <w:hideMark/>
          </w:tcPr>
          <w:p w14:paraId="472790C8"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50,0</w:t>
            </w:r>
          </w:p>
        </w:tc>
        <w:tc>
          <w:tcPr>
            <w:tcW w:w="1400" w:type="dxa"/>
            <w:tcBorders>
              <w:top w:val="nil"/>
              <w:left w:val="nil"/>
              <w:bottom w:val="nil"/>
              <w:right w:val="nil"/>
            </w:tcBorders>
            <w:shd w:val="clear" w:color="auto" w:fill="auto"/>
            <w:vAlign w:val="center"/>
            <w:hideMark/>
          </w:tcPr>
          <w:p w14:paraId="53EA2C59"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50,0</w:t>
            </w:r>
          </w:p>
        </w:tc>
        <w:tc>
          <w:tcPr>
            <w:tcW w:w="1400" w:type="dxa"/>
            <w:tcBorders>
              <w:top w:val="nil"/>
              <w:left w:val="nil"/>
              <w:bottom w:val="nil"/>
              <w:right w:val="nil"/>
            </w:tcBorders>
            <w:shd w:val="clear" w:color="auto" w:fill="auto"/>
            <w:vAlign w:val="center"/>
            <w:hideMark/>
          </w:tcPr>
          <w:p w14:paraId="59B432D7"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100,0</w:t>
            </w:r>
          </w:p>
        </w:tc>
      </w:tr>
      <w:tr w:rsidR="00D8083E" w:rsidRPr="00A202B4" w14:paraId="1443D076" w14:textId="77777777" w:rsidTr="009A372A">
        <w:trPr>
          <w:trHeight w:val="280"/>
        </w:trPr>
        <w:tc>
          <w:tcPr>
            <w:tcW w:w="4360" w:type="dxa"/>
            <w:tcBorders>
              <w:top w:val="nil"/>
              <w:left w:val="nil"/>
              <w:bottom w:val="nil"/>
              <w:right w:val="nil"/>
            </w:tcBorders>
            <w:shd w:val="clear" w:color="auto" w:fill="auto"/>
            <w:vAlign w:val="center"/>
            <w:hideMark/>
          </w:tcPr>
          <w:p w14:paraId="703687B0" w14:textId="77777777" w:rsidR="00D8083E" w:rsidRPr="00A202B4" w:rsidRDefault="00D8083E" w:rsidP="009A372A">
            <w:pPr>
              <w:rPr>
                <w:color w:val="000000"/>
                <w:sz w:val="17"/>
                <w:szCs w:val="17"/>
                <w:lang w:val="es-ES_tradnl"/>
              </w:rPr>
            </w:pPr>
            <w:r w:rsidRPr="00A202B4">
              <w:rPr>
                <w:color w:val="000000" w:themeColor="text1"/>
                <w:kern w:val="20"/>
                <w:sz w:val="17"/>
                <w:szCs w:val="17"/>
                <w:lang w:val="es-ES_tradnl"/>
              </w:rPr>
              <w:t>J. Traducción del sitio web del mecanismo de facilitación / proyectos de sitio web</w:t>
            </w:r>
          </w:p>
        </w:tc>
        <w:tc>
          <w:tcPr>
            <w:tcW w:w="1400" w:type="dxa"/>
            <w:tcBorders>
              <w:top w:val="nil"/>
              <w:left w:val="nil"/>
              <w:bottom w:val="nil"/>
              <w:right w:val="nil"/>
            </w:tcBorders>
            <w:shd w:val="clear" w:color="auto" w:fill="auto"/>
            <w:vAlign w:val="center"/>
            <w:hideMark/>
          </w:tcPr>
          <w:p w14:paraId="77005AA7"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65,0</w:t>
            </w:r>
          </w:p>
        </w:tc>
        <w:tc>
          <w:tcPr>
            <w:tcW w:w="1400" w:type="dxa"/>
            <w:tcBorders>
              <w:top w:val="nil"/>
              <w:left w:val="nil"/>
              <w:bottom w:val="nil"/>
              <w:right w:val="nil"/>
            </w:tcBorders>
            <w:shd w:val="clear" w:color="auto" w:fill="auto"/>
            <w:vAlign w:val="center"/>
            <w:hideMark/>
          </w:tcPr>
          <w:p w14:paraId="63A2B246"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65,0</w:t>
            </w:r>
          </w:p>
        </w:tc>
        <w:tc>
          <w:tcPr>
            <w:tcW w:w="1400" w:type="dxa"/>
            <w:tcBorders>
              <w:top w:val="nil"/>
              <w:left w:val="nil"/>
              <w:bottom w:val="nil"/>
              <w:right w:val="nil"/>
            </w:tcBorders>
            <w:shd w:val="clear" w:color="auto" w:fill="auto"/>
            <w:vAlign w:val="center"/>
            <w:hideMark/>
          </w:tcPr>
          <w:p w14:paraId="739E2023"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130,0</w:t>
            </w:r>
          </w:p>
        </w:tc>
      </w:tr>
      <w:tr w:rsidR="00D8083E" w:rsidRPr="00A202B4" w14:paraId="1EC9265C" w14:textId="77777777" w:rsidTr="009A372A">
        <w:trPr>
          <w:trHeight w:val="280"/>
        </w:trPr>
        <w:tc>
          <w:tcPr>
            <w:tcW w:w="4360" w:type="dxa"/>
            <w:tcBorders>
              <w:top w:val="nil"/>
              <w:left w:val="nil"/>
              <w:bottom w:val="nil"/>
              <w:right w:val="nil"/>
            </w:tcBorders>
            <w:shd w:val="clear" w:color="auto" w:fill="auto"/>
            <w:vAlign w:val="center"/>
            <w:hideMark/>
          </w:tcPr>
          <w:p w14:paraId="08A0E828" w14:textId="77777777" w:rsidR="00D8083E" w:rsidRPr="00A202B4" w:rsidRDefault="00D8083E" w:rsidP="009A372A">
            <w:pPr>
              <w:rPr>
                <w:color w:val="000000"/>
                <w:sz w:val="17"/>
                <w:szCs w:val="17"/>
                <w:lang w:val="es-ES_tradnl"/>
              </w:rPr>
            </w:pPr>
            <w:r w:rsidRPr="00A202B4">
              <w:rPr>
                <w:color w:val="000000" w:themeColor="text1"/>
                <w:kern w:val="20"/>
                <w:sz w:val="17"/>
                <w:szCs w:val="17"/>
                <w:lang w:val="es-ES_tradnl"/>
              </w:rPr>
              <w:t>K. Viajes en comisión de servicio</w:t>
            </w:r>
          </w:p>
        </w:tc>
        <w:tc>
          <w:tcPr>
            <w:tcW w:w="1400" w:type="dxa"/>
            <w:tcBorders>
              <w:top w:val="nil"/>
              <w:left w:val="nil"/>
              <w:bottom w:val="nil"/>
              <w:right w:val="nil"/>
            </w:tcBorders>
            <w:shd w:val="clear" w:color="auto" w:fill="auto"/>
            <w:vAlign w:val="center"/>
            <w:hideMark/>
          </w:tcPr>
          <w:p w14:paraId="1FF6FD3B"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320,0</w:t>
            </w:r>
          </w:p>
        </w:tc>
        <w:tc>
          <w:tcPr>
            <w:tcW w:w="1400" w:type="dxa"/>
            <w:tcBorders>
              <w:top w:val="nil"/>
              <w:left w:val="nil"/>
              <w:bottom w:val="nil"/>
              <w:right w:val="nil"/>
            </w:tcBorders>
            <w:shd w:val="clear" w:color="auto" w:fill="auto"/>
            <w:vAlign w:val="center"/>
            <w:hideMark/>
          </w:tcPr>
          <w:p w14:paraId="615D8AD6"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320,0</w:t>
            </w:r>
          </w:p>
        </w:tc>
        <w:tc>
          <w:tcPr>
            <w:tcW w:w="1400" w:type="dxa"/>
            <w:tcBorders>
              <w:top w:val="nil"/>
              <w:left w:val="nil"/>
              <w:bottom w:val="nil"/>
              <w:right w:val="nil"/>
            </w:tcBorders>
            <w:shd w:val="clear" w:color="auto" w:fill="auto"/>
            <w:vAlign w:val="center"/>
            <w:hideMark/>
          </w:tcPr>
          <w:p w14:paraId="5CA41BBE"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640,0</w:t>
            </w:r>
          </w:p>
        </w:tc>
      </w:tr>
      <w:tr w:rsidR="00D8083E" w:rsidRPr="00A202B4" w14:paraId="2B9C48FE" w14:textId="77777777" w:rsidTr="009A372A">
        <w:trPr>
          <w:trHeight w:val="280"/>
        </w:trPr>
        <w:tc>
          <w:tcPr>
            <w:tcW w:w="4360" w:type="dxa"/>
            <w:tcBorders>
              <w:top w:val="nil"/>
              <w:left w:val="nil"/>
              <w:bottom w:val="nil"/>
              <w:right w:val="nil"/>
            </w:tcBorders>
            <w:shd w:val="clear" w:color="auto" w:fill="auto"/>
            <w:vAlign w:val="center"/>
            <w:hideMark/>
          </w:tcPr>
          <w:p w14:paraId="25D16533" w14:textId="77777777" w:rsidR="00D8083E" w:rsidRPr="00A202B4" w:rsidRDefault="00D8083E" w:rsidP="009A372A">
            <w:pPr>
              <w:rPr>
                <w:color w:val="000000"/>
                <w:sz w:val="17"/>
                <w:szCs w:val="17"/>
                <w:lang w:val="es-ES_tradnl"/>
              </w:rPr>
            </w:pPr>
            <w:r w:rsidRPr="00A202B4">
              <w:rPr>
                <w:color w:val="000000" w:themeColor="text1"/>
                <w:kern w:val="20"/>
                <w:sz w:val="17"/>
                <w:szCs w:val="17"/>
                <w:lang w:val="es-ES_tradnl"/>
              </w:rPr>
              <w:t xml:space="preserve">L. </w:t>
            </w:r>
            <w:r w:rsidRPr="00A202B4">
              <w:rPr>
                <w:rFonts w:asciiTheme="majorBidi" w:hAnsiTheme="majorBidi" w:cstheme="majorBidi"/>
                <w:color w:val="000000" w:themeColor="text1"/>
                <w:sz w:val="18"/>
                <w:szCs w:val="18"/>
                <w:lang w:val="es-ES_tradnl" w:eastAsia="zh-CN"/>
              </w:rPr>
              <w:t>Alquiler y gastos conexos</w:t>
            </w:r>
          </w:p>
        </w:tc>
        <w:tc>
          <w:tcPr>
            <w:tcW w:w="1400" w:type="dxa"/>
            <w:tcBorders>
              <w:top w:val="nil"/>
              <w:left w:val="nil"/>
              <w:bottom w:val="nil"/>
              <w:right w:val="nil"/>
            </w:tcBorders>
            <w:shd w:val="clear" w:color="auto" w:fill="auto"/>
            <w:vAlign w:val="center"/>
            <w:hideMark/>
          </w:tcPr>
          <w:p w14:paraId="6D241DD5"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1 445,7</w:t>
            </w:r>
          </w:p>
        </w:tc>
        <w:tc>
          <w:tcPr>
            <w:tcW w:w="1400" w:type="dxa"/>
            <w:tcBorders>
              <w:top w:val="nil"/>
              <w:left w:val="nil"/>
              <w:bottom w:val="nil"/>
              <w:right w:val="nil"/>
            </w:tcBorders>
            <w:shd w:val="clear" w:color="auto" w:fill="auto"/>
            <w:vAlign w:val="center"/>
            <w:hideMark/>
          </w:tcPr>
          <w:p w14:paraId="1D995916"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1 473,0</w:t>
            </w:r>
          </w:p>
        </w:tc>
        <w:tc>
          <w:tcPr>
            <w:tcW w:w="1400" w:type="dxa"/>
            <w:tcBorders>
              <w:top w:val="nil"/>
              <w:left w:val="nil"/>
              <w:bottom w:val="nil"/>
              <w:right w:val="nil"/>
            </w:tcBorders>
            <w:shd w:val="clear" w:color="auto" w:fill="auto"/>
            <w:vAlign w:val="center"/>
            <w:hideMark/>
          </w:tcPr>
          <w:p w14:paraId="1EFB5944"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2 918,7</w:t>
            </w:r>
          </w:p>
        </w:tc>
      </w:tr>
      <w:tr w:rsidR="00D8083E" w:rsidRPr="00A202B4" w14:paraId="2E87D1DA" w14:textId="77777777" w:rsidTr="009A372A">
        <w:trPr>
          <w:trHeight w:val="280"/>
        </w:trPr>
        <w:tc>
          <w:tcPr>
            <w:tcW w:w="4360" w:type="dxa"/>
            <w:tcBorders>
              <w:top w:val="nil"/>
              <w:left w:val="nil"/>
              <w:bottom w:val="nil"/>
              <w:right w:val="nil"/>
            </w:tcBorders>
            <w:shd w:val="clear" w:color="auto" w:fill="auto"/>
            <w:vAlign w:val="center"/>
            <w:hideMark/>
          </w:tcPr>
          <w:p w14:paraId="25A8F019" w14:textId="77777777" w:rsidR="00D8083E" w:rsidRPr="00A202B4" w:rsidRDefault="00D8083E" w:rsidP="009A372A">
            <w:pPr>
              <w:rPr>
                <w:color w:val="000000"/>
                <w:sz w:val="17"/>
                <w:szCs w:val="17"/>
                <w:lang w:val="es-ES_tradnl"/>
              </w:rPr>
            </w:pPr>
            <w:r w:rsidRPr="00A202B4">
              <w:rPr>
                <w:color w:val="000000"/>
                <w:sz w:val="17"/>
                <w:szCs w:val="17"/>
                <w:lang w:val="es-ES_tradnl"/>
              </w:rPr>
              <w:t xml:space="preserve">M. Tecnología de la información </w:t>
            </w:r>
          </w:p>
        </w:tc>
        <w:tc>
          <w:tcPr>
            <w:tcW w:w="1400" w:type="dxa"/>
            <w:tcBorders>
              <w:top w:val="nil"/>
              <w:left w:val="nil"/>
              <w:bottom w:val="nil"/>
              <w:right w:val="nil"/>
            </w:tcBorders>
            <w:shd w:val="clear" w:color="auto" w:fill="auto"/>
            <w:vAlign w:val="center"/>
            <w:hideMark/>
          </w:tcPr>
          <w:p w14:paraId="5D0FAEEB" w14:textId="77777777" w:rsidR="00D8083E" w:rsidRPr="00A202B4" w:rsidRDefault="00D8083E" w:rsidP="009A372A">
            <w:pPr>
              <w:jc w:val="right"/>
              <w:rPr>
                <w:color w:val="000000"/>
                <w:sz w:val="17"/>
                <w:szCs w:val="17"/>
                <w:lang w:val="es-ES_tradnl"/>
              </w:rPr>
            </w:pPr>
            <w:r w:rsidRPr="00A202B4">
              <w:rPr>
                <w:color w:val="000000"/>
                <w:sz w:val="17"/>
                <w:szCs w:val="17"/>
                <w:lang w:val="es-ES_tradnl"/>
              </w:rPr>
              <w:t>65,0</w:t>
            </w:r>
          </w:p>
        </w:tc>
        <w:tc>
          <w:tcPr>
            <w:tcW w:w="1400" w:type="dxa"/>
            <w:tcBorders>
              <w:top w:val="nil"/>
              <w:left w:val="nil"/>
              <w:bottom w:val="nil"/>
              <w:right w:val="nil"/>
            </w:tcBorders>
            <w:shd w:val="clear" w:color="auto" w:fill="auto"/>
            <w:vAlign w:val="center"/>
            <w:hideMark/>
          </w:tcPr>
          <w:p w14:paraId="3DB66448" w14:textId="77777777" w:rsidR="00D8083E" w:rsidRPr="00A202B4" w:rsidRDefault="00D8083E" w:rsidP="009A372A">
            <w:pPr>
              <w:jc w:val="right"/>
              <w:rPr>
                <w:color w:val="000000"/>
                <w:sz w:val="17"/>
                <w:szCs w:val="17"/>
                <w:lang w:val="es-ES_tradnl"/>
              </w:rPr>
            </w:pPr>
            <w:r w:rsidRPr="00A202B4">
              <w:rPr>
                <w:color w:val="000000"/>
                <w:sz w:val="17"/>
                <w:szCs w:val="17"/>
                <w:lang w:val="es-ES_tradnl"/>
              </w:rPr>
              <w:t>65,0</w:t>
            </w:r>
          </w:p>
        </w:tc>
        <w:tc>
          <w:tcPr>
            <w:tcW w:w="1400" w:type="dxa"/>
            <w:tcBorders>
              <w:top w:val="nil"/>
              <w:left w:val="nil"/>
              <w:bottom w:val="nil"/>
              <w:right w:val="nil"/>
            </w:tcBorders>
            <w:shd w:val="clear" w:color="auto" w:fill="auto"/>
            <w:vAlign w:val="center"/>
            <w:hideMark/>
          </w:tcPr>
          <w:p w14:paraId="1932021D" w14:textId="77777777" w:rsidR="00D8083E" w:rsidRPr="00A202B4" w:rsidRDefault="00D8083E" w:rsidP="009A372A">
            <w:pPr>
              <w:jc w:val="right"/>
              <w:rPr>
                <w:b/>
                <w:bCs/>
                <w:color w:val="000000"/>
                <w:sz w:val="17"/>
                <w:szCs w:val="17"/>
                <w:lang w:val="es-ES_tradnl"/>
              </w:rPr>
            </w:pPr>
            <w:r w:rsidRPr="00A202B4">
              <w:rPr>
                <w:b/>
                <w:bCs/>
                <w:color w:val="000000"/>
                <w:sz w:val="17"/>
                <w:szCs w:val="17"/>
                <w:lang w:val="es-ES_tradnl"/>
              </w:rPr>
              <w:t>130,0</w:t>
            </w:r>
          </w:p>
        </w:tc>
      </w:tr>
      <w:tr w:rsidR="00D8083E" w:rsidRPr="00A202B4" w14:paraId="2EA584BE" w14:textId="77777777" w:rsidTr="009A372A">
        <w:trPr>
          <w:trHeight w:val="290"/>
        </w:trPr>
        <w:tc>
          <w:tcPr>
            <w:tcW w:w="4360" w:type="dxa"/>
            <w:tcBorders>
              <w:top w:val="nil"/>
              <w:left w:val="nil"/>
              <w:bottom w:val="single" w:sz="8" w:space="0" w:color="auto"/>
              <w:right w:val="nil"/>
            </w:tcBorders>
            <w:shd w:val="clear" w:color="auto" w:fill="auto"/>
            <w:vAlign w:val="center"/>
            <w:hideMark/>
          </w:tcPr>
          <w:p w14:paraId="2B8A5E54" w14:textId="77777777" w:rsidR="00D8083E" w:rsidRPr="00A202B4" w:rsidRDefault="00D8083E" w:rsidP="009A372A">
            <w:pPr>
              <w:rPr>
                <w:color w:val="000000"/>
                <w:sz w:val="17"/>
                <w:szCs w:val="17"/>
                <w:lang w:val="es-ES_tradnl"/>
              </w:rPr>
            </w:pPr>
            <w:r w:rsidRPr="00A202B4">
              <w:rPr>
                <w:color w:val="000000" w:themeColor="text1"/>
                <w:kern w:val="20"/>
                <w:sz w:val="17"/>
                <w:szCs w:val="17"/>
                <w:lang w:val="es-ES_tradnl"/>
              </w:rPr>
              <w:t>N. Gastos generales de funcionamiento</w:t>
            </w:r>
          </w:p>
        </w:tc>
        <w:tc>
          <w:tcPr>
            <w:tcW w:w="1400" w:type="dxa"/>
            <w:tcBorders>
              <w:top w:val="nil"/>
              <w:left w:val="nil"/>
              <w:bottom w:val="single" w:sz="8" w:space="0" w:color="auto"/>
              <w:right w:val="nil"/>
            </w:tcBorders>
            <w:shd w:val="clear" w:color="auto" w:fill="auto"/>
            <w:vAlign w:val="center"/>
            <w:hideMark/>
          </w:tcPr>
          <w:p w14:paraId="765196F3"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726,6</w:t>
            </w:r>
          </w:p>
        </w:tc>
        <w:tc>
          <w:tcPr>
            <w:tcW w:w="1400" w:type="dxa"/>
            <w:tcBorders>
              <w:top w:val="nil"/>
              <w:left w:val="nil"/>
              <w:bottom w:val="single" w:sz="8" w:space="0" w:color="auto"/>
              <w:right w:val="nil"/>
            </w:tcBorders>
            <w:shd w:val="clear" w:color="auto" w:fill="auto"/>
            <w:vAlign w:val="center"/>
            <w:hideMark/>
          </w:tcPr>
          <w:p w14:paraId="3318F1B2"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726,6</w:t>
            </w:r>
          </w:p>
        </w:tc>
        <w:tc>
          <w:tcPr>
            <w:tcW w:w="1400" w:type="dxa"/>
            <w:tcBorders>
              <w:top w:val="nil"/>
              <w:left w:val="nil"/>
              <w:bottom w:val="nil"/>
              <w:right w:val="nil"/>
            </w:tcBorders>
            <w:shd w:val="clear" w:color="auto" w:fill="auto"/>
            <w:vAlign w:val="center"/>
            <w:hideMark/>
          </w:tcPr>
          <w:p w14:paraId="5EFD1899"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1 453,2</w:t>
            </w:r>
          </w:p>
        </w:tc>
      </w:tr>
      <w:tr w:rsidR="00D8083E" w:rsidRPr="00A202B4" w14:paraId="31EACA59" w14:textId="77777777" w:rsidTr="009A372A">
        <w:trPr>
          <w:trHeight w:val="290"/>
        </w:trPr>
        <w:tc>
          <w:tcPr>
            <w:tcW w:w="4360" w:type="dxa"/>
            <w:tcBorders>
              <w:top w:val="single" w:sz="8" w:space="0" w:color="auto"/>
              <w:left w:val="nil"/>
              <w:bottom w:val="single" w:sz="8" w:space="0" w:color="auto"/>
              <w:right w:val="nil"/>
            </w:tcBorders>
            <w:shd w:val="clear" w:color="auto" w:fill="auto"/>
            <w:vAlign w:val="center"/>
            <w:hideMark/>
          </w:tcPr>
          <w:p w14:paraId="1EE23ABA" w14:textId="77777777" w:rsidR="00D8083E" w:rsidRPr="00A202B4" w:rsidRDefault="00D8083E" w:rsidP="009A372A">
            <w:pPr>
              <w:rPr>
                <w:b/>
                <w:bCs/>
                <w:color w:val="000000"/>
                <w:sz w:val="17"/>
                <w:szCs w:val="17"/>
                <w:lang w:val="es-ES_tradnl"/>
              </w:rPr>
            </w:pPr>
            <w:r w:rsidRPr="00A202B4">
              <w:rPr>
                <w:b/>
                <w:bCs/>
                <w:color w:val="000000" w:themeColor="text1"/>
                <w:kern w:val="20"/>
                <w:sz w:val="17"/>
                <w:szCs w:val="17"/>
                <w:lang w:val="es-ES_tradnl"/>
              </w:rPr>
              <w:t>Subtotal (I)</w:t>
            </w:r>
          </w:p>
        </w:tc>
        <w:tc>
          <w:tcPr>
            <w:tcW w:w="1400" w:type="dxa"/>
            <w:tcBorders>
              <w:top w:val="nil"/>
              <w:left w:val="nil"/>
              <w:bottom w:val="single" w:sz="8" w:space="0" w:color="auto"/>
              <w:right w:val="nil"/>
            </w:tcBorders>
            <w:shd w:val="clear" w:color="auto" w:fill="auto"/>
            <w:vAlign w:val="center"/>
            <w:hideMark/>
          </w:tcPr>
          <w:p w14:paraId="67F3B2E8"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17 447,1</w:t>
            </w:r>
          </w:p>
        </w:tc>
        <w:tc>
          <w:tcPr>
            <w:tcW w:w="1400" w:type="dxa"/>
            <w:tcBorders>
              <w:top w:val="nil"/>
              <w:left w:val="nil"/>
              <w:bottom w:val="single" w:sz="8" w:space="0" w:color="auto"/>
              <w:right w:val="nil"/>
            </w:tcBorders>
            <w:shd w:val="clear" w:color="auto" w:fill="auto"/>
            <w:vAlign w:val="center"/>
            <w:hideMark/>
          </w:tcPr>
          <w:p w14:paraId="0B23571C"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18 985,6</w:t>
            </w:r>
          </w:p>
        </w:tc>
        <w:tc>
          <w:tcPr>
            <w:tcW w:w="1400" w:type="dxa"/>
            <w:tcBorders>
              <w:top w:val="single" w:sz="8" w:space="0" w:color="auto"/>
              <w:left w:val="nil"/>
              <w:bottom w:val="single" w:sz="8" w:space="0" w:color="auto"/>
              <w:right w:val="nil"/>
            </w:tcBorders>
            <w:shd w:val="clear" w:color="auto" w:fill="auto"/>
            <w:vAlign w:val="center"/>
            <w:hideMark/>
          </w:tcPr>
          <w:p w14:paraId="65D18511"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36 432,7</w:t>
            </w:r>
          </w:p>
        </w:tc>
      </w:tr>
      <w:tr w:rsidR="00D8083E" w:rsidRPr="00A202B4" w14:paraId="51D5C192" w14:textId="77777777" w:rsidTr="009A372A">
        <w:trPr>
          <w:trHeight w:val="280"/>
        </w:trPr>
        <w:tc>
          <w:tcPr>
            <w:tcW w:w="4360" w:type="dxa"/>
            <w:tcBorders>
              <w:top w:val="single" w:sz="8" w:space="0" w:color="auto"/>
              <w:left w:val="nil"/>
              <w:bottom w:val="nil"/>
              <w:right w:val="nil"/>
            </w:tcBorders>
            <w:shd w:val="clear" w:color="auto" w:fill="auto"/>
            <w:vAlign w:val="center"/>
            <w:hideMark/>
          </w:tcPr>
          <w:p w14:paraId="176184C3" w14:textId="77777777" w:rsidR="00D8083E" w:rsidRPr="00A202B4" w:rsidRDefault="00D8083E" w:rsidP="009A372A">
            <w:pPr>
              <w:rPr>
                <w:b/>
                <w:bCs/>
                <w:color w:val="000000"/>
                <w:sz w:val="17"/>
                <w:szCs w:val="17"/>
                <w:lang w:val="es-ES_tradnl"/>
              </w:rPr>
            </w:pPr>
            <w:r w:rsidRPr="00A202B4">
              <w:rPr>
                <w:b/>
                <w:bCs/>
                <w:color w:val="000000" w:themeColor="text1"/>
                <w:kern w:val="20"/>
                <w:sz w:val="17"/>
                <w:szCs w:val="17"/>
                <w:lang w:val="es-ES_tradnl"/>
              </w:rPr>
              <w:t>II. Gastos de apoyo a los programas (13%)</w:t>
            </w:r>
          </w:p>
        </w:tc>
        <w:tc>
          <w:tcPr>
            <w:tcW w:w="1400" w:type="dxa"/>
            <w:tcBorders>
              <w:top w:val="nil"/>
              <w:left w:val="nil"/>
              <w:bottom w:val="nil"/>
              <w:right w:val="nil"/>
            </w:tcBorders>
            <w:shd w:val="clear" w:color="auto" w:fill="auto"/>
            <w:vAlign w:val="center"/>
            <w:hideMark/>
          </w:tcPr>
          <w:p w14:paraId="132EEACF"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2 268,1</w:t>
            </w:r>
          </w:p>
        </w:tc>
        <w:tc>
          <w:tcPr>
            <w:tcW w:w="1400" w:type="dxa"/>
            <w:tcBorders>
              <w:top w:val="nil"/>
              <w:left w:val="nil"/>
              <w:bottom w:val="nil"/>
              <w:right w:val="nil"/>
            </w:tcBorders>
            <w:shd w:val="clear" w:color="auto" w:fill="auto"/>
            <w:vAlign w:val="center"/>
            <w:hideMark/>
          </w:tcPr>
          <w:p w14:paraId="09F2C2FF"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2 468,1</w:t>
            </w:r>
          </w:p>
        </w:tc>
        <w:tc>
          <w:tcPr>
            <w:tcW w:w="1400" w:type="dxa"/>
            <w:tcBorders>
              <w:top w:val="nil"/>
              <w:left w:val="nil"/>
              <w:bottom w:val="nil"/>
              <w:right w:val="nil"/>
            </w:tcBorders>
            <w:shd w:val="clear" w:color="auto" w:fill="auto"/>
            <w:vAlign w:val="center"/>
            <w:hideMark/>
          </w:tcPr>
          <w:p w14:paraId="412F622A"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4 736,2</w:t>
            </w:r>
          </w:p>
        </w:tc>
      </w:tr>
      <w:tr w:rsidR="00D8083E" w:rsidRPr="00A202B4" w14:paraId="29C0DB10" w14:textId="77777777" w:rsidTr="009A372A">
        <w:trPr>
          <w:trHeight w:val="290"/>
        </w:trPr>
        <w:tc>
          <w:tcPr>
            <w:tcW w:w="4360" w:type="dxa"/>
            <w:tcBorders>
              <w:top w:val="nil"/>
              <w:left w:val="nil"/>
              <w:bottom w:val="single" w:sz="8" w:space="0" w:color="auto"/>
              <w:right w:val="nil"/>
            </w:tcBorders>
            <w:shd w:val="clear" w:color="auto" w:fill="auto"/>
            <w:vAlign w:val="center"/>
            <w:hideMark/>
          </w:tcPr>
          <w:p w14:paraId="106FCF7D" w14:textId="77777777" w:rsidR="00D8083E" w:rsidRPr="00A202B4" w:rsidRDefault="00D8083E" w:rsidP="009A372A">
            <w:pPr>
              <w:rPr>
                <w:b/>
                <w:bCs/>
                <w:color w:val="000000"/>
                <w:sz w:val="17"/>
                <w:szCs w:val="17"/>
                <w:lang w:val="es-ES_tradnl"/>
              </w:rPr>
            </w:pPr>
            <w:r w:rsidRPr="00A202B4">
              <w:rPr>
                <w:b/>
                <w:bCs/>
                <w:color w:val="000000" w:themeColor="text1"/>
                <w:kern w:val="20"/>
                <w:sz w:val="17"/>
                <w:szCs w:val="17"/>
                <w:lang w:val="es-ES_tradnl"/>
              </w:rPr>
              <w:t>Subtotal (I + II)</w:t>
            </w:r>
          </w:p>
        </w:tc>
        <w:tc>
          <w:tcPr>
            <w:tcW w:w="1400" w:type="dxa"/>
            <w:tcBorders>
              <w:top w:val="nil"/>
              <w:left w:val="nil"/>
              <w:bottom w:val="single" w:sz="8" w:space="0" w:color="auto"/>
              <w:right w:val="nil"/>
            </w:tcBorders>
            <w:shd w:val="clear" w:color="auto" w:fill="auto"/>
            <w:vAlign w:val="center"/>
            <w:hideMark/>
          </w:tcPr>
          <w:p w14:paraId="2C77B2E5"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19 715,2</w:t>
            </w:r>
          </w:p>
        </w:tc>
        <w:tc>
          <w:tcPr>
            <w:tcW w:w="1400" w:type="dxa"/>
            <w:tcBorders>
              <w:top w:val="nil"/>
              <w:left w:val="nil"/>
              <w:bottom w:val="single" w:sz="8" w:space="0" w:color="auto"/>
              <w:right w:val="nil"/>
            </w:tcBorders>
            <w:shd w:val="clear" w:color="auto" w:fill="auto"/>
            <w:vAlign w:val="center"/>
            <w:hideMark/>
          </w:tcPr>
          <w:p w14:paraId="0716D5C9"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21 453,7</w:t>
            </w:r>
          </w:p>
        </w:tc>
        <w:tc>
          <w:tcPr>
            <w:tcW w:w="1400" w:type="dxa"/>
            <w:tcBorders>
              <w:top w:val="nil"/>
              <w:left w:val="nil"/>
              <w:bottom w:val="single" w:sz="8" w:space="0" w:color="auto"/>
              <w:right w:val="nil"/>
            </w:tcBorders>
            <w:shd w:val="clear" w:color="auto" w:fill="auto"/>
            <w:vAlign w:val="center"/>
            <w:hideMark/>
          </w:tcPr>
          <w:p w14:paraId="1214244A"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41 168,9</w:t>
            </w:r>
          </w:p>
        </w:tc>
      </w:tr>
      <w:tr w:rsidR="00D8083E" w:rsidRPr="00A202B4" w14:paraId="3529E04B" w14:textId="77777777" w:rsidTr="009A372A">
        <w:trPr>
          <w:trHeight w:val="280"/>
        </w:trPr>
        <w:tc>
          <w:tcPr>
            <w:tcW w:w="4360" w:type="dxa"/>
            <w:tcBorders>
              <w:top w:val="single" w:sz="8" w:space="0" w:color="auto"/>
              <w:left w:val="nil"/>
              <w:bottom w:val="nil"/>
              <w:right w:val="nil"/>
            </w:tcBorders>
            <w:shd w:val="clear" w:color="auto" w:fill="auto"/>
            <w:vAlign w:val="center"/>
            <w:hideMark/>
          </w:tcPr>
          <w:p w14:paraId="66A0C6C8" w14:textId="77777777" w:rsidR="00D8083E" w:rsidRPr="00A202B4" w:rsidRDefault="00D8083E" w:rsidP="009A372A">
            <w:pPr>
              <w:rPr>
                <w:b/>
                <w:bCs/>
                <w:color w:val="000000"/>
                <w:sz w:val="17"/>
                <w:szCs w:val="17"/>
                <w:lang w:val="es-ES_tradnl"/>
              </w:rPr>
            </w:pPr>
            <w:r w:rsidRPr="00A202B4">
              <w:rPr>
                <w:b/>
                <w:bCs/>
                <w:color w:val="000000" w:themeColor="text1"/>
                <w:kern w:val="20"/>
                <w:sz w:val="17"/>
                <w:szCs w:val="17"/>
                <w:lang w:val="es-ES_tradnl"/>
              </w:rPr>
              <w:t>III. Reserva operacional</w:t>
            </w:r>
          </w:p>
        </w:tc>
        <w:tc>
          <w:tcPr>
            <w:tcW w:w="1400" w:type="dxa"/>
            <w:tcBorders>
              <w:top w:val="nil"/>
              <w:left w:val="nil"/>
              <w:bottom w:val="nil"/>
              <w:right w:val="nil"/>
            </w:tcBorders>
            <w:shd w:val="clear" w:color="auto" w:fill="auto"/>
            <w:vAlign w:val="center"/>
            <w:hideMark/>
          </w:tcPr>
          <w:p w14:paraId="40F6DBEB"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216,4</w:t>
            </w:r>
          </w:p>
        </w:tc>
        <w:tc>
          <w:tcPr>
            <w:tcW w:w="1400" w:type="dxa"/>
            <w:tcBorders>
              <w:top w:val="nil"/>
              <w:left w:val="nil"/>
              <w:bottom w:val="nil"/>
              <w:right w:val="nil"/>
            </w:tcBorders>
            <w:shd w:val="clear" w:color="auto" w:fill="auto"/>
            <w:vAlign w:val="center"/>
            <w:hideMark/>
          </w:tcPr>
          <w:p w14:paraId="595FAA79" w14:textId="77777777" w:rsidR="00D8083E" w:rsidRPr="00A202B4" w:rsidRDefault="00D8083E" w:rsidP="009A372A">
            <w:pPr>
              <w:jc w:val="right"/>
              <w:rPr>
                <w:color w:val="000000"/>
                <w:sz w:val="17"/>
                <w:szCs w:val="17"/>
                <w:lang w:val="es-ES_tradnl"/>
              </w:rPr>
            </w:pPr>
            <w:r w:rsidRPr="00A202B4">
              <w:rPr>
                <w:color w:val="000000" w:themeColor="text1"/>
                <w:kern w:val="20"/>
                <w:sz w:val="17"/>
                <w:szCs w:val="17"/>
                <w:lang w:val="es-ES_tradnl"/>
              </w:rPr>
              <w:t>260,8</w:t>
            </w:r>
          </w:p>
        </w:tc>
        <w:tc>
          <w:tcPr>
            <w:tcW w:w="1400" w:type="dxa"/>
            <w:tcBorders>
              <w:top w:val="nil"/>
              <w:left w:val="nil"/>
              <w:bottom w:val="nil"/>
              <w:right w:val="nil"/>
            </w:tcBorders>
            <w:shd w:val="clear" w:color="auto" w:fill="auto"/>
            <w:vAlign w:val="center"/>
            <w:hideMark/>
          </w:tcPr>
          <w:p w14:paraId="461BD792"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477,2</w:t>
            </w:r>
          </w:p>
        </w:tc>
      </w:tr>
      <w:tr w:rsidR="00D8083E" w:rsidRPr="00A202B4" w14:paraId="1D9C864E" w14:textId="77777777" w:rsidTr="009A372A">
        <w:trPr>
          <w:trHeight w:val="290"/>
        </w:trPr>
        <w:tc>
          <w:tcPr>
            <w:tcW w:w="4360" w:type="dxa"/>
            <w:tcBorders>
              <w:top w:val="nil"/>
              <w:left w:val="nil"/>
              <w:bottom w:val="single" w:sz="8" w:space="0" w:color="auto"/>
              <w:right w:val="nil"/>
            </w:tcBorders>
            <w:shd w:val="clear" w:color="auto" w:fill="auto"/>
            <w:vAlign w:val="center"/>
            <w:hideMark/>
          </w:tcPr>
          <w:p w14:paraId="228E7870" w14:textId="77777777" w:rsidR="00D8083E" w:rsidRPr="00F921F6" w:rsidRDefault="00D8083E" w:rsidP="009A372A">
            <w:pPr>
              <w:rPr>
                <w:b/>
                <w:bCs/>
                <w:color w:val="000000"/>
                <w:sz w:val="17"/>
                <w:szCs w:val="17"/>
                <w:lang w:val="en-US"/>
              </w:rPr>
            </w:pPr>
            <w:r w:rsidRPr="00F921F6">
              <w:rPr>
                <w:b/>
                <w:bCs/>
                <w:color w:val="000000" w:themeColor="text1"/>
                <w:kern w:val="20"/>
                <w:sz w:val="17"/>
                <w:szCs w:val="17"/>
                <w:lang w:val="en-US"/>
              </w:rPr>
              <w:t>Total general (I + II + III)</w:t>
            </w:r>
          </w:p>
        </w:tc>
        <w:tc>
          <w:tcPr>
            <w:tcW w:w="1400" w:type="dxa"/>
            <w:tcBorders>
              <w:top w:val="nil"/>
              <w:left w:val="nil"/>
              <w:bottom w:val="single" w:sz="8" w:space="0" w:color="auto"/>
              <w:right w:val="nil"/>
            </w:tcBorders>
            <w:shd w:val="clear" w:color="auto" w:fill="auto"/>
            <w:vAlign w:val="center"/>
            <w:hideMark/>
          </w:tcPr>
          <w:p w14:paraId="4EAF1656"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19 931,6</w:t>
            </w:r>
          </w:p>
        </w:tc>
        <w:tc>
          <w:tcPr>
            <w:tcW w:w="1400" w:type="dxa"/>
            <w:tcBorders>
              <w:top w:val="nil"/>
              <w:left w:val="nil"/>
              <w:bottom w:val="single" w:sz="8" w:space="0" w:color="auto"/>
              <w:right w:val="nil"/>
            </w:tcBorders>
            <w:shd w:val="clear" w:color="auto" w:fill="auto"/>
            <w:vAlign w:val="center"/>
            <w:hideMark/>
          </w:tcPr>
          <w:p w14:paraId="2DF8BD2E"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21 714,5</w:t>
            </w:r>
          </w:p>
        </w:tc>
        <w:tc>
          <w:tcPr>
            <w:tcW w:w="1400" w:type="dxa"/>
            <w:tcBorders>
              <w:top w:val="nil"/>
              <w:left w:val="nil"/>
              <w:bottom w:val="single" w:sz="8" w:space="0" w:color="auto"/>
              <w:right w:val="nil"/>
            </w:tcBorders>
            <w:shd w:val="clear" w:color="auto" w:fill="auto"/>
            <w:vAlign w:val="center"/>
            <w:hideMark/>
          </w:tcPr>
          <w:p w14:paraId="3A7E62AE"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41 646,1</w:t>
            </w:r>
          </w:p>
        </w:tc>
      </w:tr>
      <w:tr w:rsidR="00D8083E" w:rsidRPr="00A202B4" w14:paraId="7E49EB0C" w14:textId="77777777" w:rsidTr="009A372A">
        <w:trPr>
          <w:trHeight w:val="290"/>
        </w:trPr>
        <w:tc>
          <w:tcPr>
            <w:tcW w:w="4360" w:type="dxa"/>
            <w:tcBorders>
              <w:top w:val="single" w:sz="8" w:space="0" w:color="auto"/>
              <w:left w:val="nil"/>
              <w:bottom w:val="single" w:sz="8" w:space="0" w:color="auto"/>
              <w:right w:val="nil"/>
            </w:tcBorders>
            <w:shd w:val="clear" w:color="auto" w:fill="auto"/>
            <w:vAlign w:val="center"/>
            <w:hideMark/>
          </w:tcPr>
          <w:p w14:paraId="18D910B1" w14:textId="77777777" w:rsidR="00D8083E" w:rsidRPr="00A202B4" w:rsidRDefault="00D8083E" w:rsidP="009A372A">
            <w:pPr>
              <w:rPr>
                <w:b/>
                <w:bCs/>
                <w:color w:val="000000"/>
                <w:sz w:val="17"/>
                <w:szCs w:val="17"/>
                <w:lang w:val="es-ES_tradnl"/>
              </w:rPr>
            </w:pPr>
            <w:r w:rsidRPr="00A202B4">
              <w:rPr>
                <w:b/>
                <w:bCs/>
                <w:color w:val="000000" w:themeColor="text1"/>
                <w:kern w:val="20"/>
                <w:sz w:val="17"/>
                <w:szCs w:val="17"/>
                <w:lang w:val="es-ES_tradnl"/>
              </w:rPr>
              <w:t>Porcentaje del presupuesto integrado que corresponde al Protocolo de Cartagena (15%)</w:t>
            </w:r>
          </w:p>
        </w:tc>
        <w:tc>
          <w:tcPr>
            <w:tcW w:w="1400" w:type="dxa"/>
            <w:tcBorders>
              <w:top w:val="nil"/>
              <w:left w:val="nil"/>
              <w:bottom w:val="single" w:sz="8" w:space="0" w:color="auto"/>
              <w:right w:val="nil"/>
            </w:tcBorders>
            <w:shd w:val="clear" w:color="auto" w:fill="auto"/>
            <w:vAlign w:val="center"/>
            <w:hideMark/>
          </w:tcPr>
          <w:p w14:paraId="5A620C2C"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2 989,7</w:t>
            </w:r>
          </w:p>
        </w:tc>
        <w:tc>
          <w:tcPr>
            <w:tcW w:w="1400" w:type="dxa"/>
            <w:tcBorders>
              <w:top w:val="nil"/>
              <w:left w:val="nil"/>
              <w:bottom w:val="single" w:sz="8" w:space="0" w:color="auto"/>
              <w:right w:val="nil"/>
            </w:tcBorders>
            <w:shd w:val="clear" w:color="auto" w:fill="auto"/>
            <w:vAlign w:val="center"/>
            <w:hideMark/>
          </w:tcPr>
          <w:p w14:paraId="7E79E4D3"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3 257,2</w:t>
            </w:r>
          </w:p>
        </w:tc>
        <w:tc>
          <w:tcPr>
            <w:tcW w:w="1400" w:type="dxa"/>
            <w:tcBorders>
              <w:top w:val="nil"/>
              <w:left w:val="nil"/>
              <w:bottom w:val="single" w:sz="8" w:space="0" w:color="auto"/>
              <w:right w:val="nil"/>
            </w:tcBorders>
            <w:shd w:val="clear" w:color="auto" w:fill="auto"/>
            <w:vAlign w:val="center"/>
            <w:hideMark/>
          </w:tcPr>
          <w:p w14:paraId="254C61A0"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6 246,9</w:t>
            </w:r>
          </w:p>
        </w:tc>
      </w:tr>
      <w:tr w:rsidR="00D8083E" w:rsidRPr="00A202B4" w14:paraId="3F6B38E8" w14:textId="77777777" w:rsidTr="009A372A">
        <w:trPr>
          <w:trHeight w:val="290"/>
        </w:trPr>
        <w:tc>
          <w:tcPr>
            <w:tcW w:w="4360" w:type="dxa"/>
            <w:tcBorders>
              <w:top w:val="single" w:sz="8" w:space="0" w:color="auto"/>
              <w:left w:val="nil"/>
              <w:bottom w:val="single" w:sz="8" w:space="0" w:color="auto"/>
              <w:right w:val="nil"/>
            </w:tcBorders>
            <w:shd w:val="clear" w:color="auto" w:fill="auto"/>
            <w:vAlign w:val="center"/>
            <w:hideMark/>
          </w:tcPr>
          <w:p w14:paraId="74CB26D7" w14:textId="77777777" w:rsidR="00D8083E" w:rsidRPr="00A202B4" w:rsidRDefault="00D8083E" w:rsidP="009A372A">
            <w:pPr>
              <w:rPr>
                <w:color w:val="000000"/>
                <w:sz w:val="17"/>
                <w:szCs w:val="17"/>
                <w:lang w:val="es-ES_tradnl"/>
              </w:rPr>
            </w:pPr>
            <w:r w:rsidRPr="00A202B4">
              <w:rPr>
                <w:color w:val="000000" w:themeColor="text1"/>
                <w:kern w:val="20"/>
                <w:sz w:val="17"/>
                <w:szCs w:val="17"/>
                <w:lang w:val="es-ES_tradnl"/>
              </w:rPr>
              <w:t>Menos las contribuciones del país anfitrión</w:t>
            </w:r>
          </w:p>
        </w:tc>
        <w:tc>
          <w:tcPr>
            <w:tcW w:w="1400" w:type="dxa"/>
            <w:tcBorders>
              <w:top w:val="nil"/>
              <w:left w:val="nil"/>
              <w:bottom w:val="single" w:sz="8" w:space="0" w:color="auto"/>
              <w:right w:val="nil"/>
            </w:tcBorders>
            <w:shd w:val="clear" w:color="auto" w:fill="auto"/>
            <w:vAlign w:val="center"/>
            <w:hideMark/>
          </w:tcPr>
          <w:p w14:paraId="309DED22" w14:textId="77777777" w:rsidR="00D8083E" w:rsidRPr="00A202B4" w:rsidRDefault="00D8083E" w:rsidP="009A372A">
            <w:pPr>
              <w:jc w:val="right"/>
              <w:rPr>
                <w:color w:val="000000"/>
                <w:sz w:val="17"/>
                <w:szCs w:val="17"/>
                <w:lang w:val="es-ES_tradnl"/>
              </w:rPr>
            </w:pPr>
            <w:r w:rsidRPr="00A202B4">
              <w:rPr>
                <w:color w:val="000000"/>
                <w:sz w:val="17"/>
                <w:szCs w:val="17"/>
                <w:lang w:val="es-ES_tradnl"/>
              </w:rPr>
              <w:t>-245,0</w:t>
            </w:r>
          </w:p>
        </w:tc>
        <w:tc>
          <w:tcPr>
            <w:tcW w:w="1400" w:type="dxa"/>
            <w:tcBorders>
              <w:top w:val="nil"/>
              <w:left w:val="nil"/>
              <w:bottom w:val="single" w:sz="8" w:space="0" w:color="auto"/>
              <w:right w:val="nil"/>
            </w:tcBorders>
            <w:shd w:val="clear" w:color="auto" w:fill="auto"/>
            <w:vAlign w:val="center"/>
            <w:hideMark/>
          </w:tcPr>
          <w:p w14:paraId="359F01E7" w14:textId="77777777" w:rsidR="00D8083E" w:rsidRPr="00A202B4" w:rsidRDefault="00D8083E" w:rsidP="009A372A">
            <w:pPr>
              <w:jc w:val="right"/>
              <w:rPr>
                <w:color w:val="000000"/>
                <w:sz w:val="17"/>
                <w:szCs w:val="17"/>
                <w:lang w:val="es-ES_tradnl"/>
              </w:rPr>
            </w:pPr>
            <w:r w:rsidRPr="00A202B4">
              <w:rPr>
                <w:color w:val="000000"/>
                <w:sz w:val="17"/>
                <w:szCs w:val="17"/>
                <w:lang w:val="es-ES_tradnl"/>
              </w:rPr>
              <w:t>-249,7</w:t>
            </w:r>
          </w:p>
        </w:tc>
        <w:tc>
          <w:tcPr>
            <w:tcW w:w="1400" w:type="dxa"/>
            <w:tcBorders>
              <w:top w:val="nil"/>
              <w:left w:val="nil"/>
              <w:bottom w:val="single" w:sz="8" w:space="0" w:color="auto"/>
              <w:right w:val="nil"/>
            </w:tcBorders>
            <w:shd w:val="clear" w:color="auto" w:fill="auto"/>
            <w:vAlign w:val="center"/>
            <w:hideMark/>
          </w:tcPr>
          <w:p w14:paraId="3018B883"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-494,7</w:t>
            </w:r>
          </w:p>
        </w:tc>
      </w:tr>
      <w:tr w:rsidR="00D8083E" w:rsidRPr="00A202B4" w14:paraId="6A5874F5" w14:textId="77777777" w:rsidTr="009A372A">
        <w:trPr>
          <w:trHeight w:val="290"/>
        </w:trPr>
        <w:tc>
          <w:tcPr>
            <w:tcW w:w="4360" w:type="dxa"/>
            <w:tcBorders>
              <w:top w:val="single" w:sz="8" w:space="0" w:color="auto"/>
              <w:left w:val="nil"/>
              <w:bottom w:val="single" w:sz="8" w:space="0" w:color="auto"/>
              <w:right w:val="nil"/>
            </w:tcBorders>
            <w:shd w:val="clear" w:color="auto" w:fill="auto"/>
            <w:vAlign w:val="center"/>
            <w:hideMark/>
          </w:tcPr>
          <w:p w14:paraId="0F72E26B" w14:textId="77777777" w:rsidR="00D8083E" w:rsidRPr="00A202B4" w:rsidRDefault="00D8083E" w:rsidP="009A372A">
            <w:pPr>
              <w:rPr>
                <w:color w:val="000000"/>
                <w:sz w:val="17"/>
                <w:szCs w:val="17"/>
                <w:lang w:val="es-ES_tradnl"/>
              </w:rPr>
            </w:pPr>
            <w:r w:rsidRPr="00A202B4">
              <w:rPr>
                <w:color w:val="000000" w:themeColor="text1"/>
                <w:kern w:val="20"/>
                <w:sz w:val="17"/>
                <w:szCs w:val="17"/>
                <w:lang w:val="es-ES_tradnl"/>
              </w:rPr>
              <w:t xml:space="preserve">Menos el empleo de los fondos de reserva </w:t>
            </w:r>
          </w:p>
        </w:tc>
        <w:tc>
          <w:tcPr>
            <w:tcW w:w="1400" w:type="dxa"/>
            <w:tcBorders>
              <w:top w:val="nil"/>
              <w:left w:val="nil"/>
              <w:bottom w:val="single" w:sz="8" w:space="0" w:color="auto"/>
              <w:right w:val="nil"/>
            </w:tcBorders>
            <w:shd w:val="clear" w:color="auto" w:fill="auto"/>
            <w:vAlign w:val="center"/>
            <w:hideMark/>
          </w:tcPr>
          <w:p w14:paraId="4564D6F2" w14:textId="77777777" w:rsidR="00D8083E" w:rsidRPr="00A202B4" w:rsidRDefault="00D8083E" w:rsidP="009A372A">
            <w:pPr>
              <w:jc w:val="right"/>
              <w:rPr>
                <w:color w:val="000000"/>
                <w:sz w:val="17"/>
                <w:szCs w:val="17"/>
                <w:lang w:val="es-ES_tradnl"/>
              </w:rPr>
            </w:pPr>
            <w:r w:rsidRPr="00A202B4">
              <w:rPr>
                <w:color w:val="000000"/>
                <w:sz w:val="17"/>
                <w:szCs w:val="17"/>
                <w:lang w:val="es-ES_tradnl"/>
              </w:rPr>
              <w:t>-30,8</w:t>
            </w:r>
          </w:p>
        </w:tc>
        <w:tc>
          <w:tcPr>
            <w:tcW w:w="1400" w:type="dxa"/>
            <w:tcBorders>
              <w:top w:val="nil"/>
              <w:left w:val="nil"/>
              <w:bottom w:val="single" w:sz="8" w:space="0" w:color="auto"/>
              <w:right w:val="nil"/>
            </w:tcBorders>
            <w:shd w:val="clear" w:color="auto" w:fill="auto"/>
            <w:vAlign w:val="center"/>
            <w:hideMark/>
          </w:tcPr>
          <w:p w14:paraId="4896E4F8" w14:textId="77777777" w:rsidR="00D8083E" w:rsidRPr="00A202B4" w:rsidRDefault="00D8083E" w:rsidP="009A372A">
            <w:pPr>
              <w:jc w:val="right"/>
              <w:rPr>
                <w:color w:val="000000"/>
                <w:sz w:val="17"/>
                <w:szCs w:val="17"/>
                <w:lang w:val="es-ES_tradnl"/>
              </w:rPr>
            </w:pPr>
            <w:r w:rsidRPr="00A202B4">
              <w:rPr>
                <w:color w:val="000000"/>
                <w:sz w:val="17"/>
                <w:szCs w:val="17"/>
                <w:lang w:val="es-ES_tradnl"/>
              </w:rPr>
              <w:t>-30,8</w:t>
            </w:r>
          </w:p>
        </w:tc>
        <w:tc>
          <w:tcPr>
            <w:tcW w:w="1400" w:type="dxa"/>
            <w:tcBorders>
              <w:top w:val="nil"/>
              <w:left w:val="nil"/>
              <w:bottom w:val="single" w:sz="8" w:space="0" w:color="auto"/>
              <w:right w:val="nil"/>
            </w:tcBorders>
            <w:shd w:val="clear" w:color="auto" w:fill="auto"/>
            <w:vAlign w:val="center"/>
            <w:hideMark/>
          </w:tcPr>
          <w:p w14:paraId="5FDADCE0" w14:textId="77777777" w:rsidR="00D8083E" w:rsidRPr="00A202B4" w:rsidRDefault="00D8083E" w:rsidP="009A372A">
            <w:pPr>
              <w:jc w:val="right"/>
              <w:rPr>
                <w:b/>
                <w:bCs/>
                <w:color w:val="000000"/>
                <w:sz w:val="17"/>
                <w:szCs w:val="17"/>
                <w:lang w:val="es-ES_tradnl"/>
              </w:rPr>
            </w:pPr>
            <w:r w:rsidRPr="00A202B4">
              <w:rPr>
                <w:b/>
                <w:bCs/>
                <w:color w:val="000000" w:themeColor="text1"/>
                <w:kern w:val="20"/>
                <w:sz w:val="17"/>
                <w:szCs w:val="17"/>
                <w:lang w:val="es-ES_tradnl"/>
              </w:rPr>
              <w:t>-61,6</w:t>
            </w:r>
          </w:p>
        </w:tc>
      </w:tr>
      <w:tr w:rsidR="00D8083E" w:rsidRPr="00A202B4" w14:paraId="3628D8C8" w14:textId="77777777" w:rsidTr="009A372A">
        <w:trPr>
          <w:trHeight w:val="290"/>
        </w:trPr>
        <w:tc>
          <w:tcPr>
            <w:tcW w:w="4360" w:type="dxa"/>
            <w:tcBorders>
              <w:top w:val="single" w:sz="8" w:space="0" w:color="auto"/>
              <w:left w:val="nil"/>
              <w:bottom w:val="single" w:sz="8" w:space="0" w:color="auto"/>
              <w:right w:val="nil"/>
            </w:tcBorders>
            <w:shd w:val="clear" w:color="auto" w:fill="auto"/>
            <w:vAlign w:val="center"/>
            <w:hideMark/>
          </w:tcPr>
          <w:p w14:paraId="5E8BD74F" w14:textId="77777777" w:rsidR="00D8083E" w:rsidRPr="00A202B4" w:rsidRDefault="00D8083E" w:rsidP="009A372A">
            <w:pPr>
              <w:rPr>
                <w:b/>
                <w:bCs/>
                <w:i/>
                <w:iCs/>
                <w:color w:val="000000"/>
                <w:sz w:val="17"/>
                <w:szCs w:val="17"/>
                <w:lang w:val="es-ES_tradnl"/>
              </w:rPr>
            </w:pPr>
            <w:r w:rsidRPr="00A202B4">
              <w:rPr>
                <w:b/>
                <w:bCs/>
                <w:i/>
                <w:iCs/>
                <w:color w:val="000000" w:themeColor="text1"/>
                <w:kern w:val="20"/>
                <w:sz w:val="17"/>
                <w:szCs w:val="17"/>
                <w:lang w:val="es-ES_tradnl"/>
              </w:rPr>
              <w:t>Total neto (a dividir entre las Partes)</w:t>
            </w:r>
          </w:p>
        </w:tc>
        <w:tc>
          <w:tcPr>
            <w:tcW w:w="1400" w:type="dxa"/>
            <w:tcBorders>
              <w:top w:val="nil"/>
              <w:left w:val="nil"/>
              <w:bottom w:val="single" w:sz="8" w:space="0" w:color="auto"/>
              <w:right w:val="nil"/>
            </w:tcBorders>
            <w:shd w:val="clear" w:color="auto" w:fill="auto"/>
            <w:vAlign w:val="center"/>
            <w:hideMark/>
          </w:tcPr>
          <w:p w14:paraId="35CFD8A7" w14:textId="77777777" w:rsidR="00D8083E" w:rsidRPr="00A202B4" w:rsidRDefault="00D8083E" w:rsidP="009A372A">
            <w:pPr>
              <w:jc w:val="right"/>
              <w:rPr>
                <w:b/>
                <w:bCs/>
                <w:i/>
                <w:iCs/>
                <w:color w:val="000000"/>
                <w:sz w:val="17"/>
                <w:szCs w:val="17"/>
                <w:lang w:val="es-ES_tradnl"/>
              </w:rPr>
            </w:pPr>
            <w:r w:rsidRPr="00A202B4">
              <w:rPr>
                <w:b/>
                <w:bCs/>
                <w:i/>
                <w:iCs/>
                <w:color w:val="000000"/>
                <w:sz w:val="17"/>
                <w:szCs w:val="17"/>
                <w:lang w:val="es-ES_tradnl"/>
              </w:rPr>
              <w:t>2 713,9</w:t>
            </w:r>
          </w:p>
        </w:tc>
        <w:tc>
          <w:tcPr>
            <w:tcW w:w="1400" w:type="dxa"/>
            <w:tcBorders>
              <w:top w:val="nil"/>
              <w:left w:val="nil"/>
              <w:bottom w:val="single" w:sz="8" w:space="0" w:color="auto"/>
              <w:right w:val="nil"/>
            </w:tcBorders>
            <w:shd w:val="clear" w:color="auto" w:fill="auto"/>
            <w:vAlign w:val="center"/>
            <w:hideMark/>
          </w:tcPr>
          <w:p w14:paraId="01B7482D" w14:textId="77777777" w:rsidR="00D8083E" w:rsidRPr="00A202B4" w:rsidRDefault="00D8083E" w:rsidP="009A372A">
            <w:pPr>
              <w:jc w:val="right"/>
              <w:rPr>
                <w:b/>
                <w:bCs/>
                <w:i/>
                <w:iCs/>
                <w:color w:val="000000"/>
                <w:sz w:val="17"/>
                <w:szCs w:val="17"/>
                <w:lang w:val="es-ES_tradnl"/>
              </w:rPr>
            </w:pPr>
            <w:r w:rsidRPr="00A202B4">
              <w:rPr>
                <w:b/>
                <w:bCs/>
                <w:i/>
                <w:iCs/>
                <w:color w:val="000000"/>
                <w:sz w:val="17"/>
                <w:szCs w:val="17"/>
                <w:lang w:val="es-ES_tradnl"/>
              </w:rPr>
              <w:t>2 976,8</w:t>
            </w:r>
          </w:p>
        </w:tc>
        <w:tc>
          <w:tcPr>
            <w:tcW w:w="1400" w:type="dxa"/>
            <w:tcBorders>
              <w:top w:val="nil"/>
              <w:left w:val="nil"/>
              <w:bottom w:val="single" w:sz="8" w:space="0" w:color="auto"/>
              <w:right w:val="nil"/>
            </w:tcBorders>
            <w:shd w:val="clear" w:color="auto" w:fill="auto"/>
            <w:vAlign w:val="center"/>
            <w:hideMark/>
          </w:tcPr>
          <w:p w14:paraId="6F58A117" w14:textId="77777777" w:rsidR="00D8083E" w:rsidRPr="00A202B4" w:rsidRDefault="00D8083E" w:rsidP="009A372A">
            <w:pPr>
              <w:jc w:val="right"/>
              <w:rPr>
                <w:b/>
                <w:bCs/>
                <w:i/>
                <w:iCs/>
                <w:color w:val="000000"/>
                <w:sz w:val="17"/>
                <w:szCs w:val="17"/>
                <w:lang w:val="es-ES_tradnl"/>
              </w:rPr>
            </w:pPr>
            <w:r w:rsidRPr="00A202B4">
              <w:rPr>
                <w:b/>
                <w:bCs/>
                <w:i/>
                <w:iCs/>
                <w:color w:val="000000"/>
                <w:sz w:val="17"/>
                <w:szCs w:val="17"/>
                <w:lang w:val="es-ES_tradnl"/>
              </w:rPr>
              <w:t>5 690,7</w:t>
            </w:r>
          </w:p>
        </w:tc>
      </w:tr>
      <w:tr w:rsidR="00D8083E" w:rsidRPr="00A202B4" w14:paraId="2B5AF0B0" w14:textId="77777777" w:rsidTr="009A372A">
        <w:trPr>
          <w:trHeight w:val="280"/>
        </w:trPr>
        <w:tc>
          <w:tcPr>
            <w:tcW w:w="8560" w:type="dxa"/>
            <w:gridSpan w:val="4"/>
            <w:tcBorders>
              <w:top w:val="single" w:sz="8" w:space="0" w:color="auto"/>
              <w:left w:val="nil"/>
              <w:bottom w:val="nil"/>
              <w:right w:val="nil"/>
            </w:tcBorders>
            <w:shd w:val="clear" w:color="auto" w:fill="auto"/>
            <w:vAlign w:val="bottom"/>
            <w:hideMark/>
          </w:tcPr>
          <w:p w14:paraId="581150F0" w14:textId="77777777" w:rsidR="00D8083E" w:rsidRPr="00A202B4" w:rsidRDefault="00D8083E" w:rsidP="009A372A">
            <w:pPr>
              <w:spacing w:before="40"/>
              <w:rPr>
                <w:color w:val="000000"/>
                <w:sz w:val="18"/>
                <w:szCs w:val="18"/>
                <w:lang w:val="es-ES_tradnl"/>
              </w:rPr>
            </w:pPr>
            <w:r w:rsidRPr="00A202B4">
              <w:rPr>
                <w:color w:val="000000"/>
                <w:sz w:val="18"/>
                <w:szCs w:val="18"/>
                <w:lang w:val="es-ES_tradnl"/>
              </w:rPr>
              <w:t>* Reuniones financiadas con cargo al presupuesto básico:</w:t>
            </w:r>
          </w:p>
        </w:tc>
      </w:tr>
      <w:tr w:rsidR="00D8083E" w:rsidRPr="00A202B4" w14:paraId="0706D986" w14:textId="77777777" w:rsidTr="009A372A">
        <w:trPr>
          <w:trHeight w:val="280"/>
        </w:trPr>
        <w:tc>
          <w:tcPr>
            <w:tcW w:w="8560" w:type="dxa"/>
            <w:gridSpan w:val="4"/>
            <w:tcBorders>
              <w:top w:val="nil"/>
              <w:left w:val="nil"/>
              <w:bottom w:val="nil"/>
              <w:right w:val="nil"/>
            </w:tcBorders>
            <w:shd w:val="clear" w:color="auto" w:fill="auto"/>
            <w:vAlign w:val="bottom"/>
            <w:hideMark/>
          </w:tcPr>
          <w:p w14:paraId="5AD0602F" w14:textId="77777777" w:rsidR="00D8083E" w:rsidRPr="00A202B4" w:rsidRDefault="00D8083E" w:rsidP="009A372A">
            <w:pPr>
              <w:spacing w:before="40"/>
              <w:rPr>
                <w:color w:val="000000"/>
                <w:sz w:val="18"/>
                <w:szCs w:val="18"/>
                <w:lang w:val="es-ES_tradnl"/>
              </w:rPr>
            </w:pPr>
            <w:r w:rsidRPr="00A202B4">
              <w:rPr>
                <w:color w:val="000000"/>
                <w:sz w:val="18"/>
                <w:szCs w:val="18"/>
                <w:lang w:val="es-ES_tradnl"/>
              </w:rPr>
              <w:t>12ª reunión del Grupo de Trabajo Especial de Composición Abierta sobre el Artículo 8 j) y disposiciones conexas.</w:t>
            </w:r>
          </w:p>
        </w:tc>
      </w:tr>
      <w:tr w:rsidR="00D8083E" w:rsidRPr="00A202B4" w14:paraId="4BBFAA88" w14:textId="77777777" w:rsidTr="009A372A">
        <w:trPr>
          <w:trHeight w:val="280"/>
        </w:trPr>
        <w:tc>
          <w:tcPr>
            <w:tcW w:w="8560" w:type="dxa"/>
            <w:gridSpan w:val="4"/>
            <w:tcBorders>
              <w:top w:val="nil"/>
              <w:left w:val="nil"/>
              <w:bottom w:val="nil"/>
              <w:right w:val="nil"/>
            </w:tcBorders>
            <w:shd w:val="clear" w:color="auto" w:fill="auto"/>
            <w:vAlign w:val="bottom"/>
            <w:hideMark/>
          </w:tcPr>
          <w:p w14:paraId="2CD3931E" w14:textId="77777777" w:rsidR="00D8083E" w:rsidRPr="00A202B4" w:rsidRDefault="00D8083E" w:rsidP="009A372A">
            <w:pPr>
              <w:spacing w:before="40"/>
              <w:rPr>
                <w:color w:val="000000"/>
                <w:sz w:val="18"/>
                <w:szCs w:val="18"/>
                <w:lang w:val="es-ES_tradnl"/>
              </w:rPr>
            </w:pPr>
            <w:r w:rsidRPr="00A202B4">
              <w:rPr>
                <w:color w:val="000000"/>
                <w:sz w:val="18"/>
                <w:szCs w:val="18"/>
                <w:lang w:val="es-ES_tradnl"/>
              </w:rPr>
              <w:t>25ª y 26ª reuniones del Órgano Subsidiario de Asesoramiento Científico, Técnico y Tecnológico.</w:t>
            </w:r>
          </w:p>
        </w:tc>
      </w:tr>
      <w:tr w:rsidR="00D8083E" w:rsidRPr="00A202B4" w14:paraId="371C9236" w14:textId="77777777" w:rsidTr="009A372A">
        <w:trPr>
          <w:trHeight w:val="280"/>
        </w:trPr>
        <w:tc>
          <w:tcPr>
            <w:tcW w:w="8560" w:type="dxa"/>
            <w:gridSpan w:val="4"/>
            <w:tcBorders>
              <w:top w:val="nil"/>
              <w:left w:val="nil"/>
              <w:bottom w:val="nil"/>
              <w:right w:val="nil"/>
            </w:tcBorders>
            <w:shd w:val="clear" w:color="auto" w:fill="auto"/>
            <w:vAlign w:val="bottom"/>
            <w:hideMark/>
          </w:tcPr>
          <w:p w14:paraId="12FE0BEF" w14:textId="77777777" w:rsidR="00D8083E" w:rsidRPr="00A202B4" w:rsidRDefault="00D8083E" w:rsidP="009A372A">
            <w:pPr>
              <w:spacing w:before="40"/>
              <w:rPr>
                <w:color w:val="000000"/>
                <w:sz w:val="18"/>
                <w:szCs w:val="18"/>
                <w:lang w:val="es-ES_tradnl"/>
              </w:rPr>
            </w:pPr>
            <w:r w:rsidRPr="00A202B4">
              <w:rPr>
                <w:color w:val="000000"/>
                <w:sz w:val="18"/>
                <w:szCs w:val="18"/>
                <w:lang w:val="es-ES_tradnl"/>
              </w:rPr>
              <w:t>4ª y 5ª reuniones del Órgano Subsidiario sobre la Aplicación.</w:t>
            </w:r>
          </w:p>
        </w:tc>
      </w:tr>
      <w:tr w:rsidR="00D8083E" w:rsidRPr="00A202B4" w14:paraId="15194C75" w14:textId="77777777" w:rsidTr="009A372A">
        <w:trPr>
          <w:trHeight w:val="280"/>
        </w:trPr>
        <w:tc>
          <w:tcPr>
            <w:tcW w:w="8560" w:type="dxa"/>
            <w:gridSpan w:val="4"/>
            <w:tcBorders>
              <w:top w:val="nil"/>
              <w:left w:val="nil"/>
              <w:bottom w:val="nil"/>
              <w:right w:val="nil"/>
            </w:tcBorders>
            <w:shd w:val="clear" w:color="auto" w:fill="auto"/>
            <w:vAlign w:val="bottom"/>
            <w:hideMark/>
          </w:tcPr>
          <w:p w14:paraId="5E21F8E8" w14:textId="77777777" w:rsidR="00D8083E" w:rsidRPr="00A202B4" w:rsidRDefault="00D8083E" w:rsidP="009A372A">
            <w:pPr>
              <w:spacing w:before="40"/>
              <w:rPr>
                <w:color w:val="000000"/>
                <w:sz w:val="18"/>
                <w:szCs w:val="18"/>
                <w:lang w:val="es-ES_tradnl"/>
              </w:rPr>
            </w:pPr>
            <w:r w:rsidRPr="00A202B4">
              <w:rPr>
                <w:color w:val="000000"/>
                <w:sz w:val="18"/>
                <w:szCs w:val="18"/>
                <w:lang w:val="es-ES_tradnl"/>
              </w:rPr>
              <w:t>16ª reunión de la Conferencia de las Partes en el Convenio / 11ª reunión de las Partes en el Protocolo de Cartagena / 5ª reunión de las Partes en el Protocolo de Nagoya, celebradas en forma concurrente.</w:t>
            </w:r>
          </w:p>
          <w:p w14:paraId="5856CD92" w14:textId="77777777" w:rsidR="00D8083E" w:rsidRPr="00A202B4" w:rsidRDefault="00D8083E" w:rsidP="009A372A">
            <w:pPr>
              <w:spacing w:before="40"/>
              <w:rPr>
                <w:color w:val="000000"/>
                <w:sz w:val="18"/>
                <w:szCs w:val="18"/>
                <w:lang w:val="es-ES_tradnl"/>
              </w:rPr>
            </w:pPr>
          </w:p>
        </w:tc>
      </w:tr>
    </w:tbl>
    <w:p w14:paraId="660211AB" w14:textId="6A79FD42" w:rsidR="00D8083E" w:rsidRPr="00A202B4" w:rsidRDefault="00D8083E" w:rsidP="00D8083E">
      <w:pPr>
        <w:spacing w:after="160" w:line="259" w:lineRule="auto"/>
        <w:jc w:val="left"/>
        <w:rPr>
          <w:b/>
          <w:bCs/>
          <w:szCs w:val="22"/>
          <w:lang w:val="es-ES_tradnl"/>
        </w:rPr>
      </w:pPr>
      <w:r w:rsidRPr="00A202B4">
        <w:rPr>
          <w:b/>
          <w:bCs/>
          <w:szCs w:val="22"/>
          <w:lang w:val="es-ES_tradnl"/>
        </w:rPr>
        <w:br w:type="page"/>
      </w:r>
    </w:p>
    <w:p w14:paraId="786CC980" w14:textId="77777777" w:rsidR="00D8083E" w:rsidRPr="00A202B4" w:rsidRDefault="00D8083E" w:rsidP="00010866">
      <w:pPr>
        <w:keepNext/>
        <w:spacing w:before="240" w:after="60"/>
        <w:ind w:left="907" w:right="274" w:hanging="907"/>
        <w:jc w:val="left"/>
        <w:rPr>
          <w:b/>
          <w:bCs/>
          <w:szCs w:val="22"/>
          <w:lang w:val="es-ES_tradnl"/>
        </w:rPr>
      </w:pPr>
      <w:r w:rsidRPr="00A202B4">
        <w:rPr>
          <w:b/>
          <w:bCs/>
          <w:szCs w:val="22"/>
          <w:lang w:val="es-ES_tradnl"/>
        </w:rPr>
        <w:lastRenderedPageBreak/>
        <w:t>Cuadro 1b. Presupuesto integrado para el Convenio y sus Protocolos para el período 2023-2024</w:t>
      </w:r>
    </w:p>
    <w:tbl>
      <w:tblPr>
        <w:tblW w:w="11060" w:type="dxa"/>
        <w:tblLook w:val="04A0" w:firstRow="1" w:lastRow="0" w:firstColumn="1" w:lastColumn="0" w:noHBand="0" w:noVBand="1"/>
      </w:tblPr>
      <w:tblGrid>
        <w:gridCol w:w="5160"/>
        <w:gridCol w:w="1180"/>
        <w:gridCol w:w="1180"/>
        <w:gridCol w:w="1180"/>
        <w:gridCol w:w="1180"/>
        <w:gridCol w:w="1180"/>
      </w:tblGrid>
      <w:tr w:rsidR="00D8083E" w:rsidRPr="00A202B4" w14:paraId="7AEF36F7" w14:textId="77777777" w:rsidTr="009A372A">
        <w:trPr>
          <w:gridAfter w:val="2"/>
          <w:wAfter w:w="2360" w:type="dxa"/>
          <w:trHeight w:val="290"/>
        </w:trPr>
        <w:tc>
          <w:tcPr>
            <w:tcW w:w="5160" w:type="dxa"/>
            <w:tcBorders>
              <w:top w:val="single" w:sz="4" w:space="0" w:color="auto"/>
              <w:left w:val="nil"/>
              <w:bottom w:val="nil"/>
              <w:right w:val="nil"/>
            </w:tcBorders>
            <w:shd w:val="clear" w:color="auto" w:fill="auto"/>
            <w:vAlign w:val="center"/>
          </w:tcPr>
          <w:p w14:paraId="007B216D" w14:textId="77777777" w:rsidR="00D8083E" w:rsidRPr="00A202B4" w:rsidRDefault="00D8083E" w:rsidP="009A372A">
            <w:pPr>
              <w:rPr>
                <w:color w:val="000000"/>
                <w:sz w:val="18"/>
                <w:szCs w:val="18"/>
                <w:lang w:val="es-ES_tradnl"/>
              </w:rPr>
            </w:pPr>
          </w:p>
        </w:tc>
        <w:tc>
          <w:tcPr>
            <w:tcW w:w="1180" w:type="dxa"/>
            <w:tcBorders>
              <w:top w:val="single" w:sz="4" w:space="0" w:color="auto"/>
              <w:left w:val="nil"/>
              <w:bottom w:val="nil"/>
              <w:right w:val="nil"/>
            </w:tcBorders>
            <w:shd w:val="clear" w:color="auto" w:fill="auto"/>
            <w:vAlign w:val="center"/>
          </w:tcPr>
          <w:p w14:paraId="0EBDF1B2" w14:textId="77777777" w:rsidR="00D8083E" w:rsidRPr="00A202B4" w:rsidRDefault="00D8083E" w:rsidP="009A372A">
            <w:pPr>
              <w:jc w:val="center"/>
              <w:rPr>
                <w:color w:val="000000"/>
                <w:sz w:val="18"/>
                <w:szCs w:val="18"/>
                <w:lang w:val="es-ES_tradnl"/>
              </w:rPr>
            </w:pPr>
            <w:r w:rsidRPr="00A202B4">
              <w:rPr>
                <w:i/>
                <w:iCs/>
                <w:color w:val="000000"/>
                <w:sz w:val="18"/>
                <w:szCs w:val="18"/>
                <w:lang w:val="es-ES_tradnl"/>
              </w:rPr>
              <w:t>2023</w:t>
            </w:r>
          </w:p>
        </w:tc>
        <w:tc>
          <w:tcPr>
            <w:tcW w:w="1180" w:type="dxa"/>
            <w:tcBorders>
              <w:top w:val="single" w:sz="4" w:space="0" w:color="auto"/>
              <w:left w:val="nil"/>
              <w:bottom w:val="nil"/>
              <w:right w:val="nil"/>
            </w:tcBorders>
            <w:shd w:val="clear" w:color="auto" w:fill="auto"/>
            <w:vAlign w:val="center"/>
          </w:tcPr>
          <w:p w14:paraId="27EDFBC1" w14:textId="77777777" w:rsidR="00D8083E" w:rsidRPr="00A202B4" w:rsidRDefault="00D8083E" w:rsidP="009A372A">
            <w:pPr>
              <w:jc w:val="center"/>
              <w:rPr>
                <w:color w:val="000000"/>
                <w:sz w:val="18"/>
                <w:szCs w:val="18"/>
                <w:lang w:val="es-ES_tradnl"/>
              </w:rPr>
            </w:pPr>
            <w:r w:rsidRPr="00A202B4">
              <w:rPr>
                <w:i/>
                <w:iCs/>
                <w:color w:val="000000"/>
                <w:sz w:val="18"/>
                <w:szCs w:val="18"/>
                <w:lang w:val="es-ES_tradnl"/>
              </w:rPr>
              <w:t>2024</w:t>
            </w:r>
          </w:p>
        </w:tc>
        <w:tc>
          <w:tcPr>
            <w:tcW w:w="1180" w:type="dxa"/>
            <w:tcBorders>
              <w:top w:val="single" w:sz="4" w:space="0" w:color="auto"/>
              <w:left w:val="nil"/>
              <w:bottom w:val="nil"/>
              <w:right w:val="nil"/>
            </w:tcBorders>
            <w:shd w:val="clear" w:color="auto" w:fill="auto"/>
            <w:vAlign w:val="center"/>
          </w:tcPr>
          <w:p w14:paraId="6FDFE208" w14:textId="77777777" w:rsidR="00D8083E" w:rsidRPr="00A202B4" w:rsidRDefault="00D8083E" w:rsidP="009A372A">
            <w:pPr>
              <w:jc w:val="center"/>
              <w:rPr>
                <w:b/>
                <w:bCs/>
                <w:color w:val="000000"/>
                <w:sz w:val="18"/>
                <w:szCs w:val="18"/>
                <w:lang w:val="es-ES_tradnl"/>
              </w:rPr>
            </w:pPr>
            <w:r w:rsidRPr="00A202B4">
              <w:rPr>
                <w:i/>
                <w:iCs/>
                <w:color w:val="000000"/>
                <w:sz w:val="18"/>
                <w:szCs w:val="18"/>
                <w:lang w:val="es-ES_tradnl"/>
              </w:rPr>
              <w:t>2023-2024</w:t>
            </w:r>
          </w:p>
        </w:tc>
      </w:tr>
      <w:tr w:rsidR="00D8083E" w:rsidRPr="00A202B4" w14:paraId="632168F5" w14:textId="77777777" w:rsidTr="009A372A">
        <w:trPr>
          <w:trHeight w:val="290"/>
        </w:trPr>
        <w:tc>
          <w:tcPr>
            <w:tcW w:w="5160" w:type="dxa"/>
            <w:tcBorders>
              <w:top w:val="nil"/>
              <w:left w:val="nil"/>
              <w:bottom w:val="single" w:sz="4" w:space="0" w:color="auto"/>
              <w:right w:val="nil"/>
            </w:tcBorders>
            <w:shd w:val="clear" w:color="auto" w:fill="auto"/>
            <w:vAlign w:val="center"/>
          </w:tcPr>
          <w:p w14:paraId="461C9319" w14:textId="77777777" w:rsidR="00D8083E" w:rsidRPr="00A202B4" w:rsidRDefault="00D8083E" w:rsidP="009A372A">
            <w:pPr>
              <w:rPr>
                <w:color w:val="000000"/>
                <w:sz w:val="18"/>
                <w:szCs w:val="18"/>
                <w:lang w:val="es-ES_tradnl"/>
              </w:rPr>
            </w:pPr>
          </w:p>
        </w:tc>
        <w:tc>
          <w:tcPr>
            <w:tcW w:w="3540" w:type="dxa"/>
            <w:gridSpan w:val="3"/>
            <w:tcBorders>
              <w:top w:val="nil"/>
              <w:left w:val="nil"/>
              <w:bottom w:val="single" w:sz="4" w:space="0" w:color="auto"/>
              <w:right w:val="nil"/>
            </w:tcBorders>
            <w:shd w:val="clear" w:color="auto" w:fill="auto"/>
            <w:vAlign w:val="center"/>
          </w:tcPr>
          <w:p w14:paraId="5143F92D" w14:textId="77777777" w:rsidR="00D8083E" w:rsidRPr="00A202B4" w:rsidRDefault="00D8083E" w:rsidP="009A372A">
            <w:pPr>
              <w:jc w:val="center"/>
              <w:rPr>
                <w:b/>
                <w:bCs/>
                <w:color w:val="000000"/>
                <w:sz w:val="18"/>
                <w:szCs w:val="18"/>
                <w:lang w:val="es-ES_tradnl"/>
              </w:rPr>
            </w:pPr>
            <w:r w:rsidRPr="00A202B4">
              <w:rPr>
                <w:i/>
                <w:iCs/>
                <w:color w:val="000000" w:themeColor="text1"/>
                <w:kern w:val="20"/>
                <w:sz w:val="18"/>
                <w:szCs w:val="18"/>
                <w:lang w:val="es-ES_tradnl"/>
              </w:rPr>
              <w:t>(Miles de dólares de los EE.UU.)</w:t>
            </w:r>
          </w:p>
        </w:tc>
        <w:tc>
          <w:tcPr>
            <w:tcW w:w="1180" w:type="dxa"/>
            <w:vAlign w:val="center"/>
          </w:tcPr>
          <w:p w14:paraId="37BB1E0C" w14:textId="77777777" w:rsidR="00D8083E" w:rsidRPr="00A202B4" w:rsidRDefault="00D8083E" w:rsidP="009A372A">
            <w:pPr>
              <w:spacing w:after="160" w:line="259" w:lineRule="auto"/>
              <w:jc w:val="left"/>
              <w:rPr>
                <w:lang w:val="es-ES_tradnl"/>
              </w:rPr>
            </w:pPr>
          </w:p>
        </w:tc>
        <w:tc>
          <w:tcPr>
            <w:tcW w:w="1180" w:type="dxa"/>
            <w:vAlign w:val="center"/>
          </w:tcPr>
          <w:p w14:paraId="207C7F03" w14:textId="77777777" w:rsidR="00D8083E" w:rsidRPr="00A202B4" w:rsidRDefault="00D8083E" w:rsidP="009A372A">
            <w:pPr>
              <w:spacing w:after="160" w:line="259" w:lineRule="auto"/>
              <w:jc w:val="left"/>
              <w:rPr>
                <w:lang w:val="es-ES_tradnl"/>
              </w:rPr>
            </w:pPr>
          </w:p>
        </w:tc>
      </w:tr>
      <w:tr w:rsidR="00D8083E" w:rsidRPr="00A202B4" w14:paraId="6623EDE9" w14:textId="77777777" w:rsidTr="009A372A">
        <w:trPr>
          <w:gridAfter w:val="2"/>
          <w:wAfter w:w="2360" w:type="dxa"/>
          <w:trHeight w:val="290"/>
        </w:trPr>
        <w:tc>
          <w:tcPr>
            <w:tcW w:w="5160" w:type="dxa"/>
            <w:tcBorders>
              <w:top w:val="single" w:sz="4" w:space="0" w:color="auto"/>
              <w:left w:val="nil"/>
              <w:bottom w:val="nil"/>
              <w:right w:val="nil"/>
            </w:tcBorders>
            <w:shd w:val="clear" w:color="auto" w:fill="auto"/>
            <w:vAlign w:val="center"/>
            <w:hideMark/>
          </w:tcPr>
          <w:p w14:paraId="13C47B2A" w14:textId="77777777" w:rsidR="00D8083E" w:rsidRPr="00A202B4" w:rsidRDefault="00D8083E" w:rsidP="009A372A">
            <w:pPr>
              <w:rPr>
                <w:color w:val="000000"/>
                <w:sz w:val="18"/>
                <w:szCs w:val="18"/>
                <w:lang w:val="es-ES_tradnl"/>
              </w:rPr>
            </w:pPr>
            <w:r w:rsidRPr="00A202B4">
              <w:rPr>
                <w:color w:val="000000"/>
                <w:sz w:val="18"/>
                <w:szCs w:val="18"/>
                <w:lang w:val="es-ES_tradnl"/>
              </w:rPr>
              <w:t>A. Órganos rectores y subsidiarios</w:t>
            </w:r>
          </w:p>
        </w:tc>
        <w:tc>
          <w:tcPr>
            <w:tcW w:w="1180" w:type="dxa"/>
            <w:tcBorders>
              <w:top w:val="single" w:sz="4" w:space="0" w:color="auto"/>
              <w:left w:val="nil"/>
              <w:bottom w:val="nil"/>
              <w:right w:val="nil"/>
            </w:tcBorders>
            <w:shd w:val="clear" w:color="auto" w:fill="auto"/>
            <w:vAlign w:val="center"/>
            <w:hideMark/>
          </w:tcPr>
          <w:p w14:paraId="73B5ACE8" w14:textId="77777777" w:rsidR="00D8083E" w:rsidRPr="00A202B4" w:rsidRDefault="00D8083E" w:rsidP="009A372A">
            <w:pPr>
              <w:jc w:val="right"/>
              <w:rPr>
                <w:color w:val="000000"/>
                <w:sz w:val="18"/>
                <w:szCs w:val="18"/>
                <w:lang w:val="es-ES_tradnl"/>
              </w:rPr>
            </w:pPr>
            <w:r w:rsidRPr="00A202B4">
              <w:rPr>
                <w:color w:val="000000"/>
                <w:sz w:val="18"/>
                <w:szCs w:val="18"/>
                <w:lang w:val="es-ES_tradnl"/>
              </w:rPr>
              <w:t>2,479.6</w:t>
            </w:r>
          </w:p>
        </w:tc>
        <w:tc>
          <w:tcPr>
            <w:tcW w:w="1180" w:type="dxa"/>
            <w:tcBorders>
              <w:top w:val="single" w:sz="4" w:space="0" w:color="auto"/>
              <w:left w:val="nil"/>
              <w:bottom w:val="nil"/>
              <w:right w:val="nil"/>
            </w:tcBorders>
            <w:shd w:val="clear" w:color="auto" w:fill="auto"/>
            <w:vAlign w:val="center"/>
            <w:hideMark/>
          </w:tcPr>
          <w:p w14:paraId="1BB73865" w14:textId="77777777" w:rsidR="00D8083E" w:rsidRPr="00A202B4" w:rsidRDefault="00D8083E" w:rsidP="009A372A">
            <w:pPr>
              <w:jc w:val="right"/>
              <w:rPr>
                <w:color w:val="000000"/>
                <w:sz w:val="18"/>
                <w:szCs w:val="18"/>
                <w:lang w:val="es-ES_tradnl"/>
              </w:rPr>
            </w:pPr>
            <w:r w:rsidRPr="00A202B4">
              <w:rPr>
                <w:color w:val="000000"/>
                <w:sz w:val="18"/>
                <w:szCs w:val="18"/>
                <w:lang w:val="es-ES_tradnl"/>
              </w:rPr>
              <w:t>3,863.9</w:t>
            </w:r>
          </w:p>
        </w:tc>
        <w:tc>
          <w:tcPr>
            <w:tcW w:w="1180" w:type="dxa"/>
            <w:tcBorders>
              <w:top w:val="single" w:sz="4" w:space="0" w:color="auto"/>
              <w:left w:val="nil"/>
              <w:bottom w:val="nil"/>
              <w:right w:val="nil"/>
            </w:tcBorders>
            <w:shd w:val="clear" w:color="auto" w:fill="auto"/>
            <w:vAlign w:val="center"/>
            <w:hideMark/>
          </w:tcPr>
          <w:p w14:paraId="5EFB34C2" w14:textId="77777777" w:rsidR="00D8083E" w:rsidRPr="00A202B4" w:rsidRDefault="00D8083E" w:rsidP="009A372A">
            <w:pPr>
              <w:jc w:val="right"/>
              <w:rPr>
                <w:b/>
                <w:bCs/>
                <w:color w:val="000000"/>
                <w:sz w:val="18"/>
                <w:szCs w:val="18"/>
                <w:lang w:val="es-ES_tradnl"/>
              </w:rPr>
            </w:pPr>
            <w:r w:rsidRPr="00A202B4">
              <w:rPr>
                <w:b/>
                <w:bCs/>
                <w:color w:val="000000"/>
                <w:sz w:val="18"/>
                <w:szCs w:val="18"/>
                <w:lang w:val="es-ES_tradnl"/>
              </w:rPr>
              <w:t>6,343.5</w:t>
            </w:r>
          </w:p>
        </w:tc>
      </w:tr>
      <w:tr w:rsidR="00D8083E" w:rsidRPr="00A202B4" w14:paraId="1756880A" w14:textId="77777777" w:rsidTr="009A372A">
        <w:trPr>
          <w:gridAfter w:val="2"/>
          <w:wAfter w:w="2360" w:type="dxa"/>
          <w:trHeight w:val="290"/>
        </w:trPr>
        <w:tc>
          <w:tcPr>
            <w:tcW w:w="5160" w:type="dxa"/>
            <w:tcBorders>
              <w:top w:val="nil"/>
              <w:left w:val="nil"/>
              <w:bottom w:val="nil"/>
              <w:right w:val="nil"/>
            </w:tcBorders>
            <w:shd w:val="clear" w:color="auto" w:fill="auto"/>
            <w:vAlign w:val="center"/>
            <w:hideMark/>
          </w:tcPr>
          <w:p w14:paraId="0B6AF204" w14:textId="77777777" w:rsidR="00D8083E" w:rsidRPr="00A202B4" w:rsidRDefault="00D8083E" w:rsidP="009A372A">
            <w:pPr>
              <w:rPr>
                <w:color w:val="000000"/>
                <w:sz w:val="18"/>
                <w:szCs w:val="18"/>
                <w:lang w:val="es-ES_tradnl"/>
              </w:rPr>
            </w:pPr>
            <w:r w:rsidRPr="00A202B4">
              <w:rPr>
                <w:color w:val="000000"/>
                <w:sz w:val="18"/>
                <w:szCs w:val="18"/>
                <w:lang w:val="es-ES_tradnl"/>
              </w:rPr>
              <w:t>B. Dirección y gestión ejecutivas</w:t>
            </w:r>
          </w:p>
        </w:tc>
        <w:tc>
          <w:tcPr>
            <w:tcW w:w="1180" w:type="dxa"/>
            <w:tcBorders>
              <w:top w:val="nil"/>
              <w:left w:val="nil"/>
              <w:bottom w:val="nil"/>
              <w:right w:val="nil"/>
            </w:tcBorders>
            <w:shd w:val="clear" w:color="auto" w:fill="auto"/>
            <w:vAlign w:val="center"/>
            <w:hideMark/>
          </w:tcPr>
          <w:p w14:paraId="20D34C49" w14:textId="77777777" w:rsidR="00D8083E" w:rsidRPr="00A202B4" w:rsidRDefault="00D8083E" w:rsidP="009A372A">
            <w:pPr>
              <w:jc w:val="right"/>
              <w:rPr>
                <w:color w:val="000000"/>
                <w:sz w:val="18"/>
                <w:szCs w:val="18"/>
                <w:lang w:val="es-ES_tradnl"/>
              </w:rPr>
            </w:pPr>
            <w:r w:rsidRPr="00A202B4">
              <w:rPr>
                <w:color w:val="000000"/>
                <w:sz w:val="18"/>
                <w:szCs w:val="18"/>
                <w:lang w:val="es-ES_tradnl"/>
              </w:rPr>
              <w:t>2 909,8</w:t>
            </w:r>
          </w:p>
        </w:tc>
        <w:tc>
          <w:tcPr>
            <w:tcW w:w="1180" w:type="dxa"/>
            <w:tcBorders>
              <w:top w:val="nil"/>
              <w:left w:val="nil"/>
              <w:bottom w:val="nil"/>
              <w:right w:val="nil"/>
            </w:tcBorders>
            <w:shd w:val="clear" w:color="auto" w:fill="auto"/>
            <w:vAlign w:val="center"/>
            <w:hideMark/>
          </w:tcPr>
          <w:p w14:paraId="65225546" w14:textId="77777777" w:rsidR="00D8083E" w:rsidRPr="00A202B4" w:rsidRDefault="00D8083E" w:rsidP="009A372A">
            <w:pPr>
              <w:jc w:val="right"/>
              <w:rPr>
                <w:color w:val="000000"/>
                <w:sz w:val="18"/>
                <w:szCs w:val="18"/>
                <w:lang w:val="es-ES_tradnl"/>
              </w:rPr>
            </w:pPr>
            <w:r w:rsidRPr="00A202B4">
              <w:rPr>
                <w:color w:val="000000"/>
                <w:sz w:val="18"/>
                <w:szCs w:val="18"/>
                <w:lang w:val="es-ES_tradnl"/>
              </w:rPr>
              <w:t>3 028,0</w:t>
            </w:r>
          </w:p>
        </w:tc>
        <w:tc>
          <w:tcPr>
            <w:tcW w:w="1180" w:type="dxa"/>
            <w:tcBorders>
              <w:top w:val="nil"/>
              <w:left w:val="nil"/>
              <w:bottom w:val="nil"/>
              <w:right w:val="nil"/>
            </w:tcBorders>
            <w:shd w:val="clear" w:color="auto" w:fill="auto"/>
            <w:vAlign w:val="center"/>
            <w:hideMark/>
          </w:tcPr>
          <w:p w14:paraId="712E4694" w14:textId="77777777" w:rsidR="00D8083E" w:rsidRPr="00A202B4" w:rsidRDefault="00D8083E" w:rsidP="009A372A">
            <w:pPr>
              <w:jc w:val="right"/>
              <w:rPr>
                <w:b/>
                <w:bCs/>
                <w:color w:val="000000"/>
                <w:sz w:val="18"/>
                <w:szCs w:val="18"/>
                <w:lang w:val="es-ES_tradnl"/>
              </w:rPr>
            </w:pPr>
            <w:r w:rsidRPr="00A202B4">
              <w:rPr>
                <w:b/>
                <w:bCs/>
                <w:color w:val="000000"/>
                <w:sz w:val="18"/>
                <w:szCs w:val="18"/>
                <w:lang w:val="es-ES_tradnl"/>
              </w:rPr>
              <w:t>5 937,8</w:t>
            </w:r>
          </w:p>
        </w:tc>
      </w:tr>
      <w:tr w:rsidR="00D8083E" w:rsidRPr="00A202B4" w14:paraId="5A03CBDA" w14:textId="77777777" w:rsidTr="009A372A">
        <w:trPr>
          <w:gridAfter w:val="2"/>
          <w:wAfter w:w="2360" w:type="dxa"/>
          <w:trHeight w:val="290"/>
        </w:trPr>
        <w:tc>
          <w:tcPr>
            <w:tcW w:w="5160" w:type="dxa"/>
            <w:tcBorders>
              <w:top w:val="nil"/>
              <w:left w:val="nil"/>
              <w:bottom w:val="nil"/>
              <w:right w:val="nil"/>
            </w:tcBorders>
            <w:shd w:val="clear" w:color="auto" w:fill="auto"/>
            <w:vAlign w:val="center"/>
            <w:hideMark/>
          </w:tcPr>
          <w:p w14:paraId="6DADAD3D" w14:textId="77777777" w:rsidR="00D8083E" w:rsidRPr="00A202B4" w:rsidRDefault="00D8083E" w:rsidP="009A372A">
            <w:pPr>
              <w:rPr>
                <w:color w:val="000000"/>
                <w:sz w:val="18"/>
                <w:szCs w:val="18"/>
                <w:lang w:val="es-ES_tradnl"/>
              </w:rPr>
            </w:pPr>
            <w:r w:rsidRPr="00A202B4">
              <w:rPr>
                <w:color w:val="000000"/>
                <w:sz w:val="18"/>
                <w:szCs w:val="18"/>
                <w:lang w:val="es-ES_tradnl"/>
              </w:rPr>
              <w:t>C. Programa de trabajo</w:t>
            </w:r>
          </w:p>
        </w:tc>
        <w:tc>
          <w:tcPr>
            <w:tcW w:w="1180" w:type="dxa"/>
            <w:tcBorders>
              <w:top w:val="nil"/>
              <w:left w:val="nil"/>
              <w:bottom w:val="nil"/>
              <w:right w:val="nil"/>
            </w:tcBorders>
            <w:shd w:val="clear" w:color="auto" w:fill="auto"/>
            <w:vAlign w:val="center"/>
            <w:hideMark/>
          </w:tcPr>
          <w:p w14:paraId="3ADBF38C" w14:textId="77777777" w:rsidR="00D8083E" w:rsidRPr="00A202B4" w:rsidRDefault="00D8083E" w:rsidP="009A372A">
            <w:pPr>
              <w:jc w:val="right"/>
              <w:rPr>
                <w:color w:val="000000"/>
                <w:sz w:val="18"/>
                <w:szCs w:val="18"/>
                <w:lang w:val="es-ES_tradnl"/>
              </w:rPr>
            </w:pPr>
            <w:r w:rsidRPr="00A202B4">
              <w:rPr>
                <w:color w:val="000000"/>
                <w:sz w:val="18"/>
                <w:szCs w:val="18"/>
                <w:lang w:val="es-ES_tradnl"/>
              </w:rPr>
              <w:t>8 909,1</w:t>
            </w:r>
          </w:p>
        </w:tc>
        <w:tc>
          <w:tcPr>
            <w:tcW w:w="1180" w:type="dxa"/>
            <w:tcBorders>
              <w:top w:val="nil"/>
              <w:left w:val="nil"/>
              <w:bottom w:val="nil"/>
              <w:right w:val="nil"/>
            </w:tcBorders>
            <w:shd w:val="clear" w:color="auto" w:fill="auto"/>
            <w:vAlign w:val="center"/>
            <w:hideMark/>
          </w:tcPr>
          <w:p w14:paraId="231B1B67" w14:textId="77777777" w:rsidR="00D8083E" w:rsidRPr="00A202B4" w:rsidRDefault="00D8083E" w:rsidP="009A372A">
            <w:pPr>
              <w:jc w:val="right"/>
              <w:rPr>
                <w:color w:val="000000"/>
                <w:sz w:val="18"/>
                <w:szCs w:val="18"/>
                <w:lang w:val="es-ES_tradnl"/>
              </w:rPr>
            </w:pPr>
            <w:r w:rsidRPr="00A202B4">
              <w:rPr>
                <w:color w:val="000000"/>
                <w:sz w:val="18"/>
                <w:szCs w:val="18"/>
                <w:lang w:val="es-ES_tradnl"/>
              </w:rPr>
              <w:t>9 094,9</w:t>
            </w:r>
          </w:p>
        </w:tc>
        <w:tc>
          <w:tcPr>
            <w:tcW w:w="1180" w:type="dxa"/>
            <w:tcBorders>
              <w:top w:val="nil"/>
              <w:left w:val="nil"/>
              <w:bottom w:val="nil"/>
              <w:right w:val="nil"/>
            </w:tcBorders>
            <w:shd w:val="clear" w:color="auto" w:fill="auto"/>
            <w:vAlign w:val="center"/>
            <w:hideMark/>
          </w:tcPr>
          <w:p w14:paraId="61F6F437" w14:textId="77777777" w:rsidR="00D8083E" w:rsidRPr="00A202B4" w:rsidRDefault="00D8083E" w:rsidP="009A372A">
            <w:pPr>
              <w:jc w:val="right"/>
              <w:rPr>
                <w:b/>
                <w:bCs/>
                <w:color w:val="000000"/>
                <w:sz w:val="18"/>
                <w:szCs w:val="18"/>
                <w:lang w:val="es-ES_tradnl"/>
              </w:rPr>
            </w:pPr>
            <w:r w:rsidRPr="00A202B4">
              <w:rPr>
                <w:b/>
                <w:bCs/>
                <w:color w:val="000000"/>
                <w:sz w:val="18"/>
                <w:szCs w:val="18"/>
                <w:lang w:val="es-ES_tradnl"/>
              </w:rPr>
              <w:t>18 004,0</w:t>
            </w:r>
          </w:p>
        </w:tc>
      </w:tr>
      <w:tr w:rsidR="00D8083E" w:rsidRPr="00A202B4" w14:paraId="70F6FC78" w14:textId="77777777" w:rsidTr="009A372A">
        <w:trPr>
          <w:gridAfter w:val="2"/>
          <w:wAfter w:w="2360" w:type="dxa"/>
          <w:trHeight w:val="300"/>
        </w:trPr>
        <w:tc>
          <w:tcPr>
            <w:tcW w:w="5160" w:type="dxa"/>
            <w:tcBorders>
              <w:top w:val="nil"/>
              <w:left w:val="nil"/>
              <w:bottom w:val="nil"/>
              <w:right w:val="nil"/>
            </w:tcBorders>
            <w:shd w:val="clear" w:color="auto" w:fill="auto"/>
            <w:vAlign w:val="center"/>
            <w:hideMark/>
          </w:tcPr>
          <w:p w14:paraId="5EB05D49" w14:textId="77777777" w:rsidR="00D8083E" w:rsidRPr="00A202B4" w:rsidRDefault="00D8083E" w:rsidP="009A372A">
            <w:pPr>
              <w:rPr>
                <w:color w:val="000000"/>
                <w:sz w:val="18"/>
                <w:szCs w:val="18"/>
                <w:lang w:val="es-ES_tradnl"/>
              </w:rPr>
            </w:pPr>
            <w:r w:rsidRPr="00A202B4">
              <w:rPr>
                <w:color w:val="000000"/>
                <w:sz w:val="18"/>
                <w:szCs w:val="18"/>
                <w:lang w:val="es-ES_tradnl"/>
              </w:rPr>
              <w:t>D. Apoyo administrativo</w:t>
            </w:r>
          </w:p>
        </w:tc>
        <w:tc>
          <w:tcPr>
            <w:tcW w:w="1180" w:type="dxa"/>
            <w:tcBorders>
              <w:top w:val="nil"/>
              <w:left w:val="nil"/>
              <w:bottom w:val="nil"/>
              <w:right w:val="nil"/>
            </w:tcBorders>
            <w:shd w:val="clear" w:color="auto" w:fill="auto"/>
            <w:vAlign w:val="center"/>
            <w:hideMark/>
          </w:tcPr>
          <w:p w14:paraId="2EF7935C" w14:textId="77777777" w:rsidR="00D8083E" w:rsidRPr="00A202B4" w:rsidRDefault="00D8083E" w:rsidP="009A372A">
            <w:pPr>
              <w:jc w:val="right"/>
              <w:rPr>
                <w:color w:val="000000"/>
                <w:sz w:val="18"/>
                <w:szCs w:val="18"/>
                <w:lang w:val="es-ES_tradnl"/>
              </w:rPr>
            </w:pPr>
            <w:r w:rsidRPr="00A202B4">
              <w:rPr>
                <w:color w:val="000000"/>
                <w:sz w:val="18"/>
                <w:szCs w:val="18"/>
                <w:lang w:val="es-ES_tradnl"/>
              </w:rPr>
              <w:t>3 148,6</w:t>
            </w:r>
          </w:p>
        </w:tc>
        <w:tc>
          <w:tcPr>
            <w:tcW w:w="1180" w:type="dxa"/>
            <w:tcBorders>
              <w:top w:val="nil"/>
              <w:left w:val="nil"/>
              <w:bottom w:val="nil"/>
              <w:right w:val="nil"/>
            </w:tcBorders>
            <w:shd w:val="clear" w:color="auto" w:fill="auto"/>
            <w:vAlign w:val="center"/>
            <w:hideMark/>
          </w:tcPr>
          <w:p w14:paraId="6ADD0217" w14:textId="77777777" w:rsidR="00D8083E" w:rsidRPr="00A202B4" w:rsidRDefault="00D8083E" w:rsidP="009A372A">
            <w:pPr>
              <w:jc w:val="right"/>
              <w:rPr>
                <w:color w:val="000000"/>
                <w:sz w:val="18"/>
                <w:szCs w:val="18"/>
                <w:lang w:val="es-ES_tradnl"/>
              </w:rPr>
            </w:pPr>
            <w:r w:rsidRPr="00A202B4">
              <w:rPr>
                <w:color w:val="000000"/>
                <w:sz w:val="18"/>
                <w:szCs w:val="18"/>
                <w:lang w:val="es-ES_tradnl"/>
              </w:rPr>
              <w:t>2 998,8</w:t>
            </w:r>
          </w:p>
        </w:tc>
        <w:tc>
          <w:tcPr>
            <w:tcW w:w="1180" w:type="dxa"/>
            <w:tcBorders>
              <w:top w:val="nil"/>
              <w:left w:val="nil"/>
              <w:bottom w:val="nil"/>
              <w:right w:val="nil"/>
            </w:tcBorders>
            <w:shd w:val="clear" w:color="auto" w:fill="auto"/>
            <w:vAlign w:val="center"/>
            <w:hideMark/>
          </w:tcPr>
          <w:p w14:paraId="3BA62C1C" w14:textId="77777777" w:rsidR="00D8083E" w:rsidRPr="00A202B4" w:rsidRDefault="00D8083E" w:rsidP="009A372A">
            <w:pPr>
              <w:jc w:val="right"/>
              <w:rPr>
                <w:b/>
                <w:bCs/>
                <w:color w:val="000000"/>
                <w:sz w:val="18"/>
                <w:szCs w:val="18"/>
                <w:lang w:val="es-ES_tradnl"/>
              </w:rPr>
            </w:pPr>
            <w:r w:rsidRPr="00A202B4">
              <w:rPr>
                <w:b/>
                <w:bCs/>
                <w:color w:val="000000"/>
                <w:sz w:val="18"/>
                <w:szCs w:val="18"/>
                <w:lang w:val="es-ES_tradnl"/>
              </w:rPr>
              <w:t>6 147,4</w:t>
            </w:r>
          </w:p>
        </w:tc>
      </w:tr>
      <w:tr w:rsidR="00D8083E" w:rsidRPr="00A202B4" w14:paraId="03765432" w14:textId="77777777" w:rsidTr="009A372A">
        <w:trPr>
          <w:gridAfter w:val="2"/>
          <w:wAfter w:w="2360" w:type="dxa"/>
          <w:trHeight w:val="400"/>
        </w:trPr>
        <w:tc>
          <w:tcPr>
            <w:tcW w:w="5160" w:type="dxa"/>
            <w:tcBorders>
              <w:top w:val="single" w:sz="8" w:space="0" w:color="auto"/>
              <w:left w:val="nil"/>
              <w:bottom w:val="single" w:sz="8" w:space="0" w:color="auto"/>
              <w:right w:val="nil"/>
            </w:tcBorders>
            <w:shd w:val="clear" w:color="auto" w:fill="auto"/>
            <w:vAlign w:val="center"/>
            <w:hideMark/>
          </w:tcPr>
          <w:p w14:paraId="4E4080AD" w14:textId="77777777" w:rsidR="00D8083E" w:rsidRPr="00A202B4" w:rsidRDefault="00D8083E" w:rsidP="009A372A">
            <w:pPr>
              <w:rPr>
                <w:b/>
                <w:bCs/>
                <w:color w:val="000000"/>
                <w:sz w:val="18"/>
                <w:szCs w:val="18"/>
                <w:lang w:val="es-ES_tradnl"/>
              </w:rPr>
            </w:pPr>
            <w:r w:rsidRPr="00A202B4">
              <w:rPr>
                <w:b/>
                <w:bCs/>
                <w:color w:val="000000"/>
                <w:sz w:val="18"/>
                <w:szCs w:val="18"/>
                <w:lang w:val="es-ES_tradnl"/>
              </w:rPr>
              <w:t>Subtotal</w:t>
            </w:r>
          </w:p>
        </w:tc>
        <w:tc>
          <w:tcPr>
            <w:tcW w:w="1180" w:type="dxa"/>
            <w:tcBorders>
              <w:top w:val="single" w:sz="8" w:space="0" w:color="auto"/>
              <w:left w:val="nil"/>
              <w:bottom w:val="single" w:sz="8" w:space="0" w:color="auto"/>
              <w:right w:val="nil"/>
            </w:tcBorders>
            <w:shd w:val="clear" w:color="auto" w:fill="auto"/>
            <w:vAlign w:val="center"/>
            <w:hideMark/>
          </w:tcPr>
          <w:p w14:paraId="1B955B12" w14:textId="77777777" w:rsidR="00D8083E" w:rsidRPr="00A202B4" w:rsidRDefault="00D8083E" w:rsidP="009A372A">
            <w:pPr>
              <w:jc w:val="right"/>
              <w:rPr>
                <w:b/>
                <w:bCs/>
                <w:color w:val="000000"/>
                <w:sz w:val="18"/>
                <w:szCs w:val="18"/>
                <w:lang w:val="es-ES_tradnl"/>
              </w:rPr>
            </w:pPr>
            <w:r w:rsidRPr="00A202B4">
              <w:rPr>
                <w:b/>
                <w:bCs/>
                <w:color w:val="000000"/>
                <w:sz w:val="18"/>
                <w:szCs w:val="18"/>
                <w:lang w:val="es-ES_tradnl"/>
              </w:rPr>
              <w:t>17 447,1</w:t>
            </w:r>
          </w:p>
        </w:tc>
        <w:tc>
          <w:tcPr>
            <w:tcW w:w="1180" w:type="dxa"/>
            <w:tcBorders>
              <w:top w:val="single" w:sz="8" w:space="0" w:color="auto"/>
              <w:left w:val="nil"/>
              <w:bottom w:val="single" w:sz="8" w:space="0" w:color="auto"/>
              <w:right w:val="nil"/>
            </w:tcBorders>
            <w:shd w:val="clear" w:color="auto" w:fill="auto"/>
            <w:vAlign w:val="center"/>
            <w:hideMark/>
          </w:tcPr>
          <w:p w14:paraId="4BD37C6F" w14:textId="77777777" w:rsidR="00D8083E" w:rsidRPr="00A202B4" w:rsidRDefault="00D8083E" w:rsidP="009A372A">
            <w:pPr>
              <w:jc w:val="right"/>
              <w:rPr>
                <w:b/>
                <w:bCs/>
                <w:color w:val="000000"/>
                <w:sz w:val="18"/>
                <w:szCs w:val="18"/>
                <w:lang w:val="es-ES_tradnl"/>
              </w:rPr>
            </w:pPr>
            <w:r w:rsidRPr="00A202B4">
              <w:rPr>
                <w:b/>
                <w:bCs/>
                <w:color w:val="000000"/>
                <w:sz w:val="18"/>
                <w:szCs w:val="18"/>
                <w:lang w:val="es-ES_tradnl"/>
              </w:rPr>
              <w:t>18 985,6</w:t>
            </w:r>
          </w:p>
        </w:tc>
        <w:tc>
          <w:tcPr>
            <w:tcW w:w="1180" w:type="dxa"/>
            <w:tcBorders>
              <w:top w:val="single" w:sz="8" w:space="0" w:color="auto"/>
              <w:left w:val="nil"/>
              <w:bottom w:val="single" w:sz="8" w:space="0" w:color="auto"/>
              <w:right w:val="nil"/>
            </w:tcBorders>
            <w:shd w:val="clear" w:color="auto" w:fill="auto"/>
            <w:vAlign w:val="center"/>
            <w:hideMark/>
          </w:tcPr>
          <w:p w14:paraId="0B597F53" w14:textId="77777777" w:rsidR="00D8083E" w:rsidRPr="00A202B4" w:rsidRDefault="00D8083E" w:rsidP="009A372A">
            <w:pPr>
              <w:jc w:val="right"/>
              <w:rPr>
                <w:b/>
                <w:bCs/>
                <w:color w:val="000000"/>
                <w:sz w:val="18"/>
                <w:szCs w:val="18"/>
                <w:lang w:val="es-ES_tradnl"/>
              </w:rPr>
            </w:pPr>
            <w:r w:rsidRPr="00A202B4">
              <w:rPr>
                <w:b/>
                <w:bCs/>
                <w:color w:val="000000"/>
                <w:sz w:val="18"/>
                <w:szCs w:val="18"/>
                <w:lang w:val="es-ES_tradnl"/>
              </w:rPr>
              <w:t>36 432,7</w:t>
            </w:r>
          </w:p>
        </w:tc>
      </w:tr>
      <w:tr w:rsidR="00D8083E" w:rsidRPr="00A202B4" w14:paraId="5D01B5E7" w14:textId="77777777" w:rsidTr="009A372A">
        <w:trPr>
          <w:gridAfter w:val="2"/>
          <w:wAfter w:w="2360" w:type="dxa"/>
          <w:trHeight w:val="290"/>
        </w:trPr>
        <w:tc>
          <w:tcPr>
            <w:tcW w:w="5160" w:type="dxa"/>
            <w:tcBorders>
              <w:top w:val="nil"/>
              <w:left w:val="nil"/>
              <w:bottom w:val="nil"/>
              <w:right w:val="nil"/>
            </w:tcBorders>
            <w:shd w:val="clear" w:color="auto" w:fill="auto"/>
            <w:vAlign w:val="center"/>
            <w:hideMark/>
          </w:tcPr>
          <w:p w14:paraId="6D88A8C0" w14:textId="77777777" w:rsidR="00D8083E" w:rsidRPr="00A202B4" w:rsidRDefault="00D8083E" w:rsidP="009A372A">
            <w:pPr>
              <w:rPr>
                <w:color w:val="000000"/>
                <w:sz w:val="18"/>
                <w:szCs w:val="18"/>
                <w:lang w:val="es-ES_tradnl"/>
              </w:rPr>
            </w:pPr>
            <w:r w:rsidRPr="00A202B4">
              <w:rPr>
                <w:color w:val="000000"/>
                <w:sz w:val="18"/>
                <w:szCs w:val="18"/>
                <w:lang w:val="es-ES_tradnl"/>
              </w:rPr>
              <w:t>Gastos de apoyo a los programas</w:t>
            </w:r>
          </w:p>
        </w:tc>
        <w:tc>
          <w:tcPr>
            <w:tcW w:w="1180" w:type="dxa"/>
            <w:tcBorders>
              <w:top w:val="nil"/>
              <w:left w:val="nil"/>
              <w:bottom w:val="nil"/>
              <w:right w:val="nil"/>
            </w:tcBorders>
            <w:shd w:val="clear" w:color="auto" w:fill="auto"/>
            <w:vAlign w:val="center"/>
            <w:hideMark/>
          </w:tcPr>
          <w:p w14:paraId="2EBEBC7F" w14:textId="77777777" w:rsidR="00D8083E" w:rsidRPr="00A202B4" w:rsidRDefault="00D8083E" w:rsidP="009A372A">
            <w:pPr>
              <w:jc w:val="right"/>
              <w:rPr>
                <w:color w:val="000000"/>
                <w:sz w:val="18"/>
                <w:szCs w:val="18"/>
                <w:lang w:val="es-ES_tradnl"/>
              </w:rPr>
            </w:pPr>
            <w:r w:rsidRPr="00A202B4">
              <w:rPr>
                <w:color w:val="000000"/>
                <w:sz w:val="18"/>
                <w:szCs w:val="18"/>
                <w:lang w:val="es-ES_tradnl"/>
              </w:rPr>
              <w:t>2 268,1</w:t>
            </w:r>
          </w:p>
        </w:tc>
        <w:tc>
          <w:tcPr>
            <w:tcW w:w="1180" w:type="dxa"/>
            <w:tcBorders>
              <w:top w:val="nil"/>
              <w:left w:val="nil"/>
              <w:bottom w:val="nil"/>
              <w:right w:val="nil"/>
            </w:tcBorders>
            <w:shd w:val="clear" w:color="auto" w:fill="auto"/>
            <w:vAlign w:val="center"/>
            <w:hideMark/>
          </w:tcPr>
          <w:p w14:paraId="66521998" w14:textId="77777777" w:rsidR="00D8083E" w:rsidRPr="00A202B4" w:rsidRDefault="00D8083E" w:rsidP="009A372A">
            <w:pPr>
              <w:jc w:val="right"/>
              <w:rPr>
                <w:color w:val="000000"/>
                <w:sz w:val="18"/>
                <w:szCs w:val="18"/>
                <w:lang w:val="es-ES_tradnl"/>
              </w:rPr>
            </w:pPr>
            <w:r w:rsidRPr="00A202B4">
              <w:rPr>
                <w:color w:val="000000"/>
                <w:sz w:val="18"/>
                <w:szCs w:val="18"/>
                <w:lang w:val="es-ES_tradnl"/>
              </w:rPr>
              <w:t>2 468,1</w:t>
            </w:r>
          </w:p>
        </w:tc>
        <w:tc>
          <w:tcPr>
            <w:tcW w:w="1180" w:type="dxa"/>
            <w:tcBorders>
              <w:top w:val="nil"/>
              <w:left w:val="nil"/>
              <w:bottom w:val="nil"/>
              <w:right w:val="nil"/>
            </w:tcBorders>
            <w:shd w:val="clear" w:color="auto" w:fill="auto"/>
            <w:vAlign w:val="center"/>
            <w:hideMark/>
          </w:tcPr>
          <w:p w14:paraId="76ACC4AA" w14:textId="77777777" w:rsidR="00D8083E" w:rsidRPr="00A202B4" w:rsidRDefault="00D8083E" w:rsidP="009A372A">
            <w:pPr>
              <w:jc w:val="right"/>
              <w:rPr>
                <w:b/>
                <w:bCs/>
                <w:color w:val="000000"/>
                <w:sz w:val="18"/>
                <w:szCs w:val="18"/>
                <w:lang w:val="es-ES_tradnl"/>
              </w:rPr>
            </w:pPr>
            <w:r w:rsidRPr="00A202B4">
              <w:rPr>
                <w:b/>
                <w:bCs/>
                <w:color w:val="000000"/>
                <w:sz w:val="18"/>
                <w:szCs w:val="18"/>
                <w:lang w:val="es-ES_tradnl"/>
              </w:rPr>
              <w:t>4 736,2</w:t>
            </w:r>
          </w:p>
        </w:tc>
      </w:tr>
      <w:tr w:rsidR="00D8083E" w:rsidRPr="00A202B4" w14:paraId="67D73532" w14:textId="77777777" w:rsidTr="009A372A">
        <w:trPr>
          <w:gridAfter w:val="2"/>
          <w:wAfter w:w="2360" w:type="dxa"/>
          <w:trHeight w:val="300"/>
        </w:trPr>
        <w:tc>
          <w:tcPr>
            <w:tcW w:w="5160" w:type="dxa"/>
            <w:tcBorders>
              <w:top w:val="nil"/>
              <w:left w:val="nil"/>
              <w:bottom w:val="nil"/>
              <w:right w:val="nil"/>
            </w:tcBorders>
            <w:shd w:val="clear" w:color="auto" w:fill="auto"/>
            <w:vAlign w:val="center"/>
            <w:hideMark/>
          </w:tcPr>
          <w:p w14:paraId="25AC3A68" w14:textId="77777777" w:rsidR="00D8083E" w:rsidRPr="00A202B4" w:rsidRDefault="00D8083E" w:rsidP="009A372A">
            <w:pPr>
              <w:rPr>
                <w:color w:val="000000"/>
                <w:sz w:val="18"/>
                <w:szCs w:val="18"/>
                <w:lang w:val="es-ES_tradnl"/>
              </w:rPr>
            </w:pPr>
            <w:r w:rsidRPr="00A202B4">
              <w:rPr>
                <w:color w:val="000000"/>
                <w:sz w:val="18"/>
                <w:szCs w:val="18"/>
                <w:lang w:val="es-ES_tradnl"/>
              </w:rPr>
              <w:t>Reserva operacional</w:t>
            </w:r>
          </w:p>
        </w:tc>
        <w:tc>
          <w:tcPr>
            <w:tcW w:w="1180" w:type="dxa"/>
            <w:tcBorders>
              <w:top w:val="nil"/>
              <w:left w:val="nil"/>
              <w:bottom w:val="nil"/>
              <w:right w:val="nil"/>
            </w:tcBorders>
            <w:shd w:val="clear" w:color="auto" w:fill="auto"/>
            <w:vAlign w:val="center"/>
            <w:hideMark/>
          </w:tcPr>
          <w:p w14:paraId="5B49794D" w14:textId="77777777" w:rsidR="00D8083E" w:rsidRPr="00A202B4" w:rsidRDefault="00D8083E" w:rsidP="009A372A">
            <w:pPr>
              <w:jc w:val="right"/>
              <w:rPr>
                <w:color w:val="000000"/>
                <w:sz w:val="18"/>
                <w:szCs w:val="18"/>
                <w:lang w:val="es-ES_tradnl"/>
              </w:rPr>
            </w:pPr>
            <w:r w:rsidRPr="00A202B4">
              <w:rPr>
                <w:color w:val="000000"/>
                <w:sz w:val="18"/>
                <w:szCs w:val="18"/>
                <w:lang w:val="es-ES_tradnl"/>
              </w:rPr>
              <w:t>216,4</w:t>
            </w:r>
          </w:p>
        </w:tc>
        <w:tc>
          <w:tcPr>
            <w:tcW w:w="1180" w:type="dxa"/>
            <w:tcBorders>
              <w:top w:val="nil"/>
              <w:left w:val="nil"/>
              <w:bottom w:val="nil"/>
              <w:right w:val="nil"/>
            </w:tcBorders>
            <w:shd w:val="clear" w:color="auto" w:fill="auto"/>
            <w:vAlign w:val="center"/>
            <w:hideMark/>
          </w:tcPr>
          <w:p w14:paraId="2CBF70CA" w14:textId="77777777" w:rsidR="00D8083E" w:rsidRPr="00A202B4" w:rsidRDefault="00D8083E" w:rsidP="009A372A">
            <w:pPr>
              <w:jc w:val="right"/>
              <w:rPr>
                <w:color w:val="000000"/>
                <w:sz w:val="18"/>
                <w:szCs w:val="18"/>
                <w:lang w:val="es-ES_tradnl"/>
              </w:rPr>
            </w:pPr>
            <w:r w:rsidRPr="00A202B4">
              <w:rPr>
                <w:color w:val="000000"/>
                <w:sz w:val="18"/>
                <w:szCs w:val="18"/>
                <w:lang w:val="es-ES_tradnl"/>
              </w:rPr>
              <w:t>260,8</w:t>
            </w:r>
          </w:p>
        </w:tc>
        <w:tc>
          <w:tcPr>
            <w:tcW w:w="1180" w:type="dxa"/>
            <w:tcBorders>
              <w:top w:val="nil"/>
              <w:left w:val="nil"/>
              <w:bottom w:val="nil"/>
              <w:right w:val="nil"/>
            </w:tcBorders>
            <w:shd w:val="clear" w:color="auto" w:fill="auto"/>
            <w:noWrap/>
            <w:vAlign w:val="center"/>
            <w:hideMark/>
          </w:tcPr>
          <w:p w14:paraId="4756CBDA" w14:textId="77777777" w:rsidR="00D8083E" w:rsidRPr="00A202B4" w:rsidRDefault="00D8083E" w:rsidP="009A372A">
            <w:pPr>
              <w:jc w:val="right"/>
              <w:rPr>
                <w:b/>
                <w:bCs/>
                <w:color w:val="000000"/>
                <w:sz w:val="18"/>
                <w:szCs w:val="18"/>
                <w:lang w:val="es-ES_tradnl"/>
              </w:rPr>
            </w:pPr>
            <w:r w:rsidRPr="00A202B4">
              <w:rPr>
                <w:b/>
                <w:bCs/>
                <w:color w:val="000000"/>
                <w:sz w:val="18"/>
                <w:szCs w:val="18"/>
                <w:lang w:val="es-ES_tradnl"/>
              </w:rPr>
              <w:t>477,2</w:t>
            </w:r>
          </w:p>
        </w:tc>
      </w:tr>
      <w:tr w:rsidR="00D8083E" w:rsidRPr="00A202B4" w14:paraId="1DA88DAE" w14:textId="77777777" w:rsidTr="009A372A">
        <w:trPr>
          <w:gridAfter w:val="2"/>
          <w:wAfter w:w="2360" w:type="dxa"/>
          <w:trHeight w:val="400"/>
        </w:trPr>
        <w:tc>
          <w:tcPr>
            <w:tcW w:w="5160" w:type="dxa"/>
            <w:tcBorders>
              <w:top w:val="single" w:sz="8" w:space="0" w:color="auto"/>
              <w:left w:val="nil"/>
              <w:bottom w:val="single" w:sz="8" w:space="0" w:color="auto"/>
              <w:right w:val="nil"/>
            </w:tcBorders>
            <w:shd w:val="clear" w:color="auto" w:fill="auto"/>
            <w:vAlign w:val="center"/>
            <w:hideMark/>
          </w:tcPr>
          <w:p w14:paraId="4620B88C" w14:textId="77777777" w:rsidR="00D8083E" w:rsidRPr="00A202B4" w:rsidRDefault="00D8083E" w:rsidP="009A372A">
            <w:pPr>
              <w:rPr>
                <w:b/>
                <w:bCs/>
                <w:color w:val="000000"/>
                <w:sz w:val="18"/>
                <w:szCs w:val="18"/>
                <w:lang w:val="es-ES_tradnl"/>
              </w:rPr>
            </w:pPr>
            <w:r w:rsidRPr="00A202B4">
              <w:rPr>
                <w:b/>
                <w:bCs/>
                <w:color w:val="000000"/>
                <w:sz w:val="18"/>
                <w:szCs w:val="18"/>
                <w:lang w:val="es-ES_tradnl"/>
              </w:rPr>
              <w:t>Requerimientos totales</w:t>
            </w:r>
          </w:p>
        </w:tc>
        <w:tc>
          <w:tcPr>
            <w:tcW w:w="1180" w:type="dxa"/>
            <w:tcBorders>
              <w:top w:val="single" w:sz="8" w:space="0" w:color="auto"/>
              <w:left w:val="nil"/>
              <w:bottom w:val="single" w:sz="8" w:space="0" w:color="auto"/>
              <w:right w:val="nil"/>
            </w:tcBorders>
            <w:shd w:val="clear" w:color="auto" w:fill="auto"/>
            <w:vAlign w:val="center"/>
            <w:hideMark/>
          </w:tcPr>
          <w:p w14:paraId="7054B696" w14:textId="77777777" w:rsidR="00D8083E" w:rsidRPr="00A202B4" w:rsidRDefault="00D8083E" w:rsidP="009A372A">
            <w:pPr>
              <w:jc w:val="right"/>
              <w:rPr>
                <w:b/>
                <w:bCs/>
                <w:color w:val="000000"/>
                <w:sz w:val="18"/>
                <w:szCs w:val="18"/>
                <w:lang w:val="es-ES_tradnl"/>
              </w:rPr>
            </w:pPr>
            <w:r w:rsidRPr="00A202B4">
              <w:rPr>
                <w:b/>
                <w:bCs/>
                <w:color w:val="000000"/>
                <w:sz w:val="18"/>
                <w:szCs w:val="18"/>
                <w:lang w:val="es-ES_tradnl"/>
              </w:rPr>
              <w:t>19 931,6</w:t>
            </w:r>
          </w:p>
        </w:tc>
        <w:tc>
          <w:tcPr>
            <w:tcW w:w="1180" w:type="dxa"/>
            <w:tcBorders>
              <w:top w:val="single" w:sz="8" w:space="0" w:color="auto"/>
              <w:left w:val="nil"/>
              <w:bottom w:val="single" w:sz="8" w:space="0" w:color="auto"/>
              <w:right w:val="nil"/>
            </w:tcBorders>
            <w:shd w:val="clear" w:color="auto" w:fill="auto"/>
            <w:vAlign w:val="center"/>
            <w:hideMark/>
          </w:tcPr>
          <w:p w14:paraId="7CED8FA0" w14:textId="77777777" w:rsidR="00D8083E" w:rsidRPr="00A202B4" w:rsidRDefault="00D8083E" w:rsidP="009A372A">
            <w:pPr>
              <w:jc w:val="right"/>
              <w:rPr>
                <w:b/>
                <w:bCs/>
                <w:color w:val="000000"/>
                <w:sz w:val="18"/>
                <w:szCs w:val="18"/>
                <w:lang w:val="es-ES_tradnl"/>
              </w:rPr>
            </w:pPr>
            <w:r w:rsidRPr="00A202B4">
              <w:rPr>
                <w:b/>
                <w:bCs/>
                <w:color w:val="000000"/>
                <w:sz w:val="18"/>
                <w:szCs w:val="18"/>
                <w:lang w:val="es-ES_tradnl"/>
              </w:rPr>
              <w:t>21 714,5</w:t>
            </w:r>
          </w:p>
        </w:tc>
        <w:tc>
          <w:tcPr>
            <w:tcW w:w="1180" w:type="dxa"/>
            <w:tcBorders>
              <w:top w:val="single" w:sz="8" w:space="0" w:color="auto"/>
              <w:left w:val="nil"/>
              <w:bottom w:val="single" w:sz="8" w:space="0" w:color="auto"/>
              <w:right w:val="nil"/>
            </w:tcBorders>
            <w:shd w:val="clear" w:color="auto" w:fill="auto"/>
            <w:vAlign w:val="center"/>
            <w:hideMark/>
          </w:tcPr>
          <w:p w14:paraId="40ABE622" w14:textId="77777777" w:rsidR="00D8083E" w:rsidRPr="00A202B4" w:rsidRDefault="00D8083E" w:rsidP="009A372A">
            <w:pPr>
              <w:jc w:val="right"/>
              <w:rPr>
                <w:b/>
                <w:bCs/>
                <w:color w:val="000000"/>
                <w:sz w:val="18"/>
                <w:szCs w:val="18"/>
                <w:lang w:val="es-ES_tradnl"/>
              </w:rPr>
            </w:pPr>
            <w:r w:rsidRPr="00A202B4">
              <w:rPr>
                <w:b/>
                <w:bCs/>
                <w:color w:val="000000"/>
                <w:sz w:val="18"/>
                <w:szCs w:val="18"/>
                <w:lang w:val="es-ES_tradnl"/>
              </w:rPr>
              <w:t>41 646,1</w:t>
            </w:r>
          </w:p>
        </w:tc>
      </w:tr>
      <w:tr w:rsidR="00D8083E" w:rsidRPr="00A202B4" w14:paraId="0AB3A988" w14:textId="77777777" w:rsidTr="009A372A">
        <w:trPr>
          <w:gridAfter w:val="2"/>
          <w:wAfter w:w="2360" w:type="dxa"/>
          <w:trHeight w:val="470"/>
        </w:trPr>
        <w:tc>
          <w:tcPr>
            <w:tcW w:w="5160" w:type="dxa"/>
            <w:tcBorders>
              <w:top w:val="nil"/>
              <w:left w:val="nil"/>
              <w:bottom w:val="single" w:sz="8" w:space="0" w:color="auto"/>
              <w:right w:val="nil"/>
            </w:tcBorders>
            <w:shd w:val="clear" w:color="auto" w:fill="auto"/>
            <w:vAlign w:val="center"/>
            <w:hideMark/>
          </w:tcPr>
          <w:p w14:paraId="66501231" w14:textId="77777777" w:rsidR="00D8083E" w:rsidRPr="00A202B4" w:rsidRDefault="00D8083E" w:rsidP="009A372A">
            <w:pPr>
              <w:rPr>
                <w:b/>
                <w:bCs/>
                <w:color w:val="000000"/>
                <w:sz w:val="18"/>
                <w:szCs w:val="18"/>
                <w:lang w:val="es-ES_tradnl"/>
              </w:rPr>
            </w:pPr>
            <w:r w:rsidRPr="00A202B4">
              <w:rPr>
                <w:b/>
                <w:bCs/>
                <w:color w:val="000000"/>
                <w:sz w:val="18"/>
                <w:szCs w:val="18"/>
                <w:lang w:val="es-ES_tradnl"/>
              </w:rPr>
              <w:t>Porcentaje del presupuesto integrado que corresponde al Protocolo de Cartagena (15%)</w:t>
            </w:r>
          </w:p>
        </w:tc>
        <w:tc>
          <w:tcPr>
            <w:tcW w:w="1180" w:type="dxa"/>
            <w:tcBorders>
              <w:top w:val="nil"/>
              <w:left w:val="nil"/>
              <w:bottom w:val="single" w:sz="8" w:space="0" w:color="auto"/>
              <w:right w:val="nil"/>
            </w:tcBorders>
            <w:shd w:val="clear" w:color="auto" w:fill="auto"/>
            <w:vAlign w:val="center"/>
            <w:hideMark/>
          </w:tcPr>
          <w:p w14:paraId="28D6D4AB" w14:textId="77777777" w:rsidR="00D8083E" w:rsidRPr="00A202B4" w:rsidRDefault="00D8083E" w:rsidP="009A372A">
            <w:pPr>
              <w:jc w:val="right"/>
              <w:rPr>
                <w:b/>
                <w:bCs/>
                <w:color w:val="000000"/>
                <w:sz w:val="18"/>
                <w:szCs w:val="18"/>
                <w:lang w:val="es-ES_tradnl"/>
              </w:rPr>
            </w:pPr>
            <w:r w:rsidRPr="00A202B4">
              <w:rPr>
                <w:b/>
                <w:bCs/>
                <w:color w:val="000000"/>
                <w:sz w:val="18"/>
                <w:szCs w:val="18"/>
                <w:lang w:val="es-ES_tradnl"/>
              </w:rPr>
              <w:t>2 989,7</w:t>
            </w:r>
          </w:p>
        </w:tc>
        <w:tc>
          <w:tcPr>
            <w:tcW w:w="1180" w:type="dxa"/>
            <w:tcBorders>
              <w:top w:val="nil"/>
              <w:left w:val="nil"/>
              <w:bottom w:val="single" w:sz="8" w:space="0" w:color="auto"/>
              <w:right w:val="nil"/>
            </w:tcBorders>
            <w:shd w:val="clear" w:color="auto" w:fill="auto"/>
            <w:vAlign w:val="center"/>
            <w:hideMark/>
          </w:tcPr>
          <w:p w14:paraId="54A9690E" w14:textId="77777777" w:rsidR="00D8083E" w:rsidRPr="00A202B4" w:rsidRDefault="00D8083E" w:rsidP="009A372A">
            <w:pPr>
              <w:jc w:val="right"/>
              <w:rPr>
                <w:b/>
                <w:bCs/>
                <w:color w:val="000000"/>
                <w:sz w:val="18"/>
                <w:szCs w:val="18"/>
                <w:lang w:val="es-ES_tradnl"/>
              </w:rPr>
            </w:pPr>
            <w:r w:rsidRPr="00A202B4">
              <w:rPr>
                <w:b/>
                <w:bCs/>
                <w:color w:val="000000"/>
                <w:sz w:val="18"/>
                <w:szCs w:val="18"/>
                <w:lang w:val="es-ES_tradnl"/>
              </w:rPr>
              <w:t>3 257,2</w:t>
            </w:r>
          </w:p>
        </w:tc>
        <w:tc>
          <w:tcPr>
            <w:tcW w:w="1180" w:type="dxa"/>
            <w:tcBorders>
              <w:top w:val="nil"/>
              <w:left w:val="nil"/>
              <w:bottom w:val="single" w:sz="8" w:space="0" w:color="auto"/>
              <w:right w:val="nil"/>
            </w:tcBorders>
            <w:shd w:val="clear" w:color="auto" w:fill="auto"/>
            <w:vAlign w:val="center"/>
            <w:hideMark/>
          </w:tcPr>
          <w:p w14:paraId="02301C20" w14:textId="77777777" w:rsidR="00D8083E" w:rsidRPr="00A202B4" w:rsidRDefault="00D8083E" w:rsidP="009A372A">
            <w:pPr>
              <w:jc w:val="right"/>
              <w:rPr>
                <w:b/>
                <w:bCs/>
                <w:color w:val="000000"/>
                <w:sz w:val="18"/>
                <w:szCs w:val="18"/>
                <w:lang w:val="es-ES_tradnl"/>
              </w:rPr>
            </w:pPr>
            <w:r w:rsidRPr="00A202B4">
              <w:rPr>
                <w:b/>
                <w:bCs/>
                <w:color w:val="000000"/>
                <w:sz w:val="18"/>
                <w:szCs w:val="18"/>
                <w:lang w:val="es-ES_tradnl"/>
              </w:rPr>
              <w:t>6 246,9</w:t>
            </w:r>
          </w:p>
        </w:tc>
      </w:tr>
      <w:tr w:rsidR="00D8083E" w:rsidRPr="00A202B4" w14:paraId="5E847400" w14:textId="77777777" w:rsidTr="009A372A">
        <w:trPr>
          <w:gridAfter w:val="2"/>
          <w:wAfter w:w="2360" w:type="dxa"/>
          <w:trHeight w:val="290"/>
        </w:trPr>
        <w:tc>
          <w:tcPr>
            <w:tcW w:w="5160" w:type="dxa"/>
            <w:tcBorders>
              <w:top w:val="nil"/>
              <w:left w:val="nil"/>
              <w:bottom w:val="nil"/>
              <w:right w:val="nil"/>
            </w:tcBorders>
            <w:shd w:val="clear" w:color="auto" w:fill="auto"/>
            <w:vAlign w:val="center"/>
            <w:hideMark/>
          </w:tcPr>
          <w:p w14:paraId="297B78D6" w14:textId="77777777" w:rsidR="00D8083E" w:rsidRPr="00A202B4" w:rsidRDefault="00D8083E" w:rsidP="009A372A">
            <w:pPr>
              <w:rPr>
                <w:color w:val="000000"/>
                <w:sz w:val="18"/>
                <w:szCs w:val="18"/>
                <w:lang w:val="es-ES_tradnl"/>
              </w:rPr>
            </w:pPr>
            <w:r w:rsidRPr="00A202B4">
              <w:rPr>
                <w:color w:val="000000"/>
                <w:sz w:val="18"/>
                <w:szCs w:val="18"/>
                <w:lang w:val="es-ES_tradnl"/>
              </w:rPr>
              <w:t>Menos las contribuciones del país anfitrión</w:t>
            </w:r>
          </w:p>
        </w:tc>
        <w:tc>
          <w:tcPr>
            <w:tcW w:w="1180" w:type="dxa"/>
            <w:tcBorders>
              <w:top w:val="nil"/>
              <w:left w:val="nil"/>
              <w:bottom w:val="nil"/>
              <w:right w:val="nil"/>
            </w:tcBorders>
            <w:shd w:val="clear" w:color="auto" w:fill="auto"/>
            <w:vAlign w:val="center"/>
            <w:hideMark/>
          </w:tcPr>
          <w:p w14:paraId="00D77D95" w14:textId="77777777" w:rsidR="00D8083E" w:rsidRPr="00A202B4" w:rsidRDefault="00D8083E" w:rsidP="009A372A">
            <w:pPr>
              <w:jc w:val="right"/>
              <w:rPr>
                <w:color w:val="000000"/>
                <w:sz w:val="18"/>
                <w:szCs w:val="18"/>
                <w:lang w:val="es-ES_tradnl"/>
              </w:rPr>
            </w:pPr>
            <w:r w:rsidRPr="00A202B4">
              <w:rPr>
                <w:color w:val="000000"/>
                <w:sz w:val="18"/>
                <w:szCs w:val="18"/>
                <w:lang w:val="es-ES_tradnl"/>
              </w:rPr>
              <w:t>-245,0</w:t>
            </w:r>
          </w:p>
        </w:tc>
        <w:tc>
          <w:tcPr>
            <w:tcW w:w="1180" w:type="dxa"/>
            <w:tcBorders>
              <w:top w:val="nil"/>
              <w:left w:val="nil"/>
              <w:bottom w:val="nil"/>
              <w:right w:val="nil"/>
            </w:tcBorders>
            <w:shd w:val="clear" w:color="auto" w:fill="auto"/>
            <w:vAlign w:val="center"/>
            <w:hideMark/>
          </w:tcPr>
          <w:p w14:paraId="65F96B2C" w14:textId="77777777" w:rsidR="00D8083E" w:rsidRPr="00A202B4" w:rsidRDefault="00D8083E" w:rsidP="009A372A">
            <w:pPr>
              <w:jc w:val="right"/>
              <w:rPr>
                <w:color w:val="000000"/>
                <w:sz w:val="18"/>
                <w:szCs w:val="18"/>
                <w:lang w:val="es-ES_tradnl"/>
              </w:rPr>
            </w:pPr>
            <w:r w:rsidRPr="00A202B4">
              <w:rPr>
                <w:color w:val="000000"/>
                <w:sz w:val="18"/>
                <w:szCs w:val="18"/>
                <w:lang w:val="es-ES_tradnl"/>
              </w:rPr>
              <w:t>-249,7</w:t>
            </w:r>
          </w:p>
        </w:tc>
        <w:tc>
          <w:tcPr>
            <w:tcW w:w="1180" w:type="dxa"/>
            <w:tcBorders>
              <w:top w:val="nil"/>
              <w:left w:val="nil"/>
              <w:bottom w:val="nil"/>
              <w:right w:val="nil"/>
            </w:tcBorders>
            <w:shd w:val="clear" w:color="auto" w:fill="auto"/>
            <w:vAlign w:val="center"/>
            <w:hideMark/>
          </w:tcPr>
          <w:p w14:paraId="2C91555C" w14:textId="77777777" w:rsidR="00D8083E" w:rsidRPr="00A202B4" w:rsidRDefault="00D8083E" w:rsidP="009A372A">
            <w:pPr>
              <w:jc w:val="right"/>
              <w:rPr>
                <w:b/>
                <w:bCs/>
                <w:color w:val="000000"/>
                <w:sz w:val="18"/>
                <w:szCs w:val="18"/>
                <w:lang w:val="es-ES_tradnl"/>
              </w:rPr>
            </w:pPr>
            <w:r w:rsidRPr="00A202B4">
              <w:rPr>
                <w:b/>
                <w:bCs/>
                <w:color w:val="000000"/>
                <w:sz w:val="18"/>
                <w:szCs w:val="18"/>
                <w:lang w:val="es-ES_tradnl"/>
              </w:rPr>
              <w:t>-494,7</w:t>
            </w:r>
          </w:p>
        </w:tc>
      </w:tr>
      <w:tr w:rsidR="00D8083E" w:rsidRPr="00A202B4" w14:paraId="3906E456" w14:textId="77777777" w:rsidTr="009A372A">
        <w:trPr>
          <w:gridAfter w:val="2"/>
          <w:wAfter w:w="2360" w:type="dxa"/>
          <w:trHeight w:val="300"/>
        </w:trPr>
        <w:tc>
          <w:tcPr>
            <w:tcW w:w="5160" w:type="dxa"/>
            <w:tcBorders>
              <w:top w:val="nil"/>
              <w:left w:val="nil"/>
              <w:bottom w:val="single" w:sz="8" w:space="0" w:color="auto"/>
              <w:right w:val="nil"/>
            </w:tcBorders>
            <w:shd w:val="clear" w:color="auto" w:fill="auto"/>
            <w:vAlign w:val="center"/>
            <w:hideMark/>
          </w:tcPr>
          <w:p w14:paraId="1A630C14" w14:textId="77777777" w:rsidR="00D8083E" w:rsidRPr="00A202B4" w:rsidRDefault="00D8083E" w:rsidP="009A372A">
            <w:pPr>
              <w:rPr>
                <w:color w:val="000000"/>
                <w:sz w:val="18"/>
                <w:szCs w:val="18"/>
                <w:lang w:val="es-ES_tradnl"/>
              </w:rPr>
            </w:pPr>
            <w:r w:rsidRPr="00A202B4">
              <w:rPr>
                <w:color w:val="000000"/>
                <w:sz w:val="18"/>
                <w:szCs w:val="18"/>
                <w:lang w:val="es-ES_tradnl"/>
              </w:rPr>
              <w:t xml:space="preserve">Menos los fondos de reserva </w:t>
            </w:r>
          </w:p>
        </w:tc>
        <w:tc>
          <w:tcPr>
            <w:tcW w:w="1180" w:type="dxa"/>
            <w:tcBorders>
              <w:top w:val="nil"/>
              <w:left w:val="nil"/>
              <w:bottom w:val="single" w:sz="8" w:space="0" w:color="auto"/>
              <w:right w:val="nil"/>
            </w:tcBorders>
            <w:shd w:val="clear" w:color="auto" w:fill="auto"/>
            <w:vAlign w:val="center"/>
            <w:hideMark/>
          </w:tcPr>
          <w:p w14:paraId="64D31A34" w14:textId="77777777" w:rsidR="00D8083E" w:rsidRPr="00A202B4" w:rsidRDefault="00D8083E" w:rsidP="009A372A">
            <w:pPr>
              <w:jc w:val="right"/>
              <w:rPr>
                <w:color w:val="000000"/>
                <w:sz w:val="18"/>
                <w:szCs w:val="18"/>
                <w:lang w:val="es-ES_tradnl"/>
              </w:rPr>
            </w:pPr>
            <w:r w:rsidRPr="00A202B4">
              <w:rPr>
                <w:color w:val="000000"/>
                <w:sz w:val="18"/>
                <w:szCs w:val="18"/>
                <w:lang w:val="es-ES_tradnl"/>
              </w:rPr>
              <w:t>-30,8</w:t>
            </w:r>
          </w:p>
        </w:tc>
        <w:tc>
          <w:tcPr>
            <w:tcW w:w="1180" w:type="dxa"/>
            <w:tcBorders>
              <w:top w:val="nil"/>
              <w:left w:val="nil"/>
              <w:bottom w:val="single" w:sz="8" w:space="0" w:color="auto"/>
              <w:right w:val="nil"/>
            </w:tcBorders>
            <w:shd w:val="clear" w:color="auto" w:fill="auto"/>
            <w:vAlign w:val="center"/>
            <w:hideMark/>
          </w:tcPr>
          <w:p w14:paraId="11A12CE9" w14:textId="77777777" w:rsidR="00D8083E" w:rsidRPr="00A202B4" w:rsidRDefault="00D8083E" w:rsidP="009A372A">
            <w:pPr>
              <w:jc w:val="right"/>
              <w:rPr>
                <w:color w:val="000000"/>
                <w:sz w:val="18"/>
                <w:szCs w:val="18"/>
                <w:lang w:val="es-ES_tradnl"/>
              </w:rPr>
            </w:pPr>
            <w:r w:rsidRPr="00A202B4">
              <w:rPr>
                <w:color w:val="000000"/>
                <w:sz w:val="18"/>
                <w:szCs w:val="18"/>
                <w:lang w:val="es-ES_tradnl"/>
              </w:rPr>
              <w:t>-30,8</w:t>
            </w:r>
          </w:p>
        </w:tc>
        <w:tc>
          <w:tcPr>
            <w:tcW w:w="1180" w:type="dxa"/>
            <w:tcBorders>
              <w:top w:val="nil"/>
              <w:left w:val="nil"/>
              <w:bottom w:val="nil"/>
              <w:right w:val="nil"/>
            </w:tcBorders>
            <w:shd w:val="clear" w:color="auto" w:fill="auto"/>
            <w:vAlign w:val="center"/>
            <w:hideMark/>
          </w:tcPr>
          <w:p w14:paraId="6F44AF53" w14:textId="77777777" w:rsidR="00D8083E" w:rsidRPr="00A202B4" w:rsidRDefault="00D8083E" w:rsidP="009A372A">
            <w:pPr>
              <w:jc w:val="right"/>
              <w:rPr>
                <w:b/>
                <w:bCs/>
                <w:color w:val="000000"/>
                <w:sz w:val="18"/>
                <w:szCs w:val="18"/>
                <w:lang w:val="es-ES_tradnl"/>
              </w:rPr>
            </w:pPr>
            <w:r w:rsidRPr="00A202B4">
              <w:rPr>
                <w:b/>
                <w:bCs/>
                <w:color w:val="000000"/>
                <w:sz w:val="18"/>
                <w:szCs w:val="18"/>
                <w:lang w:val="es-ES_tradnl"/>
              </w:rPr>
              <w:t>-61,6</w:t>
            </w:r>
          </w:p>
        </w:tc>
      </w:tr>
      <w:tr w:rsidR="00D8083E" w:rsidRPr="00A202B4" w14:paraId="236B885B" w14:textId="77777777" w:rsidTr="009A372A">
        <w:trPr>
          <w:gridAfter w:val="2"/>
          <w:wAfter w:w="2360" w:type="dxa"/>
          <w:trHeight w:val="470"/>
        </w:trPr>
        <w:tc>
          <w:tcPr>
            <w:tcW w:w="5160" w:type="dxa"/>
            <w:tcBorders>
              <w:top w:val="nil"/>
              <w:left w:val="nil"/>
              <w:bottom w:val="single" w:sz="8" w:space="0" w:color="auto"/>
              <w:right w:val="nil"/>
            </w:tcBorders>
            <w:shd w:val="clear" w:color="auto" w:fill="auto"/>
            <w:vAlign w:val="center"/>
            <w:hideMark/>
          </w:tcPr>
          <w:p w14:paraId="58728158" w14:textId="77777777" w:rsidR="00D8083E" w:rsidRPr="00A202B4" w:rsidRDefault="00D8083E" w:rsidP="009A372A">
            <w:pPr>
              <w:rPr>
                <w:b/>
                <w:bCs/>
                <w:i/>
                <w:iCs/>
                <w:color w:val="000000"/>
                <w:sz w:val="18"/>
                <w:szCs w:val="18"/>
                <w:lang w:val="es-ES_tradnl"/>
              </w:rPr>
            </w:pPr>
            <w:r w:rsidRPr="00A202B4">
              <w:rPr>
                <w:b/>
                <w:bCs/>
                <w:i/>
                <w:iCs/>
                <w:color w:val="000000"/>
                <w:sz w:val="18"/>
                <w:szCs w:val="18"/>
                <w:lang w:val="es-ES_tradnl"/>
              </w:rPr>
              <w:t>Total neto (a dividir entre las Partes)</w:t>
            </w:r>
          </w:p>
        </w:tc>
        <w:tc>
          <w:tcPr>
            <w:tcW w:w="1180" w:type="dxa"/>
            <w:tcBorders>
              <w:top w:val="nil"/>
              <w:left w:val="nil"/>
              <w:bottom w:val="single" w:sz="8" w:space="0" w:color="auto"/>
              <w:right w:val="nil"/>
            </w:tcBorders>
            <w:shd w:val="clear" w:color="auto" w:fill="auto"/>
            <w:vAlign w:val="center"/>
            <w:hideMark/>
          </w:tcPr>
          <w:p w14:paraId="3BD8FF76" w14:textId="77777777" w:rsidR="00D8083E" w:rsidRPr="00A202B4" w:rsidRDefault="00D8083E" w:rsidP="009A372A">
            <w:pPr>
              <w:jc w:val="right"/>
              <w:rPr>
                <w:b/>
                <w:bCs/>
                <w:i/>
                <w:iCs/>
                <w:color w:val="000000"/>
                <w:sz w:val="18"/>
                <w:szCs w:val="18"/>
                <w:lang w:val="es-ES_tradnl"/>
              </w:rPr>
            </w:pPr>
            <w:r w:rsidRPr="00A202B4">
              <w:rPr>
                <w:b/>
                <w:bCs/>
                <w:i/>
                <w:iCs/>
                <w:color w:val="000000"/>
                <w:sz w:val="18"/>
                <w:szCs w:val="18"/>
                <w:lang w:val="es-ES_tradnl"/>
              </w:rPr>
              <w:t>2 713,9</w:t>
            </w:r>
          </w:p>
        </w:tc>
        <w:tc>
          <w:tcPr>
            <w:tcW w:w="1180" w:type="dxa"/>
            <w:tcBorders>
              <w:top w:val="nil"/>
              <w:left w:val="nil"/>
              <w:bottom w:val="single" w:sz="8" w:space="0" w:color="auto"/>
              <w:right w:val="nil"/>
            </w:tcBorders>
            <w:shd w:val="clear" w:color="auto" w:fill="auto"/>
            <w:vAlign w:val="center"/>
            <w:hideMark/>
          </w:tcPr>
          <w:p w14:paraId="0ECD1A54" w14:textId="77777777" w:rsidR="00D8083E" w:rsidRPr="00A202B4" w:rsidRDefault="00D8083E" w:rsidP="009A372A">
            <w:pPr>
              <w:jc w:val="right"/>
              <w:rPr>
                <w:b/>
                <w:bCs/>
                <w:i/>
                <w:iCs/>
                <w:color w:val="000000"/>
                <w:sz w:val="18"/>
                <w:szCs w:val="18"/>
                <w:lang w:val="es-ES_tradnl"/>
              </w:rPr>
            </w:pPr>
            <w:r w:rsidRPr="00A202B4">
              <w:rPr>
                <w:b/>
                <w:bCs/>
                <w:i/>
                <w:iCs/>
                <w:color w:val="000000"/>
                <w:sz w:val="18"/>
                <w:szCs w:val="18"/>
                <w:lang w:val="es-ES_tradnl"/>
              </w:rPr>
              <w:t>2 976,7</w:t>
            </w:r>
          </w:p>
        </w:tc>
        <w:tc>
          <w:tcPr>
            <w:tcW w:w="1180" w:type="dxa"/>
            <w:tcBorders>
              <w:top w:val="single" w:sz="8" w:space="0" w:color="auto"/>
              <w:left w:val="nil"/>
              <w:bottom w:val="single" w:sz="8" w:space="0" w:color="auto"/>
              <w:right w:val="nil"/>
            </w:tcBorders>
            <w:shd w:val="clear" w:color="auto" w:fill="auto"/>
            <w:vAlign w:val="center"/>
            <w:hideMark/>
          </w:tcPr>
          <w:p w14:paraId="6D77AE6D" w14:textId="77777777" w:rsidR="00D8083E" w:rsidRPr="00A202B4" w:rsidRDefault="00D8083E" w:rsidP="009A372A">
            <w:pPr>
              <w:jc w:val="right"/>
              <w:rPr>
                <w:b/>
                <w:bCs/>
                <w:i/>
                <w:iCs/>
                <w:color w:val="000000"/>
                <w:sz w:val="18"/>
                <w:szCs w:val="18"/>
                <w:lang w:val="es-ES_tradnl"/>
              </w:rPr>
            </w:pPr>
            <w:r w:rsidRPr="00A202B4">
              <w:rPr>
                <w:b/>
                <w:bCs/>
                <w:i/>
                <w:iCs/>
                <w:color w:val="000000"/>
                <w:sz w:val="18"/>
                <w:szCs w:val="18"/>
                <w:lang w:val="es-ES_tradnl"/>
              </w:rPr>
              <w:t>5 690,6</w:t>
            </w:r>
          </w:p>
        </w:tc>
      </w:tr>
    </w:tbl>
    <w:p w14:paraId="39061F2B" w14:textId="77777777" w:rsidR="00D8083E" w:rsidRPr="00A202B4" w:rsidRDefault="00D8083E" w:rsidP="00D8083E">
      <w:pPr>
        <w:spacing w:after="160" w:line="259" w:lineRule="auto"/>
        <w:jc w:val="left"/>
        <w:rPr>
          <w:b/>
          <w:color w:val="000000" w:themeColor="text1"/>
          <w:kern w:val="20"/>
          <w:lang w:val="es-ES_tradnl"/>
        </w:rPr>
      </w:pPr>
      <w:r w:rsidRPr="00A202B4">
        <w:rPr>
          <w:b/>
          <w:color w:val="000000" w:themeColor="text1"/>
          <w:kern w:val="20"/>
          <w:lang w:val="es-ES_tradnl"/>
        </w:rPr>
        <w:br w:type="page"/>
      </w:r>
    </w:p>
    <w:p w14:paraId="3AE6894A" w14:textId="4086EBD0" w:rsidR="00D8083E" w:rsidRPr="00A202B4" w:rsidRDefault="00D8083E" w:rsidP="00010866">
      <w:pPr>
        <w:keepNext/>
        <w:tabs>
          <w:tab w:val="left" w:pos="1080"/>
        </w:tabs>
        <w:spacing w:after="120"/>
        <w:ind w:left="1080" w:hanging="1080"/>
        <w:jc w:val="left"/>
        <w:rPr>
          <w:rFonts w:ascii="Times New Roman Bold" w:hAnsi="Times New Roman Bold" w:cs="Times New Roman Bold"/>
          <w:b/>
          <w:color w:val="000000" w:themeColor="text1"/>
          <w:kern w:val="20"/>
          <w:szCs w:val="22"/>
          <w:vertAlign w:val="superscript"/>
          <w:lang w:val="es-ES_tradnl"/>
        </w:rPr>
      </w:pPr>
      <w:r w:rsidRPr="00A202B4">
        <w:rPr>
          <w:b/>
          <w:color w:val="000000" w:themeColor="text1"/>
          <w:kern w:val="20"/>
          <w:lang w:val="es-ES_tradnl"/>
        </w:rPr>
        <w:lastRenderedPageBreak/>
        <w:t xml:space="preserve">Cuadro </w:t>
      </w:r>
      <w:r w:rsidRPr="00A202B4">
        <w:rPr>
          <w:b/>
          <w:kern w:val="20"/>
          <w:lang w:val="es-ES_tradnl"/>
        </w:rPr>
        <w:t>2</w:t>
      </w:r>
      <w:r w:rsidRPr="00A202B4">
        <w:rPr>
          <w:b/>
          <w:color w:val="000000" w:themeColor="text1"/>
          <w:kern w:val="20"/>
          <w:lang w:val="es-ES_tradnl"/>
        </w:rPr>
        <w:t>.</w:t>
      </w:r>
      <w:r w:rsidR="00010866" w:rsidRPr="00A202B4">
        <w:rPr>
          <w:b/>
          <w:color w:val="000000" w:themeColor="text1"/>
          <w:kern w:val="20"/>
          <w:lang w:val="es-ES_tradnl"/>
        </w:rPr>
        <w:tab/>
      </w:r>
      <w:r w:rsidRPr="00A202B4">
        <w:rPr>
          <w:b/>
          <w:szCs w:val="22"/>
          <w:lang w:val="es-ES_tradnl"/>
        </w:rPr>
        <w:t>Contribuciones al Fondo Fiduciario para el Protocolo de Cartagena sobre Seguridad</w:t>
      </w:r>
      <w:r w:rsidR="00010866" w:rsidRPr="00A202B4">
        <w:rPr>
          <w:b/>
          <w:szCs w:val="22"/>
          <w:lang w:val="es-ES_tradnl"/>
        </w:rPr>
        <w:br/>
      </w:r>
      <w:r w:rsidRPr="00A202B4">
        <w:rPr>
          <w:b/>
          <w:szCs w:val="22"/>
          <w:lang w:val="es-ES_tradnl"/>
        </w:rPr>
        <w:t>de la</w:t>
      </w:r>
      <w:r w:rsidR="00010866" w:rsidRPr="00A202B4">
        <w:rPr>
          <w:b/>
          <w:szCs w:val="22"/>
          <w:lang w:val="es-ES_tradnl"/>
        </w:rPr>
        <w:t xml:space="preserve"> </w:t>
      </w:r>
      <w:r w:rsidRPr="00A202B4">
        <w:rPr>
          <w:b/>
          <w:szCs w:val="22"/>
          <w:lang w:val="es-ES_tradnl"/>
        </w:rPr>
        <w:t xml:space="preserve">Biotecnología para el bienio </w:t>
      </w:r>
      <w:r w:rsidRPr="00A202B4">
        <w:rPr>
          <w:b/>
          <w:color w:val="000000" w:themeColor="text1"/>
          <w:kern w:val="20"/>
          <w:szCs w:val="22"/>
          <w:lang w:val="es-ES_tradnl"/>
        </w:rPr>
        <w:t>2023-2024</w:t>
      </w:r>
      <w:r w:rsidRPr="00A202B4">
        <w:rPr>
          <w:rStyle w:val="FootnoteReference"/>
          <w:rFonts w:ascii="Times New Roman Bold" w:hAnsi="Times New Roman Bold" w:cs="Times New Roman Bold"/>
          <w:bCs/>
          <w:color w:val="000000" w:themeColor="text1"/>
          <w:kern w:val="20"/>
          <w:sz w:val="22"/>
          <w:szCs w:val="22"/>
          <w:u w:val="none"/>
          <w:vertAlign w:val="superscript"/>
          <w:lang w:val="es-ES_tradnl"/>
        </w:rPr>
        <w:footnoteReference w:id="49"/>
      </w:r>
    </w:p>
    <w:tbl>
      <w:tblPr>
        <w:tblW w:w="10138" w:type="dxa"/>
        <w:tblLook w:val="04A0" w:firstRow="1" w:lastRow="0" w:firstColumn="1" w:lastColumn="0" w:noHBand="0" w:noVBand="1"/>
      </w:tblPr>
      <w:tblGrid>
        <w:gridCol w:w="4040"/>
        <w:gridCol w:w="1180"/>
        <w:gridCol w:w="1180"/>
        <w:gridCol w:w="1279"/>
        <w:gridCol w:w="1279"/>
        <w:gridCol w:w="1180"/>
      </w:tblGrid>
      <w:tr w:rsidR="00D8083E" w:rsidRPr="00A202B4" w14:paraId="4139FC96" w14:textId="77777777" w:rsidTr="009A372A">
        <w:trPr>
          <w:trHeight w:val="433"/>
          <w:tblHeader/>
        </w:trPr>
        <w:tc>
          <w:tcPr>
            <w:tcW w:w="4040" w:type="dxa"/>
            <w:vMerge w:val="restart"/>
            <w:tcBorders>
              <w:top w:val="single" w:sz="4" w:space="0" w:color="auto"/>
              <w:left w:val="single" w:sz="4" w:space="0" w:color="auto"/>
              <w:bottom w:val="single" w:sz="4" w:space="0" w:color="auto"/>
              <w:right w:val="single" w:sz="4" w:space="0" w:color="auto"/>
            </w:tcBorders>
            <w:shd w:val="clear" w:color="000000" w:fill="auto"/>
            <w:noWrap/>
            <w:tcMar>
              <w:left w:w="115" w:type="dxa"/>
              <w:right w:w="115" w:type="dxa"/>
            </w:tcMar>
            <w:vAlign w:val="bottom"/>
            <w:hideMark/>
          </w:tcPr>
          <w:p w14:paraId="392DBF77" w14:textId="77777777" w:rsidR="00D8083E" w:rsidRPr="00A202B4" w:rsidRDefault="00D8083E" w:rsidP="009A372A">
            <w:pPr>
              <w:jc w:val="center"/>
              <w:rPr>
                <w:b/>
                <w:bCs/>
                <w:sz w:val="18"/>
                <w:szCs w:val="18"/>
                <w:lang w:val="es-ES_tradnl" w:eastAsia="zh-CN"/>
              </w:rPr>
            </w:pPr>
            <w:r w:rsidRPr="00A202B4">
              <w:rPr>
                <w:b/>
                <w:bCs/>
                <w:sz w:val="18"/>
                <w:szCs w:val="18"/>
                <w:lang w:val="es-ES_tradnl" w:eastAsia="zh-CN"/>
              </w:rPr>
              <w:t>Parte</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auto"/>
            <w:tcMar>
              <w:left w:w="115" w:type="dxa"/>
              <w:right w:w="115" w:type="dxa"/>
            </w:tcMar>
            <w:vAlign w:val="bottom"/>
            <w:hideMark/>
          </w:tcPr>
          <w:p w14:paraId="2B16FB11" w14:textId="77777777" w:rsidR="00D8083E" w:rsidRPr="00A202B4" w:rsidRDefault="00D8083E" w:rsidP="009A372A">
            <w:pPr>
              <w:jc w:val="center"/>
              <w:rPr>
                <w:b/>
                <w:bCs/>
                <w:sz w:val="16"/>
                <w:szCs w:val="16"/>
                <w:lang w:val="es-ES_tradnl" w:eastAsia="zh-CN"/>
              </w:rPr>
            </w:pPr>
            <w:r w:rsidRPr="00A202B4">
              <w:rPr>
                <w:b/>
                <w:bCs/>
                <w:sz w:val="16"/>
                <w:szCs w:val="16"/>
                <w:lang w:val="es-ES_tradnl" w:eastAsia="zh-CN"/>
              </w:rPr>
              <w:t xml:space="preserve">Escala de cuotas </w:t>
            </w:r>
            <w:r w:rsidRPr="00A202B4">
              <w:rPr>
                <w:b/>
                <w:bCs/>
                <w:sz w:val="16"/>
                <w:szCs w:val="16"/>
                <w:lang w:val="es-ES_tradnl" w:eastAsia="zh-CN"/>
              </w:rPr>
              <w:br/>
              <w:t>2022-2024</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auto"/>
            <w:tcMar>
              <w:left w:w="115" w:type="dxa"/>
              <w:right w:w="115" w:type="dxa"/>
            </w:tcMar>
            <w:vAlign w:val="bottom"/>
            <w:hideMark/>
          </w:tcPr>
          <w:p w14:paraId="2BAA95EA" w14:textId="77777777" w:rsidR="00D8083E" w:rsidRPr="00A202B4" w:rsidRDefault="00D8083E" w:rsidP="009A372A">
            <w:pPr>
              <w:jc w:val="center"/>
              <w:rPr>
                <w:b/>
                <w:bCs/>
                <w:sz w:val="16"/>
                <w:szCs w:val="16"/>
                <w:lang w:val="es-ES_tradnl" w:eastAsia="zh-CN"/>
              </w:rPr>
            </w:pPr>
            <w:r w:rsidRPr="00A202B4">
              <w:rPr>
                <w:b/>
                <w:bCs/>
                <w:sz w:val="16"/>
                <w:szCs w:val="16"/>
                <w:lang w:val="es-ES_tradnl" w:eastAsia="zh-CN"/>
              </w:rPr>
              <w:t>Escala con tope del 22 %, ningún PMA paga más</w:t>
            </w:r>
          </w:p>
          <w:p w14:paraId="4A460A93" w14:textId="77777777" w:rsidR="00D8083E" w:rsidRPr="00A202B4" w:rsidRDefault="00D8083E" w:rsidP="009A372A">
            <w:pPr>
              <w:jc w:val="center"/>
              <w:rPr>
                <w:b/>
                <w:bCs/>
                <w:sz w:val="16"/>
                <w:szCs w:val="16"/>
                <w:lang w:val="es-ES_tradnl" w:eastAsia="zh-CN"/>
              </w:rPr>
            </w:pPr>
            <w:r w:rsidRPr="00A202B4">
              <w:rPr>
                <w:b/>
                <w:bCs/>
                <w:sz w:val="16"/>
                <w:szCs w:val="16"/>
                <w:lang w:val="es-ES_tradnl" w:eastAsia="zh-CN"/>
              </w:rPr>
              <w:t>del 0,01 %</w:t>
            </w:r>
          </w:p>
        </w:tc>
        <w:tc>
          <w:tcPr>
            <w:tcW w:w="1279" w:type="dxa"/>
            <w:vMerge w:val="restart"/>
            <w:tcBorders>
              <w:top w:val="single" w:sz="4" w:space="0" w:color="auto"/>
              <w:left w:val="single" w:sz="4" w:space="0" w:color="auto"/>
              <w:bottom w:val="single" w:sz="4" w:space="0" w:color="auto"/>
              <w:right w:val="single" w:sz="4" w:space="0" w:color="auto"/>
            </w:tcBorders>
            <w:shd w:val="clear" w:color="000000" w:fill="auto"/>
            <w:tcMar>
              <w:left w:w="115" w:type="dxa"/>
              <w:right w:w="115" w:type="dxa"/>
            </w:tcMar>
            <w:vAlign w:val="bottom"/>
            <w:hideMark/>
          </w:tcPr>
          <w:p w14:paraId="7C1077B3" w14:textId="77777777" w:rsidR="00D8083E" w:rsidRPr="00A202B4" w:rsidRDefault="00D8083E" w:rsidP="009A372A">
            <w:pPr>
              <w:jc w:val="center"/>
              <w:rPr>
                <w:b/>
                <w:bCs/>
                <w:sz w:val="16"/>
                <w:szCs w:val="16"/>
                <w:lang w:val="es-ES_tradnl" w:eastAsia="zh-CN"/>
              </w:rPr>
            </w:pPr>
            <w:r w:rsidRPr="00A202B4">
              <w:rPr>
                <w:b/>
                <w:bCs/>
                <w:sz w:val="16"/>
                <w:szCs w:val="16"/>
                <w:lang w:val="es-ES_tradnl" w:eastAsia="zh-CN"/>
              </w:rPr>
              <w:t>Contribuciones pendientes a 1 de enero de 2023</w:t>
            </w:r>
            <w:r w:rsidRPr="00A202B4">
              <w:rPr>
                <w:b/>
                <w:bCs/>
                <w:sz w:val="16"/>
                <w:szCs w:val="16"/>
                <w:lang w:val="es-ES_tradnl" w:eastAsia="zh-CN"/>
              </w:rPr>
              <w:br/>
              <w:t>(Dólares de los EE.UU.)</w:t>
            </w:r>
          </w:p>
        </w:tc>
        <w:tc>
          <w:tcPr>
            <w:tcW w:w="1279" w:type="dxa"/>
            <w:vMerge w:val="restart"/>
            <w:tcBorders>
              <w:top w:val="single" w:sz="4" w:space="0" w:color="auto"/>
              <w:left w:val="single" w:sz="4" w:space="0" w:color="auto"/>
              <w:bottom w:val="single" w:sz="4" w:space="0" w:color="auto"/>
              <w:right w:val="single" w:sz="4" w:space="0" w:color="auto"/>
            </w:tcBorders>
            <w:shd w:val="clear" w:color="000000" w:fill="auto"/>
            <w:tcMar>
              <w:left w:w="115" w:type="dxa"/>
              <w:right w:w="115" w:type="dxa"/>
            </w:tcMar>
            <w:vAlign w:val="bottom"/>
            <w:hideMark/>
          </w:tcPr>
          <w:p w14:paraId="1ECD071D" w14:textId="77777777" w:rsidR="00D8083E" w:rsidRPr="00A202B4" w:rsidRDefault="00D8083E" w:rsidP="009A372A">
            <w:pPr>
              <w:jc w:val="center"/>
              <w:rPr>
                <w:b/>
                <w:bCs/>
                <w:color w:val="000000"/>
                <w:sz w:val="16"/>
                <w:szCs w:val="16"/>
                <w:lang w:val="es-ES_tradnl" w:eastAsia="zh-CN"/>
              </w:rPr>
            </w:pPr>
            <w:r w:rsidRPr="00A202B4">
              <w:rPr>
                <w:b/>
                <w:bCs/>
                <w:sz w:val="16"/>
                <w:szCs w:val="16"/>
                <w:lang w:val="es-ES_tradnl" w:eastAsia="zh-CN"/>
              </w:rPr>
              <w:t>Contribuciones pendientes a 1 de enero de 2024</w:t>
            </w:r>
            <w:r w:rsidRPr="00A202B4">
              <w:rPr>
                <w:b/>
                <w:bCs/>
                <w:sz w:val="16"/>
                <w:szCs w:val="16"/>
                <w:lang w:val="es-ES_tradnl" w:eastAsia="zh-CN"/>
              </w:rPr>
              <w:br/>
              <w:t>(Dólares de los EE.UU.)</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auto"/>
            <w:tcMar>
              <w:left w:w="115" w:type="dxa"/>
              <w:right w:w="115" w:type="dxa"/>
            </w:tcMar>
            <w:vAlign w:val="bottom"/>
            <w:hideMark/>
          </w:tcPr>
          <w:p w14:paraId="3A96AB64" w14:textId="77777777" w:rsidR="00D8083E" w:rsidRPr="00A202B4" w:rsidRDefault="00D8083E" w:rsidP="009A372A">
            <w:pPr>
              <w:jc w:val="center"/>
              <w:rPr>
                <w:b/>
                <w:bCs/>
                <w:color w:val="000000"/>
                <w:sz w:val="16"/>
                <w:szCs w:val="16"/>
                <w:lang w:val="es-ES_tradnl" w:eastAsia="zh-CN"/>
              </w:rPr>
            </w:pPr>
            <w:r w:rsidRPr="00A202B4">
              <w:rPr>
                <w:b/>
                <w:bCs/>
                <w:sz w:val="16"/>
                <w:szCs w:val="16"/>
                <w:lang w:val="es-ES_tradnl" w:eastAsia="zh-CN"/>
              </w:rPr>
              <w:t xml:space="preserve">Total </w:t>
            </w:r>
            <w:r w:rsidRPr="00A202B4">
              <w:rPr>
                <w:b/>
                <w:bCs/>
                <w:sz w:val="16"/>
                <w:szCs w:val="16"/>
                <w:lang w:val="es-ES_tradnl" w:eastAsia="zh-CN"/>
              </w:rPr>
              <w:br/>
              <w:t>2023-2024</w:t>
            </w:r>
            <w:r w:rsidRPr="00A202B4">
              <w:rPr>
                <w:b/>
                <w:bCs/>
                <w:sz w:val="16"/>
                <w:szCs w:val="16"/>
                <w:lang w:val="es-ES_tradnl" w:eastAsia="zh-CN"/>
              </w:rPr>
              <w:br/>
              <w:t>(Dólares de los EE.UU.)</w:t>
            </w:r>
          </w:p>
        </w:tc>
      </w:tr>
      <w:tr w:rsidR="00D8083E" w:rsidRPr="00A202B4" w14:paraId="15E96E53" w14:textId="77777777" w:rsidTr="009A372A">
        <w:trPr>
          <w:trHeight w:val="665"/>
        </w:trPr>
        <w:tc>
          <w:tcPr>
            <w:tcW w:w="4040" w:type="dxa"/>
            <w:vMerge/>
            <w:tcBorders>
              <w:top w:val="single" w:sz="4" w:space="0" w:color="auto"/>
              <w:left w:val="single" w:sz="4" w:space="0" w:color="auto"/>
              <w:bottom w:val="single" w:sz="4" w:space="0" w:color="auto"/>
              <w:right w:val="single" w:sz="4" w:space="0" w:color="auto"/>
            </w:tcBorders>
            <w:shd w:val="clear" w:color="000000" w:fill="auto"/>
            <w:vAlign w:val="center"/>
            <w:hideMark/>
          </w:tcPr>
          <w:p w14:paraId="689BD77D" w14:textId="77777777" w:rsidR="00D8083E" w:rsidRPr="00A202B4" w:rsidRDefault="00D8083E" w:rsidP="009A372A">
            <w:pPr>
              <w:jc w:val="left"/>
              <w:rPr>
                <w:b/>
                <w:bCs/>
                <w:sz w:val="18"/>
                <w:szCs w:val="18"/>
                <w:lang w:val="es-ES_tradnl" w:eastAsia="zh-CN"/>
              </w:rPr>
            </w:pPr>
          </w:p>
        </w:tc>
        <w:tc>
          <w:tcPr>
            <w:tcW w:w="1180" w:type="dxa"/>
            <w:vMerge/>
            <w:tcBorders>
              <w:top w:val="single" w:sz="4" w:space="0" w:color="auto"/>
              <w:left w:val="single" w:sz="4" w:space="0" w:color="auto"/>
              <w:bottom w:val="single" w:sz="4" w:space="0" w:color="auto"/>
              <w:right w:val="single" w:sz="4" w:space="0" w:color="auto"/>
            </w:tcBorders>
            <w:shd w:val="clear" w:color="000000" w:fill="auto"/>
            <w:vAlign w:val="center"/>
            <w:hideMark/>
          </w:tcPr>
          <w:p w14:paraId="3DA6BDD0" w14:textId="77777777" w:rsidR="00D8083E" w:rsidRPr="00A202B4" w:rsidRDefault="00D8083E" w:rsidP="009A372A">
            <w:pPr>
              <w:jc w:val="left"/>
              <w:rPr>
                <w:b/>
                <w:bCs/>
                <w:sz w:val="16"/>
                <w:szCs w:val="16"/>
                <w:lang w:val="es-ES_tradnl" w:eastAsia="zh-CN"/>
              </w:rPr>
            </w:pPr>
          </w:p>
        </w:tc>
        <w:tc>
          <w:tcPr>
            <w:tcW w:w="1180" w:type="dxa"/>
            <w:vMerge/>
            <w:tcBorders>
              <w:top w:val="single" w:sz="4" w:space="0" w:color="auto"/>
              <w:left w:val="single" w:sz="4" w:space="0" w:color="auto"/>
              <w:bottom w:val="single" w:sz="4" w:space="0" w:color="auto"/>
              <w:right w:val="single" w:sz="4" w:space="0" w:color="auto"/>
            </w:tcBorders>
            <w:shd w:val="clear" w:color="000000" w:fill="auto"/>
            <w:vAlign w:val="center"/>
            <w:hideMark/>
          </w:tcPr>
          <w:p w14:paraId="40CCA184" w14:textId="77777777" w:rsidR="00D8083E" w:rsidRPr="00A202B4" w:rsidRDefault="00D8083E" w:rsidP="009A372A">
            <w:pPr>
              <w:jc w:val="left"/>
              <w:rPr>
                <w:b/>
                <w:bCs/>
                <w:sz w:val="16"/>
                <w:szCs w:val="16"/>
                <w:lang w:val="es-ES_tradnl" w:eastAsia="zh-CN"/>
              </w:rPr>
            </w:pPr>
          </w:p>
        </w:tc>
        <w:tc>
          <w:tcPr>
            <w:tcW w:w="1279" w:type="dxa"/>
            <w:vMerge/>
            <w:tcBorders>
              <w:top w:val="single" w:sz="4" w:space="0" w:color="auto"/>
              <w:left w:val="single" w:sz="4" w:space="0" w:color="auto"/>
              <w:bottom w:val="single" w:sz="4" w:space="0" w:color="auto"/>
              <w:right w:val="single" w:sz="4" w:space="0" w:color="auto"/>
            </w:tcBorders>
            <w:shd w:val="clear" w:color="000000" w:fill="auto"/>
            <w:vAlign w:val="center"/>
            <w:hideMark/>
          </w:tcPr>
          <w:p w14:paraId="055D0D56" w14:textId="77777777" w:rsidR="00D8083E" w:rsidRPr="00A202B4" w:rsidRDefault="00D8083E" w:rsidP="009A372A">
            <w:pPr>
              <w:jc w:val="left"/>
              <w:rPr>
                <w:b/>
                <w:bCs/>
                <w:color w:val="000000"/>
                <w:sz w:val="16"/>
                <w:szCs w:val="16"/>
                <w:lang w:val="es-ES_tradnl" w:eastAsia="zh-CN"/>
              </w:rPr>
            </w:pPr>
          </w:p>
        </w:tc>
        <w:tc>
          <w:tcPr>
            <w:tcW w:w="1279" w:type="dxa"/>
            <w:vMerge/>
            <w:tcBorders>
              <w:top w:val="single" w:sz="4" w:space="0" w:color="auto"/>
              <w:left w:val="single" w:sz="4" w:space="0" w:color="auto"/>
              <w:bottom w:val="single" w:sz="4" w:space="0" w:color="auto"/>
              <w:right w:val="single" w:sz="4" w:space="0" w:color="auto"/>
            </w:tcBorders>
            <w:shd w:val="clear" w:color="000000" w:fill="auto"/>
            <w:vAlign w:val="center"/>
            <w:hideMark/>
          </w:tcPr>
          <w:p w14:paraId="5DD5618D" w14:textId="77777777" w:rsidR="00D8083E" w:rsidRPr="00A202B4" w:rsidRDefault="00D8083E" w:rsidP="009A372A">
            <w:pPr>
              <w:jc w:val="left"/>
              <w:rPr>
                <w:b/>
                <w:bCs/>
                <w:color w:val="000000"/>
                <w:sz w:val="16"/>
                <w:szCs w:val="16"/>
                <w:lang w:val="es-ES_tradnl" w:eastAsia="zh-CN"/>
              </w:rPr>
            </w:pPr>
          </w:p>
        </w:tc>
        <w:tc>
          <w:tcPr>
            <w:tcW w:w="1180" w:type="dxa"/>
            <w:vMerge/>
            <w:tcBorders>
              <w:top w:val="single" w:sz="4" w:space="0" w:color="auto"/>
              <w:left w:val="single" w:sz="4" w:space="0" w:color="auto"/>
              <w:bottom w:val="single" w:sz="4" w:space="0" w:color="auto"/>
              <w:right w:val="single" w:sz="4" w:space="0" w:color="auto"/>
            </w:tcBorders>
            <w:shd w:val="clear" w:color="000000" w:fill="auto"/>
            <w:vAlign w:val="center"/>
            <w:hideMark/>
          </w:tcPr>
          <w:p w14:paraId="5E0C38BC" w14:textId="77777777" w:rsidR="00D8083E" w:rsidRPr="00A202B4" w:rsidRDefault="00D8083E" w:rsidP="009A372A">
            <w:pPr>
              <w:jc w:val="left"/>
              <w:rPr>
                <w:b/>
                <w:bCs/>
                <w:color w:val="000000"/>
                <w:sz w:val="16"/>
                <w:szCs w:val="16"/>
                <w:lang w:val="es-ES_tradnl" w:eastAsia="zh-CN"/>
              </w:rPr>
            </w:pPr>
          </w:p>
        </w:tc>
      </w:tr>
      <w:tr w:rsidR="00D8083E" w:rsidRPr="00A202B4" w14:paraId="2BDB9ABE"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73A1A74" w14:textId="77777777" w:rsidR="00D8083E" w:rsidRPr="00A202B4" w:rsidRDefault="00D8083E" w:rsidP="009A372A">
            <w:pPr>
              <w:jc w:val="left"/>
              <w:rPr>
                <w:sz w:val="18"/>
                <w:szCs w:val="18"/>
                <w:lang w:val="es-ES_tradnl" w:eastAsia="zh-CN"/>
              </w:rPr>
            </w:pPr>
            <w:r w:rsidRPr="00A202B4">
              <w:rPr>
                <w:sz w:val="18"/>
                <w:szCs w:val="18"/>
                <w:lang w:val="es-ES_tradnl" w:eastAsia="zh-CN"/>
              </w:rPr>
              <w:t>Afganistán</w:t>
            </w:r>
          </w:p>
        </w:tc>
        <w:tc>
          <w:tcPr>
            <w:tcW w:w="1180" w:type="dxa"/>
            <w:tcBorders>
              <w:top w:val="nil"/>
              <w:left w:val="nil"/>
              <w:bottom w:val="single" w:sz="4" w:space="0" w:color="auto"/>
              <w:right w:val="single" w:sz="4" w:space="0" w:color="auto"/>
            </w:tcBorders>
            <w:shd w:val="clear" w:color="auto" w:fill="auto"/>
            <w:vAlign w:val="center"/>
            <w:hideMark/>
          </w:tcPr>
          <w:p w14:paraId="4B15A5BD" w14:textId="77777777" w:rsidR="00D8083E" w:rsidRPr="00A202B4" w:rsidRDefault="00D8083E" w:rsidP="009A372A">
            <w:pPr>
              <w:jc w:val="right"/>
              <w:rPr>
                <w:sz w:val="18"/>
                <w:szCs w:val="18"/>
                <w:lang w:val="es-ES_tradnl" w:eastAsia="zh-CN"/>
              </w:rPr>
            </w:pPr>
            <w:r w:rsidRPr="00A202B4">
              <w:rPr>
                <w:sz w:val="18"/>
                <w:szCs w:val="18"/>
                <w:lang w:val="es-ES_tradnl"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18841616" w14:textId="77777777" w:rsidR="00D8083E" w:rsidRPr="00A202B4" w:rsidRDefault="00D8083E" w:rsidP="009A372A">
            <w:pPr>
              <w:jc w:val="right"/>
              <w:rPr>
                <w:sz w:val="18"/>
                <w:szCs w:val="18"/>
                <w:lang w:val="es-ES_tradnl" w:eastAsia="zh-CN"/>
              </w:rPr>
            </w:pPr>
            <w:r w:rsidRPr="00A202B4">
              <w:rPr>
                <w:sz w:val="18"/>
                <w:szCs w:val="18"/>
                <w:lang w:val="es-ES_tradnl" w:eastAsia="zh-CN"/>
              </w:rPr>
              <w:t>0,008</w:t>
            </w:r>
          </w:p>
        </w:tc>
        <w:tc>
          <w:tcPr>
            <w:tcW w:w="1279" w:type="dxa"/>
            <w:tcBorders>
              <w:top w:val="nil"/>
              <w:left w:val="nil"/>
              <w:bottom w:val="single" w:sz="4" w:space="0" w:color="auto"/>
              <w:right w:val="single" w:sz="4" w:space="0" w:color="auto"/>
            </w:tcBorders>
            <w:shd w:val="clear" w:color="auto" w:fill="auto"/>
            <w:noWrap/>
            <w:vAlign w:val="center"/>
            <w:hideMark/>
          </w:tcPr>
          <w:p w14:paraId="1E4FF5F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230 </w:t>
            </w:r>
          </w:p>
        </w:tc>
        <w:tc>
          <w:tcPr>
            <w:tcW w:w="1279" w:type="dxa"/>
            <w:tcBorders>
              <w:top w:val="nil"/>
              <w:left w:val="nil"/>
              <w:bottom w:val="single" w:sz="4" w:space="0" w:color="auto"/>
              <w:right w:val="single" w:sz="4" w:space="0" w:color="auto"/>
            </w:tcBorders>
            <w:shd w:val="clear" w:color="auto" w:fill="auto"/>
            <w:noWrap/>
            <w:vAlign w:val="center"/>
            <w:hideMark/>
          </w:tcPr>
          <w:p w14:paraId="7C9C433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252 </w:t>
            </w:r>
          </w:p>
        </w:tc>
        <w:tc>
          <w:tcPr>
            <w:tcW w:w="1180" w:type="dxa"/>
            <w:tcBorders>
              <w:top w:val="nil"/>
              <w:left w:val="nil"/>
              <w:bottom w:val="single" w:sz="4" w:space="0" w:color="auto"/>
              <w:right w:val="single" w:sz="4" w:space="0" w:color="auto"/>
            </w:tcBorders>
            <w:shd w:val="clear" w:color="auto" w:fill="auto"/>
            <w:noWrap/>
            <w:vAlign w:val="center"/>
            <w:hideMark/>
          </w:tcPr>
          <w:p w14:paraId="11CACB08"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482 </w:t>
            </w:r>
          </w:p>
        </w:tc>
      </w:tr>
      <w:tr w:rsidR="00D8083E" w:rsidRPr="00A202B4" w14:paraId="7B4C115C"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2CC44A4" w14:textId="77777777" w:rsidR="00D8083E" w:rsidRPr="00A202B4" w:rsidRDefault="00D8083E" w:rsidP="009A372A">
            <w:pPr>
              <w:jc w:val="left"/>
              <w:rPr>
                <w:sz w:val="18"/>
                <w:szCs w:val="18"/>
                <w:lang w:val="es-ES_tradnl" w:eastAsia="zh-CN"/>
              </w:rPr>
            </w:pPr>
            <w:r w:rsidRPr="00A202B4">
              <w:rPr>
                <w:sz w:val="18"/>
                <w:szCs w:val="18"/>
                <w:lang w:val="es-ES_tradnl" w:eastAsia="zh-CN"/>
              </w:rPr>
              <w:t xml:space="preserve">Albania </w:t>
            </w:r>
          </w:p>
        </w:tc>
        <w:tc>
          <w:tcPr>
            <w:tcW w:w="1180" w:type="dxa"/>
            <w:tcBorders>
              <w:top w:val="nil"/>
              <w:left w:val="nil"/>
              <w:bottom w:val="single" w:sz="4" w:space="0" w:color="auto"/>
              <w:right w:val="single" w:sz="4" w:space="0" w:color="auto"/>
            </w:tcBorders>
            <w:shd w:val="clear" w:color="auto" w:fill="auto"/>
            <w:vAlign w:val="center"/>
            <w:hideMark/>
          </w:tcPr>
          <w:p w14:paraId="11720459" w14:textId="77777777" w:rsidR="00D8083E" w:rsidRPr="00A202B4" w:rsidRDefault="00D8083E" w:rsidP="009A372A">
            <w:pPr>
              <w:jc w:val="right"/>
              <w:rPr>
                <w:sz w:val="18"/>
                <w:szCs w:val="18"/>
                <w:lang w:val="es-ES_tradnl" w:eastAsia="zh-CN"/>
              </w:rPr>
            </w:pPr>
            <w:r w:rsidRPr="00A202B4">
              <w:rPr>
                <w:sz w:val="18"/>
                <w:szCs w:val="18"/>
                <w:lang w:val="es-ES_tradnl"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5E1D89B8" w14:textId="77777777" w:rsidR="00D8083E" w:rsidRPr="00A202B4" w:rsidRDefault="00D8083E" w:rsidP="009A372A">
            <w:pPr>
              <w:jc w:val="right"/>
              <w:rPr>
                <w:sz w:val="18"/>
                <w:szCs w:val="18"/>
                <w:lang w:val="es-ES_tradnl" w:eastAsia="zh-CN"/>
              </w:rPr>
            </w:pPr>
            <w:r w:rsidRPr="00A202B4">
              <w:rPr>
                <w:sz w:val="18"/>
                <w:szCs w:val="18"/>
                <w:lang w:val="es-ES_tradnl" w:eastAsia="zh-CN"/>
              </w:rPr>
              <w:t>0,011</w:t>
            </w:r>
          </w:p>
        </w:tc>
        <w:tc>
          <w:tcPr>
            <w:tcW w:w="1279" w:type="dxa"/>
            <w:tcBorders>
              <w:top w:val="nil"/>
              <w:left w:val="nil"/>
              <w:bottom w:val="single" w:sz="4" w:space="0" w:color="auto"/>
              <w:right w:val="single" w:sz="4" w:space="0" w:color="auto"/>
            </w:tcBorders>
            <w:shd w:val="clear" w:color="auto" w:fill="auto"/>
            <w:noWrap/>
            <w:vAlign w:val="center"/>
            <w:hideMark/>
          </w:tcPr>
          <w:p w14:paraId="2E394B4F"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307 </w:t>
            </w:r>
          </w:p>
        </w:tc>
        <w:tc>
          <w:tcPr>
            <w:tcW w:w="1279" w:type="dxa"/>
            <w:tcBorders>
              <w:top w:val="nil"/>
              <w:left w:val="nil"/>
              <w:bottom w:val="single" w:sz="4" w:space="0" w:color="auto"/>
              <w:right w:val="single" w:sz="4" w:space="0" w:color="auto"/>
            </w:tcBorders>
            <w:shd w:val="clear" w:color="auto" w:fill="auto"/>
            <w:noWrap/>
            <w:vAlign w:val="center"/>
            <w:hideMark/>
          </w:tcPr>
          <w:p w14:paraId="670AEC0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290D38E2"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643 </w:t>
            </w:r>
          </w:p>
        </w:tc>
      </w:tr>
      <w:tr w:rsidR="00D8083E" w:rsidRPr="00A202B4" w14:paraId="5C28F39F"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042FFC4" w14:textId="77777777" w:rsidR="00D8083E" w:rsidRPr="00A202B4" w:rsidRDefault="00D8083E" w:rsidP="009A372A">
            <w:pPr>
              <w:jc w:val="left"/>
              <w:rPr>
                <w:sz w:val="18"/>
                <w:szCs w:val="18"/>
                <w:lang w:val="es-ES_tradnl" w:eastAsia="zh-CN"/>
              </w:rPr>
            </w:pPr>
            <w:r w:rsidRPr="00A202B4">
              <w:rPr>
                <w:sz w:val="18"/>
                <w:szCs w:val="18"/>
                <w:lang w:val="es-ES_tradnl" w:eastAsia="zh-CN"/>
              </w:rPr>
              <w:t>Alemania</w:t>
            </w:r>
          </w:p>
        </w:tc>
        <w:tc>
          <w:tcPr>
            <w:tcW w:w="1180" w:type="dxa"/>
            <w:tcBorders>
              <w:top w:val="nil"/>
              <w:left w:val="nil"/>
              <w:bottom w:val="single" w:sz="4" w:space="0" w:color="auto"/>
              <w:right w:val="single" w:sz="4" w:space="0" w:color="auto"/>
            </w:tcBorders>
            <w:shd w:val="clear" w:color="auto" w:fill="auto"/>
            <w:vAlign w:val="center"/>
            <w:hideMark/>
          </w:tcPr>
          <w:p w14:paraId="155ADA19" w14:textId="77777777" w:rsidR="00D8083E" w:rsidRPr="00A202B4" w:rsidRDefault="00D8083E" w:rsidP="009A372A">
            <w:pPr>
              <w:jc w:val="right"/>
              <w:rPr>
                <w:sz w:val="18"/>
                <w:szCs w:val="18"/>
                <w:lang w:val="es-ES_tradnl" w:eastAsia="zh-CN"/>
              </w:rPr>
            </w:pPr>
            <w:r w:rsidRPr="00A202B4">
              <w:rPr>
                <w:sz w:val="18"/>
                <w:szCs w:val="18"/>
                <w:lang w:val="es-ES_tradnl" w:eastAsia="zh-CN"/>
              </w:rPr>
              <w:t>6,111</w:t>
            </w:r>
          </w:p>
        </w:tc>
        <w:tc>
          <w:tcPr>
            <w:tcW w:w="1180" w:type="dxa"/>
            <w:tcBorders>
              <w:top w:val="nil"/>
              <w:left w:val="nil"/>
              <w:bottom w:val="single" w:sz="4" w:space="0" w:color="auto"/>
              <w:right w:val="single" w:sz="4" w:space="0" w:color="auto"/>
            </w:tcBorders>
            <w:shd w:val="clear" w:color="auto" w:fill="auto"/>
            <w:noWrap/>
            <w:vAlign w:val="center"/>
            <w:hideMark/>
          </w:tcPr>
          <w:p w14:paraId="596DA707" w14:textId="77777777" w:rsidR="00D8083E" w:rsidRPr="00A202B4" w:rsidRDefault="00D8083E" w:rsidP="009A372A">
            <w:pPr>
              <w:jc w:val="right"/>
              <w:rPr>
                <w:sz w:val="18"/>
                <w:szCs w:val="18"/>
                <w:lang w:val="es-ES_tradnl" w:eastAsia="zh-CN"/>
              </w:rPr>
            </w:pPr>
            <w:r w:rsidRPr="00A202B4">
              <w:rPr>
                <w:sz w:val="18"/>
                <w:szCs w:val="18"/>
                <w:lang w:val="es-ES_tradnl" w:eastAsia="zh-CN"/>
              </w:rPr>
              <w:t>8,627</w:t>
            </w:r>
          </w:p>
        </w:tc>
        <w:tc>
          <w:tcPr>
            <w:tcW w:w="1279" w:type="dxa"/>
            <w:tcBorders>
              <w:top w:val="nil"/>
              <w:left w:val="nil"/>
              <w:bottom w:val="single" w:sz="4" w:space="0" w:color="auto"/>
              <w:right w:val="single" w:sz="4" w:space="0" w:color="auto"/>
            </w:tcBorders>
            <w:shd w:val="clear" w:color="auto" w:fill="auto"/>
            <w:noWrap/>
            <w:vAlign w:val="center"/>
            <w:hideMark/>
          </w:tcPr>
          <w:p w14:paraId="5EADAF5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234 135 </w:t>
            </w:r>
          </w:p>
        </w:tc>
        <w:tc>
          <w:tcPr>
            <w:tcW w:w="1279" w:type="dxa"/>
            <w:tcBorders>
              <w:top w:val="nil"/>
              <w:left w:val="nil"/>
              <w:bottom w:val="single" w:sz="4" w:space="0" w:color="auto"/>
              <w:right w:val="single" w:sz="4" w:space="0" w:color="auto"/>
            </w:tcBorders>
            <w:shd w:val="clear" w:color="auto" w:fill="auto"/>
            <w:noWrap/>
            <w:vAlign w:val="center"/>
            <w:hideMark/>
          </w:tcPr>
          <w:p w14:paraId="482CFA8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256 808 </w:t>
            </w:r>
          </w:p>
        </w:tc>
        <w:tc>
          <w:tcPr>
            <w:tcW w:w="1180" w:type="dxa"/>
            <w:tcBorders>
              <w:top w:val="nil"/>
              <w:left w:val="nil"/>
              <w:bottom w:val="single" w:sz="4" w:space="0" w:color="auto"/>
              <w:right w:val="single" w:sz="4" w:space="0" w:color="auto"/>
            </w:tcBorders>
            <w:shd w:val="clear" w:color="auto" w:fill="auto"/>
            <w:noWrap/>
            <w:vAlign w:val="center"/>
            <w:hideMark/>
          </w:tcPr>
          <w:p w14:paraId="00948117"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490 943 </w:t>
            </w:r>
          </w:p>
        </w:tc>
      </w:tr>
      <w:tr w:rsidR="00D8083E" w:rsidRPr="00A202B4" w14:paraId="585D012C"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A16F14F" w14:textId="77777777" w:rsidR="00D8083E" w:rsidRPr="00A202B4" w:rsidRDefault="00D8083E" w:rsidP="009A372A">
            <w:pPr>
              <w:jc w:val="left"/>
              <w:rPr>
                <w:sz w:val="18"/>
                <w:szCs w:val="18"/>
                <w:lang w:val="es-ES_tradnl" w:eastAsia="zh-CN"/>
              </w:rPr>
            </w:pPr>
            <w:r w:rsidRPr="00A202B4">
              <w:rPr>
                <w:sz w:val="18"/>
                <w:szCs w:val="18"/>
                <w:lang w:val="es-ES_tradnl" w:eastAsia="zh-CN"/>
              </w:rPr>
              <w:t>Angola</w:t>
            </w:r>
          </w:p>
        </w:tc>
        <w:tc>
          <w:tcPr>
            <w:tcW w:w="1180" w:type="dxa"/>
            <w:tcBorders>
              <w:top w:val="nil"/>
              <w:left w:val="nil"/>
              <w:bottom w:val="single" w:sz="4" w:space="0" w:color="auto"/>
              <w:right w:val="single" w:sz="4" w:space="0" w:color="auto"/>
            </w:tcBorders>
            <w:shd w:val="clear" w:color="auto" w:fill="auto"/>
            <w:vAlign w:val="center"/>
            <w:hideMark/>
          </w:tcPr>
          <w:p w14:paraId="4D341AC5"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62F3E4CF"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279" w:type="dxa"/>
            <w:tcBorders>
              <w:top w:val="nil"/>
              <w:left w:val="nil"/>
              <w:bottom w:val="single" w:sz="4" w:space="0" w:color="auto"/>
              <w:right w:val="single" w:sz="4" w:space="0" w:color="auto"/>
            </w:tcBorders>
            <w:shd w:val="clear" w:color="auto" w:fill="auto"/>
            <w:noWrap/>
            <w:vAlign w:val="center"/>
            <w:hideMark/>
          </w:tcPr>
          <w:p w14:paraId="419DD2F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271 </w:t>
            </w:r>
          </w:p>
        </w:tc>
        <w:tc>
          <w:tcPr>
            <w:tcW w:w="1279" w:type="dxa"/>
            <w:tcBorders>
              <w:top w:val="nil"/>
              <w:left w:val="nil"/>
              <w:bottom w:val="single" w:sz="4" w:space="0" w:color="auto"/>
              <w:right w:val="single" w:sz="4" w:space="0" w:color="auto"/>
            </w:tcBorders>
            <w:shd w:val="clear" w:color="auto" w:fill="auto"/>
            <w:noWrap/>
            <w:vAlign w:val="center"/>
            <w:hideMark/>
          </w:tcPr>
          <w:p w14:paraId="5EB2E136"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0F76B727"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569 </w:t>
            </w:r>
          </w:p>
        </w:tc>
      </w:tr>
      <w:tr w:rsidR="00D8083E" w:rsidRPr="00A202B4" w14:paraId="1E9FDAF9"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302E30F" w14:textId="77777777" w:rsidR="00D8083E" w:rsidRPr="00A202B4" w:rsidRDefault="00D8083E" w:rsidP="009A372A">
            <w:pPr>
              <w:jc w:val="left"/>
              <w:rPr>
                <w:sz w:val="18"/>
                <w:szCs w:val="18"/>
                <w:lang w:val="es-ES_tradnl" w:eastAsia="zh-CN"/>
              </w:rPr>
            </w:pPr>
            <w:r w:rsidRPr="00A202B4">
              <w:rPr>
                <w:sz w:val="18"/>
                <w:szCs w:val="18"/>
                <w:lang w:val="es-ES_tradnl" w:eastAsia="zh-CN"/>
              </w:rPr>
              <w:t>Antigua y Barbuda</w:t>
            </w:r>
          </w:p>
        </w:tc>
        <w:tc>
          <w:tcPr>
            <w:tcW w:w="1180" w:type="dxa"/>
            <w:tcBorders>
              <w:top w:val="nil"/>
              <w:left w:val="nil"/>
              <w:bottom w:val="single" w:sz="4" w:space="0" w:color="auto"/>
              <w:right w:val="single" w:sz="4" w:space="0" w:color="auto"/>
            </w:tcBorders>
            <w:shd w:val="clear" w:color="auto" w:fill="auto"/>
            <w:vAlign w:val="center"/>
            <w:hideMark/>
          </w:tcPr>
          <w:p w14:paraId="20CD6369" w14:textId="77777777" w:rsidR="00D8083E" w:rsidRPr="00A202B4" w:rsidRDefault="00D8083E" w:rsidP="009A372A">
            <w:pPr>
              <w:jc w:val="right"/>
              <w:rPr>
                <w:sz w:val="18"/>
                <w:szCs w:val="18"/>
                <w:lang w:val="es-ES_tradnl" w:eastAsia="zh-CN"/>
              </w:rPr>
            </w:pPr>
            <w:r w:rsidRPr="00A202B4">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026B6607" w14:textId="77777777" w:rsidR="00D8083E" w:rsidRPr="00A202B4" w:rsidRDefault="00D8083E" w:rsidP="009A372A">
            <w:pPr>
              <w:jc w:val="right"/>
              <w:rPr>
                <w:sz w:val="18"/>
                <w:szCs w:val="18"/>
                <w:lang w:val="es-ES_tradnl" w:eastAsia="zh-CN"/>
              </w:rPr>
            </w:pPr>
            <w:r w:rsidRPr="00A202B4">
              <w:rPr>
                <w:sz w:val="18"/>
                <w:szCs w:val="18"/>
                <w:lang w:val="es-ES_tradnl" w:eastAsia="zh-CN"/>
              </w:rPr>
              <w:t>0,003</w:t>
            </w:r>
          </w:p>
        </w:tc>
        <w:tc>
          <w:tcPr>
            <w:tcW w:w="1279" w:type="dxa"/>
            <w:tcBorders>
              <w:top w:val="nil"/>
              <w:left w:val="nil"/>
              <w:bottom w:val="single" w:sz="4" w:space="0" w:color="auto"/>
              <w:right w:val="single" w:sz="4" w:space="0" w:color="auto"/>
            </w:tcBorders>
            <w:shd w:val="clear" w:color="auto" w:fill="auto"/>
            <w:noWrap/>
            <w:vAlign w:val="center"/>
            <w:hideMark/>
          </w:tcPr>
          <w:p w14:paraId="6D35CB78"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77 </w:t>
            </w:r>
          </w:p>
        </w:tc>
        <w:tc>
          <w:tcPr>
            <w:tcW w:w="1279" w:type="dxa"/>
            <w:tcBorders>
              <w:top w:val="nil"/>
              <w:left w:val="nil"/>
              <w:bottom w:val="single" w:sz="4" w:space="0" w:color="auto"/>
              <w:right w:val="single" w:sz="4" w:space="0" w:color="auto"/>
            </w:tcBorders>
            <w:shd w:val="clear" w:color="auto" w:fill="auto"/>
            <w:noWrap/>
            <w:vAlign w:val="center"/>
            <w:hideMark/>
          </w:tcPr>
          <w:p w14:paraId="43CBABE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778E0698"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161 </w:t>
            </w:r>
          </w:p>
        </w:tc>
      </w:tr>
      <w:tr w:rsidR="00D8083E" w:rsidRPr="00A202B4" w14:paraId="3E996075"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5A04FB5" w14:textId="77777777" w:rsidR="00D8083E" w:rsidRPr="00A202B4" w:rsidRDefault="00D8083E" w:rsidP="009A372A">
            <w:pPr>
              <w:jc w:val="left"/>
              <w:rPr>
                <w:sz w:val="18"/>
                <w:szCs w:val="18"/>
                <w:lang w:val="es-ES_tradnl" w:eastAsia="zh-CN"/>
              </w:rPr>
            </w:pPr>
            <w:r w:rsidRPr="00A202B4">
              <w:rPr>
                <w:sz w:val="18"/>
                <w:szCs w:val="18"/>
                <w:lang w:val="es-ES_tradnl" w:eastAsia="zh-CN"/>
              </w:rPr>
              <w:t>Arabia Saudita</w:t>
            </w:r>
          </w:p>
        </w:tc>
        <w:tc>
          <w:tcPr>
            <w:tcW w:w="1180" w:type="dxa"/>
            <w:tcBorders>
              <w:top w:val="nil"/>
              <w:left w:val="nil"/>
              <w:bottom w:val="single" w:sz="4" w:space="0" w:color="auto"/>
              <w:right w:val="single" w:sz="4" w:space="0" w:color="auto"/>
            </w:tcBorders>
            <w:shd w:val="clear" w:color="auto" w:fill="auto"/>
            <w:vAlign w:val="center"/>
            <w:hideMark/>
          </w:tcPr>
          <w:p w14:paraId="221EB703" w14:textId="77777777" w:rsidR="00D8083E" w:rsidRPr="00A202B4" w:rsidRDefault="00D8083E" w:rsidP="009A372A">
            <w:pPr>
              <w:jc w:val="right"/>
              <w:rPr>
                <w:sz w:val="18"/>
                <w:szCs w:val="18"/>
                <w:lang w:val="es-ES_tradnl" w:eastAsia="zh-CN"/>
              </w:rPr>
            </w:pPr>
            <w:r w:rsidRPr="00A202B4">
              <w:rPr>
                <w:sz w:val="18"/>
                <w:szCs w:val="18"/>
                <w:lang w:val="es-ES_tradnl" w:eastAsia="zh-CN"/>
              </w:rPr>
              <w:t>1,184</w:t>
            </w:r>
          </w:p>
        </w:tc>
        <w:tc>
          <w:tcPr>
            <w:tcW w:w="1180" w:type="dxa"/>
            <w:tcBorders>
              <w:top w:val="nil"/>
              <w:left w:val="nil"/>
              <w:bottom w:val="single" w:sz="4" w:space="0" w:color="auto"/>
              <w:right w:val="single" w:sz="4" w:space="0" w:color="auto"/>
            </w:tcBorders>
            <w:shd w:val="clear" w:color="auto" w:fill="auto"/>
            <w:noWrap/>
            <w:vAlign w:val="center"/>
            <w:hideMark/>
          </w:tcPr>
          <w:p w14:paraId="0F5FA311" w14:textId="77777777" w:rsidR="00D8083E" w:rsidRPr="00A202B4" w:rsidRDefault="00D8083E" w:rsidP="009A372A">
            <w:pPr>
              <w:jc w:val="right"/>
              <w:rPr>
                <w:sz w:val="18"/>
                <w:szCs w:val="18"/>
                <w:lang w:val="es-ES_tradnl" w:eastAsia="zh-CN"/>
              </w:rPr>
            </w:pPr>
            <w:r w:rsidRPr="00A202B4">
              <w:rPr>
                <w:sz w:val="18"/>
                <w:szCs w:val="18"/>
                <w:lang w:val="es-ES_tradnl" w:eastAsia="zh-CN"/>
              </w:rPr>
              <w:t>1,671</w:t>
            </w:r>
          </w:p>
        </w:tc>
        <w:tc>
          <w:tcPr>
            <w:tcW w:w="1279" w:type="dxa"/>
            <w:tcBorders>
              <w:top w:val="nil"/>
              <w:left w:val="nil"/>
              <w:bottom w:val="single" w:sz="4" w:space="0" w:color="auto"/>
              <w:right w:val="single" w:sz="4" w:space="0" w:color="auto"/>
            </w:tcBorders>
            <w:shd w:val="clear" w:color="auto" w:fill="auto"/>
            <w:noWrap/>
            <w:vAlign w:val="center"/>
            <w:hideMark/>
          </w:tcPr>
          <w:p w14:paraId="62FF86C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45 363 </w:t>
            </w:r>
          </w:p>
        </w:tc>
        <w:tc>
          <w:tcPr>
            <w:tcW w:w="1279" w:type="dxa"/>
            <w:tcBorders>
              <w:top w:val="nil"/>
              <w:left w:val="nil"/>
              <w:bottom w:val="single" w:sz="4" w:space="0" w:color="auto"/>
              <w:right w:val="single" w:sz="4" w:space="0" w:color="auto"/>
            </w:tcBorders>
            <w:shd w:val="clear" w:color="auto" w:fill="auto"/>
            <w:noWrap/>
            <w:vAlign w:val="center"/>
            <w:hideMark/>
          </w:tcPr>
          <w:p w14:paraId="7FE1BA88"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49 756 </w:t>
            </w:r>
          </w:p>
        </w:tc>
        <w:tc>
          <w:tcPr>
            <w:tcW w:w="1180" w:type="dxa"/>
            <w:tcBorders>
              <w:top w:val="nil"/>
              <w:left w:val="nil"/>
              <w:bottom w:val="single" w:sz="4" w:space="0" w:color="auto"/>
              <w:right w:val="single" w:sz="4" w:space="0" w:color="auto"/>
            </w:tcBorders>
            <w:shd w:val="clear" w:color="auto" w:fill="auto"/>
            <w:noWrap/>
            <w:vAlign w:val="center"/>
            <w:hideMark/>
          </w:tcPr>
          <w:p w14:paraId="11BDEF7E"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95 120 </w:t>
            </w:r>
          </w:p>
        </w:tc>
      </w:tr>
      <w:tr w:rsidR="00D8083E" w:rsidRPr="00A202B4" w14:paraId="239C846B"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D163E60" w14:textId="77777777" w:rsidR="00D8083E" w:rsidRPr="00A202B4" w:rsidRDefault="00D8083E" w:rsidP="009A372A">
            <w:pPr>
              <w:jc w:val="left"/>
              <w:rPr>
                <w:sz w:val="18"/>
                <w:szCs w:val="18"/>
                <w:lang w:val="es-ES_tradnl" w:eastAsia="zh-CN"/>
              </w:rPr>
            </w:pPr>
            <w:r w:rsidRPr="00A202B4">
              <w:rPr>
                <w:sz w:val="18"/>
                <w:szCs w:val="18"/>
                <w:lang w:val="es-ES_tradnl" w:eastAsia="zh-CN"/>
              </w:rPr>
              <w:t xml:space="preserve">Argelia </w:t>
            </w:r>
          </w:p>
        </w:tc>
        <w:tc>
          <w:tcPr>
            <w:tcW w:w="1180" w:type="dxa"/>
            <w:tcBorders>
              <w:top w:val="nil"/>
              <w:left w:val="nil"/>
              <w:bottom w:val="single" w:sz="4" w:space="0" w:color="auto"/>
              <w:right w:val="single" w:sz="4" w:space="0" w:color="auto"/>
            </w:tcBorders>
            <w:shd w:val="clear" w:color="auto" w:fill="auto"/>
            <w:vAlign w:val="center"/>
            <w:hideMark/>
          </w:tcPr>
          <w:p w14:paraId="7963A27E" w14:textId="77777777" w:rsidR="00D8083E" w:rsidRPr="00A202B4" w:rsidRDefault="00D8083E" w:rsidP="009A372A">
            <w:pPr>
              <w:jc w:val="right"/>
              <w:rPr>
                <w:sz w:val="18"/>
                <w:szCs w:val="18"/>
                <w:lang w:val="es-ES_tradnl" w:eastAsia="zh-CN"/>
              </w:rPr>
            </w:pPr>
            <w:r w:rsidRPr="00A202B4">
              <w:rPr>
                <w:sz w:val="18"/>
                <w:szCs w:val="18"/>
                <w:lang w:val="es-ES_tradnl" w:eastAsia="zh-CN"/>
              </w:rPr>
              <w:t>0,109</w:t>
            </w:r>
          </w:p>
        </w:tc>
        <w:tc>
          <w:tcPr>
            <w:tcW w:w="1180" w:type="dxa"/>
            <w:tcBorders>
              <w:top w:val="nil"/>
              <w:left w:val="nil"/>
              <w:bottom w:val="single" w:sz="4" w:space="0" w:color="auto"/>
              <w:right w:val="single" w:sz="4" w:space="0" w:color="auto"/>
            </w:tcBorders>
            <w:shd w:val="clear" w:color="auto" w:fill="auto"/>
            <w:noWrap/>
            <w:vAlign w:val="center"/>
            <w:hideMark/>
          </w:tcPr>
          <w:p w14:paraId="7E5DAFC2" w14:textId="77777777" w:rsidR="00D8083E" w:rsidRPr="00A202B4" w:rsidRDefault="00D8083E" w:rsidP="009A372A">
            <w:pPr>
              <w:jc w:val="right"/>
              <w:rPr>
                <w:sz w:val="18"/>
                <w:szCs w:val="18"/>
                <w:lang w:val="es-ES_tradnl" w:eastAsia="zh-CN"/>
              </w:rPr>
            </w:pPr>
            <w:r w:rsidRPr="00A202B4">
              <w:rPr>
                <w:sz w:val="18"/>
                <w:szCs w:val="18"/>
                <w:lang w:val="es-ES_tradnl" w:eastAsia="zh-CN"/>
              </w:rPr>
              <w:t>0,154</w:t>
            </w:r>
          </w:p>
        </w:tc>
        <w:tc>
          <w:tcPr>
            <w:tcW w:w="1279" w:type="dxa"/>
            <w:tcBorders>
              <w:top w:val="nil"/>
              <w:left w:val="nil"/>
              <w:bottom w:val="single" w:sz="4" w:space="0" w:color="auto"/>
              <w:right w:val="single" w:sz="4" w:space="0" w:color="auto"/>
            </w:tcBorders>
            <w:shd w:val="clear" w:color="auto" w:fill="auto"/>
            <w:noWrap/>
            <w:vAlign w:val="center"/>
            <w:hideMark/>
          </w:tcPr>
          <w:p w14:paraId="6B2CAC9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4 176 </w:t>
            </w:r>
          </w:p>
        </w:tc>
        <w:tc>
          <w:tcPr>
            <w:tcW w:w="1279" w:type="dxa"/>
            <w:tcBorders>
              <w:top w:val="nil"/>
              <w:left w:val="nil"/>
              <w:bottom w:val="single" w:sz="4" w:space="0" w:color="auto"/>
              <w:right w:val="single" w:sz="4" w:space="0" w:color="auto"/>
            </w:tcBorders>
            <w:shd w:val="clear" w:color="auto" w:fill="auto"/>
            <w:noWrap/>
            <w:vAlign w:val="center"/>
            <w:hideMark/>
          </w:tcPr>
          <w:p w14:paraId="2BE54A1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4 581 </w:t>
            </w:r>
          </w:p>
        </w:tc>
        <w:tc>
          <w:tcPr>
            <w:tcW w:w="1180" w:type="dxa"/>
            <w:tcBorders>
              <w:top w:val="nil"/>
              <w:left w:val="nil"/>
              <w:bottom w:val="single" w:sz="4" w:space="0" w:color="auto"/>
              <w:right w:val="single" w:sz="4" w:space="0" w:color="auto"/>
            </w:tcBorders>
            <w:shd w:val="clear" w:color="auto" w:fill="auto"/>
            <w:noWrap/>
            <w:vAlign w:val="center"/>
            <w:hideMark/>
          </w:tcPr>
          <w:p w14:paraId="16570661"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8 757 </w:t>
            </w:r>
          </w:p>
        </w:tc>
      </w:tr>
      <w:tr w:rsidR="00D8083E" w:rsidRPr="00A202B4" w14:paraId="4734180B"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690B3CB" w14:textId="77777777" w:rsidR="00D8083E" w:rsidRPr="00A202B4" w:rsidRDefault="00D8083E" w:rsidP="009A372A">
            <w:pPr>
              <w:jc w:val="left"/>
              <w:rPr>
                <w:sz w:val="18"/>
                <w:szCs w:val="18"/>
                <w:lang w:val="es-ES_tradnl" w:eastAsia="zh-CN"/>
              </w:rPr>
            </w:pPr>
            <w:r w:rsidRPr="00A202B4">
              <w:rPr>
                <w:sz w:val="18"/>
                <w:szCs w:val="18"/>
                <w:lang w:val="es-ES_tradnl" w:eastAsia="zh-CN"/>
              </w:rPr>
              <w:t>Armenia</w:t>
            </w:r>
          </w:p>
        </w:tc>
        <w:tc>
          <w:tcPr>
            <w:tcW w:w="1180" w:type="dxa"/>
            <w:tcBorders>
              <w:top w:val="nil"/>
              <w:left w:val="nil"/>
              <w:bottom w:val="single" w:sz="4" w:space="0" w:color="auto"/>
              <w:right w:val="single" w:sz="4" w:space="0" w:color="auto"/>
            </w:tcBorders>
            <w:shd w:val="clear" w:color="auto" w:fill="auto"/>
            <w:vAlign w:val="center"/>
            <w:hideMark/>
          </w:tcPr>
          <w:p w14:paraId="384E520E" w14:textId="77777777" w:rsidR="00D8083E" w:rsidRPr="00A202B4" w:rsidRDefault="00D8083E" w:rsidP="009A372A">
            <w:pPr>
              <w:jc w:val="right"/>
              <w:rPr>
                <w:sz w:val="18"/>
                <w:szCs w:val="18"/>
                <w:lang w:val="es-ES_tradnl" w:eastAsia="zh-CN"/>
              </w:rPr>
            </w:pPr>
            <w:r w:rsidRPr="00A202B4">
              <w:rPr>
                <w:sz w:val="18"/>
                <w:szCs w:val="18"/>
                <w:lang w:val="es-ES_tradnl"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2FAEBEB9"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279" w:type="dxa"/>
            <w:tcBorders>
              <w:top w:val="nil"/>
              <w:left w:val="nil"/>
              <w:bottom w:val="single" w:sz="4" w:space="0" w:color="auto"/>
              <w:right w:val="single" w:sz="4" w:space="0" w:color="auto"/>
            </w:tcBorders>
            <w:shd w:val="clear" w:color="auto" w:fill="auto"/>
            <w:noWrap/>
            <w:vAlign w:val="center"/>
            <w:hideMark/>
          </w:tcPr>
          <w:p w14:paraId="5DD79EA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268 </w:t>
            </w:r>
          </w:p>
        </w:tc>
        <w:tc>
          <w:tcPr>
            <w:tcW w:w="1279" w:type="dxa"/>
            <w:tcBorders>
              <w:top w:val="nil"/>
              <w:left w:val="nil"/>
              <w:bottom w:val="single" w:sz="4" w:space="0" w:color="auto"/>
              <w:right w:val="single" w:sz="4" w:space="0" w:color="auto"/>
            </w:tcBorders>
            <w:shd w:val="clear" w:color="auto" w:fill="auto"/>
            <w:noWrap/>
            <w:vAlign w:val="center"/>
            <w:hideMark/>
          </w:tcPr>
          <w:p w14:paraId="33EEC95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6AAE9918"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562 </w:t>
            </w:r>
          </w:p>
        </w:tc>
      </w:tr>
      <w:tr w:rsidR="00D8083E" w:rsidRPr="00A202B4" w14:paraId="6F828837"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48B2E2C" w14:textId="77777777" w:rsidR="00D8083E" w:rsidRPr="00A202B4" w:rsidRDefault="00D8083E" w:rsidP="009A372A">
            <w:pPr>
              <w:jc w:val="left"/>
              <w:rPr>
                <w:sz w:val="18"/>
                <w:szCs w:val="18"/>
                <w:lang w:val="es-ES_tradnl" w:eastAsia="zh-CN"/>
              </w:rPr>
            </w:pPr>
            <w:r w:rsidRPr="00A202B4">
              <w:rPr>
                <w:sz w:val="18"/>
                <w:szCs w:val="18"/>
                <w:lang w:val="es-ES_tradnl" w:eastAsia="zh-CN"/>
              </w:rPr>
              <w:t>Austria</w:t>
            </w:r>
          </w:p>
        </w:tc>
        <w:tc>
          <w:tcPr>
            <w:tcW w:w="1180" w:type="dxa"/>
            <w:tcBorders>
              <w:top w:val="nil"/>
              <w:left w:val="nil"/>
              <w:bottom w:val="single" w:sz="4" w:space="0" w:color="auto"/>
              <w:right w:val="single" w:sz="4" w:space="0" w:color="auto"/>
            </w:tcBorders>
            <w:shd w:val="clear" w:color="auto" w:fill="auto"/>
            <w:vAlign w:val="center"/>
            <w:hideMark/>
          </w:tcPr>
          <w:p w14:paraId="5A770F19" w14:textId="77777777" w:rsidR="00D8083E" w:rsidRPr="00A202B4" w:rsidRDefault="00D8083E" w:rsidP="009A372A">
            <w:pPr>
              <w:jc w:val="right"/>
              <w:rPr>
                <w:sz w:val="18"/>
                <w:szCs w:val="18"/>
                <w:lang w:val="es-ES_tradnl" w:eastAsia="zh-CN"/>
              </w:rPr>
            </w:pPr>
            <w:r w:rsidRPr="00A202B4">
              <w:rPr>
                <w:sz w:val="18"/>
                <w:szCs w:val="18"/>
                <w:lang w:val="es-ES_tradnl" w:eastAsia="zh-CN"/>
              </w:rPr>
              <w:t>0,679</w:t>
            </w:r>
          </w:p>
        </w:tc>
        <w:tc>
          <w:tcPr>
            <w:tcW w:w="1180" w:type="dxa"/>
            <w:tcBorders>
              <w:top w:val="nil"/>
              <w:left w:val="nil"/>
              <w:bottom w:val="single" w:sz="4" w:space="0" w:color="auto"/>
              <w:right w:val="single" w:sz="4" w:space="0" w:color="auto"/>
            </w:tcBorders>
            <w:shd w:val="clear" w:color="auto" w:fill="auto"/>
            <w:noWrap/>
            <w:vAlign w:val="center"/>
            <w:hideMark/>
          </w:tcPr>
          <w:p w14:paraId="248B0601" w14:textId="77777777" w:rsidR="00D8083E" w:rsidRPr="00A202B4" w:rsidRDefault="00D8083E" w:rsidP="009A372A">
            <w:pPr>
              <w:jc w:val="right"/>
              <w:rPr>
                <w:sz w:val="18"/>
                <w:szCs w:val="18"/>
                <w:lang w:val="es-ES_tradnl" w:eastAsia="zh-CN"/>
              </w:rPr>
            </w:pPr>
            <w:r w:rsidRPr="00A202B4">
              <w:rPr>
                <w:sz w:val="18"/>
                <w:szCs w:val="18"/>
                <w:lang w:val="es-ES_tradnl" w:eastAsia="zh-CN"/>
              </w:rPr>
              <w:t>0,959</w:t>
            </w:r>
          </w:p>
        </w:tc>
        <w:tc>
          <w:tcPr>
            <w:tcW w:w="1279" w:type="dxa"/>
            <w:tcBorders>
              <w:top w:val="nil"/>
              <w:left w:val="nil"/>
              <w:bottom w:val="single" w:sz="4" w:space="0" w:color="auto"/>
              <w:right w:val="single" w:sz="4" w:space="0" w:color="auto"/>
            </w:tcBorders>
            <w:shd w:val="clear" w:color="auto" w:fill="auto"/>
            <w:noWrap/>
            <w:vAlign w:val="center"/>
            <w:hideMark/>
          </w:tcPr>
          <w:p w14:paraId="047218A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26 015 </w:t>
            </w:r>
          </w:p>
        </w:tc>
        <w:tc>
          <w:tcPr>
            <w:tcW w:w="1279" w:type="dxa"/>
            <w:tcBorders>
              <w:top w:val="nil"/>
              <w:left w:val="nil"/>
              <w:bottom w:val="single" w:sz="4" w:space="0" w:color="auto"/>
              <w:right w:val="single" w:sz="4" w:space="0" w:color="auto"/>
            </w:tcBorders>
            <w:shd w:val="clear" w:color="auto" w:fill="auto"/>
            <w:noWrap/>
            <w:vAlign w:val="center"/>
            <w:hideMark/>
          </w:tcPr>
          <w:p w14:paraId="282777CF"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28 534 </w:t>
            </w:r>
          </w:p>
        </w:tc>
        <w:tc>
          <w:tcPr>
            <w:tcW w:w="1180" w:type="dxa"/>
            <w:tcBorders>
              <w:top w:val="nil"/>
              <w:left w:val="nil"/>
              <w:bottom w:val="single" w:sz="4" w:space="0" w:color="auto"/>
              <w:right w:val="single" w:sz="4" w:space="0" w:color="auto"/>
            </w:tcBorders>
            <w:shd w:val="clear" w:color="auto" w:fill="auto"/>
            <w:noWrap/>
            <w:vAlign w:val="center"/>
            <w:hideMark/>
          </w:tcPr>
          <w:p w14:paraId="0D2C1732"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54 549 </w:t>
            </w:r>
          </w:p>
        </w:tc>
      </w:tr>
      <w:tr w:rsidR="00D8083E" w:rsidRPr="00A202B4" w14:paraId="64C2E2F2"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DB0A8E0" w14:textId="77777777" w:rsidR="00D8083E" w:rsidRPr="00A202B4" w:rsidRDefault="00D8083E" w:rsidP="009A372A">
            <w:pPr>
              <w:jc w:val="left"/>
              <w:rPr>
                <w:sz w:val="18"/>
                <w:szCs w:val="18"/>
                <w:lang w:val="es-ES_tradnl" w:eastAsia="zh-CN"/>
              </w:rPr>
            </w:pPr>
            <w:r w:rsidRPr="00A202B4">
              <w:rPr>
                <w:sz w:val="18"/>
                <w:szCs w:val="18"/>
                <w:lang w:val="es-ES_tradnl" w:eastAsia="zh-CN"/>
              </w:rPr>
              <w:t>Azerbaiyán</w:t>
            </w:r>
          </w:p>
        </w:tc>
        <w:tc>
          <w:tcPr>
            <w:tcW w:w="1180" w:type="dxa"/>
            <w:tcBorders>
              <w:top w:val="nil"/>
              <w:left w:val="nil"/>
              <w:bottom w:val="single" w:sz="4" w:space="0" w:color="auto"/>
              <w:right w:val="single" w:sz="4" w:space="0" w:color="auto"/>
            </w:tcBorders>
            <w:shd w:val="clear" w:color="auto" w:fill="auto"/>
            <w:vAlign w:val="center"/>
            <w:hideMark/>
          </w:tcPr>
          <w:p w14:paraId="7D4BA629" w14:textId="77777777" w:rsidR="00D8083E" w:rsidRPr="00A202B4" w:rsidRDefault="00D8083E" w:rsidP="009A372A">
            <w:pPr>
              <w:jc w:val="right"/>
              <w:rPr>
                <w:sz w:val="18"/>
                <w:szCs w:val="18"/>
                <w:lang w:val="es-ES_tradnl" w:eastAsia="zh-CN"/>
              </w:rPr>
            </w:pPr>
            <w:r w:rsidRPr="00A202B4">
              <w:rPr>
                <w:sz w:val="18"/>
                <w:szCs w:val="18"/>
                <w:lang w:val="es-ES_tradnl"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5A327EC9" w14:textId="77777777" w:rsidR="00D8083E" w:rsidRPr="00A202B4" w:rsidRDefault="00D8083E" w:rsidP="009A372A">
            <w:pPr>
              <w:jc w:val="right"/>
              <w:rPr>
                <w:sz w:val="18"/>
                <w:szCs w:val="18"/>
                <w:lang w:val="es-ES_tradnl" w:eastAsia="zh-CN"/>
              </w:rPr>
            </w:pPr>
            <w:r w:rsidRPr="00A202B4">
              <w:rPr>
                <w:sz w:val="18"/>
                <w:szCs w:val="18"/>
                <w:lang w:val="es-ES_tradnl" w:eastAsia="zh-CN"/>
              </w:rPr>
              <w:t>0,042</w:t>
            </w:r>
          </w:p>
        </w:tc>
        <w:tc>
          <w:tcPr>
            <w:tcW w:w="1279" w:type="dxa"/>
            <w:tcBorders>
              <w:top w:val="nil"/>
              <w:left w:val="nil"/>
              <w:bottom w:val="single" w:sz="4" w:space="0" w:color="auto"/>
              <w:right w:val="single" w:sz="4" w:space="0" w:color="auto"/>
            </w:tcBorders>
            <w:shd w:val="clear" w:color="auto" w:fill="auto"/>
            <w:noWrap/>
            <w:vAlign w:val="center"/>
            <w:hideMark/>
          </w:tcPr>
          <w:p w14:paraId="5E36C3A7"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1 149 </w:t>
            </w:r>
          </w:p>
        </w:tc>
        <w:tc>
          <w:tcPr>
            <w:tcW w:w="1279" w:type="dxa"/>
            <w:tcBorders>
              <w:top w:val="nil"/>
              <w:left w:val="nil"/>
              <w:bottom w:val="single" w:sz="4" w:space="0" w:color="auto"/>
              <w:right w:val="single" w:sz="4" w:space="0" w:color="auto"/>
            </w:tcBorders>
            <w:shd w:val="clear" w:color="auto" w:fill="auto"/>
            <w:noWrap/>
            <w:vAlign w:val="center"/>
            <w:hideMark/>
          </w:tcPr>
          <w:p w14:paraId="75FCC75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1 261 </w:t>
            </w:r>
          </w:p>
        </w:tc>
        <w:tc>
          <w:tcPr>
            <w:tcW w:w="1180" w:type="dxa"/>
            <w:tcBorders>
              <w:top w:val="nil"/>
              <w:left w:val="nil"/>
              <w:bottom w:val="single" w:sz="4" w:space="0" w:color="auto"/>
              <w:right w:val="single" w:sz="4" w:space="0" w:color="auto"/>
            </w:tcBorders>
            <w:shd w:val="clear" w:color="auto" w:fill="auto"/>
            <w:noWrap/>
            <w:vAlign w:val="center"/>
            <w:hideMark/>
          </w:tcPr>
          <w:p w14:paraId="7D774C9B"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2 410 </w:t>
            </w:r>
          </w:p>
        </w:tc>
      </w:tr>
      <w:tr w:rsidR="00D8083E" w:rsidRPr="00A202B4" w14:paraId="21DFF46A"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3895BDF" w14:textId="77777777" w:rsidR="00D8083E" w:rsidRPr="00A202B4" w:rsidRDefault="00D8083E" w:rsidP="009A372A">
            <w:pPr>
              <w:jc w:val="left"/>
              <w:rPr>
                <w:sz w:val="18"/>
                <w:szCs w:val="18"/>
                <w:lang w:val="es-ES_tradnl" w:eastAsia="zh-CN"/>
              </w:rPr>
            </w:pPr>
            <w:r w:rsidRPr="00A202B4">
              <w:rPr>
                <w:sz w:val="18"/>
                <w:szCs w:val="18"/>
                <w:lang w:val="es-ES_tradnl" w:eastAsia="zh-CN"/>
              </w:rPr>
              <w:t>Bahamas</w:t>
            </w:r>
          </w:p>
        </w:tc>
        <w:tc>
          <w:tcPr>
            <w:tcW w:w="1180" w:type="dxa"/>
            <w:tcBorders>
              <w:top w:val="nil"/>
              <w:left w:val="nil"/>
              <w:bottom w:val="single" w:sz="4" w:space="0" w:color="auto"/>
              <w:right w:val="single" w:sz="4" w:space="0" w:color="auto"/>
            </w:tcBorders>
            <w:shd w:val="clear" w:color="auto" w:fill="auto"/>
            <w:vAlign w:val="center"/>
            <w:hideMark/>
          </w:tcPr>
          <w:p w14:paraId="67963A73" w14:textId="77777777" w:rsidR="00D8083E" w:rsidRPr="00A202B4" w:rsidRDefault="00D8083E" w:rsidP="009A372A">
            <w:pPr>
              <w:jc w:val="right"/>
              <w:rPr>
                <w:sz w:val="18"/>
                <w:szCs w:val="18"/>
                <w:lang w:val="es-ES_tradnl" w:eastAsia="zh-CN"/>
              </w:rPr>
            </w:pPr>
            <w:r w:rsidRPr="00A202B4">
              <w:rPr>
                <w:sz w:val="18"/>
                <w:szCs w:val="18"/>
                <w:lang w:val="es-ES_tradnl"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094D2FB6" w14:textId="77777777" w:rsidR="00D8083E" w:rsidRPr="00A202B4" w:rsidRDefault="00D8083E" w:rsidP="009A372A">
            <w:pPr>
              <w:jc w:val="right"/>
              <w:rPr>
                <w:sz w:val="18"/>
                <w:szCs w:val="18"/>
                <w:lang w:val="es-ES_tradnl" w:eastAsia="zh-CN"/>
              </w:rPr>
            </w:pPr>
            <w:r w:rsidRPr="00A202B4">
              <w:rPr>
                <w:sz w:val="18"/>
                <w:szCs w:val="18"/>
                <w:lang w:val="es-ES_tradnl" w:eastAsia="zh-CN"/>
              </w:rPr>
              <w:t>0,027</w:t>
            </w:r>
          </w:p>
        </w:tc>
        <w:tc>
          <w:tcPr>
            <w:tcW w:w="1279" w:type="dxa"/>
            <w:tcBorders>
              <w:top w:val="nil"/>
              <w:left w:val="nil"/>
              <w:bottom w:val="single" w:sz="4" w:space="0" w:color="auto"/>
              <w:right w:val="single" w:sz="4" w:space="0" w:color="auto"/>
            </w:tcBorders>
            <w:shd w:val="clear" w:color="auto" w:fill="auto"/>
            <w:noWrap/>
            <w:vAlign w:val="center"/>
            <w:hideMark/>
          </w:tcPr>
          <w:p w14:paraId="712C1C1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728 </w:t>
            </w:r>
          </w:p>
        </w:tc>
        <w:tc>
          <w:tcPr>
            <w:tcW w:w="1279" w:type="dxa"/>
            <w:tcBorders>
              <w:top w:val="nil"/>
              <w:left w:val="nil"/>
              <w:bottom w:val="single" w:sz="4" w:space="0" w:color="auto"/>
              <w:right w:val="single" w:sz="4" w:space="0" w:color="auto"/>
            </w:tcBorders>
            <w:shd w:val="clear" w:color="auto" w:fill="auto"/>
            <w:noWrap/>
            <w:vAlign w:val="center"/>
            <w:hideMark/>
          </w:tcPr>
          <w:p w14:paraId="443EFA1F"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3F0E47A9"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1 526 </w:t>
            </w:r>
          </w:p>
        </w:tc>
      </w:tr>
      <w:tr w:rsidR="00D8083E" w:rsidRPr="00A202B4" w14:paraId="04CA9B41"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7B04E11" w14:textId="77777777" w:rsidR="00D8083E" w:rsidRPr="00A202B4" w:rsidRDefault="00D8083E" w:rsidP="009A372A">
            <w:pPr>
              <w:jc w:val="left"/>
              <w:rPr>
                <w:sz w:val="18"/>
                <w:szCs w:val="18"/>
                <w:lang w:val="es-ES_tradnl" w:eastAsia="zh-CN"/>
              </w:rPr>
            </w:pPr>
            <w:r w:rsidRPr="00A202B4">
              <w:rPr>
                <w:sz w:val="18"/>
                <w:szCs w:val="18"/>
                <w:lang w:val="es-ES_tradnl" w:eastAsia="zh-CN"/>
              </w:rPr>
              <w:t>Bahrein</w:t>
            </w:r>
          </w:p>
        </w:tc>
        <w:tc>
          <w:tcPr>
            <w:tcW w:w="1180" w:type="dxa"/>
            <w:tcBorders>
              <w:top w:val="nil"/>
              <w:left w:val="nil"/>
              <w:bottom w:val="single" w:sz="4" w:space="0" w:color="auto"/>
              <w:right w:val="single" w:sz="4" w:space="0" w:color="auto"/>
            </w:tcBorders>
            <w:shd w:val="clear" w:color="auto" w:fill="auto"/>
            <w:vAlign w:val="center"/>
            <w:hideMark/>
          </w:tcPr>
          <w:p w14:paraId="31AFA790" w14:textId="77777777" w:rsidR="00D8083E" w:rsidRPr="00A202B4" w:rsidRDefault="00D8083E" w:rsidP="009A372A">
            <w:pPr>
              <w:jc w:val="right"/>
              <w:rPr>
                <w:sz w:val="18"/>
                <w:szCs w:val="18"/>
                <w:lang w:val="es-ES_tradnl" w:eastAsia="zh-CN"/>
              </w:rPr>
            </w:pPr>
            <w:r w:rsidRPr="00A202B4">
              <w:rPr>
                <w:sz w:val="18"/>
                <w:szCs w:val="18"/>
                <w:lang w:val="es-ES_tradnl" w:eastAsia="zh-CN"/>
              </w:rPr>
              <w:t>0,054</w:t>
            </w:r>
          </w:p>
        </w:tc>
        <w:tc>
          <w:tcPr>
            <w:tcW w:w="1180" w:type="dxa"/>
            <w:tcBorders>
              <w:top w:val="nil"/>
              <w:left w:val="nil"/>
              <w:bottom w:val="single" w:sz="4" w:space="0" w:color="auto"/>
              <w:right w:val="single" w:sz="4" w:space="0" w:color="auto"/>
            </w:tcBorders>
            <w:shd w:val="clear" w:color="auto" w:fill="auto"/>
            <w:noWrap/>
            <w:vAlign w:val="center"/>
            <w:hideMark/>
          </w:tcPr>
          <w:p w14:paraId="3ABBFA6E" w14:textId="77777777" w:rsidR="00D8083E" w:rsidRPr="00A202B4" w:rsidRDefault="00D8083E" w:rsidP="009A372A">
            <w:pPr>
              <w:jc w:val="right"/>
              <w:rPr>
                <w:sz w:val="18"/>
                <w:szCs w:val="18"/>
                <w:lang w:val="es-ES_tradnl" w:eastAsia="zh-CN"/>
              </w:rPr>
            </w:pPr>
            <w:r w:rsidRPr="00A202B4">
              <w:rPr>
                <w:sz w:val="18"/>
                <w:szCs w:val="18"/>
                <w:lang w:val="es-ES_tradnl" w:eastAsia="zh-CN"/>
              </w:rPr>
              <w:t>0,076</w:t>
            </w:r>
          </w:p>
        </w:tc>
        <w:tc>
          <w:tcPr>
            <w:tcW w:w="1279" w:type="dxa"/>
            <w:tcBorders>
              <w:top w:val="nil"/>
              <w:left w:val="nil"/>
              <w:bottom w:val="single" w:sz="4" w:space="0" w:color="auto"/>
              <w:right w:val="single" w:sz="4" w:space="0" w:color="auto"/>
            </w:tcBorders>
            <w:shd w:val="clear" w:color="auto" w:fill="auto"/>
            <w:noWrap/>
            <w:vAlign w:val="center"/>
            <w:hideMark/>
          </w:tcPr>
          <w:p w14:paraId="588333DD"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2 069 </w:t>
            </w:r>
          </w:p>
        </w:tc>
        <w:tc>
          <w:tcPr>
            <w:tcW w:w="1279" w:type="dxa"/>
            <w:tcBorders>
              <w:top w:val="nil"/>
              <w:left w:val="nil"/>
              <w:bottom w:val="single" w:sz="4" w:space="0" w:color="auto"/>
              <w:right w:val="single" w:sz="4" w:space="0" w:color="auto"/>
            </w:tcBorders>
            <w:shd w:val="clear" w:color="auto" w:fill="auto"/>
            <w:noWrap/>
            <w:vAlign w:val="center"/>
            <w:hideMark/>
          </w:tcPr>
          <w:p w14:paraId="3C69805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2 269 </w:t>
            </w:r>
          </w:p>
        </w:tc>
        <w:tc>
          <w:tcPr>
            <w:tcW w:w="1180" w:type="dxa"/>
            <w:tcBorders>
              <w:top w:val="nil"/>
              <w:left w:val="nil"/>
              <w:bottom w:val="single" w:sz="4" w:space="0" w:color="auto"/>
              <w:right w:val="single" w:sz="4" w:space="0" w:color="auto"/>
            </w:tcBorders>
            <w:shd w:val="clear" w:color="auto" w:fill="auto"/>
            <w:noWrap/>
            <w:vAlign w:val="center"/>
            <w:hideMark/>
          </w:tcPr>
          <w:p w14:paraId="366CBE3B"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4 338 </w:t>
            </w:r>
          </w:p>
        </w:tc>
      </w:tr>
      <w:tr w:rsidR="00D8083E" w:rsidRPr="00A202B4" w14:paraId="03DA0648"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BB2BA78" w14:textId="77777777" w:rsidR="00D8083E" w:rsidRPr="00A202B4" w:rsidRDefault="00D8083E" w:rsidP="009A372A">
            <w:pPr>
              <w:jc w:val="left"/>
              <w:rPr>
                <w:sz w:val="18"/>
                <w:szCs w:val="18"/>
                <w:lang w:val="es-ES_tradnl" w:eastAsia="zh-CN"/>
              </w:rPr>
            </w:pPr>
            <w:r w:rsidRPr="00A202B4">
              <w:rPr>
                <w:sz w:val="18"/>
                <w:szCs w:val="18"/>
                <w:lang w:val="es-ES_tradnl" w:eastAsia="zh-CN"/>
              </w:rPr>
              <w:t>Bangladesh</w:t>
            </w:r>
          </w:p>
        </w:tc>
        <w:tc>
          <w:tcPr>
            <w:tcW w:w="1180" w:type="dxa"/>
            <w:tcBorders>
              <w:top w:val="nil"/>
              <w:left w:val="nil"/>
              <w:bottom w:val="single" w:sz="4" w:space="0" w:color="auto"/>
              <w:right w:val="single" w:sz="4" w:space="0" w:color="auto"/>
            </w:tcBorders>
            <w:shd w:val="clear" w:color="auto" w:fill="auto"/>
            <w:vAlign w:val="center"/>
            <w:hideMark/>
          </w:tcPr>
          <w:p w14:paraId="42A86DBA"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2865435"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279" w:type="dxa"/>
            <w:tcBorders>
              <w:top w:val="nil"/>
              <w:left w:val="nil"/>
              <w:bottom w:val="single" w:sz="4" w:space="0" w:color="auto"/>
              <w:right w:val="single" w:sz="4" w:space="0" w:color="auto"/>
            </w:tcBorders>
            <w:shd w:val="clear" w:color="auto" w:fill="auto"/>
            <w:noWrap/>
            <w:vAlign w:val="center"/>
            <w:hideMark/>
          </w:tcPr>
          <w:p w14:paraId="065954B7"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271 </w:t>
            </w:r>
          </w:p>
        </w:tc>
        <w:tc>
          <w:tcPr>
            <w:tcW w:w="1279" w:type="dxa"/>
            <w:tcBorders>
              <w:top w:val="nil"/>
              <w:left w:val="nil"/>
              <w:bottom w:val="single" w:sz="4" w:space="0" w:color="auto"/>
              <w:right w:val="single" w:sz="4" w:space="0" w:color="auto"/>
            </w:tcBorders>
            <w:shd w:val="clear" w:color="auto" w:fill="auto"/>
            <w:noWrap/>
            <w:vAlign w:val="center"/>
            <w:hideMark/>
          </w:tcPr>
          <w:p w14:paraId="2C13B3B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0AE16485"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569 </w:t>
            </w:r>
          </w:p>
        </w:tc>
      </w:tr>
      <w:tr w:rsidR="00D8083E" w:rsidRPr="00A202B4" w14:paraId="57A39724"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E2FA1F7" w14:textId="77777777" w:rsidR="00D8083E" w:rsidRPr="00A202B4" w:rsidRDefault="00D8083E" w:rsidP="009A372A">
            <w:pPr>
              <w:jc w:val="left"/>
              <w:rPr>
                <w:sz w:val="18"/>
                <w:szCs w:val="18"/>
                <w:lang w:val="es-ES_tradnl" w:eastAsia="zh-CN"/>
              </w:rPr>
            </w:pPr>
            <w:r w:rsidRPr="00A202B4">
              <w:rPr>
                <w:sz w:val="18"/>
                <w:szCs w:val="18"/>
                <w:lang w:val="es-ES_tradnl" w:eastAsia="zh-CN"/>
              </w:rPr>
              <w:t>Barbados</w:t>
            </w:r>
          </w:p>
        </w:tc>
        <w:tc>
          <w:tcPr>
            <w:tcW w:w="1180" w:type="dxa"/>
            <w:tcBorders>
              <w:top w:val="nil"/>
              <w:left w:val="nil"/>
              <w:bottom w:val="single" w:sz="4" w:space="0" w:color="auto"/>
              <w:right w:val="single" w:sz="4" w:space="0" w:color="auto"/>
            </w:tcBorders>
            <w:shd w:val="clear" w:color="auto" w:fill="auto"/>
            <w:vAlign w:val="center"/>
            <w:hideMark/>
          </w:tcPr>
          <w:p w14:paraId="64656834" w14:textId="77777777" w:rsidR="00D8083E" w:rsidRPr="00A202B4" w:rsidRDefault="00D8083E" w:rsidP="009A372A">
            <w:pPr>
              <w:jc w:val="right"/>
              <w:rPr>
                <w:sz w:val="18"/>
                <w:szCs w:val="18"/>
                <w:lang w:val="es-ES_tradnl" w:eastAsia="zh-CN"/>
              </w:rPr>
            </w:pPr>
            <w:r w:rsidRPr="00A202B4">
              <w:rPr>
                <w:sz w:val="18"/>
                <w:szCs w:val="18"/>
                <w:lang w:val="es-ES_tradnl"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215B8D2D" w14:textId="77777777" w:rsidR="00D8083E" w:rsidRPr="00A202B4" w:rsidRDefault="00D8083E" w:rsidP="009A372A">
            <w:pPr>
              <w:jc w:val="right"/>
              <w:rPr>
                <w:sz w:val="18"/>
                <w:szCs w:val="18"/>
                <w:lang w:val="es-ES_tradnl" w:eastAsia="zh-CN"/>
              </w:rPr>
            </w:pPr>
            <w:r w:rsidRPr="00A202B4">
              <w:rPr>
                <w:sz w:val="18"/>
                <w:szCs w:val="18"/>
                <w:lang w:val="es-ES_tradnl" w:eastAsia="zh-CN"/>
              </w:rPr>
              <w:t>0,011</w:t>
            </w:r>
          </w:p>
        </w:tc>
        <w:tc>
          <w:tcPr>
            <w:tcW w:w="1279" w:type="dxa"/>
            <w:tcBorders>
              <w:top w:val="nil"/>
              <w:left w:val="nil"/>
              <w:bottom w:val="single" w:sz="4" w:space="0" w:color="auto"/>
              <w:right w:val="single" w:sz="4" w:space="0" w:color="auto"/>
            </w:tcBorders>
            <w:shd w:val="clear" w:color="auto" w:fill="auto"/>
            <w:noWrap/>
            <w:vAlign w:val="center"/>
            <w:hideMark/>
          </w:tcPr>
          <w:p w14:paraId="5043BB9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307 </w:t>
            </w:r>
          </w:p>
        </w:tc>
        <w:tc>
          <w:tcPr>
            <w:tcW w:w="1279" w:type="dxa"/>
            <w:tcBorders>
              <w:top w:val="nil"/>
              <w:left w:val="nil"/>
              <w:bottom w:val="single" w:sz="4" w:space="0" w:color="auto"/>
              <w:right w:val="single" w:sz="4" w:space="0" w:color="auto"/>
            </w:tcBorders>
            <w:shd w:val="clear" w:color="auto" w:fill="auto"/>
            <w:noWrap/>
            <w:vAlign w:val="center"/>
            <w:hideMark/>
          </w:tcPr>
          <w:p w14:paraId="5181155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601D1B0C"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643 </w:t>
            </w:r>
          </w:p>
        </w:tc>
      </w:tr>
      <w:tr w:rsidR="00D8083E" w:rsidRPr="00A202B4" w14:paraId="12C085C2"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9EA1C9E" w14:textId="77777777" w:rsidR="00D8083E" w:rsidRPr="00A202B4" w:rsidRDefault="00D8083E" w:rsidP="009A372A">
            <w:pPr>
              <w:jc w:val="left"/>
              <w:rPr>
                <w:sz w:val="18"/>
                <w:szCs w:val="18"/>
                <w:lang w:val="es-ES_tradnl" w:eastAsia="zh-CN"/>
              </w:rPr>
            </w:pPr>
            <w:r w:rsidRPr="00A202B4">
              <w:rPr>
                <w:sz w:val="18"/>
                <w:szCs w:val="18"/>
                <w:lang w:val="es-ES_tradnl" w:eastAsia="zh-CN"/>
              </w:rPr>
              <w:t>Belarús</w:t>
            </w:r>
          </w:p>
        </w:tc>
        <w:tc>
          <w:tcPr>
            <w:tcW w:w="1180" w:type="dxa"/>
            <w:tcBorders>
              <w:top w:val="nil"/>
              <w:left w:val="nil"/>
              <w:bottom w:val="single" w:sz="4" w:space="0" w:color="auto"/>
              <w:right w:val="single" w:sz="4" w:space="0" w:color="auto"/>
            </w:tcBorders>
            <w:shd w:val="clear" w:color="auto" w:fill="auto"/>
            <w:vAlign w:val="center"/>
            <w:hideMark/>
          </w:tcPr>
          <w:p w14:paraId="65589963" w14:textId="77777777" w:rsidR="00D8083E" w:rsidRPr="00A202B4" w:rsidRDefault="00D8083E" w:rsidP="009A372A">
            <w:pPr>
              <w:jc w:val="right"/>
              <w:rPr>
                <w:sz w:val="18"/>
                <w:szCs w:val="18"/>
                <w:lang w:val="es-ES_tradnl" w:eastAsia="zh-CN"/>
              </w:rPr>
            </w:pPr>
            <w:r w:rsidRPr="00A202B4">
              <w:rPr>
                <w:sz w:val="18"/>
                <w:szCs w:val="18"/>
                <w:lang w:val="es-ES_tradnl" w:eastAsia="zh-CN"/>
              </w:rPr>
              <w:t>0,041</w:t>
            </w:r>
          </w:p>
        </w:tc>
        <w:tc>
          <w:tcPr>
            <w:tcW w:w="1180" w:type="dxa"/>
            <w:tcBorders>
              <w:top w:val="nil"/>
              <w:left w:val="nil"/>
              <w:bottom w:val="single" w:sz="4" w:space="0" w:color="auto"/>
              <w:right w:val="single" w:sz="4" w:space="0" w:color="auto"/>
            </w:tcBorders>
            <w:shd w:val="clear" w:color="auto" w:fill="auto"/>
            <w:noWrap/>
            <w:vAlign w:val="center"/>
            <w:hideMark/>
          </w:tcPr>
          <w:p w14:paraId="13014974" w14:textId="77777777" w:rsidR="00D8083E" w:rsidRPr="00A202B4" w:rsidRDefault="00D8083E" w:rsidP="009A372A">
            <w:pPr>
              <w:jc w:val="right"/>
              <w:rPr>
                <w:sz w:val="18"/>
                <w:szCs w:val="18"/>
                <w:lang w:val="es-ES_tradnl" w:eastAsia="zh-CN"/>
              </w:rPr>
            </w:pPr>
            <w:r w:rsidRPr="00A202B4">
              <w:rPr>
                <w:sz w:val="18"/>
                <w:szCs w:val="18"/>
                <w:lang w:val="es-ES_tradnl" w:eastAsia="zh-CN"/>
              </w:rPr>
              <w:t>0,058</w:t>
            </w:r>
          </w:p>
        </w:tc>
        <w:tc>
          <w:tcPr>
            <w:tcW w:w="1279" w:type="dxa"/>
            <w:tcBorders>
              <w:top w:val="nil"/>
              <w:left w:val="nil"/>
              <w:bottom w:val="single" w:sz="4" w:space="0" w:color="auto"/>
              <w:right w:val="single" w:sz="4" w:space="0" w:color="auto"/>
            </w:tcBorders>
            <w:shd w:val="clear" w:color="auto" w:fill="auto"/>
            <w:noWrap/>
            <w:vAlign w:val="center"/>
            <w:hideMark/>
          </w:tcPr>
          <w:p w14:paraId="336B9C7E"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1 571 </w:t>
            </w:r>
          </w:p>
        </w:tc>
        <w:tc>
          <w:tcPr>
            <w:tcW w:w="1279" w:type="dxa"/>
            <w:tcBorders>
              <w:top w:val="nil"/>
              <w:left w:val="nil"/>
              <w:bottom w:val="single" w:sz="4" w:space="0" w:color="auto"/>
              <w:right w:val="single" w:sz="4" w:space="0" w:color="auto"/>
            </w:tcBorders>
            <w:shd w:val="clear" w:color="auto" w:fill="auto"/>
            <w:noWrap/>
            <w:vAlign w:val="center"/>
            <w:hideMark/>
          </w:tcPr>
          <w:p w14:paraId="425F4DD6"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1 723 </w:t>
            </w:r>
          </w:p>
        </w:tc>
        <w:tc>
          <w:tcPr>
            <w:tcW w:w="1180" w:type="dxa"/>
            <w:tcBorders>
              <w:top w:val="nil"/>
              <w:left w:val="nil"/>
              <w:bottom w:val="single" w:sz="4" w:space="0" w:color="auto"/>
              <w:right w:val="single" w:sz="4" w:space="0" w:color="auto"/>
            </w:tcBorders>
            <w:shd w:val="clear" w:color="auto" w:fill="auto"/>
            <w:noWrap/>
            <w:vAlign w:val="center"/>
            <w:hideMark/>
          </w:tcPr>
          <w:p w14:paraId="5D39F032"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3 294 </w:t>
            </w:r>
          </w:p>
        </w:tc>
      </w:tr>
      <w:tr w:rsidR="00D8083E" w:rsidRPr="00A202B4" w14:paraId="31FE382A"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ED823E9" w14:textId="77777777" w:rsidR="00D8083E" w:rsidRPr="00A202B4" w:rsidRDefault="00D8083E" w:rsidP="009A372A">
            <w:pPr>
              <w:jc w:val="left"/>
              <w:rPr>
                <w:sz w:val="18"/>
                <w:szCs w:val="18"/>
                <w:lang w:val="es-ES_tradnl" w:eastAsia="zh-CN"/>
              </w:rPr>
            </w:pPr>
            <w:r w:rsidRPr="00A202B4">
              <w:rPr>
                <w:sz w:val="18"/>
                <w:szCs w:val="18"/>
                <w:lang w:val="es-ES_tradnl" w:eastAsia="zh-CN"/>
              </w:rPr>
              <w:t>Bélgica</w:t>
            </w:r>
          </w:p>
        </w:tc>
        <w:tc>
          <w:tcPr>
            <w:tcW w:w="1180" w:type="dxa"/>
            <w:tcBorders>
              <w:top w:val="nil"/>
              <w:left w:val="nil"/>
              <w:bottom w:val="single" w:sz="4" w:space="0" w:color="auto"/>
              <w:right w:val="single" w:sz="4" w:space="0" w:color="auto"/>
            </w:tcBorders>
            <w:shd w:val="clear" w:color="auto" w:fill="auto"/>
            <w:vAlign w:val="center"/>
            <w:hideMark/>
          </w:tcPr>
          <w:p w14:paraId="44E6A9F0" w14:textId="77777777" w:rsidR="00D8083E" w:rsidRPr="00A202B4" w:rsidRDefault="00D8083E" w:rsidP="009A372A">
            <w:pPr>
              <w:jc w:val="right"/>
              <w:rPr>
                <w:sz w:val="18"/>
                <w:szCs w:val="18"/>
                <w:lang w:val="es-ES_tradnl" w:eastAsia="zh-CN"/>
              </w:rPr>
            </w:pPr>
            <w:r w:rsidRPr="00A202B4">
              <w:rPr>
                <w:sz w:val="18"/>
                <w:szCs w:val="18"/>
                <w:lang w:val="es-ES_tradnl" w:eastAsia="zh-CN"/>
              </w:rPr>
              <w:t>0,828</w:t>
            </w:r>
          </w:p>
        </w:tc>
        <w:tc>
          <w:tcPr>
            <w:tcW w:w="1180" w:type="dxa"/>
            <w:tcBorders>
              <w:top w:val="nil"/>
              <w:left w:val="nil"/>
              <w:bottom w:val="single" w:sz="4" w:space="0" w:color="auto"/>
              <w:right w:val="single" w:sz="4" w:space="0" w:color="auto"/>
            </w:tcBorders>
            <w:shd w:val="clear" w:color="auto" w:fill="auto"/>
            <w:noWrap/>
            <w:vAlign w:val="center"/>
            <w:hideMark/>
          </w:tcPr>
          <w:p w14:paraId="6012459C" w14:textId="77777777" w:rsidR="00D8083E" w:rsidRPr="00A202B4" w:rsidRDefault="00D8083E" w:rsidP="009A372A">
            <w:pPr>
              <w:jc w:val="right"/>
              <w:rPr>
                <w:sz w:val="18"/>
                <w:szCs w:val="18"/>
                <w:lang w:val="es-ES_tradnl" w:eastAsia="zh-CN"/>
              </w:rPr>
            </w:pPr>
            <w:r w:rsidRPr="00A202B4">
              <w:rPr>
                <w:sz w:val="18"/>
                <w:szCs w:val="18"/>
                <w:lang w:val="es-ES_tradnl" w:eastAsia="zh-CN"/>
              </w:rPr>
              <w:t>1,169</w:t>
            </w:r>
          </w:p>
        </w:tc>
        <w:tc>
          <w:tcPr>
            <w:tcW w:w="1279" w:type="dxa"/>
            <w:tcBorders>
              <w:top w:val="nil"/>
              <w:left w:val="nil"/>
              <w:bottom w:val="single" w:sz="4" w:space="0" w:color="auto"/>
              <w:right w:val="single" w:sz="4" w:space="0" w:color="auto"/>
            </w:tcBorders>
            <w:shd w:val="clear" w:color="auto" w:fill="auto"/>
            <w:noWrap/>
            <w:vAlign w:val="center"/>
            <w:hideMark/>
          </w:tcPr>
          <w:p w14:paraId="3805615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31 724 </w:t>
            </w:r>
          </w:p>
        </w:tc>
        <w:tc>
          <w:tcPr>
            <w:tcW w:w="1279" w:type="dxa"/>
            <w:tcBorders>
              <w:top w:val="nil"/>
              <w:left w:val="nil"/>
              <w:bottom w:val="single" w:sz="4" w:space="0" w:color="auto"/>
              <w:right w:val="single" w:sz="4" w:space="0" w:color="auto"/>
            </w:tcBorders>
            <w:shd w:val="clear" w:color="auto" w:fill="auto"/>
            <w:noWrap/>
            <w:vAlign w:val="center"/>
            <w:hideMark/>
          </w:tcPr>
          <w:p w14:paraId="41732CA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34 796 </w:t>
            </w:r>
          </w:p>
        </w:tc>
        <w:tc>
          <w:tcPr>
            <w:tcW w:w="1180" w:type="dxa"/>
            <w:tcBorders>
              <w:top w:val="nil"/>
              <w:left w:val="nil"/>
              <w:bottom w:val="single" w:sz="4" w:space="0" w:color="auto"/>
              <w:right w:val="single" w:sz="4" w:space="0" w:color="auto"/>
            </w:tcBorders>
            <w:shd w:val="clear" w:color="auto" w:fill="auto"/>
            <w:noWrap/>
            <w:vAlign w:val="center"/>
            <w:hideMark/>
          </w:tcPr>
          <w:p w14:paraId="7A83EBE9"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66 520 </w:t>
            </w:r>
          </w:p>
        </w:tc>
      </w:tr>
      <w:tr w:rsidR="00D8083E" w:rsidRPr="00A202B4" w14:paraId="7032ABE7"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0BD7A1B" w14:textId="77777777" w:rsidR="00D8083E" w:rsidRPr="00A202B4" w:rsidRDefault="00D8083E" w:rsidP="009A372A">
            <w:pPr>
              <w:jc w:val="left"/>
              <w:rPr>
                <w:sz w:val="18"/>
                <w:szCs w:val="18"/>
                <w:lang w:val="es-ES_tradnl" w:eastAsia="zh-CN"/>
              </w:rPr>
            </w:pPr>
            <w:r w:rsidRPr="00A202B4">
              <w:rPr>
                <w:sz w:val="18"/>
                <w:szCs w:val="18"/>
                <w:lang w:val="es-ES_tradnl" w:eastAsia="zh-CN"/>
              </w:rPr>
              <w:t>Belice</w:t>
            </w:r>
          </w:p>
        </w:tc>
        <w:tc>
          <w:tcPr>
            <w:tcW w:w="1180" w:type="dxa"/>
            <w:tcBorders>
              <w:top w:val="nil"/>
              <w:left w:val="nil"/>
              <w:bottom w:val="single" w:sz="4" w:space="0" w:color="auto"/>
              <w:right w:val="single" w:sz="4" w:space="0" w:color="auto"/>
            </w:tcBorders>
            <w:shd w:val="clear" w:color="auto" w:fill="auto"/>
            <w:vAlign w:val="center"/>
            <w:hideMark/>
          </w:tcPr>
          <w:p w14:paraId="0001FEEE"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79DAEE0"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274AB87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7893FFD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60CB3EBC"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36976690"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2F9B58D" w14:textId="77777777" w:rsidR="00D8083E" w:rsidRPr="00A202B4" w:rsidRDefault="00D8083E" w:rsidP="009A372A">
            <w:pPr>
              <w:jc w:val="left"/>
              <w:rPr>
                <w:sz w:val="18"/>
                <w:szCs w:val="18"/>
                <w:lang w:val="es-ES_tradnl" w:eastAsia="zh-CN"/>
              </w:rPr>
            </w:pPr>
            <w:r w:rsidRPr="00A202B4">
              <w:rPr>
                <w:sz w:val="18"/>
                <w:szCs w:val="18"/>
                <w:lang w:val="es-ES_tradnl" w:eastAsia="zh-CN"/>
              </w:rPr>
              <w:t>Benín</w:t>
            </w:r>
          </w:p>
        </w:tc>
        <w:tc>
          <w:tcPr>
            <w:tcW w:w="1180" w:type="dxa"/>
            <w:tcBorders>
              <w:top w:val="nil"/>
              <w:left w:val="nil"/>
              <w:bottom w:val="single" w:sz="4" w:space="0" w:color="auto"/>
              <w:right w:val="single" w:sz="4" w:space="0" w:color="auto"/>
            </w:tcBorders>
            <w:shd w:val="clear" w:color="auto" w:fill="auto"/>
            <w:vAlign w:val="center"/>
            <w:hideMark/>
          </w:tcPr>
          <w:p w14:paraId="20B6CD26" w14:textId="77777777" w:rsidR="00D8083E" w:rsidRPr="00A202B4" w:rsidRDefault="00D8083E" w:rsidP="009A372A">
            <w:pPr>
              <w:jc w:val="right"/>
              <w:rPr>
                <w:sz w:val="18"/>
                <w:szCs w:val="18"/>
                <w:lang w:val="es-ES_tradnl" w:eastAsia="zh-CN"/>
              </w:rPr>
            </w:pPr>
            <w:r w:rsidRPr="00A202B4">
              <w:rPr>
                <w:sz w:val="18"/>
                <w:szCs w:val="18"/>
                <w:lang w:val="es-ES_tradnl"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1FE8E600" w14:textId="77777777" w:rsidR="00D8083E" w:rsidRPr="00A202B4" w:rsidRDefault="00D8083E" w:rsidP="009A372A">
            <w:pPr>
              <w:jc w:val="right"/>
              <w:rPr>
                <w:sz w:val="18"/>
                <w:szCs w:val="18"/>
                <w:lang w:val="es-ES_tradnl" w:eastAsia="zh-CN"/>
              </w:rPr>
            </w:pPr>
            <w:r w:rsidRPr="00A202B4">
              <w:rPr>
                <w:sz w:val="18"/>
                <w:szCs w:val="18"/>
                <w:lang w:val="es-ES_tradnl" w:eastAsia="zh-CN"/>
              </w:rPr>
              <w:t>0,007</w:t>
            </w:r>
          </w:p>
        </w:tc>
        <w:tc>
          <w:tcPr>
            <w:tcW w:w="1279" w:type="dxa"/>
            <w:tcBorders>
              <w:top w:val="nil"/>
              <w:left w:val="nil"/>
              <w:bottom w:val="single" w:sz="4" w:space="0" w:color="auto"/>
              <w:right w:val="single" w:sz="4" w:space="0" w:color="auto"/>
            </w:tcBorders>
            <w:shd w:val="clear" w:color="auto" w:fill="auto"/>
            <w:noWrap/>
            <w:vAlign w:val="center"/>
            <w:hideMark/>
          </w:tcPr>
          <w:p w14:paraId="44CC548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192 </w:t>
            </w:r>
          </w:p>
        </w:tc>
        <w:tc>
          <w:tcPr>
            <w:tcW w:w="1279" w:type="dxa"/>
            <w:tcBorders>
              <w:top w:val="nil"/>
              <w:left w:val="nil"/>
              <w:bottom w:val="single" w:sz="4" w:space="0" w:color="auto"/>
              <w:right w:val="single" w:sz="4" w:space="0" w:color="auto"/>
            </w:tcBorders>
            <w:shd w:val="clear" w:color="auto" w:fill="auto"/>
            <w:noWrap/>
            <w:vAlign w:val="center"/>
            <w:hideMark/>
          </w:tcPr>
          <w:p w14:paraId="6DD2D62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4C6E17E4"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402 </w:t>
            </w:r>
          </w:p>
        </w:tc>
      </w:tr>
      <w:tr w:rsidR="00D8083E" w:rsidRPr="00A202B4" w14:paraId="3D02F05C"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94668E5" w14:textId="77777777" w:rsidR="00D8083E" w:rsidRPr="00A202B4" w:rsidRDefault="00D8083E" w:rsidP="009A372A">
            <w:pPr>
              <w:jc w:val="left"/>
              <w:rPr>
                <w:sz w:val="18"/>
                <w:szCs w:val="18"/>
                <w:lang w:val="es-ES_tradnl" w:eastAsia="zh-CN"/>
              </w:rPr>
            </w:pPr>
            <w:r w:rsidRPr="00A202B4">
              <w:rPr>
                <w:sz w:val="18"/>
                <w:szCs w:val="18"/>
                <w:lang w:val="es-ES_tradnl" w:eastAsia="zh-CN"/>
              </w:rPr>
              <w:t>Bhután</w:t>
            </w:r>
          </w:p>
        </w:tc>
        <w:tc>
          <w:tcPr>
            <w:tcW w:w="1180" w:type="dxa"/>
            <w:tcBorders>
              <w:top w:val="nil"/>
              <w:left w:val="nil"/>
              <w:bottom w:val="single" w:sz="4" w:space="0" w:color="auto"/>
              <w:right w:val="single" w:sz="4" w:space="0" w:color="auto"/>
            </w:tcBorders>
            <w:shd w:val="clear" w:color="auto" w:fill="auto"/>
            <w:vAlign w:val="center"/>
            <w:hideMark/>
          </w:tcPr>
          <w:p w14:paraId="4D32F713"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73D8498"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4E149C4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07BB25B6"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31A25E28"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59BB0B94"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4CBCC5E" w14:textId="77777777" w:rsidR="00D8083E" w:rsidRPr="00A202B4" w:rsidRDefault="00D8083E" w:rsidP="009A372A">
            <w:pPr>
              <w:jc w:val="left"/>
              <w:rPr>
                <w:sz w:val="18"/>
                <w:szCs w:val="18"/>
                <w:lang w:val="es-ES_tradnl" w:eastAsia="zh-CN"/>
              </w:rPr>
            </w:pPr>
            <w:r w:rsidRPr="00A202B4">
              <w:rPr>
                <w:sz w:val="18"/>
                <w:szCs w:val="18"/>
                <w:lang w:val="es-ES_tradnl" w:eastAsia="zh-CN"/>
              </w:rPr>
              <w:t>Bolivia (Estado Plurinacional de)</w:t>
            </w:r>
          </w:p>
        </w:tc>
        <w:tc>
          <w:tcPr>
            <w:tcW w:w="1180" w:type="dxa"/>
            <w:tcBorders>
              <w:top w:val="nil"/>
              <w:left w:val="nil"/>
              <w:bottom w:val="single" w:sz="4" w:space="0" w:color="auto"/>
              <w:right w:val="single" w:sz="4" w:space="0" w:color="auto"/>
            </w:tcBorders>
            <w:shd w:val="clear" w:color="auto" w:fill="auto"/>
            <w:vAlign w:val="center"/>
            <w:hideMark/>
          </w:tcPr>
          <w:p w14:paraId="096C0EEA" w14:textId="77777777" w:rsidR="00D8083E" w:rsidRPr="00A202B4" w:rsidRDefault="00D8083E" w:rsidP="009A372A">
            <w:pPr>
              <w:jc w:val="right"/>
              <w:rPr>
                <w:sz w:val="18"/>
                <w:szCs w:val="18"/>
                <w:lang w:val="es-ES_tradnl" w:eastAsia="zh-CN"/>
              </w:rPr>
            </w:pPr>
            <w:r w:rsidRPr="00A202B4">
              <w:rPr>
                <w:sz w:val="18"/>
                <w:szCs w:val="18"/>
                <w:lang w:val="es-ES_tradnl"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1184D58B" w14:textId="77777777" w:rsidR="00D8083E" w:rsidRPr="00A202B4" w:rsidRDefault="00D8083E" w:rsidP="009A372A">
            <w:pPr>
              <w:jc w:val="right"/>
              <w:rPr>
                <w:sz w:val="18"/>
                <w:szCs w:val="18"/>
                <w:lang w:val="es-ES_tradnl" w:eastAsia="zh-CN"/>
              </w:rPr>
            </w:pPr>
            <w:r w:rsidRPr="00A202B4">
              <w:rPr>
                <w:sz w:val="18"/>
                <w:szCs w:val="18"/>
                <w:lang w:val="es-ES_tradnl" w:eastAsia="zh-CN"/>
              </w:rPr>
              <w:t>0,027</w:t>
            </w:r>
          </w:p>
        </w:tc>
        <w:tc>
          <w:tcPr>
            <w:tcW w:w="1279" w:type="dxa"/>
            <w:tcBorders>
              <w:top w:val="nil"/>
              <w:left w:val="nil"/>
              <w:bottom w:val="single" w:sz="4" w:space="0" w:color="auto"/>
              <w:right w:val="single" w:sz="4" w:space="0" w:color="auto"/>
            </w:tcBorders>
            <w:shd w:val="clear" w:color="auto" w:fill="auto"/>
            <w:noWrap/>
            <w:vAlign w:val="center"/>
            <w:hideMark/>
          </w:tcPr>
          <w:p w14:paraId="3000E14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728 </w:t>
            </w:r>
          </w:p>
        </w:tc>
        <w:tc>
          <w:tcPr>
            <w:tcW w:w="1279" w:type="dxa"/>
            <w:tcBorders>
              <w:top w:val="nil"/>
              <w:left w:val="nil"/>
              <w:bottom w:val="single" w:sz="4" w:space="0" w:color="auto"/>
              <w:right w:val="single" w:sz="4" w:space="0" w:color="auto"/>
            </w:tcBorders>
            <w:shd w:val="clear" w:color="auto" w:fill="auto"/>
            <w:noWrap/>
            <w:vAlign w:val="center"/>
            <w:hideMark/>
          </w:tcPr>
          <w:p w14:paraId="2CCE577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02FDB2A5"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1 526 </w:t>
            </w:r>
          </w:p>
        </w:tc>
      </w:tr>
      <w:tr w:rsidR="00D8083E" w:rsidRPr="00A202B4" w14:paraId="573D2F38"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7B809FA" w14:textId="77777777" w:rsidR="00D8083E" w:rsidRPr="00A202B4" w:rsidRDefault="00D8083E" w:rsidP="009A372A">
            <w:pPr>
              <w:jc w:val="left"/>
              <w:rPr>
                <w:sz w:val="18"/>
                <w:szCs w:val="18"/>
                <w:lang w:val="es-ES_tradnl" w:eastAsia="zh-CN"/>
              </w:rPr>
            </w:pPr>
            <w:r w:rsidRPr="00A202B4">
              <w:rPr>
                <w:sz w:val="18"/>
                <w:szCs w:val="18"/>
                <w:lang w:val="es-ES_tradnl" w:eastAsia="zh-CN"/>
              </w:rPr>
              <w:t>Bosnia y Herzegovina</w:t>
            </w:r>
          </w:p>
        </w:tc>
        <w:tc>
          <w:tcPr>
            <w:tcW w:w="1180" w:type="dxa"/>
            <w:tcBorders>
              <w:top w:val="nil"/>
              <w:left w:val="nil"/>
              <w:bottom w:val="single" w:sz="4" w:space="0" w:color="auto"/>
              <w:right w:val="single" w:sz="4" w:space="0" w:color="auto"/>
            </w:tcBorders>
            <w:shd w:val="clear" w:color="auto" w:fill="auto"/>
            <w:vAlign w:val="center"/>
            <w:hideMark/>
          </w:tcPr>
          <w:p w14:paraId="6A63AB29" w14:textId="77777777" w:rsidR="00D8083E" w:rsidRPr="00A202B4" w:rsidRDefault="00D8083E" w:rsidP="009A372A">
            <w:pPr>
              <w:jc w:val="right"/>
              <w:rPr>
                <w:sz w:val="18"/>
                <w:szCs w:val="18"/>
                <w:lang w:val="es-ES_tradnl" w:eastAsia="zh-CN"/>
              </w:rPr>
            </w:pPr>
            <w:r w:rsidRPr="00A202B4">
              <w:rPr>
                <w:sz w:val="18"/>
                <w:szCs w:val="18"/>
                <w:lang w:val="es-ES_tradnl" w:eastAsia="zh-CN"/>
              </w:rPr>
              <w:t>0,012</w:t>
            </w:r>
          </w:p>
        </w:tc>
        <w:tc>
          <w:tcPr>
            <w:tcW w:w="1180" w:type="dxa"/>
            <w:tcBorders>
              <w:top w:val="nil"/>
              <w:left w:val="nil"/>
              <w:bottom w:val="single" w:sz="4" w:space="0" w:color="auto"/>
              <w:right w:val="single" w:sz="4" w:space="0" w:color="auto"/>
            </w:tcBorders>
            <w:shd w:val="clear" w:color="auto" w:fill="auto"/>
            <w:noWrap/>
            <w:vAlign w:val="center"/>
            <w:hideMark/>
          </w:tcPr>
          <w:p w14:paraId="0CAA411A" w14:textId="77777777" w:rsidR="00D8083E" w:rsidRPr="00A202B4" w:rsidRDefault="00D8083E" w:rsidP="009A372A">
            <w:pPr>
              <w:jc w:val="right"/>
              <w:rPr>
                <w:sz w:val="18"/>
                <w:szCs w:val="18"/>
                <w:lang w:val="es-ES_tradnl" w:eastAsia="zh-CN"/>
              </w:rPr>
            </w:pPr>
            <w:r w:rsidRPr="00A202B4">
              <w:rPr>
                <w:sz w:val="18"/>
                <w:szCs w:val="18"/>
                <w:lang w:val="es-ES_tradnl" w:eastAsia="zh-CN"/>
              </w:rPr>
              <w:t>0,017</w:t>
            </w:r>
          </w:p>
        </w:tc>
        <w:tc>
          <w:tcPr>
            <w:tcW w:w="1279" w:type="dxa"/>
            <w:tcBorders>
              <w:top w:val="nil"/>
              <w:left w:val="nil"/>
              <w:bottom w:val="single" w:sz="4" w:space="0" w:color="auto"/>
              <w:right w:val="single" w:sz="4" w:space="0" w:color="auto"/>
            </w:tcBorders>
            <w:shd w:val="clear" w:color="auto" w:fill="auto"/>
            <w:noWrap/>
            <w:vAlign w:val="center"/>
            <w:hideMark/>
          </w:tcPr>
          <w:p w14:paraId="7A9049EC"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460 </w:t>
            </w:r>
          </w:p>
        </w:tc>
        <w:tc>
          <w:tcPr>
            <w:tcW w:w="1279" w:type="dxa"/>
            <w:tcBorders>
              <w:top w:val="nil"/>
              <w:left w:val="nil"/>
              <w:bottom w:val="single" w:sz="4" w:space="0" w:color="auto"/>
              <w:right w:val="single" w:sz="4" w:space="0" w:color="auto"/>
            </w:tcBorders>
            <w:shd w:val="clear" w:color="auto" w:fill="auto"/>
            <w:noWrap/>
            <w:vAlign w:val="center"/>
            <w:hideMark/>
          </w:tcPr>
          <w:p w14:paraId="0C70EDE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504 </w:t>
            </w:r>
          </w:p>
        </w:tc>
        <w:tc>
          <w:tcPr>
            <w:tcW w:w="1180" w:type="dxa"/>
            <w:tcBorders>
              <w:top w:val="nil"/>
              <w:left w:val="nil"/>
              <w:bottom w:val="single" w:sz="4" w:space="0" w:color="auto"/>
              <w:right w:val="single" w:sz="4" w:space="0" w:color="auto"/>
            </w:tcBorders>
            <w:shd w:val="clear" w:color="auto" w:fill="auto"/>
            <w:noWrap/>
            <w:vAlign w:val="center"/>
            <w:hideMark/>
          </w:tcPr>
          <w:p w14:paraId="6362900D"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964 </w:t>
            </w:r>
          </w:p>
        </w:tc>
      </w:tr>
      <w:tr w:rsidR="00D8083E" w:rsidRPr="00A202B4" w14:paraId="38032712"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14951C8" w14:textId="77777777" w:rsidR="00D8083E" w:rsidRPr="00A202B4" w:rsidRDefault="00D8083E" w:rsidP="009A372A">
            <w:pPr>
              <w:jc w:val="left"/>
              <w:rPr>
                <w:sz w:val="18"/>
                <w:szCs w:val="18"/>
                <w:lang w:val="es-ES_tradnl" w:eastAsia="zh-CN"/>
              </w:rPr>
            </w:pPr>
            <w:r w:rsidRPr="00A202B4">
              <w:rPr>
                <w:sz w:val="18"/>
                <w:szCs w:val="18"/>
                <w:lang w:val="es-ES_tradnl" w:eastAsia="zh-CN"/>
              </w:rPr>
              <w:t>Botswana</w:t>
            </w:r>
          </w:p>
        </w:tc>
        <w:tc>
          <w:tcPr>
            <w:tcW w:w="1180" w:type="dxa"/>
            <w:tcBorders>
              <w:top w:val="nil"/>
              <w:left w:val="nil"/>
              <w:bottom w:val="single" w:sz="4" w:space="0" w:color="auto"/>
              <w:right w:val="single" w:sz="4" w:space="0" w:color="auto"/>
            </w:tcBorders>
            <w:shd w:val="clear" w:color="auto" w:fill="auto"/>
            <w:vAlign w:val="center"/>
            <w:hideMark/>
          </w:tcPr>
          <w:p w14:paraId="54D348B6" w14:textId="77777777" w:rsidR="00D8083E" w:rsidRPr="00A202B4" w:rsidRDefault="00D8083E" w:rsidP="009A372A">
            <w:pPr>
              <w:jc w:val="right"/>
              <w:rPr>
                <w:sz w:val="18"/>
                <w:szCs w:val="18"/>
                <w:lang w:val="es-ES_tradnl" w:eastAsia="zh-CN"/>
              </w:rPr>
            </w:pPr>
            <w:r w:rsidRPr="00A202B4">
              <w:rPr>
                <w:sz w:val="18"/>
                <w:szCs w:val="18"/>
                <w:lang w:val="es-ES_tradnl" w:eastAsia="zh-CN"/>
              </w:rPr>
              <w:t>0,015</w:t>
            </w:r>
          </w:p>
        </w:tc>
        <w:tc>
          <w:tcPr>
            <w:tcW w:w="1180" w:type="dxa"/>
            <w:tcBorders>
              <w:top w:val="nil"/>
              <w:left w:val="nil"/>
              <w:bottom w:val="single" w:sz="4" w:space="0" w:color="auto"/>
              <w:right w:val="single" w:sz="4" w:space="0" w:color="auto"/>
            </w:tcBorders>
            <w:shd w:val="clear" w:color="auto" w:fill="auto"/>
            <w:noWrap/>
            <w:vAlign w:val="center"/>
            <w:hideMark/>
          </w:tcPr>
          <w:p w14:paraId="48994CE7" w14:textId="77777777" w:rsidR="00D8083E" w:rsidRPr="00A202B4" w:rsidRDefault="00D8083E" w:rsidP="009A372A">
            <w:pPr>
              <w:jc w:val="right"/>
              <w:rPr>
                <w:sz w:val="18"/>
                <w:szCs w:val="18"/>
                <w:lang w:val="es-ES_tradnl" w:eastAsia="zh-CN"/>
              </w:rPr>
            </w:pPr>
            <w:r w:rsidRPr="00A202B4">
              <w:rPr>
                <w:sz w:val="18"/>
                <w:szCs w:val="18"/>
                <w:lang w:val="es-ES_tradnl" w:eastAsia="zh-CN"/>
              </w:rPr>
              <w:t>0,021</w:t>
            </w:r>
          </w:p>
        </w:tc>
        <w:tc>
          <w:tcPr>
            <w:tcW w:w="1279" w:type="dxa"/>
            <w:tcBorders>
              <w:top w:val="nil"/>
              <w:left w:val="nil"/>
              <w:bottom w:val="single" w:sz="4" w:space="0" w:color="auto"/>
              <w:right w:val="single" w:sz="4" w:space="0" w:color="auto"/>
            </w:tcBorders>
            <w:shd w:val="clear" w:color="auto" w:fill="auto"/>
            <w:noWrap/>
            <w:vAlign w:val="center"/>
            <w:hideMark/>
          </w:tcPr>
          <w:p w14:paraId="3C280B2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575 </w:t>
            </w:r>
          </w:p>
        </w:tc>
        <w:tc>
          <w:tcPr>
            <w:tcW w:w="1279" w:type="dxa"/>
            <w:tcBorders>
              <w:top w:val="nil"/>
              <w:left w:val="nil"/>
              <w:bottom w:val="single" w:sz="4" w:space="0" w:color="auto"/>
              <w:right w:val="single" w:sz="4" w:space="0" w:color="auto"/>
            </w:tcBorders>
            <w:shd w:val="clear" w:color="auto" w:fill="auto"/>
            <w:noWrap/>
            <w:vAlign w:val="center"/>
            <w:hideMark/>
          </w:tcPr>
          <w:p w14:paraId="67403A0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630 </w:t>
            </w:r>
          </w:p>
        </w:tc>
        <w:tc>
          <w:tcPr>
            <w:tcW w:w="1180" w:type="dxa"/>
            <w:tcBorders>
              <w:top w:val="nil"/>
              <w:left w:val="nil"/>
              <w:bottom w:val="single" w:sz="4" w:space="0" w:color="auto"/>
              <w:right w:val="single" w:sz="4" w:space="0" w:color="auto"/>
            </w:tcBorders>
            <w:shd w:val="clear" w:color="auto" w:fill="auto"/>
            <w:noWrap/>
            <w:vAlign w:val="center"/>
            <w:hideMark/>
          </w:tcPr>
          <w:p w14:paraId="25FEB8C5"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1 205 </w:t>
            </w:r>
          </w:p>
        </w:tc>
      </w:tr>
      <w:tr w:rsidR="00D8083E" w:rsidRPr="00A202B4" w14:paraId="67946711"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BFEBEA5" w14:textId="77777777" w:rsidR="00D8083E" w:rsidRPr="00A202B4" w:rsidRDefault="00D8083E" w:rsidP="009A372A">
            <w:pPr>
              <w:jc w:val="left"/>
              <w:rPr>
                <w:sz w:val="18"/>
                <w:szCs w:val="18"/>
                <w:lang w:val="es-ES_tradnl" w:eastAsia="zh-CN"/>
              </w:rPr>
            </w:pPr>
            <w:r w:rsidRPr="00A202B4">
              <w:rPr>
                <w:sz w:val="18"/>
                <w:szCs w:val="18"/>
                <w:lang w:val="es-ES_tradnl" w:eastAsia="zh-CN"/>
              </w:rPr>
              <w:t>Brasil</w:t>
            </w:r>
          </w:p>
        </w:tc>
        <w:tc>
          <w:tcPr>
            <w:tcW w:w="1180" w:type="dxa"/>
            <w:tcBorders>
              <w:top w:val="nil"/>
              <w:left w:val="nil"/>
              <w:bottom w:val="single" w:sz="4" w:space="0" w:color="auto"/>
              <w:right w:val="single" w:sz="4" w:space="0" w:color="auto"/>
            </w:tcBorders>
            <w:shd w:val="clear" w:color="auto" w:fill="auto"/>
            <w:vAlign w:val="center"/>
            <w:hideMark/>
          </w:tcPr>
          <w:p w14:paraId="26E4A95E" w14:textId="77777777" w:rsidR="00D8083E" w:rsidRPr="00A202B4" w:rsidRDefault="00D8083E" w:rsidP="009A372A">
            <w:pPr>
              <w:jc w:val="right"/>
              <w:rPr>
                <w:sz w:val="18"/>
                <w:szCs w:val="18"/>
                <w:lang w:val="es-ES_tradnl" w:eastAsia="zh-CN"/>
              </w:rPr>
            </w:pPr>
            <w:r w:rsidRPr="00A202B4">
              <w:rPr>
                <w:sz w:val="18"/>
                <w:szCs w:val="18"/>
                <w:lang w:val="es-ES_tradnl" w:eastAsia="zh-CN"/>
              </w:rPr>
              <w:t>2,013</w:t>
            </w:r>
          </w:p>
        </w:tc>
        <w:tc>
          <w:tcPr>
            <w:tcW w:w="1180" w:type="dxa"/>
            <w:tcBorders>
              <w:top w:val="nil"/>
              <w:left w:val="nil"/>
              <w:bottom w:val="single" w:sz="4" w:space="0" w:color="auto"/>
              <w:right w:val="single" w:sz="4" w:space="0" w:color="auto"/>
            </w:tcBorders>
            <w:shd w:val="clear" w:color="auto" w:fill="auto"/>
            <w:noWrap/>
            <w:vAlign w:val="center"/>
            <w:hideMark/>
          </w:tcPr>
          <w:p w14:paraId="2D424481" w14:textId="77777777" w:rsidR="00D8083E" w:rsidRPr="00A202B4" w:rsidRDefault="00D8083E" w:rsidP="009A372A">
            <w:pPr>
              <w:jc w:val="right"/>
              <w:rPr>
                <w:sz w:val="18"/>
                <w:szCs w:val="18"/>
                <w:lang w:val="es-ES_tradnl" w:eastAsia="zh-CN"/>
              </w:rPr>
            </w:pPr>
            <w:r w:rsidRPr="00A202B4">
              <w:rPr>
                <w:sz w:val="18"/>
                <w:szCs w:val="18"/>
                <w:lang w:val="es-ES_tradnl" w:eastAsia="zh-CN"/>
              </w:rPr>
              <w:t>2,842</w:t>
            </w:r>
          </w:p>
        </w:tc>
        <w:tc>
          <w:tcPr>
            <w:tcW w:w="1279" w:type="dxa"/>
            <w:tcBorders>
              <w:top w:val="nil"/>
              <w:left w:val="nil"/>
              <w:bottom w:val="single" w:sz="4" w:space="0" w:color="auto"/>
              <w:right w:val="single" w:sz="4" w:space="0" w:color="auto"/>
            </w:tcBorders>
            <w:shd w:val="clear" w:color="auto" w:fill="auto"/>
            <w:noWrap/>
            <w:vAlign w:val="center"/>
            <w:hideMark/>
          </w:tcPr>
          <w:p w14:paraId="624ADC08"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77 126 </w:t>
            </w:r>
          </w:p>
        </w:tc>
        <w:tc>
          <w:tcPr>
            <w:tcW w:w="1279" w:type="dxa"/>
            <w:tcBorders>
              <w:top w:val="nil"/>
              <w:left w:val="nil"/>
              <w:bottom w:val="single" w:sz="4" w:space="0" w:color="auto"/>
              <w:right w:val="single" w:sz="4" w:space="0" w:color="auto"/>
            </w:tcBorders>
            <w:shd w:val="clear" w:color="auto" w:fill="auto"/>
            <w:noWrap/>
            <w:vAlign w:val="center"/>
            <w:hideMark/>
          </w:tcPr>
          <w:p w14:paraId="6CE8109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84 594 </w:t>
            </w:r>
          </w:p>
        </w:tc>
        <w:tc>
          <w:tcPr>
            <w:tcW w:w="1180" w:type="dxa"/>
            <w:tcBorders>
              <w:top w:val="nil"/>
              <w:left w:val="nil"/>
              <w:bottom w:val="single" w:sz="4" w:space="0" w:color="auto"/>
              <w:right w:val="single" w:sz="4" w:space="0" w:color="auto"/>
            </w:tcBorders>
            <w:shd w:val="clear" w:color="auto" w:fill="auto"/>
            <w:noWrap/>
            <w:vAlign w:val="center"/>
            <w:hideMark/>
          </w:tcPr>
          <w:p w14:paraId="1DD09FEF"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161 720 </w:t>
            </w:r>
          </w:p>
        </w:tc>
      </w:tr>
      <w:tr w:rsidR="00D8083E" w:rsidRPr="00A202B4" w14:paraId="6891311E"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342EFCF" w14:textId="77777777" w:rsidR="00D8083E" w:rsidRPr="00A202B4" w:rsidRDefault="00D8083E" w:rsidP="009A372A">
            <w:pPr>
              <w:jc w:val="left"/>
              <w:rPr>
                <w:sz w:val="18"/>
                <w:szCs w:val="18"/>
                <w:lang w:val="es-ES_tradnl" w:eastAsia="zh-CN"/>
              </w:rPr>
            </w:pPr>
            <w:r w:rsidRPr="00A202B4">
              <w:rPr>
                <w:sz w:val="18"/>
                <w:szCs w:val="18"/>
                <w:lang w:val="es-ES_tradnl" w:eastAsia="zh-CN"/>
              </w:rPr>
              <w:t>Bulgaria</w:t>
            </w:r>
          </w:p>
        </w:tc>
        <w:tc>
          <w:tcPr>
            <w:tcW w:w="1180" w:type="dxa"/>
            <w:tcBorders>
              <w:top w:val="nil"/>
              <w:left w:val="nil"/>
              <w:bottom w:val="single" w:sz="4" w:space="0" w:color="auto"/>
              <w:right w:val="single" w:sz="4" w:space="0" w:color="auto"/>
            </w:tcBorders>
            <w:shd w:val="clear" w:color="auto" w:fill="auto"/>
            <w:vAlign w:val="center"/>
            <w:hideMark/>
          </w:tcPr>
          <w:p w14:paraId="79F6C2F8" w14:textId="77777777" w:rsidR="00D8083E" w:rsidRPr="00A202B4" w:rsidRDefault="00D8083E" w:rsidP="009A372A">
            <w:pPr>
              <w:jc w:val="right"/>
              <w:rPr>
                <w:sz w:val="18"/>
                <w:szCs w:val="18"/>
                <w:lang w:val="es-ES_tradnl" w:eastAsia="zh-CN"/>
              </w:rPr>
            </w:pPr>
            <w:r w:rsidRPr="00A202B4">
              <w:rPr>
                <w:sz w:val="18"/>
                <w:szCs w:val="18"/>
                <w:lang w:val="es-ES_tradnl" w:eastAsia="zh-CN"/>
              </w:rPr>
              <w:t>0,056</w:t>
            </w:r>
          </w:p>
        </w:tc>
        <w:tc>
          <w:tcPr>
            <w:tcW w:w="1180" w:type="dxa"/>
            <w:tcBorders>
              <w:top w:val="nil"/>
              <w:left w:val="nil"/>
              <w:bottom w:val="single" w:sz="4" w:space="0" w:color="auto"/>
              <w:right w:val="single" w:sz="4" w:space="0" w:color="auto"/>
            </w:tcBorders>
            <w:shd w:val="clear" w:color="auto" w:fill="auto"/>
            <w:noWrap/>
            <w:vAlign w:val="center"/>
            <w:hideMark/>
          </w:tcPr>
          <w:p w14:paraId="0AA29E15" w14:textId="77777777" w:rsidR="00D8083E" w:rsidRPr="00A202B4" w:rsidRDefault="00D8083E" w:rsidP="009A372A">
            <w:pPr>
              <w:jc w:val="right"/>
              <w:rPr>
                <w:sz w:val="18"/>
                <w:szCs w:val="18"/>
                <w:lang w:val="es-ES_tradnl" w:eastAsia="zh-CN"/>
              </w:rPr>
            </w:pPr>
            <w:r w:rsidRPr="00A202B4">
              <w:rPr>
                <w:sz w:val="18"/>
                <w:szCs w:val="18"/>
                <w:lang w:val="es-ES_tradnl" w:eastAsia="zh-CN"/>
              </w:rPr>
              <w:t>0,079</w:t>
            </w:r>
          </w:p>
        </w:tc>
        <w:tc>
          <w:tcPr>
            <w:tcW w:w="1279" w:type="dxa"/>
            <w:tcBorders>
              <w:top w:val="nil"/>
              <w:left w:val="nil"/>
              <w:bottom w:val="single" w:sz="4" w:space="0" w:color="auto"/>
              <w:right w:val="single" w:sz="4" w:space="0" w:color="auto"/>
            </w:tcBorders>
            <w:shd w:val="clear" w:color="auto" w:fill="auto"/>
            <w:noWrap/>
            <w:vAlign w:val="center"/>
            <w:hideMark/>
          </w:tcPr>
          <w:p w14:paraId="1B97340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2 146 </w:t>
            </w:r>
          </w:p>
        </w:tc>
        <w:tc>
          <w:tcPr>
            <w:tcW w:w="1279" w:type="dxa"/>
            <w:tcBorders>
              <w:top w:val="nil"/>
              <w:left w:val="nil"/>
              <w:bottom w:val="single" w:sz="4" w:space="0" w:color="auto"/>
              <w:right w:val="single" w:sz="4" w:space="0" w:color="auto"/>
            </w:tcBorders>
            <w:shd w:val="clear" w:color="auto" w:fill="auto"/>
            <w:noWrap/>
            <w:vAlign w:val="center"/>
            <w:hideMark/>
          </w:tcPr>
          <w:p w14:paraId="12B353A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2 353 </w:t>
            </w:r>
          </w:p>
        </w:tc>
        <w:tc>
          <w:tcPr>
            <w:tcW w:w="1180" w:type="dxa"/>
            <w:tcBorders>
              <w:top w:val="nil"/>
              <w:left w:val="nil"/>
              <w:bottom w:val="single" w:sz="4" w:space="0" w:color="auto"/>
              <w:right w:val="single" w:sz="4" w:space="0" w:color="auto"/>
            </w:tcBorders>
            <w:shd w:val="clear" w:color="auto" w:fill="auto"/>
            <w:noWrap/>
            <w:vAlign w:val="center"/>
            <w:hideMark/>
          </w:tcPr>
          <w:p w14:paraId="049BD042"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4 499 </w:t>
            </w:r>
          </w:p>
        </w:tc>
      </w:tr>
      <w:tr w:rsidR="00D8083E" w:rsidRPr="00A202B4" w14:paraId="59EB5900"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5162E22" w14:textId="77777777" w:rsidR="00D8083E" w:rsidRPr="00A202B4" w:rsidRDefault="00D8083E" w:rsidP="009A372A">
            <w:pPr>
              <w:jc w:val="left"/>
              <w:rPr>
                <w:sz w:val="18"/>
                <w:szCs w:val="18"/>
                <w:lang w:val="es-ES_tradnl" w:eastAsia="zh-CN"/>
              </w:rPr>
            </w:pPr>
            <w:r w:rsidRPr="00A202B4">
              <w:rPr>
                <w:sz w:val="18"/>
                <w:szCs w:val="18"/>
                <w:lang w:val="es-ES_tradnl" w:eastAsia="zh-CN"/>
              </w:rPr>
              <w:t>Burkina Faso</w:t>
            </w:r>
          </w:p>
        </w:tc>
        <w:tc>
          <w:tcPr>
            <w:tcW w:w="1180" w:type="dxa"/>
            <w:tcBorders>
              <w:top w:val="nil"/>
              <w:left w:val="nil"/>
              <w:bottom w:val="single" w:sz="4" w:space="0" w:color="auto"/>
              <w:right w:val="single" w:sz="4" w:space="0" w:color="auto"/>
            </w:tcBorders>
            <w:shd w:val="clear" w:color="auto" w:fill="auto"/>
            <w:vAlign w:val="center"/>
            <w:hideMark/>
          </w:tcPr>
          <w:p w14:paraId="5EF486D9" w14:textId="77777777" w:rsidR="00D8083E" w:rsidRPr="00A202B4" w:rsidRDefault="00D8083E" w:rsidP="009A372A">
            <w:pPr>
              <w:jc w:val="right"/>
              <w:rPr>
                <w:sz w:val="18"/>
                <w:szCs w:val="18"/>
                <w:lang w:val="es-ES_tradnl" w:eastAsia="zh-CN"/>
              </w:rPr>
            </w:pPr>
            <w:r w:rsidRPr="00A202B4">
              <w:rPr>
                <w:sz w:val="18"/>
                <w:szCs w:val="18"/>
                <w:lang w:val="es-ES_tradnl"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65E60B05" w14:textId="77777777" w:rsidR="00D8083E" w:rsidRPr="00A202B4" w:rsidRDefault="00D8083E" w:rsidP="009A372A">
            <w:pPr>
              <w:jc w:val="right"/>
              <w:rPr>
                <w:sz w:val="18"/>
                <w:szCs w:val="18"/>
                <w:lang w:val="es-ES_tradnl" w:eastAsia="zh-CN"/>
              </w:rPr>
            </w:pPr>
            <w:r w:rsidRPr="00A202B4">
              <w:rPr>
                <w:sz w:val="18"/>
                <w:szCs w:val="18"/>
                <w:lang w:val="es-ES_tradnl" w:eastAsia="zh-CN"/>
              </w:rPr>
              <w:t>0,006</w:t>
            </w:r>
          </w:p>
        </w:tc>
        <w:tc>
          <w:tcPr>
            <w:tcW w:w="1279" w:type="dxa"/>
            <w:tcBorders>
              <w:top w:val="nil"/>
              <w:left w:val="nil"/>
              <w:bottom w:val="single" w:sz="4" w:space="0" w:color="auto"/>
              <w:right w:val="single" w:sz="4" w:space="0" w:color="auto"/>
            </w:tcBorders>
            <w:shd w:val="clear" w:color="auto" w:fill="auto"/>
            <w:noWrap/>
            <w:vAlign w:val="center"/>
            <w:hideMark/>
          </w:tcPr>
          <w:p w14:paraId="4541B70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153 </w:t>
            </w:r>
          </w:p>
        </w:tc>
        <w:tc>
          <w:tcPr>
            <w:tcW w:w="1279" w:type="dxa"/>
            <w:tcBorders>
              <w:top w:val="nil"/>
              <w:left w:val="nil"/>
              <w:bottom w:val="single" w:sz="4" w:space="0" w:color="auto"/>
              <w:right w:val="single" w:sz="4" w:space="0" w:color="auto"/>
            </w:tcBorders>
            <w:shd w:val="clear" w:color="auto" w:fill="auto"/>
            <w:noWrap/>
            <w:vAlign w:val="center"/>
            <w:hideMark/>
          </w:tcPr>
          <w:p w14:paraId="0516625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46C6F680"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321 </w:t>
            </w:r>
          </w:p>
        </w:tc>
      </w:tr>
      <w:tr w:rsidR="00D8083E" w:rsidRPr="00A202B4" w14:paraId="486E2F3B"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4C2404C" w14:textId="77777777" w:rsidR="00D8083E" w:rsidRPr="00A202B4" w:rsidRDefault="00D8083E" w:rsidP="009A372A">
            <w:pPr>
              <w:jc w:val="left"/>
              <w:rPr>
                <w:sz w:val="18"/>
                <w:szCs w:val="18"/>
                <w:lang w:val="es-ES_tradnl" w:eastAsia="zh-CN"/>
              </w:rPr>
            </w:pPr>
            <w:r w:rsidRPr="00A202B4">
              <w:rPr>
                <w:sz w:val="18"/>
                <w:szCs w:val="18"/>
                <w:lang w:val="es-ES_tradnl" w:eastAsia="zh-CN"/>
              </w:rPr>
              <w:t>Burundi</w:t>
            </w:r>
          </w:p>
        </w:tc>
        <w:tc>
          <w:tcPr>
            <w:tcW w:w="1180" w:type="dxa"/>
            <w:tcBorders>
              <w:top w:val="nil"/>
              <w:left w:val="nil"/>
              <w:bottom w:val="single" w:sz="4" w:space="0" w:color="auto"/>
              <w:right w:val="single" w:sz="4" w:space="0" w:color="auto"/>
            </w:tcBorders>
            <w:shd w:val="clear" w:color="auto" w:fill="auto"/>
            <w:vAlign w:val="center"/>
            <w:hideMark/>
          </w:tcPr>
          <w:p w14:paraId="1B2981A6"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25F6F36"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423A1D0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4A79123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21BC1B40"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15C7E84D"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616C120" w14:textId="77777777" w:rsidR="00D8083E" w:rsidRPr="00A202B4" w:rsidRDefault="00D8083E" w:rsidP="009A372A">
            <w:pPr>
              <w:jc w:val="left"/>
              <w:rPr>
                <w:sz w:val="18"/>
                <w:szCs w:val="18"/>
                <w:lang w:val="es-ES_tradnl" w:eastAsia="zh-CN"/>
              </w:rPr>
            </w:pPr>
            <w:r w:rsidRPr="00A202B4">
              <w:rPr>
                <w:sz w:val="18"/>
                <w:szCs w:val="18"/>
                <w:lang w:val="es-ES_tradnl" w:eastAsia="zh-CN"/>
              </w:rPr>
              <w:t>Cabo Verde</w:t>
            </w:r>
          </w:p>
        </w:tc>
        <w:tc>
          <w:tcPr>
            <w:tcW w:w="1180" w:type="dxa"/>
            <w:tcBorders>
              <w:top w:val="nil"/>
              <w:left w:val="nil"/>
              <w:bottom w:val="single" w:sz="4" w:space="0" w:color="auto"/>
              <w:right w:val="single" w:sz="4" w:space="0" w:color="auto"/>
            </w:tcBorders>
            <w:shd w:val="clear" w:color="auto" w:fill="auto"/>
            <w:vAlign w:val="center"/>
            <w:hideMark/>
          </w:tcPr>
          <w:p w14:paraId="71FBC888"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348F66D"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01229888"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2742403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33A681A2"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34593E43"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12795E5" w14:textId="77777777" w:rsidR="00D8083E" w:rsidRPr="00A202B4" w:rsidRDefault="00D8083E" w:rsidP="009A372A">
            <w:pPr>
              <w:jc w:val="left"/>
              <w:rPr>
                <w:sz w:val="18"/>
                <w:szCs w:val="18"/>
                <w:lang w:val="es-ES_tradnl" w:eastAsia="zh-CN"/>
              </w:rPr>
            </w:pPr>
            <w:r w:rsidRPr="00A202B4">
              <w:rPr>
                <w:sz w:val="18"/>
                <w:szCs w:val="18"/>
                <w:lang w:val="es-ES_tradnl" w:eastAsia="zh-CN"/>
              </w:rPr>
              <w:t>Camboya</w:t>
            </w:r>
          </w:p>
        </w:tc>
        <w:tc>
          <w:tcPr>
            <w:tcW w:w="1180" w:type="dxa"/>
            <w:tcBorders>
              <w:top w:val="nil"/>
              <w:left w:val="nil"/>
              <w:bottom w:val="single" w:sz="4" w:space="0" w:color="auto"/>
              <w:right w:val="single" w:sz="4" w:space="0" w:color="auto"/>
            </w:tcBorders>
            <w:shd w:val="clear" w:color="auto" w:fill="auto"/>
            <w:vAlign w:val="center"/>
            <w:hideMark/>
          </w:tcPr>
          <w:p w14:paraId="56AE5210" w14:textId="77777777" w:rsidR="00D8083E" w:rsidRPr="00A202B4" w:rsidRDefault="00D8083E" w:rsidP="009A372A">
            <w:pPr>
              <w:jc w:val="right"/>
              <w:rPr>
                <w:sz w:val="18"/>
                <w:szCs w:val="18"/>
                <w:lang w:val="es-ES_tradnl" w:eastAsia="zh-CN"/>
              </w:rPr>
            </w:pPr>
            <w:r w:rsidRPr="00A202B4">
              <w:rPr>
                <w:sz w:val="18"/>
                <w:szCs w:val="18"/>
                <w:lang w:val="es-ES_tradnl"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788F062A"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279" w:type="dxa"/>
            <w:tcBorders>
              <w:top w:val="nil"/>
              <w:left w:val="nil"/>
              <w:bottom w:val="single" w:sz="4" w:space="0" w:color="auto"/>
              <w:right w:val="single" w:sz="4" w:space="0" w:color="auto"/>
            </w:tcBorders>
            <w:shd w:val="clear" w:color="auto" w:fill="auto"/>
            <w:noWrap/>
            <w:vAlign w:val="center"/>
            <w:hideMark/>
          </w:tcPr>
          <w:p w14:paraId="21EC736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268 </w:t>
            </w:r>
          </w:p>
        </w:tc>
        <w:tc>
          <w:tcPr>
            <w:tcW w:w="1279" w:type="dxa"/>
            <w:tcBorders>
              <w:top w:val="nil"/>
              <w:left w:val="nil"/>
              <w:bottom w:val="single" w:sz="4" w:space="0" w:color="auto"/>
              <w:right w:val="single" w:sz="4" w:space="0" w:color="auto"/>
            </w:tcBorders>
            <w:shd w:val="clear" w:color="auto" w:fill="auto"/>
            <w:noWrap/>
            <w:vAlign w:val="center"/>
            <w:hideMark/>
          </w:tcPr>
          <w:p w14:paraId="0713A02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16F4471F"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562 </w:t>
            </w:r>
          </w:p>
        </w:tc>
      </w:tr>
      <w:tr w:rsidR="00D8083E" w:rsidRPr="00A202B4" w14:paraId="16748DB1"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EB66D8D" w14:textId="77777777" w:rsidR="00D8083E" w:rsidRPr="00A202B4" w:rsidRDefault="00D8083E" w:rsidP="009A372A">
            <w:pPr>
              <w:jc w:val="left"/>
              <w:rPr>
                <w:sz w:val="18"/>
                <w:szCs w:val="18"/>
                <w:lang w:val="es-ES_tradnl" w:eastAsia="zh-CN"/>
              </w:rPr>
            </w:pPr>
            <w:r w:rsidRPr="00A202B4">
              <w:rPr>
                <w:sz w:val="18"/>
                <w:szCs w:val="18"/>
                <w:lang w:val="es-ES_tradnl" w:eastAsia="zh-CN"/>
              </w:rPr>
              <w:t>Camerún</w:t>
            </w:r>
          </w:p>
        </w:tc>
        <w:tc>
          <w:tcPr>
            <w:tcW w:w="1180" w:type="dxa"/>
            <w:tcBorders>
              <w:top w:val="nil"/>
              <w:left w:val="nil"/>
              <w:bottom w:val="single" w:sz="4" w:space="0" w:color="auto"/>
              <w:right w:val="single" w:sz="4" w:space="0" w:color="auto"/>
            </w:tcBorders>
            <w:shd w:val="clear" w:color="auto" w:fill="auto"/>
            <w:vAlign w:val="center"/>
            <w:hideMark/>
          </w:tcPr>
          <w:p w14:paraId="17959291" w14:textId="77777777" w:rsidR="00D8083E" w:rsidRPr="00A202B4" w:rsidRDefault="00D8083E" w:rsidP="009A372A">
            <w:pPr>
              <w:jc w:val="right"/>
              <w:rPr>
                <w:sz w:val="18"/>
                <w:szCs w:val="18"/>
                <w:lang w:val="es-ES_tradnl" w:eastAsia="zh-CN"/>
              </w:rPr>
            </w:pPr>
            <w:r w:rsidRPr="00A202B4">
              <w:rPr>
                <w:sz w:val="18"/>
                <w:szCs w:val="18"/>
                <w:lang w:val="es-ES_tradnl"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60247E12" w14:textId="77777777" w:rsidR="00D8083E" w:rsidRPr="00A202B4" w:rsidRDefault="00D8083E" w:rsidP="009A372A">
            <w:pPr>
              <w:jc w:val="right"/>
              <w:rPr>
                <w:sz w:val="18"/>
                <w:szCs w:val="18"/>
                <w:lang w:val="es-ES_tradnl" w:eastAsia="zh-CN"/>
              </w:rPr>
            </w:pPr>
            <w:r w:rsidRPr="00A202B4">
              <w:rPr>
                <w:sz w:val="18"/>
                <w:szCs w:val="18"/>
                <w:lang w:val="es-ES_tradnl" w:eastAsia="zh-CN"/>
              </w:rPr>
              <w:t>0,018</w:t>
            </w:r>
          </w:p>
        </w:tc>
        <w:tc>
          <w:tcPr>
            <w:tcW w:w="1279" w:type="dxa"/>
            <w:tcBorders>
              <w:top w:val="nil"/>
              <w:left w:val="nil"/>
              <w:bottom w:val="single" w:sz="4" w:space="0" w:color="auto"/>
              <w:right w:val="single" w:sz="4" w:space="0" w:color="auto"/>
            </w:tcBorders>
            <w:shd w:val="clear" w:color="auto" w:fill="auto"/>
            <w:noWrap/>
            <w:vAlign w:val="center"/>
            <w:hideMark/>
          </w:tcPr>
          <w:p w14:paraId="7305579F"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498 </w:t>
            </w:r>
          </w:p>
        </w:tc>
        <w:tc>
          <w:tcPr>
            <w:tcW w:w="1279" w:type="dxa"/>
            <w:tcBorders>
              <w:top w:val="nil"/>
              <w:left w:val="nil"/>
              <w:bottom w:val="single" w:sz="4" w:space="0" w:color="auto"/>
              <w:right w:val="single" w:sz="4" w:space="0" w:color="auto"/>
            </w:tcBorders>
            <w:shd w:val="clear" w:color="auto" w:fill="auto"/>
            <w:noWrap/>
            <w:vAlign w:val="center"/>
            <w:hideMark/>
          </w:tcPr>
          <w:p w14:paraId="2EFF5BDC"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546 </w:t>
            </w:r>
          </w:p>
        </w:tc>
        <w:tc>
          <w:tcPr>
            <w:tcW w:w="1180" w:type="dxa"/>
            <w:tcBorders>
              <w:top w:val="nil"/>
              <w:left w:val="nil"/>
              <w:bottom w:val="single" w:sz="4" w:space="0" w:color="auto"/>
              <w:right w:val="single" w:sz="4" w:space="0" w:color="auto"/>
            </w:tcBorders>
            <w:shd w:val="clear" w:color="auto" w:fill="auto"/>
            <w:noWrap/>
            <w:vAlign w:val="center"/>
            <w:hideMark/>
          </w:tcPr>
          <w:p w14:paraId="1573CC62"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1 044 </w:t>
            </w:r>
          </w:p>
        </w:tc>
      </w:tr>
      <w:tr w:rsidR="00D8083E" w:rsidRPr="00A202B4" w14:paraId="6C3351D5"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06C7AB9" w14:textId="77777777" w:rsidR="00D8083E" w:rsidRPr="00A202B4" w:rsidRDefault="00D8083E" w:rsidP="009A372A">
            <w:pPr>
              <w:jc w:val="left"/>
              <w:rPr>
                <w:sz w:val="18"/>
                <w:szCs w:val="18"/>
                <w:lang w:val="es-ES_tradnl" w:eastAsia="zh-CN"/>
              </w:rPr>
            </w:pPr>
            <w:r w:rsidRPr="00A202B4">
              <w:rPr>
                <w:sz w:val="18"/>
                <w:szCs w:val="18"/>
                <w:lang w:val="es-ES_tradnl" w:eastAsia="zh-CN"/>
              </w:rPr>
              <w:t>Chad</w:t>
            </w:r>
          </w:p>
        </w:tc>
        <w:tc>
          <w:tcPr>
            <w:tcW w:w="1180" w:type="dxa"/>
            <w:tcBorders>
              <w:top w:val="nil"/>
              <w:left w:val="nil"/>
              <w:bottom w:val="single" w:sz="4" w:space="0" w:color="auto"/>
              <w:right w:val="single" w:sz="4" w:space="0" w:color="auto"/>
            </w:tcBorders>
            <w:shd w:val="clear" w:color="auto" w:fill="auto"/>
            <w:vAlign w:val="center"/>
            <w:hideMark/>
          </w:tcPr>
          <w:p w14:paraId="2CACC042" w14:textId="77777777" w:rsidR="00D8083E" w:rsidRPr="00A202B4" w:rsidRDefault="00D8083E" w:rsidP="009A372A">
            <w:pPr>
              <w:jc w:val="right"/>
              <w:rPr>
                <w:sz w:val="18"/>
                <w:szCs w:val="18"/>
                <w:lang w:val="es-ES_tradnl" w:eastAsia="zh-CN"/>
              </w:rPr>
            </w:pPr>
            <w:r w:rsidRPr="00A202B4">
              <w:rPr>
                <w:sz w:val="18"/>
                <w:szCs w:val="18"/>
                <w:lang w:val="es-ES_tradnl"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7A586E87" w14:textId="77777777" w:rsidR="00D8083E" w:rsidRPr="00A202B4" w:rsidRDefault="00D8083E" w:rsidP="009A372A">
            <w:pPr>
              <w:jc w:val="right"/>
              <w:rPr>
                <w:sz w:val="18"/>
                <w:szCs w:val="18"/>
                <w:lang w:val="es-ES_tradnl" w:eastAsia="zh-CN"/>
              </w:rPr>
            </w:pPr>
            <w:r w:rsidRPr="00A202B4">
              <w:rPr>
                <w:sz w:val="18"/>
                <w:szCs w:val="18"/>
                <w:lang w:val="es-ES_tradnl" w:eastAsia="zh-CN"/>
              </w:rPr>
              <w:t>0,004</w:t>
            </w:r>
          </w:p>
        </w:tc>
        <w:tc>
          <w:tcPr>
            <w:tcW w:w="1279" w:type="dxa"/>
            <w:tcBorders>
              <w:top w:val="nil"/>
              <w:left w:val="nil"/>
              <w:bottom w:val="single" w:sz="4" w:space="0" w:color="auto"/>
              <w:right w:val="single" w:sz="4" w:space="0" w:color="auto"/>
            </w:tcBorders>
            <w:shd w:val="clear" w:color="auto" w:fill="auto"/>
            <w:noWrap/>
            <w:vAlign w:val="center"/>
            <w:hideMark/>
          </w:tcPr>
          <w:p w14:paraId="2D9526F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115 </w:t>
            </w:r>
          </w:p>
        </w:tc>
        <w:tc>
          <w:tcPr>
            <w:tcW w:w="1279" w:type="dxa"/>
            <w:tcBorders>
              <w:top w:val="nil"/>
              <w:left w:val="nil"/>
              <w:bottom w:val="single" w:sz="4" w:space="0" w:color="auto"/>
              <w:right w:val="single" w:sz="4" w:space="0" w:color="auto"/>
            </w:tcBorders>
            <w:shd w:val="clear" w:color="auto" w:fill="auto"/>
            <w:noWrap/>
            <w:vAlign w:val="center"/>
            <w:hideMark/>
          </w:tcPr>
          <w:p w14:paraId="4E05416D"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3AABCF0F"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241 </w:t>
            </w:r>
          </w:p>
        </w:tc>
      </w:tr>
      <w:tr w:rsidR="00D8083E" w:rsidRPr="00A202B4" w14:paraId="403841C9"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tcPr>
          <w:p w14:paraId="07D73AFD" w14:textId="77777777" w:rsidR="00D8083E" w:rsidRPr="00A202B4" w:rsidRDefault="00D8083E" w:rsidP="009A372A">
            <w:pPr>
              <w:jc w:val="left"/>
              <w:rPr>
                <w:sz w:val="18"/>
                <w:szCs w:val="18"/>
                <w:lang w:val="es-ES_tradnl" w:eastAsia="zh-CN"/>
              </w:rPr>
            </w:pPr>
            <w:r w:rsidRPr="00A202B4">
              <w:rPr>
                <w:sz w:val="18"/>
                <w:szCs w:val="18"/>
                <w:lang w:val="es-ES_tradnl" w:eastAsia="zh-CN"/>
              </w:rPr>
              <w:t>Chequia</w:t>
            </w:r>
          </w:p>
        </w:tc>
        <w:tc>
          <w:tcPr>
            <w:tcW w:w="1180" w:type="dxa"/>
            <w:tcBorders>
              <w:top w:val="nil"/>
              <w:left w:val="nil"/>
              <w:bottom w:val="single" w:sz="4" w:space="0" w:color="auto"/>
              <w:right w:val="single" w:sz="4" w:space="0" w:color="auto"/>
            </w:tcBorders>
            <w:shd w:val="clear" w:color="auto" w:fill="auto"/>
            <w:vAlign w:val="center"/>
          </w:tcPr>
          <w:p w14:paraId="66FEB0E2" w14:textId="77777777" w:rsidR="00D8083E" w:rsidRPr="00A202B4" w:rsidRDefault="00D8083E" w:rsidP="009A372A">
            <w:pPr>
              <w:jc w:val="right"/>
              <w:rPr>
                <w:sz w:val="18"/>
                <w:szCs w:val="18"/>
                <w:lang w:val="es-ES_tradnl" w:eastAsia="zh-CN"/>
              </w:rPr>
            </w:pPr>
            <w:r w:rsidRPr="00A202B4">
              <w:rPr>
                <w:sz w:val="18"/>
                <w:szCs w:val="18"/>
                <w:lang w:val="es-ES_tradnl" w:eastAsia="zh-CN"/>
              </w:rPr>
              <w:t>0,340</w:t>
            </w:r>
          </w:p>
        </w:tc>
        <w:tc>
          <w:tcPr>
            <w:tcW w:w="1180" w:type="dxa"/>
            <w:tcBorders>
              <w:top w:val="nil"/>
              <w:left w:val="nil"/>
              <w:bottom w:val="single" w:sz="4" w:space="0" w:color="auto"/>
              <w:right w:val="single" w:sz="4" w:space="0" w:color="auto"/>
            </w:tcBorders>
            <w:shd w:val="clear" w:color="auto" w:fill="auto"/>
            <w:noWrap/>
            <w:vAlign w:val="center"/>
          </w:tcPr>
          <w:p w14:paraId="53D4B80D" w14:textId="77777777" w:rsidR="00D8083E" w:rsidRPr="00A202B4" w:rsidRDefault="00D8083E" w:rsidP="009A372A">
            <w:pPr>
              <w:jc w:val="right"/>
              <w:rPr>
                <w:sz w:val="18"/>
                <w:szCs w:val="18"/>
                <w:lang w:val="es-ES_tradnl" w:eastAsia="zh-CN"/>
              </w:rPr>
            </w:pPr>
            <w:r w:rsidRPr="00A202B4">
              <w:rPr>
                <w:sz w:val="18"/>
                <w:szCs w:val="18"/>
                <w:lang w:val="es-ES_tradnl" w:eastAsia="zh-CN"/>
              </w:rPr>
              <w:t>0,480</w:t>
            </w:r>
          </w:p>
        </w:tc>
        <w:tc>
          <w:tcPr>
            <w:tcW w:w="1279" w:type="dxa"/>
            <w:tcBorders>
              <w:top w:val="nil"/>
              <w:left w:val="nil"/>
              <w:bottom w:val="single" w:sz="4" w:space="0" w:color="auto"/>
              <w:right w:val="single" w:sz="4" w:space="0" w:color="auto"/>
            </w:tcBorders>
            <w:shd w:val="clear" w:color="auto" w:fill="auto"/>
            <w:noWrap/>
            <w:vAlign w:val="center"/>
          </w:tcPr>
          <w:p w14:paraId="22A59E6B" w14:textId="77777777" w:rsidR="00D8083E" w:rsidRPr="00A202B4" w:rsidRDefault="00D8083E" w:rsidP="009A372A">
            <w:pPr>
              <w:jc w:val="right"/>
              <w:rPr>
                <w:sz w:val="18"/>
                <w:szCs w:val="18"/>
                <w:lang w:val="es-ES_tradnl" w:eastAsia="zh-CN"/>
              </w:rPr>
            </w:pPr>
            <w:r w:rsidRPr="00A202B4">
              <w:rPr>
                <w:sz w:val="18"/>
                <w:szCs w:val="18"/>
                <w:lang w:val="es-ES_tradnl" w:eastAsia="zh-CN"/>
              </w:rPr>
              <w:t>13 027</w:t>
            </w:r>
          </w:p>
        </w:tc>
        <w:tc>
          <w:tcPr>
            <w:tcW w:w="1279" w:type="dxa"/>
            <w:tcBorders>
              <w:top w:val="nil"/>
              <w:left w:val="nil"/>
              <w:bottom w:val="single" w:sz="4" w:space="0" w:color="auto"/>
              <w:right w:val="single" w:sz="4" w:space="0" w:color="auto"/>
            </w:tcBorders>
            <w:shd w:val="clear" w:color="auto" w:fill="auto"/>
            <w:noWrap/>
            <w:vAlign w:val="center"/>
          </w:tcPr>
          <w:p w14:paraId="46BB4497" w14:textId="77777777" w:rsidR="00D8083E" w:rsidRPr="00A202B4" w:rsidRDefault="00D8083E" w:rsidP="009A372A">
            <w:pPr>
              <w:jc w:val="right"/>
              <w:rPr>
                <w:sz w:val="18"/>
                <w:szCs w:val="18"/>
                <w:lang w:val="es-ES_tradnl" w:eastAsia="zh-CN"/>
              </w:rPr>
            </w:pPr>
            <w:r w:rsidRPr="00A202B4">
              <w:rPr>
                <w:sz w:val="18"/>
                <w:szCs w:val="18"/>
                <w:lang w:val="es-ES_tradnl" w:eastAsia="zh-CN"/>
              </w:rPr>
              <w:t>14 288</w:t>
            </w:r>
          </w:p>
        </w:tc>
        <w:tc>
          <w:tcPr>
            <w:tcW w:w="1180" w:type="dxa"/>
            <w:tcBorders>
              <w:top w:val="nil"/>
              <w:left w:val="nil"/>
              <w:bottom w:val="single" w:sz="4" w:space="0" w:color="auto"/>
              <w:right w:val="single" w:sz="4" w:space="0" w:color="auto"/>
            </w:tcBorders>
            <w:shd w:val="clear" w:color="auto" w:fill="auto"/>
            <w:noWrap/>
            <w:vAlign w:val="center"/>
          </w:tcPr>
          <w:p w14:paraId="194326E8"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27 315</w:t>
            </w:r>
          </w:p>
        </w:tc>
      </w:tr>
      <w:tr w:rsidR="00D8083E" w:rsidRPr="00A202B4" w14:paraId="4162CB2D"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9409C01" w14:textId="77777777" w:rsidR="00D8083E" w:rsidRPr="00A202B4" w:rsidRDefault="00D8083E" w:rsidP="009A372A">
            <w:pPr>
              <w:jc w:val="left"/>
              <w:rPr>
                <w:sz w:val="18"/>
                <w:szCs w:val="18"/>
                <w:lang w:val="es-ES_tradnl" w:eastAsia="zh-CN"/>
              </w:rPr>
            </w:pPr>
            <w:r w:rsidRPr="00A202B4">
              <w:rPr>
                <w:sz w:val="18"/>
                <w:szCs w:val="18"/>
                <w:lang w:val="es-ES_tradnl" w:eastAsia="zh-CN"/>
              </w:rPr>
              <w:t>China</w:t>
            </w:r>
          </w:p>
        </w:tc>
        <w:tc>
          <w:tcPr>
            <w:tcW w:w="1180" w:type="dxa"/>
            <w:tcBorders>
              <w:top w:val="nil"/>
              <w:left w:val="nil"/>
              <w:bottom w:val="single" w:sz="4" w:space="0" w:color="auto"/>
              <w:right w:val="single" w:sz="4" w:space="0" w:color="auto"/>
            </w:tcBorders>
            <w:shd w:val="clear" w:color="auto" w:fill="auto"/>
            <w:vAlign w:val="center"/>
            <w:hideMark/>
          </w:tcPr>
          <w:p w14:paraId="4EAD9FFD" w14:textId="77777777" w:rsidR="00D8083E" w:rsidRPr="00A202B4" w:rsidRDefault="00D8083E" w:rsidP="009A372A">
            <w:pPr>
              <w:jc w:val="right"/>
              <w:rPr>
                <w:sz w:val="18"/>
                <w:szCs w:val="18"/>
                <w:lang w:val="es-ES_tradnl" w:eastAsia="zh-CN"/>
              </w:rPr>
            </w:pPr>
            <w:r w:rsidRPr="00A202B4">
              <w:rPr>
                <w:sz w:val="18"/>
                <w:szCs w:val="18"/>
                <w:lang w:val="es-ES_tradnl" w:eastAsia="zh-CN"/>
              </w:rPr>
              <w:t>15,254</w:t>
            </w:r>
          </w:p>
        </w:tc>
        <w:tc>
          <w:tcPr>
            <w:tcW w:w="1180" w:type="dxa"/>
            <w:tcBorders>
              <w:top w:val="nil"/>
              <w:left w:val="nil"/>
              <w:bottom w:val="single" w:sz="4" w:space="0" w:color="auto"/>
              <w:right w:val="single" w:sz="4" w:space="0" w:color="auto"/>
            </w:tcBorders>
            <w:shd w:val="clear" w:color="auto" w:fill="auto"/>
            <w:noWrap/>
            <w:vAlign w:val="center"/>
            <w:hideMark/>
          </w:tcPr>
          <w:p w14:paraId="75DF8DA4" w14:textId="77777777" w:rsidR="00D8083E" w:rsidRPr="00A202B4" w:rsidRDefault="00D8083E" w:rsidP="009A372A">
            <w:pPr>
              <w:jc w:val="right"/>
              <w:rPr>
                <w:sz w:val="18"/>
                <w:szCs w:val="18"/>
                <w:lang w:val="es-ES_tradnl" w:eastAsia="zh-CN"/>
              </w:rPr>
            </w:pPr>
            <w:r w:rsidRPr="00A202B4">
              <w:rPr>
                <w:sz w:val="18"/>
                <w:szCs w:val="18"/>
                <w:lang w:val="es-ES_tradnl" w:eastAsia="zh-CN"/>
              </w:rPr>
              <w:t>21,535</w:t>
            </w:r>
          </w:p>
        </w:tc>
        <w:tc>
          <w:tcPr>
            <w:tcW w:w="1279" w:type="dxa"/>
            <w:tcBorders>
              <w:top w:val="nil"/>
              <w:left w:val="nil"/>
              <w:bottom w:val="single" w:sz="4" w:space="0" w:color="auto"/>
              <w:right w:val="single" w:sz="4" w:space="0" w:color="auto"/>
            </w:tcBorders>
            <w:shd w:val="clear" w:color="auto" w:fill="auto"/>
            <w:noWrap/>
            <w:vAlign w:val="center"/>
            <w:hideMark/>
          </w:tcPr>
          <w:p w14:paraId="1C49B987"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584 438 </w:t>
            </w:r>
          </w:p>
        </w:tc>
        <w:tc>
          <w:tcPr>
            <w:tcW w:w="1279" w:type="dxa"/>
            <w:tcBorders>
              <w:top w:val="nil"/>
              <w:left w:val="nil"/>
              <w:bottom w:val="single" w:sz="4" w:space="0" w:color="auto"/>
              <w:right w:val="single" w:sz="4" w:space="0" w:color="auto"/>
            </w:tcBorders>
            <w:shd w:val="clear" w:color="auto" w:fill="auto"/>
            <w:noWrap/>
            <w:vAlign w:val="center"/>
            <w:hideMark/>
          </w:tcPr>
          <w:p w14:paraId="535F27B7"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641 032 </w:t>
            </w:r>
          </w:p>
        </w:tc>
        <w:tc>
          <w:tcPr>
            <w:tcW w:w="1180" w:type="dxa"/>
            <w:tcBorders>
              <w:top w:val="nil"/>
              <w:left w:val="nil"/>
              <w:bottom w:val="single" w:sz="4" w:space="0" w:color="auto"/>
              <w:right w:val="single" w:sz="4" w:space="0" w:color="auto"/>
            </w:tcBorders>
            <w:shd w:val="clear" w:color="auto" w:fill="auto"/>
            <w:noWrap/>
            <w:vAlign w:val="center"/>
            <w:hideMark/>
          </w:tcPr>
          <w:p w14:paraId="04836FC0"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1 225 470 </w:t>
            </w:r>
          </w:p>
        </w:tc>
      </w:tr>
      <w:tr w:rsidR="00D8083E" w:rsidRPr="00A202B4" w14:paraId="00355F3F"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619608E" w14:textId="77777777" w:rsidR="00D8083E" w:rsidRPr="00A202B4" w:rsidRDefault="00D8083E" w:rsidP="009A372A">
            <w:pPr>
              <w:jc w:val="left"/>
              <w:rPr>
                <w:sz w:val="18"/>
                <w:szCs w:val="18"/>
                <w:lang w:val="es-ES_tradnl" w:eastAsia="zh-CN"/>
              </w:rPr>
            </w:pPr>
            <w:r w:rsidRPr="00A202B4">
              <w:rPr>
                <w:sz w:val="18"/>
                <w:szCs w:val="18"/>
                <w:lang w:val="es-ES_tradnl" w:eastAsia="zh-CN"/>
              </w:rPr>
              <w:t>Chipre</w:t>
            </w:r>
          </w:p>
        </w:tc>
        <w:tc>
          <w:tcPr>
            <w:tcW w:w="1180" w:type="dxa"/>
            <w:tcBorders>
              <w:top w:val="nil"/>
              <w:left w:val="nil"/>
              <w:bottom w:val="single" w:sz="4" w:space="0" w:color="auto"/>
              <w:right w:val="single" w:sz="4" w:space="0" w:color="auto"/>
            </w:tcBorders>
            <w:shd w:val="clear" w:color="auto" w:fill="auto"/>
            <w:vAlign w:val="center"/>
            <w:hideMark/>
          </w:tcPr>
          <w:p w14:paraId="1699EDF2" w14:textId="77777777" w:rsidR="00D8083E" w:rsidRPr="00A202B4" w:rsidRDefault="00D8083E" w:rsidP="009A372A">
            <w:pPr>
              <w:jc w:val="right"/>
              <w:rPr>
                <w:sz w:val="18"/>
                <w:szCs w:val="18"/>
                <w:lang w:val="es-ES_tradnl" w:eastAsia="zh-CN"/>
              </w:rPr>
            </w:pPr>
            <w:r w:rsidRPr="00A202B4">
              <w:rPr>
                <w:sz w:val="18"/>
                <w:szCs w:val="18"/>
                <w:lang w:val="es-ES_tradnl" w:eastAsia="zh-CN"/>
              </w:rPr>
              <w:t>0,036</w:t>
            </w:r>
          </w:p>
        </w:tc>
        <w:tc>
          <w:tcPr>
            <w:tcW w:w="1180" w:type="dxa"/>
            <w:tcBorders>
              <w:top w:val="nil"/>
              <w:left w:val="nil"/>
              <w:bottom w:val="single" w:sz="4" w:space="0" w:color="auto"/>
              <w:right w:val="single" w:sz="4" w:space="0" w:color="auto"/>
            </w:tcBorders>
            <w:shd w:val="clear" w:color="auto" w:fill="auto"/>
            <w:noWrap/>
            <w:vAlign w:val="center"/>
            <w:hideMark/>
          </w:tcPr>
          <w:p w14:paraId="2A4A25E5" w14:textId="77777777" w:rsidR="00D8083E" w:rsidRPr="00A202B4" w:rsidRDefault="00D8083E" w:rsidP="009A372A">
            <w:pPr>
              <w:jc w:val="right"/>
              <w:rPr>
                <w:sz w:val="18"/>
                <w:szCs w:val="18"/>
                <w:lang w:val="es-ES_tradnl" w:eastAsia="zh-CN"/>
              </w:rPr>
            </w:pPr>
            <w:r w:rsidRPr="00A202B4">
              <w:rPr>
                <w:sz w:val="18"/>
                <w:szCs w:val="18"/>
                <w:lang w:val="es-ES_tradnl" w:eastAsia="zh-CN"/>
              </w:rPr>
              <w:t>0,051</w:t>
            </w:r>
          </w:p>
        </w:tc>
        <w:tc>
          <w:tcPr>
            <w:tcW w:w="1279" w:type="dxa"/>
            <w:tcBorders>
              <w:top w:val="nil"/>
              <w:left w:val="nil"/>
              <w:bottom w:val="single" w:sz="4" w:space="0" w:color="auto"/>
              <w:right w:val="single" w:sz="4" w:space="0" w:color="auto"/>
            </w:tcBorders>
            <w:shd w:val="clear" w:color="auto" w:fill="auto"/>
            <w:noWrap/>
            <w:vAlign w:val="center"/>
            <w:hideMark/>
          </w:tcPr>
          <w:p w14:paraId="799C98E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1 379 </w:t>
            </w:r>
          </w:p>
        </w:tc>
        <w:tc>
          <w:tcPr>
            <w:tcW w:w="1279" w:type="dxa"/>
            <w:tcBorders>
              <w:top w:val="nil"/>
              <w:left w:val="nil"/>
              <w:bottom w:val="single" w:sz="4" w:space="0" w:color="auto"/>
              <w:right w:val="single" w:sz="4" w:space="0" w:color="auto"/>
            </w:tcBorders>
            <w:shd w:val="clear" w:color="auto" w:fill="auto"/>
            <w:noWrap/>
            <w:vAlign w:val="center"/>
            <w:hideMark/>
          </w:tcPr>
          <w:p w14:paraId="07A1F60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1 513 </w:t>
            </w:r>
          </w:p>
        </w:tc>
        <w:tc>
          <w:tcPr>
            <w:tcW w:w="1180" w:type="dxa"/>
            <w:tcBorders>
              <w:top w:val="nil"/>
              <w:left w:val="nil"/>
              <w:bottom w:val="single" w:sz="4" w:space="0" w:color="auto"/>
              <w:right w:val="single" w:sz="4" w:space="0" w:color="auto"/>
            </w:tcBorders>
            <w:shd w:val="clear" w:color="auto" w:fill="auto"/>
            <w:noWrap/>
            <w:vAlign w:val="center"/>
            <w:hideMark/>
          </w:tcPr>
          <w:p w14:paraId="6B6797BF"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2 892 </w:t>
            </w:r>
          </w:p>
        </w:tc>
      </w:tr>
      <w:tr w:rsidR="00D8083E" w:rsidRPr="00A202B4" w14:paraId="22442D4D"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A9393E2" w14:textId="77777777" w:rsidR="00D8083E" w:rsidRPr="00A202B4" w:rsidRDefault="00D8083E" w:rsidP="009A372A">
            <w:pPr>
              <w:jc w:val="left"/>
              <w:rPr>
                <w:sz w:val="18"/>
                <w:szCs w:val="18"/>
                <w:lang w:val="es-ES_tradnl" w:eastAsia="zh-CN"/>
              </w:rPr>
            </w:pPr>
            <w:r w:rsidRPr="00A202B4">
              <w:rPr>
                <w:sz w:val="18"/>
                <w:szCs w:val="18"/>
                <w:lang w:val="es-ES_tradnl" w:eastAsia="zh-CN"/>
              </w:rPr>
              <w:t>Colombia</w:t>
            </w:r>
          </w:p>
        </w:tc>
        <w:tc>
          <w:tcPr>
            <w:tcW w:w="1180" w:type="dxa"/>
            <w:tcBorders>
              <w:top w:val="nil"/>
              <w:left w:val="nil"/>
              <w:bottom w:val="single" w:sz="4" w:space="0" w:color="auto"/>
              <w:right w:val="single" w:sz="4" w:space="0" w:color="auto"/>
            </w:tcBorders>
            <w:shd w:val="clear" w:color="auto" w:fill="auto"/>
            <w:vAlign w:val="center"/>
            <w:hideMark/>
          </w:tcPr>
          <w:p w14:paraId="2A9D0E16" w14:textId="77777777" w:rsidR="00D8083E" w:rsidRPr="00A202B4" w:rsidRDefault="00D8083E" w:rsidP="009A372A">
            <w:pPr>
              <w:jc w:val="right"/>
              <w:rPr>
                <w:sz w:val="18"/>
                <w:szCs w:val="18"/>
                <w:lang w:val="es-ES_tradnl" w:eastAsia="zh-CN"/>
              </w:rPr>
            </w:pPr>
            <w:r w:rsidRPr="00A202B4">
              <w:rPr>
                <w:sz w:val="18"/>
                <w:szCs w:val="18"/>
                <w:lang w:val="es-ES_tradnl" w:eastAsia="zh-CN"/>
              </w:rPr>
              <w:t>0,246</w:t>
            </w:r>
          </w:p>
        </w:tc>
        <w:tc>
          <w:tcPr>
            <w:tcW w:w="1180" w:type="dxa"/>
            <w:tcBorders>
              <w:top w:val="nil"/>
              <w:left w:val="nil"/>
              <w:bottom w:val="single" w:sz="4" w:space="0" w:color="auto"/>
              <w:right w:val="single" w:sz="4" w:space="0" w:color="auto"/>
            </w:tcBorders>
            <w:shd w:val="clear" w:color="auto" w:fill="auto"/>
            <w:noWrap/>
            <w:vAlign w:val="center"/>
            <w:hideMark/>
          </w:tcPr>
          <w:p w14:paraId="663220B0" w14:textId="77777777" w:rsidR="00D8083E" w:rsidRPr="00A202B4" w:rsidRDefault="00D8083E" w:rsidP="009A372A">
            <w:pPr>
              <w:jc w:val="right"/>
              <w:rPr>
                <w:sz w:val="18"/>
                <w:szCs w:val="18"/>
                <w:lang w:val="es-ES_tradnl" w:eastAsia="zh-CN"/>
              </w:rPr>
            </w:pPr>
            <w:r w:rsidRPr="00A202B4">
              <w:rPr>
                <w:sz w:val="18"/>
                <w:szCs w:val="18"/>
                <w:lang w:val="es-ES_tradnl" w:eastAsia="zh-CN"/>
              </w:rPr>
              <w:t>0,347</w:t>
            </w:r>
          </w:p>
        </w:tc>
        <w:tc>
          <w:tcPr>
            <w:tcW w:w="1279" w:type="dxa"/>
            <w:tcBorders>
              <w:top w:val="nil"/>
              <w:left w:val="nil"/>
              <w:bottom w:val="single" w:sz="4" w:space="0" w:color="auto"/>
              <w:right w:val="single" w:sz="4" w:space="0" w:color="auto"/>
            </w:tcBorders>
            <w:shd w:val="clear" w:color="auto" w:fill="auto"/>
            <w:noWrap/>
            <w:vAlign w:val="center"/>
            <w:hideMark/>
          </w:tcPr>
          <w:p w14:paraId="2C1CE2E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9 425 </w:t>
            </w:r>
          </w:p>
        </w:tc>
        <w:tc>
          <w:tcPr>
            <w:tcW w:w="1279" w:type="dxa"/>
            <w:tcBorders>
              <w:top w:val="nil"/>
              <w:left w:val="nil"/>
              <w:bottom w:val="single" w:sz="4" w:space="0" w:color="auto"/>
              <w:right w:val="single" w:sz="4" w:space="0" w:color="auto"/>
            </w:tcBorders>
            <w:shd w:val="clear" w:color="auto" w:fill="auto"/>
            <w:noWrap/>
            <w:vAlign w:val="center"/>
            <w:hideMark/>
          </w:tcPr>
          <w:p w14:paraId="6B3A292F"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10 338 </w:t>
            </w:r>
          </w:p>
        </w:tc>
        <w:tc>
          <w:tcPr>
            <w:tcW w:w="1180" w:type="dxa"/>
            <w:tcBorders>
              <w:top w:val="nil"/>
              <w:left w:val="nil"/>
              <w:bottom w:val="single" w:sz="4" w:space="0" w:color="auto"/>
              <w:right w:val="single" w:sz="4" w:space="0" w:color="auto"/>
            </w:tcBorders>
            <w:shd w:val="clear" w:color="auto" w:fill="auto"/>
            <w:noWrap/>
            <w:vAlign w:val="center"/>
            <w:hideMark/>
          </w:tcPr>
          <w:p w14:paraId="314AEBC8"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19 763 </w:t>
            </w:r>
          </w:p>
        </w:tc>
      </w:tr>
      <w:tr w:rsidR="00D8083E" w:rsidRPr="00A202B4" w14:paraId="5FE659DF"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C8AAE0D" w14:textId="77777777" w:rsidR="00D8083E" w:rsidRPr="00A202B4" w:rsidRDefault="00D8083E" w:rsidP="009A372A">
            <w:pPr>
              <w:jc w:val="left"/>
              <w:rPr>
                <w:sz w:val="18"/>
                <w:szCs w:val="18"/>
                <w:lang w:val="es-ES_tradnl" w:eastAsia="zh-CN"/>
              </w:rPr>
            </w:pPr>
            <w:r w:rsidRPr="00A202B4">
              <w:rPr>
                <w:sz w:val="18"/>
                <w:szCs w:val="18"/>
                <w:lang w:val="es-ES_tradnl" w:eastAsia="zh-CN"/>
              </w:rPr>
              <w:t>Comoras</w:t>
            </w:r>
          </w:p>
        </w:tc>
        <w:tc>
          <w:tcPr>
            <w:tcW w:w="1180" w:type="dxa"/>
            <w:tcBorders>
              <w:top w:val="nil"/>
              <w:left w:val="nil"/>
              <w:bottom w:val="single" w:sz="4" w:space="0" w:color="auto"/>
              <w:right w:val="single" w:sz="4" w:space="0" w:color="auto"/>
            </w:tcBorders>
            <w:shd w:val="clear" w:color="auto" w:fill="auto"/>
            <w:vAlign w:val="center"/>
            <w:hideMark/>
          </w:tcPr>
          <w:p w14:paraId="5F4402B6"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F28DFBA"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6E1BB3B7"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37CA68D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6B240525"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2AD23419"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3129C8D" w14:textId="77777777" w:rsidR="00D8083E" w:rsidRPr="00A202B4" w:rsidRDefault="00D8083E" w:rsidP="009A372A">
            <w:pPr>
              <w:jc w:val="left"/>
              <w:rPr>
                <w:sz w:val="18"/>
                <w:szCs w:val="18"/>
                <w:lang w:val="es-ES_tradnl" w:eastAsia="zh-CN"/>
              </w:rPr>
            </w:pPr>
            <w:r w:rsidRPr="00A202B4">
              <w:rPr>
                <w:sz w:val="18"/>
                <w:szCs w:val="18"/>
                <w:lang w:val="es-ES_tradnl" w:eastAsia="zh-CN"/>
              </w:rPr>
              <w:t>Congo</w:t>
            </w:r>
          </w:p>
        </w:tc>
        <w:tc>
          <w:tcPr>
            <w:tcW w:w="1180" w:type="dxa"/>
            <w:tcBorders>
              <w:top w:val="nil"/>
              <w:left w:val="nil"/>
              <w:bottom w:val="single" w:sz="4" w:space="0" w:color="auto"/>
              <w:right w:val="single" w:sz="4" w:space="0" w:color="auto"/>
            </w:tcBorders>
            <w:shd w:val="clear" w:color="auto" w:fill="auto"/>
            <w:vAlign w:val="center"/>
            <w:hideMark/>
          </w:tcPr>
          <w:p w14:paraId="1C0C8D37" w14:textId="77777777" w:rsidR="00D8083E" w:rsidRPr="00A202B4" w:rsidRDefault="00D8083E" w:rsidP="009A372A">
            <w:pPr>
              <w:jc w:val="right"/>
              <w:rPr>
                <w:sz w:val="18"/>
                <w:szCs w:val="18"/>
                <w:lang w:val="es-ES_tradnl" w:eastAsia="zh-CN"/>
              </w:rPr>
            </w:pPr>
            <w:r w:rsidRPr="00A202B4">
              <w:rPr>
                <w:sz w:val="18"/>
                <w:szCs w:val="18"/>
                <w:lang w:val="es-ES_tradnl"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28922F1B" w14:textId="77777777" w:rsidR="00D8083E" w:rsidRPr="00A202B4" w:rsidRDefault="00D8083E" w:rsidP="009A372A">
            <w:pPr>
              <w:jc w:val="right"/>
              <w:rPr>
                <w:sz w:val="18"/>
                <w:szCs w:val="18"/>
                <w:lang w:val="es-ES_tradnl" w:eastAsia="zh-CN"/>
              </w:rPr>
            </w:pPr>
            <w:r w:rsidRPr="00A202B4">
              <w:rPr>
                <w:sz w:val="18"/>
                <w:szCs w:val="18"/>
                <w:lang w:val="es-ES_tradnl" w:eastAsia="zh-CN"/>
              </w:rPr>
              <w:t>0,007</w:t>
            </w:r>
          </w:p>
        </w:tc>
        <w:tc>
          <w:tcPr>
            <w:tcW w:w="1279" w:type="dxa"/>
            <w:tcBorders>
              <w:top w:val="nil"/>
              <w:left w:val="nil"/>
              <w:bottom w:val="single" w:sz="4" w:space="0" w:color="auto"/>
              <w:right w:val="single" w:sz="4" w:space="0" w:color="auto"/>
            </w:tcBorders>
            <w:shd w:val="clear" w:color="auto" w:fill="auto"/>
            <w:noWrap/>
            <w:vAlign w:val="center"/>
            <w:hideMark/>
          </w:tcPr>
          <w:p w14:paraId="0B25D42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192 </w:t>
            </w:r>
          </w:p>
        </w:tc>
        <w:tc>
          <w:tcPr>
            <w:tcW w:w="1279" w:type="dxa"/>
            <w:tcBorders>
              <w:top w:val="nil"/>
              <w:left w:val="nil"/>
              <w:bottom w:val="single" w:sz="4" w:space="0" w:color="auto"/>
              <w:right w:val="single" w:sz="4" w:space="0" w:color="auto"/>
            </w:tcBorders>
            <w:shd w:val="clear" w:color="auto" w:fill="auto"/>
            <w:noWrap/>
            <w:vAlign w:val="center"/>
            <w:hideMark/>
          </w:tcPr>
          <w:p w14:paraId="4548E8F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191DE476"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402 </w:t>
            </w:r>
          </w:p>
        </w:tc>
      </w:tr>
      <w:tr w:rsidR="00D8083E" w:rsidRPr="00A202B4" w14:paraId="28FC913B"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D256385" w14:textId="77777777" w:rsidR="00D8083E" w:rsidRPr="00A202B4" w:rsidRDefault="00D8083E" w:rsidP="009A372A">
            <w:pPr>
              <w:jc w:val="left"/>
              <w:rPr>
                <w:sz w:val="18"/>
                <w:szCs w:val="18"/>
                <w:lang w:val="es-ES_tradnl" w:eastAsia="zh-CN"/>
              </w:rPr>
            </w:pPr>
            <w:r w:rsidRPr="00A202B4">
              <w:rPr>
                <w:sz w:val="18"/>
                <w:szCs w:val="18"/>
                <w:lang w:val="es-ES_tradnl" w:eastAsia="zh-CN"/>
              </w:rPr>
              <w:t>Costa Rica</w:t>
            </w:r>
          </w:p>
        </w:tc>
        <w:tc>
          <w:tcPr>
            <w:tcW w:w="1180" w:type="dxa"/>
            <w:tcBorders>
              <w:top w:val="nil"/>
              <w:left w:val="nil"/>
              <w:bottom w:val="single" w:sz="4" w:space="0" w:color="auto"/>
              <w:right w:val="single" w:sz="4" w:space="0" w:color="auto"/>
            </w:tcBorders>
            <w:shd w:val="clear" w:color="auto" w:fill="auto"/>
            <w:vAlign w:val="center"/>
            <w:hideMark/>
          </w:tcPr>
          <w:p w14:paraId="7E67C73F" w14:textId="77777777" w:rsidR="00D8083E" w:rsidRPr="00A202B4" w:rsidRDefault="00D8083E" w:rsidP="009A372A">
            <w:pPr>
              <w:jc w:val="right"/>
              <w:rPr>
                <w:sz w:val="18"/>
                <w:szCs w:val="18"/>
                <w:lang w:val="es-ES_tradnl" w:eastAsia="zh-CN"/>
              </w:rPr>
            </w:pPr>
            <w:r w:rsidRPr="00A202B4">
              <w:rPr>
                <w:sz w:val="18"/>
                <w:szCs w:val="18"/>
                <w:lang w:val="es-ES_tradnl" w:eastAsia="zh-CN"/>
              </w:rPr>
              <w:t>0,069</w:t>
            </w:r>
          </w:p>
        </w:tc>
        <w:tc>
          <w:tcPr>
            <w:tcW w:w="1180" w:type="dxa"/>
            <w:tcBorders>
              <w:top w:val="nil"/>
              <w:left w:val="nil"/>
              <w:bottom w:val="single" w:sz="4" w:space="0" w:color="auto"/>
              <w:right w:val="single" w:sz="4" w:space="0" w:color="auto"/>
            </w:tcBorders>
            <w:shd w:val="clear" w:color="auto" w:fill="auto"/>
            <w:noWrap/>
            <w:vAlign w:val="center"/>
            <w:hideMark/>
          </w:tcPr>
          <w:p w14:paraId="6E53A53C" w14:textId="77777777" w:rsidR="00D8083E" w:rsidRPr="00A202B4" w:rsidRDefault="00D8083E" w:rsidP="009A372A">
            <w:pPr>
              <w:jc w:val="right"/>
              <w:rPr>
                <w:sz w:val="18"/>
                <w:szCs w:val="18"/>
                <w:lang w:val="es-ES_tradnl" w:eastAsia="zh-CN"/>
              </w:rPr>
            </w:pPr>
            <w:r w:rsidRPr="00A202B4">
              <w:rPr>
                <w:sz w:val="18"/>
                <w:szCs w:val="18"/>
                <w:lang w:val="es-ES_tradnl" w:eastAsia="zh-CN"/>
              </w:rPr>
              <w:t>0,097</w:t>
            </w:r>
          </w:p>
        </w:tc>
        <w:tc>
          <w:tcPr>
            <w:tcW w:w="1279" w:type="dxa"/>
            <w:tcBorders>
              <w:top w:val="nil"/>
              <w:left w:val="nil"/>
              <w:bottom w:val="single" w:sz="4" w:space="0" w:color="auto"/>
              <w:right w:val="single" w:sz="4" w:space="0" w:color="auto"/>
            </w:tcBorders>
            <w:shd w:val="clear" w:color="auto" w:fill="auto"/>
            <w:noWrap/>
            <w:vAlign w:val="center"/>
            <w:hideMark/>
          </w:tcPr>
          <w:p w14:paraId="19F6D7A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2 644 </w:t>
            </w:r>
          </w:p>
        </w:tc>
        <w:tc>
          <w:tcPr>
            <w:tcW w:w="1279" w:type="dxa"/>
            <w:tcBorders>
              <w:top w:val="nil"/>
              <w:left w:val="nil"/>
              <w:bottom w:val="single" w:sz="4" w:space="0" w:color="auto"/>
              <w:right w:val="single" w:sz="4" w:space="0" w:color="auto"/>
            </w:tcBorders>
            <w:shd w:val="clear" w:color="auto" w:fill="auto"/>
            <w:noWrap/>
            <w:vAlign w:val="center"/>
            <w:hideMark/>
          </w:tcPr>
          <w:p w14:paraId="2DBACD1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2 900 </w:t>
            </w:r>
          </w:p>
        </w:tc>
        <w:tc>
          <w:tcPr>
            <w:tcW w:w="1180" w:type="dxa"/>
            <w:tcBorders>
              <w:top w:val="nil"/>
              <w:left w:val="nil"/>
              <w:bottom w:val="single" w:sz="4" w:space="0" w:color="auto"/>
              <w:right w:val="single" w:sz="4" w:space="0" w:color="auto"/>
            </w:tcBorders>
            <w:shd w:val="clear" w:color="auto" w:fill="auto"/>
            <w:noWrap/>
            <w:vAlign w:val="center"/>
            <w:hideMark/>
          </w:tcPr>
          <w:p w14:paraId="725B05DB"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5 543 </w:t>
            </w:r>
          </w:p>
        </w:tc>
      </w:tr>
      <w:tr w:rsidR="00D8083E" w:rsidRPr="00A202B4" w14:paraId="2B70B4C1"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C5C42D8" w14:textId="77777777" w:rsidR="00D8083E" w:rsidRPr="00A202B4" w:rsidRDefault="00D8083E" w:rsidP="009A372A">
            <w:pPr>
              <w:jc w:val="left"/>
              <w:rPr>
                <w:sz w:val="18"/>
                <w:szCs w:val="18"/>
                <w:lang w:val="es-ES_tradnl" w:eastAsia="zh-CN"/>
              </w:rPr>
            </w:pPr>
            <w:r w:rsidRPr="00A202B4">
              <w:rPr>
                <w:sz w:val="18"/>
                <w:szCs w:val="18"/>
                <w:lang w:val="es-ES_tradnl" w:eastAsia="zh-CN"/>
              </w:rPr>
              <w:t>Côte d'Ivoire</w:t>
            </w:r>
          </w:p>
        </w:tc>
        <w:tc>
          <w:tcPr>
            <w:tcW w:w="1180" w:type="dxa"/>
            <w:tcBorders>
              <w:top w:val="nil"/>
              <w:left w:val="nil"/>
              <w:bottom w:val="single" w:sz="4" w:space="0" w:color="auto"/>
              <w:right w:val="single" w:sz="4" w:space="0" w:color="auto"/>
            </w:tcBorders>
            <w:shd w:val="clear" w:color="auto" w:fill="auto"/>
            <w:vAlign w:val="center"/>
            <w:hideMark/>
          </w:tcPr>
          <w:p w14:paraId="7A7D646E" w14:textId="77777777" w:rsidR="00D8083E" w:rsidRPr="00A202B4" w:rsidRDefault="00D8083E" w:rsidP="009A372A">
            <w:pPr>
              <w:jc w:val="right"/>
              <w:rPr>
                <w:sz w:val="18"/>
                <w:szCs w:val="18"/>
                <w:lang w:val="es-ES_tradnl" w:eastAsia="zh-CN"/>
              </w:rPr>
            </w:pPr>
            <w:r w:rsidRPr="00A202B4">
              <w:rPr>
                <w:sz w:val="18"/>
                <w:szCs w:val="18"/>
                <w:lang w:val="es-ES_tradnl" w:eastAsia="zh-CN"/>
              </w:rPr>
              <w:t>0,022</w:t>
            </w:r>
          </w:p>
        </w:tc>
        <w:tc>
          <w:tcPr>
            <w:tcW w:w="1180" w:type="dxa"/>
            <w:tcBorders>
              <w:top w:val="nil"/>
              <w:left w:val="nil"/>
              <w:bottom w:val="single" w:sz="4" w:space="0" w:color="auto"/>
              <w:right w:val="single" w:sz="4" w:space="0" w:color="auto"/>
            </w:tcBorders>
            <w:shd w:val="clear" w:color="auto" w:fill="auto"/>
            <w:noWrap/>
            <w:vAlign w:val="center"/>
            <w:hideMark/>
          </w:tcPr>
          <w:p w14:paraId="3782DBDA" w14:textId="77777777" w:rsidR="00D8083E" w:rsidRPr="00A202B4" w:rsidRDefault="00D8083E" w:rsidP="009A372A">
            <w:pPr>
              <w:jc w:val="right"/>
              <w:rPr>
                <w:sz w:val="18"/>
                <w:szCs w:val="18"/>
                <w:lang w:val="es-ES_tradnl" w:eastAsia="zh-CN"/>
              </w:rPr>
            </w:pPr>
            <w:r w:rsidRPr="00A202B4">
              <w:rPr>
                <w:sz w:val="18"/>
                <w:szCs w:val="18"/>
                <w:lang w:val="es-ES_tradnl" w:eastAsia="zh-CN"/>
              </w:rPr>
              <w:t>0,031</w:t>
            </w:r>
          </w:p>
        </w:tc>
        <w:tc>
          <w:tcPr>
            <w:tcW w:w="1279" w:type="dxa"/>
            <w:tcBorders>
              <w:top w:val="nil"/>
              <w:left w:val="nil"/>
              <w:bottom w:val="single" w:sz="4" w:space="0" w:color="auto"/>
              <w:right w:val="single" w:sz="4" w:space="0" w:color="auto"/>
            </w:tcBorders>
            <w:shd w:val="clear" w:color="auto" w:fill="auto"/>
            <w:noWrap/>
            <w:vAlign w:val="center"/>
            <w:hideMark/>
          </w:tcPr>
          <w:p w14:paraId="323918D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843 </w:t>
            </w:r>
          </w:p>
        </w:tc>
        <w:tc>
          <w:tcPr>
            <w:tcW w:w="1279" w:type="dxa"/>
            <w:tcBorders>
              <w:top w:val="nil"/>
              <w:left w:val="nil"/>
              <w:bottom w:val="single" w:sz="4" w:space="0" w:color="auto"/>
              <w:right w:val="single" w:sz="4" w:space="0" w:color="auto"/>
            </w:tcBorders>
            <w:shd w:val="clear" w:color="auto" w:fill="auto"/>
            <w:noWrap/>
            <w:vAlign w:val="center"/>
            <w:hideMark/>
          </w:tcPr>
          <w:p w14:paraId="537A66A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925 </w:t>
            </w:r>
          </w:p>
        </w:tc>
        <w:tc>
          <w:tcPr>
            <w:tcW w:w="1180" w:type="dxa"/>
            <w:tcBorders>
              <w:top w:val="nil"/>
              <w:left w:val="nil"/>
              <w:bottom w:val="single" w:sz="4" w:space="0" w:color="auto"/>
              <w:right w:val="single" w:sz="4" w:space="0" w:color="auto"/>
            </w:tcBorders>
            <w:shd w:val="clear" w:color="auto" w:fill="auto"/>
            <w:noWrap/>
            <w:vAlign w:val="center"/>
            <w:hideMark/>
          </w:tcPr>
          <w:p w14:paraId="19C165F2"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1 767 </w:t>
            </w:r>
          </w:p>
        </w:tc>
      </w:tr>
      <w:tr w:rsidR="00D8083E" w:rsidRPr="00A202B4" w14:paraId="453F4DEC"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DD320AA" w14:textId="77777777" w:rsidR="00D8083E" w:rsidRPr="00A202B4" w:rsidRDefault="00D8083E" w:rsidP="009A372A">
            <w:pPr>
              <w:jc w:val="left"/>
              <w:rPr>
                <w:sz w:val="18"/>
                <w:szCs w:val="18"/>
                <w:lang w:val="es-ES_tradnl" w:eastAsia="zh-CN"/>
              </w:rPr>
            </w:pPr>
            <w:r w:rsidRPr="00A202B4">
              <w:rPr>
                <w:sz w:val="18"/>
                <w:szCs w:val="18"/>
                <w:lang w:val="es-ES_tradnl" w:eastAsia="zh-CN"/>
              </w:rPr>
              <w:t>Croacia</w:t>
            </w:r>
          </w:p>
        </w:tc>
        <w:tc>
          <w:tcPr>
            <w:tcW w:w="1180" w:type="dxa"/>
            <w:tcBorders>
              <w:top w:val="nil"/>
              <w:left w:val="nil"/>
              <w:bottom w:val="single" w:sz="4" w:space="0" w:color="auto"/>
              <w:right w:val="single" w:sz="4" w:space="0" w:color="auto"/>
            </w:tcBorders>
            <w:shd w:val="clear" w:color="auto" w:fill="auto"/>
            <w:vAlign w:val="center"/>
            <w:hideMark/>
          </w:tcPr>
          <w:p w14:paraId="4798D759" w14:textId="77777777" w:rsidR="00D8083E" w:rsidRPr="00A202B4" w:rsidRDefault="00D8083E" w:rsidP="009A372A">
            <w:pPr>
              <w:jc w:val="right"/>
              <w:rPr>
                <w:sz w:val="18"/>
                <w:szCs w:val="18"/>
                <w:lang w:val="es-ES_tradnl" w:eastAsia="zh-CN"/>
              </w:rPr>
            </w:pPr>
            <w:r w:rsidRPr="00A202B4">
              <w:rPr>
                <w:sz w:val="18"/>
                <w:szCs w:val="18"/>
                <w:lang w:val="es-ES_tradnl" w:eastAsia="zh-CN"/>
              </w:rPr>
              <w:t>0,091</w:t>
            </w:r>
          </w:p>
        </w:tc>
        <w:tc>
          <w:tcPr>
            <w:tcW w:w="1180" w:type="dxa"/>
            <w:tcBorders>
              <w:top w:val="nil"/>
              <w:left w:val="nil"/>
              <w:bottom w:val="single" w:sz="4" w:space="0" w:color="auto"/>
              <w:right w:val="single" w:sz="4" w:space="0" w:color="auto"/>
            </w:tcBorders>
            <w:shd w:val="clear" w:color="auto" w:fill="auto"/>
            <w:noWrap/>
            <w:vAlign w:val="center"/>
            <w:hideMark/>
          </w:tcPr>
          <w:p w14:paraId="4D8A5702" w14:textId="77777777" w:rsidR="00D8083E" w:rsidRPr="00A202B4" w:rsidRDefault="00D8083E" w:rsidP="009A372A">
            <w:pPr>
              <w:jc w:val="right"/>
              <w:rPr>
                <w:sz w:val="18"/>
                <w:szCs w:val="18"/>
                <w:lang w:val="es-ES_tradnl" w:eastAsia="zh-CN"/>
              </w:rPr>
            </w:pPr>
            <w:r w:rsidRPr="00A202B4">
              <w:rPr>
                <w:sz w:val="18"/>
                <w:szCs w:val="18"/>
                <w:lang w:val="es-ES_tradnl" w:eastAsia="zh-CN"/>
              </w:rPr>
              <w:t>0,128</w:t>
            </w:r>
          </w:p>
        </w:tc>
        <w:tc>
          <w:tcPr>
            <w:tcW w:w="1279" w:type="dxa"/>
            <w:tcBorders>
              <w:top w:val="nil"/>
              <w:left w:val="nil"/>
              <w:bottom w:val="single" w:sz="4" w:space="0" w:color="auto"/>
              <w:right w:val="single" w:sz="4" w:space="0" w:color="auto"/>
            </w:tcBorders>
            <w:shd w:val="clear" w:color="auto" w:fill="auto"/>
            <w:noWrap/>
            <w:vAlign w:val="center"/>
            <w:hideMark/>
          </w:tcPr>
          <w:p w14:paraId="4F38D43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3 487 </w:t>
            </w:r>
          </w:p>
        </w:tc>
        <w:tc>
          <w:tcPr>
            <w:tcW w:w="1279" w:type="dxa"/>
            <w:tcBorders>
              <w:top w:val="nil"/>
              <w:left w:val="nil"/>
              <w:bottom w:val="single" w:sz="4" w:space="0" w:color="auto"/>
              <w:right w:val="single" w:sz="4" w:space="0" w:color="auto"/>
            </w:tcBorders>
            <w:shd w:val="clear" w:color="auto" w:fill="auto"/>
            <w:noWrap/>
            <w:vAlign w:val="center"/>
            <w:hideMark/>
          </w:tcPr>
          <w:p w14:paraId="5232692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3 824 </w:t>
            </w:r>
          </w:p>
        </w:tc>
        <w:tc>
          <w:tcPr>
            <w:tcW w:w="1180" w:type="dxa"/>
            <w:tcBorders>
              <w:top w:val="nil"/>
              <w:left w:val="nil"/>
              <w:bottom w:val="single" w:sz="4" w:space="0" w:color="auto"/>
              <w:right w:val="single" w:sz="4" w:space="0" w:color="auto"/>
            </w:tcBorders>
            <w:shd w:val="clear" w:color="auto" w:fill="auto"/>
            <w:noWrap/>
            <w:vAlign w:val="center"/>
            <w:hideMark/>
          </w:tcPr>
          <w:p w14:paraId="72F8937E"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7 311 </w:t>
            </w:r>
          </w:p>
        </w:tc>
      </w:tr>
      <w:tr w:rsidR="00D8083E" w:rsidRPr="00A202B4" w14:paraId="6BC5A4FE"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89D2809" w14:textId="77777777" w:rsidR="00D8083E" w:rsidRPr="00A202B4" w:rsidRDefault="00D8083E" w:rsidP="009A372A">
            <w:pPr>
              <w:jc w:val="left"/>
              <w:rPr>
                <w:sz w:val="18"/>
                <w:szCs w:val="18"/>
                <w:lang w:val="es-ES_tradnl" w:eastAsia="zh-CN"/>
              </w:rPr>
            </w:pPr>
            <w:r w:rsidRPr="00A202B4">
              <w:rPr>
                <w:sz w:val="18"/>
                <w:szCs w:val="18"/>
                <w:lang w:val="es-ES_tradnl" w:eastAsia="zh-CN"/>
              </w:rPr>
              <w:t>Cuba</w:t>
            </w:r>
          </w:p>
        </w:tc>
        <w:tc>
          <w:tcPr>
            <w:tcW w:w="1180" w:type="dxa"/>
            <w:tcBorders>
              <w:top w:val="nil"/>
              <w:left w:val="nil"/>
              <w:bottom w:val="single" w:sz="4" w:space="0" w:color="auto"/>
              <w:right w:val="single" w:sz="4" w:space="0" w:color="auto"/>
            </w:tcBorders>
            <w:shd w:val="clear" w:color="auto" w:fill="auto"/>
            <w:vAlign w:val="center"/>
            <w:hideMark/>
          </w:tcPr>
          <w:p w14:paraId="301597D2" w14:textId="77777777" w:rsidR="00D8083E" w:rsidRPr="00A202B4" w:rsidRDefault="00D8083E" w:rsidP="009A372A">
            <w:pPr>
              <w:jc w:val="right"/>
              <w:rPr>
                <w:sz w:val="18"/>
                <w:szCs w:val="18"/>
                <w:lang w:val="es-ES_tradnl" w:eastAsia="zh-CN"/>
              </w:rPr>
            </w:pPr>
            <w:r w:rsidRPr="00A202B4">
              <w:rPr>
                <w:sz w:val="18"/>
                <w:szCs w:val="18"/>
                <w:lang w:val="es-ES_tradnl" w:eastAsia="zh-CN"/>
              </w:rPr>
              <w:t>0,095</w:t>
            </w:r>
          </w:p>
        </w:tc>
        <w:tc>
          <w:tcPr>
            <w:tcW w:w="1180" w:type="dxa"/>
            <w:tcBorders>
              <w:top w:val="nil"/>
              <w:left w:val="nil"/>
              <w:bottom w:val="single" w:sz="4" w:space="0" w:color="auto"/>
              <w:right w:val="single" w:sz="4" w:space="0" w:color="auto"/>
            </w:tcBorders>
            <w:shd w:val="clear" w:color="auto" w:fill="auto"/>
            <w:noWrap/>
            <w:vAlign w:val="center"/>
            <w:hideMark/>
          </w:tcPr>
          <w:p w14:paraId="476E0FC2" w14:textId="77777777" w:rsidR="00D8083E" w:rsidRPr="00A202B4" w:rsidRDefault="00D8083E" w:rsidP="009A372A">
            <w:pPr>
              <w:jc w:val="right"/>
              <w:rPr>
                <w:sz w:val="18"/>
                <w:szCs w:val="18"/>
                <w:lang w:val="es-ES_tradnl" w:eastAsia="zh-CN"/>
              </w:rPr>
            </w:pPr>
            <w:r w:rsidRPr="00A202B4">
              <w:rPr>
                <w:sz w:val="18"/>
                <w:szCs w:val="18"/>
                <w:lang w:val="es-ES_tradnl" w:eastAsia="zh-CN"/>
              </w:rPr>
              <w:t>0,134</w:t>
            </w:r>
          </w:p>
        </w:tc>
        <w:tc>
          <w:tcPr>
            <w:tcW w:w="1279" w:type="dxa"/>
            <w:tcBorders>
              <w:top w:val="nil"/>
              <w:left w:val="nil"/>
              <w:bottom w:val="single" w:sz="4" w:space="0" w:color="auto"/>
              <w:right w:val="single" w:sz="4" w:space="0" w:color="auto"/>
            </w:tcBorders>
            <w:shd w:val="clear" w:color="auto" w:fill="auto"/>
            <w:noWrap/>
            <w:vAlign w:val="center"/>
            <w:hideMark/>
          </w:tcPr>
          <w:p w14:paraId="645F4F5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3 640 </w:t>
            </w:r>
          </w:p>
        </w:tc>
        <w:tc>
          <w:tcPr>
            <w:tcW w:w="1279" w:type="dxa"/>
            <w:tcBorders>
              <w:top w:val="nil"/>
              <w:left w:val="nil"/>
              <w:bottom w:val="single" w:sz="4" w:space="0" w:color="auto"/>
              <w:right w:val="single" w:sz="4" w:space="0" w:color="auto"/>
            </w:tcBorders>
            <w:shd w:val="clear" w:color="auto" w:fill="auto"/>
            <w:noWrap/>
            <w:vAlign w:val="center"/>
            <w:hideMark/>
          </w:tcPr>
          <w:p w14:paraId="377433A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3 992 </w:t>
            </w:r>
          </w:p>
        </w:tc>
        <w:tc>
          <w:tcPr>
            <w:tcW w:w="1180" w:type="dxa"/>
            <w:tcBorders>
              <w:top w:val="nil"/>
              <w:left w:val="nil"/>
              <w:bottom w:val="single" w:sz="4" w:space="0" w:color="auto"/>
              <w:right w:val="single" w:sz="4" w:space="0" w:color="auto"/>
            </w:tcBorders>
            <w:shd w:val="clear" w:color="auto" w:fill="auto"/>
            <w:noWrap/>
            <w:vAlign w:val="center"/>
            <w:hideMark/>
          </w:tcPr>
          <w:p w14:paraId="7FEE15C2"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7 632 </w:t>
            </w:r>
          </w:p>
        </w:tc>
      </w:tr>
      <w:tr w:rsidR="00D8083E" w:rsidRPr="00A202B4" w14:paraId="3AADDB38"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857854F" w14:textId="77777777" w:rsidR="00D8083E" w:rsidRPr="00A202B4" w:rsidRDefault="00D8083E" w:rsidP="009A372A">
            <w:pPr>
              <w:jc w:val="left"/>
              <w:rPr>
                <w:sz w:val="18"/>
                <w:szCs w:val="18"/>
                <w:lang w:val="es-ES_tradnl" w:eastAsia="zh-CN"/>
              </w:rPr>
            </w:pPr>
            <w:r w:rsidRPr="00A202B4">
              <w:rPr>
                <w:sz w:val="18"/>
                <w:szCs w:val="18"/>
                <w:lang w:val="es-ES_tradnl" w:eastAsia="zh-CN"/>
              </w:rPr>
              <w:t>Dinamarca</w:t>
            </w:r>
          </w:p>
        </w:tc>
        <w:tc>
          <w:tcPr>
            <w:tcW w:w="1180" w:type="dxa"/>
            <w:tcBorders>
              <w:top w:val="nil"/>
              <w:left w:val="nil"/>
              <w:bottom w:val="single" w:sz="4" w:space="0" w:color="auto"/>
              <w:right w:val="single" w:sz="4" w:space="0" w:color="auto"/>
            </w:tcBorders>
            <w:shd w:val="clear" w:color="auto" w:fill="auto"/>
            <w:vAlign w:val="center"/>
            <w:hideMark/>
          </w:tcPr>
          <w:p w14:paraId="70A1E3DD" w14:textId="77777777" w:rsidR="00D8083E" w:rsidRPr="00A202B4" w:rsidRDefault="00D8083E" w:rsidP="009A372A">
            <w:pPr>
              <w:jc w:val="right"/>
              <w:rPr>
                <w:sz w:val="18"/>
                <w:szCs w:val="18"/>
                <w:lang w:val="es-ES_tradnl" w:eastAsia="zh-CN"/>
              </w:rPr>
            </w:pPr>
            <w:r w:rsidRPr="00A202B4">
              <w:rPr>
                <w:sz w:val="18"/>
                <w:szCs w:val="18"/>
                <w:lang w:val="es-ES_tradnl" w:eastAsia="zh-CN"/>
              </w:rPr>
              <w:t>0,553</w:t>
            </w:r>
          </w:p>
        </w:tc>
        <w:tc>
          <w:tcPr>
            <w:tcW w:w="1180" w:type="dxa"/>
            <w:tcBorders>
              <w:top w:val="nil"/>
              <w:left w:val="nil"/>
              <w:bottom w:val="single" w:sz="4" w:space="0" w:color="auto"/>
              <w:right w:val="single" w:sz="4" w:space="0" w:color="auto"/>
            </w:tcBorders>
            <w:shd w:val="clear" w:color="auto" w:fill="auto"/>
            <w:noWrap/>
            <w:vAlign w:val="center"/>
            <w:hideMark/>
          </w:tcPr>
          <w:p w14:paraId="0DAF9005" w14:textId="77777777" w:rsidR="00D8083E" w:rsidRPr="00A202B4" w:rsidRDefault="00D8083E" w:rsidP="009A372A">
            <w:pPr>
              <w:jc w:val="right"/>
              <w:rPr>
                <w:sz w:val="18"/>
                <w:szCs w:val="18"/>
                <w:lang w:val="es-ES_tradnl" w:eastAsia="zh-CN"/>
              </w:rPr>
            </w:pPr>
            <w:r w:rsidRPr="00A202B4">
              <w:rPr>
                <w:sz w:val="18"/>
                <w:szCs w:val="18"/>
                <w:lang w:val="es-ES_tradnl" w:eastAsia="zh-CN"/>
              </w:rPr>
              <w:t>0,781</w:t>
            </w:r>
          </w:p>
        </w:tc>
        <w:tc>
          <w:tcPr>
            <w:tcW w:w="1279" w:type="dxa"/>
            <w:tcBorders>
              <w:top w:val="nil"/>
              <w:left w:val="nil"/>
              <w:bottom w:val="single" w:sz="4" w:space="0" w:color="auto"/>
              <w:right w:val="single" w:sz="4" w:space="0" w:color="auto"/>
            </w:tcBorders>
            <w:shd w:val="clear" w:color="auto" w:fill="auto"/>
            <w:noWrap/>
            <w:vAlign w:val="center"/>
            <w:hideMark/>
          </w:tcPr>
          <w:p w14:paraId="2334D7AD"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21 187 </w:t>
            </w:r>
          </w:p>
        </w:tc>
        <w:tc>
          <w:tcPr>
            <w:tcW w:w="1279" w:type="dxa"/>
            <w:tcBorders>
              <w:top w:val="nil"/>
              <w:left w:val="nil"/>
              <w:bottom w:val="single" w:sz="4" w:space="0" w:color="auto"/>
              <w:right w:val="single" w:sz="4" w:space="0" w:color="auto"/>
            </w:tcBorders>
            <w:shd w:val="clear" w:color="auto" w:fill="auto"/>
            <w:noWrap/>
            <w:vAlign w:val="center"/>
            <w:hideMark/>
          </w:tcPr>
          <w:p w14:paraId="3D42C2BE"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23 239 </w:t>
            </w:r>
          </w:p>
        </w:tc>
        <w:tc>
          <w:tcPr>
            <w:tcW w:w="1180" w:type="dxa"/>
            <w:tcBorders>
              <w:top w:val="nil"/>
              <w:left w:val="nil"/>
              <w:bottom w:val="single" w:sz="4" w:space="0" w:color="auto"/>
              <w:right w:val="single" w:sz="4" w:space="0" w:color="auto"/>
            </w:tcBorders>
            <w:shd w:val="clear" w:color="auto" w:fill="auto"/>
            <w:noWrap/>
            <w:vAlign w:val="center"/>
            <w:hideMark/>
          </w:tcPr>
          <w:p w14:paraId="4535C405"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44 427 </w:t>
            </w:r>
          </w:p>
        </w:tc>
      </w:tr>
      <w:tr w:rsidR="00D8083E" w:rsidRPr="00A202B4" w14:paraId="1AC10738"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ABFC04C" w14:textId="77777777" w:rsidR="00D8083E" w:rsidRPr="00A202B4" w:rsidRDefault="00D8083E" w:rsidP="009A372A">
            <w:pPr>
              <w:jc w:val="left"/>
              <w:rPr>
                <w:sz w:val="18"/>
                <w:szCs w:val="18"/>
                <w:lang w:val="es-ES_tradnl" w:eastAsia="zh-CN"/>
              </w:rPr>
            </w:pPr>
            <w:r w:rsidRPr="00A202B4">
              <w:rPr>
                <w:sz w:val="18"/>
                <w:szCs w:val="18"/>
                <w:lang w:val="es-ES_tradnl" w:eastAsia="zh-CN"/>
              </w:rPr>
              <w:t>Djibouti</w:t>
            </w:r>
          </w:p>
        </w:tc>
        <w:tc>
          <w:tcPr>
            <w:tcW w:w="1180" w:type="dxa"/>
            <w:tcBorders>
              <w:top w:val="nil"/>
              <w:left w:val="nil"/>
              <w:bottom w:val="single" w:sz="4" w:space="0" w:color="auto"/>
              <w:right w:val="single" w:sz="4" w:space="0" w:color="auto"/>
            </w:tcBorders>
            <w:shd w:val="clear" w:color="auto" w:fill="auto"/>
            <w:vAlign w:val="center"/>
            <w:hideMark/>
          </w:tcPr>
          <w:p w14:paraId="6940EBFD"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AAA3494"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6EB012A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73C8079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5BD879AF"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22049CDA"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A3E9E3F" w14:textId="77777777" w:rsidR="00D8083E" w:rsidRPr="00A202B4" w:rsidRDefault="00D8083E" w:rsidP="009A372A">
            <w:pPr>
              <w:jc w:val="left"/>
              <w:rPr>
                <w:sz w:val="18"/>
                <w:szCs w:val="18"/>
                <w:lang w:val="es-ES_tradnl" w:eastAsia="zh-CN"/>
              </w:rPr>
            </w:pPr>
            <w:r w:rsidRPr="00A202B4">
              <w:rPr>
                <w:sz w:val="18"/>
                <w:szCs w:val="18"/>
                <w:lang w:val="es-ES_tradnl" w:eastAsia="zh-CN"/>
              </w:rPr>
              <w:t>Dominica</w:t>
            </w:r>
          </w:p>
        </w:tc>
        <w:tc>
          <w:tcPr>
            <w:tcW w:w="1180" w:type="dxa"/>
            <w:tcBorders>
              <w:top w:val="nil"/>
              <w:left w:val="nil"/>
              <w:bottom w:val="single" w:sz="4" w:space="0" w:color="auto"/>
              <w:right w:val="single" w:sz="4" w:space="0" w:color="auto"/>
            </w:tcBorders>
            <w:shd w:val="clear" w:color="auto" w:fill="auto"/>
            <w:vAlign w:val="center"/>
            <w:hideMark/>
          </w:tcPr>
          <w:p w14:paraId="4F49CBD9"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D1E3280"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6A843D3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6E2CD286"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8954854"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67814941"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60224F9" w14:textId="77777777" w:rsidR="00D8083E" w:rsidRPr="00A202B4" w:rsidRDefault="00D8083E" w:rsidP="009A372A">
            <w:pPr>
              <w:jc w:val="left"/>
              <w:rPr>
                <w:sz w:val="18"/>
                <w:szCs w:val="18"/>
                <w:lang w:val="es-ES_tradnl" w:eastAsia="zh-CN"/>
              </w:rPr>
            </w:pPr>
            <w:r w:rsidRPr="00A202B4">
              <w:rPr>
                <w:sz w:val="18"/>
                <w:szCs w:val="18"/>
                <w:lang w:val="es-ES_tradnl" w:eastAsia="zh-CN"/>
              </w:rPr>
              <w:t>Ecuador</w:t>
            </w:r>
          </w:p>
        </w:tc>
        <w:tc>
          <w:tcPr>
            <w:tcW w:w="1180" w:type="dxa"/>
            <w:tcBorders>
              <w:top w:val="nil"/>
              <w:left w:val="nil"/>
              <w:bottom w:val="single" w:sz="4" w:space="0" w:color="auto"/>
              <w:right w:val="single" w:sz="4" w:space="0" w:color="auto"/>
            </w:tcBorders>
            <w:shd w:val="clear" w:color="auto" w:fill="auto"/>
            <w:vAlign w:val="center"/>
            <w:hideMark/>
          </w:tcPr>
          <w:p w14:paraId="3B512CC3" w14:textId="77777777" w:rsidR="00D8083E" w:rsidRPr="00A202B4" w:rsidRDefault="00D8083E" w:rsidP="009A372A">
            <w:pPr>
              <w:jc w:val="right"/>
              <w:rPr>
                <w:sz w:val="18"/>
                <w:szCs w:val="18"/>
                <w:lang w:val="es-ES_tradnl" w:eastAsia="zh-CN"/>
              </w:rPr>
            </w:pPr>
            <w:r w:rsidRPr="00A202B4">
              <w:rPr>
                <w:sz w:val="18"/>
                <w:szCs w:val="18"/>
                <w:lang w:val="es-ES_tradnl" w:eastAsia="zh-CN"/>
              </w:rPr>
              <w:t>0,077</w:t>
            </w:r>
          </w:p>
        </w:tc>
        <w:tc>
          <w:tcPr>
            <w:tcW w:w="1180" w:type="dxa"/>
            <w:tcBorders>
              <w:top w:val="nil"/>
              <w:left w:val="nil"/>
              <w:bottom w:val="single" w:sz="4" w:space="0" w:color="auto"/>
              <w:right w:val="single" w:sz="4" w:space="0" w:color="auto"/>
            </w:tcBorders>
            <w:shd w:val="clear" w:color="auto" w:fill="auto"/>
            <w:noWrap/>
            <w:vAlign w:val="center"/>
            <w:hideMark/>
          </w:tcPr>
          <w:p w14:paraId="342F198B" w14:textId="77777777" w:rsidR="00D8083E" w:rsidRPr="00A202B4" w:rsidRDefault="00D8083E" w:rsidP="009A372A">
            <w:pPr>
              <w:jc w:val="right"/>
              <w:rPr>
                <w:sz w:val="18"/>
                <w:szCs w:val="18"/>
                <w:lang w:val="es-ES_tradnl" w:eastAsia="zh-CN"/>
              </w:rPr>
            </w:pPr>
            <w:r w:rsidRPr="00A202B4">
              <w:rPr>
                <w:sz w:val="18"/>
                <w:szCs w:val="18"/>
                <w:lang w:val="es-ES_tradnl" w:eastAsia="zh-CN"/>
              </w:rPr>
              <w:t>0,109</w:t>
            </w:r>
          </w:p>
        </w:tc>
        <w:tc>
          <w:tcPr>
            <w:tcW w:w="1279" w:type="dxa"/>
            <w:tcBorders>
              <w:top w:val="nil"/>
              <w:left w:val="nil"/>
              <w:bottom w:val="single" w:sz="4" w:space="0" w:color="auto"/>
              <w:right w:val="single" w:sz="4" w:space="0" w:color="auto"/>
            </w:tcBorders>
            <w:shd w:val="clear" w:color="auto" w:fill="auto"/>
            <w:noWrap/>
            <w:vAlign w:val="center"/>
            <w:hideMark/>
          </w:tcPr>
          <w:p w14:paraId="0DF3C82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2 950 </w:t>
            </w:r>
          </w:p>
        </w:tc>
        <w:tc>
          <w:tcPr>
            <w:tcW w:w="1279" w:type="dxa"/>
            <w:tcBorders>
              <w:top w:val="nil"/>
              <w:left w:val="nil"/>
              <w:bottom w:val="single" w:sz="4" w:space="0" w:color="auto"/>
              <w:right w:val="single" w:sz="4" w:space="0" w:color="auto"/>
            </w:tcBorders>
            <w:shd w:val="clear" w:color="auto" w:fill="auto"/>
            <w:noWrap/>
            <w:vAlign w:val="center"/>
            <w:hideMark/>
          </w:tcPr>
          <w:p w14:paraId="5C5183A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3 236 </w:t>
            </w:r>
          </w:p>
        </w:tc>
        <w:tc>
          <w:tcPr>
            <w:tcW w:w="1180" w:type="dxa"/>
            <w:tcBorders>
              <w:top w:val="nil"/>
              <w:left w:val="nil"/>
              <w:bottom w:val="single" w:sz="4" w:space="0" w:color="auto"/>
              <w:right w:val="single" w:sz="4" w:space="0" w:color="auto"/>
            </w:tcBorders>
            <w:shd w:val="clear" w:color="auto" w:fill="auto"/>
            <w:noWrap/>
            <w:vAlign w:val="center"/>
            <w:hideMark/>
          </w:tcPr>
          <w:p w14:paraId="3E33E266"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6 186 </w:t>
            </w:r>
          </w:p>
        </w:tc>
      </w:tr>
      <w:tr w:rsidR="00D8083E" w:rsidRPr="00A202B4" w14:paraId="3D3B9BB5"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5E43986" w14:textId="77777777" w:rsidR="00D8083E" w:rsidRPr="00A202B4" w:rsidRDefault="00D8083E" w:rsidP="009A372A">
            <w:pPr>
              <w:jc w:val="left"/>
              <w:rPr>
                <w:sz w:val="18"/>
                <w:szCs w:val="18"/>
                <w:lang w:val="es-ES_tradnl" w:eastAsia="zh-CN"/>
              </w:rPr>
            </w:pPr>
            <w:r w:rsidRPr="00A202B4">
              <w:rPr>
                <w:sz w:val="18"/>
                <w:szCs w:val="18"/>
                <w:lang w:val="es-ES_tradnl" w:eastAsia="zh-CN"/>
              </w:rPr>
              <w:t>Egipto</w:t>
            </w:r>
          </w:p>
        </w:tc>
        <w:tc>
          <w:tcPr>
            <w:tcW w:w="1180" w:type="dxa"/>
            <w:tcBorders>
              <w:top w:val="nil"/>
              <w:left w:val="nil"/>
              <w:bottom w:val="single" w:sz="4" w:space="0" w:color="auto"/>
              <w:right w:val="single" w:sz="4" w:space="0" w:color="auto"/>
            </w:tcBorders>
            <w:shd w:val="clear" w:color="auto" w:fill="auto"/>
            <w:vAlign w:val="center"/>
            <w:hideMark/>
          </w:tcPr>
          <w:p w14:paraId="7F7FADA1" w14:textId="77777777" w:rsidR="00D8083E" w:rsidRPr="00A202B4" w:rsidRDefault="00D8083E" w:rsidP="009A372A">
            <w:pPr>
              <w:jc w:val="right"/>
              <w:rPr>
                <w:sz w:val="18"/>
                <w:szCs w:val="18"/>
                <w:lang w:val="es-ES_tradnl" w:eastAsia="zh-CN"/>
              </w:rPr>
            </w:pPr>
            <w:r w:rsidRPr="00A202B4">
              <w:rPr>
                <w:sz w:val="18"/>
                <w:szCs w:val="18"/>
                <w:lang w:val="es-ES_tradnl" w:eastAsia="zh-CN"/>
              </w:rPr>
              <w:t>0,139</w:t>
            </w:r>
          </w:p>
        </w:tc>
        <w:tc>
          <w:tcPr>
            <w:tcW w:w="1180" w:type="dxa"/>
            <w:tcBorders>
              <w:top w:val="nil"/>
              <w:left w:val="nil"/>
              <w:bottom w:val="single" w:sz="4" w:space="0" w:color="auto"/>
              <w:right w:val="single" w:sz="4" w:space="0" w:color="auto"/>
            </w:tcBorders>
            <w:shd w:val="clear" w:color="auto" w:fill="auto"/>
            <w:noWrap/>
            <w:vAlign w:val="center"/>
            <w:hideMark/>
          </w:tcPr>
          <w:p w14:paraId="60350587" w14:textId="77777777" w:rsidR="00D8083E" w:rsidRPr="00A202B4" w:rsidRDefault="00D8083E" w:rsidP="009A372A">
            <w:pPr>
              <w:jc w:val="right"/>
              <w:rPr>
                <w:sz w:val="18"/>
                <w:szCs w:val="18"/>
                <w:lang w:val="es-ES_tradnl" w:eastAsia="zh-CN"/>
              </w:rPr>
            </w:pPr>
            <w:r w:rsidRPr="00A202B4">
              <w:rPr>
                <w:sz w:val="18"/>
                <w:szCs w:val="18"/>
                <w:lang w:val="es-ES_tradnl" w:eastAsia="zh-CN"/>
              </w:rPr>
              <w:t>0,196</w:t>
            </w:r>
          </w:p>
        </w:tc>
        <w:tc>
          <w:tcPr>
            <w:tcW w:w="1279" w:type="dxa"/>
            <w:tcBorders>
              <w:top w:val="nil"/>
              <w:left w:val="nil"/>
              <w:bottom w:val="single" w:sz="4" w:space="0" w:color="auto"/>
              <w:right w:val="single" w:sz="4" w:space="0" w:color="auto"/>
            </w:tcBorders>
            <w:shd w:val="clear" w:color="auto" w:fill="auto"/>
            <w:noWrap/>
            <w:vAlign w:val="center"/>
            <w:hideMark/>
          </w:tcPr>
          <w:p w14:paraId="6D21F89D"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5 326 </w:t>
            </w:r>
          </w:p>
        </w:tc>
        <w:tc>
          <w:tcPr>
            <w:tcW w:w="1279" w:type="dxa"/>
            <w:tcBorders>
              <w:top w:val="nil"/>
              <w:left w:val="nil"/>
              <w:bottom w:val="single" w:sz="4" w:space="0" w:color="auto"/>
              <w:right w:val="single" w:sz="4" w:space="0" w:color="auto"/>
            </w:tcBorders>
            <w:shd w:val="clear" w:color="auto" w:fill="auto"/>
            <w:noWrap/>
            <w:vAlign w:val="center"/>
            <w:hideMark/>
          </w:tcPr>
          <w:p w14:paraId="4B4B807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5 841 </w:t>
            </w:r>
          </w:p>
        </w:tc>
        <w:tc>
          <w:tcPr>
            <w:tcW w:w="1180" w:type="dxa"/>
            <w:tcBorders>
              <w:top w:val="nil"/>
              <w:left w:val="nil"/>
              <w:bottom w:val="single" w:sz="4" w:space="0" w:color="auto"/>
              <w:right w:val="single" w:sz="4" w:space="0" w:color="auto"/>
            </w:tcBorders>
            <w:shd w:val="clear" w:color="auto" w:fill="auto"/>
            <w:noWrap/>
            <w:vAlign w:val="center"/>
            <w:hideMark/>
          </w:tcPr>
          <w:p w14:paraId="2A8B4DFD"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11 167 </w:t>
            </w:r>
          </w:p>
        </w:tc>
      </w:tr>
      <w:tr w:rsidR="00D8083E" w:rsidRPr="00A202B4" w14:paraId="21150612"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2D13C75" w14:textId="77777777" w:rsidR="00D8083E" w:rsidRPr="00A202B4" w:rsidRDefault="00D8083E" w:rsidP="009A372A">
            <w:pPr>
              <w:jc w:val="left"/>
              <w:rPr>
                <w:sz w:val="18"/>
                <w:szCs w:val="18"/>
                <w:lang w:val="es-ES_tradnl" w:eastAsia="zh-CN"/>
              </w:rPr>
            </w:pPr>
            <w:r w:rsidRPr="00A202B4">
              <w:rPr>
                <w:sz w:val="18"/>
                <w:szCs w:val="18"/>
                <w:lang w:val="es-ES_tradnl" w:eastAsia="zh-CN"/>
              </w:rPr>
              <w:lastRenderedPageBreak/>
              <w:t>El Salvador</w:t>
            </w:r>
          </w:p>
        </w:tc>
        <w:tc>
          <w:tcPr>
            <w:tcW w:w="1180" w:type="dxa"/>
            <w:tcBorders>
              <w:top w:val="nil"/>
              <w:left w:val="nil"/>
              <w:bottom w:val="single" w:sz="4" w:space="0" w:color="auto"/>
              <w:right w:val="single" w:sz="4" w:space="0" w:color="auto"/>
            </w:tcBorders>
            <w:shd w:val="clear" w:color="auto" w:fill="auto"/>
            <w:vAlign w:val="center"/>
            <w:hideMark/>
          </w:tcPr>
          <w:p w14:paraId="200915D8" w14:textId="77777777" w:rsidR="00D8083E" w:rsidRPr="00A202B4" w:rsidRDefault="00D8083E" w:rsidP="009A372A">
            <w:pPr>
              <w:jc w:val="right"/>
              <w:rPr>
                <w:sz w:val="18"/>
                <w:szCs w:val="18"/>
                <w:lang w:val="es-ES_tradnl" w:eastAsia="zh-CN"/>
              </w:rPr>
            </w:pPr>
            <w:r w:rsidRPr="00A202B4">
              <w:rPr>
                <w:sz w:val="18"/>
                <w:szCs w:val="18"/>
                <w:lang w:val="es-ES_tradnl"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1797C1EF" w14:textId="77777777" w:rsidR="00D8083E" w:rsidRPr="00A202B4" w:rsidRDefault="00D8083E" w:rsidP="009A372A">
            <w:pPr>
              <w:jc w:val="right"/>
              <w:rPr>
                <w:sz w:val="18"/>
                <w:szCs w:val="18"/>
                <w:lang w:val="es-ES_tradnl" w:eastAsia="zh-CN"/>
              </w:rPr>
            </w:pPr>
            <w:r w:rsidRPr="00A202B4">
              <w:rPr>
                <w:sz w:val="18"/>
                <w:szCs w:val="18"/>
                <w:lang w:val="es-ES_tradnl" w:eastAsia="zh-CN"/>
              </w:rPr>
              <w:t>0,018</w:t>
            </w:r>
          </w:p>
        </w:tc>
        <w:tc>
          <w:tcPr>
            <w:tcW w:w="1279" w:type="dxa"/>
            <w:tcBorders>
              <w:top w:val="nil"/>
              <w:left w:val="nil"/>
              <w:bottom w:val="single" w:sz="4" w:space="0" w:color="auto"/>
              <w:right w:val="single" w:sz="4" w:space="0" w:color="auto"/>
            </w:tcBorders>
            <w:shd w:val="clear" w:color="auto" w:fill="auto"/>
            <w:noWrap/>
            <w:vAlign w:val="center"/>
            <w:hideMark/>
          </w:tcPr>
          <w:p w14:paraId="33F7A5B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498 </w:t>
            </w:r>
          </w:p>
        </w:tc>
        <w:tc>
          <w:tcPr>
            <w:tcW w:w="1279" w:type="dxa"/>
            <w:tcBorders>
              <w:top w:val="nil"/>
              <w:left w:val="nil"/>
              <w:bottom w:val="single" w:sz="4" w:space="0" w:color="auto"/>
              <w:right w:val="single" w:sz="4" w:space="0" w:color="auto"/>
            </w:tcBorders>
            <w:shd w:val="clear" w:color="auto" w:fill="auto"/>
            <w:noWrap/>
            <w:vAlign w:val="center"/>
            <w:hideMark/>
          </w:tcPr>
          <w:p w14:paraId="3E9D710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546 </w:t>
            </w:r>
          </w:p>
        </w:tc>
        <w:tc>
          <w:tcPr>
            <w:tcW w:w="1180" w:type="dxa"/>
            <w:tcBorders>
              <w:top w:val="nil"/>
              <w:left w:val="nil"/>
              <w:bottom w:val="single" w:sz="4" w:space="0" w:color="auto"/>
              <w:right w:val="single" w:sz="4" w:space="0" w:color="auto"/>
            </w:tcBorders>
            <w:shd w:val="clear" w:color="auto" w:fill="auto"/>
            <w:noWrap/>
            <w:vAlign w:val="center"/>
            <w:hideMark/>
          </w:tcPr>
          <w:p w14:paraId="390572E1"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1 044 </w:t>
            </w:r>
          </w:p>
        </w:tc>
      </w:tr>
      <w:tr w:rsidR="00D8083E" w:rsidRPr="00A202B4" w14:paraId="032477AD"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E969C55" w14:textId="77777777" w:rsidR="00D8083E" w:rsidRPr="00A202B4" w:rsidRDefault="00D8083E" w:rsidP="009A372A">
            <w:pPr>
              <w:jc w:val="left"/>
              <w:rPr>
                <w:sz w:val="18"/>
                <w:szCs w:val="18"/>
                <w:lang w:val="es-ES_tradnl" w:eastAsia="zh-CN"/>
              </w:rPr>
            </w:pPr>
            <w:r w:rsidRPr="00A202B4">
              <w:rPr>
                <w:sz w:val="18"/>
                <w:szCs w:val="18"/>
                <w:lang w:val="es-ES_tradnl" w:eastAsia="zh-CN"/>
              </w:rPr>
              <w:t>Emiratos Árabes Unidos</w:t>
            </w:r>
          </w:p>
        </w:tc>
        <w:tc>
          <w:tcPr>
            <w:tcW w:w="1180" w:type="dxa"/>
            <w:tcBorders>
              <w:top w:val="nil"/>
              <w:left w:val="nil"/>
              <w:bottom w:val="single" w:sz="4" w:space="0" w:color="auto"/>
              <w:right w:val="single" w:sz="4" w:space="0" w:color="auto"/>
            </w:tcBorders>
            <w:shd w:val="clear" w:color="auto" w:fill="auto"/>
            <w:vAlign w:val="center"/>
            <w:hideMark/>
          </w:tcPr>
          <w:p w14:paraId="32F840C5" w14:textId="77777777" w:rsidR="00D8083E" w:rsidRPr="00A202B4" w:rsidRDefault="00D8083E" w:rsidP="009A372A">
            <w:pPr>
              <w:jc w:val="right"/>
              <w:rPr>
                <w:sz w:val="18"/>
                <w:szCs w:val="18"/>
                <w:lang w:val="es-ES_tradnl" w:eastAsia="zh-CN"/>
              </w:rPr>
            </w:pPr>
            <w:r w:rsidRPr="00A202B4">
              <w:rPr>
                <w:sz w:val="18"/>
                <w:szCs w:val="18"/>
                <w:lang w:val="es-ES_tradnl" w:eastAsia="zh-CN"/>
              </w:rPr>
              <w:t>0,635</w:t>
            </w:r>
          </w:p>
        </w:tc>
        <w:tc>
          <w:tcPr>
            <w:tcW w:w="1180" w:type="dxa"/>
            <w:tcBorders>
              <w:top w:val="nil"/>
              <w:left w:val="nil"/>
              <w:bottom w:val="single" w:sz="4" w:space="0" w:color="auto"/>
              <w:right w:val="single" w:sz="4" w:space="0" w:color="auto"/>
            </w:tcBorders>
            <w:shd w:val="clear" w:color="auto" w:fill="auto"/>
            <w:noWrap/>
            <w:vAlign w:val="center"/>
            <w:hideMark/>
          </w:tcPr>
          <w:p w14:paraId="78D9A1E0" w14:textId="77777777" w:rsidR="00D8083E" w:rsidRPr="00A202B4" w:rsidRDefault="00D8083E" w:rsidP="009A372A">
            <w:pPr>
              <w:jc w:val="right"/>
              <w:rPr>
                <w:sz w:val="18"/>
                <w:szCs w:val="18"/>
                <w:lang w:val="es-ES_tradnl" w:eastAsia="zh-CN"/>
              </w:rPr>
            </w:pPr>
            <w:r w:rsidRPr="00A202B4">
              <w:rPr>
                <w:sz w:val="18"/>
                <w:szCs w:val="18"/>
                <w:lang w:val="es-ES_tradnl" w:eastAsia="zh-CN"/>
              </w:rPr>
              <w:t>0,896</w:t>
            </w:r>
          </w:p>
        </w:tc>
        <w:tc>
          <w:tcPr>
            <w:tcW w:w="1279" w:type="dxa"/>
            <w:tcBorders>
              <w:top w:val="nil"/>
              <w:left w:val="nil"/>
              <w:bottom w:val="single" w:sz="4" w:space="0" w:color="auto"/>
              <w:right w:val="single" w:sz="4" w:space="0" w:color="auto"/>
            </w:tcBorders>
            <w:shd w:val="clear" w:color="auto" w:fill="auto"/>
            <w:noWrap/>
            <w:vAlign w:val="center"/>
            <w:hideMark/>
          </w:tcPr>
          <w:p w14:paraId="5024062F"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24 329 </w:t>
            </w:r>
          </w:p>
        </w:tc>
        <w:tc>
          <w:tcPr>
            <w:tcW w:w="1279" w:type="dxa"/>
            <w:tcBorders>
              <w:top w:val="nil"/>
              <w:left w:val="nil"/>
              <w:bottom w:val="single" w:sz="4" w:space="0" w:color="auto"/>
              <w:right w:val="single" w:sz="4" w:space="0" w:color="auto"/>
            </w:tcBorders>
            <w:shd w:val="clear" w:color="auto" w:fill="auto"/>
            <w:noWrap/>
            <w:vAlign w:val="center"/>
            <w:hideMark/>
          </w:tcPr>
          <w:p w14:paraId="110E240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26 685 </w:t>
            </w:r>
          </w:p>
        </w:tc>
        <w:tc>
          <w:tcPr>
            <w:tcW w:w="1180" w:type="dxa"/>
            <w:tcBorders>
              <w:top w:val="nil"/>
              <w:left w:val="nil"/>
              <w:bottom w:val="single" w:sz="4" w:space="0" w:color="auto"/>
              <w:right w:val="single" w:sz="4" w:space="0" w:color="auto"/>
            </w:tcBorders>
            <w:shd w:val="clear" w:color="auto" w:fill="auto"/>
            <w:noWrap/>
            <w:vAlign w:val="center"/>
            <w:hideMark/>
          </w:tcPr>
          <w:p w14:paraId="6687CF31"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51 014 </w:t>
            </w:r>
          </w:p>
        </w:tc>
      </w:tr>
      <w:tr w:rsidR="00D8083E" w:rsidRPr="00A202B4" w14:paraId="596AE39C"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90FD867" w14:textId="77777777" w:rsidR="00D8083E" w:rsidRPr="00A202B4" w:rsidRDefault="00D8083E" w:rsidP="009A372A">
            <w:pPr>
              <w:jc w:val="left"/>
              <w:rPr>
                <w:sz w:val="18"/>
                <w:szCs w:val="18"/>
                <w:lang w:val="es-ES_tradnl" w:eastAsia="zh-CN"/>
              </w:rPr>
            </w:pPr>
            <w:r w:rsidRPr="00A202B4">
              <w:rPr>
                <w:sz w:val="18"/>
                <w:szCs w:val="18"/>
                <w:lang w:val="es-ES_tradnl" w:eastAsia="zh-CN"/>
              </w:rPr>
              <w:t>Eritrea</w:t>
            </w:r>
          </w:p>
        </w:tc>
        <w:tc>
          <w:tcPr>
            <w:tcW w:w="1180" w:type="dxa"/>
            <w:tcBorders>
              <w:top w:val="nil"/>
              <w:left w:val="nil"/>
              <w:bottom w:val="single" w:sz="4" w:space="0" w:color="auto"/>
              <w:right w:val="single" w:sz="4" w:space="0" w:color="auto"/>
            </w:tcBorders>
            <w:shd w:val="clear" w:color="auto" w:fill="auto"/>
            <w:vAlign w:val="center"/>
            <w:hideMark/>
          </w:tcPr>
          <w:p w14:paraId="5FEDB5DE"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D66FD4F"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33109C9D"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1F54EF8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1874F1BF"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2DFA5B0F"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4AAAC7D" w14:textId="77777777" w:rsidR="00D8083E" w:rsidRPr="00A202B4" w:rsidRDefault="00D8083E" w:rsidP="009A372A">
            <w:pPr>
              <w:jc w:val="left"/>
              <w:rPr>
                <w:sz w:val="18"/>
                <w:szCs w:val="18"/>
                <w:lang w:val="es-ES_tradnl" w:eastAsia="zh-CN"/>
              </w:rPr>
            </w:pPr>
            <w:r w:rsidRPr="00A202B4">
              <w:rPr>
                <w:sz w:val="18"/>
                <w:szCs w:val="18"/>
                <w:lang w:val="es-ES_tradnl" w:eastAsia="zh-CN"/>
              </w:rPr>
              <w:t>Eslovaquia</w:t>
            </w:r>
          </w:p>
        </w:tc>
        <w:tc>
          <w:tcPr>
            <w:tcW w:w="1180" w:type="dxa"/>
            <w:tcBorders>
              <w:top w:val="nil"/>
              <w:left w:val="nil"/>
              <w:bottom w:val="single" w:sz="4" w:space="0" w:color="auto"/>
              <w:right w:val="single" w:sz="4" w:space="0" w:color="auto"/>
            </w:tcBorders>
            <w:shd w:val="clear" w:color="auto" w:fill="auto"/>
            <w:vAlign w:val="center"/>
            <w:hideMark/>
          </w:tcPr>
          <w:p w14:paraId="52A828ED" w14:textId="77777777" w:rsidR="00D8083E" w:rsidRPr="00A202B4" w:rsidRDefault="00D8083E" w:rsidP="009A372A">
            <w:pPr>
              <w:jc w:val="right"/>
              <w:rPr>
                <w:sz w:val="18"/>
                <w:szCs w:val="18"/>
                <w:lang w:val="es-ES_tradnl" w:eastAsia="zh-CN"/>
              </w:rPr>
            </w:pPr>
            <w:r w:rsidRPr="00A202B4">
              <w:rPr>
                <w:sz w:val="18"/>
                <w:szCs w:val="18"/>
                <w:lang w:val="es-ES_tradnl" w:eastAsia="zh-CN"/>
              </w:rPr>
              <w:t>0,155</w:t>
            </w:r>
          </w:p>
        </w:tc>
        <w:tc>
          <w:tcPr>
            <w:tcW w:w="1180" w:type="dxa"/>
            <w:tcBorders>
              <w:top w:val="nil"/>
              <w:left w:val="nil"/>
              <w:bottom w:val="single" w:sz="4" w:space="0" w:color="auto"/>
              <w:right w:val="single" w:sz="4" w:space="0" w:color="auto"/>
            </w:tcBorders>
            <w:shd w:val="clear" w:color="auto" w:fill="auto"/>
            <w:noWrap/>
            <w:vAlign w:val="center"/>
            <w:hideMark/>
          </w:tcPr>
          <w:p w14:paraId="1836ED22" w14:textId="77777777" w:rsidR="00D8083E" w:rsidRPr="00A202B4" w:rsidRDefault="00D8083E" w:rsidP="009A372A">
            <w:pPr>
              <w:jc w:val="right"/>
              <w:rPr>
                <w:sz w:val="18"/>
                <w:szCs w:val="18"/>
                <w:lang w:val="es-ES_tradnl" w:eastAsia="zh-CN"/>
              </w:rPr>
            </w:pPr>
            <w:r w:rsidRPr="00A202B4">
              <w:rPr>
                <w:sz w:val="18"/>
                <w:szCs w:val="18"/>
                <w:lang w:val="es-ES_tradnl" w:eastAsia="zh-CN"/>
              </w:rPr>
              <w:t>0,219</w:t>
            </w:r>
          </w:p>
        </w:tc>
        <w:tc>
          <w:tcPr>
            <w:tcW w:w="1279" w:type="dxa"/>
            <w:tcBorders>
              <w:top w:val="nil"/>
              <w:left w:val="nil"/>
              <w:bottom w:val="single" w:sz="4" w:space="0" w:color="auto"/>
              <w:right w:val="single" w:sz="4" w:space="0" w:color="auto"/>
            </w:tcBorders>
            <w:shd w:val="clear" w:color="auto" w:fill="auto"/>
            <w:noWrap/>
            <w:vAlign w:val="center"/>
            <w:hideMark/>
          </w:tcPr>
          <w:p w14:paraId="0E33ED7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5 939 </w:t>
            </w:r>
          </w:p>
        </w:tc>
        <w:tc>
          <w:tcPr>
            <w:tcW w:w="1279" w:type="dxa"/>
            <w:tcBorders>
              <w:top w:val="nil"/>
              <w:left w:val="nil"/>
              <w:bottom w:val="single" w:sz="4" w:space="0" w:color="auto"/>
              <w:right w:val="single" w:sz="4" w:space="0" w:color="auto"/>
            </w:tcBorders>
            <w:shd w:val="clear" w:color="auto" w:fill="auto"/>
            <w:noWrap/>
            <w:vAlign w:val="center"/>
            <w:hideMark/>
          </w:tcPr>
          <w:p w14:paraId="7928FBD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6 514 </w:t>
            </w:r>
          </w:p>
        </w:tc>
        <w:tc>
          <w:tcPr>
            <w:tcW w:w="1180" w:type="dxa"/>
            <w:tcBorders>
              <w:top w:val="nil"/>
              <w:left w:val="nil"/>
              <w:bottom w:val="single" w:sz="4" w:space="0" w:color="auto"/>
              <w:right w:val="single" w:sz="4" w:space="0" w:color="auto"/>
            </w:tcBorders>
            <w:shd w:val="clear" w:color="auto" w:fill="auto"/>
            <w:noWrap/>
            <w:vAlign w:val="center"/>
            <w:hideMark/>
          </w:tcPr>
          <w:p w14:paraId="34514CC1"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12 452 </w:t>
            </w:r>
          </w:p>
        </w:tc>
      </w:tr>
      <w:tr w:rsidR="00D8083E" w:rsidRPr="00A202B4" w14:paraId="66C87E22"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8842B35" w14:textId="77777777" w:rsidR="00D8083E" w:rsidRPr="00A202B4" w:rsidRDefault="00D8083E" w:rsidP="009A372A">
            <w:pPr>
              <w:jc w:val="left"/>
              <w:rPr>
                <w:sz w:val="18"/>
                <w:szCs w:val="18"/>
                <w:lang w:val="es-ES_tradnl" w:eastAsia="zh-CN"/>
              </w:rPr>
            </w:pPr>
            <w:r w:rsidRPr="00A202B4">
              <w:rPr>
                <w:sz w:val="18"/>
                <w:szCs w:val="18"/>
                <w:lang w:val="es-ES_tradnl" w:eastAsia="zh-CN"/>
              </w:rPr>
              <w:t>Eslovenia</w:t>
            </w:r>
          </w:p>
        </w:tc>
        <w:tc>
          <w:tcPr>
            <w:tcW w:w="1180" w:type="dxa"/>
            <w:tcBorders>
              <w:top w:val="nil"/>
              <w:left w:val="nil"/>
              <w:bottom w:val="single" w:sz="4" w:space="0" w:color="auto"/>
              <w:right w:val="single" w:sz="4" w:space="0" w:color="auto"/>
            </w:tcBorders>
            <w:shd w:val="clear" w:color="auto" w:fill="auto"/>
            <w:vAlign w:val="center"/>
            <w:hideMark/>
          </w:tcPr>
          <w:p w14:paraId="017A8B84" w14:textId="77777777" w:rsidR="00D8083E" w:rsidRPr="00A202B4" w:rsidRDefault="00D8083E" w:rsidP="009A372A">
            <w:pPr>
              <w:jc w:val="right"/>
              <w:rPr>
                <w:sz w:val="18"/>
                <w:szCs w:val="18"/>
                <w:lang w:val="es-ES_tradnl" w:eastAsia="zh-CN"/>
              </w:rPr>
            </w:pPr>
            <w:r w:rsidRPr="00A202B4">
              <w:rPr>
                <w:sz w:val="18"/>
                <w:szCs w:val="18"/>
                <w:lang w:val="es-ES_tradnl" w:eastAsia="zh-CN"/>
              </w:rPr>
              <w:t>0,079</w:t>
            </w:r>
          </w:p>
        </w:tc>
        <w:tc>
          <w:tcPr>
            <w:tcW w:w="1180" w:type="dxa"/>
            <w:tcBorders>
              <w:top w:val="nil"/>
              <w:left w:val="nil"/>
              <w:bottom w:val="single" w:sz="4" w:space="0" w:color="auto"/>
              <w:right w:val="single" w:sz="4" w:space="0" w:color="auto"/>
            </w:tcBorders>
            <w:shd w:val="clear" w:color="auto" w:fill="auto"/>
            <w:noWrap/>
            <w:vAlign w:val="center"/>
            <w:hideMark/>
          </w:tcPr>
          <w:p w14:paraId="5546F2C9" w14:textId="77777777" w:rsidR="00D8083E" w:rsidRPr="00A202B4" w:rsidRDefault="00D8083E" w:rsidP="009A372A">
            <w:pPr>
              <w:jc w:val="right"/>
              <w:rPr>
                <w:sz w:val="18"/>
                <w:szCs w:val="18"/>
                <w:lang w:val="es-ES_tradnl" w:eastAsia="zh-CN"/>
              </w:rPr>
            </w:pPr>
            <w:r w:rsidRPr="00A202B4">
              <w:rPr>
                <w:sz w:val="18"/>
                <w:szCs w:val="18"/>
                <w:lang w:val="es-ES_tradnl" w:eastAsia="zh-CN"/>
              </w:rPr>
              <w:t>0,112</w:t>
            </w:r>
          </w:p>
        </w:tc>
        <w:tc>
          <w:tcPr>
            <w:tcW w:w="1279" w:type="dxa"/>
            <w:tcBorders>
              <w:top w:val="nil"/>
              <w:left w:val="nil"/>
              <w:bottom w:val="single" w:sz="4" w:space="0" w:color="auto"/>
              <w:right w:val="single" w:sz="4" w:space="0" w:color="auto"/>
            </w:tcBorders>
            <w:shd w:val="clear" w:color="auto" w:fill="auto"/>
            <w:noWrap/>
            <w:vAlign w:val="center"/>
            <w:hideMark/>
          </w:tcPr>
          <w:p w14:paraId="1DDCECD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3 027 </w:t>
            </w:r>
          </w:p>
        </w:tc>
        <w:tc>
          <w:tcPr>
            <w:tcW w:w="1279" w:type="dxa"/>
            <w:tcBorders>
              <w:top w:val="nil"/>
              <w:left w:val="nil"/>
              <w:bottom w:val="single" w:sz="4" w:space="0" w:color="auto"/>
              <w:right w:val="single" w:sz="4" w:space="0" w:color="auto"/>
            </w:tcBorders>
            <w:shd w:val="clear" w:color="auto" w:fill="auto"/>
            <w:noWrap/>
            <w:vAlign w:val="center"/>
            <w:hideMark/>
          </w:tcPr>
          <w:p w14:paraId="3F763DDC"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3 320 </w:t>
            </w:r>
          </w:p>
        </w:tc>
        <w:tc>
          <w:tcPr>
            <w:tcW w:w="1180" w:type="dxa"/>
            <w:tcBorders>
              <w:top w:val="nil"/>
              <w:left w:val="nil"/>
              <w:bottom w:val="single" w:sz="4" w:space="0" w:color="auto"/>
              <w:right w:val="single" w:sz="4" w:space="0" w:color="auto"/>
            </w:tcBorders>
            <w:shd w:val="clear" w:color="auto" w:fill="auto"/>
            <w:noWrap/>
            <w:vAlign w:val="center"/>
            <w:hideMark/>
          </w:tcPr>
          <w:p w14:paraId="362FE748"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6 347 </w:t>
            </w:r>
          </w:p>
        </w:tc>
      </w:tr>
      <w:tr w:rsidR="00D8083E" w:rsidRPr="00A202B4" w14:paraId="66CA7168"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49BDB68" w14:textId="77777777" w:rsidR="00D8083E" w:rsidRPr="00A202B4" w:rsidRDefault="00D8083E" w:rsidP="009A372A">
            <w:pPr>
              <w:jc w:val="left"/>
              <w:rPr>
                <w:sz w:val="18"/>
                <w:szCs w:val="18"/>
                <w:lang w:val="es-ES_tradnl" w:eastAsia="zh-CN"/>
              </w:rPr>
            </w:pPr>
            <w:r w:rsidRPr="00A202B4">
              <w:rPr>
                <w:sz w:val="18"/>
                <w:szCs w:val="18"/>
                <w:lang w:val="es-ES_tradnl" w:eastAsia="zh-CN"/>
              </w:rPr>
              <w:t>España</w:t>
            </w:r>
          </w:p>
        </w:tc>
        <w:tc>
          <w:tcPr>
            <w:tcW w:w="1180" w:type="dxa"/>
            <w:tcBorders>
              <w:top w:val="nil"/>
              <w:left w:val="nil"/>
              <w:bottom w:val="single" w:sz="4" w:space="0" w:color="auto"/>
              <w:right w:val="single" w:sz="4" w:space="0" w:color="auto"/>
            </w:tcBorders>
            <w:shd w:val="clear" w:color="auto" w:fill="auto"/>
            <w:vAlign w:val="center"/>
            <w:hideMark/>
          </w:tcPr>
          <w:p w14:paraId="5A3D04B0" w14:textId="77777777" w:rsidR="00D8083E" w:rsidRPr="00A202B4" w:rsidRDefault="00D8083E" w:rsidP="009A372A">
            <w:pPr>
              <w:jc w:val="right"/>
              <w:rPr>
                <w:sz w:val="18"/>
                <w:szCs w:val="18"/>
                <w:lang w:val="es-ES_tradnl" w:eastAsia="zh-CN"/>
              </w:rPr>
            </w:pPr>
            <w:r w:rsidRPr="00A202B4">
              <w:rPr>
                <w:sz w:val="18"/>
                <w:szCs w:val="18"/>
                <w:lang w:val="es-ES_tradnl" w:eastAsia="zh-CN"/>
              </w:rPr>
              <w:t>2,134</w:t>
            </w:r>
          </w:p>
        </w:tc>
        <w:tc>
          <w:tcPr>
            <w:tcW w:w="1180" w:type="dxa"/>
            <w:tcBorders>
              <w:top w:val="nil"/>
              <w:left w:val="nil"/>
              <w:bottom w:val="single" w:sz="4" w:space="0" w:color="auto"/>
              <w:right w:val="single" w:sz="4" w:space="0" w:color="auto"/>
            </w:tcBorders>
            <w:shd w:val="clear" w:color="auto" w:fill="auto"/>
            <w:noWrap/>
            <w:vAlign w:val="center"/>
            <w:hideMark/>
          </w:tcPr>
          <w:p w14:paraId="71E9C0F5" w14:textId="77777777" w:rsidR="00D8083E" w:rsidRPr="00A202B4" w:rsidRDefault="00D8083E" w:rsidP="009A372A">
            <w:pPr>
              <w:jc w:val="right"/>
              <w:rPr>
                <w:sz w:val="18"/>
                <w:szCs w:val="18"/>
                <w:lang w:val="es-ES_tradnl" w:eastAsia="zh-CN"/>
              </w:rPr>
            </w:pPr>
            <w:r w:rsidRPr="00A202B4">
              <w:rPr>
                <w:sz w:val="18"/>
                <w:szCs w:val="18"/>
                <w:lang w:val="es-ES_tradnl" w:eastAsia="zh-CN"/>
              </w:rPr>
              <w:t>3,013</w:t>
            </w:r>
          </w:p>
        </w:tc>
        <w:tc>
          <w:tcPr>
            <w:tcW w:w="1279" w:type="dxa"/>
            <w:tcBorders>
              <w:top w:val="nil"/>
              <w:left w:val="nil"/>
              <w:bottom w:val="single" w:sz="4" w:space="0" w:color="auto"/>
              <w:right w:val="single" w:sz="4" w:space="0" w:color="auto"/>
            </w:tcBorders>
            <w:shd w:val="clear" w:color="auto" w:fill="auto"/>
            <w:noWrap/>
            <w:vAlign w:val="center"/>
            <w:hideMark/>
          </w:tcPr>
          <w:p w14:paraId="2F9C5BDC"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81 762 </w:t>
            </w:r>
          </w:p>
        </w:tc>
        <w:tc>
          <w:tcPr>
            <w:tcW w:w="1279" w:type="dxa"/>
            <w:tcBorders>
              <w:top w:val="nil"/>
              <w:left w:val="nil"/>
              <w:bottom w:val="single" w:sz="4" w:space="0" w:color="auto"/>
              <w:right w:val="single" w:sz="4" w:space="0" w:color="auto"/>
            </w:tcBorders>
            <w:shd w:val="clear" w:color="auto" w:fill="auto"/>
            <w:noWrap/>
            <w:vAlign w:val="center"/>
            <w:hideMark/>
          </w:tcPr>
          <w:p w14:paraId="1C7CCD48"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89 679 </w:t>
            </w:r>
          </w:p>
        </w:tc>
        <w:tc>
          <w:tcPr>
            <w:tcW w:w="1180" w:type="dxa"/>
            <w:tcBorders>
              <w:top w:val="nil"/>
              <w:left w:val="nil"/>
              <w:bottom w:val="single" w:sz="4" w:space="0" w:color="auto"/>
              <w:right w:val="single" w:sz="4" w:space="0" w:color="auto"/>
            </w:tcBorders>
            <w:shd w:val="clear" w:color="auto" w:fill="auto"/>
            <w:noWrap/>
            <w:vAlign w:val="center"/>
            <w:hideMark/>
          </w:tcPr>
          <w:p w14:paraId="7ADC0C22"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171 440 </w:t>
            </w:r>
          </w:p>
        </w:tc>
      </w:tr>
      <w:tr w:rsidR="00D8083E" w:rsidRPr="00A202B4" w14:paraId="7205F070"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F6D82C3" w14:textId="77777777" w:rsidR="00D8083E" w:rsidRPr="00A202B4" w:rsidRDefault="00D8083E" w:rsidP="009A372A">
            <w:pPr>
              <w:jc w:val="left"/>
              <w:rPr>
                <w:sz w:val="18"/>
                <w:szCs w:val="18"/>
                <w:lang w:val="es-ES_tradnl" w:eastAsia="zh-CN"/>
              </w:rPr>
            </w:pPr>
            <w:r w:rsidRPr="00A202B4">
              <w:rPr>
                <w:sz w:val="18"/>
                <w:szCs w:val="18"/>
                <w:lang w:val="es-ES_tradnl" w:eastAsia="zh-CN"/>
              </w:rPr>
              <w:t>Estado de Palestina</w:t>
            </w:r>
          </w:p>
        </w:tc>
        <w:tc>
          <w:tcPr>
            <w:tcW w:w="1180" w:type="dxa"/>
            <w:tcBorders>
              <w:top w:val="nil"/>
              <w:left w:val="nil"/>
              <w:bottom w:val="single" w:sz="4" w:space="0" w:color="auto"/>
              <w:right w:val="single" w:sz="4" w:space="0" w:color="auto"/>
            </w:tcBorders>
            <w:shd w:val="clear" w:color="auto" w:fill="auto"/>
            <w:vAlign w:val="center"/>
            <w:hideMark/>
          </w:tcPr>
          <w:p w14:paraId="273E66D5" w14:textId="77777777" w:rsidR="00D8083E" w:rsidRPr="00A202B4" w:rsidRDefault="00D8083E" w:rsidP="009A372A">
            <w:pPr>
              <w:jc w:val="right"/>
              <w:rPr>
                <w:sz w:val="18"/>
                <w:szCs w:val="18"/>
                <w:lang w:val="es-ES_tradnl" w:eastAsia="zh-CN"/>
              </w:rPr>
            </w:pPr>
            <w:r w:rsidRPr="00A202B4">
              <w:rPr>
                <w:sz w:val="18"/>
                <w:szCs w:val="18"/>
                <w:lang w:val="es-ES_tradnl"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1FFBB3C0" w14:textId="77777777" w:rsidR="00D8083E" w:rsidRPr="00A202B4" w:rsidRDefault="00D8083E" w:rsidP="009A372A">
            <w:pPr>
              <w:jc w:val="right"/>
              <w:rPr>
                <w:sz w:val="18"/>
                <w:szCs w:val="18"/>
                <w:lang w:val="es-ES_tradnl" w:eastAsia="zh-CN"/>
              </w:rPr>
            </w:pPr>
            <w:r w:rsidRPr="00A202B4">
              <w:rPr>
                <w:sz w:val="18"/>
                <w:szCs w:val="18"/>
                <w:lang w:val="es-ES_tradnl" w:eastAsia="zh-CN"/>
              </w:rPr>
              <w:t>0,016</w:t>
            </w:r>
          </w:p>
        </w:tc>
        <w:tc>
          <w:tcPr>
            <w:tcW w:w="1279" w:type="dxa"/>
            <w:tcBorders>
              <w:top w:val="nil"/>
              <w:left w:val="nil"/>
              <w:bottom w:val="single" w:sz="4" w:space="0" w:color="auto"/>
              <w:right w:val="single" w:sz="4" w:space="0" w:color="auto"/>
            </w:tcBorders>
            <w:shd w:val="clear" w:color="auto" w:fill="auto"/>
            <w:noWrap/>
            <w:vAlign w:val="center"/>
            <w:hideMark/>
          </w:tcPr>
          <w:p w14:paraId="162B9356"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421 </w:t>
            </w:r>
          </w:p>
        </w:tc>
        <w:tc>
          <w:tcPr>
            <w:tcW w:w="1279" w:type="dxa"/>
            <w:tcBorders>
              <w:top w:val="nil"/>
              <w:left w:val="nil"/>
              <w:bottom w:val="single" w:sz="4" w:space="0" w:color="auto"/>
              <w:right w:val="single" w:sz="4" w:space="0" w:color="auto"/>
            </w:tcBorders>
            <w:shd w:val="clear" w:color="auto" w:fill="auto"/>
            <w:noWrap/>
            <w:vAlign w:val="center"/>
            <w:hideMark/>
          </w:tcPr>
          <w:p w14:paraId="20C001C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462 </w:t>
            </w:r>
          </w:p>
        </w:tc>
        <w:tc>
          <w:tcPr>
            <w:tcW w:w="1180" w:type="dxa"/>
            <w:tcBorders>
              <w:top w:val="nil"/>
              <w:left w:val="nil"/>
              <w:bottom w:val="single" w:sz="4" w:space="0" w:color="auto"/>
              <w:right w:val="single" w:sz="4" w:space="0" w:color="auto"/>
            </w:tcBorders>
            <w:shd w:val="clear" w:color="auto" w:fill="auto"/>
            <w:noWrap/>
            <w:vAlign w:val="center"/>
            <w:hideMark/>
          </w:tcPr>
          <w:p w14:paraId="01108689"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884 </w:t>
            </w:r>
          </w:p>
        </w:tc>
      </w:tr>
      <w:tr w:rsidR="00D8083E" w:rsidRPr="00A202B4" w14:paraId="714BD8DB"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8E5DB24" w14:textId="77777777" w:rsidR="00D8083E" w:rsidRPr="00A202B4" w:rsidRDefault="00D8083E" w:rsidP="009A372A">
            <w:pPr>
              <w:jc w:val="left"/>
              <w:rPr>
                <w:sz w:val="18"/>
                <w:szCs w:val="18"/>
                <w:lang w:val="es-ES_tradnl" w:eastAsia="zh-CN"/>
              </w:rPr>
            </w:pPr>
            <w:r w:rsidRPr="00A202B4">
              <w:rPr>
                <w:sz w:val="18"/>
                <w:szCs w:val="18"/>
                <w:lang w:val="es-ES_tradnl" w:eastAsia="zh-CN"/>
              </w:rPr>
              <w:t>Estonia</w:t>
            </w:r>
          </w:p>
        </w:tc>
        <w:tc>
          <w:tcPr>
            <w:tcW w:w="1180" w:type="dxa"/>
            <w:tcBorders>
              <w:top w:val="nil"/>
              <w:left w:val="nil"/>
              <w:bottom w:val="single" w:sz="4" w:space="0" w:color="auto"/>
              <w:right w:val="single" w:sz="4" w:space="0" w:color="auto"/>
            </w:tcBorders>
            <w:shd w:val="clear" w:color="auto" w:fill="auto"/>
            <w:vAlign w:val="center"/>
            <w:hideMark/>
          </w:tcPr>
          <w:p w14:paraId="5514F361" w14:textId="77777777" w:rsidR="00D8083E" w:rsidRPr="00A202B4" w:rsidRDefault="00D8083E" w:rsidP="009A372A">
            <w:pPr>
              <w:jc w:val="right"/>
              <w:rPr>
                <w:sz w:val="18"/>
                <w:szCs w:val="18"/>
                <w:lang w:val="es-ES_tradnl" w:eastAsia="zh-CN"/>
              </w:rPr>
            </w:pPr>
            <w:r w:rsidRPr="00A202B4">
              <w:rPr>
                <w:sz w:val="18"/>
                <w:szCs w:val="18"/>
                <w:lang w:val="es-ES_tradnl" w:eastAsia="zh-CN"/>
              </w:rPr>
              <w:t>0,044</w:t>
            </w:r>
          </w:p>
        </w:tc>
        <w:tc>
          <w:tcPr>
            <w:tcW w:w="1180" w:type="dxa"/>
            <w:tcBorders>
              <w:top w:val="nil"/>
              <w:left w:val="nil"/>
              <w:bottom w:val="single" w:sz="4" w:space="0" w:color="auto"/>
              <w:right w:val="single" w:sz="4" w:space="0" w:color="auto"/>
            </w:tcBorders>
            <w:shd w:val="clear" w:color="auto" w:fill="auto"/>
            <w:noWrap/>
            <w:vAlign w:val="center"/>
            <w:hideMark/>
          </w:tcPr>
          <w:p w14:paraId="1FC9C162" w14:textId="77777777" w:rsidR="00D8083E" w:rsidRPr="00A202B4" w:rsidRDefault="00D8083E" w:rsidP="009A372A">
            <w:pPr>
              <w:jc w:val="right"/>
              <w:rPr>
                <w:sz w:val="18"/>
                <w:szCs w:val="18"/>
                <w:lang w:val="es-ES_tradnl" w:eastAsia="zh-CN"/>
              </w:rPr>
            </w:pPr>
            <w:r w:rsidRPr="00A202B4">
              <w:rPr>
                <w:sz w:val="18"/>
                <w:szCs w:val="18"/>
                <w:lang w:val="es-ES_tradnl" w:eastAsia="zh-CN"/>
              </w:rPr>
              <w:t>0,062</w:t>
            </w:r>
          </w:p>
        </w:tc>
        <w:tc>
          <w:tcPr>
            <w:tcW w:w="1279" w:type="dxa"/>
            <w:tcBorders>
              <w:top w:val="nil"/>
              <w:left w:val="nil"/>
              <w:bottom w:val="single" w:sz="4" w:space="0" w:color="auto"/>
              <w:right w:val="single" w:sz="4" w:space="0" w:color="auto"/>
            </w:tcBorders>
            <w:shd w:val="clear" w:color="auto" w:fill="auto"/>
            <w:noWrap/>
            <w:vAlign w:val="center"/>
            <w:hideMark/>
          </w:tcPr>
          <w:p w14:paraId="1A0C8AB8"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1 686 </w:t>
            </w:r>
          </w:p>
        </w:tc>
        <w:tc>
          <w:tcPr>
            <w:tcW w:w="1279" w:type="dxa"/>
            <w:tcBorders>
              <w:top w:val="nil"/>
              <w:left w:val="nil"/>
              <w:bottom w:val="single" w:sz="4" w:space="0" w:color="auto"/>
              <w:right w:val="single" w:sz="4" w:space="0" w:color="auto"/>
            </w:tcBorders>
            <w:shd w:val="clear" w:color="auto" w:fill="auto"/>
            <w:noWrap/>
            <w:vAlign w:val="center"/>
            <w:hideMark/>
          </w:tcPr>
          <w:p w14:paraId="6E327E9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1 849 </w:t>
            </w:r>
          </w:p>
        </w:tc>
        <w:tc>
          <w:tcPr>
            <w:tcW w:w="1180" w:type="dxa"/>
            <w:tcBorders>
              <w:top w:val="nil"/>
              <w:left w:val="nil"/>
              <w:bottom w:val="single" w:sz="4" w:space="0" w:color="auto"/>
              <w:right w:val="single" w:sz="4" w:space="0" w:color="auto"/>
            </w:tcBorders>
            <w:shd w:val="clear" w:color="auto" w:fill="auto"/>
            <w:noWrap/>
            <w:vAlign w:val="center"/>
            <w:hideMark/>
          </w:tcPr>
          <w:p w14:paraId="222E9D0E"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3 535 </w:t>
            </w:r>
          </w:p>
        </w:tc>
      </w:tr>
      <w:tr w:rsidR="00D8083E" w:rsidRPr="00A202B4" w14:paraId="5B8E60A5"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5CB414C" w14:textId="77777777" w:rsidR="00D8083E" w:rsidRPr="00A202B4" w:rsidRDefault="00D8083E" w:rsidP="009A372A">
            <w:pPr>
              <w:jc w:val="left"/>
              <w:rPr>
                <w:sz w:val="18"/>
                <w:szCs w:val="18"/>
                <w:lang w:val="es-ES_tradnl" w:eastAsia="zh-CN"/>
              </w:rPr>
            </w:pPr>
            <w:r w:rsidRPr="00A202B4">
              <w:rPr>
                <w:sz w:val="18"/>
                <w:szCs w:val="18"/>
                <w:lang w:val="es-ES_tradnl" w:eastAsia="zh-CN"/>
              </w:rPr>
              <w:t>Eswatini</w:t>
            </w:r>
          </w:p>
        </w:tc>
        <w:tc>
          <w:tcPr>
            <w:tcW w:w="1180" w:type="dxa"/>
            <w:tcBorders>
              <w:top w:val="nil"/>
              <w:left w:val="nil"/>
              <w:bottom w:val="single" w:sz="4" w:space="0" w:color="auto"/>
              <w:right w:val="single" w:sz="4" w:space="0" w:color="auto"/>
            </w:tcBorders>
            <w:shd w:val="clear" w:color="auto" w:fill="auto"/>
            <w:vAlign w:val="center"/>
            <w:hideMark/>
          </w:tcPr>
          <w:p w14:paraId="6194BE46" w14:textId="77777777" w:rsidR="00D8083E" w:rsidRPr="00A202B4" w:rsidRDefault="00D8083E" w:rsidP="009A372A">
            <w:pPr>
              <w:jc w:val="right"/>
              <w:rPr>
                <w:sz w:val="18"/>
                <w:szCs w:val="18"/>
                <w:lang w:val="es-ES_tradnl" w:eastAsia="zh-CN"/>
              </w:rPr>
            </w:pPr>
            <w:r w:rsidRPr="00A202B4">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22547014" w14:textId="77777777" w:rsidR="00D8083E" w:rsidRPr="00A202B4" w:rsidRDefault="00D8083E" w:rsidP="009A372A">
            <w:pPr>
              <w:jc w:val="right"/>
              <w:rPr>
                <w:sz w:val="18"/>
                <w:szCs w:val="18"/>
                <w:lang w:val="es-ES_tradnl" w:eastAsia="zh-CN"/>
              </w:rPr>
            </w:pPr>
            <w:r w:rsidRPr="00A202B4">
              <w:rPr>
                <w:sz w:val="18"/>
                <w:szCs w:val="18"/>
                <w:lang w:val="es-ES_tradnl" w:eastAsia="zh-CN"/>
              </w:rPr>
              <w:t>0,003</w:t>
            </w:r>
          </w:p>
        </w:tc>
        <w:tc>
          <w:tcPr>
            <w:tcW w:w="1279" w:type="dxa"/>
            <w:tcBorders>
              <w:top w:val="nil"/>
              <w:left w:val="nil"/>
              <w:bottom w:val="single" w:sz="4" w:space="0" w:color="auto"/>
              <w:right w:val="single" w:sz="4" w:space="0" w:color="auto"/>
            </w:tcBorders>
            <w:shd w:val="clear" w:color="auto" w:fill="auto"/>
            <w:noWrap/>
            <w:vAlign w:val="center"/>
            <w:hideMark/>
          </w:tcPr>
          <w:p w14:paraId="1C5C7148"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77 </w:t>
            </w:r>
          </w:p>
        </w:tc>
        <w:tc>
          <w:tcPr>
            <w:tcW w:w="1279" w:type="dxa"/>
            <w:tcBorders>
              <w:top w:val="nil"/>
              <w:left w:val="nil"/>
              <w:bottom w:val="single" w:sz="4" w:space="0" w:color="auto"/>
              <w:right w:val="single" w:sz="4" w:space="0" w:color="auto"/>
            </w:tcBorders>
            <w:shd w:val="clear" w:color="auto" w:fill="auto"/>
            <w:noWrap/>
            <w:vAlign w:val="center"/>
            <w:hideMark/>
          </w:tcPr>
          <w:p w14:paraId="21728B9C"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426298D8"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161 </w:t>
            </w:r>
          </w:p>
        </w:tc>
      </w:tr>
      <w:tr w:rsidR="00D8083E" w:rsidRPr="00A202B4" w14:paraId="2DC492AC"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01E9368" w14:textId="77777777" w:rsidR="00D8083E" w:rsidRPr="00A202B4" w:rsidRDefault="00D8083E" w:rsidP="009A372A">
            <w:pPr>
              <w:jc w:val="left"/>
              <w:rPr>
                <w:sz w:val="18"/>
                <w:szCs w:val="18"/>
                <w:lang w:val="es-ES_tradnl" w:eastAsia="zh-CN"/>
              </w:rPr>
            </w:pPr>
            <w:r w:rsidRPr="00A202B4">
              <w:rPr>
                <w:sz w:val="18"/>
                <w:szCs w:val="18"/>
                <w:lang w:val="es-ES_tradnl" w:eastAsia="zh-CN"/>
              </w:rPr>
              <w:t>Etiopía</w:t>
            </w:r>
          </w:p>
        </w:tc>
        <w:tc>
          <w:tcPr>
            <w:tcW w:w="1180" w:type="dxa"/>
            <w:tcBorders>
              <w:top w:val="nil"/>
              <w:left w:val="nil"/>
              <w:bottom w:val="single" w:sz="4" w:space="0" w:color="auto"/>
              <w:right w:val="single" w:sz="4" w:space="0" w:color="auto"/>
            </w:tcBorders>
            <w:shd w:val="clear" w:color="auto" w:fill="auto"/>
            <w:vAlign w:val="center"/>
            <w:hideMark/>
          </w:tcPr>
          <w:p w14:paraId="30099AC1"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B82AAC3"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279" w:type="dxa"/>
            <w:tcBorders>
              <w:top w:val="nil"/>
              <w:left w:val="nil"/>
              <w:bottom w:val="single" w:sz="4" w:space="0" w:color="auto"/>
              <w:right w:val="single" w:sz="4" w:space="0" w:color="auto"/>
            </w:tcBorders>
            <w:shd w:val="clear" w:color="auto" w:fill="auto"/>
            <w:noWrap/>
            <w:vAlign w:val="center"/>
            <w:hideMark/>
          </w:tcPr>
          <w:p w14:paraId="5EDE027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271 </w:t>
            </w:r>
          </w:p>
        </w:tc>
        <w:tc>
          <w:tcPr>
            <w:tcW w:w="1279" w:type="dxa"/>
            <w:tcBorders>
              <w:top w:val="nil"/>
              <w:left w:val="nil"/>
              <w:bottom w:val="single" w:sz="4" w:space="0" w:color="auto"/>
              <w:right w:val="single" w:sz="4" w:space="0" w:color="auto"/>
            </w:tcBorders>
            <w:shd w:val="clear" w:color="auto" w:fill="auto"/>
            <w:noWrap/>
            <w:vAlign w:val="center"/>
            <w:hideMark/>
          </w:tcPr>
          <w:p w14:paraId="06113A0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5DEB7A6D"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569 </w:t>
            </w:r>
          </w:p>
        </w:tc>
      </w:tr>
      <w:tr w:rsidR="00D8083E" w:rsidRPr="00A202B4" w14:paraId="5715B7E8"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93B999D" w14:textId="77777777" w:rsidR="00D8083E" w:rsidRPr="00A202B4" w:rsidRDefault="00D8083E" w:rsidP="009A372A">
            <w:pPr>
              <w:jc w:val="left"/>
              <w:rPr>
                <w:sz w:val="18"/>
                <w:szCs w:val="18"/>
                <w:lang w:val="es-ES_tradnl" w:eastAsia="zh-CN"/>
              </w:rPr>
            </w:pPr>
            <w:r w:rsidRPr="00A202B4">
              <w:rPr>
                <w:sz w:val="18"/>
                <w:szCs w:val="18"/>
                <w:lang w:val="es-ES_tradnl" w:eastAsia="zh-CN"/>
              </w:rPr>
              <w:t>Fiji</w:t>
            </w:r>
          </w:p>
        </w:tc>
        <w:tc>
          <w:tcPr>
            <w:tcW w:w="1180" w:type="dxa"/>
            <w:tcBorders>
              <w:top w:val="nil"/>
              <w:left w:val="nil"/>
              <w:bottom w:val="single" w:sz="4" w:space="0" w:color="auto"/>
              <w:right w:val="single" w:sz="4" w:space="0" w:color="auto"/>
            </w:tcBorders>
            <w:shd w:val="clear" w:color="auto" w:fill="auto"/>
            <w:vAlign w:val="center"/>
            <w:hideMark/>
          </w:tcPr>
          <w:p w14:paraId="2E8100AA" w14:textId="77777777" w:rsidR="00D8083E" w:rsidRPr="00A202B4" w:rsidRDefault="00D8083E" w:rsidP="009A372A">
            <w:pPr>
              <w:jc w:val="right"/>
              <w:rPr>
                <w:sz w:val="18"/>
                <w:szCs w:val="18"/>
                <w:lang w:val="es-ES_tradnl" w:eastAsia="zh-CN"/>
              </w:rPr>
            </w:pPr>
            <w:r w:rsidRPr="00A202B4">
              <w:rPr>
                <w:sz w:val="18"/>
                <w:szCs w:val="18"/>
                <w:lang w:val="es-ES_tradnl"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2603516D" w14:textId="77777777" w:rsidR="00D8083E" w:rsidRPr="00A202B4" w:rsidRDefault="00D8083E" w:rsidP="009A372A">
            <w:pPr>
              <w:jc w:val="right"/>
              <w:rPr>
                <w:sz w:val="18"/>
                <w:szCs w:val="18"/>
                <w:lang w:val="es-ES_tradnl" w:eastAsia="zh-CN"/>
              </w:rPr>
            </w:pPr>
            <w:r w:rsidRPr="00A202B4">
              <w:rPr>
                <w:sz w:val="18"/>
                <w:szCs w:val="18"/>
                <w:lang w:val="es-ES_tradnl" w:eastAsia="zh-CN"/>
              </w:rPr>
              <w:t>0,006</w:t>
            </w:r>
          </w:p>
        </w:tc>
        <w:tc>
          <w:tcPr>
            <w:tcW w:w="1279" w:type="dxa"/>
            <w:tcBorders>
              <w:top w:val="nil"/>
              <w:left w:val="nil"/>
              <w:bottom w:val="single" w:sz="4" w:space="0" w:color="auto"/>
              <w:right w:val="single" w:sz="4" w:space="0" w:color="auto"/>
            </w:tcBorders>
            <w:shd w:val="clear" w:color="auto" w:fill="auto"/>
            <w:noWrap/>
            <w:vAlign w:val="center"/>
            <w:hideMark/>
          </w:tcPr>
          <w:p w14:paraId="68578A0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153 </w:t>
            </w:r>
          </w:p>
        </w:tc>
        <w:tc>
          <w:tcPr>
            <w:tcW w:w="1279" w:type="dxa"/>
            <w:tcBorders>
              <w:top w:val="nil"/>
              <w:left w:val="nil"/>
              <w:bottom w:val="single" w:sz="4" w:space="0" w:color="auto"/>
              <w:right w:val="single" w:sz="4" w:space="0" w:color="auto"/>
            </w:tcBorders>
            <w:shd w:val="clear" w:color="auto" w:fill="auto"/>
            <w:noWrap/>
            <w:vAlign w:val="center"/>
            <w:hideMark/>
          </w:tcPr>
          <w:p w14:paraId="0156262D"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61034FB5"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321 </w:t>
            </w:r>
          </w:p>
        </w:tc>
      </w:tr>
      <w:tr w:rsidR="00D8083E" w:rsidRPr="00A202B4" w14:paraId="4E7DBA49"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73D2CD3" w14:textId="77777777" w:rsidR="00D8083E" w:rsidRPr="00A202B4" w:rsidRDefault="00D8083E" w:rsidP="009A372A">
            <w:pPr>
              <w:jc w:val="left"/>
              <w:rPr>
                <w:sz w:val="18"/>
                <w:szCs w:val="18"/>
                <w:lang w:val="es-ES_tradnl" w:eastAsia="zh-CN"/>
              </w:rPr>
            </w:pPr>
            <w:r w:rsidRPr="00A202B4">
              <w:rPr>
                <w:sz w:val="18"/>
                <w:szCs w:val="18"/>
                <w:lang w:val="es-ES_tradnl" w:eastAsia="zh-CN"/>
              </w:rPr>
              <w:t>Filipinas</w:t>
            </w:r>
          </w:p>
        </w:tc>
        <w:tc>
          <w:tcPr>
            <w:tcW w:w="1180" w:type="dxa"/>
            <w:tcBorders>
              <w:top w:val="nil"/>
              <w:left w:val="nil"/>
              <w:bottom w:val="single" w:sz="4" w:space="0" w:color="auto"/>
              <w:right w:val="single" w:sz="4" w:space="0" w:color="auto"/>
            </w:tcBorders>
            <w:shd w:val="clear" w:color="auto" w:fill="auto"/>
            <w:vAlign w:val="center"/>
            <w:hideMark/>
          </w:tcPr>
          <w:p w14:paraId="00ED89ED" w14:textId="77777777" w:rsidR="00D8083E" w:rsidRPr="00A202B4" w:rsidRDefault="00D8083E" w:rsidP="009A372A">
            <w:pPr>
              <w:jc w:val="right"/>
              <w:rPr>
                <w:sz w:val="18"/>
                <w:szCs w:val="18"/>
                <w:lang w:val="es-ES_tradnl" w:eastAsia="zh-CN"/>
              </w:rPr>
            </w:pPr>
            <w:r w:rsidRPr="00A202B4">
              <w:rPr>
                <w:sz w:val="18"/>
                <w:szCs w:val="18"/>
                <w:lang w:val="es-ES_tradnl" w:eastAsia="zh-CN"/>
              </w:rPr>
              <w:t>0,212</w:t>
            </w:r>
          </w:p>
        </w:tc>
        <w:tc>
          <w:tcPr>
            <w:tcW w:w="1180" w:type="dxa"/>
            <w:tcBorders>
              <w:top w:val="nil"/>
              <w:left w:val="nil"/>
              <w:bottom w:val="single" w:sz="4" w:space="0" w:color="auto"/>
              <w:right w:val="single" w:sz="4" w:space="0" w:color="auto"/>
            </w:tcBorders>
            <w:shd w:val="clear" w:color="auto" w:fill="auto"/>
            <w:noWrap/>
            <w:vAlign w:val="center"/>
            <w:hideMark/>
          </w:tcPr>
          <w:p w14:paraId="33D0F289" w14:textId="77777777" w:rsidR="00D8083E" w:rsidRPr="00A202B4" w:rsidRDefault="00D8083E" w:rsidP="009A372A">
            <w:pPr>
              <w:jc w:val="right"/>
              <w:rPr>
                <w:sz w:val="18"/>
                <w:szCs w:val="18"/>
                <w:lang w:val="es-ES_tradnl" w:eastAsia="zh-CN"/>
              </w:rPr>
            </w:pPr>
            <w:r w:rsidRPr="00A202B4">
              <w:rPr>
                <w:sz w:val="18"/>
                <w:szCs w:val="18"/>
                <w:lang w:val="es-ES_tradnl" w:eastAsia="zh-CN"/>
              </w:rPr>
              <w:t>0,299</w:t>
            </w:r>
          </w:p>
        </w:tc>
        <w:tc>
          <w:tcPr>
            <w:tcW w:w="1279" w:type="dxa"/>
            <w:tcBorders>
              <w:top w:val="nil"/>
              <w:left w:val="nil"/>
              <w:bottom w:val="single" w:sz="4" w:space="0" w:color="auto"/>
              <w:right w:val="single" w:sz="4" w:space="0" w:color="auto"/>
            </w:tcBorders>
            <w:shd w:val="clear" w:color="auto" w:fill="auto"/>
            <w:noWrap/>
            <w:vAlign w:val="center"/>
            <w:hideMark/>
          </w:tcPr>
          <w:p w14:paraId="71F53667"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8 123 </w:t>
            </w:r>
          </w:p>
        </w:tc>
        <w:tc>
          <w:tcPr>
            <w:tcW w:w="1279" w:type="dxa"/>
            <w:tcBorders>
              <w:top w:val="nil"/>
              <w:left w:val="nil"/>
              <w:bottom w:val="single" w:sz="4" w:space="0" w:color="auto"/>
              <w:right w:val="single" w:sz="4" w:space="0" w:color="auto"/>
            </w:tcBorders>
            <w:shd w:val="clear" w:color="auto" w:fill="auto"/>
            <w:noWrap/>
            <w:vAlign w:val="center"/>
            <w:hideMark/>
          </w:tcPr>
          <w:p w14:paraId="6735017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8 909 </w:t>
            </w:r>
          </w:p>
        </w:tc>
        <w:tc>
          <w:tcPr>
            <w:tcW w:w="1180" w:type="dxa"/>
            <w:tcBorders>
              <w:top w:val="nil"/>
              <w:left w:val="nil"/>
              <w:bottom w:val="single" w:sz="4" w:space="0" w:color="auto"/>
              <w:right w:val="single" w:sz="4" w:space="0" w:color="auto"/>
            </w:tcBorders>
            <w:shd w:val="clear" w:color="auto" w:fill="auto"/>
            <w:noWrap/>
            <w:vAlign w:val="center"/>
            <w:hideMark/>
          </w:tcPr>
          <w:p w14:paraId="7785438F"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17 032 </w:t>
            </w:r>
          </w:p>
        </w:tc>
      </w:tr>
      <w:tr w:rsidR="00D8083E" w:rsidRPr="00A202B4" w14:paraId="5EE3D0EF"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8606DBE" w14:textId="77777777" w:rsidR="00D8083E" w:rsidRPr="00A202B4" w:rsidRDefault="00D8083E" w:rsidP="009A372A">
            <w:pPr>
              <w:jc w:val="left"/>
              <w:rPr>
                <w:sz w:val="18"/>
                <w:szCs w:val="18"/>
                <w:lang w:val="es-ES_tradnl" w:eastAsia="zh-CN"/>
              </w:rPr>
            </w:pPr>
            <w:r w:rsidRPr="00A202B4">
              <w:rPr>
                <w:sz w:val="18"/>
                <w:szCs w:val="18"/>
                <w:lang w:val="es-ES_tradnl" w:eastAsia="zh-CN"/>
              </w:rPr>
              <w:t>Finlandia</w:t>
            </w:r>
          </w:p>
        </w:tc>
        <w:tc>
          <w:tcPr>
            <w:tcW w:w="1180" w:type="dxa"/>
            <w:tcBorders>
              <w:top w:val="nil"/>
              <w:left w:val="nil"/>
              <w:bottom w:val="single" w:sz="4" w:space="0" w:color="auto"/>
              <w:right w:val="single" w:sz="4" w:space="0" w:color="auto"/>
            </w:tcBorders>
            <w:shd w:val="clear" w:color="auto" w:fill="auto"/>
            <w:vAlign w:val="center"/>
            <w:hideMark/>
          </w:tcPr>
          <w:p w14:paraId="365EE917" w14:textId="77777777" w:rsidR="00D8083E" w:rsidRPr="00A202B4" w:rsidRDefault="00D8083E" w:rsidP="009A372A">
            <w:pPr>
              <w:jc w:val="right"/>
              <w:rPr>
                <w:sz w:val="18"/>
                <w:szCs w:val="18"/>
                <w:lang w:val="es-ES_tradnl" w:eastAsia="zh-CN"/>
              </w:rPr>
            </w:pPr>
            <w:r w:rsidRPr="00A202B4">
              <w:rPr>
                <w:sz w:val="18"/>
                <w:szCs w:val="18"/>
                <w:lang w:val="es-ES_tradnl" w:eastAsia="zh-CN"/>
              </w:rPr>
              <w:t>0,417</w:t>
            </w:r>
          </w:p>
        </w:tc>
        <w:tc>
          <w:tcPr>
            <w:tcW w:w="1180" w:type="dxa"/>
            <w:tcBorders>
              <w:top w:val="nil"/>
              <w:left w:val="nil"/>
              <w:bottom w:val="single" w:sz="4" w:space="0" w:color="auto"/>
              <w:right w:val="single" w:sz="4" w:space="0" w:color="auto"/>
            </w:tcBorders>
            <w:shd w:val="clear" w:color="auto" w:fill="auto"/>
            <w:noWrap/>
            <w:vAlign w:val="center"/>
            <w:hideMark/>
          </w:tcPr>
          <w:p w14:paraId="7220F3BD" w14:textId="77777777" w:rsidR="00D8083E" w:rsidRPr="00A202B4" w:rsidRDefault="00D8083E" w:rsidP="009A372A">
            <w:pPr>
              <w:jc w:val="right"/>
              <w:rPr>
                <w:sz w:val="18"/>
                <w:szCs w:val="18"/>
                <w:lang w:val="es-ES_tradnl" w:eastAsia="zh-CN"/>
              </w:rPr>
            </w:pPr>
            <w:r w:rsidRPr="00A202B4">
              <w:rPr>
                <w:sz w:val="18"/>
                <w:szCs w:val="18"/>
                <w:lang w:val="es-ES_tradnl" w:eastAsia="zh-CN"/>
              </w:rPr>
              <w:t>0,589</w:t>
            </w:r>
          </w:p>
        </w:tc>
        <w:tc>
          <w:tcPr>
            <w:tcW w:w="1279" w:type="dxa"/>
            <w:tcBorders>
              <w:top w:val="nil"/>
              <w:left w:val="nil"/>
              <w:bottom w:val="single" w:sz="4" w:space="0" w:color="auto"/>
              <w:right w:val="single" w:sz="4" w:space="0" w:color="auto"/>
            </w:tcBorders>
            <w:shd w:val="clear" w:color="auto" w:fill="auto"/>
            <w:noWrap/>
            <w:vAlign w:val="center"/>
            <w:hideMark/>
          </w:tcPr>
          <w:p w14:paraId="7533987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15 977 </w:t>
            </w:r>
          </w:p>
        </w:tc>
        <w:tc>
          <w:tcPr>
            <w:tcW w:w="1279" w:type="dxa"/>
            <w:tcBorders>
              <w:top w:val="nil"/>
              <w:left w:val="nil"/>
              <w:bottom w:val="single" w:sz="4" w:space="0" w:color="auto"/>
              <w:right w:val="single" w:sz="4" w:space="0" w:color="auto"/>
            </w:tcBorders>
            <w:shd w:val="clear" w:color="auto" w:fill="auto"/>
            <w:noWrap/>
            <w:vAlign w:val="center"/>
            <w:hideMark/>
          </w:tcPr>
          <w:p w14:paraId="576BE76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17 524 </w:t>
            </w:r>
          </w:p>
        </w:tc>
        <w:tc>
          <w:tcPr>
            <w:tcW w:w="1180" w:type="dxa"/>
            <w:tcBorders>
              <w:top w:val="nil"/>
              <w:left w:val="nil"/>
              <w:bottom w:val="single" w:sz="4" w:space="0" w:color="auto"/>
              <w:right w:val="single" w:sz="4" w:space="0" w:color="auto"/>
            </w:tcBorders>
            <w:shd w:val="clear" w:color="auto" w:fill="auto"/>
            <w:noWrap/>
            <w:vAlign w:val="center"/>
            <w:hideMark/>
          </w:tcPr>
          <w:p w14:paraId="6199A88B"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33 501 </w:t>
            </w:r>
          </w:p>
        </w:tc>
      </w:tr>
      <w:tr w:rsidR="00D8083E" w:rsidRPr="00A202B4" w14:paraId="4C2F2BD0"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4D34500" w14:textId="77777777" w:rsidR="00D8083E" w:rsidRPr="00A202B4" w:rsidRDefault="00D8083E" w:rsidP="009A372A">
            <w:pPr>
              <w:jc w:val="left"/>
              <w:rPr>
                <w:sz w:val="18"/>
                <w:szCs w:val="18"/>
                <w:lang w:val="es-ES_tradnl" w:eastAsia="zh-CN"/>
              </w:rPr>
            </w:pPr>
            <w:r w:rsidRPr="00A202B4">
              <w:rPr>
                <w:sz w:val="18"/>
                <w:szCs w:val="18"/>
                <w:lang w:val="es-ES_tradnl" w:eastAsia="zh-CN"/>
              </w:rPr>
              <w:t>Francia</w:t>
            </w:r>
          </w:p>
        </w:tc>
        <w:tc>
          <w:tcPr>
            <w:tcW w:w="1180" w:type="dxa"/>
            <w:tcBorders>
              <w:top w:val="nil"/>
              <w:left w:val="nil"/>
              <w:bottom w:val="single" w:sz="4" w:space="0" w:color="auto"/>
              <w:right w:val="single" w:sz="4" w:space="0" w:color="auto"/>
            </w:tcBorders>
            <w:shd w:val="clear" w:color="auto" w:fill="auto"/>
            <w:vAlign w:val="center"/>
            <w:hideMark/>
          </w:tcPr>
          <w:p w14:paraId="180B0B96" w14:textId="77777777" w:rsidR="00D8083E" w:rsidRPr="00A202B4" w:rsidRDefault="00D8083E" w:rsidP="009A372A">
            <w:pPr>
              <w:jc w:val="right"/>
              <w:rPr>
                <w:sz w:val="18"/>
                <w:szCs w:val="18"/>
                <w:lang w:val="es-ES_tradnl" w:eastAsia="zh-CN"/>
              </w:rPr>
            </w:pPr>
            <w:r w:rsidRPr="00A202B4">
              <w:rPr>
                <w:sz w:val="18"/>
                <w:szCs w:val="18"/>
                <w:lang w:val="es-ES_tradnl" w:eastAsia="zh-CN"/>
              </w:rPr>
              <w:t>4,318</w:t>
            </w:r>
          </w:p>
        </w:tc>
        <w:tc>
          <w:tcPr>
            <w:tcW w:w="1180" w:type="dxa"/>
            <w:tcBorders>
              <w:top w:val="nil"/>
              <w:left w:val="nil"/>
              <w:bottom w:val="single" w:sz="4" w:space="0" w:color="auto"/>
              <w:right w:val="single" w:sz="4" w:space="0" w:color="auto"/>
            </w:tcBorders>
            <w:shd w:val="clear" w:color="auto" w:fill="auto"/>
            <w:noWrap/>
            <w:vAlign w:val="center"/>
            <w:hideMark/>
          </w:tcPr>
          <w:p w14:paraId="7AC83342" w14:textId="77777777" w:rsidR="00D8083E" w:rsidRPr="00A202B4" w:rsidRDefault="00D8083E" w:rsidP="009A372A">
            <w:pPr>
              <w:jc w:val="right"/>
              <w:rPr>
                <w:sz w:val="18"/>
                <w:szCs w:val="18"/>
                <w:lang w:val="es-ES_tradnl" w:eastAsia="zh-CN"/>
              </w:rPr>
            </w:pPr>
            <w:r w:rsidRPr="00A202B4">
              <w:rPr>
                <w:sz w:val="18"/>
                <w:szCs w:val="18"/>
                <w:lang w:val="es-ES_tradnl" w:eastAsia="zh-CN"/>
              </w:rPr>
              <w:t>6,096</w:t>
            </w:r>
          </w:p>
        </w:tc>
        <w:tc>
          <w:tcPr>
            <w:tcW w:w="1279" w:type="dxa"/>
            <w:tcBorders>
              <w:top w:val="nil"/>
              <w:left w:val="nil"/>
              <w:bottom w:val="single" w:sz="4" w:space="0" w:color="auto"/>
              <w:right w:val="single" w:sz="4" w:space="0" w:color="auto"/>
            </w:tcBorders>
            <w:shd w:val="clear" w:color="auto" w:fill="auto"/>
            <w:noWrap/>
            <w:vAlign w:val="center"/>
            <w:hideMark/>
          </w:tcPr>
          <w:p w14:paraId="6D636CE6"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165 439 </w:t>
            </w:r>
          </w:p>
        </w:tc>
        <w:tc>
          <w:tcPr>
            <w:tcW w:w="1279" w:type="dxa"/>
            <w:tcBorders>
              <w:top w:val="nil"/>
              <w:left w:val="nil"/>
              <w:bottom w:val="single" w:sz="4" w:space="0" w:color="auto"/>
              <w:right w:val="single" w:sz="4" w:space="0" w:color="auto"/>
            </w:tcBorders>
            <w:shd w:val="clear" w:color="auto" w:fill="auto"/>
            <w:noWrap/>
            <w:vAlign w:val="center"/>
            <w:hideMark/>
          </w:tcPr>
          <w:p w14:paraId="1A55B29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181 459 </w:t>
            </w:r>
          </w:p>
        </w:tc>
        <w:tc>
          <w:tcPr>
            <w:tcW w:w="1180" w:type="dxa"/>
            <w:tcBorders>
              <w:top w:val="nil"/>
              <w:left w:val="nil"/>
              <w:bottom w:val="single" w:sz="4" w:space="0" w:color="auto"/>
              <w:right w:val="single" w:sz="4" w:space="0" w:color="auto"/>
            </w:tcBorders>
            <w:shd w:val="clear" w:color="auto" w:fill="auto"/>
            <w:noWrap/>
            <w:vAlign w:val="center"/>
            <w:hideMark/>
          </w:tcPr>
          <w:p w14:paraId="64AFED4A"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346 898 </w:t>
            </w:r>
          </w:p>
        </w:tc>
      </w:tr>
      <w:tr w:rsidR="00D8083E" w:rsidRPr="00A202B4" w14:paraId="042B4878"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8B0B509" w14:textId="77777777" w:rsidR="00D8083E" w:rsidRPr="00A202B4" w:rsidRDefault="00D8083E" w:rsidP="009A372A">
            <w:pPr>
              <w:jc w:val="left"/>
              <w:rPr>
                <w:sz w:val="18"/>
                <w:szCs w:val="18"/>
                <w:lang w:val="es-ES_tradnl" w:eastAsia="zh-CN"/>
              </w:rPr>
            </w:pPr>
            <w:r w:rsidRPr="00A202B4">
              <w:rPr>
                <w:sz w:val="18"/>
                <w:szCs w:val="18"/>
                <w:lang w:val="es-ES_tradnl" w:eastAsia="zh-CN"/>
              </w:rPr>
              <w:t>Gabón</w:t>
            </w:r>
          </w:p>
        </w:tc>
        <w:tc>
          <w:tcPr>
            <w:tcW w:w="1180" w:type="dxa"/>
            <w:tcBorders>
              <w:top w:val="nil"/>
              <w:left w:val="nil"/>
              <w:bottom w:val="single" w:sz="4" w:space="0" w:color="auto"/>
              <w:right w:val="single" w:sz="4" w:space="0" w:color="auto"/>
            </w:tcBorders>
            <w:shd w:val="clear" w:color="auto" w:fill="auto"/>
            <w:vAlign w:val="center"/>
            <w:hideMark/>
          </w:tcPr>
          <w:p w14:paraId="3E1DF861" w14:textId="77777777" w:rsidR="00D8083E" w:rsidRPr="00A202B4" w:rsidRDefault="00D8083E" w:rsidP="009A372A">
            <w:pPr>
              <w:jc w:val="right"/>
              <w:rPr>
                <w:sz w:val="18"/>
                <w:szCs w:val="18"/>
                <w:lang w:val="es-ES_tradnl" w:eastAsia="zh-CN"/>
              </w:rPr>
            </w:pPr>
            <w:r w:rsidRPr="00A202B4">
              <w:rPr>
                <w:sz w:val="18"/>
                <w:szCs w:val="18"/>
                <w:lang w:val="es-ES_tradnl"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1ECE8079" w14:textId="77777777" w:rsidR="00D8083E" w:rsidRPr="00A202B4" w:rsidRDefault="00D8083E" w:rsidP="009A372A">
            <w:pPr>
              <w:jc w:val="right"/>
              <w:rPr>
                <w:sz w:val="18"/>
                <w:szCs w:val="18"/>
                <w:lang w:val="es-ES_tradnl" w:eastAsia="zh-CN"/>
              </w:rPr>
            </w:pPr>
            <w:r w:rsidRPr="00A202B4">
              <w:rPr>
                <w:sz w:val="18"/>
                <w:szCs w:val="18"/>
                <w:lang w:val="es-ES_tradnl" w:eastAsia="zh-CN"/>
              </w:rPr>
              <w:t>0,018</w:t>
            </w:r>
          </w:p>
        </w:tc>
        <w:tc>
          <w:tcPr>
            <w:tcW w:w="1279" w:type="dxa"/>
            <w:tcBorders>
              <w:top w:val="nil"/>
              <w:left w:val="nil"/>
              <w:bottom w:val="single" w:sz="4" w:space="0" w:color="auto"/>
              <w:right w:val="single" w:sz="4" w:space="0" w:color="auto"/>
            </w:tcBorders>
            <w:shd w:val="clear" w:color="auto" w:fill="auto"/>
            <w:noWrap/>
            <w:vAlign w:val="center"/>
            <w:hideMark/>
          </w:tcPr>
          <w:p w14:paraId="732376A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498 </w:t>
            </w:r>
          </w:p>
        </w:tc>
        <w:tc>
          <w:tcPr>
            <w:tcW w:w="1279" w:type="dxa"/>
            <w:tcBorders>
              <w:top w:val="nil"/>
              <w:left w:val="nil"/>
              <w:bottom w:val="single" w:sz="4" w:space="0" w:color="auto"/>
              <w:right w:val="single" w:sz="4" w:space="0" w:color="auto"/>
            </w:tcBorders>
            <w:shd w:val="clear" w:color="auto" w:fill="auto"/>
            <w:noWrap/>
            <w:vAlign w:val="center"/>
            <w:hideMark/>
          </w:tcPr>
          <w:p w14:paraId="328ABBB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546 </w:t>
            </w:r>
          </w:p>
        </w:tc>
        <w:tc>
          <w:tcPr>
            <w:tcW w:w="1180" w:type="dxa"/>
            <w:tcBorders>
              <w:top w:val="nil"/>
              <w:left w:val="nil"/>
              <w:bottom w:val="single" w:sz="4" w:space="0" w:color="auto"/>
              <w:right w:val="single" w:sz="4" w:space="0" w:color="auto"/>
            </w:tcBorders>
            <w:shd w:val="clear" w:color="auto" w:fill="auto"/>
            <w:noWrap/>
            <w:vAlign w:val="center"/>
            <w:hideMark/>
          </w:tcPr>
          <w:p w14:paraId="0F4FD1AB"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1 044 </w:t>
            </w:r>
          </w:p>
        </w:tc>
      </w:tr>
      <w:tr w:rsidR="00D8083E" w:rsidRPr="00A202B4" w14:paraId="12EC57FB"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B87D1AE" w14:textId="77777777" w:rsidR="00D8083E" w:rsidRPr="00A202B4" w:rsidRDefault="00D8083E" w:rsidP="009A372A">
            <w:pPr>
              <w:jc w:val="left"/>
              <w:rPr>
                <w:sz w:val="18"/>
                <w:szCs w:val="18"/>
                <w:lang w:val="es-ES_tradnl" w:eastAsia="zh-CN"/>
              </w:rPr>
            </w:pPr>
            <w:r w:rsidRPr="00A202B4">
              <w:rPr>
                <w:sz w:val="18"/>
                <w:szCs w:val="18"/>
                <w:lang w:val="es-ES_tradnl" w:eastAsia="zh-CN"/>
              </w:rPr>
              <w:t>Gambia</w:t>
            </w:r>
          </w:p>
        </w:tc>
        <w:tc>
          <w:tcPr>
            <w:tcW w:w="1180" w:type="dxa"/>
            <w:tcBorders>
              <w:top w:val="nil"/>
              <w:left w:val="nil"/>
              <w:bottom w:val="single" w:sz="4" w:space="0" w:color="auto"/>
              <w:right w:val="single" w:sz="4" w:space="0" w:color="auto"/>
            </w:tcBorders>
            <w:shd w:val="clear" w:color="auto" w:fill="auto"/>
            <w:vAlign w:val="center"/>
            <w:hideMark/>
          </w:tcPr>
          <w:p w14:paraId="7483A885"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9E4EBE0"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5E39F06D"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6FC96FC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1DD1C12B"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7B188E00"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FF7E4FE" w14:textId="77777777" w:rsidR="00D8083E" w:rsidRPr="00A202B4" w:rsidRDefault="00D8083E" w:rsidP="009A372A">
            <w:pPr>
              <w:jc w:val="left"/>
              <w:rPr>
                <w:sz w:val="18"/>
                <w:szCs w:val="18"/>
                <w:lang w:val="es-ES_tradnl" w:eastAsia="zh-CN"/>
              </w:rPr>
            </w:pPr>
            <w:r w:rsidRPr="00A202B4">
              <w:rPr>
                <w:sz w:val="18"/>
                <w:szCs w:val="18"/>
                <w:lang w:val="es-ES_tradnl" w:eastAsia="zh-CN"/>
              </w:rPr>
              <w:t>Georgia</w:t>
            </w:r>
          </w:p>
        </w:tc>
        <w:tc>
          <w:tcPr>
            <w:tcW w:w="1180" w:type="dxa"/>
            <w:tcBorders>
              <w:top w:val="nil"/>
              <w:left w:val="nil"/>
              <w:bottom w:val="single" w:sz="4" w:space="0" w:color="auto"/>
              <w:right w:val="single" w:sz="4" w:space="0" w:color="auto"/>
            </w:tcBorders>
            <w:shd w:val="clear" w:color="auto" w:fill="auto"/>
            <w:vAlign w:val="center"/>
            <w:hideMark/>
          </w:tcPr>
          <w:p w14:paraId="3418AF94" w14:textId="77777777" w:rsidR="00D8083E" w:rsidRPr="00A202B4" w:rsidRDefault="00D8083E" w:rsidP="009A372A">
            <w:pPr>
              <w:jc w:val="right"/>
              <w:rPr>
                <w:sz w:val="18"/>
                <w:szCs w:val="18"/>
                <w:lang w:val="es-ES_tradnl" w:eastAsia="zh-CN"/>
              </w:rPr>
            </w:pPr>
            <w:r w:rsidRPr="00A202B4">
              <w:rPr>
                <w:sz w:val="18"/>
                <w:szCs w:val="18"/>
                <w:lang w:val="es-ES_tradnl"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3214894C" w14:textId="77777777" w:rsidR="00D8083E" w:rsidRPr="00A202B4" w:rsidRDefault="00D8083E" w:rsidP="009A372A">
            <w:pPr>
              <w:jc w:val="right"/>
              <w:rPr>
                <w:sz w:val="18"/>
                <w:szCs w:val="18"/>
                <w:lang w:val="es-ES_tradnl" w:eastAsia="zh-CN"/>
              </w:rPr>
            </w:pPr>
            <w:r w:rsidRPr="00A202B4">
              <w:rPr>
                <w:sz w:val="18"/>
                <w:szCs w:val="18"/>
                <w:lang w:val="es-ES_tradnl" w:eastAsia="zh-CN"/>
              </w:rPr>
              <w:t>0,011</w:t>
            </w:r>
          </w:p>
        </w:tc>
        <w:tc>
          <w:tcPr>
            <w:tcW w:w="1279" w:type="dxa"/>
            <w:tcBorders>
              <w:top w:val="nil"/>
              <w:left w:val="nil"/>
              <w:bottom w:val="single" w:sz="4" w:space="0" w:color="auto"/>
              <w:right w:val="single" w:sz="4" w:space="0" w:color="auto"/>
            </w:tcBorders>
            <w:shd w:val="clear" w:color="auto" w:fill="auto"/>
            <w:noWrap/>
            <w:vAlign w:val="center"/>
            <w:hideMark/>
          </w:tcPr>
          <w:p w14:paraId="58E3FBD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307 </w:t>
            </w:r>
          </w:p>
        </w:tc>
        <w:tc>
          <w:tcPr>
            <w:tcW w:w="1279" w:type="dxa"/>
            <w:tcBorders>
              <w:top w:val="nil"/>
              <w:left w:val="nil"/>
              <w:bottom w:val="single" w:sz="4" w:space="0" w:color="auto"/>
              <w:right w:val="single" w:sz="4" w:space="0" w:color="auto"/>
            </w:tcBorders>
            <w:shd w:val="clear" w:color="auto" w:fill="auto"/>
            <w:noWrap/>
            <w:vAlign w:val="center"/>
            <w:hideMark/>
          </w:tcPr>
          <w:p w14:paraId="3D41D2D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2141F9CA"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643 </w:t>
            </w:r>
          </w:p>
        </w:tc>
      </w:tr>
      <w:tr w:rsidR="00D8083E" w:rsidRPr="00A202B4" w14:paraId="3F23F6BD"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80C8B1C" w14:textId="77777777" w:rsidR="00D8083E" w:rsidRPr="00A202B4" w:rsidRDefault="00D8083E" w:rsidP="009A372A">
            <w:pPr>
              <w:jc w:val="left"/>
              <w:rPr>
                <w:sz w:val="18"/>
                <w:szCs w:val="18"/>
                <w:lang w:val="es-ES_tradnl" w:eastAsia="zh-CN"/>
              </w:rPr>
            </w:pPr>
            <w:r w:rsidRPr="00A202B4">
              <w:rPr>
                <w:sz w:val="18"/>
                <w:szCs w:val="18"/>
                <w:lang w:val="es-ES_tradnl" w:eastAsia="zh-CN"/>
              </w:rPr>
              <w:t>Ghana</w:t>
            </w:r>
          </w:p>
        </w:tc>
        <w:tc>
          <w:tcPr>
            <w:tcW w:w="1180" w:type="dxa"/>
            <w:tcBorders>
              <w:top w:val="nil"/>
              <w:left w:val="nil"/>
              <w:bottom w:val="single" w:sz="4" w:space="0" w:color="auto"/>
              <w:right w:val="single" w:sz="4" w:space="0" w:color="auto"/>
            </w:tcBorders>
            <w:shd w:val="clear" w:color="auto" w:fill="auto"/>
            <w:vAlign w:val="center"/>
            <w:hideMark/>
          </w:tcPr>
          <w:p w14:paraId="1441ADC8" w14:textId="77777777" w:rsidR="00D8083E" w:rsidRPr="00A202B4" w:rsidRDefault="00D8083E" w:rsidP="009A372A">
            <w:pPr>
              <w:jc w:val="right"/>
              <w:rPr>
                <w:sz w:val="18"/>
                <w:szCs w:val="18"/>
                <w:lang w:val="es-ES_tradnl" w:eastAsia="zh-CN"/>
              </w:rPr>
            </w:pPr>
            <w:r w:rsidRPr="00A202B4">
              <w:rPr>
                <w:sz w:val="18"/>
                <w:szCs w:val="18"/>
                <w:lang w:val="es-ES_tradnl" w:eastAsia="zh-CN"/>
              </w:rPr>
              <w:t>0,024</w:t>
            </w:r>
          </w:p>
        </w:tc>
        <w:tc>
          <w:tcPr>
            <w:tcW w:w="1180" w:type="dxa"/>
            <w:tcBorders>
              <w:top w:val="nil"/>
              <w:left w:val="nil"/>
              <w:bottom w:val="single" w:sz="4" w:space="0" w:color="auto"/>
              <w:right w:val="single" w:sz="4" w:space="0" w:color="auto"/>
            </w:tcBorders>
            <w:shd w:val="clear" w:color="auto" w:fill="auto"/>
            <w:noWrap/>
            <w:vAlign w:val="center"/>
            <w:hideMark/>
          </w:tcPr>
          <w:p w14:paraId="36B487D5" w14:textId="77777777" w:rsidR="00D8083E" w:rsidRPr="00A202B4" w:rsidRDefault="00D8083E" w:rsidP="009A372A">
            <w:pPr>
              <w:jc w:val="right"/>
              <w:rPr>
                <w:sz w:val="18"/>
                <w:szCs w:val="18"/>
                <w:lang w:val="es-ES_tradnl" w:eastAsia="zh-CN"/>
              </w:rPr>
            </w:pPr>
            <w:r w:rsidRPr="00A202B4">
              <w:rPr>
                <w:sz w:val="18"/>
                <w:szCs w:val="18"/>
                <w:lang w:val="es-ES_tradnl" w:eastAsia="zh-CN"/>
              </w:rPr>
              <w:t>0,034</w:t>
            </w:r>
          </w:p>
        </w:tc>
        <w:tc>
          <w:tcPr>
            <w:tcW w:w="1279" w:type="dxa"/>
            <w:tcBorders>
              <w:top w:val="nil"/>
              <w:left w:val="nil"/>
              <w:bottom w:val="single" w:sz="4" w:space="0" w:color="auto"/>
              <w:right w:val="single" w:sz="4" w:space="0" w:color="auto"/>
            </w:tcBorders>
            <w:shd w:val="clear" w:color="auto" w:fill="auto"/>
            <w:noWrap/>
            <w:vAlign w:val="center"/>
            <w:hideMark/>
          </w:tcPr>
          <w:p w14:paraId="46CBB65E"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920 </w:t>
            </w:r>
          </w:p>
        </w:tc>
        <w:tc>
          <w:tcPr>
            <w:tcW w:w="1279" w:type="dxa"/>
            <w:tcBorders>
              <w:top w:val="nil"/>
              <w:left w:val="nil"/>
              <w:bottom w:val="single" w:sz="4" w:space="0" w:color="auto"/>
              <w:right w:val="single" w:sz="4" w:space="0" w:color="auto"/>
            </w:tcBorders>
            <w:shd w:val="clear" w:color="auto" w:fill="auto"/>
            <w:noWrap/>
            <w:vAlign w:val="center"/>
            <w:hideMark/>
          </w:tcPr>
          <w:p w14:paraId="102012A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1 009 </w:t>
            </w:r>
          </w:p>
        </w:tc>
        <w:tc>
          <w:tcPr>
            <w:tcW w:w="1180" w:type="dxa"/>
            <w:tcBorders>
              <w:top w:val="nil"/>
              <w:left w:val="nil"/>
              <w:bottom w:val="single" w:sz="4" w:space="0" w:color="auto"/>
              <w:right w:val="single" w:sz="4" w:space="0" w:color="auto"/>
            </w:tcBorders>
            <w:shd w:val="clear" w:color="auto" w:fill="auto"/>
            <w:noWrap/>
            <w:vAlign w:val="center"/>
            <w:hideMark/>
          </w:tcPr>
          <w:p w14:paraId="3977AC91"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1 928 </w:t>
            </w:r>
          </w:p>
        </w:tc>
      </w:tr>
      <w:tr w:rsidR="00D8083E" w:rsidRPr="00A202B4" w14:paraId="31F3A66E"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1BD961D" w14:textId="77777777" w:rsidR="00D8083E" w:rsidRPr="00A202B4" w:rsidRDefault="00D8083E" w:rsidP="009A372A">
            <w:pPr>
              <w:jc w:val="left"/>
              <w:rPr>
                <w:sz w:val="18"/>
                <w:szCs w:val="18"/>
                <w:lang w:val="es-ES_tradnl" w:eastAsia="zh-CN"/>
              </w:rPr>
            </w:pPr>
            <w:r w:rsidRPr="00A202B4">
              <w:rPr>
                <w:sz w:val="18"/>
                <w:szCs w:val="18"/>
                <w:lang w:val="es-ES_tradnl" w:eastAsia="zh-CN"/>
              </w:rPr>
              <w:t>Granada</w:t>
            </w:r>
          </w:p>
        </w:tc>
        <w:tc>
          <w:tcPr>
            <w:tcW w:w="1180" w:type="dxa"/>
            <w:tcBorders>
              <w:top w:val="nil"/>
              <w:left w:val="nil"/>
              <w:bottom w:val="single" w:sz="4" w:space="0" w:color="auto"/>
              <w:right w:val="single" w:sz="4" w:space="0" w:color="auto"/>
            </w:tcBorders>
            <w:shd w:val="clear" w:color="auto" w:fill="auto"/>
            <w:vAlign w:val="center"/>
            <w:hideMark/>
          </w:tcPr>
          <w:p w14:paraId="4134AE20"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D08E86E"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79C97F87"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422E476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475B028"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4187F009"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B4490C4" w14:textId="77777777" w:rsidR="00D8083E" w:rsidRPr="00A202B4" w:rsidRDefault="00D8083E" w:rsidP="009A372A">
            <w:pPr>
              <w:jc w:val="left"/>
              <w:rPr>
                <w:sz w:val="18"/>
                <w:szCs w:val="18"/>
                <w:lang w:val="es-ES_tradnl" w:eastAsia="zh-CN"/>
              </w:rPr>
            </w:pPr>
            <w:r w:rsidRPr="00A202B4">
              <w:rPr>
                <w:sz w:val="18"/>
                <w:szCs w:val="18"/>
                <w:lang w:val="es-ES_tradnl" w:eastAsia="zh-CN"/>
              </w:rPr>
              <w:t>Grecia</w:t>
            </w:r>
          </w:p>
        </w:tc>
        <w:tc>
          <w:tcPr>
            <w:tcW w:w="1180" w:type="dxa"/>
            <w:tcBorders>
              <w:top w:val="nil"/>
              <w:left w:val="nil"/>
              <w:bottom w:val="single" w:sz="4" w:space="0" w:color="auto"/>
              <w:right w:val="single" w:sz="4" w:space="0" w:color="auto"/>
            </w:tcBorders>
            <w:shd w:val="clear" w:color="auto" w:fill="auto"/>
            <w:vAlign w:val="center"/>
            <w:hideMark/>
          </w:tcPr>
          <w:p w14:paraId="4072A1FE" w14:textId="77777777" w:rsidR="00D8083E" w:rsidRPr="00A202B4" w:rsidRDefault="00D8083E" w:rsidP="009A372A">
            <w:pPr>
              <w:jc w:val="right"/>
              <w:rPr>
                <w:sz w:val="18"/>
                <w:szCs w:val="18"/>
                <w:lang w:val="es-ES_tradnl" w:eastAsia="zh-CN"/>
              </w:rPr>
            </w:pPr>
            <w:r w:rsidRPr="00A202B4">
              <w:rPr>
                <w:sz w:val="18"/>
                <w:szCs w:val="18"/>
                <w:lang w:val="es-ES_tradnl" w:eastAsia="zh-CN"/>
              </w:rPr>
              <w:t>0,325</w:t>
            </w:r>
          </w:p>
        </w:tc>
        <w:tc>
          <w:tcPr>
            <w:tcW w:w="1180" w:type="dxa"/>
            <w:tcBorders>
              <w:top w:val="nil"/>
              <w:left w:val="nil"/>
              <w:bottom w:val="single" w:sz="4" w:space="0" w:color="auto"/>
              <w:right w:val="single" w:sz="4" w:space="0" w:color="auto"/>
            </w:tcBorders>
            <w:shd w:val="clear" w:color="auto" w:fill="auto"/>
            <w:noWrap/>
            <w:vAlign w:val="center"/>
            <w:hideMark/>
          </w:tcPr>
          <w:p w14:paraId="08BD719B" w14:textId="77777777" w:rsidR="00D8083E" w:rsidRPr="00A202B4" w:rsidRDefault="00D8083E" w:rsidP="009A372A">
            <w:pPr>
              <w:jc w:val="right"/>
              <w:rPr>
                <w:sz w:val="18"/>
                <w:szCs w:val="18"/>
                <w:lang w:val="es-ES_tradnl" w:eastAsia="zh-CN"/>
              </w:rPr>
            </w:pPr>
            <w:r w:rsidRPr="00A202B4">
              <w:rPr>
                <w:sz w:val="18"/>
                <w:szCs w:val="18"/>
                <w:lang w:val="es-ES_tradnl" w:eastAsia="zh-CN"/>
              </w:rPr>
              <w:t>0,459</w:t>
            </w:r>
          </w:p>
        </w:tc>
        <w:tc>
          <w:tcPr>
            <w:tcW w:w="1279" w:type="dxa"/>
            <w:tcBorders>
              <w:top w:val="nil"/>
              <w:left w:val="nil"/>
              <w:bottom w:val="single" w:sz="4" w:space="0" w:color="auto"/>
              <w:right w:val="single" w:sz="4" w:space="0" w:color="auto"/>
            </w:tcBorders>
            <w:shd w:val="clear" w:color="auto" w:fill="auto"/>
            <w:noWrap/>
            <w:vAlign w:val="center"/>
            <w:hideMark/>
          </w:tcPr>
          <w:p w14:paraId="66BC031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12 452 </w:t>
            </w:r>
          </w:p>
        </w:tc>
        <w:tc>
          <w:tcPr>
            <w:tcW w:w="1279" w:type="dxa"/>
            <w:tcBorders>
              <w:top w:val="nil"/>
              <w:left w:val="nil"/>
              <w:bottom w:val="single" w:sz="4" w:space="0" w:color="auto"/>
              <w:right w:val="single" w:sz="4" w:space="0" w:color="auto"/>
            </w:tcBorders>
            <w:shd w:val="clear" w:color="auto" w:fill="auto"/>
            <w:noWrap/>
            <w:vAlign w:val="center"/>
            <w:hideMark/>
          </w:tcPr>
          <w:p w14:paraId="55CFD456"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13 658 </w:t>
            </w:r>
          </w:p>
        </w:tc>
        <w:tc>
          <w:tcPr>
            <w:tcW w:w="1180" w:type="dxa"/>
            <w:tcBorders>
              <w:top w:val="nil"/>
              <w:left w:val="nil"/>
              <w:bottom w:val="single" w:sz="4" w:space="0" w:color="auto"/>
              <w:right w:val="single" w:sz="4" w:space="0" w:color="auto"/>
            </w:tcBorders>
            <w:shd w:val="clear" w:color="auto" w:fill="auto"/>
            <w:noWrap/>
            <w:vAlign w:val="center"/>
            <w:hideMark/>
          </w:tcPr>
          <w:p w14:paraId="2111C38E"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26 110 </w:t>
            </w:r>
          </w:p>
        </w:tc>
      </w:tr>
      <w:tr w:rsidR="00D8083E" w:rsidRPr="00A202B4" w14:paraId="046B49B4"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7104DC2" w14:textId="77777777" w:rsidR="00D8083E" w:rsidRPr="00A202B4" w:rsidRDefault="00D8083E" w:rsidP="009A372A">
            <w:pPr>
              <w:jc w:val="left"/>
              <w:rPr>
                <w:sz w:val="18"/>
                <w:szCs w:val="18"/>
                <w:lang w:val="es-ES_tradnl" w:eastAsia="zh-CN"/>
              </w:rPr>
            </w:pPr>
            <w:r w:rsidRPr="00A202B4">
              <w:rPr>
                <w:sz w:val="18"/>
                <w:szCs w:val="18"/>
                <w:lang w:val="es-ES_tradnl" w:eastAsia="zh-CN"/>
              </w:rPr>
              <w:t>Guatemala</w:t>
            </w:r>
          </w:p>
        </w:tc>
        <w:tc>
          <w:tcPr>
            <w:tcW w:w="1180" w:type="dxa"/>
            <w:tcBorders>
              <w:top w:val="nil"/>
              <w:left w:val="nil"/>
              <w:bottom w:val="single" w:sz="4" w:space="0" w:color="auto"/>
              <w:right w:val="single" w:sz="4" w:space="0" w:color="auto"/>
            </w:tcBorders>
            <w:shd w:val="clear" w:color="auto" w:fill="auto"/>
            <w:vAlign w:val="center"/>
            <w:hideMark/>
          </w:tcPr>
          <w:p w14:paraId="6783BFB3" w14:textId="77777777" w:rsidR="00D8083E" w:rsidRPr="00A202B4" w:rsidRDefault="00D8083E" w:rsidP="009A372A">
            <w:pPr>
              <w:jc w:val="right"/>
              <w:rPr>
                <w:sz w:val="18"/>
                <w:szCs w:val="18"/>
                <w:lang w:val="es-ES_tradnl" w:eastAsia="zh-CN"/>
              </w:rPr>
            </w:pPr>
            <w:r w:rsidRPr="00A202B4">
              <w:rPr>
                <w:sz w:val="18"/>
                <w:szCs w:val="18"/>
                <w:lang w:val="es-ES_tradnl" w:eastAsia="zh-CN"/>
              </w:rPr>
              <w:t>0,041</w:t>
            </w:r>
          </w:p>
        </w:tc>
        <w:tc>
          <w:tcPr>
            <w:tcW w:w="1180" w:type="dxa"/>
            <w:tcBorders>
              <w:top w:val="nil"/>
              <w:left w:val="nil"/>
              <w:bottom w:val="single" w:sz="4" w:space="0" w:color="auto"/>
              <w:right w:val="single" w:sz="4" w:space="0" w:color="auto"/>
            </w:tcBorders>
            <w:shd w:val="clear" w:color="auto" w:fill="auto"/>
            <w:noWrap/>
            <w:vAlign w:val="center"/>
            <w:hideMark/>
          </w:tcPr>
          <w:p w14:paraId="445E2705" w14:textId="77777777" w:rsidR="00D8083E" w:rsidRPr="00A202B4" w:rsidRDefault="00D8083E" w:rsidP="009A372A">
            <w:pPr>
              <w:jc w:val="right"/>
              <w:rPr>
                <w:sz w:val="18"/>
                <w:szCs w:val="18"/>
                <w:lang w:val="es-ES_tradnl" w:eastAsia="zh-CN"/>
              </w:rPr>
            </w:pPr>
            <w:r w:rsidRPr="00A202B4">
              <w:rPr>
                <w:sz w:val="18"/>
                <w:szCs w:val="18"/>
                <w:lang w:val="es-ES_tradnl" w:eastAsia="zh-CN"/>
              </w:rPr>
              <w:t>0,058</w:t>
            </w:r>
          </w:p>
        </w:tc>
        <w:tc>
          <w:tcPr>
            <w:tcW w:w="1279" w:type="dxa"/>
            <w:tcBorders>
              <w:top w:val="nil"/>
              <w:left w:val="nil"/>
              <w:bottom w:val="single" w:sz="4" w:space="0" w:color="auto"/>
              <w:right w:val="single" w:sz="4" w:space="0" w:color="auto"/>
            </w:tcBorders>
            <w:shd w:val="clear" w:color="auto" w:fill="auto"/>
            <w:noWrap/>
            <w:vAlign w:val="center"/>
            <w:hideMark/>
          </w:tcPr>
          <w:p w14:paraId="6B0BC15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1 571 </w:t>
            </w:r>
          </w:p>
        </w:tc>
        <w:tc>
          <w:tcPr>
            <w:tcW w:w="1279" w:type="dxa"/>
            <w:tcBorders>
              <w:top w:val="nil"/>
              <w:left w:val="nil"/>
              <w:bottom w:val="single" w:sz="4" w:space="0" w:color="auto"/>
              <w:right w:val="single" w:sz="4" w:space="0" w:color="auto"/>
            </w:tcBorders>
            <w:shd w:val="clear" w:color="auto" w:fill="auto"/>
            <w:noWrap/>
            <w:vAlign w:val="center"/>
            <w:hideMark/>
          </w:tcPr>
          <w:p w14:paraId="3D05B86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1 723 </w:t>
            </w:r>
          </w:p>
        </w:tc>
        <w:tc>
          <w:tcPr>
            <w:tcW w:w="1180" w:type="dxa"/>
            <w:tcBorders>
              <w:top w:val="nil"/>
              <w:left w:val="nil"/>
              <w:bottom w:val="single" w:sz="4" w:space="0" w:color="auto"/>
              <w:right w:val="single" w:sz="4" w:space="0" w:color="auto"/>
            </w:tcBorders>
            <w:shd w:val="clear" w:color="auto" w:fill="auto"/>
            <w:noWrap/>
            <w:vAlign w:val="center"/>
            <w:hideMark/>
          </w:tcPr>
          <w:p w14:paraId="1F7FC9BE"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3 294 </w:t>
            </w:r>
          </w:p>
        </w:tc>
      </w:tr>
      <w:tr w:rsidR="00D8083E" w:rsidRPr="00A202B4" w14:paraId="7E39E780"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2F74367" w14:textId="77777777" w:rsidR="00D8083E" w:rsidRPr="00A202B4" w:rsidRDefault="00D8083E" w:rsidP="009A372A">
            <w:pPr>
              <w:jc w:val="left"/>
              <w:rPr>
                <w:sz w:val="18"/>
                <w:szCs w:val="18"/>
                <w:lang w:val="es-ES_tradnl" w:eastAsia="zh-CN"/>
              </w:rPr>
            </w:pPr>
            <w:r w:rsidRPr="00A202B4">
              <w:rPr>
                <w:sz w:val="18"/>
                <w:szCs w:val="18"/>
                <w:lang w:val="es-ES_tradnl" w:eastAsia="zh-CN"/>
              </w:rPr>
              <w:t>Guinea</w:t>
            </w:r>
          </w:p>
        </w:tc>
        <w:tc>
          <w:tcPr>
            <w:tcW w:w="1180" w:type="dxa"/>
            <w:tcBorders>
              <w:top w:val="nil"/>
              <w:left w:val="nil"/>
              <w:bottom w:val="single" w:sz="4" w:space="0" w:color="auto"/>
              <w:right w:val="single" w:sz="4" w:space="0" w:color="auto"/>
            </w:tcBorders>
            <w:shd w:val="clear" w:color="auto" w:fill="auto"/>
            <w:vAlign w:val="center"/>
            <w:hideMark/>
          </w:tcPr>
          <w:p w14:paraId="02E18510" w14:textId="77777777" w:rsidR="00D8083E" w:rsidRPr="00A202B4" w:rsidRDefault="00D8083E" w:rsidP="009A372A">
            <w:pPr>
              <w:jc w:val="right"/>
              <w:rPr>
                <w:sz w:val="18"/>
                <w:szCs w:val="18"/>
                <w:lang w:val="es-ES_tradnl" w:eastAsia="zh-CN"/>
              </w:rPr>
            </w:pPr>
            <w:r w:rsidRPr="00A202B4">
              <w:rPr>
                <w:sz w:val="18"/>
                <w:szCs w:val="18"/>
                <w:lang w:val="es-ES_tradnl"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20BA6499" w14:textId="77777777" w:rsidR="00D8083E" w:rsidRPr="00A202B4" w:rsidRDefault="00D8083E" w:rsidP="009A372A">
            <w:pPr>
              <w:jc w:val="right"/>
              <w:rPr>
                <w:sz w:val="18"/>
                <w:szCs w:val="18"/>
                <w:lang w:val="es-ES_tradnl" w:eastAsia="zh-CN"/>
              </w:rPr>
            </w:pPr>
            <w:r w:rsidRPr="00A202B4">
              <w:rPr>
                <w:sz w:val="18"/>
                <w:szCs w:val="18"/>
                <w:lang w:val="es-ES_tradnl" w:eastAsia="zh-CN"/>
              </w:rPr>
              <w:t>0,004</w:t>
            </w:r>
          </w:p>
        </w:tc>
        <w:tc>
          <w:tcPr>
            <w:tcW w:w="1279" w:type="dxa"/>
            <w:tcBorders>
              <w:top w:val="nil"/>
              <w:left w:val="nil"/>
              <w:bottom w:val="single" w:sz="4" w:space="0" w:color="auto"/>
              <w:right w:val="single" w:sz="4" w:space="0" w:color="auto"/>
            </w:tcBorders>
            <w:shd w:val="clear" w:color="auto" w:fill="auto"/>
            <w:noWrap/>
            <w:vAlign w:val="center"/>
            <w:hideMark/>
          </w:tcPr>
          <w:p w14:paraId="29B1F46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115 </w:t>
            </w:r>
          </w:p>
        </w:tc>
        <w:tc>
          <w:tcPr>
            <w:tcW w:w="1279" w:type="dxa"/>
            <w:tcBorders>
              <w:top w:val="nil"/>
              <w:left w:val="nil"/>
              <w:bottom w:val="single" w:sz="4" w:space="0" w:color="auto"/>
              <w:right w:val="single" w:sz="4" w:space="0" w:color="auto"/>
            </w:tcBorders>
            <w:shd w:val="clear" w:color="auto" w:fill="auto"/>
            <w:noWrap/>
            <w:vAlign w:val="center"/>
            <w:hideMark/>
          </w:tcPr>
          <w:p w14:paraId="2AF94A4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38A3C7EF"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241 </w:t>
            </w:r>
          </w:p>
        </w:tc>
      </w:tr>
      <w:tr w:rsidR="00D8083E" w:rsidRPr="00A202B4" w14:paraId="045479CC"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E7304E0" w14:textId="77777777" w:rsidR="00D8083E" w:rsidRPr="00A202B4" w:rsidRDefault="00D8083E" w:rsidP="009A372A">
            <w:pPr>
              <w:jc w:val="left"/>
              <w:rPr>
                <w:sz w:val="18"/>
                <w:szCs w:val="18"/>
                <w:lang w:val="es-ES_tradnl" w:eastAsia="zh-CN"/>
              </w:rPr>
            </w:pPr>
            <w:r w:rsidRPr="00A202B4">
              <w:rPr>
                <w:sz w:val="18"/>
                <w:szCs w:val="18"/>
                <w:lang w:val="es-ES_tradnl" w:eastAsia="zh-CN"/>
              </w:rPr>
              <w:t>Guinea-Bissau</w:t>
            </w:r>
          </w:p>
        </w:tc>
        <w:tc>
          <w:tcPr>
            <w:tcW w:w="1180" w:type="dxa"/>
            <w:tcBorders>
              <w:top w:val="nil"/>
              <w:left w:val="nil"/>
              <w:bottom w:val="single" w:sz="4" w:space="0" w:color="auto"/>
              <w:right w:val="single" w:sz="4" w:space="0" w:color="auto"/>
            </w:tcBorders>
            <w:shd w:val="clear" w:color="auto" w:fill="auto"/>
            <w:vAlign w:val="center"/>
            <w:hideMark/>
          </w:tcPr>
          <w:p w14:paraId="6D8EC416"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9058179"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0344ADA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7CC6264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58B72006"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6B13B61A"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7D14500" w14:textId="77777777" w:rsidR="00D8083E" w:rsidRPr="00A202B4" w:rsidRDefault="00D8083E" w:rsidP="009A372A">
            <w:pPr>
              <w:jc w:val="left"/>
              <w:rPr>
                <w:sz w:val="18"/>
                <w:szCs w:val="18"/>
                <w:lang w:val="es-ES_tradnl" w:eastAsia="zh-CN"/>
              </w:rPr>
            </w:pPr>
            <w:r w:rsidRPr="00A202B4">
              <w:rPr>
                <w:sz w:val="18"/>
                <w:szCs w:val="18"/>
                <w:lang w:val="es-ES_tradnl" w:eastAsia="zh-CN"/>
              </w:rPr>
              <w:t>Guyana</w:t>
            </w:r>
          </w:p>
        </w:tc>
        <w:tc>
          <w:tcPr>
            <w:tcW w:w="1180" w:type="dxa"/>
            <w:tcBorders>
              <w:top w:val="nil"/>
              <w:left w:val="nil"/>
              <w:bottom w:val="single" w:sz="4" w:space="0" w:color="auto"/>
              <w:right w:val="single" w:sz="4" w:space="0" w:color="auto"/>
            </w:tcBorders>
            <w:shd w:val="clear" w:color="auto" w:fill="auto"/>
            <w:vAlign w:val="center"/>
            <w:hideMark/>
          </w:tcPr>
          <w:p w14:paraId="7250EC2F" w14:textId="77777777" w:rsidR="00D8083E" w:rsidRPr="00A202B4" w:rsidRDefault="00D8083E" w:rsidP="009A372A">
            <w:pPr>
              <w:jc w:val="right"/>
              <w:rPr>
                <w:sz w:val="18"/>
                <w:szCs w:val="18"/>
                <w:lang w:val="es-ES_tradnl" w:eastAsia="zh-CN"/>
              </w:rPr>
            </w:pPr>
            <w:r w:rsidRPr="00A202B4">
              <w:rPr>
                <w:sz w:val="18"/>
                <w:szCs w:val="18"/>
                <w:lang w:val="es-ES_tradnl"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2581C974" w14:textId="77777777" w:rsidR="00D8083E" w:rsidRPr="00A202B4" w:rsidRDefault="00D8083E" w:rsidP="009A372A">
            <w:pPr>
              <w:jc w:val="right"/>
              <w:rPr>
                <w:sz w:val="18"/>
                <w:szCs w:val="18"/>
                <w:lang w:val="es-ES_tradnl" w:eastAsia="zh-CN"/>
              </w:rPr>
            </w:pPr>
            <w:r w:rsidRPr="00A202B4">
              <w:rPr>
                <w:sz w:val="18"/>
                <w:szCs w:val="18"/>
                <w:lang w:val="es-ES_tradnl" w:eastAsia="zh-CN"/>
              </w:rPr>
              <w:t>0,006</w:t>
            </w:r>
          </w:p>
        </w:tc>
        <w:tc>
          <w:tcPr>
            <w:tcW w:w="1279" w:type="dxa"/>
            <w:tcBorders>
              <w:top w:val="nil"/>
              <w:left w:val="nil"/>
              <w:bottom w:val="single" w:sz="4" w:space="0" w:color="auto"/>
              <w:right w:val="single" w:sz="4" w:space="0" w:color="auto"/>
            </w:tcBorders>
            <w:shd w:val="clear" w:color="auto" w:fill="auto"/>
            <w:noWrap/>
            <w:vAlign w:val="center"/>
            <w:hideMark/>
          </w:tcPr>
          <w:p w14:paraId="7F1A1CB6"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153 </w:t>
            </w:r>
          </w:p>
        </w:tc>
        <w:tc>
          <w:tcPr>
            <w:tcW w:w="1279" w:type="dxa"/>
            <w:tcBorders>
              <w:top w:val="nil"/>
              <w:left w:val="nil"/>
              <w:bottom w:val="single" w:sz="4" w:space="0" w:color="auto"/>
              <w:right w:val="single" w:sz="4" w:space="0" w:color="auto"/>
            </w:tcBorders>
            <w:shd w:val="clear" w:color="auto" w:fill="auto"/>
            <w:noWrap/>
            <w:vAlign w:val="center"/>
            <w:hideMark/>
          </w:tcPr>
          <w:p w14:paraId="27CC6D7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688FAE04"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321 </w:t>
            </w:r>
          </w:p>
        </w:tc>
      </w:tr>
      <w:tr w:rsidR="00D8083E" w:rsidRPr="00A202B4" w14:paraId="4ECAD1AF"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E3DFDCD" w14:textId="77777777" w:rsidR="00D8083E" w:rsidRPr="00A202B4" w:rsidRDefault="00D8083E" w:rsidP="009A372A">
            <w:pPr>
              <w:jc w:val="left"/>
              <w:rPr>
                <w:sz w:val="18"/>
                <w:szCs w:val="18"/>
                <w:lang w:val="es-ES_tradnl" w:eastAsia="zh-CN"/>
              </w:rPr>
            </w:pPr>
            <w:r w:rsidRPr="00A202B4">
              <w:rPr>
                <w:sz w:val="18"/>
                <w:szCs w:val="18"/>
                <w:lang w:val="es-ES_tradnl" w:eastAsia="zh-CN"/>
              </w:rPr>
              <w:t>Honduras</w:t>
            </w:r>
          </w:p>
        </w:tc>
        <w:tc>
          <w:tcPr>
            <w:tcW w:w="1180" w:type="dxa"/>
            <w:tcBorders>
              <w:top w:val="nil"/>
              <w:left w:val="nil"/>
              <w:bottom w:val="single" w:sz="4" w:space="0" w:color="auto"/>
              <w:right w:val="single" w:sz="4" w:space="0" w:color="auto"/>
            </w:tcBorders>
            <w:shd w:val="clear" w:color="auto" w:fill="auto"/>
            <w:vAlign w:val="center"/>
            <w:hideMark/>
          </w:tcPr>
          <w:p w14:paraId="5B3E9323" w14:textId="77777777" w:rsidR="00D8083E" w:rsidRPr="00A202B4" w:rsidRDefault="00D8083E" w:rsidP="009A372A">
            <w:pPr>
              <w:jc w:val="right"/>
              <w:rPr>
                <w:sz w:val="18"/>
                <w:szCs w:val="18"/>
                <w:lang w:val="es-ES_tradnl" w:eastAsia="zh-CN"/>
              </w:rPr>
            </w:pPr>
            <w:r w:rsidRPr="00A202B4">
              <w:rPr>
                <w:sz w:val="18"/>
                <w:szCs w:val="18"/>
                <w:lang w:val="es-ES_tradnl"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0A9F94B0" w14:textId="77777777" w:rsidR="00D8083E" w:rsidRPr="00A202B4" w:rsidRDefault="00D8083E" w:rsidP="009A372A">
            <w:pPr>
              <w:jc w:val="right"/>
              <w:rPr>
                <w:sz w:val="18"/>
                <w:szCs w:val="18"/>
                <w:lang w:val="es-ES_tradnl" w:eastAsia="zh-CN"/>
              </w:rPr>
            </w:pPr>
            <w:r w:rsidRPr="00A202B4">
              <w:rPr>
                <w:sz w:val="18"/>
                <w:szCs w:val="18"/>
                <w:lang w:val="es-ES_tradnl" w:eastAsia="zh-CN"/>
              </w:rPr>
              <w:t>0,013</w:t>
            </w:r>
          </w:p>
        </w:tc>
        <w:tc>
          <w:tcPr>
            <w:tcW w:w="1279" w:type="dxa"/>
            <w:tcBorders>
              <w:top w:val="nil"/>
              <w:left w:val="nil"/>
              <w:bottom w:val="single" w:sz="4" w:space="0" w:color="auto"/>
              <w:right w:val="single" w:sz="4" w:space="0" w:color="auto"/>
            </w:tcBorders>
            <w:shd w:val="clear" w:color="auto" w:fill="auto"/>
            <w:noWrap/>
            <w:vAlign w:val="center"/>
            <w:hideMark/>
          </w:tcPr>
          <w:p w14:paraId="2717D7C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345 </w:t>
            </w:r>
          </w:p>
        </w:tc>
        <w:tc>
          <w:tcPr>
            <w:tcW w:w="1279" w:type="dxa"/>
            <w:tcBorders>
              <w:top w:val="nil"/>
              <w:left w:val="nil"/>
              <w:bottom w:val="single" w:sz="4" w:space="0" w:color="auto"/>
              <w:right w:val="single" w:sz="4" w:space="0" w:color="auto"/>
            </w:tcBorders>
            <w:shd w:val="clear" w:color="auto" w:fill="auto"/>
            <w:noWrap/>
            <w:vAlign w:val="center"/>
            <w:hideMark/>
          </w:tcPr>
          <w:p w14:paraId="58BE2E88"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378 </w:t>
            </w:r>
          </w:p>
        </w:tc>
        <w:tc>
          <w:tcPr>
            <w:tcW w:w="1180" w:type="dxa"/>
            <w:tcBorders>
              <w:top w:val="nil"/>
              <w:left w:val="nil"/>
              <w:bottom w:val="single" w:sz="4" w:space="0" w:color="auto"/>
              <w:right w:val="single" w:sz="4" w:space="0" w:color="auto"/>
            </w:tcBorders>
            <w:shd w:val="clear" w:color="auto" w:fill="auto"/>
            <w:noWrap/>
            <w:vAlign w:val="center"/>
            <w:hideMark/>
          </w:tcPr>
          <w:p w14:paraId="130C028F"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723 </w:t>
            </w:r>
          </w:p>
        </w:tc>
      </w:tr>
      <w:tr w:rsidR="00D8083E" w:rsidRPr="00A202B4" w14:paraId="77D50057"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5DB0715" w14:textId="77777777" w:rsidR="00D8083E" w:rsidRPr="00A202B4" w:rsidRDefault="00D8083E" w:rsidP="009A372A">
            <w:pPr>
              <w:jc w:val="left"/>
              <w:rPr>
                <w:sz w:val="18"/>
                <w:szCs w:val="18"/>
                <w:lang w:val="es-ES_tradnl" w:eastAsia="zh-CN"/>
              </w:rPr>
            </w:pPr>
            <w:r w:rsidRPr="00A202B4">
              <w:rPr>
                <w:sz w:val="18"/>
                <w:szCs w:val="18"/>
                <w:lang w:val="es-ES_tradnl" w:eastAsia="zh-CN"/>
              </w:rPr>
              <w:t>Hungría</w:t>
            </w:r>
          </w:p>
        </w:tc>
        <w:tc>
          <w:tcPr>
            <w:tcW w:w="1180" w:type="dxa"/>
            <w:tcBorders>
              <w:top w:val="nil"/>
              <w:left w:val="nil"/>
              <w:bottom w:val="single" w:sz="4" w:space="0" w:color="auto"/>
              <w:right w:val="single" w:sz="4" w:space="0" w:color="auto"/>
            </w:tcBorders>
            <w:shd w:val="clear" w:color="auto" w:fill="auto"/>
            <w:vAlign w:val="center"/>
            <w:hideMark/>
          </w:tcPr>
          <w:p w14:paraId="4EAB88AB" w14:textId="77777777" w:rsidR="00D8083E" w:rsidRPr="00A202B4" w:rsidRDefault="00D8083E" w:rsidP="009A372A">
            <w:pPr>
              <w:jc w:val="right"/>
              <w:rPr>
                <w:sz w:val="18"/>
                <w:szCs w:val="18"/>
                <w:lang w:val="es-ES_tradnl" w:eastAsia="zh-CN"/>
              </w:rPr>
            </w:pPr>
            <w:r w:rsidRPr="00A202B4">
              <w:rPr>
                <w:sz w:val="18"/>
                <w:szCs w:val="18"/>
                <w:lang w:val="es-ES_tradnl" w:eastAsia="zh-CN"/>
              </w:rPr>
              <w:t>0,228</w:t>
            </w:r>
          </w:p>
        </w:tc>
        <w:tc>
          <w:tcPr>
            <w:tcW w:w="1180" w:type="dxa"/>
            <w:tcBorders>
              <w:top w:val="nil"/>
              <w:left w:val="nil"/>
              <w:bottom w:val="single" w:sz="4" w:space="0" w:color="auto"/>
              <w:right w:val="single" w:sz="4" w:space="0" w:color="auto"/>
            </w:tcBorders>
            <w:shd w:val="clear" w:color="auto" w:fill="auto"/>
            <w:noWrap/>
            <w:vAlign w:val="center"/>
            <w:hideMark/>
          </w:tcPr>
          <w:p w14:paraId="25A6F25F" w14:textId="77777777" w:rsidR="00D8083E" w:rsidRPr="00A202B4" w:rsidRDefault="00D8083E" w:rsidP="009A372A">
            <w:pPr>
              <w:jc w:val="right"/>
              <w:rPr>
                <w:sz w:val="18"/>
                <w:szCs w:val="18"/>
                <w:lang w:val="es-ES_tradnl" w:eastAsia="zh-CN"/>
              </w:rPr>
            </w:pPr>
            <w:r w:rsidRPr="00A202B4">
              <w:rPr>
                <w:sz w:val="18"/>
                <w:szCs w:val="18"/>
                <w:lang w:val="es-ES_tradnl" w:eastAsia="zh-CN"/>
              </w:rPr>
              <w:t>0,322</w:t>
            </w:r>
          </w:p>
        </w:tc>
        <w:tc>
          <w:tcPr>
            <w:tcW w:w="1279" w:type="dxa"/>
            <w:tcBorders>
              <w:top w:val="nil"/>
              <w:left w:val="nil"/>
              <w:bottom w:val="single" w:sz="4" w:space="0" w:color="auto"/>
              <w:right w:val="single" w:sz="4" w:space="0" w:color="auto"/>
            </w:tcBorders>
            <w:shd w:val="clear" w:color="auto" w:fill="auto"/>
            <w:noWrap/>
            <w:vAlign w:val="center"/>
            <w:hideMark/>
          </w:tcPr>
          <w:p w14:paraId="10ACEFB8"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8 736 </w:t>
            </w:r>
          </w:p>
        </w:tc>
        <w:tc>
          <w:tcPr>
            <w:tcW w:w="1279" w:type="dxa"/>
            <w:tcBorders>
              <w:top w:val="nil"/>
              <w:left w:val="nil"/>
              <w:bottom w:val="single" w:sz="4" w:space="0" w:color="auto"/>
              <w:right w:val="single" w:sz="4" w:space="0" w:color="auto"/>
            </w:tcBorders>
            <w:shd w:val="clear" w:color="auto" w:fill="auto"/>
            <w:noWrap/>
            <w:vAlign w:val="center"/>
            <w:hideMark/>
          </w:tcPr>
          <w:p w14:paraId="55752B1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9 581 </w:t>
            </w:r>
          </w:p>
        </w:tc>
        <w:tc>
          <w:tcPr>
            <w:tcW w:w="1180" w:type="dxa"/>
            <w:tcBorders>
              <w:top w:val="nil"/>
              <w:left w:val="nil"/>
              <w:bottom w:val="single" w:sz="4" w:space="0" w:color="auto"/>
              <w:right w:val="single" w:sz="4" w:space="0" w:color="auto"/>
            </w:tcBorders>
            <w:shd w:val="clear" w:color="auto" w:fill="auto"/>
            <w:noWrap/>
            <w:vAlign w:val="center"/>
            <w:hideMark/>
          </w:tcPr>
          <w:p w14:paraId="0B0271D0"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18 317 </w:t>
            </w:r>
          </w:p>
        </w:tc>
      </w:tr>
      <w:tr w:rsidR="00D8083E" w:rsidRPr="00A202B4" w14:paraId="403CF14B"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17B0A42" w14:textId="77777777" w:rsidR="00D8083E" w:rsidRPr="00A202B4" w:rsidRDefault="00D8083E" w:rsidP="009A372A">
            <w:pPr>
              <w:jc w:val="left"/>
              <w:rPr>
                <w:sz w:val="18"/>
                <w:szCs w:val="18"/>
                <w:lang w:val="es-ES_tradnl" w:eastAsia="zh-CN"/>
              </w:rPr>
            </w:pPr>
            <w:r w:rsidRPr="00A202B4">
              <w:rPr>
                <w:sz w:val="18"/>
                <w:szCs w:val="18"/>
                <w:lang w:val="es-ES_tradnl" w:eastAsia="zh-CN"/>
              </w:rPr>
              <w:t>India</w:t>
            </w:r>
          </w:p>
        </w:tc>
        <w:tc>
          <w:tcPr>
            <w:tcW w:w="1180" w:type="dxa"/>
            <w:tcBorders>
              <w:top w:val="nil"/>
              <w:left w:val="nil"/>
              <w:bottom w:val="single" w:sz="4" w:space="0" w:color="auto"/>
              <w:right w:val="single" w:sz="4" w:space="0" w:color="auto"/>
            </w:tcBorders>
            <w:shd w:val="clear" w:color="auto" w:fill="auto"/>
            <w:vAlign w:val="center"/>
            <w:hideMark/>
          </w:tcPr>
          <w:p w14:paraId="28455B2C" w14:textId="77777777" w:rsidR="00D8083E" w:rsidRPr="00A202B4" w:rsidRDefault="00D8083E" w:rsidP="009A372A">
            <w:pPr>
              <w:jc w:val="right"/>
              <w:rPr>
                <w:sz w:val="18"/>
                <w:szCs w:val="18"/>
                <w:lang w:val="es-ES_tradnl" w:eastAsia="zh-CN"/>
              </w:rPr>
            </w:pPr>
            <w:r w:rsidRPr="00A202B4">
              <w:rPr>
                <w:sz w:val="18"/>
                <w:szCs w:val="18"/>
                <w:lang w:val="es-ES_tradnl" w:eastAsia="zh-CN"/>
              </w:rPr>
              <w:t>1,044</w:t>
            </w:r>
          </w:p>
        </w:tc>
        <w:tc>
          <w:tcPr>
            <w:tcW w:w="1180" w:type="dxa"/>
            <w:tcBorders>
              <w:top w:val="nil"/>
              <w:left w:val="nil"/>
              <w:bottom w:val="single" w:sz="4" w:space="0" w:color="auto"/>
              <w:right w:val="single" w:sz="4" w:space="0" w:color="auto"/>
            </w:tcBorders>
            <w:shd w:val="clear" w:color="auto" w:fill="auto"/>
            <w:noWrap/>
            <w:vAlign w:val="center"/>
            <w:hideMark/>
          </w:tcPr>
          <w:p w14:paraId="07C76E9F" w14:textId="77777777" w:rsidR="00D8083E" w:rsidRPr="00A202B4" w:rsidRDefault="00D8083E" w:rsidP="009A372A">
            <w:pPr>
              <w:jc w:val="right"/>
              <w:rPr>
                <w:sz w:val="18"/>
                <w:szCs w:val="18"/>
                <w:lang w:val="es-ES_tradnl" w:eastAsia="zh-CN"/>
              </w:rPr>
            </w:pPr>
            <w:r w:rsidRPr="00A202B4">
              <w:rPr>
                <w:sz w:val="18"/>
                <w:szCs w:val="18"/>
                <w:lang w:val="es-ES_tradnl" w:eastAsia="zh-CN"/>
              </w:rPr>
              <w:t>1,474</w:t>
            </w:r>
          </w:p>
        </w:tc>
        <w:tc>
          <w:tcPr>
            <w:tcW w:w="1279" w:type="dxa"/>
            <w:tcBorders>
              <w:top w:val="nil"/>
              <w:left w:val="nil"/>
              <w:bottom w:val="single" w:sz="4" w:space="0" w:color="auto"/>
              <w:right w:val="single" w:sz="4" w:space="0" w:color="auto"/>
            </w:tcBorders>
            <w:shd w:val="clear" w:color="auto" w:fill="auto"/>
            <w:noWrap/>
            <w:vAlign w:val="center"/>
            <w:hideMark/>
          </w:tcPr>
          <w:p w14:paraId="08EB6FC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40 000 </w:t>
            </w:r>
          </w:p>
        </w:tc>
        <w:tc>
          <w:tcPr>
            <w:tcW w:w="1279" w:type="dxa"/>
            <w:tcBorders>
              <w:top w:val="nil"/>
              <w:left w:val="nil"/>
              <w:bottom w:val="single" w:sz="4" w:space="0" w:color="auto"/>
              <w:right w:val="single" w:sz="4" w:space="0" w:color="auto"/>
            </w:tcBorders>
            <w:shd w:val="clear" w:color="auto" w:fill="auto"/>
            <w:noWrap/>
            <w:vAlign w:val="center"/>
            <w:hideMark/>
          </w:tcPr>
          <w:p w14:paraId="4B2AF61C"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43 873 </w:t>
            </w:r>
          </w:p>
        </w:tc>
        <w:tc>
          <w:tcPr>
            <w:tcW w:w="1180" w:type="dxa"/>
            <w:tcBorders>
              <w:top w:val="nil"/>
              <w:left w:val="nil"/>
              <w:bottom w:val="single" w:sz="4" w:space="0" w:color="auto"/>
              <w:right w:val="single" w:sz="4" w:space="0" w:color="auto"/>
            </w:tcBorders>
            <w:shd w:val="clear" w:color="auto" w:fill="auto"/>
            <w:noWrap/>
            <w:vAlign w:val="center"/>
            <w:hideMark/>
          </w:tcPr>
          <w:p w14:paraId="4A307673"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83 872 </w:t>
            </w:r>
          </w:p>
        </w:tc>
      </w:tr>
      <w:tr w:rsidR="00D8083E" w:rsidRPr="00A202B4" w14:paraId="04EC21CA"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D01AA13" w14:textId="77777777" w:rsidR="00D8083E" w:rsidRPr="00A202B4" w:rsidRDefault="00D8083E" w:rsidP="009A372A">
            <w:pPr>
              <w:jc w:val="left"/>
              <w:rPr>
                <w:sz w:val="18"/>
                <w:szCs w:val="18"/>
                <w:lang w:val="es-ES_tradnl" w:eastAsia="zh-CN"/>
              </w:rPr>
            </w:pPr>
            <w:r w:rsidRPr="00A202B4">
              <w:rPr>
                <w:sz w:val="18"/>
                <w:szCs w:val="18"/>
                <w:lang w:val="es-ES_tradnl" w:eastAsia="zh-CN"/>
              </w:rPr>
              <w:t>Indonesia</w:t>
            </w:r>
          </w:p>
        </w:tc>
        <w:tc>
          <w:tcPr>
            <w:tcW w:w="1180" w:type="dxa"/>
            <w:tcBorders>
              <w:top w:val="nil"/>
              <w:left w:val="nil"/>
              <w:bottom w:val="single" w:sz="4" w:space="0" w:color="auto"/>
              <w:right w:val="single" w:sz="4" w:space="0" w:color="auto"/>
            </w:tcBorders>
            <w:shd w:val="clear" w:color="auto" w:fill="auto"/>
            <w:vAlign w:val="center"/>
            <w:hideMark/>
          </w:tcPr>
          <w:p w14:paraId="43E6A751" w14:textId="77777777" w:rsidR="00D8083E" w:rsidRPr="00A202B4" w:rsidRDefault="00D8083E" w:rsidP="009A372A">
            <w:pPr>
              <w:jc w:val="right"/>
              <w:rPr>
                <w:sz w:val="18"/>
                <w:szCs w:val="18"/>
                <w:lang w:val="es-ES_tradnl" w:eastAsia="zh-CN"/>
              </w:rPr>
            </w:pPr>
            <w:r w:rsidRPr="00A202B4">
              <w:rPr>
                <w:sz w:val="18"/>
                <w:szCs w:val="18"/>
                <w:lang w:val="es-ES_tradnl" w:eastAsia="zh-CN"/>
              </w:rPr>
              <w:t>0,549</w:t>
            </w:r>
          </w:p>
        </w:tc>
        <w:tc>
          <w:tcPr>
            <w:tcW w:w="1180" w:type="dxa"/>
            <w:tcBorders>
              <w:top w:val="nil"/>
              <w:left w:val="nil"/>
              <w:bottom w:val="single" w:sz="4" w:space="0" w:color="auto"/>
              <w:right w:val="single" w:sz="4" w:space="0" w:color="auto"/>
            </w:tcBorders>
            <w:shd w:val="clear" w:color="auto" w:fill="auto"/>
            <w:noWrap/>
            <w:vAlign w:val="center"/>
            <w:hideMark/>
          </w:tcPr>
          <w:p w14:paraId="02ADB78E" w14:textId="77777777" w:rsidR="00D8083E" w:rsidRPr="00A202B4" w:rsidRDefault="00D8083E" w:rsidP="009A372A">
            <w:pPr>
              <w:jc w:val="right"/>
              <w:rPr>
                <w:sz w:val="18"/>
                <w:szCs w:val="18"/>
                <w:lang w:val="es-ES_tradnl" w:eastAsia="zh-CN"/>
              </w:rPr>
            </w:pPr>
            <w:r w:rsidRPr="00A202B4">
              <w:rPr>
                <w:sz w:val="18"/>
                <w:szCs w:val="18"/>
                <w:lang w:val="es-ES_tradnl" w:eastAsia="zh-CN"/>
              </w:rPr>
              <w:t>0,775</w:t>
            </w:r>
          </w:p>
        </w:tc>
        <w:tc>
          <w:tcPr>
            <w:tcW w:w="1279" w:type="dxa"/>
            <w:tcBorders>
              <w:top w:val="nil"/>
              <w:left w:val="nil"/>
              <w:bottom w:val="single" w:sz="4" w:space="0" w:color="auto"/>
              <w:right w:val="single" w:sz="4" w:space="0" w:color="auto"/>
            </w:tcBorders>
            <w:shd w:val="clear" w:color="auto" w:fill="auto"/>
            <w:noWrap/>
            <w:vAlign w:val="center"/>
            <w:hideMark/>
          </w:tcPr>
          <w:p w14:paraId="5D676FFE"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21 034 </w:t>
            </w:r>
          </w:p>
        </w:tc>
        <w:tc>
          <w:tcPr>
            <w:tcW w:w="1279" w:type="dxa"/>
            <w:tcBorders>
              <w:top w:val="nil"/>
              <w:left w:val="nil"/>
              <w:bottom w:val="single" w:sz="4" w:space="0" w:color="auto"/>
              <w:right w:val="single" w:sz="4" w:space="0" w:color="auto"/>
            </w:tcBorders>
            <w:shd w:val="clear" w:color="auto" w:fill="auto"/>
            <w:noWrap/>
            <w:vAlign w:val="center"/>
            <w:hideMark/>
          </w:tcPr>
          <w:p w14:paraId="64403FF6"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23 071 </w:t>
            </w:r>
          </w:p>
        </w:tc>
        <w:tc>
          <w:tcPr>
            <w:tcW w:w="1180" w:type="dxa"/>
            <w:tcBorders>
              <w:top w:val="nil"/>
              <w:left w:val="nil"/>
              <w:bottom w:val="single" w:sz="4" w:space="0" w:color="auto"/>
              <w:right w:val="single" w:sz="4" w:space="0" w:color="auto"/>
            </w:tcBorders>
            <w:shd w:val="clear" w:color="auto" w:fill="auto"/>
            <w:noWrap/>
            <w:vAlign w:val="center"/>
            <w:hideMark/>
          </w:tcPr>
          <w:p w14:paraId="0FE2A54D"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44 105 </w:t>
            </w:r>
          </w:p>
        </w:tc>
      </w:tr>
      <w:tr w:rsidR="00D8083E" w:rsidRPr="00A202B4" w14:paraId="1759259E"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1D8F94D" w14:textId="77777777" w:rsidR="00D8083E" w:rsidRPr="00A202B4" w:rsidRDefault="00D8083E" w:rsidP="009A372A">
            <w:pPr>
              <w:jc w:val="left"/>
              <w:rPr>
                <w:sz w:val="18"/>
                <w:szCs w:val="18"/>
                <w:lang w:val="es-ES_tradnl" w:eastAsia="zh-CN"/>
              </w:rPr>
            </w:pPr>
            <w:r w:rsidRPr="00A202B4">
              <w:rPr>
                <w:sz w:val="18"/>
                <w:szCs w:val="18"/>
                <w:lang w:val="es-ES_tradnl" w:eastAsia="zh-CN"/>
              </w:rPr>
              <w:t>Irán (República Islámica del)</w:t>
            </w:r>
          </w:p>
        </w:tc>
        <w:tc>
          <w:tcPr>
            <w:tcW w:w="1180" w:type="dxa"/>
            <w:tcBorders>
              <w:top w:val="nil"/>
              <w:left w:val="nil"/>
              <w:bottom w:val="single" w:sz="4" w:space="0" w:color="auto"/>
              <w:right w:val="single" w:sz="4" w:space="0" w:color="auto"/>
            </w:tcBorders>
            <w:shd w:val="clear" w:color="auto" w:fill="auto"/>
            <w:vAlign w:val="center"/>
            <w:hideMark/>
          </w:tcPr>
          <w:p w14:paraId="2BE104A5" w14:textId="77777777" w:rsidR="00D8083E" w:rsidRPr="00A202B4" w:rsidRDefault="00D8083E" w:rsidP="009A372A">
            <w:pPr>
              <w:jc w:val="right"/>
              <w:rPr>
                <w:sz w:val="18"/>
                <w:szCs w:val="18"/>
                <w:lang w:val="es-ES_tradnl" w:eastAsia="zh-CN"/>
              </w:rPr>
            </w:pPr>
            <w:r w:rsidRPr="00A202B4">
              <w:rPr>
                <w:sz w:val="18"/>
                <w:szCs w:val="18"/>
                <w:lang w:val="es-ES_tradnl" w:eastAsia="zh-CN"/>
              </w:rPr>
              <w:t>0,371</w:t>
            </w:r>
          </w:p>
        </w:tc>
        <w:tc>
          <w:tcPr>
            <w:tcW w:w="1180" w:type="dxa"/>
            <w:tcBorders>
              <w:top w:val="nil"/>
              <w:left w:val="nil"/>
              <w:bottom w:val="single" w:sz="4" w:space="0" w:color="auto"/>
              <w:right w:val="single" w:sz="4" w:space="0" w:color="auto"/>
            </w:tcBorders>
            <w:shd w:val="clear" w:color="auto" w:fill="auto"/>
            <w:noWrap/>
            <w:vAlign w:val="center"/>
            <w:hideMark/>
          </w:tcPr>
          <w:p w14:paraId="727C0993" w14:textId="77777777" w:rsidR="00D8083E" w:rsidRPr="00A202B4" w:rsidRDefault="00D8083E" w:rsidP="009A372A">
            <w:pPr>
              <w:jc w:val="right"/>
              <w:rPr>
                <w:sz w:val="18"/>
                <w:szCs w:val="18"/>
                <w:lang w:val="es-ES_tradnl" w:eastAsia="zh-CN"/>
              </w:rPr>
            </w:pPr>
            <w:r w:rsidRPr="00A202B4">
              <w:rPr>
                <w:sz w:val="18"/>
                <w:szCs w:val="18"/>
                <w:lang w:val="es-ES_tradnl" w:eastAsia="zh-CN"/>
              </w:rPr>
              <w:t>0,524</w:t>
            </w:r>
          </w:p>
        </w:tc>
        <w:tc>
          <w:tcPr>
            <w:tcW w:w="1279" w:type="dxa"/>
            <w:tcBorders>
              <w:top w:val="nil"/>
              <w:left w:val="nil"/>
              <w:bottom w:val="single" w:sz="4" w:space="0" w:color="auto"/>
              <w:right w:val="single" w:sz="4" w:space="0" w:color="auto"/>
            </w:tcBorders>
            <w:shd w:val="clear" w:color="auto" w:fill="auto"/>
            <w:noWrap/>
            <w:vAlign w:val="center"/>
            <w:hideMark/>
          </w:tcPr>
          <w:p w14:paraId="1B88523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14 214 </w:t>
            </w:r>
          </w:p>
        </w:tc>
        <w:tc>
          <w:tcPr>
            <w:tcW w:w="1279" w:type="dxa"/>
            <w:tcBorders>
              <w:top w:val="nil"/>
              <w:left w:val="nil"/>
              <w:bottom w:val="single" w:sz="4" w:space="0" w:color="auto"/>
              <w:right w:val="single" w:sz="4" w:space="0" w:color="auto"/>
            </w:tcBorders>
            <w:shd w:val="clear" w:color="auto" w:fill="auto"/>
            <w:noWrap/>
            <w:vAlign w:val="center"/>
            <w:hideMark/>
          </w:tcPr>
          <w:p w14:paraId="57C73E6E"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15 591 </w:t>
            </w:r>
          </w:p>
        </w:tc>
        <w:tc>
          <w:tcPr>
            <w:tcW w:w="1180" w:type="dxa"/>
            <w:tcBorders>
              <w:top w:val="nil"/>
              <w:left w:val="nil"/>
              <w:bottom w:val="single" w:sz="4" w:space="0" w:color="auto"/>
              <w:right w:val="single" w:sz="4" w:space="0" w:color="auto"/>
            </w:tcBorders>
            <w:shd w:val="clear" w:color="auto" w:fill="auto"/>
            <w:noWrap/>
            <w:vAlign w:val="center"/>
            <w:hideMark/>
          </w:tcPr>
          <w:p w14:paraId="11B2E71E"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29 805 </w:t>
            </w:r>
          </w:p>
        </w:tc>
      </w:tr>
      <w:tr w:rsidR="00D8083E" w:rsidRPr="00A202B4" w14:paraId="150C83D3"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204EF52" w14:textId="77777777" w:rsidR="00D8083E" w:rsidRPr="00A202B4" w:rsidRDefault="00D8083E" w:rsidP="009A372A">
            <w:pPr>
              <w:jc w:val="left"/>
              <w:rPr>
                <w:sz w:val="18"/>
                <w:szCs w:val="18"/>
                <w:lang w:val="es-ES_tradnl" w:eastAsia="zh-CN"/>
              </w:rPr>
            </w:pPr>
            <w:r w:rsidRPr="00A202B4">
              <w:rPr>
                <w:sz w:val="18"/>
                <w:szCs w:val="18"/>
                <w:lang w:val="es-ES_tradnl" w:eastAsia="zh-CN"/>
              </w:rPr>
              <w:t>Iraq</w:t>
            </w:r>
          </w:p>
        </w:tc>
        <w:tc>
          <w:tcPr>
            <w:tcW w:w="1180" w:type="dxa"/>
            <w:tcBorders>
              <w:top w:val="nil"/>
              <w:left w:val="nil"/>
              <w:bottom w:val="single" w:sz="4" w:space="0" w:color="auto"/>
              <w:right w:val="single" w:sz="4" w:space="0" w:color="auto"/>
            </w:tcBorders>
            <w:shd w:val="clear" w:color="auto" w:fill="auto"/>
            <w:vAlign w:val="center"/>
            <w:hideMark/>
          </w:tcPr>
          <w:p w14:paraId="225DFD39" w14:textId="77777777" w:rsidR="00D8083E" w:rsidRPr="00A202B4" w:rsidRDefault="00D8083E" w:rsidP="009A372A">
            <w:pPr>
              <w:jc w:val="right"/>
              <w:rPr>
                <w:sz w:val="18"/>
                <w:szCs w:val="18"/>
                <w:lang w:val="es-ES_tradnl" w:eastAsia="zh-CN"/>
              </w:rPr>
            </w:pPr>
            <w:r w:rsidRPr="00A202B4">
              <w:rPr>
                <w:sz w:val="18"/>
                <w:szCs w:val="18"/>
                <w:lang w:val="es-ES_tradnl" w:eastAsia="zh-CN"/>
              </w:rPr>
              <w:t>0,128</w:t>
            </w:r>
          </w:p>
        </w:tc>
        <w:tc>
          <w:tcPr>
            <w:tcW w:w="1180" w:type="dxa"/>
            <w:tcBorders>
              <w:top w:val="nil"/>
              <w:left w:val="nil"/>
              <w:bottom w:val="single" w:sz="4" w:space="0" w:color="auto"/>
              <w:right w:val="single" w:sz="4" w:space="0" w:color="auto"/>
            </w:tcBorders>
            <w:shd w:val="clear" w:color="auto" w:fill="auto"/>
            <w:noWrap/>
            <w:vAlign w:val="center"/>
            <w:hideMark/>
          </w:tcPr>
          <w:p w14:paraId="0AC844C8" w14:textId="77777777" w:rsidR="00D8083E" w:rsidRPr="00A202B4" w:rsidRDefault="00D8083E" w:rsidP="009A372A">
            <w:pPr>
              <w:jc w:val="right"/>
              <w:rPr>
                <w:sz w:val="18"/>
                <w:szCs w:val="18"/>
                <w:lang w:val="es-ES_tradnl" w:eastAsia="zh-CN"/>
              </w:rPr>
            </w:pPr>
            <w:r w:rsidRPr="00A202B4">
              <w:rPr>
                <w:sz w:val="18"/>
                <w:szCs w:val="18"/>
                <w:lang w:val="es-ES_tradnl" w:eastAsia="zh-CN"/>
              </w:rPr>
              <w:t>0,181</w:t>
            </w:r>
          </w:p>
        </w:tc>
        <w:tc>
          <w:tcPr>
            <w:tcW w:w="1279" w:type="dxa"/>
            <w:tcBorders>
              <w:top w:val="nil"/>
              <w:left w:val="nil"/>
              <w:bottom w:val="single" w:sz="4" w:space="0" w:color="auto"/>
              <w:right w:val="single" w:sz="4" w:space="0" w:color="auto"/>
            </w:tcBorders>
            <w:shd w:val="clear" w:color="auto" w:fill="auto"/>
            <w:noWrap/>
            <w:vAlign w:val="center"/>
            <w:hideMark/>
          </w:tcPr>
          <w:p w14:paraId="400374A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4 904 </w:t>
            </w:r>
          </w:p>
        </w:tc>
        <w:tc>
          <w:tcPr>
            <w:tcW w:w="1279" w:type="dxa"/>
            <w:tcBorders>
              <w:top w:val="nil"/>
              <w:left w:val="nil"/>
              <w:bottom w:val="single" w:sz="4" w:space="0" w:color="auto"/>
              <w:right w:val="single" w:sz="4" w:space="0" w:color="auto"/>
            </w:tcBorders>
            <w:shd w:val="clear" w:color="auto" w:fill="auto"/>
            <w:noWrap/>
            <w:vAlign w:val="center"/>
            <w:hideMark/>
          </w:tcPr>
          <w:p w14:paraId="5F9F6696"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5 379 </w:t>
            </w:r>
          </w:p>
        </w:tc>
        <w:tc>
          <w:tcPr>
            <w:tcW w:w="1180" w:type="dxa"/>
            <w:tcBorders>
              <w:top w:val="nil"/>
              <w:left w:val="nil"/>
              <w:bottom w:val="single" w:sz="4" w:space="0" w:color="auto"/>
              <w:right w:val="single" w:sz="4" w:space="0" w:color="auto"/>
            </w:tcBorders>
            <w:shd w:val="clear" w:color="auto" w:fill="auto"/>
            <w:noWrap/>
            <w:vAlign w:val="center"/>
            <w:hideMark/>
          </w:tcPr>
          <w:p w14:paraId="012F779D"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10 283 </w:t>
            </w:r>
          </w:p>
        </w:tc>
      </w:tr>
      <w:tr w:rsidR="00D8083E" w:rsidRPr="00A202B4" w14:paraId="49DF958C"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C29FB90" w14:textId="77777777" w:rsidR="00D8083E" w:rsidRPr="00A202B4" w:rsidRDefault="00D8083E" w:rsidP="009A372A">
            <w:pPr>
              <w:jc w:val="left"/>
              <w:rPr>
                <w:sz w:val="18"/>
                <w:szCs w:val="18"/>
                <w:lang w:val="es-ES_tradnl" w:eastAsia="zh-CN"/>
              </w:rPr>
            </w:pPr>
            <w:r w:rsidRPr="00A202B4">
              <w:rPr>
                <w:sz w:val="18"/>
                <w:szCs w:val="18"/>
                <w:lang w:val="es-ES_tradnl" w:eastAsia="zh-CN"/>
              </w:rPr>
              <w:t>Irlanda</w:t>
            </w:r>
          </w:p>
        </w:tc>
        <w:tc>
          <w:tcPr>
            <w:tcW w:w="1180" w:type="dxa"/>
            <w:tcBorders>
              <w:top w:val="nil"/>
              <w:left w:val="nil"/>
              <w:bottom w:val="single" w:sz="4" w:space="0" w:color="auto"/>
              <w:right w:val="single" w:sz="4" w:space="0" w:color="auto"/>
            </w:tcBorders>
            <w:shd w:val="clear" w:color="auto" w:fill="auto"/>
            <w:vAlign w:val="center"/>
            <w:hideMark/>
          </w:tcPr>
          <w:p w14:paraId="11A4945A" w14:textId="77777777" w:rsidR="00D8083E" w:rsidRPr="00A202B4" w:rsidRDefault="00D8083E" w:rsidP="009A372A">
            <w:pPr>
              <w:jc w:val="right"/>
              <w:rPr>
                <w:sz w:val="18"/>
                <w:szCs w:val="18"/>
                <w:lang w:val="es-ES_tradnl" w:eastAsia="zh-CN"/>
              </w:rPr>
            </w:pPr>
            <w:r w:rsidRPr="00A202B4">
              <w:rPr>
                <w:sz w:val="18"/>
                <w:szCs w:val="18"/>
                <w:lang w:val="es-ES_tradnl" w:eastAsia="zh-CN"/>
              </w:rPr>
              <w:t>0,439</w:t>
            </w:r>
          </w:p>
        </w:tc>
        <w:tc>
          <w:tcPr>
            <w:tcW w:w="1180" w:type="dxa"/>
            <w:tcBorders>
              <w:top w:val="nil"/>
              <w:left w:val="nil"/>
              <w:bottom w:val="single" w:sz="4" w:space="0" w:color="auto"/>
              <w:right w:val="single" w:sz="4" w:space="0" w:color="auto"/>
            </w:tcBorders>
            <w:shd w:val="clear" w:color="auto" w:fill="auto"/>
            <w:noWrap/>
            <w:vAlign w:val="center"/>
            <w:hideMark/>
          </w:tcPr>
          <w:p w14:paraId="71DBF208" w14:textId="77777777" w:rsidR="00D8083E" w:rsidRPr="00A202B4" w:rsidRDefault="00D8083E" w:rsidP="009A372A">
            <w:pPr>
              <w:jc w:val="right"/>
              <w:rPr>
                <w:sz w:val="18"/>
                <w:szCs w:val="18"/>
                <w:lang w:val="es-ES_tradnl" w:eastAsia="zh-CN"/>
              </w:rPr>
            </w:pPr>
            <w:r w:rsidRPr="00A202B4">
              <w:rPr>
                <w:sz w:val="18"/>
                <w:szCs w:val="18"/>
                <w:lang w:val="es-ES_tradnl" w:eastAsia="zh-CN"/>
              </w:rPr>
              <w:t>0,620</w:t>
            </w:r>
          </w:p>
        </w:tc>
        <w:tc>
          <w:tcPr>
            <w:tcW w:w="1279" w:type="dxa"/>
            <w:tcBorders>
              <w:top w:val="nil"/>
              <w:left w:val="nil"/>
              <w:bottom w:val="single" w:sz="4" w:space="0" w:color="auto"/>
              <w:right w:val="single" w:sz="4" w:space="0" w:color="auto"/>
            </w:tcBorders>
            <w:shd w:val="clear" w:color="auto" w:fill="auto"/>
            <w:noWrap/>
            <w:vAlign w:val="center"/>
            <w:hideMark/>
          </w:tcPr>
          <w:p w14:paraId="1DE12158"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16 820 </w:t>
            </w:r>
          </w:p>
        </w:tc>
        <w:tc>
          <w:tcPr>
            <w:tcW w:w="1279" w:type="dxa"/>
            <w:tcBorders>
              <w:top w:val="nil"/>
              <w:left w:val="nil"/>
              <w:bottom w:val="single" w:sz="4" w:space="0" w:color="auto"/>
              <w:right w:val="single" w:sz="4" w:space="0" w:color="auto"/>
            </w:tcBorders>
            <w:shd w:val="clear" w:color="auto" w:fill="auto"/>
            <w:noWrap/>
            <w:vAlign w:val="center"/>
            <w:hideMark/>
          </w:tcPr>
          <w:p w14:paraId="60C8F59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18 448 </w:t>
            </w:r>
          </w:p>
        </w:tc>
        <w:tc>
          <w:tcPr>
            <w:tcW w:w="1180" w:type="dxa"/>
            <w:tcBorders>
              <w:top w:val="nil"/>
              <w:left w:val="nil"/>
              <w:bottom w:val="single" w:sz="4" w:space="0" w:color="auto"/>
              <w:right w:val="single" w:sz="4" w:space="0" w:color="auto"/>
            </w:tcBorders>
            <w:shd w:val="clear" w:color="auto" w:fill="auto"/>
            <w:noWrap/>
            <w:vAlign w:val="center"/>
            <w:hideMark/>
          </w:tcPr>
          <w:p w14:paraId="1881E29E"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35 268 </w:t>
            </w:r>
          </w:p>
        </w:tc>
      </w:tr>
      <w:tr w:rsidR="00D8083E" w:rsidRPr="00A202B4" w14:paraId="11FCDA7C"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1790702" w14:textId="77777777" w:rsidR="00D8083E" w:rsidRPr="00A202B4" w:rsidRDefault="00D8083E" w:rsidP="009A372A">
            <w:pPr>
              <w:jc w:val="left"/>
              <w:rPr>
                <w:sz w:val="18"/>
                <w:szCs w:val="18"/>
                <w:lang w:val="es-ES_tradnl" w:eastAsia="zh-CN"/>
              </w:rPr>
            </w:pPr>
            <w:r w:rsidRPr="00A202B4">
              <w:rPr>
                <w:sz w:val="18"/>
                <w:szCs w:val="18"/>
                <w:lang w:val="es-ES_tradnl" w:eastAsia="zh-CN"/>
              </w:rPr>
              <w:t>Islas Marshall</w:t>
            </w:r>
          </w:p>
        </w:tc>
        <w:tc>
          <w:tcPr>
            <w:tcW w:w="1180" w:type="dxa"/>
            <w:tcBorders>
              <w:top w:val="nil"/>
              <w:left w:val="nil"/>
              <w:bottom w:val="single" w:sz="4" w:space="0" w:color="auto"/>
              <w:right w:val="single" w:sz="4" w:space="0" w:color="auto"/>
            </w:tcBorders>
            <w:shd w:val="clear" w:color="auto" w:fill="auto"/>
            <w:vAlign w:val="center"/>
            <w:hideMark/>
          </w:tcPr>
          <w:p w14:paraId="3B0EA7D3"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C492A29"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5DE33EEF"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71F2411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75B73F1B"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023F60E1"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C567B46" w14:textId="77777777" w:rsidR="00D8083E" w:rsidRPr="00A202B4" w:rsidRDefault="00D8083E" w:rsidP="009A372A">
            <w:pPr>
              <w:jc w:val="left"/>
              <w:rPr>
                <w:sz w:val="18"/>
                <w:szCs w:val="18"/>
                <w:lang w:val="es-ES_tradnl" w:eastAsia="zh-CN"/>
              </w:rPr>
            </w:pPr>
            <w:r w:rsidRPr="00A202B4">
              <w:rPr>
                <w:sz w:val="18"/>
                <w:szCs w:val="18"/>
                <w:lang w:val="es-ES_tradnl" w:eastAsia="zh-CN"/>
              </w:rPr>
              <w:t>Islas Salomón</w:t>
            </w:r>
          </w:p>
        </w:tc>
        <w:tc>
          <w:tcPr>
            <w:tcW w:w="1180" w:type="dxa"/>
            <w:tcBorders>
              <w:top w:val="nil"/>
              <w:left w:val="nil"/>
              <w:bottom w:val="single" w:sz="4" w:space="0" w:color="auto"/>
              <w:right w:val="single" w:sz="4" w:space="0" w:color="auto"/>
            </w:tcBorders>
            <w:shd w:val="clear" w:color="auto" w:fill="auto"/>
            <w:vAlign w:val="center"/>
            <w:hideMark/>
          </w:tcPr>
          <w:p w14:paraId="0CC3F710"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4E9D0FE"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2903723F"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0442A9C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C786821"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1704AC5F"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47455A1" w14:textId="77777777" w:rsidR="00D8083E" w:rsidRPr="00A202B4" w:rsidRDefault="00D8083E" w:rsidP="009A372A">
            <w:pPr>
              <w:jc w:val="left"/>
              <w:rPr>
                <w:sz w:val="18"/>
                <w:szCs w:val="18"/>
                <w:lang w:val="es-ES_tradnl" w:eastAsia="zh-CN"/>
              </w:rPr>
            </w:pPr>
            <w:r w:rsidRPr="00A202B4">
              <w:rPr>
                <w:sz w:val="18"/>
                <w:szCs w:val="18"/>
                <w:lang w:val="es-ES_tradnl" w:eastAsia="zh-CN"/>
              </w:rPr>
              <w:t>Italia</w:t>
            </w:r>
          </w:p>
        </w:tc>
        <w:tc>
          <w:tcPr>
            <w:tcW w:w="1180" w:type="dxa"/>
            <w:tcBorders>
              <w:top w:val="nil"/>
              <w:left w:val="nil"/>
              <w:bottom w:val="single" w:sz="4" w:space="0" w:color="auto"/>
              <w:right w:val="single" w:sz="4" w:space="0" w:color="auto"/>
            </w:tcBorders>
            <w:shd w:val="clear" w:color="auto" w:fill="auto"/>
            <w:vAlign w:val="center"/>
            <w:hideMark/>
          </w:tcPr>
          <w:p w14:paraId="0E05DCAF" w14:textId="77777777" w:rsidR="00D8083E" w:rsidRPr="00A202B4" w:rsidRDefault="00D8083E" w:rsidP="009A372A">
            <w:pPr>
              <w:jc w:val="right"/>
              <w:rPr>
                <w:sz w:val="18"/>
                <w:szCs w:val="18"/>
                <w:lang w:val="es-ES_tradnl" w:eastAsia="zh-CN"/>
              </w:rPr>
            </w:pPr>
            <w:r w:rsidRPr="00A202B4">
              <w:rPr>
                <w:sz w:val="18"/>
                <w:szCs w:val="18"/>
                <w:lang w:val="es-ES_tradnl" w:eastAsia="zh-CN"/>
              </w:rPr>
              <w:t>3,189</w:t>
            </w:r>
          </w:p>
        </w:tc>
        <w:tc>
          <w:tcPr>
            <w:tcW w:w="1180" w:type="dxa"/>
            <w:tcBorders>
              <w:top w:val="nil"/>
              <w:left w:val="nil"/>
              <w:bottom w:val="single" w:sz="4" w:space="0" w:color="auto"/>
              <w:right w:val="single" w:sz="4" w:space="0" w:color="auto"/>
            </w:tcBorders>
            <w:shd w:val="clear" w:color="auto" w:fill="auto"/>
            <w:noWrap/>
            <w:vAlign w:val="center"/>
            <w:hideMark/>
          </w:tcPr>
          <w:p w14:paraId="11EFCBDE" w14:textId="77777777" w:rsidR="00D8083E" w:rsidRPr="00A202B4" w:rsidRDefault="00D8083E" w:rsidP="009A372A">
            <w:pPr>
              <w:jc w:val="right"/>
              <w:rPr>
                <w:sz w:val="18"/>
                <w:szCs w:val="18"/>
                <w:lang w:val="es-ES_tradnl" w:eastAsia="zh-CN"/>
              </w:rPr>
            </w:pPr>
            <w:r w:rsidRPr="00A202B4">
              <w:rPr>
                <w:sz w:val="18"/>
                <w:szCs w:val="18"/>
                <w:lang w:val="es-ES_tradnl" w:eastAsia="zh-CN"/>
              </w:rPr>
              <w:t>4,502</w:t>
            </w:r>
          </w:p>
        </w:tc>
        <w:tc>
          <w:tcPr>
            <w:tcW w:w="1279" w:type="dxa"/>
            <w:tcBorders>
              <w:top w:val="nil"/>
              <w:left w:val="nil"/>
              <w:bottom w:val="single" w:sz="4" w:space="0" w:color="auto"/>
              <w:right w:val="single" w:sz="4" w:space="0" w:color="auto"/>
            </w:tcBorders>
            <w:shd w:val="clear" w:color="auto" w:fill="auto"/>
            <w:noWrap/>
            <w:vAlign w:val="center"/>
            <w:hideMark/>
          </w:tcPr>
          <w:p w14:paraId="376CB028"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122 182 </w:t>
            </w:r>
          </w:p>
        </w:tc>
        <w:tc>
          <w:tcPr>
            <w:tcW w:w="1279" w:type="dxa"/>
            <w:tcBorders>
              <w:top w:val="nil"/>
              <w:left w:val="nil"/>
              <w:bottom w:val="single" w:sz="4" w:space="0" w:color="auto"/>
              <w:right w:val="single" w:sz="4" w:space="0" w:color="auto"/>
            </w:tcBorders>
            <w:shd w:val="clear" w:color="auto" w:fill="auto"/>
            <w:noWrap/>
            <w:vAlign w:val="center"/>
            <w:hideMark/>
          </w:tcPr>
          <w:p w14:paraId="5FAEC45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134 014 </w:t>
            </w:r>
          </w:p>
        </w:tc>
        <w:tc>
          <w:tcPr>
            <w:tcW w:w="1180" w:type="dxa"/>
            <w:tcBorders>
              <w:top w:val="nil"/>
              <w:left w:val="nil"/>
              <w:bottom w:val="single" w:sz="4" w:space="0" w:color="auto"/>
              <w:right w:val="single" w:sz="4" w:space="0" w:color="auto"/>
            </w:tcBorders>
            <w:shd w:val="clear" w:color="auto" w:fill="auto"/>
            <w:noWrap/>
            <w:vAlign w:val="center"/>
            <w:hideMark/>
          </w:tcPr>
          <w:p w14:paraId="4EAE7D2B"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256 197 </w:t>
            </w:r>
          </w:p>
        </w:tc>
      </w:tr>
      <w:tr w:rsidR="00D8083E" w:rsidRPr="00A202B4" w14:paraId="27667164"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9557282" w14:textId="77777777" w:rsidR="00D8083E" w:rsidRPr="00A202B4" w:rsidRDefault="00D8083E" w:rsidP="009A372A">
            <w:pPr>
              <w:jc w:val="left"/>
              <w:rPr>
                <w:sz w:val="18"/>
                <w:szCs w:val="18"/>
                <w:lang w:val="es-ES_tradnl" w:eastAsia="zh-CN"/>
              </w:rPr>
            </w:pPr>
            <w:r w:rsidRPr="00A202B4">
              <w:rPr>
                <w:sz w:val="18"/>
                <w:szCs w:val="18"/>
                <w:lang w:val="es-ES_tradnl" w:eastAsia="zh-CN"/>
              </w:rPr>
              <w:t>Jamaica</w:t>
            </w:r>
          </w:p>
        </w:tc>
        <w:tc>
          <w:tcPr>
            <w:tcW w:w="1180" w:type="dxa"/>
            <w:tcBorders>
              <w:top w:val="nil"/>
              <w:left w:val="nil"/>
              <w:bottom w:val="single" w:sz="4" w:space="0" w:color="auto"/>
              <w:right w:val="single" w:sz="4" w:space="0" w:color="auto"/>
            </w:tcBorders>
            <w:shd w:val="clear" w:color="auto" w:fill="auto"/>
            <w:vAlign w:val="center"/>
            <w:hideMark/>
          </w:tcPr>
          <w:p w14:paraId="4E16AF55" w14:textId="77777777" w:rsidR="00D8083E" w:rsidRPr="00A202B4" w:rsidRDefault="00D8083E" w:rsidP="009A372A">
            <w:pPr>
              <w:jc w:val="right"/>
              <w:rPr>
                <w:sz w:val="18"/>
                <w:szCs w:val="18"/>
                <w:lang w:val="es-ES_tradnl" w:eastAsia="zh-CN"/>
              </w:rPr>
            </w:pPr>
            <w:r w:rsidRPr="00A202B4">
              <w:rPr>
                <w:sz w:val="18"/>
                <w:szCs w:val="18"/>
                <w:lang w:val="es-ES_tradnl"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57511C01" w14:textId="77777777" w:rsidR="00D8083E" w:rsidRPr="00A202B4" w:rsidRDefault="00D8083E" w:rsidP="009A372A">
            <w:pPr>
              <w:jc w:val="right"/>
              <w:rPr>
                <w:sz w:val="18"/>
                <w:szCs w:val="18"/>
                <w:lang w:val="es-ES_tradnl" w:eastAsia="zh-CN"/>
              </w:rPr>
            </w:pPr>
            <w:r w:rsidRPr="00A202B4">
              <w:rPr>
                <w:sz w:val="18"/>
                <w:szCs w:val="18"/>
                <w:lang w:val="es-ES_tradnl" w:eastAsia="zh-CN"/>
              </w:rPr>
              <w:t>0,011</w:t>
            </w:r>
          </w:p>
        </w:tc>
        <w:tc>
          <w:tcPr>
            <w:tcW w:w="1279" w:type="dxa"/>
            <w:tcBorders>
              <w:top w:val="nil"/>
              <w:left w:val="nil"/>
              <w:bottom w:val="single" w:sz="4" w:space="0" w:color="auto"/>
              <w:right w:val="single" w:sz="4" w:space="0" w:color="auto"/>
            </w:tcBorders>
            <w:shd w:val="clear" w:color="auto" w:fill="auto"/>
            <w:noWrap/>
            <w:vAlign w:val="center"/>
            <w:hideMark/>
          </w:tcPr>
          <w:p w14:paraId="5DAC412E"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307 </w:t>
            </w:r>
          </w:p>
        </w:tc>
        <w:tc>
          <w:tcPr>
            <w:tcW w:w="1279" w:type="dxa"/>
            <w:tcBorders>
              <w:top w:val="nil"/>
              <w:left w:val="nil"/>
              <w:bottom w:val="single" w:sz="4" w:space="0" w:color="auto"/>
              <w:right w:val="single" w:sz="4" w:space="0" w:color="auto"/>
            </w:tcBorders>
            <w:shd w:val="clear" w:color="auto" w:fill="auto"/>
            <w:noWrap/>
            <w:vAlign w:val="center"/>
            <w:hideMark/>
          </w:tcPr>
          <w:p w14:paraId="344D745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336 </w:t>
            </w:r>
          </w:p>
        </w:tc>
        <w:tc>
          <w:tcPr>
            <w:tcW w:w="1180" w:type="dxa"/>
            <w:tcBorders>
              <w:top w:val="nil"/>
              <w:left w:val="nil"/>
              <w:bottom w:val="single" w:sz="4" w:space="0" w:color="auto"/>
              <w:right w:val="single" w:sz="4" w:space="0" w:color="auto"/>
            </w:tcBorders>
            <w:shd w:val="clear" w:color="auto" w:fill="auto"/>
            <w:noWrap/>
            <w:vAlign w:val="center"/>
            <w:hideMark/>
          </w:tcPr>
          <w:p w14:paraId="1A757717"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643 </w:t>
            </w:r>
          </w:p>
        </w:tc>
      </w:tr>
      <w:tr w:rsidR="00D8083E" w:rsidRPr="00A202B4" w14:paraId="048C722A"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018E079" w14:textId="77777777" w:rsidR="00D8083E" w:rsidRPr="00A202B4" w:rsidRDefault="00D8083E" w:rsidP="009A372A">
            <w:pPr>
              <w:jc w:val="left"/>
              <w:rPr>
                <w:sz w:val="18"/>
                <w:szCs w:val="18"/>
                <w:lang w:val="es-ES_tradnl" w:eastAsia="zh-CN"/>
              </w:rPr>
            </w:pPr>
            <w:r w:rsidRPr="00A202B4">
              <w:rPr>
                <w:sz w:val="18"/>
                <w:szCs w:val="18"/>
                <w:lang w:val="es-ES_tradnl" w:eastAsia="zh-CN"/>
              </w:rPr>
              <w:t>Japón</w:t>
            </w:r>
          </w:p>
        </w:tc>
        <w:tc>
          <w:tcPr>
            <w:tcW w:w="1180" w:type="dxa"/>
            <w:tcBorders>
              <w:top w:val="nil"/>
              <w:left w:val="nil"/>
              <w:bottom w:val="single" w:sz="4" w:space="0" w:color="auto"/>
              <w:right w:val="single" w:sz="4" w:space="0" w:color="auto"/>
            </w:tcBorders>
            <w:shd w:val="clear" w:color="auto" w:fill="auto"/>
            <w:noWrap/>
            <w:vAlign w:val="center"/>
            <w:hideMark/>
          </w:tcPr>
          <w:p w14:paraId="75683EF2" w14:textId="77777777" w:rsidR="00D8083E" w:rsidRPr="00A202B4" w:rsidRDefault="00D8083E" w:rsidP="009A372A">
            <w:pPr>
              <w:jc w:val="right"/>
              <w:rPr>
                <w:sz w:val="18"/>
                <w:szCs w:val="18"/>
                <w:lang w:val="es-ES_tradnl" w:eastAsia="zh-CN"/>
              </w:rPr>
            </w:pPr>
            <w:r w:rsidRPr="00A202B4">
              <w:rPr>
                <w:sz w:val="18"/>
                <w:szCs w:val="18"/>
                <w:lang w:val="es-ES_tradnl" w:eastAsia="zh-CN"/>
              </w:rPr>
              <w:t>8,033</w:t>
            </w:r>
          </w:p>
        </w:tc>
        <w:tc>
          <w:tcPr>
            <w:tcW w:w="1180" w:type="dxa"/>
            <w:tcBorders>
              <w:top w:val="nil"/>
              <w:left w:val="nil"/>
              <w:bottom w:val="single" w:sz="4" w:space="0" w:color="auto"/>
              <w:right w:val="single" w:sz="4" w:space="0" w:color="auto"/>
            </w:tcBorders>
            <w:shd w:val="clear" w:color="auto" w:fill="auto"/>
            <w:noWrap/>
            <w:vAlign w:val="center"/>
            <w:hideMark/>
          </w:tcPr>
          <w:p w14:paraId="3B43C493" w14:textId="77777777" w:rsidR="00D8083E" w:rsidRPr="00A202B4" w:rsidRDefault="00D8083E" w:rsidP="009A372A">
            <w:pPr>
              <w:jc w:val="right"/>
              <w:rPr>
                <w:sz w:val="18"/>
                <w:szCs w:val="18"/>
                <w:lang w:val="es-ES_tradnl" w:eastAsia="zh-CN"/>
              </w:rPr>
            </w:pPr>
            <w:r w:rsidRPr="00A202B4">
              <w:rPr>
                <w:sz w:val="18"/>
                <w:szCs w:val="18"/>
                <w:lang w:val="es-ES_tradnl" w:eastAsia="zh-CN"/>
              </w:rPr>
              <w:t>11,340</w:t>
            </w:r>
          </w:p>
        </w:tc>
        <w:tc>
          <w:tcPr>
            <w:tcW w:w="1279" w:type="dxa"/>
            <w:tcBorders>
              <w:top w:val="nil"/>
              <w:left w:val="nil"/>
              <w:bottom w:val="single" w:sz="4" w:space="0" w:color="auto"/>
              <w:right w:val="single" w:sz="4" w:space="0" w:color="auto"/>
            </w:tcBorders>
            <w:shd w:val="clear" w:color="auto" w:fill="auto"/>
            <w:noWrap/>
            <w:vAlign w:val="center"/>
            <w:hideMark/>
          </w:tcPr>
          <w:p w14:paraId="31D8FC37"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307 774 </w:t>
            </w:r>
          </w:p>
        </w:tc>
        <w:tc>
          <w:tcPr>
            <w:tcW w:w="1279" w:type="dxa"/>
            <w:tcBorders>
              <w:top w:val="nil"/>
              <w:left w:val="nil"/>
              <w:bottom w:val="single" w:sz="4" w:space="0" w:color="auto"/>
              <w:right w:val="single" w:sz="4" w:space="0" w:color="auto"/>
            </w:tcBorders>
            <w:shd w:val="clear" w:color="auto" w:fill="auto"/>
            <w:noWrap/>
            <w:vAlign w:val="center"/>
            <w:hideMark/>
          </w:tcPr>
          <w:p w14:paraId="6C50A86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337 578 </w:t>
            </w:r>
          </w:p>
        </w:tc>
        <w:tc>
          <w:tcPr>
            <w:tcW w:w="1180" w:type="dxa"/>
            <w:tcBorders>
              <w:top w:val="nil"/>
              <w:left w:val="nil"/>
              <w:bottom w:val="single" w:sz="4" w:space="0" w:color="auto"/>
              <w:right w:val="single" w:sz="4" w:space="0" w:color="auto"/>
            </w:tcBorders>
            <w:shd w:val="clear" w:color="auto" w:fill="auto"/>
            <w:noWrap/>
            <w:vAlign w:val="center"/>
            <w:hideMark/>
          </w:tcPr>
          <w:p w14:paraId="6D58D912"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645 352 </w:t>
            </w:r>
          </w:p>
        </w:tc>
      </w:tr>
      <w:tr w:rsidR="00D8083E" w:rsidRPr="00A202B4" w14:paraId="6DCD284A"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B047B05" w14:textId="77777777" w:rsidR="00D8083E" w:rsidRPr="00A202B4" w:rsidRDefault="00D8083E" w:rsidP="009A372A">
            <w:pPr>
              <w:jc w:val="left"/>
              <w:rPr>
                <w:sz w:val="18"/>
                <w:szCs w:val="18"/>
                <w:lang w:val="es-ES_tradnl" w:eastAsia="zh-CN"/>
              </w:rPr>
            </w:pPr>
            <w:r w:rsidRPr="00A202B4">
              <w:rPr>
                <w:sz w:val="18"/>
                <w:szCs w:val="18"/>
                <w:lang w:val="es-ES_tradnl" w:eastAsia="zh-CN"/>
              </w:rPr>
              <w:t>Jordania</w:t>
            </w:r>
          </w:p>
        </w:tc>
        <w:tc>
          <w:tcPr>
            <w:tcW w:w="1180" w:type="dxa"/>
            <w:tcBorders>
              <w:top w:val="nil"/>
              <w:left w:val="nil"/>
              <w:bottom w:val="single" w:sz="4" w:space="0" w:color="auto"/>
              <w:right w:val="single" w:sz="4" w:space="0" w:color="auto"/>
            </w:tcBorders>
            <w:shd w:val="clear" w:color="auto" w:fill="auto"/>
            <w:vAlign w:val="center"/>
            <w:hideMark/>
          </w:tcPr>
          <w:p w14:paraId="15F0266B" w14:textId="77777777" w:rsidR="00D8083E" w:rsidRPr="00A202B4" w:rsidRDefault="00D8083E" w:rsidP="009A372A">
            <w:pPr>
              <w:jc w:val="right"/>
              <w:rPr>
                <w:sz w:val="18"/>
                <w:szCs w:val="18"/>
                <w:lang w:val="es-ES_tradnl" w:eastAsia="zh-CN"/>
              </w:rPr>
            </w:pPr>
            <w:r w:rsidRPr="00A202B4">
              <w:rPr>
                <w:sz w:val="18"/>
                <w:szCs w:val="18"/>
                <w:lang w:val="es-ES_tradnl" w:eastAsia="zh-CN"/>
              </w:rPr>
              <w:t>0,022</w:t>
            </w:r>
          </w:p>
        </w:tc>
        <w:tc>
          <w:tcPr>
            <w:tcW w:w="1180" w:type="dxa"/>
            <w:tcBorders>
              <w:top w:val="nil"/>
              <w:left w:val="nil"/>
              <w:bottom w:val="single" w:sz="4" w:space="0" w:color="auto"/>
              <w:right w:val="single" w:sz="4" w:space="0" w:color="auto"/>
            </w:tcBorders>
            <w:shd w:val="clear" w:color="auto" w:fill="auto"/>
            <w:noWrap/>
            <w:vAlign w:val="center"/>
            <w:hideMark/>
          </w:tcPr>
          <w:p w14:paraId="38FE81CE" w14:textId="77777777" w:rsidR="00D8083E" w:rsidRPr="00A202B4" w:rsidRDefault="00D8083E" w:rsidP="009A372A">
            <w:pPr>
              <w:jc w:val="right"/>
              <w:rPr>
                <w:sz w:val="18"/>
                <w:szCs w:val="18"/>
                <w:lang w:val="es-ES_tradnl" w:eastAsia="zh-CN"/>
              </w:rPr>
            </w:pPr>
            <w:r w:rsidRPr="00A202B4">
              <w:rPr>
                <w:sz w:val="18"/>
                <w:szCs w:val="18"/>
                <w:lang w:val="es-ES_tradnl" w:eastAsia="zh-CN"/>
              </w:rPr>
              <w:t>0,031</w:t>
            </w:r>
          </w:p>
        </w:tc>
        <w:tc>
          <w:tcPr>
            <w:tcW w:w="1279" w:type="dxa"/>
            <w:tcBorders>
              <w:top w:val="nil"/>
              <w:left w:val="nil"/>
              <w:bottom w:val="single" w:sz="4" w:space="0" w:color="auto"/>
              <w:right w:val="single" w:sz="4" w:space="0" w:color="auto"/>
            </w:tcBorders>
            <w:shd w:val="clear" w:color="auto" w:fill="auto"/>
            <w:noWrap/>
            <w:vAlign w:val="center"/>
            <w:hideMark/>
          </w:tcPr>
          <w:p w14:paraId="16C698C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843 </w:t>
            </w:r>
          </w:p>
        </w:tc>
        <w:tc>
          <w:tcPr>
            <w:tcW w:w="1279" w:type="dxa"/>
            <w:tcBorders>
              <w:top w:val="nil"/>
              <w:left w:val="nil"/>
              <w:bottom w:val="single" w:sz="4" w:space="0" w:color="auto"/>
              <w:right w:val="single" w:sz="4" w:space="0" w:color="auto"/>
            </w:tcBorders>
            <w:shd w:val="clear" w:color="auto" w:fill="auto"/>
            <w:noWrap/>
            <w:vAlign w:val="center"/>
            <w:hideMark/>
          </w:tcPr>
          <w:p w14:paraId="5BDEBA37"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925 </w:t>
            </w:r>
          </w:p>
        </w:tc>
        <w:tc>
          <w:tcPr>
            <w:tcW w:w="1180" w:type="dxa"/>
            <w:tcBorders>
              <w:top w:val="nil"/>
              <w:left w:val="nil"/>
              <w:bottom w:val="single" w:sz="4" w:space="0" w:color="auto"/>
              <w:right w:val="single" w:sz="4" w:space="0" w:color="auto"/>
            </w:tcBorders>
            <w:shd w:val="clear" w:color="auto" w:fill="auto"/>
            <w:noWrap/>
            <w:vAlign w:val="center"/>
            <w:hideMark/>
          </w:tcPr>
          <w:p w14:paraId="0A9AC03A"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1 767 </w:t>
            </w:r>
          </w:p>
        </w:tc>
      </w:tr>
      <w:tr w:rsidR="00D8083E" w:rsidRPr="00A202B4" w14:paraId="0BBBFE6B"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28F9A10" w14:textId="77777777" w:rsidR="00D8083E" w:rsidRPr="00A202B4" w:rsidRDefault="00D8083E" w:rsidP="009A372A">
            <w:pPr>
              <w:jc w:val="left"/>
              <w:rPr>
                <w:sz w:val="18"/>
                <w:szCs w:val="18"/>
                <w:lang w:val="es-ES_tradnl" w:eastAsia="zh-CN"/>
              </w:rPr>
            </w:pPr>
            <w:r w:rsidRPr="00A202B4">
              <w:rPr>
                <w:sz w:val="18"/>
                <w:szCs w:val="18"/>
                <w:lang w:val="es-ES_tradnl" w:eastAsia="zh-CN"/>
              </w:rPr>
              <w:t>Kazajstán</w:t>
            </w:r>
          </w:p>
        </w:tc>
        <w:tc>
          <w:tcPr>
            <w:tcW w:w="1180" w:type="dxa"/>
            <w:tcBorders>
              <w:top w:val="nil"/>
              <w:left w:val="nil"/>
              <w:bottom w:val="single" w:sz="4" w:space="0" w:color="auto"/>
              <w:right w:val="single" w:sz="4" w:space="0" w:color="auto"/>
            </w:tcBorders>
            <w:shd w:val="clear" w:color="auto" w:fill="auto"/>
            <w:vAlign w:val="center"/>
            <w:hideMark/>
          </w:tcPr>
          <w:p w14:paraId="0A164955" w14:textId="77777777" w:rsidR="00D8083E" w:rsidRPr="00A202B4" w:rsidRDefault="00D8083E" w:rsidP="009A372A">
            <w:pPr>
              <w:jc w:val="right"/>
              <w:rPr>
                <w:sz w:val="18"/>
                <w:szCs w:val="18"/>
                <w:lang w:val="es-ES_tradnl" w:eastAsia="zh-CN"/>
              </w:rPr>
            </w:pPr>
            <w:r w:rsidRPr="00A202B4">
              <w:rPr>
                <w:sz w:val="18"/>
                <w:szCs w:val="18"/>
                <w:lang w:val="es-ES_tradnl" w:eastAsia="zh-CN"/>
              </w:rPr>
              <w:t>0,133</w:t>
            </w:r>
          </w:p>
        </w:tc>
        <w:tc>
          <w:tcPr>
            <w:tcW w:w="1180" w:type="dxa"/>
            <w:tcBorders>
              <w:top w:val="nil"/>
              <w:left w:val="nil"/>
              <w:bottom w:val="single" w:sz="4" w:space="0" w:color="auto"/>
              <w:right w:val="single" w:sz="4" w:space="0" w:color="auto"/>
            </w:tcBorders>
            <w:shd w:val="clear" w:color="auto" w:fill="auto"/>
            <w:noWrap/>
            <w:vAlign w:val="center"/>
            <w:hideMark/>
          </w:tcPr>
          <w:p w14:paraId="1407FC8D" w14:textId="77777777" w:rsidR="00D8083E" w:rsidRPr="00A202B4" w:rsidRDefault="00D8083E" w:rsidP="009A372A">
            <w:pPr>
              <w:jc w:val="right"/>
              <w:rPr>
                <w:sz w:val="18"/>
                <w:szCs w:val="18"/>
                <w:lang w:val="es-ES_tradnl" w:eastAsia="zh-CN"/>
              </w:rPr>
            </w:pPr>
            <w:r w:rsidRPr="00A202B4">
              <w:rPr>
                <w:sz w:val="18"/>
                <w:szCs w:val="18"/>
                <w:lang w:val="es-ES_tradnl" w:eastAsia="zh-CN"/>
              </w:rPr>
              <w:t>0,188</w:t>
            </w:r>
          </w:p>
        </w:tc>
        <w:tc>
          <w:tcPr>
            <w:tcW w:w="1279" w:type="dxa"/>
            <w:tcBorders>
              <w:top w:val="nil"/>
              <w:left w:val="nil"/>
              <w:bottom w:val="single" w:sz="4" w:space="0" w:color="auto"/>
              <w:right w:val="single" w:sz="4" w:space="0" w:color="auto"/>
            </w:tcBorders>
            <w:shd w:val="clear" w:color="auto" w:fill="auto"/>
            <w:noWrap/>
            <w:vAlign w:val="center"/>
            <w:hideMark/>
          </w:tcPr>
          <w:p w14:paraId="1170695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5 096 </w:t>
            </w:r>
          </w:p>
        </w:tc>
        <w:tc>
          <w:tcPr>
            <w:tcW w:w="1279" w:type="dxa"/>
            <w:tcBorders>
              <w:top w:val="nil"/>
              <w:left w:val="nil"/>
              <w:bottom w:val="single" w:sz="4" w:space="0" w:color="auto"/>
              <w:right w:val="single" w:sz="4" w:space="0" w:color="auto"/>
            </w:tcBorders>
            <w:shd w:val="clear" w:color="auto" w:fill="auto"/>
            <w:noWrap/>
            <w:vAlign w:val="center"/>
            <w:hideMark/>
          </w:tcPr>
          <w:p w14:paraId="208515D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5 589 </w:t>
            </w:r>
          </w:p>
        </w:tc>
        <w:tc>
          <w:tcPr>
            <w:tcW w:w="1180" w:type="dxa"/>
            <w:tcBorders>
              <w:top w:val="nil"/>
              <w:left w:val="nil"/>
              <w:bottom w:val="single" w:sz="4" w:space="0" w:color="auto"/>
              <w:right w:val="single" w:sz="4" w:space="0" w:color="auto"/>
            </w:tcBorders>
            <w:shd w:val="clear" w:color="auto" w:fill="auto"/>
            <w:noWrap/>
            <w:vAlign w:val="center"/>
            <w:hideMark/>
          </w:tcPr>
          <w:p w14:paraId="2CA331D8"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10 685 </w:t>
            </w:r>
          </w:p>
        </w:tc>
      </w:tr>
      <w:tr w:rsidR="00D8083E" w:rsidRPr="00A202B4" w14:paraId="2ADDD90A"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61C0545" w14:textId="77777777" w:rsidR="00D8083E" w:rsidRPr="00A202B4" w:rsidRDefault="00D8083E" w:rsidP="009A372A">
            <w:pPr>
              <w:jc w:val="left"/>
              <w:rPr>
                <w:sz w:val="18"/>
                <w:szCs w:val="18"/>
                <w:lang w:val="es-ES_tradnl" w:eastAsia="zh-CN"/>
              </w:rPr>
            </w:pPr>
            <w:r w:rsidRPr="00A202B4">
              <w:rPr>
                <w:sz w:val="18"/>
                <w:szCs w:val="18"/>
                <w:lang w:val="es-ES_tradnl" w:eastAsia="zh-CN"/>
              </w:rPr>
              <w:t>Kenya</w:t>
            </w:r>
          </w:p>
        </w:tc>
        <w:tc>
          <w:tcPr>
            <w:tcW w:w="1180" w:type="dxa"/>
            <w:tcBorders>
              <w:top w:val="nil"/>
              <w:left w:val="nil"/>
              <w:bottom w:val="single" w:sz="4" w:space="0" w:color="auto"/>
              <w:right w:val="single" w:sz="4" w:space="0" w:color="auto"/>
            </w:tcBorders>
            <w:shd w:val="clear" w:color="auto" w:fill="auto"/>
            <w:vAlign w:val="center"/>
            <w:hideMark/>
          </w:tcPr>
          <w:p w14:paraId="3C02FCF6" w14:textId="77777777" w:rsidR="00D8083E" w:rsidRPr="00A202B4" w:rsidRDefault="00D8083E" w:rsidP="009A372A">
            <w:pPr>
              <w:jc w:val="right"/>
              <w:rPr>
                <w:sz w:val="18"/>
                <w:szCs w:val="18"/>
                <w:lang w:val="es-ES_tradnl" w:eastAsia="zh-CN"/>
              </w:rPr>
            </w:pPr>
            <w:r w:rsidRPr="00A202B4">
              <w:rPr>
                <w:sz w:val="18"/>
                <w:szCs w:val="18"/>
                <w:lang w:val="es-ES_tradnl"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59AF3B7D" w14:textId="77777777" w:rsidR="00D8083E" w:rsidRPr="00A202B4" w:rsidRDefault="00D8083E" w:rsidP="009A372A">
            <w:pPr>
              <w:jc w:val="right"/>
              <w:rPr>
                <w:sz w:val="18"/>
                <w:szCs w:val="18"/>
                <w:lang w:val="es-ES_tradnl" w:eastAsia="zh-CN"/>
              </w:rPr>
            </w:pPr>
            <w:r w:rsidRPr="00A202B4">
              <w:rPr>
                <w:sz w:val="18"/>
                <w:szCs w:val="18"/>
                <w:lang w:val="es-ES_tradnl" w:eastAsia="zh-CN"/>
              </w:rPr>
              <w:t>0,042</w:t>
            </w:r>
          </w:p>
        </w:tc>
        <w:tc>
          <w:tcPr>
            <w:tcW w:w="1279" w:type="dxa"/>
            <w:tcBorders>
              <w:top w:val="nil"/>
              <w:left w:val="nil"/>
              <w:bottom w:val="single" w:sz="4" w:space="0" w:color="auto"/>
              <w:right w:val="single" w:sz="4" w:space="0" w:color="auto"/>
            </w:tcBorders>
            <w:shd w:val="clear" w:color="auto" w:fill="auto"/>
            <w:noWrap/>
            <w:vAlign w:val="center"/>
            <w:hideMark/>
          </w:tcPr>
          <w:p w14:paraId="328A073F"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1 149 </w:t>
            </w:r>
          </w:p>
        </w:tc>
        <w:tc>
          <w:tcPr>
            <w:tcW w:w="1279" w:type="dxa"/>
            <w:tcBorders>
              <w:top w:val="nil"/>
              <w:left w:val="nil"/>
              <w:bottom w:val="single" w:sz="4" w:space="0" w:color="auto"/>
              <w:right w:val="single" w:sz="4" w:space="0" w:color="auto"/>
            </w:tcBorders>
            <w:shd w:val="clear" w:color="auto" w:fill="auto"/>
            <w:noWrap/>
            <w:vAlign w:val="center"/>
            <w:hideMark/>
          </w:tcPr>
          <w:p w14:paraId="7444D7BF"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1 261 </w:t>
            </w:r>
          </w:p>
        </w:tc>
        <w:tc>
          <w:tcPr>
            <w:tcW w:w="1180" w:type="dxa"/>
            <w:tcBorders>
              <w:top w:val="nil"/>
              <w:left w:val="nil"/>
              <w:bottom w:val="single" w:sz="4" w:space="0" w:color="auto"/>
              <w:right w:val="single" w:sz="4" w:space="0" w:color="auto"/>
            </w:tcBorders>
            <w:shd w:val="clear" w:color="auto" w:fill="auto"/>
            <w:noWrap/>
            <w:vAlign w:val="center"/>
            <w:hideMark/>
          </w:tcPr>
          <w:p w14:paraId="1015AEC1"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2 410 </w:t>
            </w:r>
          </w:p>
        </w:tc>
      </w:tr>
      <w:tr w:rsidR="00D8083E" w:rsidRPr="00A202B4" w14:paraId="4A5D5E54"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BDC0D95" w14:textId="77777777" w:rsidR="00D8083E" w:rsidRPr="00A202B4" w:rsidRDefault="00D8083E" w:rsidP="009A372A">
            <w:pPr>
              <w:jc w:val="left"/>
              <w:rPr>
                <w:sz w:val="18"/>
                <w:szCs w:val="18"/>
                <w:lang w:val="es-ES_tradnl" w:eastAsia="zh-CN"/>
              </w:rPr>
            </w:pPr>
            <w:r w:rsidRPr="00A202B4">
              <w:rPr>
                <w:sz w:val="18"/>
                <w:szCs w:val="18"/>
                <w:lang w:val="es-ES_tradnl" w:eastAsia="zh-CN"/>
              </w:rPr>
              <w:t>Kirguistán</w:t>
            </w:r>
          </w:p>
        </w:tc>
        <w:tc>
          <w:tcPr>
            <w:tcW w:w="1180" w:type="dxa"/>
            <w:tcBorders>
              <w:top w:val="nil"/>
              <w:left w:val="nil"/>
              <w:bottom w:val="single" w:sz="4" w:space="0" w:color="auto"/>
              <w:right w:val="single" w:sz="4" w:space="0" w:color="auto"/>
            </w:tcBorders>
            <w:shd w:val="clear" w:color="auto" w:fill="auto"/>
            <w:vAlign w:val="center"/>
            <w:hideMark/>
          </w:tcPr>
          <w:p w14:paraId="6401C267" w14:textId="77777777" w:rsidR="00D8083E" w:rsidRPr="00A202B4" w:rsidRDefault="00D8083E" w:rsidP="009A372A">
            <w:pPr>
              <w:jc w:val="right"/>
              <w:rPr>
                <w:sz w:val="18"/>
                <w:szCs w:val="18"/>
                <w:lang w:val="es-ES_tradnl" w:eastAsia="zh-CN"/>
              </w:rPr>
            </w:pPr>
            <w:r w:rsidRPr="00A202B4">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328BC8E1" w14:textId="77777777" w:rsidR="00D8083E" w:rsidRPr="00A202B4" w:rsidRDefault="00D8083E" w:rsidP="009A372A">
            <w:pPr>
              <w:jc w:val="right"/>
              <w:rPr>
                <w:sz w:val="18"/>
                <w:szCs w:val="18"/>
                <w:lang w:val="es-ES_tradnl" w:eastAsia="zh-CN"/>
              </w:rPr>
            </w:pPr>
            <w:r w:rsidRPr="00A202B4">
              <w:rPr>
                <w:sz w:val="18"/>
                <w:szCs w:val="18"/>
                <w:lang w:val="es-ES_tradnl" w:eastAsia="zh-CN"/>
              </w:rPr>
              <w:t>0,003</w:t>
            </w:r>
          </w:p>
        </w:tc>
        <w:tc>
          <w:tcPr>
            <w:tcW w:w="1279" w:type="dxa"/>
            <w:tcBorders>
              <w:top w:val="nil"/>
              <w:left w:val="nil"/>
              <w:bottom w:val="single" w:sz="4" w:space="0" w:color="auto"/>
              <w:right w:val="single" w:sz="4" w:space="0" w:color="auto"/>
            </w:tcBorders>
            <w:shd w:val="clear" w:color="auto" w:fill="auto"/>
            <w:noWrap/>
            <w:vAlign w:val="center"/>
            <w:hideMark/>
          </w:tcPr>
          <w:p w14:paraId="37A622F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77 </w:t>
            </w:r>
          </w:p>
        </w:tc>
        <w:tc>
          <w:tcPr>
            <w:tcW w:w="1279" w:type="dxa"/>
            <w:tcBorders>
              <w:top w:val="nil"/>
              <w:left w:val="nil"/>
              <w:bottom w:val="single" w:sz="4" w:space="0" w:color="auto"/>
              <w:right w:val="single" w:sz="4" w:space="0" w:color="auto"/>
            </w:tcBorders>
            <w:shd w:val="clear" w:color="auto" w:fill="auto"/>
            <w:noWrap/>
            <w:vAlign w:val="center"/>
            <w:hideMark/>
          </w:tcPr>
          <w:p w14:paraId="7B979B7E"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02351B1A"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161 </w:t>
            </w:r>
          </w:p>
        </w:tc>
      </w:tr>
      <w:tr w:rsidR="00D8083E" w:rsidRPr="00A202B4" w14:paraId="537A2DC1"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AF8AAF6" w14:textId="77777777" w:rsidR="00D8083E" w:rsidRPr="00A202B4" w:rsidRDefault="00D8083E" w:rsidP="009A372A">
            <w:pPr>
              <w:jc w:val="left"/>
              <w:rPr>
                <w:sz w:val="18"/>
                <w:szCs w:val="18"/>
                <w:lang w:val="es-ES_tradnl" w:eastAsia="zh-CN"/>
              </w:rPr>
            </w:pPr>
            <w:r w:rsidRPr="00A202B4">
              <w:rPr>
                <w:sz w:val="18"/>
                <w:szCs w:val="18"/>
                <w:lang w:val="es-ES_tradnl" w:eastAsia="zh-CN"/>
              </w:rPr>
              <w:t>Kiribati</w:t>
            </w:r>
          </w:p>
        </w:tc>
        <w:tc>
          <w:tcPr>
            <w:tcW w:w="1180" w:type="dxa"/>
            <w:tcBorders>
              <w:top w:val="nil"/>
              <w:left w:val="nil"/>
              <w:bottom w:val="single" w:sz="4" w:space="0" w:color="auto"/>
              <w:right w:val="single" w:sz="4" w:space="0" w:color="auto"/>
            </w:tcBorders>
            <w:shd w:val="clear" w:color="auto" w:fill="auto"/>
            <w:vAlign w:val="center"/>
            <w:hideMark/>
          </w:tcPr>
          <w:p w14:paraId="30C3862C"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7FF018D"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6CEB679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1DF134B7"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498020E1"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1160457F"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13A3309" w14:textId="77777777" w:rsidR="00D8083E" w:rsidRPr="00A202B4" w:rsidRDefault="00D8083E" w:rsidP="009A372A">
            <w:pPr>
              <w:jc w:val="left"/>
              <w:rPr>
                <w:sz w:val="18"/>
                <w:szCs w:val="18"/>
                <w:lang w:val="es-ES_tradnl" w:eastAsia="zh-CN"/>
              </w:rPr>
            </w:pPr>
            <w:r w:rsidRPr="00A202B4">
              <w:rPr>
                <w:sz w:val="18"/>
                <w:szCs w:val="18"/>
                <w:lang w:val="es-ES_tradnl" w:eastAsia="zh-CN"/>
              </w:rPr>
              <w:t>Kuwait</w:t>
            </w:r>
          </w:p>
        </w:tc>
        <w:tc>
          <w:tcPr>
            <w:tcW w:w="1180" w:type="dxa"/>
            <w:tcBorders>
              <w:top w:val="nil"/>
              <w:left w:val="nil"/>
              <w:bottom w:val="single" w:sz="4" w:space="0" w:color="auto"/>
              <w:right w:val="single" w:sz="4" w:space="0" w:color="auto"/>
            </w:tcBorders>
            <w:shd w:val="clear" w:color="auto" w:fill="auto"/>
            <w:vAlign w:val="center"/>
            <w:hideMark/>
          </w:tcPr>
          <w:p w14:paraId="00C4A5A8" w14:textId="77777777" w:rsidR="00D8083E" w:rsidRPr="00A202B4" w:rsidRDefault="00D8083E" w:rsidP="009A372A">
            <w:pPr>
              <w:jc w:val="right"/>
              <w:rPr>
                <w:sz w:val="18"/>
                <w:szCs w:val="18"/>
                <w:lang w:val="es-ES_tradnl" w:eastAsia="zh-CN"/>
              </w:rPr>
            </w:pPr>
            <w:r w:rsidRPr="00A202B4">
              <w:rPr>
                <w:sz w:val="18"/>
                <w:szCs w:val="18"/>
                <w:lang w:val="es-ES_tradnl" w:eastAsia="zh-CN"/>
              </w:rPr>
              <w:t>0,234</w:t>
            </w:r>
          </w:p>
        </w:tc>
        <w:tc>
          <w:tcPr>
            <w:tcW w:w="1180" w:type="dxa"/>
            <w:tcBorders>
              <w:top w:val="nil"/>
              <w:left w:val="nil"/>
              <w:bottom w:val="single" w:sz="4" w:space="0" w:color="auto"/>
              <w:right w:val="single" w:sz="4" w:space="0" w:color="auto"/>
            </w:tcBorders>
            <w:shd w:val="clear" w:color="auto" w:fill="auto"/>
            <w:noWrap/>
            <w:vAlign w:val="center"/>
            <w:hideMark/>
          </w:tcPr>
          <w:p w14:paraId="1313D927" w14:textId="77777777" w:rsidR="00D8083E" w:rsidRPr="00A202B4" w:rsidRDefault="00D8083E" w:rsidP="009A372A">
            <w:pPr>
              <w:jc w:val="right"/>
              <w:rPr>
                <w:sz w:val="18"/>
                <w:szCs w:val="18"/>
                <w:lang w:val="es-ES_tradnl" w:eastAsia="zh-CN"/>
              </w:rPr>
            </w:pPr>
            <w:r w:rsidRPr="00A202B4">
              <w:rPr>
                <w:sz w:val="18"/>
                <w:szCs w:val="18"/>
                <w:lang w:val="es-ES_tradnl" w:eastAsia="zh-CN"/>
              </w:rPr>
              <w:t>0,330</w:t>
            </w:r>
          </w:p>
        </w:tc>
        <w:tc>
          <w:tcPr>
            <w:tcW w:w="1279" w:type="dxa"/>
            <w:tcBorders>
              <w:top w:val="nil"/>
              <w:left w:val="nil"/>
              <w:bottom w:val="single" w:sz="4" w:space="0" w:color="auto"/>
              <w:right w:val="single" w:sz="4" w:space="0" w:color="auto"/>
            </w:tcBorders>
            <w:shd w:val="clear" w:color="auto" w:fill="auto"/>
            <w:noWrap/>
            <w:vAlign w:val="center"/>
            <w:hideMark/>
          </w:tcPr>
          <w:p w14:paraId="7B7E6CB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8 965 </w:t>
            </w:r>
          </w:p>
        </w:tc>
        <w:tc>
          <w:tcPr>
            <w:tcW w:w="1279" w:type="dxa"/>
            <w:tcBorders>
              <w:top w:val="nil"/>
              <w:left w:val="nil"/>
              <w:bottom w:val="single" w:sz="4" w:space="0" w:color="auto"/>
              <w:right w:val="single" w:sz="4" w:space="0" w:color="auto"/>
            </w:tcBorders>
            <w:shd w:val="clear" w:color="auto" w:fill="auto"/>
            <w:noWrap/>
            <w:vAlign w:val="center"/>
            <w:hideMark/>
          </w:tcPr>
          <w:p w14:paraId="3C1D424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9 834 </w:t>
            </w:r>
          </w:p>
        </w:tc>
        <w:tc>
          <w:tcPr>
            <w:tcW w:w="1180" w:type="dxa"/>
            <w:tcBorders>
              <w:top w:val="nil"/>
              <w:left w:val="nil"/>
              <w:bottom w:val="single" w:sz="4" w:space="0" w:color="auto"/>
              <w:right w:val="single" w:sz="4" w:space="0" w:color="auto"/>
            </w:tcBorders>
            <w:shd w:val="clear" w:color="auto" w:fill="auto"/>
            <w:noWrap/>
            <w:vAlign w:val="center"/>
            <w:hideMark/>
          </w:tcPr>
          <w:p w14:paraId="49851415"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18 799 </w:t>
            </w:r>
          </w:p>
        </w:tc>
      </w:tr>
      <w:tr w:rsidR="00D8083E" w:rsidRPr="00A202B4" w14:paraId="36DBCEF5"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556C0C6" w14:textId="77777777" w:rsidR="00D8083E" w:rsidRPr="00A202B4" w:rsidRDefault="00D8083E" w:rsidP="009A372A">
            <w:pPr>
              <w:jc w:val="left"/>
              <w:rPr>
                <w:sz w:val="18"/>
                <w:szCs w:val="18"/>
                <w:lang w:val="es-ES_tradnl" w:eastAsia="zh-CN"/>
              </w:rPr>
            </w:pPr>
            <w:r w:rsidRPr="00A202B4">
              <w:rPr>
                <w:sz w:val="18"/>
                <w:szCs w:val="18"/>
                <w:lang w:val="es-ES_tradnl" w:eastAsia="zh-CN"/>
              </w:rPr>
              <w:t>Lesotho</w:t>
            </w:r>
          </w:p>
        </w:tc>
        <w:tc>
          <w:tcPr>
            <w:tcW w:w="1180" w:type="dxa"/>
            <w:tcBorders>
              <w:top w:val="nil"/>
              <w:left w:val="nil"/>
              <w:bottom w:val="single" w:sz="4" w:space="0" w:color="auto"/>
              <w:right w:val="single" w:sz="4" w:space="0" w:color="auto"/>
            </w:tcBorders>
            <w:shd w:val="clear" w:color="auto" w:fill="auto"/>
            <w:vAlign w:val="center"/>
            <w:hideMark/>
          </w:tcPr>
          <w:p w14:paraId="5C2E4924"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6B8C26A"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290762A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1B5F99B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3D9922E0"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344923EC"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99F4FD7" w14:textId="77777777" w:rsidR="00D8083E" w:rsidRPr="00A202B4" w:rsidRDefault="00D8083E" w:rsidP="009A372A">
            <w:pPr>
              <w:jc w:val="left"/>
              <w:rPr>
                <w:sz w:val="18"/>
                <w:szCs w:val="18"/>
                <w:lang w:val="es-ES_tradnl" w:eastAsia="zh-CN"/>
              </w:rPr>
            </w:pPr>
            <w:r w:rsidRPr="00A202B4">
              <w:rPr>
                <w:sz w:val="18"/>
                <w:szCs w:val="18"/>
                <w:lang w:val="es-ES_tradnl" w:eastAsia="zh-CN"/>
              </w:rPr>
              <w:t>Letonia</w:t>
            </w:r>
          </w:p>
        </w:tc>
        <w:tc>
          <w:tcPr>
            <w:tcW w:w="1180" w:type="dxa"/>
            <w:tcBorders>
              <w:top w:val="nil"/>
              <w:left w:val="nil"/>
              <w:bottom w:val="single" w:sz="4" w:space="0" w:color="auto"/>
              <w:right w:val="single" w:sz="4" w:space="0" w:color="auto"/>
            </w:tcBorders>
            <w:shd w:val="clear" w:color="auto" w:fill="auto"/>
            <w:vAlign w:val="center"/>
            <w:hideMark/>
          </w:tcPr>
          <w:p w14:paraId="5FC6C5D8" w14:textId="77777777" w:rsidR="00D8083E" w:rsidRPr="00A202B4" w:rsidRDefault="00D8083E" w:rsidP="009A372A">
            <w:pPr>
              <w:jc w:val="right"/>
              <w:rPr>
                <w:sz w:val="18"/>
                <w:szCs w:val="18"/>
                <w:lang w:val="es-ES_tradnl" w:eastAsia="zh-CN"/>
              </w:rPr>
            </w:pPr>
            <w:r w:rsidRPr="00A202B4">
              <w:rPr>
                <w:sz w:val="18"/>
                <w:szCs w:val="18"/>
                <w:lang w:val="es-ES_tradnl" w:eastAsia="zh-CN"/>
              </w:rPr>
              <w:t>0,050</w:t>
            </w:r>
          </w:p>
        </w:tc>
        <w:tc>
          <w:tcPr>
            <w:tcW w:w="1180" w:type="dxa"/>
            <w:tcBorders>
              <w:top w:val="nil"/>
              <w:left w:val="nil"/>
              <w:bottom w:val="single" w:sz="4" w:space="0" w:color="auto"/>
              <w:right w:val="single" w:sz="4" w:space="0" w:color="auto"/>
            </w:tcBorders>
            <w:shd w:val="clear" w:color="auto" w:fill="auto"/>
            <w:noWrap/>
            <w:vAlign w:val="center"/>
            <w:hideMark/>
          </w:tcPr>
          <w:p w14:paraId="67A0C808" w14:textId="77777777" w:rsidR="00D8083E" w:rsidRPr="00A202B4" w:rsidRDefault="00D8083E" w:rsidP="009A372A">
            <w:pPr>
              <w:jc w:val="right"/>
              <w:rPr>
                <w:sz w:val="18"/>
                <w:szCs w:val="18"/>
                <w:lang w:val="es-ES_tradnl" w:eastAsia="zh-CN"/>
              </w:rPr>
            </w:pPr>
            <w:r w:rsidRPr="00A202B4">
              <w:rPr>
                <w:sz w:val="18"/>
                <w:szCs w:val="18"/>
                <w:lang w:val="es-ES_tradnl" w:eastAsia="zh-CN"/>
              </w:rPr>
              <w:t>0,071</w:t>
            </w:r>
          </w:p>
        </w:tc>
        <w:tc>
          <w:tcPr>
            <w:tcW w:w="1279" w:type="dxa"/>
            <w:tcBorders>
              <w:top w:val="nil"/>
              <w:left w:val="nil"/>
              <w:bottom w:val="single" w:sz="4" w:space="0" w:color="auto"/>
              <w:right w:val="single" w:sz="4" w:space="0" w:color="auto"/>
            </w:tcBorders>
            <w:shd w:val="clear" w:color="auto" w:fill="auto"/>
            <w:noWrap/>
            <w:vAlign w:val="center"/>
            <w:hideMark/>
          </w:tcPr>
          <w:p w14:paraId="1E26CF9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1 916 </w:t>
            </w:r>
          </w:p>
        </w:tc>
        <w:tc>
          <w:tcPr>
            <w:tcW w:w="1279" w:type="dxa"/>
            <w:tcBorders>
              <w:top w:val="nil"/>
              <w:left w:val="nil"/>
              <w:bottom w:val="single" w:sz="4" w:space="0" w:color="auto"/>
              <w:right w:val="single" w:sz="4" w:space="0" w:color="auto"/>
            </w:tcBorders>
            <w:shd w:val="clear" w:color="auto" w:fill="auto"/>
            <w:noWrap/>
            <w:vAlign w:val="center"/>
            <w:hideMark/>
          </w:tcPr>
          <w:p w14:paraId="51F5E6C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2 101 </w:t>
            </w:r>
          </w:p>
        </w:tc>
        <w:tc>
          <w:tcPr>
            <w:tcW w:w="1180" w:type="dxa"/>
            <w:tcBorders>
              <w:top w:val="nil"/>
              <w:left w:val="nil"/>
              <w:bottom w:val="single" w:sz="4" w:space="0" w:color="auto"/>
              <w:right w:val="single" w:sz="4" w:space="0" w:color="auto"/>
            </w:tcBorders>
            <w:shd w:val="clear" w:color="auto" w:fill="auto"/>
            <w:noWrap/>
            <w:vAlign w:val="center"/>
            <w:hideMark/>
          </w:tcPr>
          <w:p w14:paraId="61A28EB2"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4 017 </w:t>
            </w:r>
          </w:p>
        </w:tc>
      </w:tr>
      <w:tr w:rsidR="00D8083E" w:rsidRPr="00A202B4" w14:paraId="244B3261"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4F3E5BB" w14:textId="77777777" w:rsidR="00D8083E" w:rsidRPr="00A202B4" w:rsidRDefault="00D8083E" w:rsidP="009A372A">
            <w:pPr>
              <w:jc w:val="left"/>
              <w:rPr>
                <w:sz w:val="18"/>
                <w:szCs w:val="18"/>
                <w:lang w:val="es-ES_tradnl" w:eastAsia="zh-CN"/>
              </w:rPr>
            </w:pPr>
            <w:r w:rsidRPr="00A202B4">
              <w:rPr>
                <w:sz w:val="18"/>
                <w:szCs w:val="18"/>
                <w:lang w:val="es-ES_tradnl" w:eastAsia="zh-CN"/>
              </w:rPr>
              <w:t>Líbano</w:t>
            </w:r>
          </w:p>
        </w:tc>
        <w:tc>
          <w:tcPr>
            <w:tcW w:w="1180" w:type="dxa"/>
            <w:tcBorders>
              <w:top w:val="nil"/>
              <w:left w:val="nil"/>
              <w:bottom w:val="single" w:sz="4" w:space="0" w:color="auto"/>
              <w:right w:val="single" w:sz="4" w:space="0" w:color="auto"/>
            </w:tcBorders>
            <w:shd w:val="clear" w:color="auto" w:fill="auto"/>
            <w:vAlign w:val="center"/>
            <w:hideMark/>
          </w:tcPr>
          <w:p w14:paraId="4BC11E56" w14:textId="77777777" w:rsidR="00D8083E" w:rsidRPr="00A202B4" w:rsidRDefault="00D8083E" w:rsidP="009A372A">
            <w:pPr>
              <w:jc w:val="right"/>
              <w:rPr>
                <w:sz w:val="18"/>
                <w:szCs w:val="18"/>
                <w:lang w:val="es-ES_tradnl" w:eastAsia="zh-CN"/>
              </w:rPr>
            </w:pPr>
            <w:r w:rsidRPr="00A202B4">
              <w:rPr>
                <w:sz w:val="18"/>
                <w:szCs w:val="18"/>
                <w:lang w:val="es-ES_tradnl" w:eastAsia="zh-CN"/>
              </w:rPr>
              <w:t>0,036</w:t>
            </w:r>
          </w:p>
        </w:tc>
        <w:tc>
          <w:tcPr>
            <w:tcW w:w="1180" w:type="dxa"/>
            <w:tcBorders>
              <w:top w:val="nil"/>
              <w:left w:val="nil"/>
              <w:bottom w:val="single" w:sz="4" w:space="0" w:color="auto"/>
              <w:right w:val="single" w:sz="4" w:space="0" w:color="auto"/>
            </w:tcBorders>
            <w:shd w:val="clear" w:color="auto" w:fill="auto"/>
            <w:noWrap/>
            <w:vAlign w:val="center"/>
            <w:hideMark/>
          </w:tcPr>
          <w:p w14:paraId="4AB59631" w14:textId="77777777" w:rsidR="00D8083E" w:rsidRPr="00A202B4" w:rsidRDefault="00D8083E" w:rsidP="009A372A">
            <w:pPr>
              <w:jc w:val="right"/>
              <w:rPr>
                <w:sz w:val="18"/>
                <w:szCs w:val="18"/>
                <w:lang w:val="es-ES_tradnl" w:eastAsia="zh-CN"/>
              </w:rPr>
            </w:pPr>
            <w:r w:rsidRPr="00A202B4">
              <w:rPr>
                <w:sz w:val="18"/>
                <w:szCs w:val="18"/>
                <w:lang w:val="es-ES_tradnl" w:eastAsia="zh-CN"/>
              </w:rPr>
              <w:t>0,051</w:t>
            </w:r>
          </w:p>
        </w:tc>
        <w:tc>
          <w:tcPr>
            <w:tcW w:w="1279" w:type="dxa"/>
            <w:tcBorders>
              <w:top w:val="nil"/>
              <w:left w:val="nil"/>
              <w:bottom w:val="single" w:sz="4" w:space="0" w:color="auto"/>
              <w:right w:val="single" w:sz="4" w:space="0" w:color="auto"/>
            </w:tcBorders>
            <w:shd w:val="clear" w:color="auto" w:fill="auto"/>
            <w:noWrap/>
            <w:vAlign w:val="center"/>
            <w:hideMark/>
          </w:tcPr>
          <w:p w14:paraId="334FC48C"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1 379 </w:t>
            </w:r>
          </w:p>
        </w:tc>
        <w:tc>
          <w:tcPr>
            <w:tcW w:w="1279" w:type="dxa"/>
            <w:tcBorders>
              <w:top w:val="nil"/>
              <w:left w:val="nil"/>
              <w:bottom w:val="single" w:sz="4" w:space="0" w:color="auto"/>
              <w:right w:val="single" w:sz="4" w:space="0" w:color="auto"/>
            </w:tcBorders>
            <w:shd w:val="clear" w:color="auto" w:fill="auto"/>
            <w:noWrap/>
            <w:vAlign w:val="center"/>
            <w:hideMark/>
          </w:tcPr>
          <w:p w14:paraId="1633F42C"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1 513 </w:t>
            </w:r>
          </w:p>
        </w:tc>
        <w:tc>
          <w:tcPr>
            <w:tcW w:w="1180" w:type="dxa"/>
            <w:tcBorders>
              <w:top w:val="nil"/>
              <w:left w:val="nil"/>
              <w:bottom w:val="single" w:sz="4" w:space="0" w:color="auto"/>
              <w:right w:val="single" w:sz="4" w:space="0" w:color="auto"/>
            </w:tcBorders>
            <w:shd w:val="clear" w:color="auto" w:fill="auto"/>
            <w:noWrap/>
            <w:vAlign w:val="center"/>
            <w:hideMark/>
          </w:tcPr>
          <w:p w14:paraId="622AF022"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2 892 </w:t>
            </w:r>
          </w:p>
        </w:tc>
      </w:tr>
      <w:tr w:rsidR="00D8083E" w:rsidRPr="00A202B4" w14:paraId="52BB154B"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3D86789" w14:textId="77777777" w:rsidR="00D8083E" w:rsidRPr="00A202B4" w:rsidRDefault="00D8083E" w:rsidP="009A372A">
            <w:pPr>
              <w:jc w:val="left"/>
              <w:rPr>
                <w:sz w:val="18"/>
                <w:szCs w:val="18"/>
                <w:lang w:val="es-ES_tradnl" w:eastAsia="zh-CN"/>
              </w:rPr>
            </w:pPr>
            <w:r w:rsidRPr="00A202B4">
              <w:rPr>
                <w:sz w:val="18"/>
                <w:szCs w:val="18"/>
                <w:lang w:val="es-ES_tradnl" w:eastAsia="zh-CN"/>
              </w:rPr>
              <w:t>Liberia</w:t>
            </w:r>
          </w:p>
        </w:tc>
        <w:tc>
          <w:tcPr>
            <w:tcW w:w="1180" w:type="dxa"/>
            <w:tcBorders>
              <w:top w:val="nil"/>
              <w:left w:val="nil"/>
              <w:bottom w:val="single" w:sz="4" w:space="0" w:color="auto"/>
              <w:right w:val="single" w:sz="4" w:space="0" w:color="auto"/>
            </w:tcBorders>
            <w:shd w:val="clear" w:color="auto" w:fill="auto"/>
            <w:vAlign w:val="center"/>
            <w:hideMark/>
          </w:tcPr>
          <w:p w14:paraId="5008EABB"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121DA6F"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0AC58747"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56E3760D"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6F34AC18"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01DA9BE7"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E2CD2C2" w14:textId="77777777" w:rsidR="00D8083E" w:rsidRPr="00A202B4" w:rsidRDefault="00D8083E" w:rsidP="009A372A">
            <w:pPr>
              <w:jc w:val="left"/>
              <w:rPr>
                <w:sz w:val="18"/>
                <w:szCs w:val="18"/>
                <w:lang w:val="es-ES_tradnl" w:eastAsia="zh-CN"/>
              </w:rPr>
            </w:pPr>
            <w:r w:rsidRPr="00A202B4">
              <w:rPr>
                <w:sz w:val="18"/>
                <w:szCs w:val="18"/>
                <w:lang w:val="es-ES_tradnl" w:eastAsia="zh-CN"/>
              </w:rPr>
              <w:t>Libia</w:t>
            </w:r>
          </w:p>
        </w:tc>
        <w:tc>
          <w:tcPr>
            <w:tcW w:w="1180" w:type="dxa"/>
            <w:tcBorders>
              <w:top w:val="nil"/>
              <w:left w:val="nil"/>
              <w:bottom w:val="single" w:sz="4" w:space="0" w:color="auto"/>
              <w:right w:val="single" w:sz="4" w:space="0" w:color="auto"/>
            </w:tcBorders>
            <w:shd w:val="clear" w:color="auto" w:fill="auto"/>
            <w:vAlign w:val="center"/>
            <w:hideMark/>
          </w:tcPr>
          <w:p w14:paraId="489E47A0" w14:textId="77777777" w:rsidR="00D8083E" w:rsidRPr="00A202B4" w:rsidRDefault="00D8083E" w:rsidP="009A372A">
            <w:pPr>
              <w:jc w:val="right"/>
              <w:rPr>
                <w:sz w:val="18"/>
                <w:szCs w:val="18"/>
                <w:lang w:val="es-ES_tradnl" w:eastAsia="zh-CN"/>
              </w:rPr>
            </w:pPr>
            <w:r w:rsidRPr="00A202B4">
              <w:rPr>
                <w:sz w:val="18"/>
                <w:szCs w:val="18"/>
                <w:lang w:val="es-ES_tradnl" w:eastAsia="zh-CN"/>
              </w:rPr>
              <w:t>0,018</w:t>
            </w:r>
          </w:p>
        </w:tc>
        <w:tc>
          <w:tcPr>
            <w:tcW w:w="1180" w:type="dxa"/>
            <w:tcBorders>
              <w:top w:val="nil"/>
              <w:left w:val="nil"/>
              <w:bottom w:val="single" w:sz="4" w:space="0" w:color="auto"/>
              <w:right w:val="single" w:sz="4" w:space="0" w:color="auto"/>
            </w:tcBorders>
            <w:shd w:val="clear" w:color="auto" w:fill="auto"/>
            <w:noWrap/>
            <w:vAlign w:val="center"/>
            <w:hideMark/>
          </w:tcPr>
          <w:p w14:paraId="7B2E955F" w14:textId="77777777" w:rsidR="00D8083E" w:rsidRPr="00A202B4" w:rsidRDefault="00D8083E" w:rsidP="009A372A">
            <w:pPr>
              <w:jc w:val="right"/>
              <w:rPr>
                <w:sz w:val="18"/>
                <w:szCs w:val="18"/>
                <w:lang w:val="es-ES_tradnl" w:eastAsia="zh-CN"/>
              </w:rPr>
            </w:pPr>
            <w:r w:rsidRPr="00A202B4">
              <w:rPr>
                <w:sz w:val="18"/>
                <w:szCs w:val="18"/>
                <w:lang w:val="es-ES_tradnl" w:eastAsia="zh-CN"/>
              </w:rPr>
              <w:t>0,025</w:t>
            </w:r>
          </w:p>
        </w:tc>
        <w:tc>
          <w:tcPr>
            <w:tcW w:w="1279" w:type="dxa"/>
            <w:tcBorders>
              <w:top w:val="nil"/>
              <w:left w:val="nil"/>
              <w:bottom w:val="single" w:sz="4" w:space="0" w:color="auto"/>
              <w:right w:val="single" w:sz="4" w:space="0" w:color="auto"/>
            </w:tcBorders>
            <w:shd w:val="clear" w:color="auto" w:fill="auto"/>
            <w:noWrap/>
            <w:vAlign w:val="center"/>
            <w:hideMark/>
          </w:tcPr>
          <w:p w14:paraId="45254BF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690 </w:t>
            </w:r>
          </w:p>
        </w:tc>
        <w:tc>
          <w:tcPr>
            <w:tcW w:w="1279" w:type="dxa"/>
            <w:tcBorders>
              <w:top w:val="nil"/>
              <w:left w:val="nil"/>
              <w:bottom w:val="single" w:sz="4" w:space="0" w:color="auto"/>
              <w:right w:val="single" w:sz="4" w:space="0" w:color="auto"/>
            </w:tcBorders>
            <w:shd w:val="clear" w:color="auto" w:fill="auto"/>
            <w:noWrap/>
            <w:vAlign w:val="center"/>
            <w:hideMark/>
          </w:tcPr>
          <w:p w14:paraId="42DFC5F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756 </w:t>
            </w:r>
          </w:p>
        </w:tc>
        <w:tc>
          <w:tcPr>
            <w:tcW w:w="1180" w:type="dxa"/>
            <w:tcBorders>
              <w:top w:val="nil"/>
              <w:left w:val="nil"/>
              <w:bottom w:val="single" w:sz="4" w:space="0" w:color="auto"/>
              <w:right w:val="single" w:sz="4" w:space="0" w:color="auto"/>
            </w:tcBorders>
            <w:shd w:val="clear" w:color="auto" w:fill="auto"/>
            <w:noWrap/>
            <w:vAlign w:val="center"/>
            <w:hideMark/>
          </w:tcPr>
          <w:p w14:paraId="1DB9F437"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1 446 </w:t>
            </w:r>
          </w:p>
        </w:tc>
      </w:tr>
      <w:tr w:rsidR="00D8083E" w:rsidRPr="00A202B4" w14:paraId="435B4F25"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A9BB00E" w14:textId="77777777" w:rsidR="00D8083E" w:rsidRPr="00A202B4" w:rsidRDefault="00D8083E" w:rsidP="009A372A">
            <w:pPr>
              <w:jc w:val="left"/>
              <w:rPr>
                <w:sz w:val="18"/>
                <w:szCs w:val="18"/>
                <w:lang w:val="es-ES_tradnl" w:eastAsia="zh-CN"/>
              </w:rPr>
            </w:pPr>
            <w:r w:rsidRPr="00A202B4">
              <w:rPr>
                <w:sz w:val="18"/>
                <w:szCs w:val="18"/>
                <w:lang w:val="es-ES_tradnl" w:eastAsia="zh-CN"/>
              </w:rPr>
              <w:t>Lituania</w:t>
            </w:r>
          </w:p>
        </w:tc>
        <w:tc>
          <w:tcPr>
            <w:tcW w:w="1180" w:type="dxa"/>
            <w:tcBorders>
              <w:top w:val="nil"/>
              <w:left w:val="nil"/>
              <w:bottom w:val="single" w:sz="4" w:space="0" w:color="auto"/>
              <w:right w:val="single" w:sz="4" w:space="0" w:color="auto"/>
            </w:tcBorders>
            <w:shd w:val="clear" w:color="auto" w:fill="auto"/>
            <w:vAlign w:val="center"/>
            <w:hideMark/>
          </w:tcPr>
          <w:p w14:paraId="01BDD957" w14:textId="77777777" w:rsidR="00D8083E" w:rsidRPr="00A202B4" w:rsidRDefault="00D8083E" w:rsidP="009A372A">
            <w:pPr>
              <w:jc w:val="right"/>
              <w:rPr>
                <w:sz w:val="18"/>
                <w:szCs w:val="18"/>
                <w:lang w:val="es-ES_tradnl" w:eastAsia="zh-CN"/>
              </w:rPr>
            </w:pPr>
            <w:r w:rsidRPr="00A202B4">
              <w:rPr>
                <w:sz w:val="18"/>
                <w:szCs w:val="18"/>
                <w:lang w:val="es-ES_tradnl" w:eastAsia="zh-CN"/>
              </w:rPr>
              <w:t>0,077</w:t>
            </w:r>
          </w:p>
        </w:tc>
        <w:tc>
          <w:tcPr>
            <w:tcW w:w="1180" w:type="dxa"/>
            <w:tcBorders>
              <w:top w:val="nil"/>
              <w:left w:val="nil"/>
              <w:bottom w:val="single" w:sz="4" w:space="0" w:color="auto"/>
              <w:right w:val="single" w:sz="4" w:space="0" w:color="auto"/>
            </w:tcBorders>
            <w:shd w:val="clear" w:color="auto" w:fill="auto"/>
            <w:noWrap/>
            <w:vAlign w:val="center"/>
            <w:hideMark/>
          </w:tcPr>
          <w:p w14:paraId="6B479753" w14:textId="77777777" w:rsidR="00D8083E" w:rsidRPr="00A202B4" w:rsidRDefault="00D8083E" w:rsidP="009A372A">
            <w:pPr>
              <w:jc w:val="right"/>
              <w:rPr>
                <w:sz w:val="18"/>
                <w:szCs w:val="18"/>
                <w:lang w:val="es-ES_tradnl" w:eastAsia="zh-CN"/>
              </w:rPr>
            </w:pPr>
            <w:r w:rsidRPr="00A202B4">
              <w:rPr>
                <w:sz w:val="18"/>
                <w:szCs w:val="18"/>
                <w:lang w:val="es-ES_tradnl" w:eastAsia="zh-CN"/>
              </w:rPr>
              <w:t>0,109</w:t>
            </w:r>
          </w:p>
        </w:tc>
        <w:tc>
          <w:tcPr>
            <w:tcW w:w="1279" w:type="dxa"/>
            <w:tcBorders>
              <w:top w:val="nil"/>
              <w:left w:val="nil"/>
              <w:bottom w:val="single" w:sz="4" w:space="0" w:color="auto"/>
              <w:right w:val="single" w:sz="4" w:space="0" w:color="auto"/>
            </w:tcBorders>
            <w:shd w:val="clear" w:color="auto" w:fill="auto"/>
            <w:noWrap/>
            <w:vAlign w:val="center"/>
            <w:hideMark/>
          </w:tcPr>
          <w:p w14:paraId="3485384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2 950 </w:t>
            </w:r>
          </w:p>
        </w:tc>
        <w:tc>
          <w:tcPr>
            <w:tcW w:w="1279" w:type="dxa"/>
            <w:tcBorders>
              <w:top w:val="nil"/>
              <w:left w:val="nil"/>
              <w:bottom w:val="single" w:sz="4" w:space="0" w:color="auto"/>
              <w:right w:val="single" w:sz="4" w:space="0" w:color="auto"/>
            </w:tcBorders>
            <w:shd w:val="clear" w:color="auto" w:fill="auto"/>
            <w:noWrap/>
            <w:vAlign w:val="center"/>
            <w:hideMark/>
          </w:tcPr>
          <w:p w14:paraId="75CBCBC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3 236 </w:t>
            </w:r>
          </w:p>
        </w:tc>
        <w:tc>
          <w:tcPr>
            <w:tcW w:w="1180" w:type="dxa"/>
            <w:tcBorders>
              <w:top w:val="nil"/>
              <w:left w:val="nil"/>
              <w:bottom w:val="single" w:sz="4" w:space="0" w:color="auto"/>
              <w:right w:val="single" w:sz="4" w:space="0" w:color="auto"/>
            </w:tcBorders>
            <w:shd w:val="clear" w:color="auto" w:fill="auto"/>
            <w:noWrap/>
            <w:vAlign w:val="center"/>
            <w:hideMark/>
          </w:tcPr>
          <w:p w14:paraId="2655C460"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6 186 </w:t>
            </w:r>
          </w:p>
        </w:tc>
      </w:tr>
      <w:tr w:rsidR="00D8083E" w:rsidRPr="00A202B4" w14:paraId="674A47DD"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0F82818" w14:textId="77777777" w:rsidR="00D8083E" w:rsidRPr="00A202B4" w:rsidRDefault="00D8083E" w:rsidP="009A372A">
            <w:pPr>
              <w:jc w:val="left"/>
              <w:rPr>
                <w:sz w:val="18"/>
                <w:szCs w:val="18"/>
                <w:lang w:val="es-ES_tradnl" w:eastAsia="zh-CN"/>
              </w:rPr>
            </w:pPr>
            <w:r w:rsidRPr="00A202B4">
              <w:rPr>
                <w:sz w:val="18"/>
                <w:szCs w:val="18"/>
                <w:lang w:val="es-ES_tradnl" w:eastAsia="zh-CN"/>
              </w:rPr>
              <w:t>Luxemburgo</w:t>
            </w:r>
          </w:p>
        </w:tc>
        <w:tc>
          <w:tcPr>
            <w:tcW w:w="1180" w:type="dxa"/>
            <w:tcBorders>
              <w:top w:val="nil"/>
              <w:left w:val="nil"/>
              <w:bottom w:val="single" w:sz="4" w:space="0" w:color="auto"/>
              <w:right w:val="single" w:sz="4" w:space="0" w:color="auto"/>
            </w:tcBorders>
            <w:shd w:val="clear" w:color="auto" w:fill="auto"/>
            <w:vAlign w:val="center"/>
            <w:hideMark/>
          </w:tcPr>
          <w:p w14:paraId="6B26D88A" w14:textId="77777777" w:rsidR="00D8083E" w:rsidRPr="00A202B4" w:rsidRDefault="00D8083E" w:rsidP="009A372A">
            <w:pPr>
              <w:jc w:val="right"/>
              <w:rPr>
                <w:sz w:val="18"/>
                <w:szCs w:val="18"/>
                <w:lang w:val="es-ES_tradnl" w:eastAsia="zh-CN"/>
              </w:rPr>
            </w:pPr>
            <w:r w:rsidRPr="00A202B4">
              <w:rPr>
                <w:sz w:val="18"/>
                <w:szCs w:val="18"/>
                <w:lang w:val="es-ES_tradnl" w:eastAsia="zh-CN"/>
              </w:rPr>
              <w:t>0,068</w:t>
            </w:r>
          </w:p>
        </w:tc>
        <w:tc>
          <w:tcPr>
            <w:tcW w:w="1180" w:type="dxa"/>
            <w:tcBorders>
              <w:top w:val="nil"/>
              <w:left w:val="nil"/>
              <w:bottom w:val="single" w:sz="4" w:space="0" w:color="auto"/>
              <w:right w:val="single" w:sz="4" w:space="0" w:color="auto"/>
            </w:tcBorders>
            <w:shd w:val="clear" w:color="auto" w:fill="auto"/>
            <w:noWrap/>
            <w:vAlign w:val="center"/>
            <w:hideMark/>
          </w:tcPr>
          <w:p w14:paraId="4C4E0C56" w14:textId="77777777" w:rsidR="00D8083E" w:rsidRPr="00A202B4" w:rsidRDefault="00D8083E" w:rsidP="009A372A">
            <w:pPr>
              <w:jc w:val="right"/>
              <w:rPr>
                <w:sz w:val="18"/>
                <w:szCs w:val="18"/>
                <w:lang w:val="es-ES_tradnl" w:eastAsia="zh-CN"/>
              </w:rPr>
            </w:pPr>
            <w:r w:rsidRPr="00A202B4">
              <w:rPr>
                <w:sz w:val="18"/>
                <w:szCs w:val="18"/>
                <w:lang w:val="es-ES_tradnl" w:eastAsia="zh-CN"/>
              </w:rPr>
              <w:t>0,096</w:t>
            </w:r>
          </w:p>
        </w:tc>
        <w:tc>
          <w:tcPr>
            <w:tcW w:w="1279" w:type="dxa"/>
            <w:tcBorders>
              <w:top w:val="nil"/>
              <w:left w:val="nil"/>
              <w:bottom w:val="single" w:sz="4" w:space="0" w:color="auto"/>
              <w:right w:val="single" w:sz="4" w:space="0" w:color="auto"/>
            </w:tcBorders>
            <w:shd w:val="clear" w:color="auto" w:fill="auto"/>
            <w:noWrap/>
            <w:vAlign w:val="center"/>
            <w:hideMark/>
          </w:tcPr>
          <w:p w14:paraId="693C0FC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2 605 </w:t>
            </w:r>
          </w:p>
        </w:tc>
        <w:tc>
          <w:tcPr>
            <w:tcW w:w="1279" w:type="dxa"/>
            <w:tcBorders>
              <w:top w:val="nil"/>
              <w:left w:val="nil"/>
              <w:bottom w:val="single" w:sz="4" w:space="0" w:color="auto"/>
              <w:right w:val="single" w:sz="4" w:space="0" w:color="auto"/>
            </w:tcBorders>
            <w:shd w:val="clear" w:color="auto" w:fill="auto"/>
            <w:noWrap/>
            <w:vAlign w:val="center"/>
            <w:hideMark/>
          </w:tcPr>
          <w:p w14:paraId="40369C56"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2 858 </w:t>
            </w:r>
          </w:p>
        </w:tc>
        <w:tc>
          <w:tcPr>
            <w:tcW w:w="1180" w:type="dxa"/>
            <w:tcBorders>
              <w:top w:val="nil"/>
              <w:left w:val="nil"/>
              <w:bottom w:val="single" w:sz="4" w:space="0" w:color="auto"/>
              <w:right w:val="single" w:sz="4" w:space="0" w:color="auto"/>
            </w:tcBorders>
            <w:shd w:val="clear" w:color="auto" w:fill="auto"/>
            <w:noWrap/>
            <w:vAlign w:val="center"/>
            <w:hideMark/>
          </w:tcPr>
          <w:p w14:paraId="0A1874EC"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5 463 </w:t>
            </w:r>
          </w:p>
        </w:tc>
      </w:tr>
      <w:tr w:rsidR="00D8083E" w:rsidRPr="00A202B4" w14:paraId="7CB166AF"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tcPr>
          <w:p w14:paraId="27B3EA17" w14:textId="77777777" w:rsidR="00D8083E" w:rsidRPr="00A202B4" w:rsidRDefault="00D8083E" w:rsidP="009A372A">
            <w:pPr>
              <w:jc w:val="left"/>
              <w:rPr>
                <w:sz w:val="18"/>
                <w:szCs w:val="18"/>
                <w:lang w:val="es-ES_tradnl" w:eastAsia="zh-CN"/>
              </w:rPr>
            </w:pPr>
            <w:r w:rsidRPr="00A202B4">
              <w:rPr>
                <w:sz w:val="18"/>
                <w:szCs w:val="18"/>
                <w:lang w:val="es-ES_tradnl" w:eastAsia="zh-CN"/>
              </w:rPr>
              <w:lastRenderedPageBreak/>
              <w:t>Macedonia del Norte</w:t>
            </w:r>
          </w:p>
        </w:tc>
        <w:tc>
          <w:tcPr>
            <w:tcW w:w="1180" w:type="dxa"/>
            <w:tcBorders>
              <w:top w:val="nil"/>
              <w:left w:val="nil"/>
              <w:bottom w:val="single" w:sz="4" w:space="0" w:color="auto"/>
              <w:right w:val="single" w:sz="4" w:space="0" w:color="auto"/>
            </w:tcBorders>
            <w:shd w:val="clear" w:color="auto" w:fill="auto"/>
            <w:vAlign w:val="center"/>
          </w:tcPr>
          <w:p w14:paraId="3C28310C" w14:textId="77777777" w:rsidR="00D8083E" w:rsidRPr="00A202B4" w:rsidRDefault="00D8083E" w:rsidP="009A372A">
            <w:pPr>
              <w:jc w:val="right"/>
              <w:rPr>
                <w:sz w:val="18"/>
                <w:szCs w:val="18"/>
                <w:lang w:val="es-ES_tradnl" w:eastAsia="zh-CN"/>
              </w:rPr>
            </w:pPr>
            <w:r w:rsidRPr="00A202B4">
              <w:rPr>
                <w:sz w:val="18"/>
                <w:szCs w:val="18"/>
                <w:lang w:val="es-ES_tradnl" w:eastAsia="zh-CN"/>
              </w:rPr>
              <w:t>0.007</w:t>
            </w:r>
          </w:p>
        </w:tc>
        <w:tc>
          <w:tcPr>
            <w:tcW w:w="1180" w:type="dxa"/>
            <w:tcBorders>
              <w:top w:val="nil"/>
              <w:left w:val="nil"/>
              <w:bottom w:val="single" w:sz="4" w:space="0" w:color="auto"/>
              <w:right w:val="single" w:sz="4" w:space="0" w:color="auto"/>
            </w:tcBorders>
            <w:shd w:val="clear" w:color="auto" w:fill="auto"/>
            <w:noWrap/>
            <w:vAlign w:val="center"/>
          </w:tcPr>
          <w:p w14:paraId="6CEE7824"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279" w:type="dxa"/>
            <w:tcBorders>
              <w:top w:val="nil"/>
              <w:left w:val="nil"/>
              <w:bottom w:val="single" w:sz="4" w:space="0" w:color="auto"/>
              <w:right w:val="single" w:sz="4" w:space="0" w:color="auto"/>
            </w:tcBorders>
            <w:shd w:val="clear" w:color="auto" w:fill="auto"/>
            <w:noWrap/>
            <w:vAlign w:val="center"/>
          </w:tcPr>
          <w:p w14:paraId="1383F4AB" w14:textId="77777777" w:rsidR="00D8083E" w:rsidRPr="00A202B4" w:rsidRDefault="00D8083E" w:rsidP="009A372A">
            <w:pPr>
              <w:jc w:val="right"/>
              <w:rPr>
                <w:sz w:val="18"/>
                <w:szCs w:val="18"/>
                <w:lang w:val="es-ES_tradnl" w:eastAsia="zh-CN"/>
              </w:rPr>
            </w:pPr>
            <w:r w:rsidRPr="00A202B4">
              <w:rPr>
                <w:sz w:val="18"/>
                <w:szCs w:val="18"/>
                <w:lang w:val="es-ES_tradnl" w:eastAsia="zh-CN"/>
              </w:rPr>
              <w:t>268</w:t>
            </w:r>
          </w:p>
        </w:tc>
        <w:tc>
          <w:tcPr>
            <w:tcW w:w="1279" w:type="dxa"/>
            <w:tcBorders>
              <w:top w:val="nil"/>
              <w:left w:val="nil"/>
              <w:bottom w:val="single" w:sz="4" w:space="0" w:color="auto"/>
              <w:right w:val="single" w:sz="4" w:space="0" w:color="auto"/>
            </w:tcBorders>
            <w:shd w:val="clear" w:color="auto" w:fill="auto"/>
            <w:noWrap/>
            <w:vAlign w:val="center"/>
          </w:tcPr>
          <w:p w14:paraId="484DF3B3" w14:textId="77777777" w:rsidR="00D8083E" w:rsidRPr="00A202B4" w:rsidRDefault="00D8083E" w:rsidP="009A372A">
            <w:pPr>
              <w:jc w:val="right"/>
              <w:rPr>
                <w:sz w:val="18"/>
                <w:szCs w:val="18"/>
                <w:lang w:val="es-ES_tradnl" w:eastAsia="zh-CN"/>
              </w:rPr>
            </w:pPr>
            <w:r w:rsidRPr="00A202B4">
              <w:rPr>
                <w:sz w:val="18"/>
                <w:szCs w:val="18"/>
                <w:lang w:val="es-ES_tradnl" w:eastAsia="zh-CN"/>
              </w:rPr>
              <w:t>294</w:t>
            </w:r>
          </w:p>
        </w:tc>
        <w:tc>
          <w:tcPr>
            <w:tcW w:w="1180" w:type="dxa"/>
            <w:tcBorders>
              <w:top w:val="nil"/>
              <w:left w:val="nil"/>
              <w:bottom w:val="single" w:sz="4" w:space="0" w:color="auto"/>
              <w:right w:val="single" w:sz="4" w:space="0" w:color="auto"/>
            </w:tcBorders>
            <w:shd w:val="clear" w:color="auto" w:fill="auto"/>
            <w:noWrap/>
            <w:vAlign w:val="center"/>
          </w:tcPr>
          <w:p w14:paraId="718B00FA" w14:textId="77777777" w:rsidR="00D8083E" w:rsidRPr="00A202B4" w:rsidRDefault="00D8083E" w:rsidP="009A372A">
            <w:pPr>
              <w:jc w:val="right"/>
              <w:rPr>
                <w:bCs/>
                <w:sz w:val="18"/>
                <w:szCs w:val="18"/>
                <w:lang w:val="es-ES_tradnl" w:eastAsia="zh-CN"/>
              </w:rPr>
            </w:pPr>
            <w:r w:rsidRPr="00A202B4">
              <w:rPr>
                <w:sz w:val="18"/>
                <w:szCs w:val="18"/>
                <w:lang w:val="es-ES_tradnl" w:eastAsia="zh-CN"/>
              </w:rPr>
              <w:t>562</w:t>
            </w:r>
          </w:p>
        </w:tc>
      </w:tr>
      <w:tr w:rsidR="00D8083E" w:rsidRPr="00A202B4" w14:paraId="17A1F6C4"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CBD4F1F" w14:textId="77777777" w:rsidR="00D8083E" w:rsidRPr="00A202B4" w:rsidRDefault="00D8083E" w:rsidP="009A372A">
            <w:pPr>
              <w:jc w:val="left"/>
              <w:rPr>
                <w:sz w:val="18"/>
                <w:szCs w:val="18"/>
                <w:lang w:val="es-ES_tradnl" w:eastAsia="zh-CN"/>
              </w:rPr>
            </w:pPr>
            <w:r w:rsidRPr="00A202B4">
              <w:rPr>
                <w:sz w:val="18"/>
                <w:szCs w:val="18"/>
                <w:lang w:val="es-ES_tradnl" w:eastAsia="zh-CN"/>
              </w:rPr>
              <w:t>Madagascar</w:t>
            </w:r>
          </w:p>
        </w:tc>
        <w:tc>
          <w:tcPr>
            <w:tcW w:w="1180" w:type="dxa"/>
            <w:tcBorders>
              <w:top w:val="nil"/>
              <w:left w:val="nil"/>
              <w:bottom w:val="single" w:sz="4" w:space="0" w:color="auto"/>
              <w:right w:val="single" w:sz="4" w:space="0" w:color="auto"/>
            </w:tcBorders>
            <w:shd w:val="clear" w:color="auto" w:fill="auto"/>
            <w:vAlign w:val="center"/>
            <w:hideMark/>
          </w:tcPr>
          <w:p w14:paraId="4591225E" w14:textId="77777777" w:rsidR="00D8083E" w:rsidRPr="00A202B4" w:rsidRDefault="00D8083E" w:rsidP="009A372A">
            <w:pPr>
              <w:jc w:val="right"/>
              <w:rPr>
                <w:sz w:val="18"/>
                <w:szCs w:val="18"/>
                <w:lang w:val="es-ES_tradnl" w:eastAsia="zh-CN"/>
              </w:rPr>
            </w:pPr>
            <w:r w:rsidRPr="00A202B4">
              <w:rPr>
                <w:sz w:val="18"/>
                <w:szCs w:val="18"/>
                <w:lang w:val="es-ES_tradnl"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6BE03C46" w14:textId="77777777" w:rsidR="00D8083E" w:rsidRPr="00A202B4" w:rsidRDefault="00D8083E" w:rsidP="009A372A">
            <w:pPr>
              <w:jc w:val="right"/>
              <w:rPr>
                <w:sz w:val="18"/>
                <w:szCs w:val="18"/>
                <w:lang w:val="es-ES_tradnl" w:eastAsia="zh-CN"/>
              </w:rPr>
            </w:pPr>
            <w:r w:rsidRPr="00A202B4">
              <w:rPr>
                <w:sz w:val="18"/>
                <w:szCs w:val="18"/>
                <w:lang w:val="es-ES_tradnl" w:eastAsia="zh-CN"/>
              </w:rPr>
              <w:t>0,006</w:t>
            </w:r>
          </w:p>
        </w:tc>
        <w:tc>
          <w:tcPr>
            <w:tcW w:w="1279" w:type="dxa"/>
            <w:tcBorders>
              <w:top w:val="nil"/>
              <w:left w:val="nil"/>
              <w:bottom w:val="single" w:sz="4" w:space="0" w:color="auto"/>
              <w:right w:val="single" w:sz="4" w:space="0" w:color="auto"/>
            </w:tcBorders>
            <w:shd w:val="clear" w:color="auto" w:fill="auto"/>
            <w:noWrap/>
            <w:vAlign w:val="center"/>
            <w:hideMark/>
          </w:tcPr>
          <w:p w14:paraId="1475384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153 </w:t>
            </w:r>
          </w:p>
        </w:tc>
        <w:tc>
          <w:tcPr>
            <w:tcW w:w="1279" w:type="dxa"/>
            <w:tcBorders>
              <w:top w:val="nil"/>
              <w:left w:val="nil"/>
              <w:bottom w:val="single" w:sz="4" w:space="0" w:color="auto"/>
              <w:right w:val="single" w:sz="4" w:space="0" w:color="auto"/>
            </w:tcBorders>
            <w:shd w:val="clear" w:color="auto" w:fill="auto"/>
            <w:noWrap/>
            <w:vAlign w:val="center"/>
            <w:hideMark/>
          </w:tcPr>
          <w:p w14:paraId="6FFBBB9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2758E04F"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321 </w:t>
            </w:r>
          </w:p>
        </w:tc>
      </w:tr>
      <w:tr w:rsidR="00D8083E" w:rsidRPr="00A202B4" w14:paraId="4F4B80EB"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B847C4B" w14:textId="77777777" w:rsidR="00D8083E" w:rsidRPr="00A202B4" w:rsidRDefault="00D8083E" w:rsidP="009A372A">
            <w:pPr>
              <w:jc w:val="left"/>
              <w:rPr>
                <w:sz w:val="18"/>
                <w:szCs w:val="18"/>
                <w:lang w:val="es-ES_tradnl" w:eastAsia="zh-CN"/>
              </w:rPr>
            </w:pPr>
            <w:r w:rsidRPr="00A202B4">
              <w:rPr>
                <w:sz w:val="18"/>
                <w:szCs w:val="18"/>
                <w:lang w:val="es-ES_tradnl" w:eastAsia="zh-CN"/>
              </w:rPr>
              <w:t>Malasia</w:t>
            </w:r>
          </w:p>
        </w:tc>
        <w:tc>
          <w:tcPr>
            <w:tcW w:w="1180" w:type="dxa"/>
            <w:tcBorders>
              <w:top w:val="nil"/>
              <w:left w:val="nil"/>
              <w:bottom w:val="single" w:sz="4" w:space="0" w:color="auto"/>
              <w:right w:val="single" w:sz="4" w:space="0" w:color="auto"/>
            </w:tcBorders>
            <w:shd w:val="clear" w:color="auto" w:fill="auto"/>
            <w:vAlign w:val="center"/>
            <w:hideMark/>
          </w:tcPr>
          <w:p w14:paraId="64A120D6" w14:textId="77777777" w:rsidR="00D8083E" w:rsidRPr="00A202B4" w:rsidRDefault="00D8083E" w:rsidP="009A372A">
            <w:pPr>
              <w:jc w:val="right"/>
              <w:rPr>
                <w:sz w:val="18"/>
                <w:szCs w:val="18"/>
                <w:lang w:val="es-ES_tradnl" w:eastAsia="zh-CN"/>
              </w:rPr>
            </w:pPr>
            <w:r w:rsidRPr="00A202B4">
              <w:rPr>
                <w:sz w:val="18"/>
                <w:szCs w:val="18"/>
                <w:lang w:val="es-ES_tradnl" w:eastAsia="zh-CN"/>
              </w:rPr>
              <w:t>0,348</w:t>
            </w:r>
          </w:p>
        </w:tc>
        <w:tc>
          <w:tcPr>
            <w:tcW w:w="1180" w:type="dxa"/>
            <w:tcBorders>
              <w:top w:val="nil"/>
              <w:left w:val="nil"/>
              <w:bottom w:val="single" w:sz="4" w:space="0" w:color="auto"/>
              <w:right w:val="single" w:sz="4" w:space="0" w:color="auto"/>
            </w:tcBorders>
            <w:shd w:val="clear" w:color="auto" w:fill="auto"/>
            <w:noWrap/>
            <w:vAlign w:val="center"/>
            <w:hideMark/>
          </w:tcPr>
          <w:p w14:paraId="1475988C" w14:textId="77777777" w:rsidR="00D8083E" w:rsidRPr="00A202B4" w:rsidRDefault="00D8083E" w:rsidP="009A372A">
            <w:pPr>
              <w:jc w:val="right"/>
              <w:rPr>
                <w:sz w:val="18"/>
                <w:szCs w:val="18"/>
                <w:lang w:val="es-ES_tradnl" w:eastAsia="zh-CN"/>
              </w:rPr>
            </w:pPr>
            <w:r w:rsidRPr="00A202B4">
              <w:rPr>
                <w:sz w:val="18"/>
                <w:szCs w:val="18"/>
                <w:lang w:val="es-ES_tradnl" w:eastAsia="zh-CN"/>
              </w:rPr>
              <w:t>0,491</w:t>
            </w:r>
          </w:p>
        </w:tc>
        <w:tc>
          <w:tcPr>
            <w:tcW w:w="1279" w:type="dxa"/>
            <w:tcBorders>
              <w:top w:val="nil"/>
              <w:left w:val="nil"/>
              <w:bottom w:val="single" w:sz="4" w:space="0" w:color="auto"/>
              <w:right w:val="single" w:sz="4" w:space="0" w:color="auto"/>
            </w:tcBorders>
            <w:shd w:val="clear" w:color="auto" w:fill="auto"/>
            <w:noWrap/>
            <w:vAlign w:val="center"/>
            <w:hideMark/>
          </w:tcPr>
          <w:p w14:paraId="7E69EE6D"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13 333 </w:t>
            </w:r>
          </w:p>
        </w:tc>
        <w:tc>
          <w:tcPr>
            <w:tcW w:w="1279" w:type="dxa"/>
            <w:tcBorders>
              <w:top w:val="nil"/>
              <w:left w:val="nil"/>
              <w:bottom w:val="single" w:sz="4" w:space="0" w:color="auto"/>
              <w:right w:val="single" w:sz="4" w:space="0" w:color="auto"/>
            </w:tcBorders>
            <w:shd w:val="clear" w:color="auto" w:fill="auto"/>
            <w:noWrap/>
            <w:vAlign w:val="center"/>
            <w:hideMark/>
          </w:tcPr>
          <w:p w14:paraId="40ECB4F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14 624 </w:t>
            </w:r>
          </w:p>
        </w:tc>
        <w:tc>
          <w:tcPr>
            <w:tcW w:w="1180" w:type="dxa"/>
            <w:tcBorders>
              <w:top w:val="nil"/>
              <w:left w:val="nil"/>
              <w:bottom w:val="single" w:sz="4" w:space="0" w:color="auto"/>
              <w:right w:val="single" w:sz="4" w:space="0" w:color="auto"/>
            </w:tcBorders>
            <w:shd w:val="clear" w:color="auto" w:fill="auto"/>
            <w:noWrap/>
            <w:vAlign w:val="center"/>
            <w:hideMark/>
          </w:tcPr>
          <w:p w14:paraId="53E690BD"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27 957 </w:t>
            </w:r>
          </w:p>
        </w:tc>
      </w:tr>
      <w:tr w:rsidR="00D8083E" w:rsidRPr="00A202B4" w14:paraId="3329BE5F"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E9DA48B" w14:textId="77777777" w:rsidR="00D8083E" w:rsidRPr="00A202B4" w:rsidRDefault="00D8083E" w:rsidP="009A372A">
            <w:pPr>
              <w:jc w:val="left"/>
              <w:rPr>
                <w:sz w:val="18"/>
                <w:szCs w:val="18"/>
                <w:lang w:val="es-ES_tradnl" w:eastAsia="zh-CN"/>
              </w:rPr>
            </w:pPr>
            <w:r w:rsidRPr="00A202B4">
              <w:rPr>
                <w:sz w:val="18"/>
                <w:szCs w:val="18"/>
                <w:lang w:val="es-ES_tradnl" w:eastAsia="zh-CN"/>
              </w:rPr>
              <w:t>Malawi</w:t>
            </w:r>
          </w:p>
        </w:tc>
        <w:tc>
          <w:tcPr>
            <w:tcW w:w="1180" w:type="dxa"/>
            <w:tcBorders>
              <w:top w:val="nil"/>
              <w:left w:val="nil"/>
              <w:bottom w:val="single" w:sz="4" w:space="0" w:color="auto"/>
              <w:right w:val="single" w:sz="4" w:space="0" w:color="auto"/>
            </w:tcBorders>
            <w:shd w:val="clear" w:color="auto" w:fill="auto"/>
            <w:vAlign w:val="center"/>
            <w:hideMark/>
          </w:tcPr>
          <w:p w14:paraId="20BE34ED" w14:textId="77777777" w:rsidR="00D8083E" w:rsidRPr="00A202B4" w:rsidRDefault="00D8083E" w:rsidP="009A372A">
            <w:pPr>
              <w:jc w:val="right"/>
              <w:rPr>
                <w:sz w:val="18"/>
                <w:szCs w:val="18"/>
                <w:lang w:val="es-ES_tradnl" w:eastAsia="zh-CN"/>
              </w:rPr>
            </w:pPr>
            <w:r w:rsidRPr="00A202B4">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3C012610" w14:textId="77777777" w:rsidR="00D8083E" w:rsidRPr="00A202B4" w:rsidRDefault="00D8083E" w:rsidP="009A372A">
            <w:pPr>
              <w:jc w:val="right"/>
              <w:rPr>
                <w:sz w:val="18"/>
                <w:szCs w:val="18"/>
                <w:lang w:val="es-ES_tradnl" w:eastAsia="zh-CN"/>
              </w:rPr>
            </w:pPr>
            <w:r w:rsidRPr="00A202B4">
              <w:rPr>
                <w:sz w:val="18"/>
                <w:szCs w:val="18"/>
                <w:lang w:val="es-ES_tradnl" w:eastAsia="zh-CN"/>
              </w:rPr>
              <w:t>0,003</w:t>
            </w:r>
          </w:p>
        </w:tc>
        <w:tc>
          <w:tcPr>
            <w:tcW w:w="1279" w:type="dxa"/>
            <w:tcBorders>
              <w:top w:val="nil"/>
              <w:left w:val="nil"/>
              <w:bottom w:val="single" w:sz="4" w:space="0" w:color="auto"/>
              <w:right w:val="single" w:sz="4" w:space="0" w:color="auto"/>
            </w:tcBorders>
            <w:shd w:val="clear" w:color="auto" w:fill="auto"/>
            <w:noWrap/>
            <w:vAlign w:val="center"/>
            <w:hideMark/>
          </w:tcPr>
          <w:p w14:paraId="131E15F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77 </w:t>
            </w:r>
          </w:p>
        </w:tc>
        <w:tc>
          <w:tcPr>
            <w:tcW w:w="1279" w:type="dxa"/>
            <w:tcBorders>
              <w:top w:val="nil"/>
              <w:left w:val="nil"/>
              <w:bottom w:val="single" w:sz="4" w:space="0" w:color="auto"/>
              <w:right w:val="single" w:sz="4" w:space="0" w:color="auto"/>
            </w:tcBorders>
            <w:shd w:val="clear" w:color="auto" w:fill="auto"/>
            <w:noWrap/>
            <w:vAlign w:val="center"/>
            <w:hideMark/>
          </w:tcPr>
          <w:p w14:paraId="043DA2FD"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4BA279DC"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161 </w:t>
            </w:r>
          </w:p>
        </w:tc>
      </w:tr>
      <w:tr w:rsidR="00D8083E" w:rsidRPr="00A202B4" w14:paraId="249E6AE8"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37906FF" w14:textId="77777777" w:rsidR="00D8083E" w:rsidRPr="00A202B4" w:rsidRDefault="00D8083E" w:rsidP="009A372A">
            <w:pPr>
              <w:jc w:val="left"/>
              <w:rPr>
                <w:sz w:val="18"/>
                <w:szCs w:val="18"/>
                <w:lang w:val="es-ES_tradnl" w:eastAsia="zh-CN"/>
              </w:rPr>
            </w:pPr>
            <w:r w:rsidRPr="00A202B4">
              <w:rPr>
                <w:sz w:val="18"/>
                <w:szCs w:val="18"/>
                <w:lang w:val="es-ES_tradnl" w:eastAsia="zh-CN"/>
              </w:rPr>
              <w:t>Maldivas</w:t>
            </w:r>
          </w:p>
        </w:tc>
        <w:tc>
          <w:tcPr>
            <w:tcW w:w="1180" w:type="dxa"/>
            <w:tcBorders>
              <w:top w:val="nil"/>
              <w:left w:val="nil"/>
              <w:bottom w:val="single" w:sz="4" w:space="0" w:color="auto"/>
              <w:right w:val="single" w:sz="4" w:space="0" w:color="auto"/>
            </w:tcBorders>
            <w:shd w:val="clear" w:color="auto" w:fill="auto"/>
            <w:vAlign w:val="center"/>
            <w:hideMark/>
          </w:tcPr>
          <w:p w14:paraId="350E3F3A" w14:textId="77777777" w:rsidR="00D8083E" w:rsidRPr="00A202B4" w:rsidRDefault="00D8083E" w:rsidP="009A372A">
            <w:pPr>
              <w:jc w:val="right"/>
              <w:rPr>
                <w:sz w:val="18"/>
                <w:szCs w:val="18"/>
                <w:lang w:val="es-ES_tradnl" w:eastAsia="zh-CN"/>
              </w:rPr>
            </w:pPr>
            <w:r w:rsidRPr="00A202B4">
              <w:rPr>
                <w:sz w:val="18"/>
                <w:szCs w:val="18"/>
                <w:lang w:val="es-ES_tradnl"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7E9C5EB2" w14:textId="77777777" w:rsidR="00D8083E" w:rsidRPr="00A202B4" w:rsidRDefault="00D8083E" w:rsidP="009A372A">
            <w:pPr>
              <w:jc w:val="right"/>
              <w:rPr>
                <w:sz w:val="18"/>
                <w:szCs w:val="18"/>
                <w:lang w:val="es-ES_tradnl" w:eastAsia="zh-CN"/>
              </w:rPr>
            </w:pPr>
            <w:r w:rsidRPr="00A202B4">
              <w:rPr>
                <w:sz w:val="18"/>
                <w:szCs w:val="18"/>
                <w:lang w:val="es-ES_tradnl" w:eastAsia="zh-CN"/>
              </w:rPr>
              <w:t>0,006</w:t>
            </w:r>
          </w:p>
        </w:tc>
        <w:tc>
          <w:tcPr>
            <w:tcW w:w="1279" w:type="dxa"/>
            <w:tcBorders>
              <w:top w:val="nil"/>
              <w:left w:val="nil"/>
              <w:bottom w:val="single" w:sz="4" w:space="0" w:color="auto"/>
              <w:right w:val="single" w:sz="4" w:space="0" w:color="auto"/>
            </w:tcBorders>
            <w:shd w:val="clear" w:color="auto" w:fill="auto"/>
            <w:noWrap/>
            <w:vAlign w:val="center"/>
            <w:hideMark/>
          </w:tcPr>
          <w:p w14:paraId="4FE9CF9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153 </w:t>
            </w:r>
          </w:p>
        </w:tc>
        <w:tc>
          <w:tcPr>
            <w:tcW w:w="1279" w:type="dxa"/>
            <w:tcBorders>
              <w:top w:val="nil"/>
              <w:left w:val="nil"/>
              <w:bottom w:val="single" w:sz="4" w:space="0" w:color="auto"/>
              <w:right w:val="single" w:sz="4" w:space="0" w:color="auto"/>
            </w:tcBorders>
            <w:shd w:val="clear" w:color="auto" w:fill="auto"/>
            <w:noWrap/>
            <w:vAlign w:val="center"/>
            <w:hideMark/>
          </w:tcPr>
          <w:p w14:paraId="57CCE616"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6AA3AFDC"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321 </w:t>
            </w:r>
          </w:p>
        </w:tc>
      </w:tr>
      <w:tr w:rsidR="00D8083E" w:rsidRPr="00A202B4" w14:paraId="6A2CD977"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C7813E8" w14:textId="77777777" w:rsidR="00D8083E" w:rsidRPr="00A202B4" w:rsidRDefault="00D8083E" w:rsidP="009A372A">
            <w:pPr>
              <w:jc w:val="left"/>
              <w:rPr>
                <w:sz w:val="18"/>
                <w:szCs w:val="18"/>
                <w:lang w:val="es-ES_tradnl" w:eastAsia="zh-CN"/>
              </w:rPr>
            </w:pPr>
            <w:r w:rsidRPr="00A202B4">
              <w:rPr>
                <w:sz w:val="18"/>
                <w:szCs w:val="18"/>
                <w:lang w:val="es-ES_tradnl" w:eastAsia="zh-CN"/>
              </w:rPr>
              <w:t>Malí</w:t>
            </w:r>
          </w:p>
        </w:tc>
        <w:tc>
          <w:tcPr>
            <w:tcW w:w="1180" w:type="dxa"/>
            <w:tcBorders>
              <w:top w:val="nil"/>
              <w:left w:val="nil"/>
              <w:bottom w:val="single" w:sz="4" w:space="0" w:color="auto"/>
              <w:right w:val="single" w:sz="4" w:space="0" w:color="auto"/>
            </w:tcBorders>
            <w:shd w:val="clear" w:color="auto" w:fill="auto"/>
            <w:vAlign w:val="center"/>
            <w:hideMark/>
          </w:tcPr>
          <w:p w14:paraId="55A08C03" w14:textId="77777777" w:rsidR="00D8083E" w:rsidRPr="00A202B4" w:rsidRDefault="00D8083E" w:rsidP="009A372A">
            <w:pPr>
              <w:jc w:val="right"/>
              <w:rPr>
                <w:sz w:val="18"/>
                <w:szCs w:val="18"/>
                <w:lang w:val="es-ES_tradnl" w:eastAsia="zh-CN"/>
              </w:rPr>
            </w:pPr>
            <w:r w:rsidRPr="00A202B4">
              <w:rPr>
                <w:sz w:val="18"/>
                <w:szCs w:val="18"/>
                <w:lang w:val="es-ES_tradnl"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0B283C1D" w14:textId="77777777" w:rsidR="00D8083E" w:rsidRPr="00A202B4" w:rsidRDefault="00D8083E" w:rsidP="009A372A">
            <w:pPr>
              <w:jc w:val="right"/>
              <w:rPr>
                <w:sz w:val="18"/>
                <w:szCs w:val="18"/>
                <w:lang w:val="es-ES_tradnl" w:eastAsia="zh-CN"/>
              </w:rPr>
            </w:pPr>
            <w:r w:rsidRPr="00A202B4">
              <w:rPr>
                <w:sz w:val="18"/>
                <w:szCs w:val="18"/>
                <w:lang w:val="es-ES_tradnl" w:eastAsia="zh-CN"/>
              </w:rPr>
              <w:t>0,007</w:t>
            </w:r>
          </w:p>
        </w:tc>
        <w:tc>
          <w:tcPr>
            <w:tcW w:w="1279" w:type="dxa"/>
            <w:tcBorders>
              <w:top w:val="nil"/>
              <w:left w:val="nil"/>
              <w:bottom w:val="single" w:sz="4" w:space="0" w:color="auto"/>
              <w:right w:val="single" w:sz="4" w:space="0" w:color="auto"/>
            </w:tcBorders>
            <w:shd w:val="clear" w:color="auto" w:fill="auto"/>
            <w:noWrap/>
            <w:vAlign w:val="center"/>
            <w:hideMark/>
          </w:tcPr>
          <w:p w14:paraId="2196E307"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192 </w:t>
            </w:r>
          </w:p>
        </w:tc>
        <w:tc>
          <w:tcPr>
            <w:tcW w:w="1279" w:type="dxa"/>
            <w:tcBorders>
              <w:top w:val="nil"/>
              <w:left w:val="nil"/>
              <w:bottom w:val="single" w:sz="4" w:space="0" w:color="auto"/>
              <w:right w:val="single" w:sz="4" w:space="0" w:color="auto"/>
            </w:tcBorders>
            <w:shd w:val="clear" w:color="auto" w:fill="auto"/>
            <w:noWrap/>
            <w:vAlign w:val="center"/>
            <w:hideMark/>
          </w:tcPr>
          <w:p w14:paraId="349049C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1E6A2C29"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402 </w:t>
            </w:r>
          </w:p>
        </w:tc>
      </w:tr>
      <w:tr w:rsidR="00D8083E" w:rsidRPr="00A202B4" w14:paraId="3BD0D8F8"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59F8963" w14:textId="77777777" w:rsidR="00D8083E" w:rsidRPr="00A202B4" w:rsidRDefault="00D8083E" w:rsidP="009A372A">
            <w:pPr>
              <w:jc w:val="left"/>
              <w:rPr>
                <w:sz w:val="18"/>
                <w:szCs w:val="18"/>
                <w:lang w:val="es-ES_tradnl" w:eastAsia="zh-CN"/>
              </w:rPr>
            </w:pPr>
            <w:r w:rsidRPr="00A202B4">
              <w:rPr>
                <w:sz w:val="18"/>
                <w:szCs w:val="18"/>
                <w:lang w:val="es-ES_tradnl" w:eastAsia="zh-CN"/>
              </w:rPr>
              <w:t>Malta</w:t>
            </w:r>
          </w:p>
        </w:tc>
        <w:tc>
          <w:tcPr>
            <w:tcW w:w="1180" w:type="dxa"/>
            <w:tcBorders>
              <w:top w:val="nil"/>
              <w:left w:val="nil"/>
              <w:bottom w:val="single" w:sz="4" w:space="0" w:color="auto"/>
              <w:right w:val="single" w:sz="4" w:space="0" w:color="auto"/>
            </w:tcBorders>
            <w:shd w:val="clear" w:color="auto" w:fill="auto"/>
            <w:vAlign w:val="center"/>
            <w:hideMark/>
          </w:tcPr>
          <w:p w14:paraId="64668F07" w14:textId="77777777" w:rsidR="00D8083E" w:rsidRPr="00A202B4" w:rsidRDefault="00D8083E" w:rsidP="009A372A">
            <w:pPr>
              <w:jc w:val="right"/>
              <w:rPr>
                <w:sz w:val="18"/>
                <w:szCs w:val="18"/>
                <w:lang w:val="es-ES_tradnl" w:eastAsia="zh-CN"/>
              </w:rPr>
            </w:pPr>
            <w:r w:rsidRPr="00A202B4">
              <w:rPr>
                <w:sz w:val="18"/>
                <w:szCs w:val="18"/>
                <w:lang w:val="es-ES_tradnl"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4D89E73E" w14:textId="77777777" w:rsidR="00D8083E" w:rsidRPr="00A202B4" w:rsidRDefault="00D8083E" w:rsidP="009A372A">
            <w:pPr>
              <w:jc w:val="right"/>
              <w:rPr>
                <w:sz w:val="18"/>
                <w:szCs w:val="18"/>
                <w:lang w:val="es-ES_tradnl" w:eastAsia="zh-CN"/>
              </w:rPr>
            </w:pPr>
            <w:r w:rsidRPr="00A202B4">
              <w:rPr>
                <w:sz w:val="18"/>
                <w:szCs w:val="18"/>
                <w:lang w:val="es-ES_tradnl" w:eastAsia="zh-CN"/>
              </w:rPr>
              <w:t>0,027</w:t>
            </w:r>
          </w:p>
        </w:tc>
        <w:tc>
          <w:tcPr>
            <w:tcW w:w="1279" w:type="dxa"/>
            <w:tcBorders>
              <w:top w:val="nil"/>
              <w:left w:val="nil"/>
              <w:bottom w:val="single" w:sz="4" w:space="0" w:color="auto"/>
              <w:right w:val="single" w:sz="4" w:space="0" w:color="auto"/>
            </w:tcBorders>
            <w:shd w:val="clear" w:color="auto" w:fill="auto"/>
            <w:noWrap/>
            <w:vAlign w:val="center"/>
            <w:hideMark/>
          </w:tcPr>
          <w:p w14:paraId="3E791E5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728 </w:t>
            </w:r>
          </w:p>
        </w:tc>
        <w:tc>
          <w:tcPr>
            <w:tcW w:w="1279" w:type="dxa"/>
            <w:tcBorders>
              <w:top w:val="nil"/>
              <w:left w:val="nil"/>
              <w:bottom w:val="single" w:sz="4" w:space="0" w:color="auto"/>
              <w:right w:val="single" w:sz="4" w:space="0" w:color="auto"/>
            </w:tcBorders>
            <w:shd w:val="clear" w:color="auto" w:fill="auto"/>
            <w:noWrap/>
            <w:vAlign w:val="center"/>
            <w:hideMark/>
          </w:tcPr>
          <w:p w14:paraId="478E1A97"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319F0007"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1 526 </w:t>
            </w:r>
          </w:p>
        </w:tc>
      </w:tr>
      <w:tr w:rsidR="00D8083E" w:rsidRPr="00A202B4" w14:paraId="20356837"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620866C" w14:textId="77777777" w:rsidR="00D8083E" w:rsidRPr="00A202B4" w:rsidRDefault="00D8083E" w:rsidP="009A372A">
            <w:pPr>
              <w:jc w:val="left"/>
              <w:rPr>
                <w:sz w:val="18"/>
                <w:szCs w:val="18"/>
                <w:lang w:val="es-ES_tradnl" w:eastAsia="zh-CN"/>
              </w:rPr>
            </w:pPr>
            <w:r w:rsidRPr="00A202B4">
              <w:rPr>
                <w:sz w:val="18"/>
                <w:szCs w:val="18"/>
                <w:lang w:val="es-ES_tradnl" w:eastAsia="zh-CN"/>
              </w:rPr>
              <w:t>Marruecos</w:t>
            </w:r>
          </w:p>
        </w:tc>
        <w:tc>
          <w:tcPr>
            <w:tcW w:w="1180" w:type="dxa"/>
            <w:tcBorders>
              <w:top w:val="nil"/>
              <w:left w:val="nil"/>
              <w:bottom w:val="single" w:sz="4" w:space="0" w:color="auto"/>
              <w:right w:val="single" w:sz="4" w:space="0" w:color="auto"/>
            </w:tcBorders>
            <w:shd w:val="clear" w:color="auto" w:fill="auto"/>
            <w:vAlign w:val="center"/>
            <w:hideMark/>
          </w:tcPr>
          <w:p w14:paraId="38D1BF64" w14:textId="77777777" w:rsidR="00D8083E" w:rsidRPr="00A202B4" w:rsidRDefault="00D8083E" w:rsidP="009A372A">
            <w:pPr>
              <w:jc w:val="right"/>
              <w:rPr>
                <w:sz w:val="18"/>
                <w:szCs w:val="18"/>
                <w:lang w:val="es-ES_tradnl" w:eastAsia="zh-CN"/>
              </w:rPr>
            </w:pPr>
            <w:r w:rsidRPr="00A202B4">
              <w:rPr>
                <w:sz w:val="18"/>
                <w:szCs w:val="18"/>
                <w:lang w:val="es-ES_tradnl" w:eastAsia="zh-CN"/>
              </w:rPr>
              <w:t>0,055</w:t>
            </w:r>
          </w:p>
        </w:tc>
        <w:tc>
          <w:tcPr>
            <w:tcW w:w="1180" w:type="dxa"/>
            <w:tcBorders>
              <w:top w:val="nil"/>
              <w:left w:val="nil"/>
              <w:bottom w:val="single" w:sz="4" w:space="0" w:color="auto"/>
              <w:right w:val="single" w:sz="4" w:space="0" w:color="auto"/>
            </w:tcBorders>
            <w:shd w:val="clear" w:color="auto" w:fill="auto"/>
            <w:noWrap/>
            <w:vAlign w:val="center"/>
            <w:hideMark/>
          </w:tcPr>
          <w:p w14:paraId="61A83738" w14:textId="77777777" w:rsidR="00D8083E" w:rsidRPr="00A202B4" w:rsidRDefault="00D8083E" w:rsidP="009A372A">
            <w:pPr>
              <w:jc w:val="right"/>
              <w:rPr>
                <w:sz w:val="18"/>
                <w:szCs w:val="18"/>
                <w:lang w:val="es-ES_tradnl" w:eastAsia="zh-CN"/>
              </w:rPr>
            </w:pPr>
            <w:r w:rsidRPr="00A202B4">
              <w:rPr>
                <w:sz w:val="18"/>
                <w:szCs w:val="18"/>
                <w:lang w:val="es-ES_tradnl" w:eastAsia="zh-CN"/>
              </w:rPr>
              <w:t>0,078</w:t>
            </w:r>
          </w:p>
        </w:tc>
        <w:tc>
          <w:tcPr>
            <w:tcW w:w="1279" w:type="dxa"/>
            <w:tcBorders>
              <w:top w:val="nil"/>
              <w:left w:val="nil"/>
              <w:bottom w:val="single" w:sz="4" w:space="0" w:color="auto"/>
              <w:right w:val="single" w:sz="4" w:space="0" w:color="auto"/>
            </w:tcBorders>
            <w:shd w:val="clear" w:color="auto" w:fill="auto"/>
            <w:noWrap/>
            <w:vAlign w:val="center"/>
            <w:hideMark/>
          </w:tcPr>
          <w:p w14:paraId="0D5B3BA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2 107 </w:t>
            </w:r>
          </w:p>
        </w:tc>
        <w:tc>
          <w:tcPr>
            <w:tcW w:w="1279" w:type="dxa"/>
            <w:tcBorders>
              <w:top w:val="nil"/>
              <w:left w:val="nil"/>
              <w:bottom w:val="single" w:sz="4" w:space="0" w:color="auto"/>
              <w:right w:val="single" w:sz="4" w:space="0" w:color="auto"/>
            </w:tcBorders>
            <w:shd w:val="clear" w:color="auto" w:fill="auto"/>
            <w:noWrap/>
            <w:vAlign w:val="center"/>
            <w:hideMark/>
          </w:tcPr>
          <w:p w14:paraId="000C6D7C"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2 311 </w:t>
            </w:r>
          </w:p>
        </w:tc>
        <w:tc>
          <w:tcPr>
            <w:tcW w:w="1180" w:type="dxa"/>
            <w:tcBorders>
              <w:top w:val="nil"/>
              <w:left w:val="nil"/>
              <w:bottom w:val="single" w:sz="4" w:space="0" w:color="auto"/>
              <w:right w:val="single" w:sz="4" w:space="0" w:color="auto"/>
            </w:tcBorders>
            <w:shd w:val="clear" w:color="auto" w:fill="auto"/>
            <w:noWrap/>
            <w:vAlign w:val="center"/>
            <w:hideMark/>
          </w:tcPr>
          <w:p w14:paraId="77D0CC2A"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4 419 </w:t>
            </w:r>
          </w:p>
        </w:tc>
      </w:tr>
      <w:tr w:rsidR="00D8083E" w:rsidRPr="00A202B4" w14:paraId="04B13196"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BEBB7F5" w14:textId="77777777" w:rsidR="00D8083E" w:rsidRPr="00A202B4" w:rsidRDefault="00D8083E" w:rsidP="009A372A">
            <w:pPr>
              <w:jc w:val="left"/>
              <w:rPr>
                <w:sz w:val="18"/>
                <w:szCs w:val="18"/>
                <w:lang w:val="es-ES_tradnl" w:eastAsia="zh-CN"/>
              </w:rPr>
            </w:pPr>
            <w:r w:rsidRPr="00A202B4">
              <w:rPr>
                <w:sz w:val="18"/>
                <w:szCs w:val="18"/>
                <w:lang w:val="es-ES_tradnl" w:eastAsia="zh-CN"/>
              </w:rPr>
              <w:t>Mauricio</w:t>
            </w:r>
          </w:p>
        </w:tc>
        <w:tc>
          <w:tcPr>
            <w:tcW w:w="1180" w:type="dxa"/>
            <w:tcBorders>
              <w:top w:val="nil"/>
              <w:left w:val="nil"/>
              <w:bottom w:val="single" w:sz="4" w:space="0" w:color="auto"/>
              <w:right w:val="single" w:sz="4" w:space="0" w:color="auto"/>
            </w:tcBorders>
            <w:shd w:val="clear" w:color="auto" w:fill="auto"/>
            <w:vAlign w:val="center"/>
            <w:hideMark/>
          </w:tcPr>
          <w:p w14:paraId="5CFD11C3" w14:textId="77777777" w:rsidR="00D8083E" w:rsidRPr="00A202B4" w:rsidRDefault="00D8083E" w:rsidP="009A372A">
            <w:pPr>
              <w:jc w:val="right"/>
              <w:rPr>
                <w:sz w:val="18"/>
                <w:szCs w:val="18"/>
                <w:lang w:val="es-ES_tradnl" w:eastAsia="zh-CN"/>
              </w:rPr>
            </w:pPr>
            <w:r w:rsidRPr="00A202B4">
              <w:rPr>
                <w:sz w:val="18"/>
                <w:szCs w:val="18"/>
                <w:lang w:val="es-ES_tradnl"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739F44EC" w14:textId="77777777" w:rsidR="00D8083E" w:rsidRPr="00A202B4" w:rsidRDefault="00D8083E" w:rsidP="009A372A">
            <w:pPr>
              <w:jc w:val="right"/>
              <w:rPr>
                <w:sz w:val="18"/>
                <w:szCs w:val="18"/>
                <w:lang w:val="es-ES_tradnl" w:eastAsia="zh-CN"/>
              </w:rPr>
            </w:pPr>
            <w:r w:rsidRPr="00A202B4">
              <w:rPr>
                <w:sz w:val="18"/>
                <w:szCs w:val="18"/>
                <w:lang w:val="es-ES_tradnl" w:eastAsia="zh-CN"/>
              </w:rPr>
              <w:t>0,027</w:t>
            </w:r>
          </w:p>
        </w:tc>
        <w:tc>
          <w:tcPr>
            <w:tcW w:w="1279" w:type="dxa"/>
            <w:tcBorders>
              <w:top w:val="nil"/>
              <w:left w:val="nil"/>
              <w:bottom w:val="single" w:sz="4" w:space="0" w:color="auto"/>
              <w:right w:val="single" w:sz="4" w:space="0" w:color="auto"/>
            </w:tcBorders>
            <w:shd w:val="clear" w:color="auto" w:fill="auto"/>
            <w:noWrap/>
            <w:vAlign w:val="center"/>
            <w:hideMark/>
          </w:tcPr>
          <w:p w14:paraId="4023FED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728 </w:t>
            </w:r>
          </w:p>
        </w:tc>
        <w:tc>
          <w:tcPr>
            <w:tcW w:w="1279" w:type="dxa"/>
            <w:tcBorders>
              <w:top w:val="nil"/>
              <w:left w:val="nil"/>
              <w:bottom w:val="single" w:sz="4" w:space="0" w:color="auto"/>
              <w:right w:val="single" w:sz="4" w:space="0" w:color="auto"/>
            </w:tcBorders>
            <w:shd w:val="clear" w:color="auto" w:fill="auto"/>
            <w:noWrap/>
            <w:vAlign w:val="center"/>
            <w:hideMark/>
          </w:tcPr>
          <w:p w14:paraId="3FF3F6D6"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0D515832"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1 526 </w:t>
            </w:r>
          </w:p>
        </w:tc>
      </w:tr>
      <w:tr w:rsidR="00D8083E" w:rsidRPr="00A202B4" w14:paraId="12CFCDB6"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CC7FC8B" w14:textId="77777777" w:rsidR="00D8083E" w:rsidRPr="00A202B4" w:rsidRDefault="00D8083E" w:rsidP="009A372A">
            <w:pPr>
              <w:jc w:val="left"/>
              <w:rPr>
                <w:sz w:val="18"/>
                <w:szCs w:val="18"/>
                <w:lang w:val="es-ES_tradnl" w:eastAsia="zh-CN"/>
              </w:rPr>
            </w:pPr>
            <w:r w:rsidRPr="00A202B4">
              <w:rPr>
                <w:sz w:val="18"/>
                <w:szCs w:val="18"/>
                <w:lang w:val="es-ES_tradnl" w:eastAsia="zh-CN"/>
              </w:rPr>
              <w:t>Mauritania</w:t>
            </w:r>
          </w:p>
        </w:tc>
        <w:tc>
          <w:tcPr>
            <w:tcW w:w="1180" w:type="dxa"/>
            <w:tcBorders>
              <w:top w:val="nil"/>
              <w:left w:val="nil"/>
              <w:bottom w:val="single" w:sz="4" w:space="0" w:color="auto"/>
              <w:right w:val="single" w:sz="4" w:space="0" w:color="auto"/>
            </w:tcBorders>
            <w:shd w:val="clear" w:color="auto" w:fill="auto"/>
            <w:vAlign w:val="center"/>
            <w:hideMark/>
          </w:tcPr>
          <w:p w14:paraId="3F302B0D" w14:textId="77777777" w:rsidR="00D8083E" w:rsidRPr="00A202B4" w:rsidRDefault="00D8083E" w:rsidP="009A372A">
            <w:pPr>
              <w:jc w:val="right"/>
              <w:rPr>
                <w:sz w:val="18"/>
                <w:szCs w:val="18"/>
                <w:lang w:val="es-ES_tradnl" w:eastAsia="zh-CN"/>
              </w:rPr>
            </w:pPr>
            <w:r w:rsidRPr="00A202B4">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35F0614C" w14:textId="77777777" w:rsidR="00D8083E" w:rsidRPr="00A202B4" w:rsidRDefault="00D8083E" w:rsidP="009A372A">
            <w:pPr>
              <w:jc w:val="right"/>
              <w:rPr>
                <w:sz w:val="18"/>
                <w:szCs w:val="18"/>
                <w:lang w:val="es-ES_tradnl" w:eastAsia="zh-CN"/>
              </w:rPr>
            </w:pPr>
            <w:r w:rsidRPr="00A202B4">
              <w:rPr>
                <w:sz w:val="18"/>
                <w:szCs w:val="18"/>
                <w:lang w:val="es-ES_tradnl" w:eastAsia="zh-CN"/>
              </w:rPr>
              <w:t>0,003</w:t>
            </w:r>
          </w:p>
        </w:tc>
        <w:tc>
          <w:tcPr>
            <w:tcW w:w="1279" w:type="dxa"/>
            <w:tcBorders>
              <w:top w:val="nil"/>
              <w:left w:val="nil"/>
              <w:bottom w:val="single" w:sz="4" w:space="0" w:color="auto"/>
              <w:right w:val="single" w:sz="4" w:space="0" w:color="auto"/>
            </w:tcBorders>
            <w:shd w:val="clear" w:color="auto" w:fill="auto"/>
            <w:noWrap/>
            <w:vAlign w:val="center"/>
            <w:hideMark/>
          </w:tcPr>
          <w:p w14:paraId="61D176B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77 </w:t>
            </w:r>
          </w:p>
        </w:tc>
        <w:tc>
          <w:tcPr>
            <w:tcW w:w="1279" w:type="dxa"/>
            <w:tcBorders>
              <w:top w:val="nil"/>
              <w:left w:val="nil"/>
              <w:bottom w:val="single" w:sz="4" w:space="0" w:color="auto"/>
              <w:right w:val="single" w:sz="4" w:space="0" w:color="auto"/>
            </w:tcBorders>
            <w:shd w:val="clear" w:color="auto" w:fill="auto"/>
            <w:noWrap/>
            <w:vAlign w:val="center"/>
            <w:hideMark/>
          </w:tcPr>
          <w:p w14:paraId="3BC3A5E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5BC0E9A2"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161 </w:t>
            </w:r>
          </w:p>
        </w:tc>
      </w:tr>
      <w:tr w:rsidR="00D8083E" w:rsidRPr="00A202B4" w14:paraId="140A5916"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9137B22" w14:textId="77777777" w:rsidR="00D8083E" w:rsidRPr="00A202B4" w:rsidRDefault="00D8083E" w:rsidP="009A372A">
            <w:pPr>
              <w:jc w:val="left"/>
              <w:rPr>
                <w:sz w:val="18"/>
                <w:szCs w:val="18"/>
                <w:lang w:val="es-ES_tradnl" w:eastAsia="zh-CN"/>
              </w:rPr>
            </w:pPr>
            <w:r w:rsidRPr="00A202B4">
              <w:rPr>
                <w:sz w:val="18"/>
                <w:szCs w:val="18"/>
                <w:lang w:val="es-ES_tradnl" w:eastAsia="zh-CN"/>
              </w:rPr>
              <w:t>México</w:t>
            </w:r>
          </w:p>
        </w:tc>
        <w:tc>
          <w:tcPr>
            <w:tcW w:w="1180" w:type="dxa"/>
            <w:tcBorders>
              <w:top w:val="nil"/>
              <w:left w:val="nil"/>
              <w:bottom w:val="single" w:sz="4" w:space="0" w:color="auto"/>
              <w:right w:val="single" w:sz="4" w:space="0" w:color="auto"/>
            </w:tcBorders>
            <w:shd w:val="clear" w:color="auto" w:fill="auto"/>
            <w:vAlign w:val="center"/>
            <w:hideMark/>
          </w:tcPr>
          <w:p w14:paraId="0B67B427" w14:textId="77777777" w:rsidR="00D8083E" w:rsidRPr="00A202B4" w:rsidRDefault="00D8083E" w:rsidP="009A372A">
            <w:pPr>
              <w:jc w:val="right"/>
              <w:rPr>
                <w:sz w:val="18"/>
                <w:szCs w:val="18"/>
                <w:lang w:val="es-ES_tradnl" w:eastAsia="zh-CN"/>
              </w:rPr>
            </w:pPr>
            <w:r w:rsidRPr="00A202B4">
              <w:rPr>
                <w:sz w:val="18"/>
                <w:szCs w:val="18"/>
                <w:lang w:val="es-ES_tradnl" w:eastAsia="zh-CN"/>
              </w:rPr>
              <w:t>1,221</w:t>
            </w:r>
          </w:p>
        </w:tc>
        <w:tc>
          <w:tcPr>
            <w:tcW w:w="1180" w:type="dxa"/>
            <w:tcBorders>
              <w:top w:val="nil"/>
              <w:left w:val="nil"/>
              <w:bottom w:val="single" w:sz="4" w:space="0" w:color="auto"/>
              <w:right w:val="single" w:sz="4" w:space="0" w:color="auto"/>
            </w:tcBorders>
            <w:shd w:val="clear" w:color="auto" w:fill="auto"/>
            <w:noWrap/>
            <w:vAlign w:val="center"/>
            <w:hideMark/>
          </w:tcPr>
          <w:p w14:paraId="2476E5C1" w14:textId="77777777" w:rsidR="00D8083E" w:rsidRPr="00A202B4" w:rsidRDefault="00D8083E" w:rsidP="009A372A">
            <w:pPr>
              <w:jc w:val="right"/>
              <w:rPr>
                <w:sz w:val="18"/>
                <w:szCs w:val="18"/>
                <w:lang w:val="es-ES_tradnl" w:eastAsia="zh-CN"/>
              </w:rPr>
            </w:pPr>
            <w:r w:rsidRPr="00A202B4">
              <w:rPr>
                <w:sz w:val="18"/>
                <w:szCs w:val="18"/>
                <w:lang w:val="es-ES_tradnl" w:eastAsia="zh-CN"/>
              </w:rPr>
              <w:t>1,724</w:t>
            </w:r>
          </w:p>
        </w:tc>
        <w:tc>
          <w:tcPr>
            <w:tcW w:w="1279" w:type="dxa"/>
            <w:tcBorders>
              <w:top w:val="nil"/>
              <w:left w:val="nil"/>
              <w:bottom w:val="single" w:sz="4" w:space="0" w:color="auto"/>
              <w:right w:val="single" w:sz="4" w:space="0" w:color="auto"/>
            </w:tcBorders>
            <w:shd w:val="clear" w:color="auto" w:fill="auto"/>
            <w:noWrap/>
            <w:vAlign w:val="center"/>
            <w:hideMark/>
          </w:tcPr>
          <w:p w14:paraId="0058EFB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46 781 </w:t>
            </w:r>
          </w:p>
        </w:tc>
        <w:tc>
          <w:tcPr>
            <w:tcW w:w="1279" w:type="dxa"/>
            <w:tcBorders>
              <w:top w:val="nil"/>
              <w:left w:val="nil"/>
              <w:bottom w:val="single" w:sz="4" w:space="0" w:color="auto"/>
              <w:right w:val="single" w:sz="4" w:space="0" w:color="auto"/>
            </w:tcBorders>
            <w:shd w:val="clear" w:color="auto" w:fill="auto"/>
            <w:noWrap/>
            <w:vAlign w:val="center"/>
            <w:hideMark/>
          </w:tcPr>
          <w:p w14:paraId="6EEFECD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51 311 </w:t>
            </w:r>
          </w:p>
        </w:tc>
        <w:tc>
          <w:tcPr>
            <w:tcW w:w="1180" w:type="dxa"/>
            <w:tcBorders>
              <w:top w:val="nil"/>
              <w:left w:val="nil"/>
              <w:bottom w:val="single" w:sz="4" w:space="0" w:color="auto"/>
              <w:right w:val="single" w:sz="4" w:space="0" w:color="auto"/>
            </w:tcBorders>
            <w:shd w:val="clear" w:color="auto" w:fill="auto"/>
            <w:noWrap/>
            <w:vAlign w:val="center"/>
            <w:hideMark/>
          </w:tcPr>
          <w:p w14:paraId="055E7710"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98 092 </w:t>
            </w:r>
          </w:p>
        </w:tc>
      </w:tr>
      <w:tr w:rsidR="00D8083E" w:rsidRPr="00A202B4" w14:paraId="785ADFCB"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C086447" w14:textId="77777777" w:rsidR="00D8083E" w:rsidRPr="00A202B4" w:rsidRDefault="00D8083E" w:rsidP="009A372A">
            <w:pPr>
              <w:jc w:val="left"/>
              <w:rPr>
                <w:sz w:val="18"/>
                <w:szCs w:val="18"/>
                <w:lang w:val="es-ES_tradnl" w:eastAsia="zh-CN"/>
              </w:rPr>
            </w:pPr>
            <w:r w:rsidRPr="00A202B4">
              <w:rPr>
                <w:sz w:val="18"/>
                <w:szCs w:val="18"/>
                <w:lang w:val="es-ES_tradnl" w:eastAsia="zh-CN"/>
              </w:rPr>
              <w:t>Mongolia</w:t>
            </w:r>
          </w:p>
        </w:tc>
        <w:tc>
          <w:tcPr>
            <w:tcW w:w="1180" w:type="dxa"/>
            <w:tcBorders>
              <w:top w:val="nil"/>
              <w:left w:val="nil"/>
              <w:bottom w:val="single" w:sz="4" w:space="0" w:color="auto"/>
              <w:right w:val="single" w:sz="4" w:space="0" w:color="auto"/>
            </w:tcBorders>
            <w:shd w:val="clear" w:color="auto" w:fill="auto"/>
            <w:vAlign w:val="center"/>
            <w:hideMark/>
          </w:tcPr>
          <w:p w14:paraId="18FBD5FB" w14:textId="77777777" w:rsidR="00D8083E" w:rsidRPr="00A202B4" w:rsidRDefault="00D8083E" w:rsidP="009A372A">
            <w:pPr>
              <w:jc w:val="right"/>
              <w:rPr>
                <w:sz w:val="18"/>
                <w:szCs w:val="18"/>
                <w:lang w:val="es-ES_tradnl" w:eastAsia="zh-CN"/>
              </w:rPr>
            </w:pPr>
            <w:r w:rsidRPr="00A202B4">
              <w:rPr>
                <w:sz w:val="18"/>
                <w:szCs w:val="18"/>
                <w:lang w:val="es-ES_tradnl"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104CBE1A" w14:textId="77777777" w:rsidR="00D8083E" w:rsidRPr="00A202B4" w:rsidRDefault="00D8083E" w:rsidP="009A372A">
            <w:pPr>
              <w:jc w:val="right"/>
              <w:rPr>
                <w:sz w:val="18"/>
                <w:szCs w:val="18"/>
                <w:lang w:val="es-ES_tradnl" w:eastAsia="zh-CN"/>
              </w:rPr>
            </w:pPr>
            <w:r w:rsidRPr="00A202B4">
              <w:rPr>
                <w:sz w:val="18"/>
                <w:szCs w:val="18"/>
                <w:lang w:val="es-ES_tradnl" w:eastAsia="zh-CN"/>
              </w:rPr>
              <w:t>0,006</w:t>
            </w:r>
          </w:p>
        </w:tc>
        <w:tc>
          <w:tcPr>
            <w:tcW w:w="1279" w:type="dxa"/>
            <w:tcBorders>
              <w:top w:val="nil"/>
              <w:left w:val="nil"/>
              <w:bottom w:val="single" w:sz="4" w:space="0" w:color="auto"/>
              <w:right w:val="single" w:sz="4" w:space="0" w:color="auto"/>
            </w:tcBorders>
            <w:shd w:val="clear" w:color="auto" w:fill="auto"/>
            <w:noWrap/>
            <w:vAlign w:val="center"/>
            <w:hideMark/>
          </w:tcPr>
          <w:p w14:paraId="6B259C9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153 </w:t>
            </w:r>
          </w:p>
        </w:tc>
        <w:tc>
          <w:tcPr>
            <w:tcW w:w="1279" w:type="dxa"/>
            <w:tcBorders>
              <w:top w:val="nil"/>
              <w:left w:val="nil"/>
              <w:bottom w:val="single" w:sz="4" w:space="0" w:color="auto"/>
              <w:right w:val="single" w:sz="4" w:space="0" w:color="auto"/>
            </w:tcBorders>
            <w:shd w:val="clear" w:color="auto" w:fill="auto"/>
            <w:noWrap/>
            <w:vAlign w:val="center"/>
            <w:hideMark/>
          </w:tcPr>
          <w:p w14:paraId="1CF5796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103FBDA3"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321 </w:t>
            </w:r>
          </w:p>
        </w:tc>
      </w:tr>
      <w:tr w:rsidR="00D8083E" w:rsidRPr="00A202B4" w14:paraId="24DD4931"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14856D2" w14:textId="77777777" w:rsidR="00D8083E" w:rsidRPr="00A202B4" w:rsidRDefault="00D8083E" w:rsidP="009A372A">
            <w:pPr>
              <w:jc w:val="left"/>
              <w:rPr>
                <w:sz w:val="18"/>
                <w:szCs w:val="18"/>
                <w:lang w:val="es-ES_tradnl" w:eastAsia="zh-CN"/>
              </w:rPr>
            </w:pPr>
            <w:r w:rsidRPr="00A202B4">
              <w:rPr>
                <w:sz w:val="18"/>
                <w:szCs w:val="18"/>
                <w:lang w:val="es-ES_tradnl" w:eastAsia="zh-CN"/>
              </w:rPr>
              <w:t>Montenegro</w:t>
            </w:r>
          </w:p>
        </w:tc>
        <w:tc>
          <w:tcPr>
            <w:tcW w:w="1180" w:type="dxa"/>
            <w:tcBorders>
              <w:top w:val="nil"/>
              <w:left w:val="nil"/>
              <w:bottom w:val="single" w:sz="4" w:space="0" w:color="auto"/>
              <w:right w:val="single" w:sz="4" w:space="0" w:color="auto"/>
            </w:tcBorders>
            <w:shd w:val="clear" w:color="auto" w:fill="auto"/>
            <w:vAlign w:val="center"/>
            <w:hideMark/>
          </w:tcPr>
          <w:p w14:paraId="5F379BAA" w14:textId="77777777" w:rsidR="00D8083E" w:rsidRPr="00A202B4" w:rsidRDefault="00D8083E" w:rsidP="009A372A">
            <w:pPr>
              <w:jc w:val="right"/>
              <w:rPr>
                <w:sz w:val="18"/>
                <w:szCs w:val="18"/>
                <w:lang w:val="es-ES_tradnl" w:eastAsia="zh-CN"/>
              </w:rPr>
            </w:pPr>
            <w:r w:rsidRPr="00A202B4">
              <w:rPr>
                <w:sz w:val="18"/>
                <w:szCs w:val="18"/>
                <w:lang w:val="es-ES_tradnl"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735BBFBE" w14:textId="77777777" w:rsidR="00D8083E" w:rsidRPr="00A202B4" w:rsidRDefault="00D8083E" w:rsidP="009A372A">
            <w:pPr>
              <w:jc w:val="right"/>
              <w:rPr>
                <w:sz w:val="18"/>
                <w:szCs w:val="18"/>
                <w:lang w:val="es-ES_tradnl" w:eastAsia="zh-CN"/>
              </w:rPr>
            </w:pPr>
            <w:r w:rsidRPr="00A202B4">
              <w:rPr>
                <w:sz w:val="18"/>
                <w:szCs w:val="18"/>
                <w:lang w:val="es-ES_tradnl" w:eastAsia="zh-CN"/>
              </w:rPr>
              <w:t>0,006</w:t>
            </w:r>
          </w:p>
        </w:tc>
        <w:tc>
          <w:tcPr>
            <w:tcW w:w="1279" w:type="dxa"/>
            <w:tcBorders>
              <w:top w:val="nil"/>
              <w:left w:val="nil"/>
              <w:bottom w:val="single" w:sz="4" w:space="0" w:color="auto"/>
              <w:right w:val="single" w:sz="4" w:space="0" w:color="auto"/>
            </w:tcBorders>
            <w:shd w:val="clear" w:color="auto" w:fill="auto"/>
            <w:noWrap/>
            <w:vAlign w:val="center"/>
            <w:hideMark/>
          </w:tcPr>
          <w:p w14:paraId="21D7C6F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153 </w:t>
            </w:r>
          </w:p>
        </w:tc>
        <w:tc>
          <w:tcPr>
            <w:tcW w:w="1279" w:type="dxa"/>
            <w:tcBorders>
              <w:top w:val="nil"/>
              <w:left w:val="nil"/>
              <w:bottom w:val="single" w:sz="4" w:space="0" w:color="auto"/>
              <w:right w:val="single" w:sz="4" w:space="0" w:color="auto"/>
            </w:tcBorders>
            <w:shd w:val="clear" w:color="auto" w:fill="auto"/>
            <w:noWrap/>
            <w:vAlign w:val="center"/>
            <w:hideMark/>
          </w:tcPr>
          <w:p w14:paraId="6DF8138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6112AF55"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321 </w:t>
            </w:r>
          </w:p>
        </w:tc>
      </w:tr>
      <w:tr w:rsidR="00D8083E" w:rsidRPr="00A202B4" w14:paraId="19AC1535"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84D9333" w14:textId="77777777" w:rsidR="00D8083E" w:rsidRPr="00A202B4" w:rsidRDefault="00D8083E" w:rsidP="009A372A">
            <w:pPr>
              <w:jc w:val="left"/>
              <w:rPr>
                <w:sz w:val="18"/>
                <w:szCs w:val="18"/>
                <w:lang w:val="es-ES_tradnl" w:eastAsia="zh-CN"/>
              </w:rPr>
            </w:pPr>
            <w:r w:rsidRPr="00A202B4">
              <w:rPr>
                <w:sz w:val="18"/>
                <w:szCs w:val="18"/>
                <w:lang w:val="es-ES_tradnl" w:eastAsia="zh-CN"/>
              </w:rPr>
              <w:t>Mozambique</w:t>
            </w:r>
          </w:p>
        </w:tc>
        <w:tc>
          <w:tcPr>
            <w:tcW w:w="1180" w:type="dxa"/>
            <w:tcBorders>
              <w:top w:val="nil"/>
              <w:left w:val="nil"/>
              <w:bottom w:val="single" w:sz="4" w:space="0" w:color="auto"/>
              <w:right w:val="single" w:sz="4" w:space="0" w:color="auto"/>
            </w:tcBorders>
            <w:shd w:val="clear" w:color="auto" w:fill="auto"/>
            <w:vAlign w:val="center"/>
            <w:hideMark/>
          </w:tcPr>
          <w:p w14:paraId="3314E06C" w14:textId="77777777" w:rsidR="00D8083E" w:rsidRPr="00A202B4" w:rsidRDefault="00D8083E" w:rsidP="009A372A">
            <w:pPr>
              <w:jc w:val="right"/>
              <w:rPr>
                <w:sz w:val="18"/>
                <w:szCs w:val="18"/>
                <w:lang w:val="es-ES_tradnl" w:eastAsia="zh-CN"/>
              </w:rPr>
            </w:pPr>
            <w:r w:rsidRPr="00A202B4">
              <w:rPr>
                <w:sz w:val="18"/>
                <w:szCs w:val="18"/>
                <w:lang w:val="es-ES_tradnl"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42F2615B" w14:textId="77777777" w:rsidR="00D8083E" w:rsidRPr="00A202B4" w:rsidRDefault="00D8083E" w:rsidP="009A372A">
            <w:pPr>
              <w:jc w:val="right"/>
              <w:rPr>
                <w:sz w:val="18"/>
                <w:szCs w:val="18"/>
                <w:lang w:val="es-ES_tradnl" w:eastAsia="zh-CN"/>
              </w:rPr>
            </w:pPr>
            <w:r w:rsidRPr="00A202B4">
              <w:rPr>
                <w:sz w:val="18"/>
                <w:szCs w:val="18"/>
                <w:lang w:val="es-ES_tradnl" w:eastAsia="zh-CN"/>
              </w:rPr>
              <w:t>0,006</w:t>
            </w:r>
          </w:p>
        </w:tc>
        <w:tc>
          <w:tcPr>
            <w:tcW w:w="1279" w:type="dxa"/>
            <w:tcBorders>
              <w:top w:val="nil"/>
              <w:left w:val="nil"/>
              <w:bottom w:val="single" w:sz="4" w:space="0" w:color="auto"/>
              <w:right w:val="single" w:sz="4" w:space="0" w:color="auto"/>
            </w:tcBorders>
            <w:shd w:val="clear" w:color="auto" w:fill="auto"/>
            <w:noWrap/>
            <w:vAlign w:val="center"/>
            <w:hideMark/>
          </w:tcPr>
          <w:p w14:paraId="678DBCE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153 </w:t>
            </w:r>
          </w:p>
        </w:tc>
        <w:tc>
          <w:tcPr>
            <w:tcW w:w="1279" w:type="dxa"/>
            <w:tcBorders>
              <w:top w:val="nil"/>
              <w:left w:val="nil"/>
              <w:bottom w:val="single" w:sz="4" w:space="0" w:color="auto"/>
              <w:right w:val="single" w:sz="4" w:space="0" w:color="auto"/>
            </w:tcBorders>
            <w:shd w:val="clear" w:color="auto" w:fill="auto"/>
            <w:noWrap/>
            <w:vAlign w:val="center"/>
            <w:hideMark/>
          </w:tcPr>
          <w:p w14:paraId="4394790E"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168 </w:t>
            </w:r>
          </w:p>
        </w:tc>
        <w:tc>
          <w:tcPr>
            <w:tcW w:w="1180" w:type="dxa"/>
            <w:tcBorders>
              <w:top w:val="nil"/>
              <w:left w:val="nil"/>
              <w:bottom w:val="single" w:sz="4" w:space="0" w:color="auto"/>
              <w:right w:val="single" w:sz="4" w:space="0" w:color="auto"/>
            </w:tcBorders>
            <w:shd w:val="clear" w:color="auto" w:fill="auto"/>
            <w:noWrap/>
            <w:vAlign w:val="center"/>
            <w:hideMark/>
          </w:tcPr>
          <w:p w14:paraId="31F4DC16"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321 </w:t>
            </w:r>
          </w:p>
        </w:tc>
      </w:tr>
      <w:tr w:rsidR="00D8083E" w:rsidRPr="00A202B4" w14:paraId="55117328"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9B6443A" w14:textId="77777777" w:rsidR="00D8083E" w:rsidRPr="00A202B4" w:rsidRDefault="00D8083E" w:rsidP="009A372A">
            <w:pPr>
              <w:jc w:val="left"/>
              <w:rPr>
                <w:sz w:val="18"/>
                <w:szCs w:val="18"/>
                <w:lang w:val="es-ES_tradnl" w:eastAsia="zh-CN"/>
              </w:rPr>
            </w:pPr>
            <w:r w:rsidRPr="00A202B4">
              <w:rPr>
                <w:sz w:val="18"/>
                <w:szCs w:val="18"/>
                <w:lang w:val="es-ES_tradnl" w:eastAsia="zh-CN"/>
              </w:rPr>
              <w:t>Myanmar</w:t>
            </w:r>
          </w:p>
        </w:tc>
        <w:tc>
          <w:tcPr>
            <w:tcW w:w="1180" w:type="dxa"/>
            <w:tcBorders>
              <w:top w:val="nil"/>
              <w:left w:val="nil"/>
              <w:bottom w:val="single" w:sz="4" w:space="0" w:color="auto"/>
              <w:right w:val="single" w:sz="4" w:space="0" w:color="auto"/>
            </w:tcBorders>
            <w:shd w:val="clear" w:color="auto" w:fill="auto"/>
            <w:vAlign w:val="center"/>
            <w:hideMark/>
          </w:tcPr>
          <w:p w14:paraId="60646B31"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0771160A"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279" w:type="dxa"/>
            <w:tcBorders>
              <w:top w:val="nil"/>
              <w:left w:val="nil"/>
              <w:bottom w:val="single" w:sz="4" w:space="0" w:color="auto"/>
              <w:right w:val="single" w:sz="4" w:space="0" w:color="auto"/>
            </w:tcBorders>
            <w:shd w:val="clear" w:color="auto" w:fill="auto"/>
            <w:noWrap/>
            <w:vAlign w:val="center"/>
            <w:hideMark/>
          </w:tcPr>
          <w:p w14:paraId="18672BF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271 </w:t>
            </w:r>
          </w:p>
        </w:tc>
        <w:tc>
          <w:tcPr>
            <w:tcW w:w="1279" w:type="dxa"/>
            <w:tcBorders>
              <w:top w:val="nil"/>
              <w:left w:val="nil"/>
              <w:bottom w:val="single" w:sz="4" w:space="0" w:color="auto"/>
              <w:right w:val="single" w:sz="4" w:space="0" w:color="auto"/>
            </w:tcBorders>
            <w:shd w:val="clear" w:color="auto" w:fill="auto"/>
            <w:noWrap/>
            <w:vAlign w:val="center"/>
            <w:hideMark/>
          </w:tcPr>
          <w:p w14:paraId="490D79C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25053D68"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569 </w:t>
            </w:r>
          </w:p>
        </w:tc>
      </w:tr>
      <w:tr w:rsidR="00D8083E" w:rsidRPr="00A202B4" w14:paraId="6E5D115C"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97B9E19" w14:textId="77777777" w:rsidR="00D8083E" w:rsidRPr="00A202B4" w:rsidRDefault="00D8083E" w:rsidP="009A372A">
            <w:pPr>
              <w:jc w:val="left"/>
              <w:rPr>
                <w:sz w:val="18"/>
                <w:szCs w:val="18"/>
                <w:lang w:val="es-ES_tradnl" w:eastAsia="zh-CN"/>
              </w:rPr>
            </w:pPr>
            <w:r w:rsidRPr="00A202B4">
              <w:rPr>
                <w:sz w:val="18"/>
                <w:szCs w:val="18"/>
                <w:lang w:val="es-ES_tradnl" w:eastAsia="zh-CN"/>
              </w:rPr>
              <w:t>Namibia</w:t>
            </w:r>
          </w:p>
        </w:tc>
        <w:tc>
          <w:tcPr>
            <w:tcW w:w="1180" w:type="dxa"/>
            <w:tcBorders>
              <w:top w:val="nil"/>
              <w:left w:val="nil"/>
              <w:bottom w:val="single" w:sz="4" w:space="0" w:color="auto"/>
              <w:right w:val="single" w:sz="4" w:space="0" w:color="auto"/>
            </w:tcBorders>
            <w:shd w:val="clear" w:color="auto" w:fill="auto"/>
            <w:vAlign w:val="center"/>
            <w:hideMark/>
          </w:tcPr>
          <w:p w14:paraId="366CF362" w14:textId="77777777" w:rsidR="00D8083E" w:rsidRPr="00A202B4" w:rsidRDefault="00D8083E" w:rsidP="009A372A">
            <w:pPr>
              <w:jc w:val="right"/>
              <w:rPr>
                <w:sz w:val="18"/>
                <w:szCs w:val="18"/>
                <w:lang w:val="es-ES_tradnl" w:eastAsia="zh-CN"/>
              </w:rPr>
            </w:pPr>
            <w:r w:rsidRPr="00A202B4">
              <w:rPr>
                <w:sz w:val="18"/>
                <w:szCs w:val="18"/>
                <w:lang w:val="es-ES_tradnl"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0CC1C953" w14:textId="77777777" w:rsidR="00D8083E" w:rsidRPr="00A202B4" w:rsidRDefault="00D8083E" w:rsidP="009A372A">
            <w:pPr>
              <w:jc w:val="right"/>
              <w:rPr>
                <w:sz w:val="18"/>
                <w:szCs w:val="18"/>
                <w:lang w:val="es-ES_tradnl" w:eastAsia="zh-CN"/>
              </w:rPr>
            </w:pPr>
            <w:r w:rsidRPr="00A202B4">
              <w:rPr>
                <w:sz w:val="18"/>
                <w:szCs w:val="18"/>
                <w:lang w:val="es-ES_tradnl" w:eastAsia="zh-CN"/>
              </w:rPr>
              <w:t>0,013</w:t>
            </w:r>
          </w:p>
        </w:tc>
        <w:tc>
          <w:tcPr>
            <w:tcW w:w="1279" w:type="dxa"/>
            <w:tcBorders>
              <w:top w:val="nil"/>
              <w:left w:val="nil"/>
              <w:bottom w:val="single" w:sz="4" w:space="0" w:color="auto"/>
              <w:right w:val="single" w:sz="4" w:space="0" w:color="auto"/>
            </w:tcBorders>
            <w:shd w:val="clear" w:color="auto" w:fill="auto"/>
            <w:noWrap/>
            <w:vAlign w:val="center"/>
            <w:hideMark/>
          </w:tcPr>
          <w:p w14:paraId="01553D0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345 </w:t>
            </w:r>
          </w:p>
        </w:tc>
        <w:tc>
          <w:tcPr>
            <w:tcW w:w="1279" w:type="dxa"/>
            <w:tcBorders>
              <w:top w:val="nil"/>
              <w:left w:val="nil"/>
              <w:bottom w:val="single" w:sz="4" w:space="0" w:color="auto"/>
              <w:right w:val="single" w:sz="4" w:space="0" w:color="auto"/>
            </w:tcBorders>
            <w:shd w:val="clear" w:color="auto" w:fill="auto"/>
            <w:noWrap/>
            <w:vAlign w:val="center"/>
            <w:hideMark/>
          </w:tcPr>
          <w:p w14:paraId="3E1256FC"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378 </w:t>
            </w:r>
          </w:p>
        </w:tc>
        <w:tc>
          <w:tcPr>
            <w:tcW w:w="1180" w:type="dxa"/>
            <w:tcBorders>
              <w:top w:val="nil"/>
              <w:left w:val="nil"/>
              <w:bottom w:val="single" w:sz="4" w:space="0" w:color="auto"/>
              <w:right w:val="single" w:sz="4" w:space="0" w:color="auto"/>
            </w:tcBorders>
            <w:shd w:val="clear" w:color="auto" w:fill="auto"/>
            <w:noWrap/>
            <w:vAlign w:val="center"/>
            <w:hideMark/>
          </w:tcPr>
          <w:p w14:paraId="609FD28B"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723 </w:t>
            </w:r>
          </w:p>
        </w:tc>
      </w:tr>
      <w:tr w:rsidR="00D8083E" w:rsidRPr="00A202B4" w14:paraId="7E3F532E"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36FE1B9" w14:textId="77777777" w:rsidR="00D8083E" w:rsidRPr="00A202B4" w:rsidRDefault="00D8083E" w:rsidP="009A372A">
            <w:pPr>
              <w:jc w:val="left"/>
              <w:rPr>
                <w:sz w:val="18"/>
                <w:szCs w:val="18"/>
                <w:lang w:val="es-ES_tradnl" w:eastAsia="zh-CN"/>
              </w:rPr>
            </w:pPr>
            <w:r w:rsidRPr="00A202B4">
              <w:rPr>
                <w:sz w:val="18"/>
                <w:szCs w:val="18"/>
                <w:lang w:val="es-ES_tradnl" w:eastAsia="zh-CN"/>
              </w:rPr>
              <w:t>Nauru</w:t>
            </w:r>
          </w:p>
        </w:tc>
        <w:tc>
          <w:tcPr>
            <w:tcW w:w="1180" w:type="dxa"/>
            <w:tcBorders>
              <w:top w:val="nil"/>
              <w:left w:val="nil"/>
              <w:bottom w:val="single" w:sz="4" w:space="0" w:color="auto"/>
              <w:right w:val="single" w:sz="4" w:space="0" w:color="auto"/>
            </w:tcBorders>
            <w:shd w:val="clear" w:color="auto" w:fill="auto"/>
            <w:vAlign w:val="center"/>
            <w:hideMark/>
          </w:tcPr>
          <w:p w14:paraId="76332DE0"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473E901"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0DBEA44E"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65B20F1D"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7AFAB003"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2B838000"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E6701B9" w14:textId="77777777" w:rsidR="00D8083E" w:rsidRPr="00A202B4" w:rsidRDefault="00D8083E" w:rsidP="009A372A">
            <w:pPr>
              <w:jc w:val="left"/>
              <w:rPr>
                <w:sz w:val="18"/>
                <w:szCs w:val="18"/>
                <w:lang w:val="es-ES_tradnl" w:eastAsia="zh-CN"/>
              </w:rPr>
            </w:pPr>
            <w:r w:rsidRPr="00A202B4">
              <w:rPr>
                <w:sz w:val="18"/>
                <w:szCs w:val="18"/>
                <w:lang w:val="es-ES_tradnl" w:eastAsia="zh-CN"/>
              </w:rPr>
              <w:t>Nicaragua</w:t>
            </w:r>
          </w:p>
        </w:tc>
        <w:tc>
          <w:tcPr>
            <w:tcW w:w="1180" w:type="dxa"/>
            <w:tcBorders>
              <w:top w:val="nil"/>
              <w:left w:val="nil"/>
              <w:bottom w:val="single" w:sz="4" w:space="0" w:color="auto"/>
              <w:right w:val="single" w:sz="4" w:space="0" w:color="auto"/>
            </w:tcBorders>
            <w:shd w:val="clear" w:color="auto" w:fill="auto"/>
            <w:vAlign w:val="center"/>
            <w:hideMark/>
          </w:tcPr>
          <w:p w14:paraId="30B9F358" w14:textId="77777777" w:rsidR="00D8083E" w:rsidRPr="00A202B4" w:rsidRDefault="00D8083E" w:rsidP="009A372A">
            <w:pPr>
              <w:jc w:val="right"/>
              <w:rPr>
                <w:sz w:val="18"/>
                <w:szCs w:val="18"/>
                <w:lang w:val="es-ES_tradnl" w:eastAsia="zh-CN"/>
              </w:rPr>
            </w:pPr>
            <w:r w:rsidRPr="00A202B4">
              <w:rPr>
                <w:sz w:val="18"/>
                <w:szCs w:val="18"/>
                <w:lang w:val="es-ES_tradnl"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68B94857" w14:textId="77777777" w:rsidR="00D8083E" w:rsidRPr="00A202B4" w:rsidRDefault="00D8083E" w:rsidP="009A372A">
            <w:pPr>
              <w:jc w:val="right"/>
              <w:rPr>
                <w:sz w:val="18"/>
                <w:szCs w:val="18"/>
                <w:lang w:val="es-ES_tradnl" w:eastAsia="zh-CN"/>
              </w:rPr>
            </w:pPr>
            <w:r w:rsidRPr="00A202B4">
              <w:rPr>
                <w:sz w:val="18"/>
                <w:szCs w:val="18"/>
                <w:lang w:val="es-ES_tradnl" w:eastAsia="zh-CN"/>
              </w:rPr>
              <w:t>0,007</w:t>
            </w:r>
          </w:p>
        </w:tc>
        <w:tc>
          <w:tcPr>
            <w:tcW w:w="1279" w:type="dxa"/>
            <w:tcBorders>
              <w:top w:val="nil"/>
              <w:left w:val="nil"/>
              <w:bottom w:val="single" w:sz="4" w:space="0" w:color="auto"/>
              <w:right w:val="single" w:sz="4" w:space="0" w:color="auto"/>
            </w:tcBorders>
            <w:shd w:val="clear" w:color="auto" w:fill="auto"/>
            <w:noWrap/>
            <w:vAlign w:val="center"/>
            <w:hideMark/>
          </w:tcPr>
          <w:p w14:paraId="2719157D"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192 </w:t>
            </w:r>
          </w:p>
        </w:tc>
        <w:tc>
          <w:tcPr>
            <w:tcW w:w="1279" w:type="dxa"/>
            <w:tcBorders>
              <w:top w:val="nil"/>
              <w:left w:val="nil"/>
              <w:bottom w:val="single" w:sz="4" w:space="0" w:color="auto"/>
              <w:right w:val="single" w:sz="4" w:space="0" w:color="auto"/>
            </w:tcBorders>
            <w:shd w:val="clear" w:color="auto" w:fill="auto"/>
            <w:noWrap/>
            <w:vAlign w:val="center"/>
            <w:hideMark/>
          </w:tcPr>
          <w:p w14:paraId="085A14C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02DB20BC"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402 </w:t>
            </w:r>
          </w:p>
        </w:tc>
      </w:tr>
      <w:tr w:rsidR="00D8083E" w:rsidRPr="00A202B4" w14:paraId="5399DD10"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ED24037" w14:textId="77777777" w:rsidR="00D8083E" w:rsidRPr="00A202B4" w:rsidRDefault="00D8083E" w:rsidP="009A372A">
            <w:pPr>
              <w:jc w:val="left"/>
              <w:rPr>
                <w:sz w:val="18"/>
                <w:szCs w:val="18"/>
                <w:lang w:val="es-ES_tradnl" w:eastAsia="zh-CN"/>
              </w:rPr>
            </w:pPr>
            <w:r w:rsidRPr="00A202B4">
              <w:rPr>
                <w:sz w:val="18"/>
                <w:szCs w:val="18"/>
                <w:lang w:val="es-ES_tradnl" w:eastAsia="zh-CN"/>
              </w:rPr>
              <w:t>Níger</w:t>
            </w:r>
          </w:p>
        </w:tc>
        <w:tc>
          <w:tcPr>
            <w:tcW w:w="1180" w:type="dxa"/>
            <w:tcBorders>
              <w:top w:val="nil"/>
              <w:left w:val="nil"/>
              <w:bottom w:val="single" w:sz="4" w:space="0" w:color="auto"/>
              <w:right w:val="single" w:sz="4" w:space="0" w:color="auto"/>
            </w:tcBorders>
            <w:shd w:val="clear" w:color="auto" w:fill="auto"/>
            <w:vAlign w:val="center"/>
            <w:hideMark/>
          </w:tcPr>
          <w:p w14:paraId="12F66203" w14:textId="77777777" w:rsidR="00D8083E" w:rsidRPr="00A202B4" w:rsidRDefault="00D8083E" w:rsidP="009A372A">
            <w:pPr>
              <w:jc w:val="right"/>
              <w:rPr>
                <w:sz w:val="18"/>
                <w:szCs w:val="18"/>
                <w:lang w:val="es-ES_tradnl" w:eastAsia="zh-CN"/>
              </w:rPr>
            </w:pPr>
            <w:r w:rsidRPr="00A202B4">
              <w:rPr>
                <w:sz w:val="18"/>
                <w:szCs w:val="18"/>
                <w:lang w:val="es-ES_tradnl"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111AD373" w14:textId="77777777" w:rsidR="00D8083E" w:rsidRPr="00A202B4" w:rsidRDefault="00D8083E" w:rsidP="009A372A">
            <w:pPr>
              <w:jc w:val="right"/>
              <w:rPr>
                <w:sz w:val="18"/>
                <w:szCs w:val="18"/>
                <w:lang w:val="es-ES_tradnl" w:eastAsia="zh-CN"/>
              </w:rPr>
            </w:pPr>
            <w:r w:rsidRPr="00A202B4">
              <w:rPr>
                <w:sz w:val="18"/>
                <w:szCs w:val="18"/>
                <w:lang w:val="es-ES_tradnl" w:eastAsia="zh-CN"/>
              </w:rPr>
              <w:t>0,004</w:t>
            </w:r>
          </w:p>
        </w:tc>
        <w:tc>
          <w:tcPr>
            <w:tcW w:w="1279" w:type="dxa"/>
            <w:tcBorders>
              <w:top w:val="nil"/>
              <w:left w:val="nil"/>
              <w:bottom w:val="single" w:sz="4" w:space="0" w:color="auto"/>
              <w:right w:val="single" w:sz="4" w:space="0" w:color="auto"/>
            </w:tcBorders>
            <w:shd w:val="clear" w:color="auto" w:fill="auto"/>
            <w:noWrap/>
            <w:vAlign w:val="center"/>
            <w:hideMark/>
          </w:tcPr>
          <w:p w14:paraId="4D2EABC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115 </w:t>
            </w:r>
          </w:p>
        </w:tc>
        <w:tc>
          <w:tcPr>
            <w:tcW w:w="1279" w:type="dxa"/>
            <w:tcBorders>
              <w:top w:val="nil"/>
              <w:left w:val="nil"/>
              <w:bottom w:val="single" w:sz="4" w:space="0" w:color="auto"/>
              <w:right w:val="single" w:sz="4" w:space="0" w:color="auto"/>
            </w:tcBorders>
            <w:shd w:val="clear" w:color="auto" w:fill="auto"/>
            <w:noWrap/>
            <w:vAlign w:val="center"/>
            <w:hideMark/>
          </w:tcPr>
          <w:p w14:paraId="1280082C"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54C63987"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241 </w:t>
            </w:r>
          </w:p>
        </w:tc>
      </w:tr>
      <w:tr w:rsidR="00D8083E" w:rsidRPr="00A202B4" w14:paraId="5D876742"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0C293AA" w14:textId="77777777" w:rsidR="00D8083E" w:rsidRPr="00A202B4" w:rsidRDefault="00D8083E" w:rsidP="009A372A">
            <w:pPr>
              <w:jc w:val="left"/>
              <w:rPr>
                <w:sz w:val="18"/>
                <w:szCs w:val="18"/>
                <w:lang w:val="es-ES_tradnl" w:eastAsia="zh-CN"/>
              </w:rPr>
            </w:pPr>
            <w:r w:rsidRPr="00A202B4">
              <w:rPr>
                <w:sz w:val="18"/>
                <w:szCs w:val="18"/>
                <w:lang w:val="es-ES_tradnl" w:eastAsia="zh-CN"/>
              </w:rPr>
              <w:t>Nigeria</w:t>
            </w:r>
          </w:p>
        </w:tc>
        <w:tc>
          <w:tcPr>
            <w:tcW w:w="1180" w:type="dxa"/>
            <w:tcBorders>
              <w:top w:val="nil"/>
              <w:left w:val="nil"/>
              <w:bottom w:val="single" w:sz="4" w:space="0" w:color="auto"/>
              <w:right w:val="single" w:sz="4" w:space="0" w:color="auto"/>
            </w:tcBorders>
            <w:shd w:val="clear" w:color="auto" w:fill="auto"/>
            <w:vAlign w:val="center"/>
            <w:hideMark/>
          </w:tcPr>
          <w:p w14:paraId="53A7CD54" w14:textId="77777777" w:rsidR="00D8083E" w:rsidRPr="00A202B4" w:rsidRDefault="00D8083E" w:rsidP="009A372A">
            <w:pPr>
              <w:jc w:val="right"/>
              <w:rPr>
                <w:sz w:val="18"/>
                <w:szCs w:val="18"/>
                <w:lang w:val="es-ES_tradnl" w:eastAsia="zh-CN"/>
              </w:rPr>
            </w:pPr>
            <w:r w:rsidRPr="00A202B4">
              <w:rPr>
                <w:sz w:val="18"/>
                <w:szCs w:val="18"/>
                <w:lang w:val="es-ES_tradnl" w:eastAsia="zh-CN"/>
              </w:rPr>
              <w:t>0,182</w:t>
            </w:r>
          </w:p>
        </w:tc>
        <w:tc>
          <w:tcPr>
            <w:tcW w:w="1180" w:type="dxa"/>
            <w:tcBorders>
              <w:top w:val="nil"/>
              <w:left w:val="nil"/>
              <w:bottom w:val="single" w:sz="4" w:space="0" w:color="auto"/>
              <w:right w:val="single" w:sz="4" w:space="0" w:color="auto"/>
            </w:tcBorders>
            <w:shd w:val="clear" w:color="auto" w:fill="auto"/>
            <w:noWrap/>
            <w:vAlign w:val="center"/>
            <w:hideMark/>
          </w:tcPr>
          <w:p w14:paraId="677CF0EC" w14:textId="77777777" w:rsidR="00D8083E" w:rsidRPr="00A202B4" w:rsidRDefault="00D8083E" w:rsidP="009A372A">
            <w:pPr>
              <w:jc w:val="right"/>
              <w:rPr>
                <w:sz w:val="18"/>
                <w:szCs w:val="18"/>
                <w:lang w:val="es-ES_tradnl" w:eastAsia="zh-CN"/>
              </w:rPr>
            </w:pPr>
            <w:r w:rsidRPr="00A202B4">
              <w:rPr>
                <w:sz w:val="18"/>
                <w:szCs w:val="18"/>
                <w:lang w:val="es-ES_tradnl" w:eastAsia="zh-CN"/>
              </w:rPr>
              <w:t>0,257</w:t>
            </w:r>
          </w:p>
        </w:tc>
        <w:tc>
          <w:tcPr>
            <w:tcW w:w="1279" w:type="dxa"/>
            <w:tcBorders>
              <w:top w:val="nil"/>
              <w:left w:val="nil"/>
              <w:bottom w:val="single" w:sz="4" w:space="0" w:color="auto"/>
              <w:right w:val="single" w:sz="4" w:space="0" w:color="auto"/>
            </w:tcBorders>
            <w:shd w:val="clear" w:color="auto" w:fill="auto"/>
            <w:noWrap/>
            <w:vAlign w:val="center"/>
            <w:hideMark/>
          </w:tcPr>
          <w:p w14:paraId="3F336CA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6 973 </w:t>
            </w:r>
          </w:p>
        </w:tc>
        <w:tc>
          <w:tcPr>
            <w:tcW w:w="1279" w:type="dxa"/>
            <w:tcBorders>
              <w:top w:val="nil"/>
              <w:left w:val="nil"/>
              <w:bottom w:val="single" w:sz="4" w:space="0" w:color="auto"/>
              <w:right w:val="single" w:sz="4" w:space="0" w:color="auto"/>
            </w:tcBorders>
            <w:shd w:val="clear" w:color="auto" w:fill="auto"/>
            <w:noWrap/>
            <w:vAlign w:val="center"/>
            <w:hideMark/>
          </w:tcPr>
          <w:p w14:paraId="32DCBB48"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7 648 </w:t>
            </w:r>
          </w:p>
        </w:tc>
        <w:tc>
          <w:tcPr>
            <w:tcW w:w="1180" w:type="dxa"/>
            <w:tcBorders>
              <w:top w:val="nil"/>
              <w:left w:val="nil"/>
              <w:bottom w:val="single" w:sz="4" w:space="0" w:color="auto"/>
              <w:right w:val="single" w:sz="4" w:space="0" w:color="auto"/>
            </w:tcBorders>
            <w:shd w:val="clear" w:color="auto" w:fill="auto"/>
            <w:noWrap/>
            <w:vAlign w:val="center"/>
            <w:hideMark/>
          </w:tcPr>
          <w:p w14:paraId="590986DB"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14 621 </w:t>
            </w:r>
          </w:p>
        </w:tc>
      </w:tr>
      <w:tr w:rsidR="00D8083E" w:rsidRPr="00A202B4" w14:paraId="11F4F38D"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E9137CD" w14:textId="77777777" w:rsidR="00D8083E" w:rsidRPr="00A202B4" w:rsidRDefault="00D8083E" w:rsidP="009A372A">
            <w:pPr>
              <w:jc w:val="left"/>
              <w:rPr>
                <w:sz w:val="18"/>
                <w:szCs w:val="18"/>
                <w:lang w:val="es-ES_tradnl" w:eastAsia="zh-CN"/>
              </w:rPr>
            </w:pPr>
            <w:r w:rsidRPr="00A202B4">
              <w:rPr>
                <w:sz w:val="18"/>
                <w:szCs w:val="18"/>
                <w:lang w:val="es-ES_tradnl" w:eastAsia="zh-CN"/>
              </w:rPr>
              <w:t>Niue</w:t>
            </w:r>
          </w:p>
        </w:tc>
        <w:tc>
          <w:tcPr>
            <w:tcW w:w="1180" w:type="dxa"/>
            <w:tcBorders>
              <w:top w:val="nil"/>
              <w:left w:val="nil"/>
              <w:bottom w:val="single" w:sz="4" w:space="0" w:color="auto"/>
              <w:right w:val="single" w:sz="4" w:space="0" w:color="auto"/>
            </w:tcBorders>
            <w:shd w:val="clear" w:color="auto" w:fill="auto"/>
            <w:vAlign w:val="center"/>
            <w:hideMark/>
          </w:tcPr>
          <w:p w14:paraId="141691BC"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0E1A01B"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279" w:type="dxa"/>
            <w:tcBorders>
              <w:top w:val="nil"/>
              <w:left w:val="nil"/>
              <w:bottom w:val="single" w:sz="4" w:space="0" w:color="auto"/>
              <w:right w:val="single" w:sz="4" w:space="0" w:color="auto"/>
            </w:tcBorders>
            <w:shd w:val="clear" w:color="auto" w:fill="auto"/>
            <w:noWrap/>
            <w:vAlign w:val="center"/>
            <w:hideMark/>
          </w:tcPr>
          <w:p w14:paraId="2AC7F83D"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271 </w:t>
            </w:r>
          </w:p>
        </w:tc>
        <w:tc>
          <w:tcPr>
            <w:tcW w:w="1279" w:type="dxa"/>
            <w:tcBorders>
              <w:top w:val="nil"/>
              <w:left w:val="nil"/>
              <w:bottom w:val="single" w:sz="4" w:space="0" w:color="auto"/>
              <w:right w:val="single" w:sz="4" w:space="0" w:color="auto"/>
            </w:tcBorders>
            <w:shd w:val="clear" w:color="auto" w:fill="auto"/>
            <w:noWrap/>
            <w:vAlign w:val="center"/>
            <w:hideMark/>
          </w:tcPr>
          <w:p w14:paraId="548AFA2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72AA7FC7"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569 </w:t>
            </w:r>
          </w:p>
        </w:tc>
      </w:tr>
      <w:tr w:rsidR="00D8083E" w:rsidRPr="00A202B4" w14:paraId="395485C2"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D301E3E" w14:textId="77777777" w:rsidR="00D8083E" w:rsidRPr="00A202B4" w:rsidRDefault="00D8083E" w:rsidP="009A372A">
            <w:pPr>
              <w:jc w:val="left"/>
              <w:rPr>
                <w:sz w:val="18"/>
                <w:szCs w:val="18"/>
                <w:lang w:val="es-ES_tradnl" w:eastAsia="zh-CN"/>
              </w:rPr>
            </w:pPr>
            <w:r w:rsidRPr="00A202B4">
              <w:rPr>
                <w:sz w:val="18"/>
                <w:szCs w:val="18"/>
                <w:lang w:val="es-ES_tradnl" w:eastAsia="zh-CN"/>
              </w:rPr>
              <w:t>Noruega</w:t>
            </w:r>
          </w:p>
        </w:tc>
        <w:tc>
          <w:tcPr>
            <w:tcW w:w="1180" w:type="dxa"/>
            <w:tcBorders>
              <w:top w:val="nil"/>
              <w:left w:val="nil"/>
              <w:bottom w:val="single" w:sz="4" w:space="0" w:color="auto"/>
              <w:right w:val="single" w:sz="4" w:space="0" w:color="auto"/>
            </w:tcBorders>
            <w:shd w:val="clear" w:color="auto" w:fill="auto"/>
            <w:vAlign w:val="center"/>
            <w:hideMark/>
          </w:tcPr>
          <w:p w14:paraId="3A052F4E" w14:textId="77777777" w:rsidR="00D8083E" w:rsidRPr="00A202B4" w:rsidRDefault="00D8083E" w:rsidP="009A372A">
            <w:pPr>
              <w:jc w:val="right"/>
              <w:rPr>
                <w:sz w:val="18"/>
                <w:szCs w:val="18"/>
                <w:lang w:val="es-ES_tradnl" w:eastAsia="zh-CN"/>
              </w:rPr>
            </w:pPr>
            <w:r w:rsidRPr="00A202B4">
              <w:rPr>
                <w:sz w:val="18"/>
                <w:szCs w:val="18"/>
                <w:lang w:val="es-ES_tradnl" w:eastAsia="zh-CN"/>
              </w:rPr>
              <w:t>0,679</w:t>
            </w:r>
          </w:p>
        </w:tc>
        <w:tc>
          <w:tcPr>
            <w:tcW w:w="1180" w:type="dxa"/>
            <w:tcBorders>
              <w:top w:val="nil"/>
              <w:left w:val="nil"/>
              <w:bottom w:val="single" w:sz="4" w:space="0" w:color="auto"/>
              <w:right w:val="single" w:sz="4" w:space="0" w:color="auto"/>
            </w:tcBorders>
            <w:shd w:val="clear" w:color="auto" w:fill="auto"/>
            <w:noWrap/>
            <w:vAlign w:val="center"/>
            <w:hideMark/>
          </w:tcPr>
          <w:p w14:paraId="73F483B2" w14:textId="77777777" w:rsidR="00D8083E" w:rsidRPr="00A202B4" w:rsidRDefault="00D8083E" w:rsidP="009A372A">
            <w:pPr>
              <w:jc w:val="right"/>
              <w:rPr>
                <w:sz w:val="18"/>
                <w:szCs w:val="18"/>
                <w:lang w:val="es-ES_tradnl" w:eastAsia="zh-CN"/>
              </w:rPr>
            </w:pPr>
            <w:r w:rsidRPr="00A202B4">
              <w:rPr>
                <w:sz w:val="18"/>
                <w:szCs w:val="18"/>
                <w:lang w:val="es-ES_tradnl" w:eastAsia="zh-CN"/>
              </w:rPr>
              <w:t>0,959</w:t>
            </w:r>
          </w:p>
        </w:tc>
        <w:tc>
          <w:tcPr>
            <w:tcW w:w="1279" w:type="dxa"/>
            <w:tcBorders>
              <w:top w:val="nil"/>
              <w:left w:val="nil"/>
              <w:bottom w:val="single" w:sz="4" w:space="0" w:color="auto"/>
              <w:right w:val="single" w:sz="4" w:space="0" w:color="auto"/>
            </w:tcBorders>
            <w:shd w:val="clear" w:color="auto" w:fill="auto"/>
            <w:noWrap/>
            <w:vAlign w:val="center"/>
            <w:hideMark/>
          </w:tcPr>
          <w:p w14:paraId="066D44FF"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26 015 </w:t>
            </w:r>
          </w:p>
        </w:tc>
        <w:tc>
          <w:tcPr>
            <w:tcW w:w="1279" w:type="dxa"/>
            <w:tcBorders>
              <w:top w:val="nil"/>
              <w:left w:val="nil"/>
              <w:bottom w:val="single" w:sz="4" w:space="0" w:color="auto"/>
              <w:right w:val="single" w:sz="4" w:space="0" w:color="auto"/>
            </w:tcBorders>
            <w:shd w:val="clear" w:color="auto" w:fill="auto"/>
            <w:noWrap/>
            <w:vAlign w:val="center"/>
            <w:hideMark/>
          </w:tcPr>
          <w:p w14:paraId="28FC8B88"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28 534 </w:t>
            </w:r>
          </w:p>
        </w:tc>
        <w:tc>
          <w:tcPr>
            <w:tcW w:w="1180" w:type="dxa"/>
            <w:tcBorders>
              <w:top w:val="nil"/>
              <w:left w:val="nil"/>
              <w:bottom w:val="single" w:sz="4" w:space="0" w:color="auto"/>
              <w:right w:val="single" w:sz="4" w:space="0" w:color="auto"/>
            </w:tcBorders>
            <w:shd w:val="clear" w:color="auto" w:fill="auto"/>
            <w:noWrap/>
            <w:vAlign w:val="center"/>
            <w:hideMark/>
          </w:tcPr>
          <w:p w14:paraId="7B81B047"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54 549 </w:t>
            </w:r>
          </w:p>
        </w:tc>
      </w:tr>
      <w:tr w:rsidR="00D8083E" w:rsidRPr="00A202B4" w14:paraId="200E1EBE"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A9C47F4" w14:textId="77777777" w:rsidR="00D8083E" w:rsidRPr="00A202B4" w:rsidRDefault="00D8083E" w:rsidP="009A372A">
            <w:pPr>
              <w:jc w:val="left"/>
              <w:rPr>
                <w:sz w:val="18"/>
                <w:szCs w:val="18"/>
                <w:lang w:val="es-ES_tradnl" w:eastAsia="zh-CN"/>
              </w:rPr>
            </w:pPr>
            <w:r w:rsidRPr="00A202B4">
              <w:rPr>
                <w:sz w:val="18"/>
                <w:szCs w:val="18"/>
                <w:lang w:val="es-ES_tradnl" w:eastAsia="zh-CN"/>
              </w:rPr>
              <w:t>Nueva Zelandia</w:t>
            </w:r>
          </w:p>
        </w:tc>
        <w:tc>
          <w:tcPr>
            <w:tcW w:w="1180" w:type="dxa"/>
            <w:tcBorders>
              <w:top w:val="nil"/>
              <w:left w:val="nil"/>
              <w:bottom w:val="single" w:sz="4" w:space="0" w:color="auto"/>
              <w:right w:val="single" w:sz="4" w:space="0" w:color="auto"/>
            </w:tcBorders>
            <w:shd w:val="clear" w:color="auto" w:fill="auto"/>
            <w:vAlign w:val="center"/>
            <w:hideMark/>
          </w:tcPr>
          <w:p w14:paraId="58814BBB" w14:textId="77777777" w:rsidR="00D8083E" w:rsidRPr="00A202B4" w:rsidRDefault="00D8083E" w:rsidP="009A372A">
            <w:pPr>
              <w:jc w:val="right"/>
              <w:rPr>
                <w:sz w:val="18"/>
                <w:szCs w:val="18"/>
                <w:lang w:val="es-ES_tradnl" w:eastAsia="zh-CN"/>
              </w:rPr>
            </w:pPr>
            <w:r w:rsidRPr="00A202B4">
              <w:rPr>
                <w:sz w:val="18"/>
                <w:szCs w:val="18"/>
                <w:lang w:val="es-ES_tradnl" w:eastAsia="zh-CN"/>
              </w:rPr>
              <w:t>0,309</w:t>
            </w:r>
          </w:p>
        </w:tc>
        <w:tc>
          <w:tcPr>
            <w:tcW w:w="1180" w:type="dxa"/>
            <w:tcBorders>
              <w:top w:val="nil"/>
              <w:left w:val="nil"/>
              <w:bottom w:val="single" w:sz="4" w:space="0" w:color="auto"/>
              <w:right w:val="single" w:sz="4" w:space="0" w:color="auto"/>
            </w:tcBorders>
            <w:shd w:val="clear" w:color="auto" w:fill="auto"/>
            <w:noWrap/>
            <w:vAlign w:val="center"/>
            <w:hideMark/>
          </w:tcPr>
          <w:p w14:paraId="73433AF1" w14:textId="77777777" w:rsidR="00D8083E" w:rsidRPr="00A202B4" w:rsidRDefault="00D8083E" w:rsidP="009A372A">
            <w:pPr>
              <w:jc w:val="right"/>
              <w:rPr>
                <w:sz w:val="18"/>
                <w:szCs w:val="18"/>
                <w:lang w:val="es-ES_tradnl" w:eastAsia="zh-CN"/>
              </w:rPr>
            </w:pPr>
            <w:r w:rsidRPr="00A202B4">
              <w:rPr>
                <w:sz w:val="18"/>
                <w:szCs w:val="18"/>
                <w:lang w:val="es-ES_tradnl" w:eastAsia="zh-CN"/>
              </w:rPr>
              <w:t>0,436</w:t>
            </w:r>
          </w:p>
        </w:tc>
        <w:tc>
          <w:tcPr>
            <w:tcW w:w="1279" w:type="dxa"/>
            <w:tcBorders>
              <w:top w:val="nil"/>
              <w:left w:val="nil"/>
              <w:bottom w:val="single" w:sz="4" w:space="0" w:color="auto"/>
              <w:right w:val="single" w:sz="4" w:space="0" w:color="auto"/>
            </w:tcBorders>
            <w:shd w:val="clear" w:color="auto" w:fill="auto"/>
            <w:noWrap/>
            <w:vAlign w:val="center"/>
            <w:hideMark/>
          </w:tcPr>
          <w:p w14:paraId="753932F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11 839 </w:t>
            </w:r>
          </w:p>
        </w:tc>
        <w:tc>
          <w:tcPr>
            <w:tcW w:w="1279" w:type="dxa"/>
            <w:tcBorders>
              <w:top w:val="nil"/>
              <w:left w:val="nil"/>
              <w:bottom w:val="single" w:sz="4" w:space="0" w:color="auto"/>
              <w:right w:val="single" w:sz="4" w:space="0" w:color="auto"/>
            </w:tcBorders>
            <w:shd w:val="clear" w:color="auto" w:fill="auto"/>
            <w:noWrap/>
            <w:vAlign w:val="center"/>
            <w:hideMark/>
          </w:tcPr>
          <w:p w14:paraId="2E656B6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12 985 </w:t>
            </w:r>
          </w:p>
        </w:tc>
        <w:tc>
          <w:tcPr>
            <w:tcW w:w="1180" w:type="dxa"/>
            <w:tcBorders>
              <w:top w:val="nil"/>
              <w:left w:val="nil"/>
              <w:bottom w:val="single" w:sz="4" w:space="0" w:color="auto"/>
              <w:right w:val="single" w:sz="4" w:space="0" w:color="auto"/>
            </w:tcBorders>
            <w:shd w:val="clear" w:color="auto" w:fill="auto"/>
            <w:noWrap/>
            <w:vAlign w:val="center"/>
            <w:hideMark/>
          </w:tcPr>
          <w:p w14:paraId="03D51187"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24 824 </w:t>
            </w:r>
          </w:p>
        </w:tc>
      </w:tr>
      <w:tr w:rsidR="00D8083E" w:rsidRPr="00A202B4" w14:paraId="5D4559CA"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8BE296D" w14:textId="77777777" w:rsidR="00D8083E" w:rsidRPr="00A202B4" w:rsidRDefault="00D8083E" w:rsidP="009A372A">
            <w:pPr>
              <w:jc w:val="left"/>
              <w:rPr>
                <w:sz w:val="18"/>
                <w:szCs w:val="18"/>
                <w:lang w:val="es-ES_tradnl" w:eastAsia="zh-CN"/>
              </w:rPr>
            </w:pPr>
            <w:r w:rsidRPr="00A202B4">
              <w:rPr>
                <w:sz w:val="18"/>
                <w:szCs w:val="18"/>
                <w:lang w:val="es-ES_tradnl" w:eastAsia="zh-CN"/>
              </w:rPr>
              <w:t>Omán</w:t>
            </w:r>
          </w:p>
        </w:tc>
        <w:tc>
          <w:tcPr>
            <w:tcW w:w="1180" w:type="dxa"/>
            <w:tcBorders>
              <w:top w:val="nil"/>
              <w:left w:val="nil"/>
              <w:bottom w:val="single" w:sz="4" w:space="0" w:color="auto"/>
              <w:right w:val="single" w:sz="4" w:space="0" w:color="auto"/>
            </w:tcBorders>
            <w:shd w:val="clear" w:color="auto" w:fill="auto"/>
            <w:vAlign w:val="center"/>
            <w:hideMark/>
          </w:tcPr>
          <w:p w14:paraId="1248229A" w14:textId="77777777" w:rsidR="00D8083E" w:rsidRPr="00A202B4" w:rsidRDefault="00D8083E" w:rsidP="009A372A">
            <w:pPr>
              <w:jc w:val="right"/>
              <w:rPr>
                <w:sz w:val="18"/>
                <w:szCs w:val="18"/>
                <w:lang w:val="es-ES_tradnl" w:eastAsia="zh-CN"/>
              </w:rPr>
            </w:pPr>
            <w:r w:rsidRPr="00A202B4">
              <w:rPr>
                <w:sz w:val="18"/>
                <w:szCs w:val="18"/>
                <w:lang w:val="es-ES_tradnl" w:eastAsia="zh-CN"/>
              </w:rPr>
              <w:t>0,111</w:t>
            </w:r>
          </w:p>
        </w:tc>
        <w:tc>
          <w:tcPr>
            <w:tcW w:w="1180" w:type="dxa"/>
            <w:tcBorders>
              <w:top w:val="nil"/>
              <w:left w:val="nil"/>
              <w:bottom w:val="single" w:sz="4" w:space="0" w:color="auto"/>
              <w:right w:val="single" w:sz="4" w:space="0" w:color="auto"/>
            </w:tcBorders>
            <w:shd w:val="clear" w:color="auto" w:fill="auto"/>
            <w:noWrap/>
            <w:vAlign w:val="center"/>
            <w:hideMark/>
          </w:tcPr>
          <w:p w14:paraId="746425EA" w14:textId="77777777" w:rsidR="00D8083E" w:rsidRPr="00A202B4" w:rsidRDefault="00D8083E" w:rsidP="009A372A">
            <w:pPr>
              <w:jc w:val="right"/>
              <w:rPr>
                <w:sz w:val="18"/>
                <w:szCs w:val="18"/>
                <w:lang w:val="es-ES_tradnl" w:eastAsia="zh-CN"/>
              </w:rPr>
            </w:pPr>
            <w:r w:rsidRPr="00A202B4">
              <w:rPr>
                <w:sz w:val="18"/>
                <w:szCs w:val="18"/>
                <w:lang w:val="es-ES_tradnl" w:eastAsia="zh-CN"/>
              </w:rPr>
              <w:t>0,157</w:t>
            </w:r>
          </w:p>
        </w:tc>
        <w:tc>
          <w:tcPr>
            <w:tcW w:w="1279" w:type="dxa"/>
            <w:tcBorders>
              <w:top w:val="nil"/>
              <w:left w:val="nil"/>
              <w:bottom w:val="single" w:sz="4" w:space="0" w:color="auto"/>
              <w:right w:val="single" w:sz="4" w:space="0" w:color="auto"/>
            </w:tcBorders>
            <w:shd w:val="clear" w:color="auto" w:fill="auto"/>
            <w:noWrap/>
            <w:vAlign w:val="center"/>
            <w:hideMark/>
          </w:tcPr>
          <w:p w14:paraId="410F7626"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4 253 </w:t>
            </w:r>
          </w:p>
        </w:tc>
        <w:tc>
          <w:tcPr>
            <w:tcW w:w="1279" w:type="dxa"/>
            <w:tcBorders>
              <w:top w:val="nil"/>
              <w:left w:val="nil"/>
              <w:bottom w:val="single" w:sz="4" w:space="0" w:color="auto"/>
              <w:right w:val="single" w:sz="4" w:space="0" w:color="auto"/>
            </w:tcBorders>
            <w:shd w:val="clear" w:color="auto" w:fill="auto"/>
            <w:noWrap/>
            <w:vAlign w:val="center"/>
            <w:hideMark/>
          </w:tcPr>
          <w:p w14:paraId="0934584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4 665 </w:t>
            </w:r>
          </w:p>
        </w:tc>
        <w:tc>
          <w:tcPr>
            <w:tcW w:w="1180" w:type="dxa"/>
            <w:tcBorders>
              <w:top w:val="nil"/>
              <w:left w:val="nil"/>
              <w:bottom w:val="single" w:sz="4" w:space="0" w:color="auto"/>
              <w:right w:val="single" w:sz="4" w:space="0" w:color="auto"/>
            </w:tcBorders>
            <w:shd w:val="clear" w:color="auto" w:fill="auto"/>
            <w:noWrap/>
            <w:vAlign w:val="center"/>
            <w:hideMark/>
          </w:tcPr>
          <w:p w14:paraId="382ACE9E"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8 917 </w:t>
            </w:r>
          </w:p>
        </w:tc>
      </w:tr>
      <w:tr w:rsidR="00D8083E" w:rsidRPr="00A202B4" w14:paraId="3D5EDDB6"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89284C8" w14:textId="77777777" w:rsidR="00D8083E" w:rsidRPr="00A202B4" w:rsidRDefault="00D8083E" w:rsidP="009A372A">
            <w:pPr>
              <w:jc w:val="left"/>
              <w:rPr>
                <w:sz w:val="18"/>
                <w:szCs w:val="18"/>
                <w:lang w:val="es-ES_tradnl" w:eastAsia="zh-CN"/>
              </w:rPr>
            </w:pPr>
            <w:r w:rsidRPr="00A202B4">
              <w:rPr>
                <w:sz w:val="18"/>
                <w:szCs w:val="18"/>
                <w:lang w:val="es-ES_tradnl" w:eastAsia="zh-CN"/>
              </w:rPr>
              <w:t>Países Bajos</w:t>
            </w:r>
          </w:p>
        </w:tc>
        <w:tc>
          <w:tcPr>
            <w:tcW w:w="1180" w:type="dxa"/>
            <w:tcBorders>
              <w:top w:val="nil"/>
              <w:left w:val="nil"/>
              <w:bottom w:val="single" w:sz="4" w:space="0" w:color="auto"/>
              <w:right w:val="single" w:sz="4" w:space="0" w:color="auto"/>
            </w:tcBorders>
            <w:shd w:val="clear" w:color="auto" w:fill="auto"/>
            <w:vAlign w:val="center"/>
            <w:hideMark/>
          </w:tcPr>
          <w:p w14:paraId="37FCC3CC" w14:textId="77777777" w:rsidR="00D8083E" w:rsidRPr="00A202B4" w:rsidRDefault="00D8083E" w:rsidP="009A372A">
            <w:pPr>
              <w:jc w:val="right"/>
              <w:rPr>
                <w:sz w:val="18"/>
                <w:szCs w:val="18"/>
                <w:lang w:val="es-ES_tradnl" w:eastAsia="zh-CN"/>
              </w:rPr>
            </w:pPr>
            <w:r w:rsidRPr="00A202B4">
              <w:rPr>
                <w:sz w:val="18"/>
                <w:szCs w:val="18"/>
                <w:lang w:val="es-ES_tradnl" w:eastAsia="zh-CN"/>
              </w:rPr>
              <w:t>1,377</w:t>
            </w:r>
          </w:p>
        </w:tc>
        <w:tc>
          <w:tcPr>
            <w:tcW w:w="1180" w:type="dxa"/>
            <w:tcBorders>
              <w:top w:val="nil"/>
              <w:left w:val="nil"/>
              <w:bottom w:val="single" w:sz="4" w:space="0" w:color="auto"/>
              <w:right w:val="single" w:sz="4" w:space="0" w:color="auto"/>
            </w:tcBorders>
            <w:shd w:val="clear" w:color="auto" w:fill="auto"/>
            <w:noWrap/>
            <w:vAlign w:val="center"/>
            <w:hideMark/>
          </w:tcPr>
          <w:p w14:paraId="76F04C76" w14:textId="77777777" w:rsidR="00D8083E" w:rsidRPr="00A202B4" w:rsidRDefault="00D8083E" w:rsidP="009A372A">
            <w:pPr>
              <w:jc w:val="right"/>
              <w:rPr>
                <w:sz w:val="18"/>
                <w:szCs w:val="18"/>
                <w:lang w:val="es-ES_tradnl" w:eastAsia="zh-CN"/>
              </w:rPr>
            </w:pPr>
            <w:r w:rsidRPr="00A202B4">
              <w:rPr>
                <w:sz w:val="18"/>
                <w:szCs w:val="18"/>
                <w:lang w:val="es-ES_tradnl" w:eastAsia="zh-CN"/>
              </w:rPr>
              <w:t>1,944</w:t>
            </w:r>
          </w:p>
        </w:tc>
        <w:tc>
          <w:tcPr>
            <w:tcW w:w="1279" w:type="dxa"/>
            <w:tcBorders>
              <w:top w:val="nil"/>
              <w:left w:val="nil"/>
              <w:bottom w:val="single" w:sz="4" w:space="0" w:color="auto"/>
              <w:right w:val="single" w:sz="4" w:space="0" w:color="auto"/>
            </w:tcBorders>
            <w:shd w:val="clear" w:color="auto" w:fill="auto"/>
            <w:noWrap/>
            <w:vAlign w:val="center"/>
            <w:hideMark/>
          </w:tcPr>
          <w:p w14:paraId="7BB24586"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52 758 </w:t>
            </w:r>
          </w:p>
        </w:tc>
        <w:tc>
          <w:tcPr>
            <w:tcW w:w="1279" w:type="dxa"/>
            <w:tcBorders>
              <w:top w:val="nil"/>
              <w:left w:val="nil"/>
              <w:bottom w:val="single" w:sz="4" w:space="0" w:color="auto"/>
              <w:right w:val="single" w:sz="4" w:space="0" w:color="auto"/>
            </w:tcBorders>
            <w:shd w:val="clear" w:color="auto" w:fill="auto"/>
            <w:noWrap/>
            <w:vAlign w:val="center"/>
            <w:hideMark/>
          </w:tcPr>
          <w:p w14:paraId="01220CDC"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57 867 </w:t>
            </w:r>
          </w:p>
        </w:tc>
        <w:tc>
          <w:tcPr>
            <w:tcW w:w="1180" w:type="dxa"/>
            <w:tcBorders>
              <w:top w:val="nil"/>
              <w:left w:val="nil"/>
              <w:bottom w:val="single" w:sz="4" w:space="0" w:color="auto"/>
              <w:right w:val="single" w:sz="4" w:space="0" w:color="auto"/>
            </w:tcBorders>
            <w:shd w:val="clear" w:color="auto" w:fill="auto"/>
            <w:noWrap/>
            <w:vAlign w:val="center"/>
            <w:hideMark/>
          </w:tcPr>
          <w:p w14:paraId="12540C0C"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110 625 </w:t>
            </w:r>
          </w:p>
        </w:tc>
      </w:tr>
      <w:tr w:rsidR="00D8083E" w:rsidRPr="00A202B4" w14:paraId="2C800AD0"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B6C5AAE" w14:textId="77777777" w:rsidR="00D8083E" w:rsidRPr="00A202B4" w:rsidRDefault="00D8083E" w:rsidP="009A372A">
            <w:pPr>
              <w:jc w:val="left"/>
              <w:rPr>
                <w:sz w:val="18"/>
                <w:szCs w:val="18"/>
                <w:lang w:val="es-ES_tradnl" w:eastAsia="zh-CN"/>
              </w:rPr>
            </w:pPr>
            <w:r w:rsidRPr="00A202B4">
              <w:rPr>
                <w:sz w:val="18"/>
                <w:szCs w:val="18"/>
                <w:lang w:val="es-ES_tradnl" w:eastAsia="zh-CN"/>
              </w:rPr>
              <w:t>Pakistán</w:t>
            </w:r>
          </w:p>
        </w:tc>
        <w:tc>
          <w:tcPr>
            <w:tcW w:w="1180" w:type="dxa"/>
            <w:tcBorders>
              <w:top w:val="nil"/>
              <w:left w:val="nil"/>
              <w:bottom w:val="single" w:sz="4" w:space="0" w:color="auto"/>
              <w:right w:val="single" w:sz="4" w:space="0" w:color="auto"/>
            </w:tcBorders>
            <w:shd w:val="clear" w:color="auto" w:fill="auto"/>
            <w:vAlign w:val="center"/>
            <w:hideMark/>
          </w:tcPr>
          <w:p w14:paraId="06DFB95B" w14:textId="77777777" w:rsidR="00D8083E" w:rsidRPr="00A202B4" w:rsidRDefault="00D8083E" w:rsidP="009A372A">
            <w:pPr>
              <w:jc w:val="right"/>
              <w:rPr>
                <w:sz w:val="18"/>
                <w:szCs w:val="18"/>
                <w:lang w:val="es-ES_tradnl" w:eastAsia="zh-CN"/>
              </w:rPr>
            </w:pPr>
            <w:r w:rsidRPr="00A202B4">
              <w:rPr>
                <w:sz w:val="18"/>
                <w:szCs w:val="18"/>
                <w:lang w:val="es-ES_tradnl" w:eastAsia="zh-CN"/>
              </w:rPr>
              <w:t>0,114</w:t>
            </w:r>
          </w:p>
        </w:tc>
        <w:tc>
          <w:tcPr>
            <w:tcW w:w="1180" w:type="dxa"/>
            <w:tcBorders>
              <w:top w:val="nil"/>
              <w:left w:val="nil"/>
              <w:bottom w:val="single" w:sz="4" w:space="0" w:color="auto"/>
              <w:right w:val="single" w:sz="4" w:space="0" w:color="auto"/>
            </w:tcBorders>
            <w:shd w:val="clear" w:color="auto" w:fill="auto"/>
            <w:noWrap/>
            <w:vAlign w:val="center"/>
            <w:hideMark/>
          </w:tcPr>
          <w:p w14:paraId="4FD67A26" w14:textId="77777777" w:rsidR="00D8083E" w:rsidRPr="00A202B4" w:rsidRDefault="00D8083E" w:rsidP="009A372A">
            <w:pPr>
              <w:jc w:val="right"/>
              <w:rPr>
                <w:sz w:val="18"/>
                <w:szCs w:val="18"/>
                <w:lang w:val="es-ES_tradnl" w:eastAsia="zh-CN"/>
              </w:rPr>
            </w:pPr>
            <w:r w:rsidRPr="00A202B4">
              <w:rPr>
                <w:sz w:val="18"/>
                <w:szCs w:val="18"/>
                <w:lang w:val="es-ES_tradnl" w:eastAsia="zh-CN"/>
              </w:rPr>
              <w:t>0,161</w:t>
            </w:r>
          </w:p>
        </w:tc>
        <w:tc>
          <w:tcPr>
            <w:tcW w:w="1279" w:type="dxa"/>
            <w:tcBorders>
              <w:top w:val="nil"/>
              <w:left w:val="nil"/>
              <w:bottom w:val="single" w:sz="4" w:space="0" w:color="auto"/>
              <w:right w:val="single" w:sz="4" w:space="0" w:color="auto"/>
            </w:tcBorders>
            <w:shd w:val="clear" w:color="auto" w:fill="auto"/>
            <w:noWrap/>
            <w:vAlign w:val="center"/>
            <w:hideMark/>
          </w:tcPr>
          <w:p w14:paraId="7218F67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4 368 </w:t>
            </w:r>
          </w:p>
        </w:tc>
        <w:tc>
          <w:tcPr>
            <w:tcW w:w="1279" w:type="dxa"/>
            <w:tcBorders>
              <w:top w:val="nil"/>
              <w:left w:val="nil"/>
              <w:bottom w:val="single" w:sz="4" w:space="0" w:color="auto"/>
              <w:right w:val="single" w:sz="4" w:space="0" w:color="auto"/>
            </w:tcBorders>
            <w:shd w:val="clear" w:color="auto" w:fill="auto"/>
            <w:noWrap/>
            <w:vAlign w:val="center"/>
            <w:hideMark/>
          </w:tcPr>
          <w:p w14:paraId="42B349CE"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4 791 </w:t>
            </w:r>
          </w:p>
        </w:tc>
        <w:tc>
          <w:tcPr>
            <w:tcW w:w="1180" w:type="dxa"/>
            <w:tcBorders>
              <w:top w:val="nil"/>
              <w:left w:val="nil"/>
              <w:bottom w:val="single" w:sz="4" w:space="0" w:color="auto"/>
              <w:right w:val="single" w:sz="4" w:space="0" w:color="auto"/>
            </w:tcBorders>
            <w:shd w:val="clear" w:color="auto" w:fill="auto"/>
            <w:noWrap/>
            <w:vAlign w:val="center"/>
            <w:hideMark/>
          </w:tcPr>
          <w:p w14:paraId="73234E4E"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9 158 </w:t>
            </w:r>
          </w:p>
        </w:tc>
      </w:tr>
      <w:tr w:rsidR="00D8083E" w:rsidRPr="00A202B4" w14:paraId="1B3F1D8C"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72B866F" w14:textId="77777777" w:rsidR="00D8083E" w:rsidRPr="00A202B4" w:rsidRDefault="00D8083E" w:rsidP="009A372A">
            <w:pPr>
              <w:jc w:val="left"/>
              <w:rPr>
                <w:sz w:val="18"/>
                <w:szCs w:val="18"/>
                <w:lang w:val="es-ES_tradnl" w:eastAsia="zh-CN"/>
              </w:rPr>
            </w:pPr>
            <w:r w:rsidRPr="00A202B4">
              <w:rPr>
                <w:sz w:val="18"/>
                <w:szCs w:val="18"/>
                <w:lang w:val="es-ES_tradnl" w:eastAsia="zh-CN"/>
              </w:rPr>
              <w:t>Palau</w:t>
            </w:r>
          </w:p>
        </w:tc>
        <w:tc>
          <w:tcPr>
            <w:tcW w:w="1180" w:type="dxa"/>
            <w:tcBorders>
              <w:top w:val="nil"/>
              <w:left w:val="nil"/>
              <w:bottom w:val="single" w:sz="4" w:space="0" w:color="auto"/>
              <w:right w:val="single" w:sz="4" w:space="0" w:color="auto"/>
            </w:tcBorders>
            <w:shd w:val="clear" w:color="auto" w:fill="auto"/>
            <w:vAlign w:val="center"/>
            <w:hideMark/>
          </w:tcPr>
          <w:p w14:paraId="6BD124FE"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18507DA"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778B1F77"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2F43204D"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3D3AFE6B"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6491E8A9"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F5D530F" w14:textId="77777777" w:rsidR="00D8083E" w:rsidRPr="00A202B4" w:rsidRDefault="00D8083E" w:rsidP="009A372A">
            <w:pPr>
              <w:jc w:val="left"/>
              <w:rPr>
                <w:sz w:val="18"/>
                <w:szCs w:val="18"/>
                <w:lang w:val="es-ES_tradnl" w:eastAsia="zh-CN"/>
              </w:rPr>
            </w:pPr>
            <w:r w:rsidRPr="00A202B4">
              <w:rPr>
                <w:sz w:val="18"/>
                <w:szCs w:val="18"/>
                <w:lang w:val="es-ES_tradnl" w:eastAsia="zh-CN"/>
              </w:rPr>
              <w:t>Panamá</w:t>
            </w:r>
          </w:p>
        </w:tc>
        <w:tc>
          <w:tcPr>
            <w:tcW w:w="1180" w:type="dxa"/>
            <w:tcBorders>
              <w:top w:val="nil"/>
              <w:left w:val="nil"/>
              <w:bottom w:val="single" w:sz="4" w:space="0" w:color="auto"/>
              <w:right w:val="single" w:sz="4" w:space="0" w:color="auto"/>
            </w:tcBorders>
            <w:shd w:val="clear" w:color="auto" w:fill="auto"/>
            <w:vAlign w:val="center"/>
            <w:hideMark/>
          </w:tcPr>
          <w:p w14:paraId="1A484011" w14:textId="77777777" w:rsidR="00D8083E" w:rsidRPr="00A202B4" w:rsidRDefault="00D8083E" w:rsidP="009A372A">
            <w:pPr>
              <w:jc w:val="right"/>
              <w:rPr>
                <w:sz w:val="18"/>
                <w:szCs w:val="18"/>
                <w:lang w:val="es-ES_tradnl" w:eastAsia="zh-CN"/>
              </w:rPr>
            </w:pPr>
            <w:r w:rsidRPr="00A202B4">
              <w:rPr>
                <w:sz w:val="18"/>
                <w:szCs w:val="18"/>
                <w:lang w:val="es-ES_tradnl" w:eastAsia="zh-CN"/>
              </w:rPr>
              <w:t>0,090</w:t>
            </w:r>
          </w:p>
        </w:tc>
        <w:tc>
          <w:tcPr>
            <w:tcW w:w="1180" w:type="dxa"/>
            <w:tcBorders>
              <w:top w:val="nil"/>
              <w:left w:val="nil"/>
              <w:bottom w:val="single" w:sz="4" w:space="0" w:color="auto"/>
              <w:right w:val="single" w:sz="4" w:space="0" w:color="auto"/>
            </w:tcBorders>
            <w:shd w:val="clear" w:color="auto" w:fill="auto"/>
            <w:noWrap/>
            <w:vAlign w:val="center"/>
            <w:hideMark/>
          </w:tcPr>
          <w:p w14:paraId="60CE88F1" w14:textId="77777777" w:rsidR="00D8083E" w:rsidRPr="00A202B4" w:rsidRDefault="00D8083E" w:rsidP="009A372A">
            <w:pPr>
              <w:jc w:val="right"/>
              <w:rPr>
                <w:sz w:val="18"/>
                <w:szCs w:val="18"/>
                <w:lang w:val="es-ES_tradnl" w:eastAsia="zh-CN"/>
              </w:rPr>
            </w:pPr>
            <w:r w:rsidRPr="00A202B4">
              <w:rPr>
                <w:sz w:val="18"/>
                <w:szCs w:val="18"/>
                <w:lang w:val="es-ES_tradnl" w:eastAsia="zh-CN"/>
              </w:rPr>
              <w:t>0,127</w:t>
            </w:r>
          </w:p>
        </w:tc>
        <w:tc>
          <w:tcPr>
            <w:tcW w:w="1279" w:type="dxa"/>
            <w:tcBorders>
              <w:top w:val="nil"/>
              <w:left w:val="nil"/>
              <w:bottom w:val="single" w:sz="4" w:space="0" w:color="auto"/>
              <w:right w:val="single" w:sz="4" w:space="0" w:color="auto"/>
            </w:tcBorders>
            <w:shd w:val="clear" w:color="auto" w:fill="auto"/>
            <w:noWrap/>
            <w:vAlign w:val="center"/>
            <w:hideMark/>
          </w:tcPr>
          <w:p w14:paraId="6E686B4D"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3 448 </w:t>
            </w:r>
          </w:p>
        </w:tc>
        <w:tc>
          <w:tcPr>
            <w:tcW w:w="1279" w:type="dxa"/>
            <w:tcBorders>
              <w:top w:val="nil"/>
              <w:left w:val="nil"/>
              <w:bottom w:val="single" w:sz="4" w:space="0" w:color="auto"/>
              <w:right w:val="single" w:sz="4" w:space="0" w:color="auto"/>
            </w:tcBorders>
            <w:shd w:val="clear" w:color="auto" w:fill="auto"/>
            <w:noWrap/>
            <w:vAlign w:val="center"/>
            <w:hideMark/>
          </w:tcPr>
          <w:p w14:paraId="36E95C7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3 782 </w:t>
            </w:r>
          </w:p>
        </w:tc>
        <w:tc>
          <w:tcPr>
            <w:tcW w:w="1180" w:type="dxa"/>
            <w:tcBorders>
              <w:top w:val="nil"/>
              <w:left w:val="nil"/>
              <w:bottom w:val="single" w:sz="4" w:space="0" w:color="auto"/>
              <w:right w:val="single" w:sz="4" w:space="0" w:color="auto"/>
            </w:tcBorders>
            <w:shd w:val="clear" w:color="auto" w:fill="auto"/>
            <w:noWrap/>
            <w:vAlign w:val="center"/>
            <w:hideMark/>
          </w:tcPr>
          <w:p w14:paraId="318C0B15"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7 230 </w:t>
            </w:r>
          </w:p>
        </w:tc>
      </w:tr>
      <w:tr w:rsidR="00D8083E" w:rsidRPr="00A202B4" w14:paraId="3A323EB8"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C9798E6" w14:textId="77777777" w:rsidR="00D8083E" w:rsidRPr="00A202B4" w:rsidRDefault="00D8083E" w:rsidP="009A372A">
            <w:pPr>
              <w:jc w:val="left"/>
              <w:rPr>
                <w:sz w:val="18"/>
                <w:szCs w:val="18"/>
                <w:lang w:val="es-ES_tradnl" w:eastAsia="zh-CN"/>
              </w:rPr>
            </w:pPr>
            <w:r w:rsidRPr="00A202B4">
              <w:rPr>
                <w:sz w:val="18"/>
                <w:szCs w:val="18"/>
                <w:lang w:val="es-ES_tradnl" w:eastAsia="zh-CN"/>
              </w:rPr>
              <w:t>Papua Nueva Guinea</w:t>
            </w:r>
          </w:p>
        </w:tc>
        <w:tc>
          <w:tcPr>
            <w:tcW w:w="1180" w:type="dxa"/>
            <w:tcBorders>
              <w:top w:val="nil"/>
              <w:left w:val="nil"/>
              <w:bottom w:val="single" w:sz="4" w:space="0" w:color="auto"/>
              <w:right w:val="single" w:sz="4" w:space="0" w:color="auto"/>
            </w:tcBorders>
            <w:shd w:val="clear" w:color="auto" w:fill="auto"/>
            <w:vAlign w:val="center"/>
            <w:hideMark/>
          </w:tcPr>
          <w:p w14:paraId="6ED192E8"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8FDC8F0" w14:textId="77777777" w:rsidR="00D8083E" w:rsidRPr="00A202B4" w:rsidRDefault="00D8083E" w:rsidP="009A372A">
            <w:pPr>
              <w:jc w:val="right"/>
              <w:rPr>
                <w:sz w:val="18"/>
                <w:szCs w:val="18"/>
                <w:lang w:val="es-ES_tradnl" w:eastAsia="zh-CN"/>
              </w:rPr>
            </w:pPr>
            <w:r w:rsidRPr="00A202B4">
              <w:rPr>
                <w:sz w:val="18"/>
                <w:szCs w:val="18"/>
                <w:lang w:val="es-ES_tradnl" w:eastAsia="zh-CN"/>
              </w:rPr>
              <w:t>0,014</w:t>
            </w:r>
          </w:p>
        </w:tc>
        <w:tc>
          <w:tcPr>
            <w:tcW w:w="1279" w:type="dxa"/>
            <w:tcBorders>
              <w:top w:val="nil"/>
              <w:left w:val="nil"/>
              <w:bottom w:val="single" w:sz="4" w:space="0" w:color="auto"/>
              <w:right w:val="single" w:sz="4" w:space="0" w:color="auto"/>
            </w:tcBorders>
            <w:shd w:val="clear" w:color="auto" w:fill="auto"/>
            <w:noWrap/>
            <w:vAlign w:val="center"/>
            <w:hideMark/>
          </w:tcPr>
          <w:p w14:paraId="3B12865D"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383 </w:t>
            </w:r>
          </w:p>
        </w:tc>
        <w:tc>
          <w:tcPr>
            <w:tcW w:w="1279" w:type="dxa"/>
            <w:tcBorders>
              <w:top w:val="nil"/>
              <w:left w:val="nil"/>
              <w:bottom w:val="single" w:sz="4" w:space="0" w:color="auto"/>
              <w:right w:val="single" w:sz="4" w:space="0" w:color="auto"/>
            </w:tcBorders>
            <w:shd w:val="clear" w:color="auto" w:fill="auto"/>
            <w:noWrap/>
            <w:vAlign w:val="center"/>
            <w:hideMark/>
          </w:tcPr>
          <w:p w14:paraId="50B97C4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420 </w:t>
            </w:r>
          </w:p>
        </w:tc>
        <w:tc>
          <w:tcPr>
            <w:tcW w:w="1180" w:type="dxa"/>
            <w:tcBorders>
              <w:top w:val="nil"/>
              <w:left w:val="nil"/>
              <w:bottom w:val="single" w:sz="4" w:space="0" w:color="auto"/>
              <w:right w:val="single" w:sz="4" w:space="0" w:color="auto"/>
            </w:tcBorders>
            <w:shd w:val="clear" w:color="auto" w:fill="auto"/>
            <w:noWrap/>
            <w:vAlign w:val="center"/>
            <w:hideMark/>
          </w:tcPr>
          <w:p w14:paraId="76E13EC7"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803 </w:t>
            </w:r>
          </w:p>
        </w:tc>
      </w:tr>
      <w:tr w:rsidR="00D8083E" w:rsidRPr="00A202B4" w14:paraId="5DE5036E"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49CFE5F" w14:textId="77777777" w:rsidR="00D8083E" w:rsidRPr="00A202B4" w:rsidRDefault="00D8083E" w:rsidP="009A372A">
            <w:pPr>
              <w:jc w:val="left"/>
              <w:rPr>
                <w:sz w:val="18"/>
                <w:szCs w:val="18"/>
                <w:lang w:val="es-ES_tradnl" w:eastAsia="zh-CN"/>
              </w:rPr>
            </w:pPr>
            <w:r w:rsidRPr="00A202B4">
              <w:rPr>
                <w:sz w:val="18"/>
                <w:szCs w:val="18"/>
                <w:lang w:val="es-ES_tradnl" w:eastAsia="zh-CN"/>
              </w:rPr>
              <w:t>Paraguay</w:t>
            </w:r>
          </w:p>
        </w:tc>
        <w:tc>
          <w:tcPr>
            <w:tcW w:w="1180" w:type="dxa"/>
            <w:tcBorders>
              <w:top w:val="nil"/>
              <w:left w:val="nil"/>
              <w:bottom w:val="single" w:sz="4" w:space="0" w:color="auto"/>
              <w:right w:val="single" w:sz="4" w:space="0" w:color="auto"/>
            </w:tcBorders>
            <w:shd w:val="clear" w:color="auto" w:fill="auto"/>
            <w:vAlign w:val="center"/>
            <w:hideMark/>
          </w:tcPr>
          <w:p w14:paraId="05D76113" w14:textId="77777777" w:rsidR="00D8083E" w:rsidRPr="00A202B4" w:rsidRDefault="00D8083E" w:rsidP="009A372A">
            <w:pPr>
              <w:jc w:val="right"/>
              <w:rPr>
                <w:sz w:val="18"/>
                <w:szCs w:val="18"/>
                <w:lang w:val="es-ES_tradnl" w:eastAsia="zh-CN"/>
              </w:rPr>
            </w:pPr>
            <w:r w:rsidRPr="00A202B4">
              <w:rPr>
                <w:sz w:val="18"/>
                <w:szCs w:val="18"/>
                <w:lang w:val="es-ES_tradnl" w:eastAsia="zh-CN"/>
              </w:rPr>
              <w:t>0,026</w:t>
            </w:r>
          </w:p>
        </w:tc>
        <w:tc>
          <w:tcPr>
            <w:tcW w:w="1180" w:type="dxa"/>
            <w:tcBorders>
              <w:top w:val="nil"/>
              <w:left w:val="nil"/>
              <w:bottom w:val="single" w:sz="4" w:space="0" w:color="auto"/>
              <w:right w:val="single" w:sz="4" w:space="0" w:color="auto"/>
            </w:tcBorders>
            <w:shd w:val="clear" w:color="auto" w:fill="auto"/>
            <w:noWrap/>
            <w:vAlign w:val="center"/>
            <w:hideMark/>
          </w:tcPr>
          <w:p w14:paraId="32B3D239" w14:textId="77777777" w:rsidR="00D8083E" w:rsidRPr="00A202B4" w:rsidRDefault="00D8083E" w:rsidP="009A372A">
            <w:pPr>
              <w:jc w:val="right"/>
              <w:rPr>
                <w:sz w:val="18"/>
                <w:szCs w:val="18"/>
                <w:lang w:val="es-ES_tradnl" w:eastAsia="zh-CN"/>
              </w:rPr>
            </w:pPr>
            <w:r w:rsidRPr="00A202B4">
              <w:rPr>
                <w:sz w:val="18"/>
                <w:szCs w:val="18"/>
                <w:lang w:val="es-ES_tradnl" w:eastAsia="zh-CN"/>
              </w:rPr>
              <w:t>0,037</w:t>
            </w:r>
          </w:p>
        </w:tc>
        <w:tc>
          <w:tcPr>
            <w:tcW w:w="1279" w:type="dxa"/>
            <w:tcBorders>
              <w:top w:val="nil"/>
              <w:left w:val="nil"/>
              <w:bottom w:val="single" w:sz="4" w:space="0" w:color="auto"/>
              <w:right w:val="single" w:sz="4" w:space="0" w:color="auto"/>
            </w:tcBorders>
            <w:shd w:val="clear" w:color="auto" w:fill="auto"/>
            <w:noWrap/>
            <w:vAlign w:val="center"/>
            <w:hideMark/>
          </w:tcPr>
          <w:p w14:paraId="379490A7"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996 </w:t>
            </w:r>
          </w:p>
        </w:tc>
        <w:tc>
          <w:tcPr>
            <w:tcW w:w="1279" w:type="dxa"/>
            <w:tcBorders>
              <w:top w:val="nil"/>
              <w:left w:val="nil"/>
              <w:bottom w:val="single" w:sz="4" w:space="0" w:color="auto"/>
              <w:right w:val="single" w:sz="4" w:space="0" w:color="auto"/>
            </w:tcBorders>
            <w:shd w:val="clear" w:color="auto" w:fill="auto"/>
            <w:noWrap/>
            <w:vAlign w:val="center"/>
            <w:hideMark/>
          </w:tcPr>
          <w:p w14:paraId="597E162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1 093 </w:t>
            </w:r>
          </w:p>
        </w:tc>
        <w:tc>
          <w:tcPr>
            <w:tcW w:w="1180" w:type="dxa"/>
            <w:tcBorders>
              <w:top w:val="nil"/>
              <w:left w:val="nil"/>
              <w:bottom w:val="single" w:sz="4" w:space="0" w:color="auto"/>
              <w:right w:val="single" w:sz="4" w:space="0" w:color="auto"/>
            </w:tcBorders>
            <w:shd w:val="clear" w:color="auto" w:fill="auto"/>
            <w:noWrap/>
            <w:vAlign w:val="center"/>
            <w:hideMark/>
          </w:tcPr>
          <w:p w14:paraId="5523EA6C"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2 089 </w:t>
            </w:r>
          </w:p>
        </w:tc>
      </w:tr>
      <w:tr w:rsidR="00D8083E" w:rsidRPr="00A202B4" w14:paraId="68660CE1"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5C176C4" w14:textId="77777777" w:rsidR="00D8083E" w:rsidRPr="00A202B4" w:rsidRDefault="00D8083E" w:rsidP="009A372A">
            <w:pPr>
              <w:jc w:val="left"/>
              <w:rPr>
                <w:sz w:val="18"/>
                <w:szCs w:val="18"/>
                <w:lang w:val="es-ES_tradnl" w:eastAsia="zh-CN"/>
              </w:rPr>
            </w:pPr>
            <w:r w:rsidRPr="00A202B4">
              <w:rPr>
                <w:sz w:val="18"/>
                <w:szCs w:val="18"/>
                <w:lang w:val="es-ES_tradnl" w:eastAsia="zh-CN"/>
              </w:rPr>
              <w:t>Perú</w:t>
            </w:r>
          </w:p>
        </w:tc>
        <w:tc>
          <w:tcPr>
            <w:tcW w:w="1180" w:type="dxa"/>
            <w:tcBorders>
              <w:top w:val="nil"/>
              <w:left w:val="nil"/>
              <w:bottom w:val="single" w:sz="4" w:space="0" w:color="auto"/>
              <w:right w:val="single" w:sz="4" w:space="0" w:color="auto"/>
            </w:tcBorders>
            <w:shd w:val="clear" w:color="auto" w:fill="auto"/>
            <w:vAlign w:val="center"/>
            <w:hideMark/>
          </w:tcPr>
          <w:p w14:paraId="59F614F1" w14:textId="77777777" w:rsidR="00D8083E" w:rsidRPr="00A202B4" w:rsidRDefault="00D8083E" w:rsidP="009A372A">
            <w:pPr>
              <w:jc w:val="right"/>
              <w:rPr>
                <w:sz w:val="18"/>
                <w:szCs w:val="18"/>
                <w:lang w:val="es-ES_tradnl" w:eastAsia="zh-CN"/>
              </w:rPr>
            </w:pPr>
            <w:r w:rsidRPr="00A202B4">
              <w:rPr>
                <w:sz w:val="18"/>
                <w:szCs w:val="18"/>
                <w:lang w:val="es-ES_tradnl" w:eastAsia="zh-CN"/>
              </w:rPr>
              <w:t>0,163</w:t>
            </w:r>
          </w:p>
        </w:tc>
        <w:tc>
          <w:tcPr>
            <w:tcW w:w="1180" w:type="dxa"/>
            <w:tcBorders>
              <w:top w:val="nil"/>
              <w:left w:val="nil"/>
              <w:bottom w:val="single" w:sz="4" w:space="0" w:color="auto"/>
              <w:right w:val="single" w:sz="4" w:space="0" w:color="auto"/>
            </w:tcBorders>
            <w:shd w:val="clear" w:color="auto" w:fill="auto"/>
            <w:noWrap/>
            <w:vAlign w:val="center"/>
            <w:hideMark/>
          </w:tcPr>
          <w:p w14:paraId="508E564A" w14:textId="77777777" w:rsidR="00D8083E" w:rsidRPr="00A202B4" w:rsidRDefault="00D8083E" w:rsidP="009A372A">
            <w:pPr>
              <w:jc w:val="right"/>
              <w:rPr>
                <w:sz w:val="18"/>
                <w:szCs w:val="18"/>
                <w:lang w:val="es-ES_tradnl" w:eastAsia="zh-CN"/>
              </w:rPr>
            </w:pPr>
            <w:r w:rsidRPr="00A202B4">
              <w:rPr>
                <w:sz w:val="18"/>
                <w:szCs w:val="18"/>
                <w:lang w:val="es-ES_tradnl" w:eastAsia="zh-CN"/>
              </w:rPr>
              <w:t>0,230</w:t>
            </w:r>
          </w:p>
        </w:tc>
        <w:tc>
          <w:tcPr>
            <w:tcW w:w="1279" w:type="dxa"/>
            <w:tcBorders>
              <w:top w:val="nil"/>
              <w:left w:val="nil"/>
              <w:bottom w:val="single" w:sz="4" w:space="0" w:color="auto"/>
              <w:right w:val="single" w:sz="4" w:space="0" w:color="auto"/>
            </w:tcBorders>
            <w:shd w:val="clear" w:color="auto" w:fill="auto"/>
            <w:noWrap/>
            <w:vAlign w:val="center"/>
            <w:hideMark/>
          </w:tcPr>
          <w:p w14:paraId="7F912E9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6 245 </w:t>
            </w:r>
          </w:p>
        </w:tc>
        <w:tc>
          <w:tcPr>
            <w:tcW w:w="1279" w:type="dxa"/>
            <w:tcBorders>
              <w:top w:val="nil"/>
              <w:left w:val="nil"/>
              <w:bottom w:val="single" w:sz="4" w:space="0" w:color="auto"/>
              <w:right w:val="single" w:sz="4" w:space="0" w:color="auto"/>
            </w:tcBorders>
            <w:shd w:val="clear" w:color="auto" w:fill="auto"/>
            <w:noWrap/>
            <w:vAlign w:val="center"/>
            <w:hideMark/>
          </w:tcPr>
          <w:p w14:paraId="7FB4812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6 850 </w:t>
            </w:r>
          </w:p>
        </w:tc>
        <w:tc>
          <w:tcPr>
            <w:tcW w:w="1180" w:type="dxa"/>
            <w:tcBorders>
              <w:top w:val="nil"/>
              <w:left w:val="nil"/>
              <w:bottom w:val="single" w:sz="4" w:space="0" w:color="auto"/>
              <w:right w:val="single" w:sz="4" w:space="0" w:color="auto"/>
            </w:tcBorders>
            <w:shd w:val="clear" w:color="auto" w:fill="auto"/>
            <w:noWrap/>
            <w:vAlign w:val="center"/>
            <w:hideMark/>
          </w:tcPr>
          <w:p w14:paraId="4ACAFD59"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13 095 </w:t>
            </w:r>
          </w:p>
        </w:tc>
      </w:tr>
      <w:tr w:rsidR="00D8083E" w:rsidRPr="00A202B4" w14:paraId="780A0AA0"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E0913DE" w14:textId="77777777" w:rsidR="00D8083E" w:rsidRPr="00A202B4" w:rsidRDefault="00D8083E" w:rsidP="009A372A">
            <w:pPr>
              <w:jc w:val="left"/>
              <w:rPr>
                <w:sz w:val="18"/>
                <w:szCs w:val="18"/>
                <w:lang w:val="es-ES_tradnl" w:eastAsia="zh-CN"/>
              </w:rPr>
            </w:pPr>
            <w:r w:rsidRPr="00A202B4">
              <w:rPr>
                <w:sz w:val="18"/>
                <w:szCs w:val="18"/>
                <w:lang w:val="es-ES_tradnl" w:eastAsia="zh-CN"/>
              </w:rPr>
              <w:t>Polonia</w:t>
            </w:r>
          </w:p>
        </w:tc>
        <w:tc>
          <w:tcPr>
            <w:tcW w:w="1180" w:type="dxa"/>
            <w:tcBorders>
              <w:top w:val="nil"/>
              <w:left w:val="nil"/>
              <w:bottom w:val="single" w:sz="4" w:space="0" w:color="auto"/>
              <w:right w:val="single" w:sz="4" w:space="0" w:color="auto"/>
            </w:tcBorders>
            <w:shd w:val="clear" w:color="auto" w:fill="auto"/>
            <w:vAlign w:val="center"/>
            <w:hideMark/>
          </w:tcPr>
          <w:p w14:paraId="2D4BF65A" w14:textId="77777777" w:rsidR="00D8083E" w:rsidRPr="00A202B4" w:rsidRDefault="00D8083E" w:rsidP="009A372A">
            <w:pPr>
              <w:jc w:val="right"/>
              <w:rPr>
                <w:sz w:val="18"/>
                <w:szCs w:val="18"/>
                <w:lang w:val="es-ES_tradnl" w:eastAsia="zh-CN"/>
              </w:rPr>
            </w:pPr>
            <w:r w:rsidRPr="00A202B4">
              <w:rPr>
                <w:sz w:val="18"/>
                <w:szCs w:val="18"/>
                <w:lang w:val="es-ES_tradnl" w:eastAsia="zh-CN"/>
              </w:rPr>
              <w:t>0,837</w:t>
            </w:r>
          </w:p>
        </w:tc>
        <w:tc>
          <w:tcPr>
            <w:tcW w:w="1180" w:type="dxa"/>
            <w:tcBorders>
              <w:top w:val="nil"/>
              <w:left w:val="nil"/>
              <w:bottom w:val="single" w:sz="4" w:space="0" w:color="auto"/>
              <w:right w:val="single" w:sz="4" w:space="0" w:color="auto"/>
            </w:tcBorders>
            <w:shd w:val="clear" w:color="auto" w:fill="auto"/>
            <w:noWrap/>
            <w:vAlign w:val="center"/>
            <w:hideMark/>
          </w:tcPr>
          <w:p w14:paraId="5636B834" w14:textId="77777777" w:rsidR="00D8083E" w:rsidRPr="00A202B4" w:rsidRDefault="00D8083E" w:rsidP="009A372A">
            <w:pPr>
              <w:jc w:val="right"/>
              <w:rPr>
                <w:sz w:val="18"/>
                <w:szCs w:val="18"/>
                <w:lang w:val="es-ES_tradnl" w:eastAsia="zh-CN"/>
              </w:rPr>
            </w:pPr>
            <w:r w:rsidRPr="00A202B4">
              <w:rPr>
                <w:sz w:val="18"/>
                <w:szCs w:val="18"/>
                <w:lang w:val="es-ES_tradnl" w:eastAsia="zh-CN"/>
              </w:rPr>
              <w:t>1,182</w:t>
            </w:r>
          </w:p>
        </w:tc>
        <w:tc>
          <w:tcPr>
            <w:tcW w:w="1279" w:type="dxa"/>
            <w:tcBorders>
              <w:top w:val="nil"/>
              <w:left w:val="nil"/>
              <w:bottom w:val="single" w:sz="4" w:space="0" w:color="auto"/>
              <w:right w:val="single" w:sz="4" w:space="0" w:color="auto"/>
            </w:tcBorders>
            <w:shd w:val="clear" w:color="auto" w:fill="auto"/>
            <w:noWrap/>
            <w:vAlign w:val="center"/>
            <w:hideMark/>
          </w:tcPr>
          <w:p w14:paraId="0C45971C"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32 069 </w:t>
            </w:r>
          </w:p>
        </w:tc>
        <w:tc>
          <w:tcPr>
            <w:tcW w:w="1279" w:type="dxa"/>
            <w:tcBorders>
              <w:top w:val="nil"/>
              <w:left w:val="nil"/>
              <w:bottom w:val="single" w:sz="4" w:space="0" w:color="auto"/>
              <w:right w:val="single" w:sz="4" w:space="0" w:color="auto"/>
            </w:tcBorders>
            <w:shd w:val="clear" w:color="auto" w:fill="auto"/>
            <w:noWrap/>
            <w:vAlign w:val="center"/>
            <w:hideMark/>
          </w:tcPr>
          <w:p w14:paraId="64C2B61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35 174 </w:t>
            </w:r>
          </w:p>
        </w:tc>
        <w:tc>
          <w:tcPr>
            <w:tcW w:w="1180" w:type="dxa"/>
            <w:tcBorders>
              <w:top w:val="nil"/>
              <w:left w:val="nil"/>
              <w:bottom w:val="single" w:sz="4" w:space="0" w:color="auto"/>
              <w:right w:val="single" w:sz="4" w:space="0" w:color="auto"/>
            </w:tcBorders>
            <w:shd w:val="clear" w:color="auto" w:fill="auto"/>
            <w:noWrap/>
            <w:vAlign w:val="center"/>
            <w:hideMark/>
          </w:tcPr>
          <w:p w14:paraId="1CD02437"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67 243 </w:t>
            </w:r>
          </w:p>
        </w:tc>
      </w:tr>
      <w:tr w:rsidR="00D8083E" w:rsidRPr="00A202B4" w14:paraId="4591999B"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4468241" w14:textId="77777777" w:rsidR="00D8083E" w:rsidRPr="00A202B4" w:rsidRDefault="00D8083E" w:rsidP="009A372A">
            <w:pPr>
              <w:jc w:val="left"/>
              <w:rPr>
                <w:sz w:val="18"/>
                <w:szCs w:val="18"/>
                <w:lang w:val="es-ES_tradnl" w:eastAsia="zh-CN"/>
              </w:rPr>
            </w:pPr>
            <w:r w:rsidRPr="00A202B4">
              <w:rPr>
                <w:sz w:val="18"/>
                <w:szCs w:val="18"/>
                <w:lang w:val="es-ES_tradnl" w:eastAsia="zh-CN"/>
              </w:rPr>
              <w:t>Portugal</w:t>
            </w:r>
          </w:p>
        </w:tc>
        <w:tc>
          <w:tcPr>
            <w:tcW w:w="1180" w:type="dxa"/>
            <w:tcBorders>
              <w:top w:val="nil"/>
              <w:left w:val="nil"/>
              <w:bottom w:val="single" w:sz="4" w:space="0" w:color="auto"/>
              <w:right w:val="single" w:sz="4" w:space="0" w:color="auto"/>
            </w:tcBorders>
            <w:shd w:val="clear" w:color="auto" w:fill="auto"/>
            <w:vAlign w:val="center"/>
            <w:hideMark/>
          </w:tcPr>
          <w:p w14:paraId="0FFFC145" w14:textId="77777777" w:rsidR="00D8083E" w:rsidRPr="00A202B4" w:rsidRDefault="00D8083E" w:rsidP="009A372A">
            <w:pPr>
              <w:jc w:val="right"/>
              <w:rPr>
                <w:sz w:val="18"/>
                <w:szCs w:val="18"/>
                <w:lang w:val="es-ES_tradnl" w:eastAsia="zh-CN"/>
              </w:rPr>
            </w:pPr>
            <w:r w:rsidRPr="00A202B4">
              <w:rPr>
                <w:sz w:val="18"/>
                <w:szCs w:val="18"/>
                <w:lang w:val="es-ES_tradnl" w:eastAsia="zh-CN"/>
              </w:rPr>
              <w:t>0,353</w:t>
            </w:r>
          </w:p>
        </w:tc>
        <w:tc>
          <w:tcPr>
            <w:tcW w:w="1180" w:type="dxa"/>
            <w:tcBorders>
              <w:top w:val="nil"/>
              <w:left w:val="nil"/>
              <w:bottom w:val="single" w:sz="4" w:space="0" w:color="auto"/>
              <w:right w:val="single" w:sz="4" w:space="0" w:color="auto"/>
            </w:tcBorders>
            <w:shd w:val="clear" w:color="auto" w:fill="auto"/>
            <w:noWrap/>
            <w:vAlign w:val="center"/>
            <w:hideMark/>
          </w:tcPr>
          <w:p w14:paraId="61A63CBF" w14:textId="77777777" w:rsidR="00D8083E" w:rsidRPr="00A202B4" w:rsidRDefault="00D8083E" w:rsidP="009A372A">
            <w:pPr>
              <w:jc w:val="right"/>
              <w:rPr>
                <w:sz w:val="18"/>
                <w:szCs w:val="18"/>
                <w:lang w:val="es-ES_tradnl" w:eastAsia="zh-CN"/>
              </w:rPr>
            </w:pPr>
            <w:r w:rsidRPr="00A202B4">
              <w:rPr>
                <w:sz w:val="18"/>
                <w:szCs w:val="18"/>
                <w:lang w:val="es-ES_tradnl" w:eastAsia="zh-CN"/>
              </w:rPr>
              <w:t>0,498</w:t>
            </w:r>
          </w:p>
        </w:tc>
        <w:tc>
          <w:tcPr>
            <w:tcW w:w="1279" w:type="dxa"/>
            <w:tcBorders>
              <w:top w:val="nil"/>
              <w:left w:val="nil"/>
              <w:bottom w:val="single" w:sz="4" w:space="0" w:color="auto"/>
              <w:right w:val="single" w:sz="4" w:space="0" w:color="auto"/>
            </w:tcBorders>
            <w:shd w:val="clear" w:color="auto" w:fill="auto"/>
            <w:noWrap/>
            <w:vAlign w:val="center"/>
            <w:hideMark/>
          </w:tcPr>
          <w:p w14:paraId="41754C9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13 525 </w:t>
            </w:r>
          </w:p>
        </w:tc>
        <w:tc>
          <w:tcPr>
            <w:tcW w:w="1279" w:type="dxa"/>
            <w:tcBorders>
              <w:top w:val="nil"/>
              <w:left w:val="nil"/>
              <w:bottom w:val="single" w:sz="4" w:space="0" w:color="auto"/>
              <w:right w:val="single" w:sz="4" w:space="0" w:color="auto"/>
            </w:tcBorders>
            <w:shd w:val="clear" w:color="auto" w:fill="auto"/>
            <w:noWrap/>
            <w:vAlign w:val="center"/>
            <w:hideMark/>
          </w:tcPr>
          <w:p w14:paraId="4C07471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14 834 </w:t>
            </w:r>
          </w:p>
        </w:tc>
        <w:tc>
          <w:tcPr>
            <w:tcW w:w="1180" w:type="dxa"/>
            <w:tcBorders>
              <w:top w:val="nil"/>
              <w:left w:val="nil"/>
              <w:bottom w:val="single" w:sz="4" w:space="0" w:color="auto"/>
              <w:right w:val="single" w:sz="4" w:space="0" w:color="auto"/>
            </w:tcBorders>
            <w:shd w:val="clear" w:color="auto" w:fill="auto"/>
            <w:noWrap/>
            <w:vAlign w:val="center"/>
            <w:hideMark/>
          </w:tcPr>
          <w:p w14:paraId="4E3E42B3"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28 359 </w:t>
            </w:r>
          </w:p>
        </w:tc>
      </w:tr>
      <w:tr w:rsidR="00D8083E" w:rsidRPr="00A202B4" w14:paraId="188AD03B"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DBE9B35" w14:textId="77777777" w:rsidR="00D8083E" w:rsidRPr="00A202B4" w:rsidRDefault="00D8083E" w:rsidP="009A372A">
            <w:pPr>
              <w:jc w:val="left"/>
              <w:rPr>
                <w:sz w:val="18"/>
                <w:szCs w:val="18"/>
                <w:lang w:val="es-ES_tradnl" w:eastAsia="zh-CN"/>
              </w:rPr>
            </w:pPr>
            <w:r w:rsidRPr="00A202B4">
              <w:rPr>
                <w:sz w:val="18"/>
                <w:szCs w:val="18"/>
                <w:lang w:val="es-ES_tradnl" w:eastAsia="zh-CN"/>
              </w:rPr>
              <w:t>Qatar</w:t>
            </w:r>
          </w:p>
        </w:tc>
        <w:tc>
          <w:tcPr>
            <w:tcW w:w="1180" w:type="dxa"/>
            <w:tcBorders>
              <w:top w:val="nil"/>
              <w:left w:val="nil"/>
              <w:bottom w:val="single" w:sz="4" w:space="0" w:color="auto"/>
              <w:right w:val="single" w:sz="4" w:space="0" w:color="auto"/>
            </w:tcBorders>
            <w:shd w:val="clear" w:color="auto" w:fill="auto"/>
            <w:vAlign w:val="center"/>
            <w:hideMark/>
          </w:tcPr>
          <w:p w14:paraId="14554089" w14:textId="77777777" w:rsidR="00D8083E" w:rsidRPr="00A202B4" w:rsidRDefault="00D8083E" w:rsidP="009A372A">
            <w:pPr>
              <w:jc w:val="right"/>
              <w:rPr>
                <w:sz w:val="18"/>
                <w:szCs w:val="18"/>
                <w:lang w:val="es-ES_tradnl" w:eastAsia="zh-CN"/>
              </w:rPr>
            </w:pPr>
            <w:r w:rsidRPr="00A202B4">
              <w:rPr>
                <w:sz w:val="18"/>
                <w:szCs w:val="18"/>
                <w:lang w:val="es-ES_tradnl" w:eastAsia="zh-CN"/>
              </w:rPr>
              <w:t>0,269</w:t>
            </w:r>
          </w:p>
        </w:tc>
        <w:tc>
          <w:tcPr>
            <w:tcW w:w="1180" w:type="dxa"/>
            <w:tcBorders>
              <w:top w:val="nil"/>
              <w:left w:val="nil"/>
              <w:bottom w:val="single" w:sz="4" w:space="0" w:color="auto"/>
              <w:right w:val="single" w:sz="4" w:space="0" w:color="auto"/>
            </w:tcBorders>
            <w:shd w:val="clear" w:color="auto" w:fill="auto"/>
            <w:noWrap/>
            <w:vAlign w:val="center"/>
            <w:hideMark/>
          </w:tcPr>
          <w:p w14:paraId="25997A0C" w14:textId="77777777" w:rsidR="00D8083E" w:rsidRPr="00A202B4" w:rsidRDefault="00D8083E" w:rsidP="009A372A">
            <w:pPr>
              <w:jc w:val="right"/>
              <w:rPr>
                <w:sz w:val="18"/>
                <w:szCs w:val="18"/>
                <w:lang w:val="es-ES_tradnl" w:eastAsia="zh-CN"/>
              </w:rPr>
            </w:pPr>
            <w:r w:rsidRPr="00A202B4">
              <w:rPr>
                <w:sz w:val="18"/>
                <w:szCs w:val="18"/>
                <w:lang w:val="es-ES_tradnl" w:eastAsia="zh-CN"/>
              </w:rPr>
              <w:t>0,380</w:t>
            </w:r>
          </w:p>
        </w:tc>
        <w:tc>
          <w:tcPr>
            <w:tcW w:w="1279" w:type="dxa"/>
            <w:tcBorders>
              <w:top w:val="nil"/>
              <w:left w:val="nil"/>
              <w:bottom w:val="single" w:sz="4" w:space="0" w:color="auto"/>
              <w:right w:val="single" w:sz="4" w:space="0" w:color="auto"/>
            </w:tcBorders>
            <w:shd w:val="clear" w:color="auto" w:fill="auto"/>
            <w:noWrap/>
            <w:vAlign w:val="center"/>
            <w:hideMark/>
          </w:tcPr>
          <w:p w14:paraId="0BEBF3A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10 306 </w:t>
            </w:r>
          </w:p>
        </w:tc>
        <w:tc>
          <w:tcPr>
            <w:tcW w:w="1279" w:type="dxa"/>
            <w:tcBorders>
              <w:top w:val="nil"/>
              <w:left w:val="nil"/>
              <w:bottom w:val="single" w:sz="4" w:space="0" w:color="auto"/>
              <w:right w:val="single" w:sz="4" w:space="0" w:color="auto"/>
            </w:tcBorders>
            <w:shd w:val="clear" w:color="auto" w:fill="auto"/>
            <w:noWrap/>
            <w:vAlign w:val="center"/>
            <w:hideMark/>
          </w:tcPr>
          <w:p w14:paraId="75EE3616" w14:textId="77777777" w:rsidR="00D8083E" w:rsidRPr="00A202B4" w:rsidRDefault="00D8083E" w:rsidP="009A372A">
            <w:pPr>
              <w:jc w:val="right"/>
              <w:rPr>
                <w:sz w:val="18"/>
                <w:szCs w:val="18"/>
                <w:lang w:val="es-ES_tradnl" w:eastAsia="zh-CN"/>
              </w:rPr>
            </w:pPr>
            <w:r w:rsidRPr="00A202B4">
              <w:rPr>
                <w:sz w:val="18"/>
                <w:szCs w:val="18"/>
                <w:lang w:val="es-ES_tradnl" w:eastAsia="zh-CN"/>
              </w:rPr>
              <w:t>11 304</w:t>
            </w:r>
          </w:p>
        </w:tc>
        <w:tc>
          <w:tcPr>
            <w:tcW w:w="1180" w:type="dxa"/>
            <w:tcBorders>
              <w:top w:val="nil"/>
              <w:left w:val="nil"/>
              <w:bottom w:val="single" w:sz="4" w:space="0" w:color="auto"/>
              <w:right w:val="single" w:sz="4" w:space="0" w:color="auto"/>
            </w:tcBorders>
            <w:shd w:val="clear" w:color="auto" w:fill="auto"/>
            <w:noWrap/>
            <w:vAlign w:val="center"/>
            <w:hideMark/>
          </w:tcPr>
          <w:p w14:paraId="4E9DD896"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21 611 </w:t>
            </w:r>
          </w:p>
        </w:tc>
      </w:tr>
      <w:tr w:rsidR="00D8083E" w:rsidRPr="00A202B4" w14:paraId="39104B61"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06323D4" w14:textId="77777777" w:rsidR="00D8083E" w:rsidRPr="00A202B4" w:rsidRDefault="00D8083E" w:rsidP="009A372A">
            <w:pPr>
              <w:jc w:val="left"/>
              <w:rPr>
                <w:sz w:val="18"/>
                <w:szCs w:val="18"/>
                <w:lang w:val="es-ES_tradnl" w:eastAsia="zh-CN"/>
              </w:rPr>
            </w:pPr>
            <w:r w:rsidRPr="00A202B4">
              <w:rPr>
                <w:sz w:val="18"/>
                <w:szCs w:val="18"/>
                <w:lang w:val="es-ES_tradnl" w:eastAsia="zh-CN"/>
              </w:rPr>
              <w:t>Reino Unido de Gran Bretaña e Irlanda del Norte</w:t>
            </w:r>
          </w:p>
        </w:tc>
        <w:tc>
          <w:tcPr>
            <w:tcW w:w="1180" w:type="dxa"/>
            <w:tcBorders>
              <w:top w:val="nil"/>
              <w:left w:val="nil"/>
              <w:bottom w:val="single" w:sz="4" w:space="0" w:color="auto"/>
              <w:right w:val="single" w:sz="4" w:space="0" w:color="auto"/>
            </w:tcBorders>
            <w:shd w:val="clear" w:color="auto" w:fill="auto"/>
            <w:vAlign w:val="center"/>
            <w:hideMark/>
          </w:tcPr>
          <w:p w14:paraId="16623EEE" w14:textId="77777777" w:rsidR="00D8083E" w:rsidRPr="00A202B4" w:rsidRDefault="00D8083E" w:rsidP="009A372A">
            <w:pPr>
              <w:jc w:val="right"/>
              <w:rPr>
                <w:sz w:val="18"/>
                <w:szCs w:val="18"/>
                <w:lang w:val="es-ES_tradnl" w:eastAsia="zh-CN"/>
              </w:rPr>
            </w:pPr>
            <w:r w:rsidRPr="00A202B4">
              <w:rPr>
                <w:sz w:val="18"/>
                <w:szCs w:val="18"/>
                <w:lang w:val="es-ES_tradnl" w:eastAsia="zh-CN"/>
              </w:rPr>
              <w:t>4,375</w:t>
            </w:r>
          </w:p>
        </w:tc>
        <w:tc>
          <w:tcPr>
            <w:tcW w:w="1180" w:type="dxa"/>
            <w:tcBorders>
              <w:top w:val="nil"/>
              <w:left w:val="nil"/>
              <w:bottom w:val="single" w:sz="4" w:space="0" w:color="auto"/>
              <w:right w:val="single" w:sz="4" w:space="0" w:color="auto"/>
            </w:tcBorders>
            <w:shd w:val="clear" w:color="auto" w:fill="auto"/>
            <w:noWrap/>
            <w:vAlign w:val="center"/>
            <w:hideMark/>
          </w:tcPr>
          <w:p w14:paraId="5214EBCE" w14:textId="77777777" w:rsidR="00D8083E" w:rsidRPr="00A202B4" w:rsidRDefault="00D8083E" w:rsidP="009A372A">
            <w:pPr>
              <w:jc w:val="right"/>
              <w:rPr>
                <w:sz w:val="18"/>
                <w:szCs w:val="18"/>
                <w:lang w:val="es-ES_tradnl" w:eastAsia="zh-CN"/>
              </w:rPr>
            </w:pPr>
            <w:r w:rsidRPr="00A202B4">
              <w:rPr>
                <w:sz w:val="18"/>
                <w:szCs w:val="18"/>
                <w:lang w:val="es-ES_tradnl" w:eastAsia="zh-CN"/>
              </w:rPr>
              <w:t>6,176</w:t>
            </w:r>
          </w:p>
        </w:tc>
        <w:tc>
          <w:tcPr>
            <w:tcW w:w="1279" w:type="dxa"/>
            <w:tcBorders>
              <w:top w:val="nil"/>
              <w:left w:val="nil"/>
              <w:bottom w:val="single" w:sz="4" w:space="0" w:color="auto"/>
              <w:right w:val="single" w:sz="4" w:space="0" w:color="auto"/>
            </w:tcBorders>
            <w:shd w:val="clear" w:color="auto" w:fill="auto"/>
            <w:noWrap/>
            <w:vAlign w:val="center"/>
            <w:hideMark/>
          </w:tcPr>
          <w:p w14:paraId="07A7124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167 623 </w:t>
            </w:r>
          </w:p>
        </w:tc>
        <w:tc>
          <w:tcPr>
            <w:tcW w:w="1279" w:type="dxa"/>
            <w:tcBorders>
              <w:top w:val="nil"/>
              <w:left w:val="nil"/>
              <w:bottom w:val="single" w:sz="4" w:space="0" w:color="auto"/>
              <w:right w:val="single" w:sz="4" w:space="0" w:color="auto"/>
            </w:tcBorders>
            <w:shd w:val="clear" w:color="auto" w:fill="auto"/>
            <w:noWrap/>
            <w:vAlign w:val="center"/>
            <w:hideMark/>
          </w:tcPr>
          <w:p w14:paraId="2F7522D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183 854 </w:t>
            </w:r>
          </w:p>
        </w:tc>
        <w:tc>
          <w:tcPr>
            <w:tcW w:w="1180" w:type="dxa"/>
            <w:tcBorders>
              <w:top w:val="nil"/>
              <w:left w:val="nil"/>
              <w:bottom w:val="single" w:sz="4" w:space="0" w:color="auto"/>
              <w:right w:val="single" w:sz="4" w:space="0" w:color="auto"/>
            </w:tcBorders>
            <w:shd w:val="clear" w:color="auto" w:fill="auto"/>
            <w:noWrap/>
            <w:vAlign w:val="center"/>
            <w:hideMark/>
          </w:tcPr>
          <w:p w14:paraId="3BC61494"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351 477 </w:t>
            </w:r>
          </w:p>
        </w:tc>
      </w:tr>
      <w:tr w:rsidR="00D8083E" w:rsidRPr="00A202B4" w14:paraId="4EEF0F39"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128AB5E" w14:textId="77777777" w:rsidR="00D8083E" w:rsidRPr="00A202B4" w:rsidRDefault="00D8083E" w:rsidP="009A372A">
            <w:pPr>
              <w:jc w:val="left"/>
              <w:rPr>
                <w:sz w:val="18"/>
                <w:szCs w:val="18"/>
                <w:lang w:val="es-ES_tradnl" w:eastAsia="zh-CN"/>
              </w:rPr>
            </w:pPr>
            <w:r w:rsidRPr="00A202B4">
              <w:rPr>
                <w:sz w:val="18"/>
                <w:szCs w:val="18"/>
                <w:lang w:val="es-ES_tradnl" w:eastAsia="zh-CN"/>
              </w:rPr>
              <w:t>República Árabe Siria</w:t>
            </w:r>
          </w:p>
        </w:tc>
        <w:tc>
          <w:tcPr>
            <w:tcW w:w="1180" w:type="dxa"/>
            <w:tcBorders>
              <w:top w:val="nil"/>
              <w:left w:val="nil"/>
              <w:bottom w:val="single" w:sz="4" w:space="0" w:color="auto"/>
              <w:right w:val="single" w:sz="4" w:space="0" w:color="auto"/>
            </w:tcBorders>
            <w:shd w:val="clear" w:color="auto" w:fill="auto"/>
            <w:vAlign w:val="center"/>
            <w:hideMark/>
          </w:tcPr>
          <w:p w14:paraId="50431AE6" w14:textId="77777777" w:rsidR="00D8083E" w:rsidRPr="00A202B4" w:rsidRDefault="00D8083E" w:rsidP="009A372A">
            <w:pPr>
              <w:jc w:val="right"/>
              <w:rPr>
                <w:sz w:val="18"/>
                <w:szCs w:val="18"/>
                <w:lang w:val="es-ES_tradnl" w:eastAsia="zh-CN"/>
              </w:rPr>
            </w:pPr>
            <w:r w:rsidRPr="00A202B4">
              <w:rPr>
                <w:sz w:val="18"/>
                <w:szCs w:val="18"/>
                <w:lang w:val="es-ES_tradnl"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396BDD05" w14:textId="77777777" w:rsidR="00D8083E" w:rsidRPr="00A202B4" w:rsidRDefault="00D8083E" w:rsidP="009A372A">
            <w:pPr>
              <w:jc w:val="right"/>
              <w:rPr>
                <w:sz w:val="18"/>
                <w:szCs w:val="18"/>
                <w:lang w:val="es-ES_tradnl" w:eastAsia="zh-CN"/>
              </w:rPr>
            </w:pPr>
            <w:r w:rsidRPr="00A202B4">
              <w:rPr>
                <w:sz w:val="18"/>
                <w:szCs w:val="18"/>
                <w:lang w:val="es-ES_tradnl" w:eastAsia="zh-CN"/>
              </w:rPr>
              <w:t>0,013</w:t>
            </w:r>
          </w:p>
        </w:tc>
        <w:tc>
          <w:tcPr>
            <w:tcW w:w="1279" w:type="dxa"/>
            <w:tcBorders>
              <w:top w:val="nil"/>
              <w:left w:val="nil"/>
              <w:bottom w:val="single" w:sz="4" w:space="0" w:color="auto"/>
              <w:right w:val="single" w:sz="4" w:space="0" w:color="auto"/>
            </w:tcBorders>
            <w:shd w:val="clear" w:color="auto" w:fill="auto"/>
            <w:noWrap/>
            <w:vAlign w:val="center"/>
            <w:hideMark/>
          </w:tcPr>
          <w:p w14:paraId="7A0ADF2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345 </w:t>
            </w:r>
          </w:p>
        </w:tc>
        <w:tc>
          <w:tcPr>
            <w:tcW w:w="1279" w:type="dxa"/>
            <w:tcBorders>
              <w:top w:val="nil"/>
              <w:left w:val="nil"/>
              <w:bottom w:val="single" w:sz="4" w:space="0" w:color="auto"/>
              <w:right w:val="single" w:sz="4" w:space="0" w:color="auto"/>
            </w:tcBorders>
            <w:shd w:val="clear" w:color="auto" w:fill="auto"/>
            <w:noWrap/>
            <w:vAlign w:val="center"/>
            <w:hideMark/>
          </w:tcPr>
          <w:p w14:paraId="0E1EFEC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378 </w:t>
            </w:r>
          </w:p>
        </w:tc>
        <w:tc>
          <w:tcPr>
            <w:tcW w:w="1180" w:type="dxa"/>
            <w:tcBorders>
              <w:top w:val="nil"/>
              <w:left w:val="nil"/>
              <w:bottom w:val="single" w:sz="4" w:space="0" w:color="auto"/>
              <w:right w:val="single" w:sz="4" w:space="0" w:color="auto"/>
            </w:tcBorders>
            <w:shd w:val="clear" w:color="auto" w:fill="auto"/>
            <w:noWrap/>
            <w:vAlign w:val="center"/>
            <w:hideMark/>
          </w:tcPr>
          <w:p w14:paraId="562119FE"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723 </w:t>
            </w:r>
          </w:p>
        </w:tc>
      </w:tr>
      <w:tr w:rsidR="00D8083E" w:rsidRPr="00A202B4" w14:paraId="2E7EFBE8"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427D167" w14:textId="77777777" w:rsidR="00D8083E" w:rsidRPr="00A202B4" w:rsidRDefault="00D8083E" w:rsidP="009A372A">
            <w:pPr>
              <w:jc w:val="left"/>
              <w:rPr>
                <w:sz w:val="18"/>
                <w:szCs w:val="18"/>
                <w:lang w:val="es-ES_tradnl" w:eastAsia="zh-CN"/>
              </w:rPr>
            </w:pPr>
            <w:r w:rsidRPr="00A202B4">
              <w:rPr>
                <w:sz w:val="18"/>
                <w:szCs w:val="18"/>
                <w:lang w:val="es-ES_tradnl" w:eastAsia="zh-CN"/>
              </w:rPr>
              <w:t>República Centroafricana</w:t>
            </w:r>
          </w:p>
        </w:tc>
        <w:tc>
          <w:tcPr>
            <w:tcW w:w="1180" w:type="dxa"/>
            <w:tcBorders>
              <w:top w:val="nil"/>
              <w:left w:val="nil"/>
              <w:bottom w:val="single" w:sz="4" w:space="0" w:color="auto"/>
              <w:right w:val="single" w:sz="4" w:space="0" w:color="auto"/>
            </w:tcBorders>
            <w:shd w:val="clear" w:color="auto" w:fill="auto"/>
            <w:vAlign w:val="center"/>
            <w:hideMark/>
          </w:tcPr>
          <w:p w14:paraId="46993223"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7E253AC2"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754C20B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048F9FE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14F5A31B"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2B7291A1"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892B67E" w14:textId="77777777" w:rsidR="00D8083E" w:rsidRPr="00A202B4" w:rsidRDefault="00D8083E" w:rsidP="009A372A">
            <w:pPr>
              <w:jc w:val="left"/>
              <w:rPr>
                <w:sz w:val="18"/>
                <w:szCs w:val="18"/>
                <w:lang w:val="es-ES_tradnl" w:eastAsia="zh-CN"/>
              </w:rPr>
            </w:pPr>
            <w:r w:rsidRPr="00A202B4">
              <w:rPr>
                <w:sz w:val="18"/>
                <w:szCs w:val="18"/>
                <w:lang w:val="es-ES_tradnl" w:eastAsia="zh-CN"/>
              </w:rPr>
              <w:t>República de Corea</w:t>
            </w:r>
          </w:p>
        </w:tc>
        <w:tc>
          <w:tcPr>
            <w:tcW w:w="1180" w:type="dxa"/>
            <w:tcBorders>
              <w:top w:val="nil"/>
              <w:left w:val="nil"/>
              <w:bottom w:val="single" w:sz="4" w:space="0" w:color="auto"/>
              <w:right w:val="single" w:sz="4" w:space="0" w:color="auto"/>
            </w:tcBorders>
            <w:shd w:val="clear" w:color="auto" w:fill="auto"/>
            <w:vAlign w:val="center"/>
            <w:hideMark/>
          </w:tcPr>
          <w:p w14:paraId="0F6FD6FE" w14:textId="77777777" w:rsidR="00D8083E" w:rsidRPr="00A202B4" w:rsidRDefault="00D8083E" w:rsidP="009A372A">
            <w:pPr>
              <w:jc w:val="right"/>
              <w:rPr>
                <w:sz w:val="18"/>
                <w:szCs w:val="18"/>
                <w:lang w:val="es-ES_tradnl" w:eastAsia="zh-CN"/>
              </w:rPr>
            </w:pPr>
            <w:r w:rsidRPr="00A202B4">
              <w:rPr>
                <w:sz w:val="18"/>
                <w:szCs w:val="18"/>
                <w:lang w:val="es-ES_tradnl" w:eastAsia="zh-CN"/>
              </w:rPr>
              <w:t>2,574</w:t>
            </w:r>
          </w:p>
        </w:tc>
        <w:tc>
          <w:tcPr>
            <w:tcW w:w="1180" w:type="dxa"/>
            <w:tcBorders>
              <w:top w:val="nil"/>
              <w:left w:val="nil"/>
              <w:bottom w:val="single" w:sz="4" w:space="0" w:color="auto"/>
              <w:right w:val="single" w:sz="4" w:space="0" w:color="auto"/>
            </w:tcBorders>
            <w:shd w:val="clear" w:color="auto" w:fill="auto"/>
            <w:noWrap/>
            <w:vAlign w:val="center"/>
            <w:hideMark/>
          </w:tcPr>
          <w:p w14:paraId="5097923C" w14:textId="77777777" w:rsidR="00D8083E" w:rsidRPr="00A202B4" w:rsidRDefault="00D8083E" w:rsidP="009A372A">
            <w:pPr>
              <w:jc w:val="right"/>
              <w:rPr>
                <w:sz w:val="18"/>
                <w:szCs w:val="18"/>
                <w:lang w:val="es-ES_tradnl" w:eastAsia="zh-CN"/>
              </w:rPr>
            </w:pPr>
            <w:r w:rsidRPr="00A202B4">
              <w:rPr>
                <w:sz w:val="18"/>
                <w:szCs w:val="18"/>
                <w:lang w:val="es-ES_tradnl" w:eastAsia="zh-CN"/>
              </w:rPr>
              <w:t>3,634</w:t>
            </w:r>
          </w:p>
        </w:tc>
        <w:tc>
          <w:tcPr>
            <w:tcW w:w="1279" w:type="dxa"/>
            <w:tcBorders>
              <w:top w:val="nil"/>
              <w:left w:val="nil"/>
              <w:bottom w:val="single" w:sz="4" w:space="0" w:color="auto"/>
              <w:right w:val="single" w:sz="4" w:space="0" w:color="auto"/>
            </w:tcBorders>
            <w:shd w:val="clear" w:color="auto" w:fill="auto"/>
            <w:noWrap/>
            <w:vAlign w:val="center"/>
            <w:hideMark/>
          </w:tcPr>
          <w:p w14:paraId="61D1D7F8"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98 620 </w:t>
            </w:r>
          </w:p>
        </w:tc>
        <w:tc>
          <w:tcPr>
            <w:tcW w:w="1279" w:type="dxa"/>
            <w:tcBorders>
              <w:top w:val="nil"/>
              <w:left w:val="nil"/>
              <w:bottom w:val="single" w:sz="4" w:space="0" w:color="auto"/>
              <w:right w:val="single" w:sz="4" w:space="0" w:color="auto"/>
            </w:tcBorders>
            <w:shd w:val="clear" w:color="auto" w:fill="auto"/>
            <w:noWrap/>
            <w:vAlign w:val="center"/>
            <w:hideMark/>
          </w:tcPr>
          <w:p w14:paraId="4A572C9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108 169 </w:t>
            </w:r>
          </w:p>
        </w:tc>
        <w:tc>
          <w:tcPr>
            <w:tcW w:w="1180" w:type="dxa"/>
            <w:tcBorders>
              <w:top w:val="nil"/>
              <w:left w:val="nil"/>
              <w:bottom w:val="single" w:sz="4" w:space="0" w:color="auto"/>
              <w:right w:val="single" w:sz="4" w:space="0" w:color="auto"/>
            </w:tcBorders>
            <w:shd w:val="clear" w:color="auto" w:fill="auto"/>
            <w:noWrap/>
            <w:vAlign w:val="center"/>
            <w:hideMark/>
          </w:tcPr>
          <w:p w14:paraId="0D55B0F6"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206 789 </w:t>
            </w:r>
          </w:p>
        </w:tc>
      </w:tr>
      <w:tr w:rsidR="00D8083E" w:rsidRPr="00A202B4" w14:paraId="71CEB5F9"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549932B" w14:textId="77777777" w:rsidR="00D8083E" w:rsidRPr="00A202B4" w:rsidRDefault="00D8083E" w:rsidP="009A372A">
            <w:pPr>
              <w:jc w:val="left"/>
              <w:rPr>
                <w:sz w:val="18"/>
                <w:szCs w:val="18"/>
                <w:lang w:val="es-ES_tradnl" w:eastAsia="zh-CN"/>
              </w:rPr>
            </w:pPr>
            <w:r w:rsidRPr="00A202B4">
              <w:rPr>
                <w:sz w:val="18"/>
                <w:szCs w:val="18"/>
                <w:lang w:val="es-ES_tradnl" w:eastAsia="zh-CN"/>
              </w:rPr>
              <w:t>República de Moldova</w:t>
            </w:r>
          </w:p>
        </w:tc>
        <w:tc>
          <w:tcPr>
            <w:tcW w:w="1180" w:type="dxa"/>
            <w:tcBorders>
              <w:top w:val="nil"/>
              <w:left w:val="nil"/>
              <w:bottom w:val="single" w:sz="4" w:space="0" w:color="auto"/>
              <w:right w:val="single" w:sz="4" w:space="0" w:color="auto"/>
            </w:tcBorders>
            <w:shd w:val="clear" w:color="auto" w:fill="auto"/>
            <w:vAlign w:val="center"/>
            <w:hideMark/>
          </w:tcPr>
          <w:p w14:paraId="529FD5FA" w14:textId="77777777" w:rsidR="00D8083E" w:rsidRPr="00A202B4" w:rsidRDefault="00D8083E" w:rsidP="009A372A">
            <w:pPr>
              <w:jc w:val="right"/>
              <w:rPr>
                <w:sz w:val="18"/>
                <w:szCs w:val="18"/>
                <w:lang w:val="es-ES_tradnl" w:eastAsia="zh-CN"/>
              </w:rPr>
            </w:pPr>
            <w:r w:rsidRPr="00A202B4">
              <w:rPr>
                <w:sz w:val="18"/>
                <w:szCs w:val="18"/>
                <w:lang w:val="es-ES_tradnl"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58E0AD3D" w14:textId="77777777" w:rsidR="00D8083E" w:rsidRPr="00A202B4" w:rsidRDefault="00D8083E" w:rsidP="009A372A">
            <w:pPr>
              <w:jc w:val="right"/>
              <w:rPr>
                <w:sz w:val="18"/>
                <w:szCs w:val="18"/>
                <w:lang w:val="es-ES_tradnl" w:eastAsia="zh-CN"/>
              </w:rPr>
            </w:pPr>
            <w:r w:rsidRPr="00A202B4">
              <w:rPr>
                <w:sz w:val="18"/>
                <w:szCs w:val="18"/>
                <w:lang w:val="es-ES_tradnl" w:eastAsia="zh-CN"/>
              </w:rPr>
              <w:t>0,007</w:t>
            </w:r>
          </w:p>
        </w:tc>
        <w:tc>
          <w:tcPr>
            <w:tcW w:w="1279" w:type="dxa"/>
            <w:tcBorders>
              <w:top w:val="nil"/>
              <w:left w:val="nil"/>
              <w:bottom w:val="single" w:sz="4" w:space="0" w:color="auto"/>
              <w:right w:val="single" w:sz="4" w:space="0" w:color="auto"/>
            </w:tcBorders>
            <w:shd w:val="clear" w:color="auto" w:fill="auto"/>
            <w:noWrap/>
            <w:vAlign w:val="center"/>
            <w:hideMark/>
          </w:tcPr>
          <w:p w14:paraId="3E62D9B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192 </w:t>
            </w:r>
          </w:p>
        </w:tc>
        <w:tc>
          <w:tcPr>
            <w:tcW w:w="1279" w:type="dxa"/>
            <w:tcBorders>
              <w:top w:val="nil"/>
              <w:left w:val="nil"/>
              <w:bottom w:val="single" w:sz="4" w:space="0" w:color="auto"/>
              <w:right w:val="single" w:sz="4" w:space="0" w:color="auto"/>
            </w:tcBorders>
            <w:shd w:val="clear" w:color="auto" w:fill="auto"/>
            <w:noWrap/>
            <w:vAlign w:val="center"/>
            <w:hideMark/>
          </w:tcPr>
          <w:p w14:paraId="7146680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35113FF0"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402 </w:t>
            </w:r>
          </w:p>
        </w:tc>
      </w:tr>
      <w:tr w:rsidR="00D8083E" w:rsidRPr="00A202B4" w14:paraId="42234B63"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227FEDB" w14:textId="77777777" w:rsidR="00D8083E" w:rsidRPr="00A202B4" w:rsidRDefault="00D8083E" w:rsidP="009A372A">
            <w:pPr>
              <w:jc w:val="left"/>
              <w:rPr>
                <w:sz w:val="18"/>
                <w:szCs w:val="18"/>
                <w:lang w:val="es-ES_tradnl" w:eastAsia="zh-CN"/>
              </w:rPr>
            </w:pPr>
            <w:r w:rsidRPr="00A202B4">
              <w:rPr>
                <w:sz w:val="18"/>
                <w:szCs w:val="18"/>
                <w:lang w:val="es-ES_tradnl" w:eastAsia="zh-CN"/>
              </w:rPr>
              <w:t>República Democrática del Congo</w:t>
            </w:r>
          </w:p>
        </w:tc>
        <w:tc>
          <w:tcPr>
            <w:tcW w:w="1180" w:type="dxa"/>
            <w:tcBorders>
              <w:top w:val="nil"/>
              <w:left w:val="nil"/>
              <w:bottom w:val="single" w:sz="4" w:space="0" w:color="auto"/>
              <w:right w:val="single" w:sz="4" w:space="0" w:color="auto"/>
            </w:tcBorders>
            <w:shd w:val="clear" w:color="auto" w:fill="auto"/>
            <w:vAlign w:val="center"/>
            <w:hideMark/>
          </w:tcPr>
          <w:p w14:paraId="7368D286"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17615D03"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279" w:type="dxa"/>
            <w:tcBorders>
              <w:top w:val="nil"/>
              <w:left w:val="nil"/>
              <w:bottom w:val="single" w:sz="4" w:space="0" w:color="auto"/>
              <w:right w:val="single" w:sz="4" w:space="0" w:color="auto"/>
            </w:tcBorders>
            <w:shd w:val="clear" w:color="auto" w:fill="auto"/>
            <w:noWrap/>
            <w:vAlign w:val="center"/>
            <w:hideMark/>
          </w:tcPr>
          <w:p w14:paraId="0D39F92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271 </w:t>
            </w:r>
          </w:p>
        </w:tc>
        <w:tc>
          <w:tcPr>
            <w:tcW w:w="1279" w:type="dxa"/>
            <w:tcBorders>
              <w:top w:val="nil"/>
              <w:left w:val="nil"/>
              <w:bottom w:val="single" w:sz="4" w:space="0" w:color="auto"/>
              <w:right w:val="single" w:sz="4" w:space="0" w:color="auto"/>
            </w:tcBorders>
            <w:shd w:val="clear" w:color="auto" w:fill="auto"/>
            <w:noWrap/>
            <w:vAlign w:val="center"/>
            <w:hideMark/>
          </w:tcPr>
          <w:p w14:paraId="04184ECC"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3393A4BA"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569 </w:t>
            </w:r>
          </w:p>
        </w:tc>
      </w:tr>
      <w:tr w:rsidR="00D8083E" w:rsidRPr="00A202B4" w14:paraId="65CB9F3F"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F0FEA4E" w14:textId="77777777" w:rsidR="00D8083E" w:rsidRPr="00A202B4" w:rsidRDefault="00D8083E" w:rsidP="009A372A">
            <w:pPr>
              <w:jc w:val="left"/>
              <w:rPr>
                <w:sz w:val="18"/>
                <w:szCs w:val="18"/>
                <w:lang w:val="es-ES_tradnl" w:eastAsia="zh-CN"/>
              </w:rPr>
            </w:pPr>
            <w:r w:rsidRPr="00A202B4">
              <w:rPr>
                <w:sz w:val="18"/>
                <w:szCs w:val="18"/>
                <w:lang w:val="es-ES_tradnl" w:eastAsia="zh-CN"/>
              </w:rPr>
              <w:t>República Democrática Popular Lao</w:t>
            </w:r>
          </w:p>
        </w:tc>
        <w:tc>
          <w:tcPr>
            <w:tcW w:w="1180" w:type="dxa"/>
            <w:tcBorders>
              <w:top w:val="nil"/>
              <w:left w:val="nil"/>
              <w:bottom w:val="single" w:sz="4" w:space="0" w:color="auto"/>
              <w:right w:val="single" w:sz="4" w:space="0" w:color="auto"/>
            </w:tcBorders>
            <w:shd w:val="clear" w:color="auto" w:fill="auto"/>
            <w:vAlign w:val="center"/>
            <w:hideMark/>
          </w:tcPr>
          <w:p w14:paraId="009CAE46" w14:textId="77777777" w:rsidR="00D8083E" w:rsidRPr="00A202B4" w:rsidRDefault="00D8083E" w:rsidP="009A372A">
            <w:pPr>
              <w:jc w:val="right"/>
              <w:rPr>
                <w:sz w:val="18"/>
                <w:szCs w:val="18"/>
                <w:lang w:val="es-ES_tradnl" w:eastAsia="zh-CN"/>
              </w:rPr>
            </w:pPr>
            <w:r w:rsidRPr="00A202B4">
              <w:rPr>
                <w:sz w:val="18"/>
                <w:szCs w:val="18"/>
                <w:lang w:val="es-ES_tradnl"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15D6512E"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279" w:type="dxa"/>
            <w:tcBorders>
              <w:top w:val="nil"/>
              <w:left w:val="nil"/>
              <w:bottom w:val="single" w:sz="4" w:space="0" w:color="auto"/>
              <w:right w:val="single" w:sz="4" w:space="0" w:color="auto"/>
            </w:tcBorders>
            <w:shd w:val="clear" w:color="auto" w:fill="auto"/>
            <w:noWrap/>
            <w:vAlign w:val="center"/>
            <w:hideMark/>
          </w:tcPr>
          <w:p w14:paraId="59F5097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268 </w:t>
            </w:r>
          </w:p>
        </w:tc>
        <w:tc>
          <w:tcPr>
            <w:tcW w:w="1279" w:type="dxa"/>
            <w:tcBorders>
              <w:top w:val="nil"/>
              <w:left w:val="nil"/>
              <w:bottom w:val="single" w:sz="4" w:space="0" w:color="auto"/>
              <w:right w:val="single" w:sz="4" w:space="0" w:color="auto"/>
            </w:tcBorders>
            <w:shd w:val="clear" w:color="auto" w:fill="auto"/>
            <w:noWrap/>
            <w:vAlign w:val="center"/>
            <w:hideMark/>
          </w:tcPr>
          <w:p w14:paraId="2878B83E"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3A40DF84"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562 </w:t>
            </w:r>
          </w:p>
        </w:tc>
      </w:tr>
      <w:tr w:rsidR="00D8083E" w:rsidRPr="00A202B4" w14:paraId="41775AC0"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FA91AFD" w14:textId="77777777" w:rsidR="00D8083E" w:rsidRPr="00A202B4" w:rsidRDefault="00D8083E" w:rsidP="009A372A">
            <w:pPr>
              <w:jc w:val="left"/>
              <w:rPr>
                <w:sz w:val="18"/>
                <w:szCs w:val="18"/>
                <w:lang w:val="es-ES_tradnl" w:eastAsia="zh-CN"/>
              </w:rPr>
            </w:pPr>
            <w:r w:rsidRPr="00A202B4">
              <w:rPr>
                <w:sz w:val="18"/>
                <w:szCs w:val="18"/>
                <w:lang w:val="es-ES_tradnl" w:eastAsia="zh-CN"/>
              </w:rPr>
              <w:t>República Dominicana</w:t>
            </w:r>
          </w:p>
        </w:tc>
        <w:tc>
          <w:tcPr>
            <w:tcW w:w="1180" w:type="dxa"/>
            <w:tcBorders>
              <w:top w:val="nil"/>
              <w:left w:val="nil"/>
              <w:bottom w:val="single" w:sz="4" w:space="0" w:color="auto"/>
              <w:right w:val="single" w:sz="4" w:space="0" w:color="auto"/>
            </w:tcBorders>
            <w:shd w:val="clear" w:color="auto" w:fill="auto"/>
            <w:vAlign w:val="center"/>
            <w:hideMark/>
          </w:tcPr>
          <w:p w14:paraId="257D335A" w14:textId="77777777" w:rsidR="00D8083E" w:rsidRPr="00A202B4" w:rsidRDefault="00D8083E" w:rsidP="009A372A">
            <w:pPr>
              <w:jc w:val="right"/>
              <w:rPr>
                <w:sz w:val="18"/>
                <w:szCs w:val="18"/>
                <w:lang w:val="es-ES_tradnl" w:eastAsia="zh-CN"/>
              </w:rPr>
            </w:pPr>
            <w:r w:rsidRPr="00A202B4">
              <w:rPr>
                <w:sz w:val="18"/>
                <w:szCs w:val="18"/>
                <w:lang w:val="es-ES_tradnl" w:eastAsia="zh-CN"/>
              </w:rPr>
              <w:t>0,067</w:t>
            </w:r>
          </w:p>
        </w:tc>
        <w:tc>
          <w:tcPr>
            <w:tcW w:w="1180" w:type="dxa"/>
            <w:tcBorders>
              <w:top w:val="nil"/>
              <w:left w:val="nil"/>
              <w:bottom w:val="single" w:sz="4" w:space="0" w:color="auto"/>
              <w:right w:val="single" w:sz="4" w:space="0" w:color="auto"/>
            </w:tcBorders>
            <w:shd w:val="clear" w:color="auto" w:fill="auto"/>
            <w:noWrap/>
            <w:vAlign w:val="center"/>
            <w:hideMark/>
          </w:tcPr>
          <w:p w14:paraId="4F27DC8F" w14:textId="77777777" w:rsidR="00D8083E" w:rsidRPr="00A202B4" w:rsidRDefault="00D8083E" w:rsidP="009A372A">
            <w:pPr>
              <w:jc w:val="right"/>
              <w:rPr>
                <w:sz w:val="18"/>
                <w:szCs w:val="18"/>
                <w:lang w:val="es-ES_tradnl" w:eastAsia="zh-CN"/>
              </w:rPr>
            </w:pPr>
            <w:r w:rsidRPr="00A202B4">
              <w:rPr>
                <w:sz w:val="18"/>
                <w:szCs w:val="18"/>
                <w:lang w:val="es-ES_tradnl" w:eastAsia="zh-CN"/>
              </w:rPr>
              <w:t>0,095</w:t>
            </w:r>
          </w:p>
        </w:tc>
        <w:tc>
          <w:tcPr>
            <w:tcW w:w="1279" w:type="dxa"/>
            <w:tcBorders>
              <w:top w:val="nil"/>
              <w:left w:val="nil"/>
              <w:bottom w:val="single" w:sz="4" w:space="0" w:color="auto"/>
              <w:right w:val="single" w:sz="4" w:space="0" w:color="auto"/>
            </w:tcBorders>
            <w:shd w:val="clear" w:color="auto" w:fill="auto"/>
            <w:noWrap/>
            <w:vAlign w:val="center"/>
            <w:hideMark/>
          </w:tcPr>
          <w:p w14:paraId="4745441F"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2 567 </w:t>
            </w:r>
          </w:p>
        </w:tc>
        <w:tc>
          <w:tcPr>
            <w:tcW w:w="1279" w:type="dxa"/>
            <w:tcBorders>
              <w:top w:val="nil"/>
              <w:left w:val="nil"/>
              <w:bottom w:val="single" w:sz="4" w:space="0" w:color="auto"/>
              <w:right w:val="single" w:sz="4" w:space="0" w:color="auto"/>
            </w:tcBorders>
            <w:shd w:val="clear" w:color="auto" w:fill="auto"/>
            <w:noWrap/>
            <w:vAlign w:val="center"/>
            <w:hideMark/>
          </w:tcPr>
          <w:p w14:paraId="475341DD"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2 816 </w:t>
            </w:r>
          </w:p>
        </w:tc>
        <w:tc>
          <w:tcPr>
            <w:tcW w:w="1180" w:type="dxa"/>
            <w:tcBorders>
              <w:top w:val="nil"/>
              <w:left w:val="nil"/>
              <w:bottom w:val="single" w:sz="4" w:space="0" w:color="auto"/>
              <w:right w:val="single" w:sz="4" w:space="0" w:color="auto"/>
            </w:tcBorders>
            <w:shd w:val="clear" w:color="auto" w:fill="auto"/>
            <w:noWrap/>
            <w:vAlign w:val="center"/>
            <w:hideMark/>
          </w:tcPr>
          <w:p w14:paraId="601284A3"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5 383 </w:t>
            </w:r>
          </w:p>
        </w:tc>
      </w:tr>
      <w:tr w:rsidR="00D8083E" w:rsidRPr="00A202B4" w14:paraId="4FD81207"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AE1430E" w14:textId="77777777" w:rsidR="00D8083E" w:rsidRPr="00A202B4" w:rsidRDefault="00D8083E" w:rsidP="009A372A">
            <w:pPr>
              <w:jc w:val="left"/>
              <w:rPr>
                <w:sz w:val="18"/>
                <w:szCs w:val="18"/>
                <w:lang w:val="es-ES_tradnl" w:eastAsia="zh-CN"/>
              </w:rPr>
            </w:pPr>
            <w:r w:rsidRPr="00A202B4">
              <w:rPr>
                <w:sz w:val="18"/>
                <w:szCs w:val="18"/>
                <w:lang w:val="es-ES_tradnl" w:eastAsia="zh-CN"/>
              </w:rPr>
              <w:t>República Popular Democrática de Corea</w:t>
            </w:r>
          </w:p>
        </w:tc>
        <w:tc>
          <w:tcPr>
            <w:tcW w:w="1180" w:type="dxa"/>
            <w:tcBorders>
              <w:top w:val="nil"/>
              <w:left w:val="nil"/>
              <w:bottom w:val="single" w:sz="4" w:space="0" w:color="auto"/>
              <w:right w:val="single" w:sz="4" w:space="0" w:color="auto"/>
            </w:tcBorders>
            <w:shd w:val="clear" w:color="auto" w:fill="auto"/>
            <w:vAlign w:val="center"/>
            <w:hideMark/>
          </w:tcPr>
          <w:p w14:paraId="4ED6389E" w14:textId="77777777" w:rsidR="00D8083E" w:rsidRPr="00A202B4" w:rsidRDefault="00D8083E" w:rsidP="009A372A">
            <w:pPr>
              <w:jc w:val="right"/>
              <w:rPr>
                <w:sz w:val="18"/>
                <w:szCs w:val="18"/>
                <w:lang w:val="es-ES_tradnl" w:eastAsia="zh-CN"/>
              </w:rPr>
            </w:pPr>
            <w:r w:rsidRPr="00A202B4">
              <w:rPr>
                <w:sz w:val="18"/>
                <w:szCs w:val="18"/>
                <w:lang w:val="es-ES_tradnl"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0B46D8A6" w14:textId="77777777" w:rsidR="00D8083E" w:rsidRPr="00A202B4" w:rsidRDefault="00D8083E" w:rsidP="009A372A">
            <w:pPr>
              <w:jc w:val="right"/>
              <w:rPr>
                <w:sz w:val="18"/>
                <w:szCs w:val="18"/>
                <w:lang w:val="es-ES_tradnl" w:eastAsia="zh-CN"/>
              </w:rPr>
            </w:pPr>
            <w:r w:rsidRPr="00A202B4">
              <w:rPr>
                <w:sz w:val="18"/>
                <w:szCs w:val="18"/>
                <w:lang w:val="es-ES_tradnl" w:eastAsia="zh-CN"/>
              </w:rPr>
              <w:t>0,007</w:t>
            </w:r>
          </w:p>
        </w:tc>
        <w:tc>
          <w:tcPr>
            <w:tcW w:w="1279" w:type="dxa"/>
            <w:tcBorders>
              <w:top w:val="nil"/>
              <w:left w:val="nil"/>
              <w:bottom w:val="single" w:sz="4" w:space="0" w:color="auto"/>
              <w:right w:val="single" w:sz="4" w:space="0" w:color="auto"/>
            </w:tcBorders>
            <w:shd w:val="clear" w:color="auto" w:fill="auto"/>
            <w:noWrap/>
            <w:vAlign w:val="center"/>
            <w:hideMark/>
          </w:tcPr>
          <w:p w14:paraId="37F20437"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192 </w:t>
            </w:r>
          </w:p>
        </w:tc>
        <w:tc>
          <w:tcPr>
            <w:tcW w:w="1279" w:type="dxa"/>
            <w:tcBorders>
              <w:top w:val="nil"/>
              <w:left w:val="nil"/>
              <w:bottom w:val="single" w:sz="4" w:space="0" w:color="auto"/>
              <w:right w:val="single" w:sz="4" w:space="0" w:color="auto"/>
            </w:tcBorders>
            <w:shd w:val="clear" w:color="auto" w:fill="auto"/>
            <w:noWrap/>
            <w:vAlign w:val="center"/>
            <w:hideMark/>
          </w:tcPr>
          <w:p w14:paraId="5A98766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210 </w:t>
            </w:r>
          </w:p>
        </w:tc>
        <w:tc>
          <w:tcPr>
            <w:tcW w:w="1180" w:type="dxa"/>
            <w:tcBorders>
              <w:top w:val="nil"/>
              <w:left w:val="nil"/>
              <w:bottom w:val="single" w:sz="4" w:space="0" w:color="auto"/>
              <w:right w:val="single" w:sz="4" w:space="0" w:color="auto"/>
            </w:tcBorders>
            <w:shd w:val="clear" w:color="auto" w:fill="auto"/>
            <w:noWrap/>
            <w:vAlign w:val="center"/>
            <w:hideMark/>
          </w:tcPr>
          <w:p w14:paraId="2602ADF3"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402 </w:t>
            </w:r>
          </w:p>
        </w:tc>
      </w:tr>
      <w:tr w:rsidR="00D8083E" w:rsidRPr="00A202B4" w14:paraId="0F9C99FE"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F386CB6" w14:textId="77777777" w:rsidR="00D8083E" w:rsidRPr="00A202B4" w:rsidRDefault="00D8083E" w:rsidP="009A372A">
            <w:pPr>
              <w:jc w:val="left"/>
              <w:rPr>
                <w:sz w:val="18"/>
                <w:szCs w:val="18"/>
                <w:lang w:val="es-ES_tradnl" w:eastAsia="zh-CN"/>
              </w:rPr>
            </w:pPr>
            <w:r w:rsidRPr="00A202B4">
              <w:rPr>
                <w:sz w:val="18"/>
                <w:szCs w:val="18"/>
                <w:lang w:val="es-ES_tradnl" w:eastAsia="zh-CN"/>
              </w:rPr>
              <w:t>República Unida de Tanzanía</w:t>
            </w:r>
          </w:p>
        </w:tc>
        <w:tc>
          <w:tcPr>
            <w:tcW w:w="1180" w:type="dxa"/>
            <w:tcBorders>
              <w:top w:val="nil"/>
              <w:left w:val="nil"/>
              <w:bottom w:val="single" w:sz="4" w:space="0" w:color="auto"/>
              <w:right w:val="single" w:sz="4" w:space="0" w:color="auto"/>
            </w:tcBorders>
            <w:shd w:val="clear" w:color="auto" w:fill="auto"/>
            <w:vAlign w:val="center"/>
            <w:hideMark/>
          </w:tcPr>
          <w:p w14:paraId="22AF579D"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BC0DF2D"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279" w:type="dxa"/>
            <w:tcBorders>
              <w:top w:val="nil"/>
              <w:left w:val="nil"/>
              <w:bottom w:val="single" w:sz="4" w:space="0" w:color="auto"/>
              <w:right w:val="single" w:sz="4" w:space="0" w:color="auto"/>
            </w:tcBorders>
            <w:shd w:val="clear" w:color="auto" w:fill="auto"/>
            <w:noWrap/>
            <w:vAlign w:val="center"/>
            <w:hideMark/>
          </w:tcPr>
          <w:p w14:paraId="713EA39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271 </w:t>
            </w:r>
          </w:p>
        </w:tc>
        <w:tc>
          <w:tcPr>
            <w:tcW w:w="1279" w:type="dxa"/>
            <w:tcBorders>
              <w:top w:val="nil"/>
              <w:left w:val="nil"/>
              <w:bottom w:val="single" w:sz="4" w:space="0" w:color="auto"/>
              <w:right w:val="single" w:sz="4" w:space="0" w:color="auto"/>
            </w:tcBorders>
            <w:shd w:val="clear" w:color="auto" w:fill="auto"/>
            <w:noWrap/>
            <w:vAlign w:val="center"/>
            <w:hideMark/>
          </w:tcPr>
          <w:p w14:paraId="0B1643A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702D2976"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569 </w:t>
            </w:r>
          </w:p>
        </w:tc>
      </w:tr>
      <w:tr w:rsidR="00D8083E" w:rsidRPr="00A202B4" w14:paraId="7E79BE1D"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5CC5E26" w14:textId="77777777" w:rsidR="00D8083E" w:rsidRPr="00A202B4" w:rsidRDefault="00D8083E" w:rsidP="009A372A">
            <w:pPr>
              <w:jc w:val="left"/>
              <w:rPr>
                <w:sz w:val="18"/>
                <w:szCs w:val="18"/>
                <w:lang w:val="es-ES_tradnl" w:eastAsia="zh-CN"/>
              </w:rPr>
            </w:pPr>
            <w:r w:rsidRPr="00A202B4">
              <w:rPr>
                <w:sz w:val="18"/>
                <w:szCs w:val="18"/>
                <w:lang w:val="es-ES_tradnl" w:eastAsia="zh-CN"/>
              </w:rPr>
              <w:t>Rumania</w:t>
            </w:r>
          </w:p>
        </w:tc>
        <w:tc>
          <w:tcPr>
            <w:tcW w:w="1180" w:type="dxa"/>
            <w:tcBorders>
              <w:top w:val="nil"/>
              <w:left w:val="nil"/>
              <w:bottom w:val="single" w:sz="4" w:space="0" w:color="auto"/>
              <w:right w:val="single" w:sz="4" w:space="0" w:color="auto"/>
            </w:tcBorders>
            <w:shd w:val="clear" w:color="auto" w:fill="auto"/>
            <w:vAlign w:val="center"/>
            <w:hideMark/>
          </w:tcPr>
          <w:p w14:paraId="0C44861D" w14:textId="77777777" w:rsidR="00D8083E" w:rsidRPr="00A202B4" w:rsidRDefault="00D8083E" w:rsidP="009A372A">
            <w:pPr>
              <w:jc w:val="right"/>
              <w:rPr>
                <w:sz w:val="18"/>
                <w:szCs w:val="18"/>
                <w:lang w:val="es-ES_tradnl" w:eastAsia="zh-CN"/>
              </w:rPr>
            </w:pPr>
            <w:r w:rsidRPr="00A202B4">
              <w:rPr>
                <w:sz w:val="18"/>
                <w:szCs w:val="18"/>
                <w:lang w:val="es-ES_tradnl" w:eastAsia="zh-CN"/>
              </w:rPr>
              <w:t>0,312</w:t>
            </w:r>
          </w:p>
        </w:tc>
        <w:tc>
          <w:tcPr>
            <w:tcW w:w="1180" w:type="dxa"/>
            <w:tcBorders>
              <w:top w:val="nil"/>
              <w:left w:val="nil"/>
              <w:bottom w:val="single" w:sz="4" w:space="0" w:color="auto"/>
              <w:right w:val="single" w:sz="4" w:space="0" w:color="auto"/>
            </w:tcBorders>
            <w:shd w:val="clear" w:color="auto" w:fill="auto"/>
            <w:noWrap/>
            <w:vAlign w:val="center"/>
            <w:hideMark/>
          </w:tcPr>
          <w:p w14:paraId="3BD9C3C1" w14:textId="77777777" w:rsidR="00D8083E" w:rsidRPr="00A202B4" w:rsidRDefault="00D8083E" w:rsidP="009A372A">
            <w:pPr>
              <w:jc w:val="right"/>
              <w:rPr>
                <w:sz w:val="18"/>
                <w:szCs w:val="18"/>
                <w:lang w:val="es-ES_tradnl" w:eastAsia="zh-CN"/>
              </w:rPr>
            </w:pPr>
            <w:r w:rsidRPr="00A202B4">
              <w:rPr>
                <w:sz w:val="18"/>
                <w:szCs w:val="18"/>
                <w:lang w:val="es-ES_tradnl" w:eastAsia="zh-CN"/>
              </w:rPr>
              <w:t>0,440</w:t>
            </w:r>
          </w:p>
        </w:tc>
        <w:tc>
          <w:tcPr>
            <w:tcW w:w="1279" w:type="dxa"/>
            <w:tcBorders>
              <w:top w:val="nil"/>
              <w:left w:val="nil"/>
              <w:bottom w:val="single" w:sz="4" w:space="0" w:color="auto"/>
              <w:right w:val="single" w:sz="4" w:space="0" w:color="auto"/>
            </w:tcBorders>
            <w:shd w:val="clear" w:color="auto" w:fill="auto"/>
            <w:noWrap/>
            <w:vAlign w:val="center"/>
            <w:hideMark/>
          </w:tcPr>
          <w:p w14:paraId="2C3785F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11 954 </w:t>
            </w:r>
          </w:p>
        </w:tc>
        <w:tc>
          <w:tcPr>
            <w:tcW w:w="1279" w:type="dxa"/>
            <w:tcBorders>
              <w:top w:val="nil"/>
              <w:left w:val="nil"/>
              <w:bottom w:val="single" w:sz="4" w:space="0" w:color="auto"/>
              <w:right w:val="single" w:sz="4" w:space="0" w:color="auto"/>
            </w:tcBorders>
            <w:shd w:val="clear" w:color="auto" w:fill="auto"/>
            <w:noWrap/>
            <w:vAlign w:val="center"/>
            <w:hideMark/>
          </w:tcPr>
          <w:p w14:paraId="691A960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13 111 </w:t>
            </w:r>
          </w:p>
        </w:tc>
        <w:tc>
          <w:tcPr>
            <w:tcW w:w="1180" w:type="dxa"/>
            <w:tcBorders>
              <w:top w:val="nil"/>
              <w:left w:val="nil"/>
              <w:bottom w:val="single" w:sz="4" w:space="0" w:color="auto"/>
              <w:right w:val="single" w:sz="4" w:space="0" w:color="auto"/>
            </w:tcBorders>
            <w:shd w:val="clear" w:color="auto" w:fill="auto"/>
            <w:noWrap/>
            <w:vAlign w:val="center"/>
            <w:hideMark/>
          </w:tcPr>
          <w:p w14:paraId="3BF9F005"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25 065 </w:t>
            </w:r>
          </w:p>
        </w:tc>
      </w:tr>
      <w:tr w:rsidR="00D8083E" w:rsidRPr="00A202B4" w14:paraId="6A532A6F"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F7F579F" w14:textId="77777777" w:rsidR="00D8083E" w:rsidRPr="00A202B4" w:rsidRDefault="00D8083E" w:rsidP="009A372A">
            <w:pPr>
              <w:jc w:val="left"/>
              <w:rPr>
                <w:sz w:val="18"/>
                <w:szCs w:val="18"/>
                <w:lang w:val="es-ES_tradnl" w:eastAsia="zh-CN"/>
              </w:rPr>
            </w:pPr>
            <w:r w:rsidRPr="00A202B4">
              <w:rPr>
                <w:sz w:val="18"/>
                <w:szCs w:val="18"/>
                <w:lang w:val="es-ES_tradnl" w:eastAsia="zh-CN"/>
              </w:rPr>
              <w:t>Rwanda</w:t>
            </w:r>
          </w:p>
        </w:tc>
        <w:tc>
          <w:tcPr>
            <w:tcW w:w="1180" w:type="dxa"/>
            <w:tcBorders>
              <w:top w:val="nil"/>
              <w:left w:val="nil"/>
              <w:bottom w:val="single" w:sz="4" w:space="0" w:color="auto"/>
              <w:right w:val="single" w:sz="4" w:space="0" w:color="auto"/>
            </w:tcBorders>
            <w:shd w:val="clear" w:color="auto" w:fill="auto"/>
            <w:vAlign w:val="center"/>
            <w:hideMark/>
          </w:tcPr>
          <w:p w14:paraId="7351369D" w14:textId="77777777" w:rsidR="00D8083E" w:rsidRPr="00A202B4" w:rsidRDefault="00D8083E" w:rsidP="009A372A">
            <w:pPr>
              <w:jc w:val="right"/>
              <w:rPr>
                <w:sz w:val="18"/>
                <w:szCs w:val="18"/>
                <w:lang w:val="es-ES_tradnl" w:eastAsia="zh-CN"/>
              </w:rPr>
            </w:pPr>
            <w:r w:rsidRPr="00A202B4">
              <w:rPr>
                <w:sz w:val="18"/>
                <w:szCs w:val="18"/>
                <w:lang w:val="es-ES_tradnl"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0DA92CA9" w14:textId="77777777" w:rsidR="00D8083E" w:rsidRPr="00A202B4" w:rsidRDefault="00D8083E" w:rsidP="009A372A">
            <w:pPr>
              <w:jc w:val="right"/>
              <w:rPr>
                <w:sz w:val="18"/>
                <w:szCs w:val="18"/>
                <w:lang w:val="es-ES_tradnl" w:eastAsia="zh-CN"/>
              </w:rPr>
            </w:pPr>
            <w:r w:rsidRPr="00A202B4">
              <w:rPr>
                <w:sz w:val="18"/>
                <w:szCs w:val="18"/>
                <w:lang w:val="es-ES_tradnl" w:eastAsia="zh-CN"/>
              </w:rPr>
              <w:t>0,004</w:t>
            </w:r>
          </w:p>
        </w:tc>
        <w:tc>
          <w:tcPr>
            <w:tcW w:w="1279" w:type="dxa"/>
            <w:tcBorders>
              <w:top w:val="nil"/>
              <w:left w:val="nil"/>
              <w:bottom w:val="single" w:sz="4" w:space="0" w:color="auto"/>
              <w:right w:val="single" w:sz="4" w:space="0" w:color="auto"/>
            </w:tcBorders>
            <w:shd w:val="clear" w:color="auto" w:fill="auto"/>
            <w:noWrap/>
            <w:vAlign w:val="center"/>
            <w:hideMark/>
          </w:tcPr>
          <w:p w14:paraId="2E22FA2E"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115 </w:t>
            </w:r>
          </w:p>
        </w:tc>
        <w:tc>
          <w:tcPr>
            <w:tcW w:w="1279" w:type="dxa"/>
            <w:tcBorders>
              <w:top w:val="nil"/>
              <w:left w:val="nil"/>
              <w:bottom w:val="single" w:sz="4" w:space="0" w:color="auto"/>
              <w:right w:val="single" w:sz="4" w:space="0" w:color="auto"/>
            </w:tcBorders>
            <w:shd w:val="clear" w:color="auto" w:fill="auto"/>
            <w:noWrap/>
            <w:vAlign w:val="center"/>
            <w:hideMark/>
          </w:tcPr>
          <w:p w14:paraId="0EE485B0"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6FE975A5"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241 </w:t>
            </w:r>
          </w:p>
        </w:tc>
      </w:tr>
      <w:tr w:rsidR="00D8083E" w:rsidRPr="00A202B4" w14:paraId="5EDCD0BD"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38FC8F5" w14:textId="77777777" w:rsidR="00D8083E" w:rsidRPr="00A202B4" w:rsidRDefault="00D8083E" w:rsidP="009A372A">
            <w:pPr>
              <w:jc w:val="left"/>
              <w:rPr>
                <w:sz w:val="18"/>
                <w:szCs w:val="18"/>
                <w:lang w:val="es-ES_tradnl" w:eastAsia="zh-CN"/>
              </w:rPr>
            </w:pPr>
            <w:r w:rsidRPr="00A202B4">
              <w:rPr>
                <w:sz w:val="18"/>
                <w:szCs w:val="18"/>
                <w:lang w:val="es-ES_tradnl" w:eastAsia="zh-CN"/>
              </w:rPr>
              <w:t>Saint Kitts y Nevis</w:t>
            </w:r>
          </w:p>
        </w:tc>
        <w:tc>
          <w:tcPr>
            <w:tcW w:w="1180" w:type="dxa"/>
            <w:tcBorders>
              <w:top w:val="nil"/>
              <w:left w:val="nil"/>
              <w:bottom w:val="single" w:sz="4" w:space="0" w:color="auto"/>
              <w:right w:val="single" w:sz="4" w:space="0" w:color="auto"/>
            </w:tcBorders>
            <w:shd w:val="clear" w:color="auto" w:fill="auto"/>
            <w:vAlign w:val="center"/>
            <w:hideMark/>
          </w:tcPr>
          <w:p w14:paraId="0E1D104F" w14:textId="77777777" w:rsidR="00D8083E" w:rsidRPr="00A202B4" w:rsidRDefault="00D8083E" w:rsidP="009A372A">
            <w:pPr>
              <w:jc w:val="right"/>
              <w:rPr>
                <w:sz w:val="18"/>
                <w:szCs w:val="18"/>
                <w:lang w:val="es-ES_tradnl" w:eastAsia="zh-CN"/>
              </w:rPr>
            </w:pPr>
            <w:r w:rsidRPr="00A202B4">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0C076E1C" w14:textId="77777777" w:rsidR="00D8083E" w:rsidRPr="00A202B4" w:rsidRDefault="00D8083E" w:rsidP="009A372A">
            <w:pPr>
              <w:jc w:val="right"/>
              <w:rPr>
                <w:sz w:val="18"/>
                <w:szCs w:val="18"/>
                <w:lang w:val="es-ES_tradnl" w:eastAsia="zh-CN"/>
              </w:rPr>
            </w:pPr>
            <w:r w:rsidRPr="00A202B4">
              <w:rPr>
                <w:sz w:val="18"/>
                <w:szCs w:val="18"/>
                <w:lang w:val="es-ES_tradnl" w:eastAsia="zh-CN"/>
              </w:rPr>
              <w:t>0,003</w:t>
            </w:r>
          </w:p>
        </w:tc>
        <w:tc>
          <w:tcPr>
            <w:tcW w:w="1279" w:type="dxa"/>
            <w:tcBorders>
              <w:top w:val="nil"/>
              <w:left w:val="nil"/>
              <w:bottom w:val="single" w:sz="4" w:space="0" w:color="auto"/>
              <w:right w:val="single" w:sz="4" w:space="0" w:color="auto"/>
            </w:tcBorders>
            <w:shd w:val="clear" w:color="auto" w:fill="auto"/>
            <w:noWrap/>
            <w:vAlign w:val="center"/>
            <w:hideMark/>
          </w:tcPr>
          <w:p w14:paraId="1417DF9F"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77 </w:t>
            </w:r>
          </w:p>
        </w:tc>
        <w:tc>
          <w:tcPr>
            <w:tcW w:w="1279" w:type="dxa"/>
            <w:tcBorders>
              <w:top w:val="nil"/>
              <w:left w:val="nil"/>
              <w:bottom w:val="single" w:sz="4" w:space="0" w:color="auto"/>
              <w:right w:val="single" w:sz="4" w:space="0" w:color="auto"/>
            </w:tcBorders>
            <w:shd w:val="clear" w:color="auto" w:fill="auto"/>
            <w:noWrap/>
            <w:vAlign w:val="center"/>
            <w:hideMark/>
          </w:tcPr>
          <w:p w14:paraId="72EA9A1F"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2D277C6B"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161 </w:t>
            </w:r>
          </w:p>
        </w:tc>
      </w:tr>
      <w:tr w:rsidR="00D8083E" w:rsidRPr="00A202B4" w14:paraId="768224FB"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840C185" w14:textId="77777777" w:rsidR="00D8083E" w:rsidRPr="00A202B4" w:rsidRDefault="00D8083E" w:rsidP="009A372A">
            <w:pPr>
              <w:jc w:val="left"/>
              <w:rPr>
                <w:sz w:val="18"/>
                <w:szCs w:val="18"/>
                <w:lang w:val="es-ES_tradnl" w:eastAsia="zh-CN"/>
              </w:rPr>
            </w:pPr>
            <w:r w:rsidRPr="00A202B4">
              <w:rPr>
                <w:sz w:val="18"/>
                <w:szCs w:val="18"/>
                <w:lang w:val="es-ES_tradnl" w:eastAsia="zh-CN"/>
              </w:rPr>
              <w:t>Samoa</w:t>
            </w:r>
          </w:p>
        </w:tc>
        <w:tc>
          <w:tcPr>
            <w:tcW w:w="1180" w:type="dxa"/>
            <w:tcBorders>
              <w:top w:val="nil"/>
              <w:left w:val="nil"/>
              <w:bottom w:val="single" w:sz="4" w:space="0" w:color="auto"/>
              <w:right w:val="single" w:sz="4" w:space="0" w:color="auto"/>
            </w:tcBorders>
            <w:shd w:val="clear" w:color="auto" w:fill="auto"/>
            <w:vAlign w:val="center"/>
            <w:hideMark/>
          </w:tcPr>
          <w:p w14:paraId="474CE382"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BC0C40C"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5D2DE7AF"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451E10FF"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2D7EDA1C"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5BBBBBE8"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9D1B5F4" w14:textId="77777777" w:rsidR="00D8083E" w:rsidRPr="00A202B4" w:rsidRDefault="00D8083E" w:rsidP="009A372A">
            <w:pPr>
              <w:jc w:val="left"/>
              <w:rPr>
                <w:sz w:val="18"/>
                <w:szCs w:val="18"/>
                <w:lang w:val="es-ES_tradnl" w:eastAsia="zh-CN"/>
              </w:rPr>
            </w:pPr>
            <w:r w:rsidRPr="00A202B4">
              <w:rPr>
                <w:sz w:val="18"/>
                <w:szCs w:val="18"/>
                <w:lang w:val="es-ES_tradnl" w:eastAsia="zh-CN"/>
              </w:rPr>
              <w:t>San Vicente y las Granadinas</w:t>
            </w:r>
          </w:p>
        </w:tc>
        <w:tc>
          <w:tcPr>
            <w:tcW w:w="1180" w:type="dxa"/>
            <w:tcBorders>
              <w:top w:val="nil"/>
              <w:left w:val="nil"/>
              <w:bottom w:val="single" w:sz="4" w:space="0" w:color="auto"/>
              <w:right w:val="single" w:sz="4" w:space="0" w:color="auto"/>
            </w:tcBorders>
            <w:shd w:val="clear" w:color="auto" w:fill="auto"/>
            <w:vAlign w:val="center"/>
            <w:hideMark/>
          </w:tcPr>
          <w:p w14:paraId="7D3E4CBF"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A132602"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2BA606D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1B6190C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8FC8D0C"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04E312D0"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C24961C" w14:textId="77777777" w:rsidR="00D8083E" w:rsidRPr="00A202B4" w:rsidRDefault="00D8083E" w:rsidP="009A372A">
            <w:pPr>
              <w:jc w:val="left"/>
              <w:rPr>
                <w:sz w:val="18"/>
                <w:szCs w:val="18"/>
                <w:lang w:val="es-ES_tradnl" w:eastAsia="zh-CN"/>
              </w:rPr>
            </w:pPr>
            <w:r w:rsidRPr="00A202B4">
              <w:rPr>
                <w:sz w:val="18"/>
                <w:szCs w:val="18"/>
                <w:lang w:val="es-ES_tradnl" w:eastAsia="zh-CN"/>
              </w:rPr>
              <w:lastRenderedPageBreak/>
              <w:t>Santa Lucía</w:t>
            </w:r>
          </w:p>
        </w:tc>
        <w:tc>
          <w:tcPr>
            <w:tcW w:w="1180" w:type="dxa"/>
            <w:tcBorders>
              <w:top w:val="nil"/>
              <w:left w:val="nil"/>
              <w:bottom w:val="single" w:sz="4" w:space="0" w:color="auto"/>
              <w:right w:val="single" w:sz="4" w:space="0" w:color="auto"/>
            </w:tcBorders>
            <w:shd w:val="clear" w:color="auto" w:fill="auto"/>
            <w:vAlign w:val="center"/>
            <w:hideMark/>
          </w:tcPr>
          <w:p w14:paraId="329FA06A" w14:textId="77777777" w:rsidR="00D8083E" w:rsidRPr="00A202B4" w:rsidRDefault="00D8083E" w:rsidP="009A372A">
            <w:pPr>
              <w:jc w:val="right"/>
              <w:rPr>
                <w:sz w:val="18"/>
                <w:szCs w:val="18"/>
                <w:lang w:val="es-ES_tradnl" w:eastAsia="zh-CN"/>
              </w:rPr>
            </w:pPr>
            <w:r w:rsidRPr="00A202B4">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30D9E018" w14:textId="77777777" w:rsidR="00D8083E" w:rsidRPr="00A202B4" w:rsidRDefault="00D8083E" w:rsidP="009A372A">
            <w:pPr>
              <w:jc w:val="right"/>
              <w:rPr>
                <w:sz w:val="18"/>
                <w:szCs w:val="18"/>
                <w:lang w:val="es-ES_tradnl" w:eastAsia="zh-CN"/>
              </w:rPr>
            </w:pPr>
            <w:r w:rsidRPr="00A202B4">
              <w:rPr>
                <w:sz w:val="18"/>
                <w:szCs w:val="18"/>
                <w:lang w:val="es-ES_tradnl" w:eastAsia="zh-CN"/>
              </w:rPr>
              <w:t>0,003</w:t>
            </w:r>
          </w:p>
        </w:tc>
        <w:tc>
          <w:tcPr>
            <w:tcW w:w="1279" w:type="dxa"/>
            <w:tcBorders>
              <w:top w:val="nil"/>
              <w:left w:val="nil"/>
              <w:bottom w:val="single" w:sz="4" w:space="0" w:color="auto"/>
              <w:right w:val="single" w:sz="4" w:space="0" w:color="auto"/>
            </w:tcBorders>
            <w:shd w:val="clear" w:color="auto" w:fill="auto"/>
            <w:noWrap/>
            <w:vAlign w:val="center"/>
            <w:hideMark/>
          </w:tcPr>
          <w:p w14:paraId="3176CD8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77 </w:t>
            </w:r>
          </w:p>
        </w:tc>
        <w:tc>
          <w:tcPr>
            <w:tcW w:w="1279" w:type="dxa"/>
            <w:tcBorders>
              <w:top w:val="nil"/>
              <w:left w:val="nil"/>
              <w:bottom w:val="single" w:sz="4" w:space="0" w:color="auto"/>
              <w:right w:val="single" w:sz="4" w:space="0" w:color="auto"/>
            </w:tcBorders>
            <w:shd w:val="clear" w:color="auto" w:fill="auto"/>
            <w:noWrap/>
            <w:vAlign w:val="center"/>
            <w:hideMark/>
          </w:tcPr>
          <w:p w14:paraId="35B7F24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6CD6BB79"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161 </w:t>
            </w:r>
          </w:p>
        </w:tc>
      </w:tr>
      <w:tr w:rsidR="00D8083E" w:rsidRPr="00A202B4" w14:paraId="66C9D93B"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65560CD" w14:textId="77777777" w:rsidR="00D8083E" w:rsidRPr="00A202B4" w:rsidRDefault="00D8083E" w:rsidP="009A372A">
            <w:pPr>
              <w:jc w:val="left"/>
              <w:rPr>
                <w:sz w:val="18"/>
                <w:szCs w:val="18"/>
                <w:lang w:val="es-ES_tradnl" w:eastAsia="zh-CN"/>
              </w:rPr>
            </w:pPr>
            <w:r w:rsidRPr="00A202B4">
              <w:rPr>
                <w:sz w:val="18"/>
                <w:szCs w:val="18"/>
                <w:lang w:val="es-ES_tradnl" w:eastAsia="zh-CN"/>
              </w:rPr>
              <w:t>Senegal</w:t>
            </w:r>
          </w:p>
        </w:tc>
        <w:tc>
          <w:tcPr>
            <w:tcW w:w="1180" w:type="dxa"/>
            <w:tcBorders>
              <w:top w:val="nil"/>
              <w:left w:val="nil"/>
              <w:bottom w:val="single" w:sz="4" w:space="0" w:color="auto"/>
              <w:right w:val="single" w:sz="4" w:space="0" w:color="auto"/>
            </w:tcBorders>
            <w:shd w:val="clear" w:color="auto" w:fill="auto"/>
            <w:vAlign w:val="center"/>
            <w:hideMark/>
          </w:tcPr>
          <w:p w14:paraId="646F4487" w14:textId="77777777" w:rsidR="00D8083E" w:rsidRPr="00A202B4" w:rsidRDefault="00D8083E" w:rsidP="009A372A">
            <w:pPr>
              <w:jc w:val="right"/>
              <w:rPr>
                <w:sz w:val="18"/>
                <w:szCs w:val="18"/>
                <w:lang w:val="es-ES_tradnl" w:eastAsia="zh-CN"/>
              </w:rPr>
            </w:pPr>
            <w:r w:rsidRPr="00A202B4">
              <w:rPr>
                <w:sz w:val="18"/>
                <w:szCs w:val="18"/>
                <w:lang w:val="es-ES_tradnl"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1BA4E7C1"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279" w:type="dxa"/>
            <w:tcBorders>
              <w:top w:val="nil"/>
              <w:left w:val="nil"/>
              <w:bottom w:val="single" w:sz="4" w:space="0" w:color="auto"/>
              <w:right w:val="single" w:sz="4" w:space="0" w:color="auto"/>
            </w:tcBorders>
            <w:shd w:val="clear" w:color="auto" w:fill="auto"/>
            <w:noWrap/>
            <w:vAlign w:val="center"/>
            <w:hideMark/>
          </w:tcPr>
          <w:p w14:paraId="205BA27E"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268 </w:t>
            </w:r>
          </w:p>
        </w:tc>
        <w:tc>
          <w:tcPr>
            <w:tcW w:w="1279" w:type="dxa"/>
            <w:tcBorders>
              <w:top w:val="nil"/>
              <w:left w:val="nil"/>
              <w:bottom w:val="single" w:sz="4" w:space="0" w:color="auto"/>
              <w:right w:val="single" w:sz="4" w:space="0" w:color="auto"/>
            </w:tcBorders>
            <w:shd w:val="clear" w:color="auto" w:fill="auto"/>
            <w:noWrap/>
            <w:vAlign w:val="center"/>
            <w:hideMark/>
          </w:tcPr>
          <w:p w14:paraId="76758B4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166CCB8F"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562 </w:t>
            </w:r>
          </w:p>
        </w:tc>
      </w:tr>
      <w:tr w:rsidR="00D8083E" w:rsidRPr="00A202B4" w14:paraId="1A6060BB"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89F93AF" w14:textId="77777777" w:rsidR="00D8083E" w:rsidRPr="00A202B4" w:rsidRDefault="00D8083E" w:rsidP="009A372A">
            <w:pPr>
              <w:jc w:val="left"/>
              <w:rPr>
                <w:sz w:val="18"/>
                <w:szCs w:val="18"/>
                <w:lang w:val="es-ES_tradnl" w:eastAsia="zh-CN"/>
              </w:rPr>
            </w:pPr>
            <w:r w:rsidRPr="00A202B4">
              <w:rPr>
                <w:sz w:val="18"/>
                <w:szCs w:val="18"/>
                <w:lang w:val="es-ES_tradnl" w:eastAsia="zh-CN"/>
              </w:rPr>
              <w:t>Serbia</w:t>
            </w:r>
          </w:p>
        </w:tc>
        <w:tc>
          <w:tcPr>
            <w:tcW w:w="1180" w:type="dxa"/>
            <w:tcBorders>
              <w:top w:val="nil"/>
              <w:left w:val="nil"/>
              <w:bottom w:val="single" w:sz="4" w:space="0" w:color="auto"/>
              <w:right w:val="single" w:sz="4" w:space="0" w:color="auto"/>
            </w:tcBorders>
            <w:shd w:val="clear" w:color="auto" w:fill="auto"/>
            <w:vAlign w:val="center"/>
            <w:hideMark/>
          </w:tcPr>
          <w:p w14:paraId="4CF185F4" w14:textId="77777777" w:rsidR="00D8083E" w:rsidRPr="00A202B4" w:rsidRDefault="00D8083E" w:rsidP="009A372A">
            <w:pPr>
              <w:jc w:val="right"/>
              <w:rPr>
                <w:sz w:val="18"/>
                <w:szCs w:val="18"/>
                <w:lang w:val="es-ES_tradnl" w:eastAsia="zh-CN"/>
              </w:rPr>
            </w:pPr>
            <w:r w:rsidRPr="00A202B4">
              <w:rPr>
                <w:sz w:val="18"/>
                <w:szCs w:val="18"/>
                <w:lang w:val="es-ES_tradnl" w:eastAsia="zh-CN"/>
              </w:rPr>
              <w:t>0,032</w:t>
            </w:r>
          </w:p>
        </w:tc>
        <w:tc>
          <w:tcPr>
            <w:tcW w:w="1180" w:type="dxa"/>
            <w:tcBorders>
              <w:top w:val="nil"/>
              <w:left w:val="nil"/>
              <w:bottom w:val="single" w:sz="4" w:space="0" w:color="auto"/>
              <w:right w:val="single" w:sz="4" w:space="0" w:color="auto"/>
            </w:tcBorders>
            <w:shd w:val="clear" w:color="auto" w:fill="auto"/>
            <w:noWrap/>
            <w:vAlign w:val="center"/>
            <w:hideMark/>
          </w:tcPr>
          <w:p w14:paraId="68ACB243" w14:textId="77777777" w:rsidR="00D8083E" w:rsidRPr="00A202B4" w:rsidRDefault="00D8083E" w:rsidP="009A372A">
            <w:pPr>
              <w:jc w:val="right"/>
              <w:rPr>
                <w:sz w:val="18"/>
                <w:szCs w:val="18"/>
                <w:lang w:val="es-ES_tradnl" w:eastAsia="zh-CN"/>
              </w:rPr>
            </w:pPr>
            <w:r w:rsidRPr="00A202B4">
              <w:rPr>
                <w:sz w:val="18"/>
                <w:szCs w:val="18"/>
                <w:lang w:val="es-ES_tradnl" w:eastAsia="zh-CN"/>
              </w:rPr>
              <w:t>0,045</w:t>
            </w:r>
          </w:p>
        </w:tc>
        <w:tc>
          <w:tcPr>
            <w:tcW w:w="1279" w:type="dxa"/>
            <w:tcBorders>
              <w:top w:val="nil"/>
              <w:left w:val="nil"/>
              <w:bottom w:val="single" w:sz="4" w:space="0" w:color="auto"/>
              <w:right w:val="single" w:sz="4" w:space="0" w:color="auto"/>
            </w:tcBorders>
            <w:shd w:val="clear" w:color="auto" w:fill="auto"/>
            <w:noWrap/>
            <w:vAlign w:val="center"/>
            <w:hideMark/>
          </w:tcPr>
          <w:p w14:paraId="443F9F4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1 226 </w:t>
            </w:r>
          </w:p>
        </w:tc>
        <w:tc>
          <w:tcPr>
            <w:tcW w:w="1279" w:type="dxa"/>
            <w:tcBorders>
              <w:top w:val="nil"/>
              <w:left w:val="nil"/>
              <w:bottom w:val="single" w:sz="4" w:space="0" w:color="auto"/>
              <w:right w:val="single" w:sz="4" w:space="0" w:color="auto"/>
            </w:tcBorders>
            <w:shd w:val="clear" w:color="auto" w:fill="auto"/>
            <w:noWrap/>
            <w:vAlign w:val="center"/>
            <w:hideMark/>
          </w:tcPr>
          <w:p w14:paraId="57CDAEE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1 345 </w:t>
            </w:r>
          </w:p>
        </w:tc>
        <w:tc>
          <w:tcPr>
            <w:tcW w:w="1180" w:type="dxa"/>
            <w:tcBorders>
              <w:top w:val="nil"/>
              <w:left w:val="nil"/>
              <w:bottom w:val="single" w:sz="4" w:space="0" w:color="auto"/>
              <w:right w:val="single" w:sz="4" w:space="0" w:color="auto"/>
            </w:tcBorders>
            <w:shd w:val="clear" w:color="auto" w:fill="auto"/>
            <w:noWrap/>
            <w:vAlign w:val="center"/>
            <w:hideMark/>
          </w:tcPr>
          <w:p w14:paraId="08BB7411"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2 571 </w:t>
            </w:r>
          </w:p>
        </w:tc>
      </w:tr>
      <w:tr w:rsidR="00D8083E" w:rsidRPr="00A202B4" w14:paraId="72F739D7"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E6BB461" w14:textId="77777777" w:rsidR="00D8083E" w:rsidRPr="00A202B4" w:rsidRDefault="00D8083E" w:rsidP="009A372A">
            <w:pPr>
              <w:jc w:val="left"/>
              <w:rPr>
                <w:sz w:val="18"/>
                <w:szCs w:val="18"/>
                <w:lang w:val="es-ES_tradnl" w:eastAsia="zh-CN"/>
              </w:rPr>
            </w:pPr>
            <w:r w:rsidRPr="00A202B4">
              <w:rPr>
                <w:sz w:val="18"/>
                <w:szCs w:val="18"/>
                <w:lang w:val="es-ES_tradnl" w:eastAsia="zh-CN"/>
              </w:rPr>
              <w:t>Seychelles</w:t>
            </w:r>
          </w:p>
        </w:tc>
        <w:tc>
          <w:tcPr>
            <w:tcW w:w="1180" w:type="dxa"/>
            <w:tcBorders>
              <w:top w:val="nil"/>
              <w:left w:val="nil"/>
              <w:bottom w:val="single" w:sz="4" w:space="0" w:color="auto"/>
              <w:right w:val="single" w:sz="4" w:space="0" w:color="auto"/>
            </w:tcBorders>
            <w:shd w:val="clear" w:color="auto" w:fill="auto"/>
            <w:vAlign w:val="center"/>
            <w:hideMark/>
          </w:tcPr>
          <w:p w14:paraId="04F3F443" w14:textId="77777777" w:rsidR="00D8083E" w:rsidRPr="00A202B4" w:rsidRDefault="00D8083E" w:rsidP="009A372A">
            <w:pPr>
              <w:jc w:val="right"/>
              <w:rPr>
                <w:sz w:val="18"/>
                <w:szCs w:val="18"/>
                <w:lang w:val="es-ES_tradnl" w:eastAsia="zh-CN"/>
              </w:rPr>
            </w:pPr>
            <w:r w:rsidRPr="00A202B4">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DEE6E1B" w14:textId="77777777" w:rsidR="00D8083E" w:rsidRPr="00A202B4" w:rsidRDefault="00D8083E" w:rsidP="009A372A">
            <w:pPr>
              <w:jc w:val="right"/>
              <w:rPr>
                <w:sz w:val="18"/>
                <w:szCs w:val="18"/>
                <w:lang w:val="es-ES_tradnl" w:eastAsia="zh-CN"/>
              </w:rPr>
            </w:pPr>
            <w:r w:rsidRPr="00A202B4">
              <w:rPr>
                <w:sz w:val="18"/>
                <w:szCs w:val="18"/>
                <w:lang w:val="es-ES_tradnl" w:eastAsia="zh-CN"/>
              </w:rPr>
              <w:t>0,003</w:t>
            </w:r>
          </w:p>
        </w:tc>
        <w:tc>
          <w:tcPr>
            <w:tcW w:w="1279" w:type="dxa"/>
            <w:tcBorders>
              <w:top w:val="nil"/>
              <w:left w:val="nil"/>
              <w:bottom w:val="single" w:sz="4" w:space="0" w:color="auto"/>
              <w:right w:val="single" w:sz="4" w:space="0" w:color="auto"/>
            </w:tcBorders>
            <w:shd w:val="clear" w:color="auto" w:fill="auto"/>
            <w:noWrap/>
            <w:vAlign w:val="center"/>
            <w:hideMark/>
          </w:tcPr>
          <w:p w14:paraId="5F02CB6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77 </w:t>
            </w:r>
          </w:p>
        </w:tc>
        <w:tc>
          <w:tcPr>
            <w:tcW w:w="1279" w:type="dxa"/>
            <w:tcBorders>
              <w:top w:val="nil"/>
              <w:left w:val="nil"/>
              <w:bottom w:val="single" w:sz="4" w:space="0" w:color="auto"/>
              <w:right w:val="single" w:sz="4" w:space="0" w:color="auto"/>
            </w:tcBorders>
            <w:shd w:val="clear" w:color="auto" w:fill="auto"/>
            <w:noWrap/>
            <w:vAlign w:val="center"/>
            <w:hideMark/>
          </w:tcPr>
          <w:p w14:paraId="09417D0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3066CDF0"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161 </w:t>
            </w:r>
          </w:p>
        </w:tc>
      </w:tr>
      <w:tr w:rsidR="00D8083E" w:rsidRPr="00A202B4" w14:paraId="7CBCA7E1"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172DC27" w14:textId="77777777" w:rsidR="00D8083E" w:rsidRPr="00A202B4" w:rsidRDefault="00D8083E" w:rsidP="009A372A">
            <w:pPr>
              <w:jc w:val="left"/>
              <w:rPr>
                <w:sz w:val="18"/>
                <w:szCs w:val="18"/>
                <w:lang w:val="es-ES_tradnl" w:eastAsia="zh-CN"/>
              </w:rPr>
            </w:pPr>
            <w:r w:rsidRPr="00A202B4">
              <w:rPr>
                <w:sz w:val="18"/>
                <w:szCs w:val="18"/>
                <w:lang w:val="es-ES_tradnl" w:eastAsia="zh-CN"/>
              </w:rPr>
              <w:t>Sierra Leona</w:t>
            </w:r>
          </w:p>
        </w:tc>
        <w:tc>
          <w:tcPr>
            <w:tcW w:w="1180" w:type="dxa"/>
            <w:tcBorders>
              <w:top w:val="nil"/>
              <w:left w:val="nil"/>
              <w:bottom w:val="single" w:sz="4" w:space="0" w:color="auto"/>
              <w:right w:val="single" w:sz="4" w:space="0" w:color="auto"/>
            </w:tcBorders>
            <w:shd w:val="clear" w:color="auto" w:fill="auto"/>
            <w:vAlign w:val="center"/>
            <w:hideMark/>
          </w:tcPr>
          <w:p w14:paraId="7E747F22"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63E39AE"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2C37ABA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6EC08DD7"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6C0E5415"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7FD7214E"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C81657C" w14:textId="77777777" w:rsidR="00D8083E" w:rsidRPr="00A202B4" w:rsidRDefault="00D8083E" w:rsidP="009A372A">
            <w:pPr>
              <w:jc w:val="left"/>
              <w:rPr>
                <w:sz w:val="18"/>
                <w:szCs w:val="18"/>
                <w:lang w:val="es-ES_tradnl" w:eastAsia="zh-CN"/>
              </w:rPr>
            </w:pPr>
            <w:r w:rsidRPr="00A202B4">
              <w:rPr>
                <w:sz w:val="18"/>
                <w:szCs w:val="18"/>
                <w:lang w:val="es-ES_tradnl" w:eastAsia="zh-CN"/>
              </w:rPr>
              <w:t>Somalia</w:t>
            </w:r>
          </w:p>
        </w:tc>
        <w:tc>
          <w:tcPr>
            <w:tcW w:w="1180" w:type="dxa"/>
            <w:tcBorders>
              <w:top w:val="nil"/>
              <w:left w:val="nil"/>
              <w:bottom w:val="single" w:sz="4" w:space="0" w:color="auto"/>
              <w:right w:val="single" w:sz="4" w:space="0" w:color="auto"/>
            </w:tcBorders>
            <w:shd w:val="clear" w:color="auto" w:fill="auto"/>
            <w:vAlign w:val="center"/>
            <w:hideMark/>
          </w:tcPr>
          <w:p w14:paraId="3B1F44E7"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9A31953"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410F62F6"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06546118"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6E1D9482"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06F5F2FA"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B25A4B2" w14:textId="77777777" w:rsidR="00D8083E" w:rsidRPr="00A202B4" w:rsidRDefault="00D8083E" w:rsidP="009A372A">
            <w:pPr>
              <w:jc w:val="left"/>
              <w:rPr>
                <w:sz w:val="18"/>
                <w:szCs w:val="18"/>
                <w:lang w:val="es-ES_tradnl" w:eastAsia="zh-CN"/>
              </w:rPr>
            </w:pPr>
            <w:r w:rsidRPr="00A202B4">
              <w:rPr>
                <w:sz w:val="18"/>
                <w:szCs w:val="18"/>
                <w:lang w:val="es-ES_tradnl" w:eastAsia="zh-CN"/>
              </w:rPr>
              <w:t>Sri Lanka</w:t>
            </w:r>
          </w:p>
        </w:tc>
        <w:tc>
          <w:tcPr>
            <w:tcW w:w="1180" w:type="dxa"/>
            <w:tcBorders>
              <w:top w:val="nil"/>
              <w:left w:val="nil"/>
              <w:bottom w:val="single" w:sz="4" w:space="0" w:color="auto"/>
              <w:right w:val="single" w:sz="4" w:space="0" w:color="auto"/>
            </w:tcBorders>
            <w:shd w:val="clear" w:color="auto" w:fill="auto"/>
            <w:vAlign w:val="center"/>
            <w:hideMark/>
          </w:tcPr>
          <w:p w14:paraId="6E2C2823" w14:textId="77777777" w:rsidR="00D8083E" w:rsidRPr="00A202B4" w:rsidRDefault="00D8083E" w:rsidP="009A372A">
            <w:pPr>
              <w:jc w:val="right"/>
              <w:rPr>
                <w:sz w:val="18"/>
                <w:szCs w:val="18"/>
                <w:lang w:val="es-ES_tradnl" w:eastAsia="zh-CN"/>
              </w:rPr>
            </w:pPr>
            <w:r w:rsidRPr="00A202B4">
              <w:rPr>
                <w:sz w:val="18"/>
                <w:szCs w:val="18"/>
                <w:lang w:val="es-ES_tradnl" w:eastAsia="zh-CN"/>
              </w:rPr>
              <w:t>0,045</w:t>
            </w:r>
          </w:p>
        </w:tc>
        <w:tc>
          <w:tcPr>
            <w:tcW w:w="1180" w:type="dxa"/>
            <w:tcBorders>
              <w:top w:val="nil"/>
              <w:left w:val="nil"/>
              <w:bottom w:val="single" w:sz="4" w:space="0" w:color="auto"/>
              <w:right w:val="single" w:sz="4" w:space="0" w:color="auto"/>
            </w:tcBorders>
            <w:shd w:val="clear" w:color="auto" w:fill="auto"/>
            <w:noWrap/>
            <w:vAlign w:val="center"/>
            <w:hideMark/>
          </w:tcPr>
          <w:p w14:paraId="2F0CC113" w14:textId="77777777" w:rsidR="00D8083E" w:rsidRPr="00A202B4" w:rsidRDefault="00D8083E" w:rsidP="009A372A">
            <w:pPr>
              <w:jc w:val="right"/>
              <w:rPr>
                <w:sz w:val="18"/>
                <w:szCs w:val="18"/>
                <w:lang w:val="es-ES_tradnl" w:eastAsia="zh-CN"/>
              </w:rPr>
            </w:pPr>
            <w:r w:rsidRPr="00A202B4">
              <w:rPr>
                <w:sz w:val="18"/>
                <w:szCs w:val="18"/>
                <w:lang w:val="es-ES_tradnl" w:eastAsia="zh-CN"/>
              </w:rPr>
              <w:t>0,064</w:t>
            </w:r>
          </w:p>
        </w:tc>
        <w:tc>
          <w:tcPr>
            <w:tcW w:w="1279" w:type="dxa"/>
            <w:tcBorders>
              <w:top w:val="nil"/>
              <w:left w:val="nil"/>
              <w:bottom w:val="single" w:sz="4" w:space="0" w:color="auto"/>
              <w:right w:val="single" w:sz="4" w:space="0" w:color="auto"/>
            </w:tcBorders>
            <w:shd w:val="clear" w:color="auto" w:fill="auto"/>
            <w:noWrap/>
            <w:vAlign w:val="center"/>
            <w:hideMark/>
          </w:tcPr>
          <w:p w14:paraId="1757C13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1 724 </w:t>
            </w:r>
          </w:p>
        </w:tc>
        <w:tc>
          <w:tcPr>
            <w:tcW w:w="1279" w:type="dxa"/>
            <w:tcBorders>
              <w:top w:val="nil"/>
              <w:left w:val="nil"/>
              <w:bottom w:val="single" w:sz="4" w:space="0" w:color="auto"/>
              <w:right w:val="single" w:sz="4" w:space="0" w:color="auto"/>
            </w:tcBorders>
            <w:shd w:val="clear" w:color="auto" w:fill="auto"/>
            <w:noWrap/>
            <w:vAlign w:val="center"/>
            <w:hideMark/>
          </w:tcPr>
          <w:p w14:paraId="1C9BD6C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1 891 </w:t>
            </w:r>
          </w:p>
        </w:tc>
        <w:tc>
          <w:tcPr>
            <w:tcW w:w="1180" w:type="dxa"/>
            <w:tcBorders>
              <w:top w:val="nil"/>
              <w:left w:val="nil"/>
              <w:bottom w:val="single" w:sz="4" w:space="0" w:color="auto"/>
              <w:right w:val="single" w:sz="4" w:space="0" w:color="auto"/>
            </w:tcBorders>
            <w:shd w:val="clear" w:color="auto" w:fill="auto"/>
            <w:noWrap/>
            <w:vAlign w:val="center"/>
            <w:hideMark/>
          </w:tcPr>
          <w:p w14:paraId="218BB044"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3 615 </w:t>
            </w:r>
          </w:p>
        </w:tc>
      </w:tr>
      <w:tr w:rsidR="00D8083E" w:rsidRPr="00A202B4" w14:paraId="3FBF6693"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477253B" w14:textId="77777777" w:rsidR="00D8083E" w:rsidRPr="00A202B4" w:rsidRDefault="00D8083E" w:rsidP="009A372A">
            <w:pPr>
              <w:jc w:val="left"/>
              <w:rPr>
                <w:sz w:val="18"/>
                <w:szCs w:val="18"/>
                <w:lang w:val="es-ES_tradnl" w:eastAsia="zh-CN"/>
              </w:rPr>
            </w:pPr>
            <w:r w:rsidRPr="00A202B4">
              <w:rPr>
                <w:sz w:val="18"/>
                <w:szCs w:val="18"/>
                <w:lang w:val="es-ES_tradnl" w:eastAsia="zh-CN"/>
              </w:rPr>
              <w:t>Sudáfrica</w:t>
            </w:r>
          </w:p>
        </w:tc>
        <w:tc>
          <w:tcPr>
            <w:tcW w:w="1180" w:type="dxa"/>
            <w:tcBorders>
              <w:top w:val="nil"/>
              <w:left w:val="nil"/>
              <w:bottom w:val="single" w:sz="4" w:space="0" w:color="auto"/>
              <w:right w:val="single" w:sz="4" w:space="0" w:color="auto"/>
            </w:tcBorders>
            <w:shd w:val="clear" w:color="auto" w:fill="auto"/>
            <w:vAlign w:val="center"/>
            <w:hideMark/>
          </w:tcPr>
          <w:p w14:paraId="09DC1C0F" w14:textId="77777777" w:rsidR="00D8083E" w:rsidRPr="00A202B4" w:rsidRDefault="00D8083E" w:rsidP="009A372A">
            <w:pPr>
              <w:jc w:val="right"/>
              <w:rPr>
                <w:sz w:val="18"/>
                <w:szCs w:val="18"/>
                <w:lang w:val="es-ES_tradnl" w:eastAsia="zh-CN"/>
              </w:rPr>
            </w:pPr>
            <w:r w:rsidRPr="00A202B4">
              <w:rPr>
                <w:sz w:val="18"/>
                <w:szCs w:val="18"/>
                <w:lang w:val="es-ES_tradnl" w:eastAsia="zh-CN"/>
              </w:rPr>
              <w:t>0,244</w:t>
            </w:r>
          </w:p>
        </w:tc>
        <w:tc>
          <w:tcPr>
            <w:tcW w:w="1180" w:type="dxa"/>
            <w:tcBorders>
              <w:top w:val="nil"/>
              <w:left w:val="nil"/>
              <w:bottom w:val="single" w:sz="4" w:space="0" w:color="auto"/>
              <w:right w:val="single" w:sz="4" w:space="0" w:color="auto"/>
            </w:tcBorders>
            <w:shd w:val="clear" w:color="auto" w:fill="auto"/>
            <w:noWrap/>
            <w:vAlign w:val="center"/>
            <w:hideMark/>
          </w:tcPr>
          <w:p w14:paraId="5C2D13D6" w14:textId="77777777" w:rsidR="00D8083E" w:rsidRPr="00A202B4" w:rsidRDefault="00D8083E" w:rsidP="009A372A">
            <w:pPr>
              <w:jc w:val="right"/>
              <w:rPr>
                <w:sz w:val="18"/>
                <w:szCs w:val="18"/>
                <w:lang w:val="es-ES_tradnl" w:eastAsia="zh-CN"/>
              </w:rPr>
            </w:pPr>
            <w:r w:rsidRPr="00A202B4">
              <w:rPr>
                <w:sz w:val="18"/>
                <w:szCs w:val="18"/>
                <w:lang w:val="es-ES_tradnl" w:eastAsia="zh-CN"/>
              </w:rPr>
              <w:t>0,344</w:t>
            </w:r>
          </w:p>
        </w:tc>
        <w:tc>
          <w:tcPr>
            <w:tcW w:w="1279" w:type="dxa"/>
            <w:tcBorders>
              <w:top w:val="nil"/>
              <w:left w:val="nil"/>
              <w:bottom w:val="single" w:sz="4" w:space="0" w:color="auto"/>
              <w:right w:val="single" w:sz="4" w:space="0" w:color="auto"/>
            </w:tcBorders>
            <w:shd w:val="clear" w:color="auto" w:fill="auto"/>
            <w:noWrap/>
            <w:vAlign w:val="center"/>
            <w:hideMark/>
          </w:tcPr>
          <w:p w14:paraId="485ECEE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9 349 </w:t>
            </w:r>
          </w:p>
        </w:tc>
        <w:tc>
          <w:tcPr>
            <w:tcW w:w="1279" w:type="dxa"/>
            <w:tcBorders>
              <w:top w:val="nil"/>
              <w:left w:val="nil"/>
              <w:bottom w:val="single" w:sz="4" w:space="0" w:color="auto"/>
              <w:right w:val="single" w:sz="4" w:space="0" w:color="auto"/>
            </w:tcBorders>
            <w:shd w:val="clear" w:color="auto" w:fill="auto"/>
            <w:noWrap/>
            <w:vAlign w:val="center"/>
            <w:hideMark/>
          </w:tcPr>
          <w:p w14:paraId="7834962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10 254 </w:t>
            </w:r>
          </w:p>
        </w:tc>
        <w:tc>
          <w:tcPr>
            <w:tcW w:w="1180" w:type="dxa"/>
            <w:tcBorders>
              <w:top w:val="nil"/>
              <w:left w:val="nil"/>
              <w:bottom w:val="single" w:sz="4" w:space="0" w:color="auto"/>
              <w:right w:val="single" w:sz="4" w:space="0" w:color="auto"/>
            </w:tcBorders>
            <w:shd w:val="clear" w:color="auto" w:fill="auto"/>
            <w:noWrap/>
            <w:vAlign w:val="center"/>
            <w:hideMark/>
          </w:tcPr>
          <w:p w14:paraId="1470A039"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19 602 </w:t>
            </w:r>
          </w:p>
        </w:tc>
      </w:tr>
      <w:tr w:rsidR="00D8083E" w:rsidRPr="00A202B4" w14:paraId="180F0FA7"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CCEF443" w14:textId="77777777" w:rsidR="00D8083E" w:rsidRPr="00A202B4" w:rsidRDefault="00D8083E" w:rsidP="009A372A">
            <w:pPr>
              <w:jc w:val="left"/>
              <w:rPr>
                <w:sz w:val="18"/>
                <w:szCs w:val="18"/>
                <w:lang w:val="es-ES_tradnl" w:eastAsia="zh-CN"/>
              </w:rPr>
            </w:pPr>
            <w:r w:rsidRPr="00A202B4">
              <w:rPr>
                <w:sz w:val="18"/>
                <w:szCs w:val="18"/>
                <w:lang w:val="es-ES_tradnl" w:eastAsia="zh-CN"/>
              </w:rPr>
              <w:t>Sudán</w:t>
            </w:r>
          </w:p>
        </w:tc>
        <w:tc>
          <w:tcPr>
            <w:tcW w:w="1180" w:type="dxa"/>
            <w:tcBorders>
              <w:top w:val="nil"/>
              <w:left w:val="nil"/>
              <w:bottom w:val="single" w:sz="4" w:space="0" w:color="auto"/>
              <w:right w:val="single" w:sz="4" w:space="0" w:color="auto"/>
            </w:tcBorders>
            <w:shd w:val="clear" w:color="auto" w:fill="auto"/>
            <w:vAlign w:val="center"/>
            <w:hideMark/>
          </w:tcPr>
          <w:p w14:paraId="1A7D8688"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C9EE13A"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279" w:type="dxa"/>
            <w:tcBorders>
              <w:top w:val="nil"/>
              <w:left w:val="nil"/>
              <w:bottom w:val="single" w:sz="4" w:space="0" w:color="auto"/>
              <w:right w:val="single" w:sz="4" w:space="0" w:color="auto"/>
            </w:tcBorders>
            <w:shd w:val="clear" w:color="auto" w:fill="auto"/>
            <w:noWrap/>
            <w:vAlign w:val="center"/>
            <w:hideMark/>
          </w:tcPr>
          <w:p w14:paraId="5633556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271 </w:t>
            </w:r>
          </w:p>
        </w:tc>
        <w:tc>
          <w:tcPr>
            <w:tcW w:w="1279" w:type="dxa"/>
            <w:tcBorders>
              <w:top w:val="nil"/>
              <w:left w:val="nil"/>
              <w:bottom w:val="single" w:sz="4" w:space="0" w:color="auto"/>
              <w:right w:val="single" w:sz="4" w:space="0" w:color="auto"/>
            </w:tcBorders>
            <w:shd w:val="clear" w:color="auto" w:fill="auto"/>
            <w:noWrap/>
            <w:vAlign w:val="center"/>
            <w:hideMark/>
          </w:tcPr>
          <w:p w14:paraId="0A5FF00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1D887C23"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569 </w:t>
            </w:r>
          </w:p>
        </w:tc>
      </w:tr>
      <w:tr w:rsidR="00D8083E" w:rsidRPr="00A202B4" w14:paraId="36608982"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4D83158" w14:textId="77777777" w:rsidR="00D8083E" w:rsidRPr="00A202B4" w:rsidRDefault="00D8083E" w:rsidP="009A372A">
            <w:pPr>
              <w:jc w:val="left"/>
              <w:rPr>
                <w:sz w:val="18"/>
                <w:szCs w:val="18"/>
                <w:lang w:val="es-ES_tradnl" w:eastAsia="zh-CN"/>
              </w:rPr>
            </w:pPr>
            <w:r w:rsidRPr="00A202B4">
              <w:rPr>
                <w:sz w:val="18"/>
                <w:szCs w:val="18"/>
                <w:lang w:val="es-ES_tradnl" w:eastAsia="zh-CN"/>
              </w:rPr>
              <w:t>Suecia</w:t>
            </w:r>
          </w:p>
        </w:tc>
        <w:tc>
          <w:tcPr>
            <w:tcW w:w="1180" w:type="dxa"/>
            <w:tcBorders>
              <w:top w:val="nil"/>
              <w:left w:val="nil"/>
              <w:bottom w:val="single" w:sz="4" w:space="0" w:color="auto"/>
              <w:right w:val="single" w:sz="4" w:space="0" w:color="auto"/>
            </w:tcBorders>
            <w:shd w:val="clear" w:color="auto" w:fill="auto"/>
            <w:vAlign w:val="center"/>
            <w:hideMark/>
          </w:tcPr>
          <w:p w14:paraId="44E9AEDF" w14:textId="77777777" w:rsidR="00D8083E" w:rsidRPr="00A202B4" w:rsidRDefault="00D8083E" w:rsidP="009A372A">
            <w:pPr>
              <w:jc w:val="right"/>
              <w:rPr>
                <w:sz w:val="18"/>
                <w:szCs w:val="18"/>
                <w:lang w:val="es-ES_tradnl" w:eastAsia="zh-CN"/>
              </w:rPr>
            </w:pPr>
            <w:r w:rsidRPr="00A202B4">
              <w:rPr>
                <w:sz w:val="18"/>
                <w:szCs w:val="18"/>
                <w:lang w:val="es-ES_tradnl" w:eastAsia="zh-CN"/>
              </w:rPr>
              <w:t>0,871</w:t>
            </w:r>
          </w:p>
        </w:tc>
        <w:tc>
          <w:tcPr>
            <w:tcW w:w="1180" w:type="dxa"/>
            <w:tcBorders>
              <w:top w:val="nil"/>
              <w:left w:val="nil"/>
              <w:bottom w:val="single" w:sz="4" w:space="0" w:color="auto"/>
              <w:right w:val="single" w:sz="4" w:space="0" w:color="auto"/>
            </w:tcBorders>
            <w:shd w:val="clear" w:color="auto" w:fill="auto"/>
            <w:noWrap/>
            <w:vAlign w:val="center"/>
            <w:hideMark/>
          </w:tcPr>
          <w:p w14:paraId="53E679CD" w14:textId="77777777" w:rsidR="00D8083E" w:rsidRPr="00A202B4" w:rsidRDefault="00D8083E" w:rsidP="009A372A">
            <w:pPr>
              <w:jc w:val="right"/>
              <w:rPr>
                <w:sz w:val="18"/>
                <w:szCs w:val="18"/>
                <w:lang w:val="es-ES_tradnl" w:eastAsia="zh-CN"/>
              </w:rPr>
            </w:pPr>
            <w:r w:rsidRPr="00A202B4">
              <w:rPr>
                <w:sz w:val="18"/>
                <w:szCs w:val="18"/>
                <w:lang w:val="es-ES_tradnl" w:eastAsia="zh-CN"/>
              </w:rPr>
              <w:t>1,230</w:t>
            </w:r>
          </w:p>
        </w:tc>
        <w:tc>
          <w:tcPr>
            <w:tcW w:w="1279" w:type="dxa"/>
            <w:tcBorders>
              <w:top w:val="nil"/>
              <w:left w:val="nil"/>
              <w:bottom w:val="single" w:sz="4" w:space="0" w:color="auto"/>
              <w:right w:val="single" w:sz="4" w:space="0" w:color="auto"/>
            </w:tcBorders>
            <w:shd w:val="clear" w:color="auto" w:fill="auto"/>
            <w:noWrap/>
            <w:vAlign w:val="center"/>
            <w:hideMark/>
          </w:tcPr>
          <w:p w14:paraId="4BDB90AD"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33 371 </w:t>
            </w:r>
          </w:p>
        </w:tc>
        <w:tc>
          <w:tcPr>
            <w:tcW w:w="1279" w:type="dxa"/>
            <w:tcBorders>
              <w:top w:val="nil"/>
              <w:left w:val="nil"/>
              <w:bottom w:val="single" w:sz="4" w:space="0" w:color="auto"/>
              <w:right w:val="single" w:sz="4" w:space="0" w:color="auto"/>
            </w:tcBorders>
            <w:shd w:val="clear" w:color="auto" w:fill="auto"/>
            <w:noWrap/>
            <w:vAlign w:val="center"/>
            <w:hideMark/>
          </w:tcPr>
          <w:p w14:paraId="414A299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36 603 </w:t>
            </w:r>
          </w:p>
        </w:tc>
        <w:tc>
          <w:tcPr>
            <w:tcW w:w="1180" w:type="dxa"/>
            <w:tcBorders>
              <w:top w:val="nil"/>
              <w:left w:val="nil"/>
              <w:bottom w:val="single" w:sz="4" w:space="0" w:color="auto"/>
              <w:right w:val="single" w:sz="4" w:space="0" w:color="auto"/>
            </w:tcBorders>
            <w:shd w:val="clear" w:color="auto" w:fill="auto"/>
            <w:noWrap/>
            <w:vAlign w:val="center"/>
            <w:hideMark/>
          </w:tcPr>
          <w:p w14:paraId="55298F05"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69 974 </w:t>
            </w:r>
          </w:p>
        </w:tc>
      </w:tr>
      <w:tr w:rsidR="00D8083E" w:rsidRPr="00A202B4" w14:paraId="0D4F90A4"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0882023" w14:textId="77777777" w:rsidR="00D8083E" w:rsidRPr="00A202B4" w:rsidRDefault="00D8083E" w:rsidP="009A372A">
            <w:pPr>
              <w:jc w:val="left"/>
              <w:rPr>
                <w:sz w:val="18"/>
                <w:szCs w:val="18"/>
                <w:lang w:val="es-ES_tradnl" w:eastAsia="zh-CN"/>
              </w:rPr>
            </w:pPr>
            <w:r w:rsidRPr="00A202B4">
              <w:rPr>
                <w:sz w:val="18"/>
                <w:szCs w:val="18"/>
                <w:lang w:val="es-ES_tradnl" w:eastAsia="zh-CN"/>
              </w:rPr>
              <w:t xml:space="preserve">Suiza </w:t>
            </w:r>
          </w:p>
        </w:tc>
        <w:tc>
          <w:tcPr>
            <w:tcW w:w="1180" w:type="dxa"/>
            <w:tcBorders>
              <w:top w:val="nil"/>
              <w:left w:val="nil"/>
              <w:bottom w:val="single" w:sz="4" w:space="0" w:color="auto"/>
              <w:right w:val="single" w:sz="4" w:space="0" w:color="auto"/>
            </w:tcBorders>
            <w:shd w:val="clear" w:color="auto" w:fill="auto"/>
            <w:vAlign w:val="center"/>
            <w:hideMark/>
          </w:tcPr>
          <w:p w14:paraId="7145A55F" w14:textId="77777777" w:rsidR="00D8083E" w:rsidRPr="00A202B4" w:rsidRDefault="00D8083E" w:rsidP="009A372A">
            <w:pPr>
              <w:jc w:val="right"/>
              <w:rPr>
                <w:sz w:val="18"/>
                <w:szCs w:val="18"/>
                <w:lang w:val="es-ES_tradnl" w:eastAsia="zh-CN"/>
              </w:rPr>
            </w:pPr>
            <w:r w:rsidRPr="00A202B4">
              <w:rPr>
                <w:sz w:val="18"/>
                <w:szCs w:val="18"/>
                <w:lang w:val="es-ES_tradnl" w:eastAsia="zh-CN"/>
              </w:rPr>
              <w:t>1,134</w:t>
            </w:r>
          </w:p>
        </w:tc>
        <w:tc>
          <w:tcPr>
            <w:tcW w:w="1180" w:type="dxa"/>
            <w:tcBorders>
              <w:top w:val="nil"/>
              <w:left w:val="nil"/>
              <w:bottom w:val="single" w:sz="4" w:space="0" w:color="auto"/>
              <w:right w:val="single" w:sz="4" w:space="0" w:color="auto"/>
            </w:tcBorders>
            <w:shd w:val="clear" w:color="auto" w:fill="auto"/>
            <w:noWrap/>
            <w:vAlign w:val="center"/>
            <w:hideMark/>
          </w:tcPr>
          <w:p w14:paraId="17E6125E" w14:textId="77777777" w:rsidR="00D8083E" w:rsidRPr="00A202B4" w:rsidRDefault="00D8083E" w:rsidP="009A372A">
            <w:pPr>
              <w:jc w:val="right"/>
              <w:rPr>
                <w:sz w:val="18"/>
                <w:szCs w:val="18"/>
                <w:lang w:val="es-ES_tradnl" w:eastAsia="zh-CN"/>
              </w:rPr>
            </w:pPr>
            <w:r w:rsidRPr="00A202B4">
              <w:rPr>
                <w:sz w:val="18"/>
                <w:szCs w:val="18"/>
                <w:lang w:val="es-ES_tradnl" w:eastAsia="zh-CN"/>
              </w:rPr>
              <w:t>1,601</w:t>
            </w:r>
          </w:p>
        </w:tc>
        <w:tc>
          <w:tcPr>
            <w:tcW w:w="1279" w:type="dxa"/>
            <w:tcBorders>
              <w:top w:val="nil"/>
              <w:left w:val="nil"/>
              <w:bottom w:val="single" w:sz="4" w:space="0" w:color="auto"/>
              <w:right w:val="single" w:sz="4" w:space="0" w:color="auto"/>
            </w:tcBorders>
            <w:shd w:val="clear" w:color="auto" w:fill="auto"/>
            <w:noWrap/>
            <w:vAlign w:val="center"/>
            <w:hideMark/>
          </w:tcPr>
          <w:p w14:paraId="705B668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43 448 </w:t>
            </w:r>
          </w:p>
        </w:tc>
        <w:tc>
          <w:tcPr>
            <w:tcW w:w="1279" w:type="dxa"/>
            <w:tcBorders>
              <w:top w:val="nil"/>
              <w:left w:val="nil"/>
              <w:bottom w:val="single" w:sz="4" w:space="0" w:color="auto"/>
              <w:right w:val="single" w:sz="4" w:space="0" w:color="auto"/>
            </w:tcBorders>
            <w:shd w:val="clear" w:color="auto" w:fill="auto"/>
            <w:noWrap/>
            <w:vAlign w:val="center"/>
            <w:hideMark/>
          </w:tcPr>
          <w:p w14:paraId="7D78523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47 655 </w:t>
            </w:r>
          </w:p>
        </w:tc>
        <w:tc>
          <w:tcPr>
            <w:tcW w:w="1180" w:type="dxa"/>
            <w:tcBorders>
              <w:top w:val="nil"/>
              <w:left w:val="nil"/>
              <w:bottom w:val="single" w:sz="4" w:space="0" w:color="auto"/>
              <w:right w:val="single" w:sz="4" w:space="0" w:color="auto"/>
            </w:tcBorders>
            <w:shd w:val="clear" w:color="auto" w:fill="auto"/>
            <w:noWrap/>
            <w:vAlign w:val="center"/>
            <w:hideMark/>
          </w:tcPr>
          <w:p w14:paraId="0BF69219"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91 103 </w:t>
            </w:r>
          </w:p>
        </w:tc>
      </w:tr>
      <w:tr w:rsidR="00D8083E" w:rsidRPr="00A202B4" w14:paraId="3BCE8D87"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06CA8F6" w14:textId="77777777" w:rsidR="00D8083E" w:rsidRPr="00A202B4" w:rsidRDefault="00D8083E" w:rsidP="009A372A">
            <w:pPr>
              <w:jc w:val="left"/>
              <w:rPr>
                <w:sz w:val="18"/>
                <w:szCs w:val="18"/>
                <w:lang w:val="es-ES_tradnl" w:eastAsia="zh-CN"/>
              </w:rPr>
            </w:pPr>
            <w:r w:rsidRPr="00A202B4">
              <w:rPr>
                <w:sz w:val="18"/>
                <w:szCs w:val="18"/>
                <w:lang w:val="es-ES_tradnl" w:eastAsia="zh-CN"/>
              </w:rPr>
              <w:t>Suriname</w:t>
            </w:r>
          </w:p>
        </w:tc>
        <w:tc>
          <w:tcPr>
            <w:tcW w:w="1180" w:type="dxa"/>
            <w:tcBorders>
              <w:top w:val="nil"/>
              <w:left w:val="nil"/>
              <w:bottom w:val="single" w:sz="4" w:space="0" w:color="auto"/>
              <w:right w:val="single" w:sz="4" w:space="0" w:color="auto"/>
            </w:tcBorders>
            <w:shd w:val="clear" w:color="auto" w:fill="auto"/>
            <w:vAlign w:val="center"/>
            <w:hideMark/>
          </w:tcPr>
          <w:p w14:paraId="239AC6DA" w14:textId="77777777" w:rsidR="00D8083E" w:rsidRPr="00A202B4" w:rsidRDefault="00D8083E" w:rsidP="009A372A">
            <w:pPr>
              <w:jc w:val="right"/>
              <w:rPr>
                <w:sz w:val="18"/>
                <w:szCs w:val="18"/>
                <w:lang w:val="es-ES_tradnl" w:eastAsia="zh-CN"/>
              </w:rPr>
            </w:pPr>
            <w:r w:rsidRPr="00A202B4">
              <w:rPr>
                <w:sz w:val="18"/>
                <w:szCs w:val="18"/>
                <w:lang w:val="es-ES_tradnl"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03CB58BD" w14:textId="77777777" w:rsidR="00D8083E" w:rsidRPr="00A202B4" w:rsidRDefault="00D8083E" w:rsidP="009A372A">
            <w:pPr>
              <w:jc w:val="right"/>
              <w:rPr>
                <w:sz w:val="18"/>
                <w:szCs w:val="18"/>
                <w:lang w:val="es-ES_tradnl" w:eastAsia="zh-CN"/>
              </w:rPr>
            </w:pPr>
            <w:r w:rsidRPr="00A202B4">
              <w:rPr>
                <w:sz w:val="18"/>
                <w:szCs w:val="18"/>
                <w:lang w:val="es-ES_tradnl" w:eastAsia="zh-CN"/>
              </w:rPr>
              <w:t>0,004</w:t>
            </w:r>
          </w:p>
        </w:tc>
        <w:tc>
          <w:tcPr>
            <w:tcW w:w="1279" w:type="dxa"/>
            <w:tcBorders>
              <w:top w:val="nil"/>
              <w:left w:val="nil"/>
              <w:bottom w:val="single" w:sz="4" w:space="0" w:color="auto"/>
              <w:right w:val="single" w:sz="4" w:space="0" w:color="auto"/>
            </w:tcBorders>
            <w:shd w:val="clear" w:color="auto" w:fill="auto"/>
            <w:noWrap/>
            <w:vAlign w:val="center"/>
            <w:hideMark/>
          </w:tcPr>
          <w:p w14:paraId="2B17FF56"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115 </w:t>
            </w:r>
          </w:p>
        </w:tc>
        <w:tc>
          <w:tcPr>
            <w:tcW w:w="1279" w:type="dxa"/>
            <w:tcBorders>
              <w:top w:val="nil"/>
              <w:left w:val="nil"/>
              <w:bottom w:val="single" w:sz="4" w:space="0" w:color="auto"/>
              <w:right w:val="single" w:sz="4" w:space="0" w:color="auto"/>
            </w:tcBorders>
            <w:shd w:val="clear" w:color="auto" w:fill="auto"/>
            <w:noWrap/>
            <w:vAlign w:val="center"/>
            <w:hideMark/>
          </w:tcPr>
          <w:p w14:paraId="52AB545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11CE8B9C"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241 </w:t>
            </w:r>
          </w:p>
        </w:tc>
      </w:tr>
      <w:tr w:rsidR="00D8083E" w:rsidRPr="00A202B4" w14:paraId="1681D2D0"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E18542C" w14:textId="77777777" w:rsidR="00D8083E" w:rsidRPr="00A202B4" w:rsidRDefault="00D8083E" w:rsidP="009A372A">
            <w:pPr>
              <w:jc w:val="left"/>
              <w:rPr>
                <w:sz w:val="18"/>
                <w:szCs w:val="18"/>
                <w:lang w:val="es-ES_tradnl" w:eastAsia="zh-CN"/>
              </w:rPr>
            </w:pPr>
            <w:r w:rsidRPr="00A202B4">
              <w:rPr>
                <w:sz w:val="18"/>
                <w:szCs w:val="18"/>
                <w:lang w:val="es-ES_tradnl" w:eastAsia="zh-CN"/>
              </w:rPr>
              <w:t>Tailandia</w:t>
            </w:r>
          </w:p>
        </w:tc>
        <w:tc>
          <w:tcPr>
            <w:tcW w:w="1180" w:type="dxa"/>
            <w:tcBorders>
              <w:top w:val="nil"/>
              <w:left w:val="nil"/>
              <w:bottom w:val="single" w:sz="4" w:space="0" w:color="auto"/>
              <w:right w:val="single" w:sz="4" w:space="0" w:color="auto"/>
            </w:tcBorders>
            <w:shd w:val="clear" w:color="auto" w:fill="auto"/>
            <w:vAlign w:val="center"/>
            <w:hideMark/>
          </w:tcPr>
          <w:p w14:paraId="06621DEA" w14:textId="77777777" w:rsidR="00D8083E" w:rsidRPr="00A202B4" w:rsidRDefault="00D8083E" w:rsidP="009A372A">
            <w:pPr>
              <w:jc w:val="right"/>
              <w:rPr>
                <w:sz w:val="18"/>
                <w:szCs w:val="18"/>
                <w:lang w:val="es-ES_tradnl" w:eastAsia="zh-CN"/>
              </w:rPr>
            </w:pPr>
            <w:r w:rsidRPr="00A202B4">
              <w:rPr>
                <w:sz w:val="18"/>
                <w:szCs w:val="18"/>
                <w:lang w:val="es-ES_tradnl" w:eastAsia="zh-CN"/>
              </w:rPr>
              <w:t>0,368</w:t>
            </w:r>
          </w:p>
        </w:tc>
        <w:tc>
          <w:tcPr>
            <w:tcW w:w="1180" w:type="dxa"/>
            <w:tcBorders>
              <w:top w:val="nil"/>
              <w:left w:val="nil"/>
              <w:bottom w:val="single" w:sz="4" w:space="0" w:color="auto"/>
              <w:right w:val="single" w:sz="4" w:space="0" w:color="auto"/>
            </w:tcBorders>
            <w:shd w:val="clear" w:color="auto" w:fill="auto"/>
            <w:noWrap/>
            <w:vAlign w:val="center"/>
            <w:hideMark/>
          </w:tcPr>
          <w:p w14:paraId="7D224C48" w14:textId="77777777" w:rsidR="00D8083E" w:rsidRPr="00A202B4" w:rsidRDefault="00D8083E" w:rsidP="009A372A">
            <w:pPr>
              <w:jc w:val="right"/>
              <w:rPr>
                <w:sz w:val="18"/>
                <w:szCs w:val="18"/>
                <w:lang w:val="es-ES_tradnl" w:eastAsia="zh-CN"/>
              </w:rPr>
            </w:pPr>
            <w:r w:rsidRPr="00A202B4">
              <w:rPr>
                <w:sz w:val="18"/>
                <w:szCs w:val="18"/>
                <w:lang w:val="es-ES_tradnl" w:eastAsia="zh-CN"/>
              </w:rPr>
              <w:t>0,520</w:t>
            </w:r>
          </w:p>
        </w:tc>
        <w:tc>
          <w:tcPr>
            <w:tcW w:w="1279" w:type="dxa"/>
            <w:tcBorders>
              <w:top w:val="nil"/>
              <w:left w:val="nil"/>
              <w:bottom w:val="single" w:sz="4" w:space="0" w:color="auto"/>
              <w:right w:val="single" w:sz="4" w:space="0" w:color="auto"/>
            </w:tcBorders>
            <w:shd w:val="clear" w:color="auto" w:fill="auto"/>
            <w:noWrap/>
            <w:vAlign w:val="center"/>
            <w:hideMark/>
          </w:tcPr>
          <w:p w14:paraId="27D561C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14 099 </w:t>
            </w:r>
          </w:p>
        </w:tc>
        <w:tc>
          <w:tcPr>
            <w:tcW w:w="1279" w:type="dxa"/>
            <w:tcBorders>
              <w:top w:val="nil"/>
              <w:left w:val="nil"/>
              <w:bottom w:val="single" w:sz="4" w:space="0" w:color="auto"/>
              <w:right w:val="single" w:sz="4" w:space="0" w:color="auto"/>
            </w:tcBorders>
            <w:shd w:val="clear" w:color="auto" w:fill="auto"/>
            <w:noWrap/>
            <w:vAlign w:val="center"/>
            <w:hideMark/>
          </w:tcPr>
          <w:p w14:paraId="4015512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15 465 </w:t>
            </w:r>
          </w:p>
        </w:tc>
        <w:tc>
          <w:tcPr>
            <w:tcW w:w="1180" w:type="dxa"/>
            <w:tcBorders>
              <w:top w:val="nil"/>
              <w:left w:val="nil"/>
              <w:bottom w:val="single" w:sz="4" w:space="0" w:color="auto"/>
              <w:right w:val="single" w:sz="4" w:space="0" w:color="auto"/>
            </w:tcBorders>
            <w:shd w:val="clear" w:color="auto" w:fill="auto"/>
            <w:noWrap/>
            <w:vAlign w:val="center"/>
            <w:hideMark/>
          </w:tcPr>
          <w:p w14:paraId="0CD65B86"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29 564 </w:t>
            </w:r>
          </w:p>
        </w:tc>
      </w:tr>
      <w:tr w:rsidR="00D8083E" w:rsidRPr="00A202B4" w14:paraId="3E6EFE26"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D8132B5" w14:textId="77777777" w:rsidR="00D8083E" w:rsidRPr="00A202B4" w:rsidRDefault="00D8083E" w:rsidP="009A372A">
            <w:pPr>
              <w:jc w:val="left"/>
              <w:rPr>
                <w:sz w:val="18"/>
                <w:szCs w:val="18"/>
                <w:lang w:val="es-ES_tradnl" w:eastAsia="zh-CN"/>
              </w:rPr>
            </w:pPr>
            <w:r w:rsidRPr="00A202B4">
              <w:rPr>
                <w:sz w:val="18"/>
                <w:szCs w:val="18"/>
                <w:lang w:val="es-ES_tradnl" w:eastAsia="zh-CN"/>
              </w:rPr>
              <w:t>Tayikistán</w:t>
            </w:r>
          </w:p>
        </w:tc>
        <w:tc>
          <w:tcPr>
            <w:tcW w:w="1180" w:type="dxa"/>
            <w:tcBorders>
              <w:top w:val="nil"/>
              <w:left w:val="nil"/>
              <w:bottom w:val="single" w:sz="4" w:space="0" w:color="auto"/>
              <w:right w:val="single" w:sz="4" w:space="0" w:color="auto"/>
            </w:tcBorders>
            <w:shd w:val="clear" w:color="auto" w:fill="auto"/>
            <w:vAlign w:val="center"/>
            <w:hideMark/>
          </w:tcPr>
          <w:p w14:paraId="3083059F" w14:textId="77777777" w:rsidR="00D8083E" w:rsidRPr="00A202B4" w:rsidRDefault="00D8083E" w:rsidP="009A372A">
            <w:pPr>
              <w:jc w:val="right"/>
              <w:rPr>
                <w:sz w:val="18"/>
                <w:szCs w:val="18"/>
                <w:lang w:val="es-ES_tradnl" w:eastAsia="zh-CN"/>
              </w:rPr>
            </w:pPr>
            <w:r w:rsidRPr="00A202B4">
              <w:rPr>
                <w:sz w:val="18"/>
                <w:szCs w:val="18"/>
                <w:lang w:val="es-ES_tradnl"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2D7B839F" w14:textId="77777777" w:rsidR="00D8083E" w:rsidRPr="00A202B4" w:rsidRDefault="00D8083E" w:rsidP="009A372A">
            <w:pPr>
              <w:jc w:val="right"/>
              <w:rPr>
                <w:sz w:val="18"/>
                <w:szCs w:val="18"/>
                <w:lang w:val="es-ES_tradnl" w:eastAsia="zh-CN"/>
              </w:rPr>
            </w:pPr>
            <w:r w:rsidRPr="00A202B4">
              <w:rPr>
                <w:sz w:val="18"/>
                <w:szCs w:val="18"/>
                <w:lang w:val="es-ES_tradnl" w:eastAsia="zh-CN"/>
              </w:rPr>
              <w:t>0,004</w:t>
            </w:r>
          </w:p>
        </w:tc>
        <w:tc>
          <w:tcPr>
            <w:tcW w:w="1279" w:type="dxa"/>
            <w:tcBorders>
              <w:top w:val="nil"/>
              <w:left w:val="nil"/>
              <w:bottom w:val="single" w:sz="4" w:space="0" w:color="auto"/>
              <w:right w:val="single" w:sz="4" w:space="0" w:color="auto"/>
            </w:tcBorders>
            <w:shd w:val="clear" w:color="auto" w:fill="auto"/>
            <w:noWrap/>
            <w:vAlign w:val="center"/>
            <w:hideMark/>
          </w:tcPr>
          <w:p w14:paraId="767542F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115 </w:t>
            </w:r>
          </w:p>
        </w:tc>
        <w:tc>
          <w:tcPr>
            <w:tcW w:w="1279" w:type="dxa"/>
            <w:tcBorders>
              <w:top w:val="nil"/>
              <w:left w:val="nil"/>
              <w:bottom w:val="single" w:sz="4" w:space="0" w:color="auto"/>
              <w:right w:val="single" w:sz="4" w:space="0" w:color="auto"/>
            </w:tcBorders>
            <w:shd w:val="clear" w:color="auto" w:fill="auto"/>
            <w:noWrap/>
            <w:vAlign w:val="center"/>
            <w:hideMark/>
          </w:tcPr>
          <w:p w14:paraId="0B965C77"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126 </w:t>
            </w:r>
          </w:p>
        </w:tc>
        <w:tc>
          <w:tcPr>
            <w:tcW w:w="1180" w:type="dxa"/>
            <w:tcBorders>
              <w:top w:val="nil"/>
              <w:left w:val="nil"/>
              <w:bottom w:val="single" w:sz="4" w:space="0" w:color="auto"/>
              <w:right w:val="single" w:sz="4" w:space="0" w:color="auto"/>
            </w:tcBorders>
            <w:shd w:val="clear" w:color="auto" w:fill="auto"/>
            <w:noWrap/>
            <w:vAlign w:val="center"/>
            <w:hideMark/>
          </w:tcPr>
          <w:p w14:paraId="22660232"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241 </w:t>
            </w:r>
          </w:p>
        </w:tc>
      </w:tr>
      <w:tr w:rsidR="00D8083E" w:rsidRPr="00A202B4" w14:paraId="35E0F5DE"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318C44E" w14:textId="77777777" w:rsidR="00D8083E" w:rsidRPr="00A202B4" w:rsidRDefault="00D8083E" w:rsidP="009A372A">
            <w:pPr>
              <w:jc w:val="left"/>
              <w:rPr>
                <w:sz w:val="18"/>
                <w:szCs w:val="18"/>
                <w:lang w:val="es-ES_tradnl" w:eastAsia="zh-CN"/>
              </w:rPr>
            </w:pPr>
            <w:r w:rsidRPr="00A202B4">
              <w:rPr>
                <w:sz w:val="18"/>
                <w:szCs w:val="18"/>
                <w:lang w:val="es-ES_tradnl" w:eastAsia="zh-CN"/>
              </w:rPr>
              <w:t>Togo</w:t>
            </w:r>
          </w:p>
        </w:tc>
        <w:tc>
          <w:tcPr>
            <w:tcW w:w="1180" w:type="dxa"/>
            <w:tcBorders>
              <w:top w:val="nil"/>
              <w:left w:val="nil"/>
              <w:bottom w:val="single" w:sz="4" w:space="0" w:color="auto"/>
              <w:right w:val="single" w:sz="4" w:space="0" w:color="auto"/>
            </w:tcBorders>
            <w:shd w:val="clear" w:color="auto" w:fill="auto"/>
            <w:vAlign w:val="center"/>
            <w:hideMark/>
          </w:tcPr>
          <w:p w14:paraId="282FCFA3" w14:textId="77777777" w:rsidR="00D8083E" w:rsidRPr="00A202B4" w:rsidRDefault="00D8083E" w:rsidP="009A372A">
            <w:pPr>
              <w:jc w:val="right"/>
              <w:rPr>
                <w:sz w:val="18"/>
                <w:szCs w:val="18"/>
                <w:lang w:val="es-ES_tradnl" w:eastAsia="zh-CN"/>
              </w:rPr>
            </w:pPr>
            <w:r w:rsidRPr="00A202B4">
              <w:rPr>
                <w:sz w:val="18"/>
                <w:szCs w:val="18"/>
                <w:lang w:val="es-ES_tradnl"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4D3D57E3" w14:textId="77777777" w:rsidR="00D8083E" w:rsidRPr="00A202B4" w:rsidRDefault="00D8083E" w:rsidP="009A372A">
            <w:pPr>
              <w:jc w:val="right"/>
              <w:rPr>
                <w:sz w:val="18"/>
                <w:szCs w:val="18"/>
                <w:lang w:val="es-ES_tradnl" w:eastAsia="zh-CN"/>
              </w:rPr>
            </w:pPr>
            <w:r w:rsidRPr="00A202B4">
              <w:rPr>
                <w:sz w:val="18"/>
                <w:szCs w:val="18"/>
                <w:lang w:val="es-ES_tradnl" w:eastAsia="zh-CN"/>
              </w:rPr>
              <w:t>0,003</w:t>
            </w:r>
          </w:p>
        </w:tc>
        <w:tc>
          <w:tcPr>
            <w:tcW w:w="1279" w:type="dxa"/>
            <w:tcBorders>
              <w:top w:val="nil"/>
              <w:left w:val="nil"/>
              <w:bottom w:val="single" w:sz="4" w:space="0" w:color="auto"/>
              <w:right w:val="single" w:sz="4" w:space="0" w:color="auto"/>
            </w:tcBorders>
            <w:shd w:val="clear" w:color="auto" w:fill="auto"/>
            <w:noWrap/>
            <w:vAlign w:val="center"/>
            <w:hideMark/>
          </w:tcPr>
          <w:p w14:paraId="456177B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77 </w:t>
            </w:r>
          </w:p>
        </w:tc>
        <w:tc>
          <w:tcPr>
            <w:tcW w:w="1279" w:type="dxa"/>
            <w:tcBorders>
              <w:top w:val="nil"/>
              <w:left w:val="nil"/>
              <w:bottom w:val="single" w:sz="4" w:space="0" w:color="auto"/>
              <w:right w:val="single" w:sz="4" w:space="0" w:color="auto"/>
            </w:tcBorders>
            <w:shd w:val="clear" w:color="auto" w:fill="auto"/>
            <w:noWrap/>
            <w:vAlign w:val="center"/>
            <w:hideMark/>
          </w:tcPr>
          <w:p w14:paraId="473B19B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84 </w:t>
            </w:r>
          </w:p>
        </w:tc>
        <w:tc>
          <w:tcPr>
            <w:tcW w:w="1180" w:type="dxa"/>
            <w:tcBorders>
              <w:top w:val="nil"/>
              <w:left w:val="nil"/>
              <w:bottom w:val="single" w:sz="4" w:space="0" w:color="auto"/>
              <w:right w:val="single" w:sz="4" w:space="0" w:color="auto"/>
            </w:tcBorders>
            <w:shd w:val="clear" w:color="auto" w:fill="auto"/>
            <w:noWrap/>
            <w:vAlign w:val="center"/>
            <w:hideMark/>
          </w:tcPr>
          <w:p w14:paraId="4156B16A"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161 </w:t>
            </w:r>
          </w:p>
        </w:tc>
      </w:tr>
      <w:tr w:rsidR="00D8083E" w:rsidRPr="00A202B4" w14:paraId="68DCC8C6"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2450EA2" w14:textId="77777777" w:rsidR="00D8083E" w:rsidRPr="00A202B4" w:rsidRDefault="00D8083E" w:rsidP="009A372A">
            <w:pPr>
              <w:jc w:val="left"/>
              <w:rPr>
                <w:sz w:val="18"/>
                <w:szCs w:val="18"/>
                <w:lang w:val="es-ES_tradnl" w:eastAsia="zh-CN"/>
              </w:rPr>
            </w:pPr>
            <w:r w:rsidRPr="00A202B4">
              <w:rPr>
                <w:sz w:val="18"/>
                <w:szCs w:val="18"/>
                <w:lang w:val="es-ES_tradnl" w:eastAsia="zh-CN"/>
              </w:rPr>
              <w:t>Tonga</w:t>
            </w:r>
          </w:p>
        </w:tc>
        <w:tc>
          <w:tcPr>
            <w:tcW w:w="1180" w:type="dxa"/>
            <w:tcBorders>
              <w:top w:val="nil"/>
              <w:left w:val="nil"/>
              <w:bottom w:val="single" w:sz="4" w:space="0" w:color="auto"/>
              <w:right w:val="single" w:sz="4" w:space="0" w:color="auto"/>
            </w:tcBorders>
            <w:shd w:val="clear" w:color="auto" w:fill="auto"/>
            <w:vAlign w:val="center"/>
            <w:hideMark/>
          </w:tcPr>
          <w:p w14:paraId="7E4F0D2D"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9B97D9F" w14:textId="77777777" w:rsidR="00D8083E" w:rsidRPr="00A202B4" w:rsidRDefault="00D8083E" w:rsidP="009A372A">
            <w:pPr>
              <w:jc w:val="right"/>
              <w:rPr>
                <w:sz w:val="18"/>
                <w:szCs w:val="18"/>
                <w:lang w:val="es-ES_tradnl" w:eastAsia="zh-CN"/>
              </w:rPr>
            </w:pPr>
            <w:r w:rsidRPr="00A202B4">
              <w:rPr>
                <w:sz w:val="18"/>
                <w:szCs w:val="18"/>
                <w:lang w:val="es-ES_tradnl" w:eastAsia="zh-CN"/>
              </w:rPr>
              <w:t>0,001</w:t>
            </w:r>
          </w:p>
        </w:tc>
        <w:tc>
          <w:tcPr>
            <w:tcW w:w="1279" w:type="dxa"/>
            <w:tcBorders>
              <w:top w:val="nil"/>
              <w:left w:val="nil"/>
              <w:bottom w:val="single" w:sz="4" w:space="0" w:color="auto"/>
              <w:right w:val="single" w:sz="4" w:space="0" w:color="auto"/>
            </w:tcBorders>
            <w:shd w:val="clear" w:color="auto" w:fill="auto"/>
            <w:noWrap/>
            <w:vAlign w:val="center"/>
            <w:hideMark/>
          </w:tcPr>
          <w:p w14:paraId="1C15036C"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38 </w:t>
            </w:r>
          </w:p>
        </w:tc>
        <w:tc>
          <w:tcPr>
            <w:tcW w:w="1279" w:type="dxa"/>
            <w:tcBorders>
              <w:top w:val="nil"/>
              <w:left w:val="nil"/>
              <w:bottom w:val="single" w:sz="4" w:space="0" w:color="auto"/>
              <w:right w:val="single" w:sz="4" w:space="0" w:color="auto"/>
            </w:tcBorders>
            <w:shd w:val="clear" w:color="auto" w:fill="auto"/>
            <w:noWrap/>
            <w:vAlign w:val="center"/>
            <w:hideMark/>
          </w:tcPr>
          <w:p w14:paraId="6D3104B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42 </w:t>
            </w:r>
          </w:p>
        </w:tc>
        <w:tc>
          <w:tcPr>
            <w:tcW w:w="1180" w:type="dxa"/>
            <w:tcBorders>
              <w:top w:val="nil"/>
              <w:left w:val="nil"/>
              <w:bottom w:val="single" w:sz="4" w:space="0" w:color="auto"/>
              <w:right w:val="single" w:sz="4" w:space="0" w:color="auto"/>
            </w:tcBorders>
            <w:shd w:val="clear" w:color="auto" w:fill="auto"/>
            <w:noWrap/>
            <w:vAlign w:val="center"/>
            <w:hideMark/>
          </w:tcPr>
          <w:p w14:paraId="0C8F19C8"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80 </w:t>
            </w:r>
          </w:p>
        </w:tc>
      </w:tr>
      <w:tr w:rsidR="00D8083E" w:rsidRPr="00A202B4" w14:paraId="62121480"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90F39D4" w14:textId="77777777" w:rsidR="00D8083E" w:rsidRPr="00A202B4" w:rsidRDefault="00D8083E" w:rsidP="009A372A">
            <w:pPr>
              <w:jc w:val="left"/>
              <w:rPr>
                <w:sz w:val="18"/>
                <w:szCs w:val="18"/>
                <w:lang w:val="es-ES_tradnl" w:eastAsia="zh-CN"/>
              </w:rPr>
            </w:pPr>
            <w:r w:rsidRPr="00A202B4">
              <w:rPr>
                <w:sz w:val="18"/>
                <w:szCs w:val="18"/>
                <w:lang w:val="es-ES_tradnl" w:eastAsia="zh-CN"/>
              </w:rPr>
              <w:t>Trinidad y Tobago</w:t>
            </w:r>
          </w:p>
        </w:tc>
        <w:tc>
          <w:tcPr>
            <w:tcW w:w="1180" w:type="dxa"/>
            <w:tcBorders>
              <w:top w:val="nil"/>
              <w:left w:val="nil"/>
              <w:bottom w:val="single" w:sz="4" w:space="0" w:color="auto"/>
              <w:right w:val="single" w:sz="4" w:space="0" w:color="auto"/>
            </w:tcBorders>
            <w:shd w:val="clear" w:color="auto" w:fill="auto"/>
            <w:vAlign w:val="center"/>
            <w:hideMark/>
          </w:tcPr>
          <w:p w14:paraId="582A7B6A" w14:textId="77777777" w:rsidR="00D8083E" w:rsidRPr="00A202B4" w:rsidRDefault="00D8083E" w:rsidP="009A372A">
            <w:pPr>
              <w:jc w:val="right"/>
              <w:rPr>
                <w:sz w:val="18"/>
                <w:szCs w:val="18"/>
                <w:lang w:val="es-ES_tradnl" w:eastAsia="zh-CN"/>
              </w:rPr>
            </w:pPr>
            <w:r w:rsidRPr="00A202B4">
              <w:rPr>
                <w:sz w:val="18"/>
                <w:szCs w:val="18"/>
                <w:lang w:val="es-ES_tradnl" w:eastAsia="zh-CN"/>
              </w:rPr>
              <w:t>0,037</w:t>
            </w:r>
          </w:p>
        </w:tc>
        <w:tc>
          <w:tcPr>
            <w:tcW w:w="1180" w:type="dxa"/>
            <w:tcBorders>
              <w:top w:val="nil"/>
              <w:left w:val="nil"/>
              <w:bottom w:val="single" w:sz="4" w:space="0" w:color="auto"/>
              <w:right w:val="single" w:sz="4" w:space="0" w:color="auto"/>
            </w:tcBorders>
            <w:shd w:val="clear" w:color="auto" w:fill="auto"/>
            <w:noWrap/>
            <w:vAlign w:val="center"/>
            <w:hideMark/>
          </w:tcPr>
          <w:p w14:paraId="70CD8605" w14:textId="77777777" w:rsidR="00D8083E" w:rsidRPr="00A202B4" w:rsidRDefault="00D8083E" w:rsidP="009A372A">
            <w:pPr>
              <w:jc w:val="right"/>
              <w:rPr>
                <w:sz w:val="18"/>
                <w:szCs w:val="18"/>
                <w:lang w:val="es-ES_tradnl" w:eastAsia="zh-CN"/>
              </w:rPr>
            </w:pPr>
            <w:r w:rsidRPr="00A202B4">
              <w:rPr>
                <w:sz w:val="18"/>
                <w:szCs w:val="18"/>
                <w:lang w:val="es-ES_tradnl" w:eastAsia="zh-CN"/>
              </w:rPr>
              <w:t>0,052</w:t>
            </w:r>
          </w:p>
        </w:tc>
        <w:tc>
          <w:tcPr>
            <w:tcW w:w="1279" w:type="dxa"/>
            <w:tcBorders>
              <w:top w:val="nil"/>
              <w:left w:val="nil"/>
              <w:bottom w:val="single" w:sz="4" w:space="0" w:color="auto"/>
              <w:right w:val="single" w:sz="4" w:space="0" w:color="auto"/>
            </w:tcBorders>
            <w:shd w:val="clear" w:color="auto" w:fill="auto"/>
            <w:noWrap/>
            <w:vAlign w:val="center"/>
            <w:hideMark/>
          </w:tcPr>
          <w:p w14:paraId="179B58F7"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1 418 </w:t>
            </w:r>
          </w:p>
        </w:tc>
        <w:tc>
          <w:tcPr>
            <w:tcW w:w="1279" w:type="dxa"/>
            <w:tcBorders>
              <w:top w:val="nil"/>
              <w:left w:val="nil"/>
              <w:bottom w:val="single" w:sz="4" w:space="0" w:color="auto"/>
              <w:right w:val="single" w:sz="4" w:space="0" w:color="auto"/>
            </w:tcBorders>
            <w:shd w:val="clear" w:color="auto" w:fill="auto"/>
            <w:noWrap/>
            <w:vAlign w:val="center"/>
            <w:hideMark/>
          </w:tcPr>
          <w:p w14:paraId="3DB0CBFB"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1 555 </w:t>
            </w:r>
          </w:p>
        </w:tc>
        <w:tc>
          <w:tcPr>
            <w:tcW w:w="1180" w:type="dxa"/>
            <w:tcBorders>
              <w:top w:val="nil"/>
              <w:left w:val="nil"/>
              <w:bottom w:val="single" w:sz="4" w:space="0" w:color="auto"/>
              <w:right w:val="single" w:sz="4" w:space="0" w:color="auto"/>
            </w:tcBorders>
            <w:shd w:val="clear" w:color="auto" w:fill="auto"/>
            <w:noWrap/>
            <w:vAlign w:val="center"/>
            <w:hideMark/>
          </w:tcPr>
          <w:p w14:paraId="428E2444"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2 972 </w:t>
            </w:r>
          </w:p>
        </w:tc>
      </w:tr>
      <w:tr w:rsidR="00D8083E" w:rsidRPr="00A202B4" w14:paraId="41BDB085"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AA95D7F" w14:textId="77777777" w:rsidR="00D8083E" w:rsidRPr="00A202B4" w:rsidRDefault="00D8083E" w:rsidP="009A372A">
            <w:pPr>
              <w:jc w:val="left"/>
              <w:rPr>
                <w:sz w:val="18"/>
                <w:szCs w:val="18"/>
                <w:lang w:val="es-ES_tradnl" w:eastAsia="zh-CN"/>
              </w:rPr>
            </w:pPr>
            <w:r w:rsidRPr="00A202B4">
              <w:rPr>
                <w:sz w:val="18"/>
                <w:szCs w:val="18"/>
                <w:lang w:val="es-ES_tradnl" w:eastAsia="zh-CN"/>
              </w:rPr>
              <w:t>Túnez</w:t>
            </w:r>
          </w:p>
        </w:tc>
        <w:tc>
          <w:tcPr>
            <w:tcW w:w="1180" w:type="dxa"/>
            <w:tcBorders>
              <w:top w:val="nil"/>
              <w:left w:val="nil"/>
              <w:bottom w:val="single" w:sz="4" w:space="0" w:color="auto"/>
              <w:right w:val="single" w:sz="4" w:space="0" w:color="auto"/>
            </w:tcBorders>
            <w:shd w:val="clear" w:color="auto" w:fill="auto"/>
            <w:vAlign w:val="center"/>
            <w:hideMark/>
          </w:tcPr>
          <w:p w14:paraId="7E74B9A8" w14:textId="77777777" w:rsidR="00D8083E" w:rsidRPr="00A202B4" w:rsidRDefault="00D8083E" w:rsidP="009A372A">
            <w:pPr>
              <w:jc w:val="right"/>
              <w:rPr>
                <w:sz w:val="18"/>
                <w:szCs w:val="18"/>
                <w:lang w:val="es-ES_tradnl" w:eastAsia="zh-CN"/>
              </w:rPr>
            </w:pPr>
            <w:r w:rsidRPr="00A202B4">
              <w:rPr>
                <w:sz w:val="18"/>
                <w:szCs w:val="18"/>
                <w:lang w:val="es-ES_tradnl"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5F037125" w14:textId="77777777" w:rsidR="00D8083E" w:rsidRPr="00A202B4" w:rsidRDefault="00D8083E" w:rsidP="009A372A">
            <w:pPr>
              <w:jc w:val="right"/>
              <w:rPr>
                <w:sz w:val="18"/>
                <w:szCs w:val="18"/>
                <w:lang w:val="es-ES_tradnl" w:eastAsia="zh-CN"/>
              </w:rPr>
            </w:pPr>
            <w:r w:rsidRPr="00A202B4">
              <w:rPr>
                <w:sz w:val="18"/>
                <w:szCs w:val="18"/>
                <w:lang w:val="es-ES_tradnl" w:eastAsia="zh-CN"/>
              </w:rPr>
              <w:t>0,027</w:t>
            </w:r>
          </w:p>
        </w:tc>
        <w:tc>
          <w:tcPr>
            <w:tcW w:w="1279" w:type="dxa"/>
            <w:tcBorders>
              <w:top w:val="nil"/>
              <w:left w:val="nil"/>
              <w:bottom w:val="single" w:sz="4" w:space="0" w:color="auto"/>
              <w:right w:val="single" w:sz="4" w:space="0" w:color="auto"/>
            </w:tcBorders>
            <w:shd w:val="clear" w:color="auto" w:fill="auto"/>
            <w:noWrap/>
            <w:vAlign w:val="center"/>
            <w:hideMark/>
          </w:tcPr>
          <w:p w14:paraId="22186FE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728 </w:t>
            </w:r>
          </w:p>
        </w:tc>
        <w:tc>
          <w:tcPr>
            <w:tcW w:w="1279" w:type="dxa"/>
            <w:tcBorders>
              <w:top w:val="nil"/>
              <w:left w:val="nil"/>
              <w:bottom w:val="single" w:sz="4" w:space="0" w:color="auto"/>
              <w:right w:val="single" w:sz="4" w:space="0" w:color="auto"/>
            </w:tcBorders>
            <w:shd w:val="clear" w:color="auto" w:fill="auto"/>
            <w:noWrap/>
            <w:vAlign w:val="center"/>
            <w:hideMark/>
          </w:tcPr>
          <w:p w14:paraId="1E8909F8"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798 </w:t>
            </w:r>
          </w:p>
        </w:tc>
        <w:tc>
          <w:tcPr>
            <w:tcW w:w="1180" w:type="dxa"/>
            <w:tcBorders>
              <w:top w:val="nil"/>
              <w:left w:val="nil"/>
              <w:bottom w:val="single" w:sz="4" w:space="0" w:color="auto"/>
              <w:right w:val="single" w:sz="4" w:space="0" w:color="auto"/>
            </w:tcBorders>
            <w:shd w:val="clear" w:color="auto" w:fill="auto"/>
            <w:noWrap/>
            <w:vAlign w:val="center"/>
            <w:hideMark/>
          </w:tcPr>
          <w:p w14:paraId="0A5032E8"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1 526 </w:t>
            </w:r>
          </w:p>
        </w:tc>
      </w:tr>
      <w:tr w:rsidR="00D8083E" w:rsidRPr="00A202B4" w14:paraId="797C420A"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529A7AC" w14:textId="77777777" w:rsidR="00D8083E" w:rsidRPr="00A202B4" w:rsidRDefault="00D8083E" w:rsidP="009A372A">
            <w:pPr>
              <w:jc w:val="left"/>
              <w:rPr>
                <w:sz w:val="18"/>
                <w:szCs w:val="18"/>
                <w:lang w:val="es-ES_tradnl" w:eastAsia="zh-CN"/>
              </w:rPr>
            </w:pPr>
            <w:r w:rsidRPr="00A202B4">
              <w:rPr>
                <w:sz w:val="18"/>
                <w:szCs w:val="18"/>
                <w:lang w:val="es-ES_tradnl"/>
              </w:rPr>
              <w:t>Türkiye</w:t>
            </w:r>
          </w:p>
        </w:tc>
        <w:tc>
          <w:tcPr>
            <w:tcW w:w="1180" w:type="dxa"/>
            <w:tcBorders>
              <w:top w:val="nil"/>
              <w:left w:val="nil"/>
              <w:bottom w:val="single" w:sz="4" w:space="0" w:color="auto"/>
              <w:right w:val="single" w:sz="4" w:space="0" w:color="auto"/>
            </w:tcBorders>
            <w:shd w:val="clear" w:color="auto" w:fill="auto"/>
            <w:vAlign w:val="center"/>
            <w:hideMark/>
          </w:tcPr>
          <w:p w14:paraId="4A1244A8" w14:textId="77777777" w:rsidR="00D8083E" w:rsidRPr="00A202B4" w:rsidRDefault="00D8083E" w:rsidP="009A372A">
            <w:pPr>
              <w:jc w:val="right"/>
              <w:rPr>
                <w:sz w:val="18"/>
                <w:szCs w:val="18"/>
                <w:lang w:val="es-ES_tradnl" w:eastAsia="zh-CN"/>
              </w:rPr>
            </w:pPr>
            <w:r w:rsidRPr="00A202B4">
              <w:rPr>
                <w:sz w:val="18"/>
                <w:szCs w:val="18"/>
                <w:lang w:val="es-ES_tradnl" w:eastAsia="zh-CN"/>
              </w:rPr>
              <w:t>0,845</w:t>
            </w:r>
          </w:p>
        </w:tc>
        <w:tc>
          <w:tcPr>
            <w:tcW w:w="1180" w:type="dxa"/>
            <w:tcBorders>
              <w:top w:val="nil"/>
              <w:left w:val="nil"/>
              <w:bottom w:val="single" w:sz="4" w:space="0" w:color="auto"/>
              <w:right w:val="single" w:sz="4" w:space="0" w:color="auto"/>
            </w:tcBorders>
            <w:shd w:val="clear" w:color="auto" w:fill="auto"/>
            <w:noWrap/>
            <w:vAlign w:val="center"/>
            <w:hideMark/>
          </w:tcPr>
          <w:p w14:paraId="39E0AC56" w14:textId="77777777" w:rsidR="00D8083E" w:rsidRPr="00A202B4" w:rsidRDefault="00D8083E" w:rsidP="009A372A">
            <w:pPr>
              <w:jc w:val="right"/>
              <w:rPr>
                <w:sz w:val="18"/>
                <w:szCs w:val="18"/>
                <w:lang w:val="es-ES_tradnl" w:eastAsia="zh-CN"/>
              </w:rPr>
            </w:pPr>
            <w:r w:rsidRPr="00A202B4">
              <w:rPr>
                <w:sz w:val="18"/>
                <w:szCs w:val="18"/>
                <w:lang w:val="es-ES_tradnl" w:eastAsia="zh-CN"/>
              </w:rPr>
              <w:t>1,193</w:t>
            </w:r>
          </w:p>
        </w:tc>
        <w:tc>
          <w:tcPr>
            <w:tcW w:w="1279" w:type="dxa"/>
            <w:tcBorders>
              <w:top w:val="nil"/>
              <w:left w:val="nil"/>
              <w:bottom w:val="single" w:sz="4" w:space="0" w:color="auto"/>
              <w:right w:val="single" w:sz="4" w:space="0" w:color="auto"/>
            </w:tcBorders>
            <w:shd w:val="clear" w:color="auto" w:fill="auto"/>
            <w:noWrap/>
            <w:vAlign w:val="center"/>
            <w:hideMark/>
          </w:tcPr>
          <w:p w14:paraId="7B4027C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32 375 </w:t>
            </w:r>
          </w:p>
        </w:tc>
        <w:tc>
          <w:tcPr>
            <w:tcW w:w="1279" w:type="dxa"/>
            <w:tcBorders>
              <w:top w:val="nil"/>
              <w:left w:val="nil"/>
              <w:bottom w:val="single" w:sz="4" w:space="0" w:color="auto"/>
              <w:right w:val="single" w:sz="4" w:space="0" w:color="auto"/>
            </w:tcBorders>
            <w:shd w:val="clear" w:color="auto" w:fill="auto"/>
            <w:noWrap/>
            <w:vAlign w:val="center"/>
            <w:hideMark/>
          </w:tcPr>
          <w:p w14:paraId="6742AA2C"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35 510 </w:t>
            </w:r>
          </w:p>
        </w:tc>
        <w:tc>
          <w:tcPr>
            <w:tcW w:w="1180" w:type="dxa"/>
            <w:tcBorders>
              <w:top w:val="nil"/>
              <w:left w:val="nil"/>
              <w:bottom w:val="single" w:sz="4" w:space="0" w:color="auto"/>
              <w:right w:val="single" w:sz="4" w:space="0" w:color="auto"/>
            </w:tcBorders>
            <w:shd w:val="clear" w:color="auto" w:fill="auto"/>
            <w:noWrap/>
            <w:vAlign w:val="center"/>
            <w:hideMark/>
          </w:tcPr>
          <w:p w14:paraId="038752B3"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67 885 </w:t>
            </w:r>
          </w:p>
        </w:tc>
      </w:tr>
      <w:tr w:rsidR="00D8083E" w:rsidRPr="00A202B4" w14:paraId="490F7BBC"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EFE6F7F" w14:textId="77777777" w:rsidR="00D8083E" w:rsidRPr="00A202B4" w:rsidRDefault="00D8083E" w:rsidP="009A372A">
            <w:pPr>
              <w:jc w:val="left"/>
              <w:rPr>
                <w:sz w:val="18"/>
                <w:szCs w:val="18"/>
                <w:lang w:val="es-ES_tradnl" w:eastAsia="zh-CN"/>
              </w:rPr>
            </w:pPr>
            <w:r w:rsidRPr="00A202B4">
              <w:rPr>
                <w:sz w:val="18"/>
                <w:szCs w:val="18"/>
                <w:lang w:val="es-ES_tradnl" w:eastAsia="zh-CN"/>
              </w:rPr>
              <w:t>Turkmenistán</w:t>
            </w:r>
          </w:p>
        </w:tc>
        <w:tc>
          <w:tcPr>
            <w:tcW w:w="1180" w:type="dxa"/>
            <w:tcBorders>
              <w:top w:val="nil"/>
              <w:left w:val="nil"/>
              <w:bottom w:val="single" w:sz="4" w:space="0" w:color="auto"/>
              <w:right w:val="single" w:sz="4" w:space="0" w:color="auto"/>
            </w:tcBorders>
            <w:shd w:val="clear" w:color="auto" w:fill="auto"/>
            <w:vAlign w:val="center"/>
            <w:hideMark/>
          </w:tcPr>
          <w:p w14:paraId="72082A55" w14:textId="77777777" w:rsidR="00D8083E" w:rsidRPr="00A202B4" w:rsidRDefault="00D8083E" w:rsidP="009A372A">
            <w:pPr>
              <w:jc w:val="right"/>
              <w:rPr>
                <w:sz w:val="18"/>
                <w:szCs w:val="18"/>
                <w:lang w:val="es-ES_tradnl" w:eastAsia="zh-CN"/>
              </w:rPr>
            </w:pPr>
            <w:r w:rsidRPr="00A202B4">
              <w:rPr>
                <w:sz w:val="18"/>
                <w:szCs w:val="18"/>
                <w:lang w:val="es-ES_tradnl" w:eastAsia="zh-CN"/>
              </w:rPr>
              <w:t>0,034</w:t>
            </w:r>
          </w:p>
        </w:tc>
        <w:tc>
          <w:tcPr>
            <w:tcW w:w="1180" w:type="dxa"/>
            <w:tcBorders>
              <w:top w:val="nil"/>
              <w:left w:val="nil"/>
              <w:bottom w:val="single" w:sz="4" w:space="0" w:color="auto"/>
              <w:right w:val="single" w:sz="4" w:space="0" w:color="auto"/>
            </w:tcBorders>
            <w:shd w:val="clear" w:color="auto" w:fill="auto"/>
            <w:noWrap/>
            <w:vAlign w:val="center"/>
            <w:hideMark/>
          </w:tcPr>
          <w:p w14:paraId="3E4CFEDB" w14:textId="77777777" w:rsidR="00D8083E" w:rsidRPr="00A202B4" w:rsidRDefault="00D8083E" w:rsidP="009A372A">
            <w:pPr>
              <w:jc w:val="right"/>
              <w:rPr>
                <w:sz w:val="18"/>
                <w:szCs w:val="18"/>
                <w:lang w:val="es-ES_tradnl" w:eastAsia="zh-CN"/>
              </w:rPr>
            </w:pPr>
            <w:r w:rsidRPr="00A202B4">
              <w:rPr>
                <w:sz w:val="18"/>
                <w:szCs w:val="18"/>
                <w:lang w:val="es-ES_tradnl" w:eastAsia="zh-CN"/>
              </w:rPr>
              <w:t>0,048</w:t>
            </w:r>
          </w:p>
        </w:tc>
        <w:tc>
          <w:tcPr>
            <w:tcW w:w="1279" w:type="dxa"/>
            <w:tcBorders>
              <w:top w:val="nil"/>
              <w:left w:val="nil"/>
              <w:bottom w:val="single" w:sz="4" w:space="0" w:color="auto"/>
              <w:right w:val="single" w:sz="4" w:space="0" w:color="auto"/>
            </w:tcBorders>
            <w:shd w:val="clear" w:color="auto" w:fill="auto"/>
            <w:noWrap/>
            <w:vAlign w:val="center"/>
            <w:hideMark/>
          </w:tcPr>
          <w:p w14:paraId="2AD9FAB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1 303 </w:t>
            </w:r>
          </w:p>
        </w:tc>
        <w:tc>
          <w:tcPr>
            <w:tcW w:w="1279" w:type="dxa"/>
            <w:tcBorders>
              <w:top w:val="nil"/>
              <w:left w:val="nil"/>
              <w:bottom w:val="single" w:sz="4" w:space="0" w:color="auto"/>
              <w:right w:val="single" w:sz="4" w:space="0" w:color="auto"/>
            </w:tcBorders>
            <w:shd w:val="clear" w:color="auto" w:fill="auto"/>
            <w:noWrap/>
            <w:vAlign w:val="center"/>
            <w:hideMark/>
          </w:tcPr>
          <w:p w14:paraId="077317B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1 429 </w:t>
            </w:r>
          </w:p>
        </w:tc>
        <w:tc>
          <w:tcPr>
            <w:tcW w:w="1180" w:type="dxa"/>
            <w:tcBorders>
              <w:top w:val="nil"/>
              <w:left w:val="nil"/>
              <w:bottom w:val="single" w:sz="4" w:space="0" w:color="auto"/>
              <w:right w:val="single" w:sz="4" w:space="0" w:color="auto"/>
            </w:tcBorders>
            <w:shd w:val="clear" w:color="auto" w:fill="auto"/>
            <w:noWrap/>
            <w:vAlign w:val="center"/>
            <w:hideMark/>
          </w:tcPr>
          <w:p w14:paraId="6560AE66"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2 731 </w:t>
            </w:r>
          </w:p>
        </w:tc>
      </w:tr>
      <w:tr w:rsidR="00D8083E" w:rsidRPr="00A202B4" w14:paraId="18DBEB2D"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20ABEB9" w14:textId="77777777" w:rsidR="00D8083E" w:rsidRPr="00A202B4" w:rsidRDefault="00D8083E" w:rsidP="009A372A">
            <w:pPr>
              <w:jc w:val="left"/>
              <w:rPr>
                <w:sz w:val="18"/>
                <w:szCs w:val="18"/>
                <w:lang w:val="es-ES_tradnl" w:eastAsia="zh-CN"/>
              </w:rPr>
            </w:pPr>
            <w:r w:rsidRPr="00A202B4">
              <w:rPr>
                <w:sz w:val="18"/>
                <w:szCs w:val="18"/>
                <w:lang w:val="es-ES_tradnl" w:eastAsia="zh-CN"/>
              </w:rPr>
              <w:t>Ucrania</w:t>
            </w:r>
          </w:p>
        </w:tc>
        <w:tc>
          <w:tcPr>
            <w:tcW w:w="1180" w:type="dxa"/>
            <w:tcBorders>
              <w:top w:val="nil"/>
              <w:left w:val="nil"/>
              <w:bottom w:val="single" w:sz="4" w:space="0" w:color="auto"/>
              <w:right w:val="single" w:sz="4" w:space="0" w:color="auto"/>
            </w:tcBorders>
            <w:shd w:val="clear" w:color="auto" w:fill="auto"/>
            <w:vAlign w:val="center"/>
            <w:hideMark/>
          </w:tcPr>
          <w:p w14:paraId="2143C0D6" w14:textId="77777777" w:rsidR="00D8083E" w:rsidRPr="00A202B4" w:rsidRDefault="00D8083E" w:rsidP="009A372A">
            <w:pPr>
              <w:jc w:val="right"/>
              <w:rPr>
                <w:sz w:val="18"/>
                <w:szCs w:val="18"/>
                <w:lang w:val="es-ES_tradnl" w:eastAsia="zh-CN"/>
              </w:rPr>
            </w:pPr>
            <w:r w:rsidRPr="00A202B4">
              <w:rPr>
                <w:sz w:val="18"/>
                <w:szCs w:val="18"/>
                <w:lang w:val="es-ES_tradnl" w:eastAsia="zh-CN"/>
              </w:rPr>
              <w:t>0,056</w:t>
            </w:r>
          </w:p>
        </w:tc>
        <w:tc>
          <w:tcPr>
            <w:tcW w:w="1180" w:type="dxa"/>
            <w:tcBorders>
              <w:top w:val="nil"/>
              <w:left w:val="nil"/>
              <w:bottom w:val="single" w:sz="4" w:space="0" w:color="auto"/>
              <w:right w:val="single" w:sz="4" w:space="0" w:color="auto"/>
            </w:tcBorders>
            <w:shd w:val="clear" w:color="auto" w:fill="auto"/>
            <w:noWrap/>
            <w:vAlign w:val="center"/>
            <w:hideMark/>
          </w:tcPr>
          <w:p w14:paraId="3F498E82" w14:textId="77777777" w:rsidR="00D8083E" w:rsidRPr="00A202B4" w:rsidRDefault="00D8083E" w:rsidP="009A372A">
            <w:pPr>
              <w:jc w:val="right"/>
              <w:rPr>
                <w:sz w:val="18"/>
                <w:szCs w:val="18"/>
                <w:lang w:val="es-ES_tradnl" w:eastAsia="zh-CN"/>
              </w:rPr>
            </w:pPr>
            <w:r w:rsidRPr="00A202B4">
              <w:rPr>
                <w:sz w:val="18"/>
                <w:szCs w:val="18"/>
                <w:lang w:val="es-ES_tradnl" w:eastAsia="zh-CN"/>
              </w:rPr>
              <w:t>0,079</w:t>
            </w:r>
          </w:p>
        </w:tc>
        <w:tc>
          <w:tcPr>
            <w:tcW w:w="1279" w:type="dxa"/>
            <w:tcBorders>
              <w:top w:val="nil"/>
              <w:left w:val="nil"/>
              <w:bottom w:val="single" w:sz="4" w:space="0" w:color="auto"/>
              <w:right w:val="single" w:sz="4" w:space="0" w:color="auto"/>
            </w:tcBorders>
            <w:shd w:val="clear" w:color="auto" w:fill="auto"/>
            <w:noWrap/>
            <w:vAlign w:val="center"/>
            <w:hideMark/>
          </w:tcPr>
          <w:p w14:paraId="03ECF6FC"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2 146 </w:t>
            </w:r>
          </w:p>
        </w:tc>
        <w:tc>
          <w:tcPr>
            <w:tcW w:w="1279" w:type="dxa"/>
            <w:tcBorders>
              <w:top w:val="nil"/>
              <w:left w:val="nil"/>
              <w:bottom w:val="single" w:sz="4" w:space="0" w:color="auto"/>
              <w:right w:val="single" w:sz="4" w:space="0" w:color="auto"/>
            </w:tcBorders>
            <w:shd w:val="clear" w:color="auto" w:fill="auto"/>
            <w:noWrap/>
            <w:vAlign w:val="center"/>
            <w:hideMark/>
          </w:tcPr>
          <w:p w14:paraId="34CBC84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2 353 </w:t>
            </w:r>
          </w:p>
        </w:tc>
        <w:tc>
          <w:tcPr>
            <w:tcW w:w="1180" w:type="dxa"/>
            <w:tcBorders>
              <w:top w:val="nil"/>
              <w:left w:val="nil"/>
              <w:bottom w:val="single" w:sz="4" w:space="0" w:color="auto"/>
              <w:right w:val="single" w:sz="4" w:space="0" w:color="auto"/>
            </w:tcBorders>
            <w:shd w:val="clear" w:color="auto" w:fill="auto"/>
            <w:noWrap/>
            <w:vAlign w:val="center"/>
            <w:hideMark/>
          </w:tcPr>
          <w:p w14:paraId="08CF6ED7"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4 499 </w:t>
            </w:r>
          </w:p>
        </w:tc>
      </w:tr>
      <w:tr w:rsidR="00D8083E" w:rsidRPr="00A202B4" w14:paraId="6DED1FC9"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7D9D23F" w14:textId="77777777" w:rsidR="00D8083E" w:rsidRPr="00A202B4" w:rsidRDefault="00D8083E" w:rsidP="009A372A">
            <w:pPr>
              <w:jc w:val="left"/>
              <w:rPr>
                <w:sz w:val="18"/>
                <w:szCs w:val="18"/>
                <w:lang w:val="es-ES_tradnl" w:eastAsia="zh-CN"/>
              </w:rPr>
            </w:pPr>
            <w:r w:rsidRPr="00A202B4">
              <w:rPr>
                <w:sz w:val="18"/>
                <w:szCs w:val="18"/>
                <w:lang w:val="es-ES_tradnl" w:eastAsia="zh-CN"/>
              </w:rPr>
              <w:t>Uganda</w:t>
            </w:r>
          </w:p>
        </w:tc>
        <w:tc>
          <w:tcPr>
            <w:tcW w:w="1180" w:type="dxa"/>
            <w:tcBorders>
              <w:top w:val="nil"/>
              <w:left w:val="nil"/>
              <w:bottom w:val="single" w:sz="4" w:space="0" w:color="auto"/>
              <w:right w:val="single" w:sz="4" w:space="0" w:color="auto"/>
            </w:tcBorders>
            <w:shd w:val="clear" w:color="auto" w:fill="auto"/>
            <w:vAlign w:val="center"/>
            <w:hideMark/>
          </w:tcPr>
          <w:p w14:paraId="0A639DDF"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AAC2577"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279" w:type="dxa"/>
            <w:tcBorders>
              <w:top w:val="nil"/>
              <w:left w:val="nil"/>
              <w:bottom w:val="single" w:sz="4" w:space="0" w:color="auto"/>
              <w:right w:val="single" w:sz="4" w:space="0" w:color="auto"/>
            </w:tcBorders>
            <w:shd w:val="clear" w:color="auto" w:fill="auto"/>
            <w:noWrap/>
            <w:vAlign w:val="center"/>
            <w:hideMark/>
          </w:tcPr>
          <w:p w14:paraId="29261B9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271 </w:t>
            </w:r>
          </w:p>
        </w:tc>
        <w:tc>
          <w:tcPr>
            <w:tcW w:w="1279" w:type="dxa"/>
            <w:tcBorders>
              <w:top w:val="nil"/>
              <w:left w:val="nil"/>
              <w:bottom w:val="single" w:sz="4" w:space="0" w:color="auto"/>
              <w:right w:val="single" w:sz="4" w:space="0" w:color="auto"/>
            </w:tcBorders>
            <w:shd w:val="clear" w:color="auto" w:fill="auto"/>
            <w:noWrap/>
            <w:vAlign w:val="center"/>
            <w:hideMark/>
          </w:tcPr>
          <w:p w14:paraId="35FCABF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395E3391"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569 </w:t>
            </w:r>
          </w:p>
        </w:tc>
      </w:tr>
      <w:tr w:rsidR="00D8083E" w:rsidRPr="00A202B4" w14:paraId="6EC4EEC1"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CE94141" w14:textId="77777777" w:rsidR="00D8083E" w:rsidRPr="00A202B4" w:rsidRDefault="00D8083E" w:rsidP="009A372A">
            <w:pPr>
              <w:jc w:val="left"/>
              <w:rPr>
                <w:sz w:val="18"/>
                <w:szCs w:val="18"/>
                <w:lang w:val="es-ES_tradnl" w:eastAsia="zh-CN"/>
              </w:rPr>
            </w:pPr>
            <w:r w:rsidRPr="00A202B4">
              <w:rPr>
                <w:sz w:val="18"/>
                <w:szCs w:val="18"/>
                <w:lang w:val="es-ES_tradnl" w:eastAsia="zh-CN"/>
              </w:rPr>
              <w:t>Unión Europea</w:t>
            </w:r>
          </w:p>
        </w:tc>
        <w:tc>
          <w:tcPr>
            <w:tcW w:w="1180" w:type="dxa"/>
            <w:tcBorders>
              <w:top w:val="nil"/>
              <w:left w:val="nil"/>
              <w:bottom w:val="single" w:sz="4" w:space="0" w:color="auto"/>
              <w:right w:val="single" w:sz="4" w:space="0" w:color="auto"/>
            </w:tcBorders>
            <w:shd w:val="clear" w:color="auto" w:fill="auto"/>
            <w:vAlign w:val="center"/>
            <w:hideMark/>
          </w:tcPr>
          <w:p w14:paraId="5B792F5B" w14:textId="77777777" w:rsidR="00D8083E" w:rsidRPr="00A202B4" w:rsidRDefault="00D8083E" w:rsidP="009A372A">
            <w:pPr>
              <w:jc w:val="left"/>
              <w:rPr>
                <w:sz w:val="18"/>
                <w:szCs w:val="18"/>
                <w:lang w:val="es-ES_tradnl" w:eastAsia="zh-CN"/>
              </w:rPr>
            </w:pPr>
            <w:r w:rsidRPr="00A202B4">
              <w:rPr>
                <w:sz w:val="18"/>
                <w:szCs w:val="18"/>
                <w:lang w:val="es-ES_tradnl" w:eastAsia="zh-CN"/>
              </w:rPr>
              <w:t> </w:t>
            </w:r>
          </w:p>
        </w:tc>
        <w:tc>
          <w:tcPr>
            <w:tcW w:w="1180" w:type="dxa"/>
            <w:tcBorders>
              <w:top w:val="nil"/>
              <w:left w:val="nil"/>
              <w:bottom w:val="single" w:sz="4" w:space="0" w:color="auto"/>
              <w:right w:val="single" w:sz="4" w:space="0" w:color="auto"/>
            </w:tcBorders>
            <w:shd w:val="clear" w:color="auto" w:fill="auto"/>
            <w:noWrap/>
            <w:vAlign w:val="center"/>
            <w:hideMark/>
          </w:tcPr>
          <w:p w14:paraId="531AA09B" w14:textId="77777777" w:rsidR="00D8083E" w:rsidRPr="00A202B4" w:rsidRDefault="00D8083E" w:rsidP="009A372A">
            <w:pPr>
              <w:jc w:val="right"/>
              <w:rPr>
                <w:sz w:val="18"/>
                <w:szCs w:val="18"/>
                <w:lang w:val="es-ES_tradnl" w:eastAsia="zh-CN"/>
              </w:rPr>
            </w:pPr>
            <w:r w:rsidRPr="00A202B4">
              <w:rPr>
                <w:sz w:val="18"/>
                <w:szCs w:val="18"/>
                <w:lang w:val="es-ES_tradnl" w:eastAsia="zh-CN"/>
              </w:rPr>
              <w:t>2,500</w:t>
            </w:r>
          </w:p>
        </w:tc>
        <w:tc>
          <w:tcPr>
            <w:tcW w:w="1279" w:type="dxa"/>
            <w:tcBorders>
              <w:top w:val="nil"/>
              <w:left w:val="nil"/>
              <w:bottom w:val="single" w:sz="4" w:space="0" w:color="auto"/>
              <w:right w:val="single" w:sz="4" w:space="0" w:color="auto"/>
            </w:tcBorders>
            <w:shd w:val="clear" w:color="auto" w:fill="auto"/>
            <w:noWrap/>
            <w:vAlign w:val="center"/>
            <w:hideMark/>
          </w:tcPr>
          <w:p w14:paraId="3F903F63"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67 849 </w:t>
            </w:r>
          </w:p>
        </w:tc>
        <w:tc>
          <w:tcPr>
            <w:tcW w:w="1279" w:type="dxa"/>
            <w:tcBorders>
              <w:top w:val="nil"/>
              <w:left w:val="nil"/>
              <w:bottom w:val="single" w:sz="4" w:space="0" w:color="auto"/>
              <w:right w:val="single" w:sz="4" w:space="0" w:color="auto"/>
            </w:tcBorders>
            <w:shd w:val="clear" w:color="auto" w:fill="auto"/>
            <w:noWrap/>
            <w:vAlign w:val="center"/>
            <w:hideMark/>
          </w:tcPr>
          <w:p w14:paraId="1BDC941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74 419 </w:t>
            </w:r>
          </w:p>
        </w:tc>
        <w:tc>
          <w:tcPr>
            <w:tcW w:w="1180" w:type="dxa"/>
            <w:tcBorders>
              <w:top w:val="nil"/>
              <w:left w:val="nil"/>
              <w:bottom w:val="single" w:sz="4" w:space="0" w:color="auto"/>
              <w:right w:val="single" w:sz="4" w:space="0" w:color="auto"/>
            </w:tcBorders>
            <w:shd w:val="clear" w:color="auto" w:fill="auto"/>
            <w:noWrap/>
            <w:vAlign w:val="center"/>
            <w:hideMark/>
          </w:tcPr>
          <w:p w14:paraId="7829984E"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142 267 </w:t>
            </w:r>
          </w:p>
        </w:tc>
      </w:tr>
      <w:tr w:rsidR="00D8083E" w:rsidRPr="00A202B4" w14:paraId="277EAA90"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4085D39" w14:textId="77777777" w:rsidR="00D8083E" w:rsidRPr="00A202B4" w:rsidRDefault="00D8083E" w:rsidP="009A372A">
            <w:pPr>
              <w:jc w:val="left"/>
              <w:rPr>
                <w:sz w:val="18"/>
                <w:szCs w:val="18"/>
                <w:lang w:val="es-ES_tradnl" w:eastAsia="zh-CN"/>
              </w:rPr>
            </w:pPr>
            <w:r w:rsidRPr="00A202B4">
              <w:rPr>
                <w:sz w:val="18"/>
                <w:szCs w:val="18"/>
                <w:lang w:val="es-ES_tradnl" w:eastAsia="zh-CN"/>
              </w:rPr>
              <w:t>Uruguay</w:t>
            </w:r>
          </w:p>
        </w:tc>
        <w:tc>
          <w:tcPr>
            <w:tcW w:w="1180" w:type="dxa"/>
            <w:tcBorders>
              <w:top w:val="nil"/>
              <w:left w:val="nil"/>
              <w:bottom w:val="single" w:sz="4" w:space="0" w:color="auto"/>
              <w:right w:val="single" w:sz="4" w:space="0" w:color="auto"/>
            </w:tcBorders>
            <w:shd w:val="clear" w:color="auto" w:fill="auto"/>
            <w:vAlign w:val="center"/>
            <w:hideMark/>
          </w:tcPr>
          <w:p w14:paraId="1FED17F8" w14:textId="77777777" w:rsidR="00D8083E" w:rsidRPr="00A202B4" w:rsidRDefault="00D8083E" w:rsidP="009A372A">
            <w:pPr>
              <w:jc w:val="right"/>
              <w:rPr>
                <w:sz w:val="18"/>
                <w:szCs w:val="18"/>
                <w:lang w:val="es-ES_tradnl" w:eastAsia="zh-CN"/>
              </w:rPr>
            </w:pPr>
            <w:r w:rsidRPr="00A202B4">
              <w:rPr>
                <w:sz w:val="18"/>
                <w:szCs w:val="18"/>
                <w:lang w:val="es-ES_tradnl" w:eastAsia="zh-CN"/>
              </w:rPr>
              <w:t>0,092</w:t>
            </w:r>
          </w:p>
        </w:tc>
        <w:tc>
          <w:tcPr>
            <w:tcW w:w="1180" w:type="dxa"/>
            <w:tcBorders>
              <w:top w:val="nil"/>
              <w:left w:val="nil"/>
              <w:bottom w:val="single" w:sz="4" w:space="0" w:color="auto"/>
              <w:right w:val="single" w:sz="4" w:space="0" w:color="auto"/>
            </w:tcBorders>
            <w:shd w:val="clear" w:color="auto" w:fill="auto"/>
            <w:noWrap/>
            <w:vAlign w:val="center"/>
            <w:hideMark/>
          </w:tcPr>
          <w:p w14:paraId="65BD4AC6" w14:textId="77777777" w:rsidR="00D8083E" w:rsidRPr="00A202B4" w:rsidRDefault="00D8083E" w:rsidP="009A372A">
            <w:pPr>
              <w:jc w:val="right"/>
              <w:rPr>
                <w:sz w:val="18"/>
                <w:szCs w:val="18"/>
                <w:lang w:val="es-ES_tradnl" w:eastAsia="zh-CN"/>
              </w:rPr>
            </w:pPr>
            <w:r w:rsidRPr="00A202B4">
              <w:rPr>
                <w:sz w:val="18"/>
                <w:szCs w:val="18"/>
                <w:lang w:val="es-ES_tradnl" w:eastAsia="zh-CN"/>
              </w:rPr>
              <w:t>0,130</w:t>
            </w:r>
          </w:p>
        </w:tc>
        <w:tc>
          <w:tcPr>
            <w:tcW w:w="1279" w:type="dxa"/>
            <w:tcBorders>
              <w:top w:val="nil"/>
              <w:left w:val="nil"/>
              <w:bottom w:val="single" w:sz="4" w:space="0" w:color="auto"/>
              <w:right w:val="single" w:sz="4" w:space="0" w:color="auto"/>
            </w:tcBorders>
            <w:shd w:val="clear" w:color="auto" w:fill="auto"/>
            <w:noWrap/>
            <w:vAlign w:val="center"/>
            <w:hideMark/>
          </w:tcPr>
          <w:p w14:paraId="29EA8B4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3 525 </w:t>
            </w:r>
          </w:p>
        </w:tc>
        <w:tc>
          <w:tcPr>
            <w:tcW w:w="1279" w:type="dxa"/>
            <w:tcBorders>
              <w:top w:val="nil"/>
              <w:left w:val="nil"/>
              <w:bottom w:val="single" w:sz="4" w:space="0" w:color="auto"/>
              <w:right w:val="single" w:sz="4" w:space="0" w:color="auto"/>
            </w:tcBorders>
            <w:shd w:val="clear" w:color="auto" w:fill="auto"/>
            <w:noWrap/>
            <w:vAlign w:val="center"/>
            <w:hideMark/>
          </w:tcPr>
          <w:p w14:paraId="25EE44F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3 866 </w:t>
            </w:r>
          </w:p>
        </w:tc>
        <w:tc>
          <w:tcPr>
            <w:tcW w:w="1180" w:type="dxa"/>
            <w:tcBorders>
              <w:top w:val="nil"/>
              <w:left w:val="nil"/>
              <w:bottom w:val="single" w:sz="4" w:space="0" w:color="auto"/>
              <w:right w:val="single" w:sz="4" w:space="0" w:color="auto"/>
            </w:tcBorders>
            <w:shd w:val="clear" w:color="auto" w:fill="auto"/>
            <w:noWrap/>
            <w:vAlign w:val="center"/>
            <w:hideMark/>
          </w:tcPr>
          <w:p w14:paraId="40D787B9"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7 391 </w:t>
            </w:r>
          </w:p>
        </w:tc>
      </w:tr>
      <w:tr w:rsidR="00D8083E" w:rsidRPr="00A202B4" w14:paraId="16C4C2E0"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1620E6F" w14:textId="77777777" w:rsidR="00D8083E" w:rsidRPr="00A202B4" w:rsidRDefault="00D8083E" w:rsidP="009A372A">
            <w:pPr>
              <w:jc w:val="left"/>
              <w:rPr>
                <w:sz w:val="18"/>
                <w:szCs w:val="18"/>
                <w:lang w:val="es-ES_tradnl" w:eastAsia="zh-CN"/>
              </w:rPr>
            </w:pPr>
            <w:r w:rsidRPr="00A202B4">
              <w:rPr>
                <w:sz w:val="18"/>
                <w:szCs w:val="18"/>
                <w:lang w:val="es-ES_tradnl" w:eastAsia="zh-CN"/>
              </w:rPr>
              <w:t>Uzbekistán</w:t>
            </w:r>
          </w:p>
        </w:tc>
        <w:tc>
          <w:tcPr>
            <w:tcW w:w="1180" w:type="dxa"/>
            <w:tcBorders>
              <w:top w:val="nil"/>
              <w:left w:val="nil"/>
              <w:bottom w:val="single" w:sz="4" w:space="0" w:color="auto"/>
              <w:right w:val="single" w:sz="4" w:space="0" w:color="auto"/>
            </w:tcBorders>
            <w:shd w:val="clear" w:color="auto" w:fill="auto"/>
            <w:vAlign w:val="center"/>
            <w:hideMark/>
          </w:tcPr>
          <w:p w14:paraId="69D09409" w14:textId="77777777" w:rsidR="00D8083E" w:rsidRPr="00A202B4" w:rsidRDefault="00D8083E" w:rsidP="009A372A">
            <w:pPr>
              <w:jc w:val="right"/>
              <w:rPr>
                <w:sz w:val="18"/>
                <w:szCs w:val="18"/>
                <w:lang w:val="es-ES_tradnl" w:eastAsia="zh-CN"/>
              </w:rPr>
            </w:pPr>
            <w:r w:rsidRPr="00A202B4">
              <w:rPr>
                <w:sz w:val="18"/>
                <w:szCs w:val="18"/>
                <w:lang w:val="es-ES_tradnl" w:eastAsia="zh-CN"/>
              </w:rPr>
              <w:t>0,027</w:t>
            </w:r>
          </w:p>
        </w:tc>
        <w:tc>
          <w:tcPr>
            <w:tcW w:w="1180" w:type="dxa"/>
            <w:tcBorders>
              <w:top w:val="nil"/>
              <w:left w:val="nil"/>
              <w:bottom w:val="single" w:sz="4" w:space="0" w:color="auto"/>
              <w:right w:val="single" w:sz="4" w:space="0" w:color="auto"/>
            </w:tcBorders>
            <w:shd w:val="clear" w:color="auto" w:fill="auto"/>
            <w:noWrap/>
            <w:vAlign w:val="center"/>
            <w:hideMark/>
          </w:tcPr>
          <w:p w14:paraId="01CC03B3" w14:textId="77777777" w:rsidR="00D8083E" w:rsidRPr="00A202B4" w:rsidRDefault="00D8083E" w:rsidP="009A372A">
            <w:pPr>
              <w:jc w:val="right"/>
              <w:rPr>
                <w:sz w:val="18"/>
                <w:szCs w:val="18"/>
                <w:lang w:val="es-ES_tradnl" w:eastAsia="zh-CN"/>
              </w:rPr>
            </w:pPr>
            <w:r w:rsidRPr="00A202B4">
              <w:rPr>
                <w:sz w:val="18"/>
                <w:szCs w:val="18"/>
                <w:lang w:val="es-ES_tradnl" w:eastAsia="zh-CN"/>
              </w:rPr>
              <w:t>0,038</w:t>
            </w:r>
          </w:p>
        </w:tc>
        <w:tc>
          <w:tcPr>
            <w:tcW w:w="1279" w:type="dxa"/>
            <w:tcBorders>
              <w:top w:val="nil"/>
              <w:left w:val="nil"/>
              <w:bottom w:val="single" w:sz="4" w:space="0" w:color="auto"/>
              <w:right w:val="single" w:sz="4" w:space="0" w:color="auto"/>
            </w:tcBorders>
            <w:shd w:val="clear" w:color="auto" w:fill="auto"/>
            <w:noWrap/>
            <w:vAlign w:val="center"/>
            <w:hideMark/>
          </w:tcPr>
          <w:p w14:paraId="0AB6A91F"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1 034 </w:t>
            </w:r>
          </w:p>
        </w:tc>
        <w:tc>
          <w:tcPr>
            <w:tcW w:w="1279" w:type="dxa"/>
            <w:tcBorders>
              <w:top w:val="nil"/>
              <w:left w:val="nil"/>
              <w:bottom w:val="single" w:sz="4" w:space="0" w:color="auto"/>
              <w:right w:val="single" w:sz="4" w:space="0" w:color="auto"/>
            </w:tcBorders>
            <w:shd w:val="clear" w:color="auto" w:fill="auto"/>
            <w:noWrap/>
            <w:vAlign w:val="center"/>
            <w:hideMark/>
          </w:tcPr>
          <w:p w14:paraId="1C82BB7F"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1 135 </w:t>
            </w:r>
          </w:p>
        </w:tc>
        <w:tc>
          <w:tcPr>
            <w:tcW w:w="1180" w:type="dxa"/>
            <w:tcBorders>
              <w:top w:val="nil"/>
              <w:left w:val="nil"/>
              <w:bottom w:val="single" w:sz="4" w:space="0" w:color="auto"/>
              <w:right w:val="single" w:sz="4" w:space="0" w:color="auto"/>
            </w:tcBorders>
            <w:shd w:val="clear" w:color="auto" w:fill="auto"/>
            <w:noWrap/>
            <w:vAlign w:val="center"/>
            <w:hideMark/>
          </w:tcPr>
          <w:p w14:paraId="5E5FA834"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2 169 </w:t>
            </w:r>
          </w:p>
        </w:tc>
      </w:tr>
      <w:tr w:rsidR="00D8083E" w:rsidRPr="00A202B4" w14:paraId="5C028899"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574BD6E" w14:textId="77777777" w:rsidR="00D8083E" w:rsidRPr="00A202B4" w:rsidRDefault="00D8083E" w:rsidP="009A372A">
            <w:pPr>
              <w:jc w:val="left"/>
              <w:rPr>
                <w:sz w:val="18"/>
                <w:szCs w:val="18"/>
                <w:lang w:val="es-ES_tradnl" w:eastAsia="zh-CN"/>
              </w:rPr>
            </w:pPr>
            <w:r w:rsidRPr="00A202B4">
              <w:rPr>
                <w:sz w:val="18"/>
                <w:szCs w:val="18"/>
                <w:lang w:val="es-ES_tradnl"/>
              </w:rPr>
              <w:t>Venezuela (República Bolivariana de)</w:t>
            </w:r>
          </w:p>
        </w:tc>
        <w:tc>
          <w:tcPr>
            <w:tcW w:w="1180" w:type="dxa"/>
            <w:tcBorders>
              <w:top w:val="nil"/>
              <w:left w:val="nil"/>
              <w:bottom w:val="single" w:sz="4" w:space="0" w:color="auto"/>
              <w:right w:val="single" w:sz="4" w:space="0" w:color="auto"/>
            </w:tcBorders>
            <w:shd w:val="clear" w:color="auto" w:fill="auto"/>
            <w:vAlign w:val="center"/>
            <w:hideMark/>
          </w:tcPr>
          <w:p w14:paraId="3A93E553" w14:textId="77777777" w:rsidR="00D8083E" w:rsidRPr="00A202B4" w:rsidRDefault="00D8083E" w:rsidP="009A372A">
            <w:pPr>
              <w:jc w:val="right"/>
              <w:rPr>
                <w:sz w:val="18"/>
                <w:szCs w:val="18"/>
                <w:lang w:val="es-ES_tradnl" w:eastAsia="zh-CN"/>
              </w:rPr>
            </w:pPr>
            <w:r w:rsidRPr="00A202B4">
              <w:rPr>
                <w:sz w:val="18"/>
                <w:szCs w:val="18"/>
                <w:lang w:val="es-ES_tradnl" w:eastAsia="zh-CN"/>
              </w:rPr>
              <w:t>0,175</w:t>
            </w:r>
          </w:p>
        </w:tc>
        <w:tc>
          <w:tcPr>
            <w:tcW w:w="1180" w:type="dxa"/>
            <w:tcBorders>
              <w:top w:val="nil"/>
              <w:left w:val="nil"/>
              <w:bottom w:val="single" w:sz="4" w:space="0" w:color="auto"/>
              <w:right w:val="single" w:sz="4" w:space="0" w:color="auto"/>
            </w:tcBorders>
            <w:shd w:val="clear" w:color="auto" w:fill="auto"/>
            <w:noWrap/>
            <w:vAlign w:val="center"/>
            <w:hideMark/>
          </w:tcPr>
          <w:p w14:paraId="56D17C1D" w14:textId="77777777" w:rsidR="00D8083E" w:rsidRPr="00A202B4" w:rsidRDefault="00D8083E" w:rsidP="009A372A">
            <w:pPr>
              <w:jc w:val="right"/>
              <w:rPr>
                <w:sz w:val="18"/>
                <w:szCs w:val="18"/>
                <w:lang w:val="es-ES_tradnl" w:eastAsia="zh-CN"/>
              </w:rPr>
            </w:pPr>
            <w:r w:rsidRPr="00A202B4">
              <w:rPr>
                <w:sz w:val="18"/>
                <w:szCs w:val="18"/>
                <w:lang w:val="es-ES_tradnl" w:eastAsia="zh-CN"/>
              </w:rPr>
              <w:t>0,247</w:t>
            </w:r>
          </w:p>
        </w:tc>
        <w:tc>
          <w:tcPr>
            <w:tcW w:w="1279" w:type="dxa"/>
            <w:tcBorders>
              <w:top w:val="nil"/>
              <w:left w:val="nil"/>
              <w:bottom w:val="single" w:sz="4" w:space="0" w:color="auto"/>
              <w:right w:val="single" w:sz="4" w:space="0" w:color="auto"/>
            </w:tcBorders>
            <w:shd w:val="clear" w:color="auto" w:fill="auto"/>
            <w:noWrap/>
            <w:vAlign w:val="center"/>
            <w:hideMark/>
          </w:tcPr>
          <w:p w14:paraId="3D93520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6 705 </w:t>
            </w:r>
          </w:p>
        </w:tc>
        <w:tc>
          <w:tcPr>
            <w:tcW w:w="1279" w:type="dxa"/>
            <w:tcBorders>
              <w:top w:val="nil"/>
              <w:left w:val="nil"/>
              <w:bottom w:val="single" w:sz="4" w:space="0" w:color="auto"/>
              <w:right w:val="single" w:sz="4" w:space="0" w:color="auto"/>
            </w:tcBorders>
            <w:shd w:val="clear" w:color="auto" w:fill="auto"/>
            <w:noWrap/>
            <w:vAlign w:val="center"/>
            <w:hideMark/>
          </w:tcPr>
          <w:p w14:paraId="57BDD8A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7 354 </w:t>
            </w:r>
          </w:p>
        </w:tc>
        <w:tc>
          <w:tcPr>
            <w:tcW w:w="1180" w:type="dxa"/>
            <w:tcBorders>
              <w:top w:val="nil"/>
              <w:left w:val="nil"/>
              <w:bottom w:val="single" w:sz="4" w:space="0" w:color="auto"/>
              <w:right w:val="single" w:sz="4" w:space="0" w:color="auto"/>
            </w:tcBorders>
            <w:shd w:val="clear" w:color="auto" w:fill="auto"/>
            <w:noWrap/>
            <w:vAlign w:val="center"/>
            <w:hideMark/>
          </w:tcPr>
          <w:p w14:paraId="292DC59B"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14 059 </w:t>
            </w:r>
          </w:p>
        </w:tc>
      </w:tr>
      <w:tr w:rsidR="00D8083E" w:rsidRPr="00A202B4" w14:paraId="29CA17D3"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83F45BF" w14:textId="77777777" w:rsidR="00D8083E" w:rsidRPr="00A202B4" w:rsidRDefault="00D8083E" w:rsidP="009A372A">
            <w:pPr>
              <w:jc w:val="left"/>
              <w:rPr>
                <w:sz w:val="18"/>
                <w:szCs w:val="18"/>
                <w:lang w:val="es-ES_tradnl" w:eastAsia="zh-CN"/>
              </w:rPr>
            </w:pPr>
            <w:r w:rsidRPr="00A202B4">
              <w:rPr>
                <w:sz w:val="18"/>
                <w:szCs w:val="18"/>
                <w:lang w:val="es-ES_tradnl" w:eastAsia="zh-CN"/>
              </w:rPr>
              <w:t>Viet Nam</w:t>
            </w:r>
          </w:p>
        </w:tc>
        <w:tc>
          <w:tcPr>
            <w:tcW w:w="1180" w:type="dxa"/>
            <w:tcBorders>
              <w:top w:val="nil"/>
              <w:left w:val="nil"/>
              <w:bottom w:val="single" w:sz="4" w:space="0" w:color="auto"/>
              <w:right w:val="single" w:sz="4" w:space="0" w:color="auto"/>
            </w:tcBorders>
            <w:shd w:val="clear" w:color="auto" w:fill="auto"/>
            <w:vAlign w:val="center"/>
            <w:hideMark/>
          </w:tcPr>
          <w:p w14:paraId="5E63AD5E" w14:textId="77777777" w:rsidR="00D8083E" w:rsidRPr="00A202B4" w:rsidRDefault="00D8083E" w:rsidP="009A372A">
            <w:pPr>
              <w:jc w:val="right"/>
              <w:rPr>
                <w:sz w:val="18"/>
                <w:szCs w:val="18"/>
                <w:lang w:val="es-ES_tradnl" w:eastAsia="zh-CN"/>
              </w:rPr>
            </w:pPr>
            <w:r w:rsidRPr="00A202B4">
              <w:rPr>
                <w:sz w:val="18"/>
                <w:szCs w:val="18"/>
                <w:lang w:val="es-ES_tradnl" w:eastAsia="zh-CN"/>
              </w:rPr>
              <w:t>0,093</w:t>
            </w:r>
          </w:p>
        </w:tc>
        <w:tc>
          <w:tcPr>
            <w:tcW w:w="1180" w:type="dxa"/>
            <w:tcBorders>
              <w:top w:val="nil"/>
              <w:left w:val="nil"/>
              <w:bottom w:val="single" w:sz="4" w:space="0" w:color="auto"/>
              <w:right w:val="single" w:sz="4" w:space="0" w:color="auto"/>
            </w:tcBorders>
            <w:shd w:val="clear" w:color="auto" w:fill="auto"/>
            <w:noWrap/>
            <w:vAlign w:val="center"/>
            <w:hideMark/>
          </w:tcPr>
          <w:p w14:paraId="30FEC817" w14:textId="77777777" w:rsidR="00D8083E" w:rsidRPr="00A202B4" w:rsidRDefault="00D8083E" w:rsidP="009A372A">
            <w:pPr>
              <w:jc w:val="right"/>
              <w:rPr>
                <w:sz w:val="18"/>
                <w:szCs w:val="18"/>
                <w:lang w:val="es-ES_tradnl" w:eastAsia="zh-CN"/>
              </w:rPr>
            </w:pPr>
            <w:r w:rsidRPr="00A202B4">
              <w:rPr>
                <w:sz w:val="18"/>
                <w:szCs w:val="18"/>
                <w:lang w:val="es-ES_tradnl" w:eastAsia="zh-CN"/>
              </w:rPr>
              <w:t>0,131</w:t>
            </w:r>
          </w:p>
        </w:tc>
        <w:tc>
          <w:tcPr>
            <w:tcW w:w="1279" w:type="dxa"/>
            <w:tcBorders>
              <w:top w:val="nil"/>
              <w:left w:val="nil"/>
              <w:bottom w:val="single" w:sz="4" w:space="0" w:color="auto"/>
              <w:right w:val="single" w:sz="4" w:space="0" w:color="auto"/>
            </w:tcBorders>
            <w:shd w:val="clear" w:color="auto" w:fill="auto"/>
            <w:noWrap/>
            <w:vAlign w:val="center"/>
            <w:hideMark/>
          </w:tcPr>
          <w:p w14:paraId="394EE522"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3 563 </w:t>
            </w:r>
          </w:p>
        </w:tc>
        <w:tc>
          <w:tcPr>
            <w:tcW w:w="1279" w:type="dxa"/>
            <w:tcBorders>
              <w:top w:val="nil"/>
              <w:left w:val="nil"/>
              <w:bottom w:val="single" w:sz="4" w:space="0" w:color="auto"/>
              <w:right w:val="single" w:sz="4" w:space="0" w:color="auto"/>
            </w:tcBorders>
            <w:shd w:val="clear" w:color="auto" w:fill="auto"/>
            <w:noWrap/>
            <w:vAlign w:val="center"/>
            <w:hideMark/>
          </w:tcPr>
          <w:p w14:paraId="22B92DD5"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3 908 </w:t>
            </w:r>
          </w:p>
        </w:tc>
        <w:tc>
          <w:tcPr>
            <w:tcW w:w="1180" w:type="dxa"/>
            <w:tcBorders>
              <w:top w:val="nil"/>
              <w:left w:val="nil"/>
              <w:bottom w:val="single" w:sz="4" w:space="0" w:color="auto"/>
              <w:right w:val="single" w:sz="4" w:space="0" w:color="auto"/>
            </w:tcBorders>
            <w:shd w:val="clear" w:color="auto" w:fill="auto"/>
            <w:noWrap/>
            <w:vAlign w:val="center"/>
            <w:hideMark/>
          </w:tcPr>
          <w:p w14:paraId="35200E1C"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7 471 </w:t>
            </w:r>
          </w:p>
        </w:tc>
      </w:tr>
      <w:tr w:rsidR="00D8083E" w:rsidRPr="00A202B4" w14:paraId="32767100"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900B05A" w14:textId="77777777" w:rsidR="00D8083E" w:rsidRPr="00A202B4" w:rsidRDefault="00D8083E" w:rsidP="009A372A">
            <w:pPr>
              <w:jc w:val="left"/>
              <w:rPr>
                <w:sz w:val="18"/>
                <w:szCs w:val="18"/>
                <w:lang w:val="es-ES_tradnl" w:eastAsia="zh-CN"/>
              </w:rPr>
            </w:pPr>
            <w:r w:rsidRPr="00A202B4">
              <w:rPr>
                <w:sz w:val="18"/>
                <w:szCs w:val="18"/>
                <w:lang w:val="es-ES_tradnl" w:eastAsia="zh-CN"/>
              </w:rPr>
              <w:t>Yemen</w:t>
            </w:r>
          </w:p>
        </w:tc>
        <w:tc>
          <w:tcPr>
            <w:tcW w:w="1180" w:type="dxa"/>
            <w:tcBorders>
              <w:top w:val="nil"/>
              <w:left w:val="nil"/>
              <w:bottom w:val="single" w:sz="4" w:space="0" w:color="auto"/>
              <w:right w:val="single" w:sz="4" w:space="0" w:color="auto"/>
            </w:tcBorders>
            <w:shd w:val="clear" w:color="auto" w:fill="auto"/>
            <w:vAlign w:val="center"/>
            <w:hideMark/>
          </w:tcPr>
          <w:p w14:paraId="3A7A371A" w14:textId="77777777" w:rsidR="00D8083E" w:rsidRPr="00A202B4" w:rsidRDefault="00D8083E" w:rsidP="009A372A">
            <w:pPr>
              <w:jc w:val="right"/>
              <w:rPr>
                <w:sz w:val="18"/>
                <w:szCs w:val="18"/>
                <w:lang w:val="es-ES_tradnl" w:eastAsia="zh-CN"/>
              </w:rPr>
            </w:pPr>
            <w:r w:rsidRPr="00A202B4">
              <w:rPr>
                <w:sz w:val="18"/>
                <w:szCs w:val="18"/>
                <w:lang w:val="es-ES_tradnl"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7DA0A214"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279" w:type="dxa"/>
            <w:tcBorders>
              <w:top w:val="nil"/>
              <w:left w:val="nil"/>
              <w:bottom w:val="single" w:sz="4" w:space="0" w:color="auto"/>
              <w:right w:val="single" w:sz="4" w:space="0" w:color="auto"/>
            </w:tcBorders>
            <w:shd w:val="clear" w:color="auto" w:fill="auto"/>
            <w:noWrap/>
            <w:vAlign w:val="center"/>
            <w:hideMark/>
          </w:tcPr>
          <w:p w14:paraId="1676DDF7"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271 </w:t>
            </w:r>
          </w:p>
        </w:tc>
        <w:tc>
          <w:tcPr>
            <w:tcW w:w="1279" w:type="dxa"/>
            <w:tcBorders>
              <w:top w:val="nil"/>
              <w:left w:val="nil"/>
              <w:bottom w:val="single" w:sz="4" w:space="0" w:color="auto"/>
              <w:right w:val="single" w:sz="4" w:space="0" w:color="auto"/>
            </w:tcBorders>
            <w:shd w:val="clear" w:color="auto" w:fill="auto"/>
            <w:noWrap/>
            <w:vAlign w:val="center"/>
            <w:hideMark/>
          </w:tcPr>
          <w:p w14:paraId="692E1A94"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28BE9568"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569 </w:t>
            </w:r>
          </w:p>
        </w:tc>
      </w:tr>
      <w:tr w:rsidR="00D8083E" w:rsidRPr="00A202B4" w14:paraId="1EF40DFA"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4D9EC03" w14:textId="77777777" w:rsidR="00D8083E" w:rsidRPr="00A202B4" w:rsidRDefault="00D8083E" w:rsidP="009A372A">
            <w:pPr>
              <w:jc w:val="left"/>
              <w:rPr>
                <w:sz w:val="18"/>
                <w:szCs w:val="18"/>
                <w:lang w:val="es-ES_tradnl" w:eastAsia="zh-CN"/>
              </w:rPr>
            </w:pPr>
            <w:r w:rsidRPr="00A202B4">
              <w:rPr>
                <w:sz w:val="18"/>
                <w:szCs w:val="18"/>
                <w:lang w:val="es-ES_tradnl" w:eastAsia="zh-CN"/>
              </w:rPr>
              <w:t>Zambia</w:t>
            </w:r>
          </w:p>
        </w:tc>
        <w:tc>
          <w:tcPr>
            <w:tcW w:w="1180" w:type="dxa"/>
            <w:tcBorders>
              <w:top w:val="nil"/>
              <w:left w:val="nil"/>
              <w:bottom w:val="single" w:sz="4" w:space="0" w:color="auto"/>
              <w:right w:val="single" w:sz="4" w:space="0" w:color="auto"/>
            </w:tcBorders>
            <w:shd w:val="clear" w:color="auto" w:fill="auto"/>
            <w:vAlign w:val="center"/>
            <w:hideMark/>
          </w:tcPr>
          <w:p w14:paraId="373FEEDB" w14:textId="77777777" w:rsidR="00D8083E" w:rsidRPr="00A202B4" w:rsidRDefault="00D8083E" w:rsidP="009A372A">
            <w:pPr>
              <w:jc w:val="right"/>
              <w:rPr>
                <w:sz w:val="18"/>
                <w:szCs w:val="18"/>
                <w:lang w:val="es-ES_tradnl" w:eastAsia="zh-CN"/>
              </w:rPr>
            </w:pPr>
            <w:r w:rsidRPr="00A202B4">
              <w:rPr>
                <w:sz w:val="18"/>
                <w:szCs w:val="18"/>
                <w:lang w:val="es-ES_tradnl"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2ABB1124"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279" w:type="dxa"/>
            <w:tcBorders>
              <w:top w:val="nil"/>
              <w:left w:val="nil"/>
              <w:bottom w:val="single" w:sz="4" w:space="0" w:color="auto"/>
              <w:right w:val="single" w:sz="4" w:space="0" w:color="auto"/>
            </w:tcBorders>
            <w:shd w:val="clear" w:color="auto" w:fill="auto"/>
            <w:noWrap/>
            <w:vAlign w:val="center"/>
            <w:hideMark/>
          </w:tcPr>
          <w:p w14:paraId="658D53CA"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271 </w:t>
            </w:r>
          </w:p>
        </w:tc>
        <w:tc>
          <w:tcPr>
            <w:tcW w:w="1279" w:type="dxa"/>
            <w:tcBorders>
              <w:top w:val="nil"/>
              <w:left w:val="nil"/>
              <w:bottom w:val="single" w:sz="4" w:space="0" w:color="auto"/>
              <w:right w:val="single" w:sz="4" w:space="0" w:color="auto"/>
            </w:tcBorders>
            <w:shd w:val="clear" w:color="auto" w:fill="auto"/>
            <w:noWrap/>
            <w:vAlign w:val="center"/>
            <w:hideMark/>
          </w:tcPr>
          <w:p w14:paraId="79D451AF"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298 </w:t>
            </w:r>
          </w:p>
        </w:tc>
        <w:tc>
          <w:tcPr>
            <w:tcW w:w="1180" w:type="dxa"/>
            <w:tcBorders>
              <w:top w:val="nil"/>
              <w:left w:val="nil"/>
              <w:bottom w:val="single" w:sz="4" w:space="0" w:color="auto"/>
              <w:right w:val="single" w:sz="4" w:space="0" w:color="auto"/>
            </w:tcBorders>
            <w:shd w:val="clear" w:color="auto" w:fill="auto"/>
            <w:noWrap/>
            <w:vAlign w:val="center"/>
            <w:hideMark/>
          </w:tcPr>
          <w:p w14:paraId="614E9697"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569 </w:t>
            </w:r>
          </w:p>
        </w:tc>
      </w:tr>
      <w:tr w:rsidR="00D8083E" w:rsidRPr="00A202B4" w14:paraId="4E16582B"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3C8F19C" w14:textId="77777777" w:rsidR="00D8083E" w:rsidRPr="00A202B4" w:rsidRDefault="00D8083E" w:rsidP="009A372A">
            <w:pPr>
              <w:jc w:val="left"/>
              <w:rPr>
                <w:sz w:val="18"/>
                <w:szCs w:val="18"/>
                <w:lang w:val="es-ES_tradnl" w:eastAsia="zh-CN"/>
              </w:rPr>
            </w:pPr>
            <w:r w:rsidRPr="00A202B4">
              <w:rPr>
                <w:sz w:val="18"/>
                <w:szCs w:val="18"/>
                <w:lang w:val="es-ES_tradnl" w:eastAsia="zh-CN"/>
              </w:rPr>
              <w:t>Zimbabwe</w:t>
            </w:r>
          </w:p>
        </w:tc>
        <w:tc>
          <w:tcPr>
            <w:tcW w:w="1180" w:type="dxa"/>
            <w:tcBorders>
              <w:top w:val="nil"/>
              <w:left w:val="nil"/>
              <w:bottom w:val="single" w:sz="4" w:space="0" w:color="auto"/>
              <w:right w:val="single" w:sz="4" w:space="0" w:color="auto"/>
            </w:tcBorders>
            <w:shd w:val="clear" w:color="auto" w:fill="auto"/>
            <w:vAlign w:val="center"/>
            <w:hideMark/>
          </w:tcPr>
          <w:p w14:paraId="1EE9B395" w14:textId="77777777" w:rsidR="00D8083E" w:rsidRPr="00A202B4" w:rsidRDefault="00D8083E" w:rsidP="009A372A">
            <w:pPr>
              <w:jc w:val="right"/>
              <w:rPr>
                <w:sz w:val="18"/>
                <w:szCs w:val="18"/>
                <w:lang w:val="es-ES_tradnl" w:eastAsia="zh-CN"/>
              </w:rPr>
            </w:pPr>
            <w:r w:rsidRPr="00A202B4">
              <w:rPr>
                <w:sz w:val="18"/>
                <w:szCs w:val="18"/>
                <w:lang w:val="es-ES_tradnl"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069B20AB" w14:textId="77777777" w:rsidR="00D8083E" w:rsidRPr="00A202B4" w:rsidRDefault="00D8083E" w:rsidP="009A372A">
            <w:pPr>
              <w:jc w:val="right"/>
              <w:rPr>
                <w:sz w:val="18"/>
                <w:szCs w:val="18"/>
                <w:lang w:val="es-ES_tradnl" w:eastAsia="zh-CN"/>
              </w:rPr>
            </w:pPr>
            <w:r w:rsidRPr="00A202B4">
              <w:rPr>
                <w:sz w:val="18"/>
                <w:szCs w:val="18"/>
                <w:lang w:val="es-ES_tradnl" w:eastAsia="zh-CN"/>
              </w:rPr>
              <w:t>0,010</w:t>
            </w:r>
          </w:p>
        </w:tc>
        <w:tc>
          <w:tcPr>
            <w:tcW w:w="1279" w:type="dxa"/>
            <w:tcBorders>
              <w:top w:val="nil"/>
              <w:left w:val="nil"/>
              <w:bottom w:val="single" w:sz="4" w:space="0" w:color="auto"/>
              <w:right w:val="single" w:sz="4" w:space="0" w:color="auto"/>
            </w:tcBorders>
            <w:shd w:val="clear" w:color="auto" w:fill="auto"/>
            <w:noWrap/>
            <w:vAlign w:val="center"/>
            <w:hideMark/>
          </w:tcPr>
          <w:p w14:paraId="0840E2D1"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268 </w:t>
            </w:r>
          </w:p>
        </w:tc>
        <w:tc>
          <w:tcPr>
            <w:tcW w:w="1279" w:type="dxa"/>
            <w:tcBorders>
              <w:top w:val="nil"/>
              <w:left w:val="nil"/>
              <w:bottom w:val="single" w:sz="4" w:space="0" w:color="auto"/>
              <w:right w:val="single" w:sz="4" w:space="0" w:color="auto"/>
            </w:tcBorders>
            <w:shd w:val="clear" w:color="auto" w:fill="auto"/>
            <w:noWrap/>
            <w:vAlign w:val="center"/>
            <w:hideMark/>
          </w:tcPr>
          <w:p w14:paraId="3C4A2339" w14:textId="77777777" w:rsidR="00D8083E" w:rsidRPr="00A202B4" w:rsidRDefault="00D8083E" w:rsidP="009A372A">
            <w:pPr>
              <w:jc w:val="right"/>
              <w:rPr>
                <w:sz w:val="18"/>
                <w:szCs w:val="18"/>
                <w:lang w:val="es-ES_tradnl" w:eastAsia="zh-CN"/>
              </w:rPr>
            </w:pPr>
            <w:r w:rsidRPr="00A202B4">
              <w:rPr>
                <w:sz w:val="18"/>
                <w:szCs w:val="18"/>
                <w:lang w:val="es-ES_tradnl" w:eastAsia="zh-CN"/>
              </w:rPr>
              <w:t xml:space="preserve">294 </w:t>
            </w:r>
          </w:p>
        </w:tc>
        <w:tc>
          <w:tcPr>
            <w:tcW w:w="1180" w:type="dxa"/>
            <w:tcBorders>
              <w:top w:val="nil"/>
              <w:left w:val="nil"/>
              <w:bottom w:val="single" w:sz="4" w:space="0" w:color="auto"/>
              <w:right w:val="single" w:sz="4" w:space="0" w:color="auto"/>
            </w:tcBorders>
            <w:shd w:val="clear" w:color="auto" w:fill="auto"/>
            <w:noWrap/>
            <w:vAlign w:val="center"/>
            <w:hideMark/>
          </w:tcPr>
          <w:p w14:paraId="03361D80" w14:textId="77777777" w:rsidR="00D8083E" w:rsidRPr="00A202B4" w:rsidRDefault="00D8083E" w:rsidP="009A372A">
            <w:pPr>
              <w:jc w:val="right"/>
              <w:rPr>
                <w:bCs/>
                <w:sz w:val="18"/>
                <w:szCs w:val="18"/>
                <w:lang w:val="es-ES_tradnl" w:eastAsia="zh-CN"/>
              </w:rPr>
            </w:pPr>
            <w:r w:rsidRPr="00A202B4">
              <w:rPr>
                <w:bCs/>
                <w:sz w:val="18"/>
                <w:szCs w:val="18"/>
                <w:lang w:val="es-ES_tradnl" w:eastAsia="zh-CN"/>
              </w:rPr>
              <w:t xml:space="preserve">562 </w:t>
            </w:r>
          </w:p>
        </w:tc>
      </w:tr>
      <w:tr w:rsidR="00D8083E" w:rsidRPr="00A202B4" w14:paraId="6E138A3B" w14:textId="77777777" w:rsidTr="009A372A">
        <w:trPr>
          <w:trHeight w:val="24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4A414AF4" w14:textId="77777777" w:rsidR="00D8083E" w:rsidRPr="00A202B4" w:rsidRDefault="00D8083E" w:rsidP="009A372A">
            <w:pPr>
              <w:jc w:val="left"/>
              <w:rPr>
                <w:b/>
                <w:bCs/>
                <w:sz w:val="18"/>
                <w:szCs w:val="18"/>
                <w:lang w:val="es-ES_tradnl" w:eastAsia="zh-CN"/>
              </w:rPr>
            </w:pPr>
            <w:r w:rsidRPr="00A202B4">
              <w:rPr>
                <w:b/>
                <w:bCs/>
                <w:sz w:val="18"/>
                <w:szCs w:val="18"/>
                <w:lang w:val="es-ES_tradnl" w:eastAsia="zh-CN"/>
              </w:rPr>
              <w:t>Total</w:t>
            </w:r>
          </w:p>
        </w:tc>
        <w:tc>
          <w:tcPr>
            <w:tcW w:w="1180" w:type="dxa"/>
            <w:tcBorders>
              <w:top w:val="nil"/>
              <w:left w:val="nil"/>
              <w:bottom w:val="single" w:sz="4" w:space="0" w:color="auto"/>
              <w:right w:val="single" w:sz="4" w:space="0" w:color="auto"/>
            </w:tcBorders>
            <w:shd w:val="clear" w:color="auto" w:fill="auto"/>
            <w:noWrap/>
            <w:vAlign w:val="center"/>
            <w:hideMark/>
          </w:tcPr>
          <w:p w14:paraId="45E5619C" w14:textId="77777777" w:rsidR="00D8083E" w:rsidRPr="00A202B4" w:rsidRDefault="00D8083E" w:rsidP="009A372A">
            <w:pPr>
              <w:jc w:val="right"/>
              <w:rPr>
                <w:b/>
                <w:bCs/>
                <w:sz w:val="18"/>
                <w:szCs w:val="18"/>
                <w:lang w:val="es-ES_tradnl" w:eastAsia="zh-CN"/>
              </w:rPr>
            </w:pPr>
            <w:r w:rsidRPr="00A202B4">
              <w:rPr>
                <w:b/>
                <w:bCs/>
                <w:sz w:val="18"/>
                <w:szCs w:val="18"/>
                <w:lang w:val="es-ES_tradnl" w:eastAsia="zh-CN"/>
              </w:rPr>
              <w:t>69,092</w:t>
            </w:r>
          </w:p>
        </w:tc>
        <w:tc>
          <w:tcPr>
            <w:tcW w:w="1180" w:type="dxa"/>
            <w:tcBorders>
              <w:top w:val="nil"/>
              <w:left w:val="nil"/>
              <w:bottom w:val="single" w:sz="4" w:space="0" w:color="auto"/>
              <w:right w:val="single" w:sz="4" w:space="0" w:color="auto"/>
            </w:tcBorders>
            <w:shd w:val="clear" w:color="auto" w:fill="auto"/>
            <w:noWrap/>
            <w:vAlign w:val="center"/>
            <w:hideMark/>
          </w:tcPr>
          <w:p w14:paraId="0BDE77E4" w14:textId="77777777" w:rsidR="00D8083E" w:rsidRPr="00A202B4" w:rsidRDefault="00D8083E" w:rsidP="009A372A">
            <w:pPr>
              <w:jc w:val="right"/>
              <w:rPr>
                <w:b/>
                <w:bCs/>
                <w:sz w:val="18"/>
                <w:szCs w:val="18"/>
                <w:lang w:val="es-ES_tradnl" w:eastAsia="zh-CN"/>
              </w:rPr>
            </w:pPr>
            <w:r w:rsidRPr="00A202B4">
              <w:rPr>
                <w:b/>
                <w:bCs/>
                <w:sz w:val="18"/>
                <w:szCs w:val="18"/>
                <w:lang w:val="es-ES_tradnl" w:eastAsia="zh-CN"/>
              </w:rPr>
              <w:t>100</w:t>
            </w:r>
          </w:p>
        </w:tc>
        <w:tc>
          <w:tcPr>
            <w:tcW w:w="1279" w:type="dxa"/>
            <w:tcBorders>
              <w:top w:val="nil"/>
              <w:left w:val="nil"/>
              <w:bottom w:val="single" w:sz="4" w:space="0" w:color="auto"/>
              <w:right w:val="single" w:sz="4" w:space="0" w:color="auto"/>
            </w:tcBorders>
            <w:shd w:val="clear" w:color="auto" w:fill="auto"/>
            <w:noWrap/>
            <w:vAlign w:val="center"/>
            <w:hideMark/>
          </w:tcPr>
          <w:p w14:paraId="70AA0D9D" w14:textId="77777777" w:rsidR="00D8083E" w:rsidRPr="00A202B4" w:rsidRDefault="00D8083E" w:rsidP="009A372A">
            <w:pPr>
              <w:jc w:val="right"/>
              <w:rPr>
                <w:b/>
                <w:bCs/>
                <w:sz w:val="18"/>
                <w:szCs w:val="18"/>
                <w:lang w:val="es-ES_tradnl" w:eastAsia="zh-CN"/>
              </w:rPr>
            </w:pPr>
            <w:r w:rsidRPr="00A202B4">
              <w:rPr>
                <w:b/>
                <w:bCs/>
                <w:sz w:val="18"/>
                <w:szCs w:val="18"/>
                <w:lang w:val="es-ES_tradnl" w:eastAsia="zh-CN"/>
              </w:rPr>
              <w:t xml:space="preserve">2 713 945 </w:t>
            </w:r>
          </w:p>
        </w:tc>
        <w:tc>
          <w:tcPr>
            <w:tcW w:w="1279" w:type="dxa"/>
            <w:tcBorders>
              <w:top w:val="nil"/>
              <w:left w:val="nil"/>
              <w:bottom w:val="single" w:sz="4" w:space="0" w:color="auto"/>
              <w:right w:val="single" w:sz="4" w:space="0" w:color="auto"/>
            </w:tcBorders>
            <w:shd w:val="clear" w:color="auto" w:fill="auto"/>
            <w:noWrap/>
            <w:vAlign w:val="center"/>
            <w:hideMark/>
          </w:tcPr>
          <w:p w14:paraId="46D92B2F" w14:textId="77777777" w:rsidR="00D8083E" w:rsidRPr="00A202B4" w:rsidRDefault="00D8083E" w:rsidP="009A372A">
            <w:pPr>
              <w:jc w:val="right"/>
              <w:rPr>
                <w:b/>
                <w:bCs/>
                <w:sz w:val="18"/>
                <w:szCs w:val="18"/>
                <w:lang w:val="es-ES_tradnl" w:eastAsia="zh-CN"/>
              </w:rPr>
            </w:pPr>
            <w:r w:rsidRPr="00A202B4">
              <w:rPr>
                <w:b/>
                <w:bCs/>
                <w:sz w:val="18"/>
                <w:szCs w:val="18"/>
                <w:lang w:val="es-ES_tradnl" w:eastAsia="zh-CN"/>
              </w:rPr>
              <w:t xml:space="preserve">2 976 752 </w:t>
            </w:r>
          </w:p>
        </w:tc>
        <w:tc>
          <w:tcPr>
            <w:tcW w:w="1180" w:type="dxa"/>
            <w:tcBorders>
              <w:top w:val="nil"/>
              <w:left w:val="nil"/>
              <w:bottom w:val="single" w:sz="4" w:space="0" w:color="auto"/>
              <w:right w:val="single" w:sz="4" w:space="0" w:color="auto"/>
            </w:tcBorders>
            <w:shd w:val="clear" w:color="auto" w:fill="auto"/>
            <w:noWrap/>
            <w:vAlign w:val="center"/>
            <w:hideMark/>
          </w:tcPr>
          <w:p w14:paraId="145A7A53" w14:textId="77777777" w:rsidR="00D8083E" w:rsidRPr="00A202B4" w:rsidRDefault="00D8083E" w:rsidP="009A372A">
            <w:pPr>
              <w:jc w:val="right"/>
              <w:rPr>
                <w:b/>
                <w:bCs/>
                <w:sz w:val="18"/>
                <w:szCs w:val="18"/>
                <w:lang w:val="es-ES_tradnl" w:eastAsia="zh-CN"/>
              </w:rPr>
            </w:pPr>
            <w:r w:rsidRPr="00A202B4">
              <w:rPr>
                <w:b/>
                <w:bCs/>
                <w:sz w:val="18"/>
                <w:szCs w:val="18"/>
                <w:lang w:val="es-ES_tradnl" w:eastAsia="zh-CN"/>
              </w:rPr>
              <w:t xml:space="preserve">5 690 697 </w:t>
            </w:r>
          </w:p>
        </w:tc>
      </w:tr>
    </w:tbl>
    <w:p w14:paraId="3209618F" w14:textId="579DF578" w:rsidR="00DD4BAA" w:rsidRPr="00A202B4" w:rsidRDefault="00DD4BAA" w:rsidP="00DD4BAA">
      <w:pPr>
        <w:pStyle w:val="decision"/>
        <w:spacing w:before="240"/>
        <w:ind w:left="1560" w:right="146" w:hanging="1134"/>
        <w:jc w:val="left"/>
        <w:rPr>
          <w:rFonts w:hint="eastAsia"/>
          <w:lang w:val="es-ES_tradnl"/>
        </w:rPr>
      </w:pPr>
    </w:p>
    <w:p w14:paraId="460B78CE" w14:textId="4AADD6AC" w:rsidR="00DD4BAA" w:rsidRPr="00A202B4" w:rsidRDefault="00DD4BAA" w:rsidP="00012BEA">
      <w:pPr>
        <w:kinsoku w:val="0"/>
        <w:overflowPunct w:val="0"/>
        <w:autoSpaceDE w:val="0"/>
        <w:autoSpaceDN w:val="0"/>
        <w:spacing w:before="120" w:after="240"/>
        <w:jc w:val="center"/>
        <w:rPr>
          <w:rFonts w:asciiTheme="majorBidi" w:hAnsiTheme="majorBidi" w:cstheme="majorBidi"/>
          <w:b/>
          <w:bCs/>
          <w:caps/>
          <w:snapToGrid w:val="0"/>
          <w:kern w:val="22"/>
          <w:lang w:val="es-ES_tradnl"/>
        </w:rPr>
        <w:sectPr w:rsidR="00DD4BAA" w:rsidRPr="00A202B4" w:rsidSect="009474D1">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pgMar w:top="1021" w:right="1440" w:bottom="1021" w:left="1440" w:header="459" w:footer="720" w:gutter="0"/>
          <w:cols w:space="708"/>
          <w:docGrid w:linePitch="360"/>
        </w:sectPr>
      </w:pPr>
    </w:p>
    <w:p w14:paraId="1B2A6330" w14:textId="4A45F8C7" w:rsidR="00E66674" w:rsidRPr="00A202B4" w:rsidRDefault="00E66674" w:rsidP="00E66674">
      <w:pPr>
        <w:pStyle w:val="Heading1"/>
        <w:rPr>
          <w:snapToGrid w:val="0"/>
          <w:sz w:val="28"/>
          <w:szCs w:val="28"/>
          <w:lang w:val="es-ES_tradnl"/>
        </w:rPr>
      </w:pPr>
      <w:bookmarkStart w:id="26" w:name="_Toc151646676"/>
      <w:bookmarkStart w:id="27" w:name="_Toc152776504"/>
      <w:r w:rsidRPr="00A202B4">
        <w:rPr>
          <w:snapToGrid w:val="0"/>
          <w:sz w:val="28"/>
          <w:szCs w:val="28"/>
          <w:lang w:val="es-ES_tradnl"/>
        </w:rPr>
        <w:lastRenderedPageBreak/>
        <w:t>II.</w:t>
      </w:r>
      <w:r w:rsidRPr="00A202B4">
        <w:rPr>
          <w:snapToGrid w:val="0"/>
          <w:sz w:val="28"/>
          <w:szCs w:val="28"/>
          <w:lang w:val="es-ES_tradnl"/>
        </w:rPr>
        <w:tab/>
      </w:r>
      <w:bookmarkEnd w:id="26"/>
      <w:r w:rsidRPr="00A202B4">
        <w:rPr>
          <w:snapToGrid w:val="0"/>
          <w:sz w:val="28"/>
          <w:szCs w:val="28"/>
          <w:lang w:val="es-ES_tradnl"/>
        </w:rPr>
        <w:t>RESUMEN DE LAS DELIBERACIONES DE LA REUNIÓN</w:t>
      </w:r>
      <w:bookmarkEnd w:id="27"/>
    </w:p>
    <w:p w14:paraId="0486A22E" w14:textId="730A88E5" w:rsidR="00E3562C" w:rsidRPr="00A202B4" w:rsidRDefault="00E3562C" w:rsidP="00012BEA">
      <w:pPr>
        <w:kinsoku w:val="0"/>
        <w:overflowPunct w:val="0"/>
        <w:autoSpaceDE w:val="0"/>
        <w:autoSpaceDN w:val="0"/>
        <w:spacing w:before="120" w:after="240"/>
        <w:jc w:val="center"/>
        <w:rPr>
          <w:rFonts w:asciiTheme="majorBidi" w:hAnsiTheme="majorBidi" w:cstheme="majorBidi"/>
          <w:b/>
          <w:bCs/>
          <w:caps/>
          <w:snapToGrid w:val="0"/>
          <w:kern w:val="22"/>
          <w:lang w:val="es-ES_tradnl"/>
        </w:rPr>
      </w:pPr>
      <w:r w:rsidRPr="00A202B4">
        <w:rPr>
          <w:rFonts w:asciiTheme="majorBidi" w:hAnsiTheme="majorBidi"/>
          <w:b/>
          <w:caps/>
          <w:snapToGrid w:val="0"/>
          <w:lang w:val="es-ES_tradnl"/>
        </w:rPr>
        <w:t>INTRODUCCIÓN</w:t>
      </w:r>
    </w:p>
    <w:p w14:paraId="4C711839" w14:textId="77777777" w:rsidR="00E3562C" w:rsidRPr="00A202B4" w:rsidRDefault="00E3562C" w:rsidP="00ED6C5E">
      <w:pPr>
        <w:pStyle w:val="Heading2"/>
        <w:rPr>
          <w:i w:val="0"/>
          <w:iCs w:val="0"/>
          <w:lang w:val="es-ES_tradnl"/>
        </w:rPr>
      </w:pPr>
      <w:bookmarkStart w:id="28" w:name="_Hlk121908993"/>
      <w:r w:rsidRPr="00A202B4">
        <w:rPr>
          <w:i w:val="0"/>
          <w:lang w:val="es-ES_tradnl"/>
        </w:rPr>
        <w:t>A.</w:t>
      </w:r>
      <w:r w:rsidRPr="00A202B4">
        <w:rPr>
          <w:i w:val="0"/>
          <w:lang w:val="es-ES_tradnl"/>
        </w:rPr>
        <w:tab/>
        <w:t>Antecedentes</w:t>
      </w:r>
    </w:p>
    <w:p w14:paraId="3F5B15CE" w14:textId="40A9B906" w:rsidR="00E3562C" w:rsidRPr="00A202B4" w:rsidRDefault="00E3562C" w:rsidP="009678B5">
      <w:pPr>
        <w:pStyle w:val="Para1"/>
        <w:rPr>
          <w:lang w:val="es-ES_tradnl"/>
        </w:rPr>
      </w:pPr>
      <w:r w:rsidRPr="00A202B4">
        <w:rPr>
          <w:lang w:val="es-ES_tradnl"/>
        </w:rPr>
        <w:t>La Conferencia de las Partes que actúa como reunión de las Partes en el Protocolo de Cartagena sobre Seguridad de la Biotecnología del Convenio sobre la Diversidad Biológica celebró su 10ª reunión conjuntamente con la 15ª reunión de la Conferencia de las Partes en el Convenio y la 4ª reunión de la Conferencia de las Partes que actúa como reunión de las Partes en el Protocolo de Nagoya sobre Acceso a los Recursos Genéticos y Participación Justa y Equitativa en los Beneficios que se Deriven de su Utilización.</w:t>
      </w:r>
    </w:p>
    <w:p w14:paraId="5E92763D" w14:textId="6089382A" w:rsidR="007E78C0" w:rsidRPr="00A202B4" w:rsidRDefault="00E3562C" w:rsidP="009678B5">
      <w:pPr>
        <w:pStyle w:val="Para1"/>
        <w:rPr>
          <w:lang w:val="es-ES_tradnl"/>
        </w:rPr>
      </w:pPr>
      <w:r w:rsidRPr="00A202B4">
        <w:rPr>
          <w:lang w:val="es-ES_tradnl"/>
        </w:rPr>
        <w:t>Debido a las circunstancias que rodearon la pandemia de la enfermedad por coronavirus (COVID-19), la reunión se celebró en dos partes. La primera parte se celebró en línea</w:t>
      </w:r>
      <w:r w:rsidR="00E632A5" w:rsidRPr="00A202B4">
        <w:rPr>
          <w:lang w:val="es-ES_tradnl"/>
        </w:rPr>
        <w:t xml:space="preserve"> en Kunming (China)</w:t>
      </w:r>
      <w:r w:rsidRPr="00A202B4">
        <w:rPr>
          <w:lang w:val="es-ES_tradnl"/>
        </w:rPr>
        <w:t>, con una participación presencial limitada, los días 12 y 13 de octubre de 2021. La segunda parte se celebró en forma presencial. Comenzó en Montreal (Canadá) el 7 de diciembre de 2022, se suspendió el 19 de diciembre de 2022, se reanudó en Nairobi el 19 de octubre de 2023 y se clausuró el 20 de octubre d</w:t>
      </w:r>
      <w:r w:rsidR="00B7284A" w:rsidRPr="00A202B4">
        <w:rPr>
          <w:lang w:val="es-ES_tradnl"/>
        </w:rPr>
        <w:t>e 2023.</w:t>
      </w:r>
    </w:p>
    <w:p w14:paraId="5CC54EEC" w14:textId="72C336BC" w:rsidR="0096782E" w:rsidRPr="00F517A5" w:rsidRDefault="0096782E" w:rsidP="0096782E">
      <w:pPr>
        <w:pStyle w:val="Para1"/>
        <w:rPr>
          <w:rFonts w:asciiTheme="majorBidi" w:hAnsiTheme="majorBidi" w:cstheme="majorBidi"/>
          <w:bCs/>
        </w:rPr>
      </w:pPr>
      <w:bookmarkStart w:id="29" w:name="_Hlk121913481"/>
      <w:bookmarkEnd w:id="28"/>
      <w:r>
        <w:t>El presente informe contiene las deliberaciones de la segunda parte de la reunión</w:t>
      </w:r>
      <w:r w:rsidRPr="0096782E">
        <w:rPr>
          <w:rStyle w:val="FootnoteReference"/>
          <w:sz w:val="22"/>
          <w:u w:val="none"/>
          <w:vertAlign w:val="superscript"/>
        </w:rPr>
        <w:footnoteReference w:id="50"/>
      </w:r>
      <w:r>
        <w:t>.</w:t>
      </w:r>
    </w:p>
    <w:p w14:paraId="1871A807" w14:textId="3E266F35" w:rsidR="0096782E" w:rsidRPr="00F517A5" w:rsidRDefault="0096782E" w:rsidP="0096782E">
      <w:pPr>
        <w:pStyle w:val="Para1"/>
        <w:rPr>
          <w:rFonts w:asciiTheme="majorBidi" w:hAnsiTheme="majorBidi" w:cstheme="majorBidi"/>
          <w:bCs/>
        </w:rPr>
      </w:pPr>
      <w:r>
        <w:t>La segunda parte de la reunión estuvo precedida de una bienvenida ceremonial del Jefe Tradicional de la Nación Onondaga, Tadodaho Sid Hill, seguida de declaraciones del Primer Ministro del Canadá, Justin Trudeau, el Secretario General de las Naciones Unidas, el Ministro de Ecología y Medio Ambiente de China y Presidente de la 15ª reunión de la Conferencia de las Partes en el Convenio, Huang Runqiu, el Primer Ministro de Quebec, François Legault, la Alcaldesa de Montreal, Valérie Plante, y el Alcalde de Kunming, Liu Jiachen, así como de una presentación cultural, el 6 de diciembre de 2022</w:t>
      </w:r>
      <w:r w:rsidRPr="00F517A5">
        <w:t>.</w:t>
      </w:r>
    </w:p>
    <w:p w14:paraId="5B47C46C" w14:textId="3DF03DDE" w:rsidR="0096782E" w:rsidRPr="001A25CE" w:rsidRDefault="0096782E" w:rsidP="0096782E">
      <w:pPr>
        <w:pStyle w:val="BodyText"/>
        <w:ind w:firstLine="0"/>
        <w:jc w:val="center"/>
        <w:rPr>
          <w:b/>
          <w:bCs/>
        </w:rPr>
      </w:pPr>
      <w:bookmarkStart w:id="30" w:name="_Hlk121909316"/>
      <w:r w:rsidRPr="001A25CE">
        <w:rPr>
          <w:b/>
          <w:bCs/>
        </w:rPr>
        <w:t>B.</w:t>
      </w:r>
      <w:r w:rsidRPr="001A25CE">
        <w:rPr>
          <w:b/>
          <w:bCs/>
        </w:rPr>
        <w:tab/>
        <w:t>A</w:t>
      </w:r>
      <w:r>
        <w:rPr>
          <w:b/>
          <w:bCs/>
        </w:rPr>
        <w:t>sis</w:t>
      </w:r>
      <w:r w:rsidRPr="001A25CE">
        <w:rPr>
          <w:b/>
          <w:bCs/>
        </w:rPr>
        <w:t>t</w:t>
      </w:r>
      <w:r>
        <w:rPr>
          <w:b/>
          <w:bCs/>
        </w:rPr>
        <w:t>e</w:t>
      </w:r>
      <w:r w:rsidRPr="001A25CE">
        <w:rPr>
          <w:b/>
          <w:bCs/>
        </w:rPr>
        <w:t>n</w:t>
      </w:r>
      <w:r>
        <w:rPr>
          <w:b/>
          <w:bCs/>
        </w:rPr>
        <w:t>t</w:t>
      </w:r>
      <w:r w:rsidRPr="001A25CE">
        <w:rPr>
          <w:b/>
          <w:bCs/>
        </w:rPr>
        <w:t>e</w:t>
      </w:r>
      <w:r>
        <w:rPr>
          <w:b/>
          <w:bCs/>
        </w:rPr>
        <w:t>s</w:t>
      </w:r>
    </w:p>
    <w:p w14:paraId="6B473FB2" w14:textId="2811C3C5" w:rsidR="0096782E" w:rsidRPr="00F517A5" w:rsidRDefault="0096782E" w:rsidP="0096782E">
      <w:pPr>
        <w:pStyle w:val="Para1"/>
      </w:pPr>
      <w:r>
        <w:t>Se invitó a todos los Estados a participar en la segunda parte de la reunión. Asistieron las siguientes Partes en el Protocolo de Cartagena</w:t>
      </w:r>
      <w:r w:rsidRPr="00F517A5">
        <w:t>:</w:t>
      </w:r>
    </w:p>
    <w:p w14:paraId="27636F0D" w14:textId="77777777" w:rsidR="0096782E" w:rsidRPr="00F517A5" w:rsidRDefault="0096782E" w:rsidP="0096782E">
      <w:pPr>
        <w:pStyle w:val="Para1"/>
        <w:numPr>
          <w:ilvl w:val="0"/>
          <w:numId w:val="0"/>
        </w:numPr>
        <w:spacing w:before="0" w:after="0"/>
        <w:jc w:val="left"/>
        <w:sectPr w:rsidR="0096782E" w:rsidRPr="00F517A5" w:rsidSect="009474D1">
          <w:footnotePr>
            <w:numRestart w:val="eachSect"/>
          </w:footnotePr>
          <w:pgSz w:w="12240" w:h="15840"/>
          <w:pgMar w:top="1021" w:right="1440" w:bottom="1021" w:left="1440" w:header="459" w:footer="720" w:gutter="0"/>
          <w:cols w:space="708"/>
          <w:docGrid w:linePitch="360"/>
        </w:sectPr>
      </w:pPr>
    </w:p>
    <w:p w14:paraId="49DFE987" w14:textId="77777777" w:rsidR="0096782E" w:rsidRPr="00F517A5" w:rsidRDefault="0096782E" w:rsidP="0096782E">
      <w:pPr>
        <w:pStyle w:val="Para1"/>
        <w:numPr>
          <w:ilvl w:val="0"/>
          <w:numId w:val="0"/>
        </w:numPr>
        <w:spacing w:before="0" w:after="0"/>
        <w:ind w:left="142" w:hanging="142"/>
        <w:jc w:val="left"/>
      </w:pPr>
      <w:r>
        <w:t>Albania</w:t>
      </w:r>
      <w:r>
        <w:rPr>
          <w:vertAlign w:val="superscript"/>
        </w:rPr>
        <w:t>a</w:t>
      </w:r>
    </w:p>
    <w:p w14:paraId="2E0EC4D3" w14:textId="77777777" w:rsidR="0096782E" w:rsidRPr="00F517A5" w:rsidRDefault="0096782E" w:rsidP="0096782E">
      <w:pPr>
        <w:pStyle w:val="Para1"/>
        <w:numPr>
          <w:ilvl w:val="0"/>
          <w:numId w:val="0"/>
        </w:numPr>
        <w:spacing w:before="0" w:after="0"/>
        <w:ind w:left="142" w:hanging="142"/>
        <w:jc w:val="left"/>
      </w:pPr>
      <w:r>
        <w:t>Alemania</w:t>
      </w:r>
    </w:p>
    <w:p w14:paraId="07A191E5" w14:textId="77777777" w:rsidR="0096782E" w:rsidRPr="00F517A5" w:rsidRDefault="0096782E" w:rsidP="0096782E">
      <w:pPr>
        <w:pStyle w:val="Para1"/>
        <w:numPr>
          <w:ilvl w:val="0"/>
          <w:numId w:val="0"/>
        </w:numPr>
        <w:spacing w:before="0" w:after="0"/>
        <w:ind w:left="142" w:hanging="142"/>
        <w:jc w:val="left"/>
      </w:pPr>
      <w:r>
        <w:t>Angola</w:t>
      </w:r>
    </w:p>
    <w:p w14:paraId="5C66BD5B" w14:textId="77777777" w:rsidR="0096782E" w:rsidRPr="00F517A5" w:rsidRDefault="0096782E" w:rsidP="0096782E">
      <w:pPr>
        <w:pStyle w:val="Para1"/>
        <w:numPr>
          <w:ilvl w:val="0"/>
          <w:numId w:val="0"/>
        </w:numPr>
        <w:spacing w:before="0" w:after="0"/>
        <w:ind w:left="142" w:hanging="142"/>
        <w:jc w:val="left"/>
      </w:pPr>
      <w:r>
        <w:t>Antigua y Barbuda</w:t>
      </w:r>
    </w:p>
    <w:p w14:paraId="6C7B2A9E" w14:textId="77777777" w:rsidR="0096782E" w:rsidRPr="00F517A5" w:rsidRDefault="0096782E" w:rsidP="0096782E">
      <w:pPr>
        <w:pStyle w:val="Para1"/>
        <w:numPr>
          <w:ilvl w:val="0"/>
          <w:numId w:val="0"/>
        </w:numPr>
        <w:spacing w:before="0" w:after="0"/>
        <w:ind w:left="142" w:hanging="142"/>
        <w:jc w:val="left"/>
      </w:pPr>
      <w:r>
        <w:t>Arabia Saudita</w:t>
      </w:r>
    </w:p>
    <w:p w14:paraId="4C1ED214" w14:textId="77777777" w:rsidR="0096782E" w:rsidRPr="00F517A5" w:rsidRDefault="0096782E" w:rsidP="0096782E">
      <w:pPr>
        <w:pStyle w:val="Para1"/>
        <w:numPr>
          <w:ilvl w:val="0"/>
          <w:numId w:val="0"/>
        </w:numPr>
        <w:spacing w:before="0" w:after="0"/>
        <w:ind w:left="142" w:hanging="142"/>
        <w:jc w:val="left"/>
      </w:pPr>
      <w:r>
        <w:t>Argelia</w:t>
      </w:r>
    </w:p>
    <w:p w14:paraId="556E2BA5" w14:textId="77777777" w:rsidR="0096782E" w:rsidRPr="00F517A5" w:rsidRDefault="0096782E" w:rsidP="0096782E">
      <w:pPr>
        <w:pStyle w:val="Para1"/>
        <w:numPr>
          <w:ilvl w:val="0"/>
          <w:numId w:val="0"/>
        </w:numPr>
        <w:spacing w:before="0" w:after="0"/>
        <w:ind w:left="142" w:hanging="142"/>
        <w:jc w:val="left"/>
      </w:pPr>
      <w:r>
        <w:t>Armenia</w:t>
      </w:r>
    </w:p>
    <w:p w14:paraId="7E8D45BC" w14:textId="77777777" w:rsidR="0096782E" w:rsidRPr="00F517A5" w:rsidRDefault="0096782E" w:rsidP="0096782E">
      <w:pPr>
        <w:pStyle w:val="Para1"/>
        <w:numPr>
          <w:ilvl w:val="0"/>
          <w:numId w:val="0"/>
        </w:numPr>
        <w:spacing w:before="0" w:after="0"/>
        <w:ind w:left="142" w:hanging="142"/>
        <w:jc w:val="left"/>
      </w:pPr>
      <w:r>
        <w:t>Austria</w:t>
      </w:r>
    </w:p>
    <w:p w14:paraId="0CB9339D" w14:textId="77777777" w:rsidR="0096782E" w:rsidRPr="00F517A5" w:rsidRDefault="0096782E" w:rsidP="0096782E">
      <w:pPr>
        <w:pStyle w:val="Para1"/>
        <w:numPr>
          <w:ilvl w:val="0"/>
          <w:numId w:val="0"/>
        </w:numPr>
        <w:spacing w:before="0" w:after="0"/>
        <w:ind w:left="142" w:hanging="142"/>
        <w:jc w:val="left"/>
      </w:pPr>
      <w:r>
        <w:t>Azerbaiyán</w:t>
      </w:r>
    </w:p>
    <w:p w14:paraId="37FDBA52" w14:textId="77777777" w:rsidR="0096782E" w:rsidRPr="00F517A5" w:rsidRDefault="0096782E" w:rsidP="0096782E">
      <w:pPr>
        <w:pStyle w:val="Para1"/>
        <w:numPr>
          <w:ilvl w:val="0"/>
          <w:numId w:val="0"/>
        </w:numPr>
        <w:spacing w:before="0" w:after="0"/>
        <w:ind w:left="142" w:hanging="142"/>
        <w:jc w:val="left"/>
      </w:pPr>
      <w:r>
        <w:t>Bahamas</w:t>
      </w:r>
      <w:r>
        <w:rPr>
          <w:vertAlign w:val="superscript"/>
        </w:rPr>
        <w:t>a</w:t>
      </w:r>
    </w:p>
    <w:p w14:paraId="1BE19CAE" w14:textId="77777777" w:rsidR="0096782E" w:rsidRPr="00F517A5" w:rsidRDefault="0096782E" w:rsidP="0096782E">
      <w:pPr>
        <w:pStyle w:val="Para1"/>
        <w:numPr>
          <w:ilvl w:val="0"/>
          <w:numId w:val="0"/>
        </w:numPr>
        <w:spacing w:before="0" w:after="0"/>
        <w:ind w:left="142" w:hanging="142"/>
        <w:jc w:val="left"/>
      </w:pPr>
      <w:r>
        <w:t>Bahrein</w:t>
      </w:r>
      <w:r>
        <w:rPr>
          <w:vertAlign w:val="superscript"/>
        </w:rPr>
        <w:t>a</w:t>
      </w:r>
    </w:p>
    <w:p w14:paraId="39447E3A" w14:textId="77777777" w:rsidR="0096782E" w:rsidRPr="00F517A5" w:rsidRDefault="0096782E" w:rsidP="0096782E">
      <w:pPr>
        <w:pStyle w:val="Para1"/>
        <w:numPr>
          <w:ilvl w:val="0"/>
          <w:numId w:val="0"/>
        </w:numPr>
        <w:spacing w:before="0" w:after="0"/>
        <w:ind w:left="142" w:hanging="142"/>
        <w:jc w:val="left"/>
      </w:pPr>
      <w:r>
        <w:t>Bangladesh</w:t>
      </w:r>
    </w:p>
    <w:p w14:paraId="13AB47B2" w14:textId="77777777" w:rsidR="0096782E" w:rsidRPr="00F517A5" w:rsidRDefault="0096782E" w:rsidP="0096782E">
      <w:pPr>
        <w:pStyle w:val="Para1"/>
        <w:numPr>
          <w:ilvl w:val="0"/>
          <w:numId w:val="0"/>
        </w:numPr>
        <w:spacing w:before="0" w:after="0"/>
        <w:ind w:left="142" w:hanging="142"/>
        <w:jc w:val="left"/>
      </w:pPr>
      <w:r>
        <w:t>Barbados</w:t>
      </w:r>
    </w:p>
    <w:p w14:paraId="2CEA3C3A" w14:textId="77777777" w:rsidR="0096782E" w:rsidRPr="00F517A5" w:rsidRDefault="0096782E" w:rsidP="0096782E">
      <w:pPr>
        <w:pStyle w:val="Para1"/>
        <w:numPr>
          <w:ilvl w:val="0"/>
          <w:numId w:val="0"/>
        </w:numPr>
        <w:spacing w:before="0" w:after="0"/>
        <w:ind w:left="142" w:hanging="142"/>
        <w:jc w:val="left"/>
      </w:pPr>
      <w:r>
        <w:t>Belarús</w:t>
      </w:r>
    </w:p>
    <w:p w14:paraId="31153844" w14:textId="77777777" w:rsidR="0096782E" w:rsidRPr="00F517A5" w:rsidRDefault="0096782E" w:rsidP="0096782E">
      <w:pPr>
        <w:pStyle w:val="Para1"/>
        <w:numPr>
          <w:ilvl w:val="0"/>
          <w:numId w:val="0"/>
        </w:numPr>
        <w:spacing w:before="0" w:after="0"/>
        <w:ind w:left="142" w:hanging="142"/>
        <w:jc w:val="left"/>
      </w:pPr>
      <w:r>
        <w:t>Bélgica</w:t>
      </w:r>
    </w:p>
    <w:p w14:paraId="161C4F37" w14:textId="77777777" w:rsidR="0096782E" w:rsidRPr="00F517A5" w:rsidRDefault="0096782E" w:rsidP="0096782E">
      <w:pPr>
        <w:pStyle w:val="Para1"/>
        <w:numPr>
          <w:ilvl w:val="0"/>
          <w:numId w:val="0"/>
        </w:numPr>
        <w:spacing w:before="0" w:after="0"/>
        <w:ind w:left="142" w:hanging="142"/>
        <w:jc w:val="left"/>
      </w:pPr>
      <w:r>
        <w:t>Belice</w:t>
      </w:r>
      <w:r>
        <w:rPr>
          <w:vertAlign w:val="superscript"/>
        </w:rPr>
        <w:t>a</w:t>
      </w:r>
    </w:p>
    <w:p w14:paraId="5717A188" w14:textId="77777777" w:rsidR="0096782E" w:rsidRPr="00F517A5" w:rsidRDefault="0096782E" w:rsidP="0096782E">
      <w:pPr>
        <w:pStyle w:val="Para1"/>
        <w:numPr>
          <w:ilvl w:val="0"/>
          <w:numId w:val="0"/>
        </w:numPr>
        <w:spacing w:before="0" w:after="0"/>
        <w:ind w:left="142" w:hanging="142"/>
        <w:jc w:val="left"/>
      </w:pPr>
      <w:r>
        <w:t>Benin</w:t>
      </w:r>
    </w:p>
    <w:p w14:paraId="409CD338" w14:textId="77777777" w:rsidR="0096782E" w:rsidRPr="00F517A5" w:rsidRDefault="0096782E" w:rsidP="0096782E">
      <w:pPr>
        <w:pStyle w:val="Para1"/>
        <w:numPr>
          <w:ilvl w:val="0"/>
          <w:numId w:val="0"/>
        </w:numPr>
        <w:spacing w:before="0" w:after="0"/>
        <w:ind w:left="142" w:hanging="142"/>
        <w:jc w:val="left"/>
      </w:pPr>
      <w:r>
        <w:t>Bhután</w:t>
      </w:r>
    </w:p>
    <w:p w14:paraId="5B5FEC00" w14:textId="77777777" w:rsidR="0096782E" w:rsidRPr="00F517A5" w:rsidRDefault="0096782E" w:rsidP="0096782E">
      <w:pPr>
        <w:pStyle w:val="Para1"/>
        <w:numPr>
          <w:ilvl w:val="0"/>
          <w:numId w:val="0"/>
        </w:numPr>
        <w:spacing w:before="0" w:after="0"/>
        <w:ind w:left="142" w:hanging="142"/>
        <w:jc w:val="left"/>
      </w:pPr>
      <w:r>
        <w:t>Bolivia (Estado Plurinacional de)</w:t>
      </w:r>
      <w:r>
        <w:rPr>
          <w:vertAlign w:val="superscript"/>
        </w:rPr>
        <w:t>a</w:t>
      </w:r>
    </w:p>
    <w:p w14:paraId="09EDA1FB" w14:textId="77777777" w:rsidR="0096782E" w:rsidRPr="00F517A5" w:rsidRDefault="0096782E" w:rsidP="0096782E">
      <w:pPr>
        <w:pStyle w:val="Para1"/>
        <w:numPr>
          <w:ilvl w:val="0"/>
          <w:numId w:val="0"/>
        </w:numPr>
        <w:spacing w:before="0" w:after="0"/>
        <w:ind w:left="142" w:hanging="142"/>
        <w:jc w:val="left"/>
      </w:pPr>
      <w:r>
        <w:t>Bosnia y Herzegovina</w:t>
      </w:r>
    </w:p>
    <w:p w14:paraId="7C6BD5D3" w14:textId="77777777" w:rsidR="0096782E" w:rsidRPr="00F517A5" w:rsidRDefault="0096782E" w:rsidP="0096782E">
      <w:pPr>
        <w:pStyle w:val="Para1"/>
        <w:numPr>
          <w:ilvl w:val="0"/>
          <w:numId w:val="0"/>
        </w:numPr>
        <w:spacing w:before="0" w:after="0"/>
        <w:ind w:left="142" w:hanging="142"/>
        <w:jc w:val="left"/>
      </w:pPr>
      <w:r>
        <w:t>Botswana</w:t>
      </w:r>
    </w:p>
    <w:p w14:paraId="4FF6EFF8" w14:textId="77777777" w:rsidR="0096782E" w:rsidRPr="00F517A5" w:rsidRDefault="0096782E" w:rsidP="0096782E">
      <w:pPr>
        <w:pStyle w:val="Para1"/>
        <w:numPr>
          <w:ilvl w:val="0"/>
          <w:numId w:val="0"/>
        </w:numPr>
        <w:spacing w:before="0" w:after="0"/>
        <w:ind w:left="142" w:hanging="142"/>
        <w:jc w:val="left"/>
      </w:pPr>
      <w:r>
        <w:t>Brasil</w:t>
      </w:r>
    </w:p>
    <w:p w14:paraId="4F60E1B9" w14:textId="77777777" w:rsidR="0096782E" w:rsidRPr="00F517A5" w:rsidRDefault="0096782E" w:rsidP="0096782E">
      <w:pPr>
        <w:pStyle w:val="Para1"/>
        <w:numPr>
          <w:ilvl w:val="0"/>
          <w:numId w:val="0"/>
        </w:numPr>
        <w:spacing w:before="0" w:after="0"/>
        <w:ind w:left="142" w:hanging="142"/>
        <w:jc w:val="left"/>
      </w:pPr>
      <w:r>
        <w:t>Bulgaria</w:t>
      </w:r>
    </w:p>
    <w:p w14:paraId="52C04DDF" w14:textId="77777777" w:rsidR="0096782E" w:rsidRPr="00F517A5" w:rsidRDefault="0096782E" w:rsidP="0096782E">
      <w:pPr>
        <w:pStyle w:val="Para1"/>
        <w:numPr>
          <w:ilvl w:val="0"/>
          <w:numId w:val="0"/>
        </w:numPr>
        <w:spacing w:before="0" w:after="0"/>
        <w:ind w:left="142" w:hanging="142"/>
        <w:jc w:val="left"/>
      </w:pPr>
      <w:r>
        <w:t>Burkina Faso</w:t>
      </w:r>
    </w:p>
    <w:p w14:paraId="367851C8" w14:textId="77777777" w:rsidR="0096782E" w:rsidRPr="00F517A5" w:rsidRDefault="0096782E" w:rsidP="0096782E">
      <w:pPr>
        <w:pStyle w:val="Para1"/>
        <w:numPr>
          <w:ilvl w:val="0"/>
          <w:numId w:val="0"/>
        </w:numPr>
        <w:spacing w:before="0" w:after="0"/>
        <w:ind w:left="142" w:hanging="142"/>
        <w:jc w:val="left"/>
      </w:pPr>
      <w:r>
        <w:t>Burundi</w:t>
      </w:r>
    </w:p>
    <w:p w14:paraId="40E64377" w14:textId="77777777" w:rsidR="0096782E" w:rsidRPr="00F517A5" w:rsidRDefault="0096782E" w:rsidP="0096782E">
      <w:pPr>
        <w:pStyle w:val="Para1"/>
        <w:numPr>
          <w:ilvl w:val="0"/>
          <w:numId w:val="0"/>
        </w:numPr>
        <w:spacing w:before="0" w:after="0"/>
        <w:ind w:left="142" w:hanging="142"/>
        <w:jc w:val="left"/>
      </w:pPr>
      <w:r>
        <w:t>Cabo Verde</w:t>
      </w:r>
    </w:p>
    <w:p w14:paraId="5CB715F4" w14:textId="77777777" w:rsidR="0096782E" w:rsidRPr="00F517A5" w:rsidRDefault="0096782E" w:rsidP="0096782E">
      <w:pPr>
        <w:pStyle w:val="Para1"/>
        <w:numPr>
          <w:ilvl w:val="0"/>
          <w:numId w:val="0"/>
        </w:numPr>
        <w:spacing w:before="0" w:after="0"/>
        <w:ind w:left="142" w:hanging="142"/>
        <w:jc w:val="left"/>
      </w:pPr>
      <w:r>
        <w:t>Camboya</w:t>
      </w:r>
    </w:p>
    <w:p w14:paraId="76D216CA" w14:textId="77777777" w:rsidR="0096782E" w:rsidRPr="00F517A5" w:rsidRDefault="0096782E" w:rsidP="0096782E">
      <w:pPr>
        <w:pStyle w:val="Para1"/>
        <w:numPr>
          <w:ilvl w:val="0"/>
          <w:numId w:val="0"/>
        </w:numPr>
        <w:spacing w:before="0" w:after="0"/>
        <w:ind w:left="142" w:hanging="142"/>
        <w:jc w:val="left"/>
      </w:pPr>
      <w:r>
        <w:t>Camerún</w:t>
      </w:r>
    </w:p>
    <w:p w14:paraId="74C14BD3" w14:textId="77777777" w:rsidR="0096782E" w:rsidRPr="00F517A5" w:rsidRDefault="0096782E" w:rsidP="0096782E">
      <w:pPr>
        <w:pStyle w:val="Para1"/>
        <w:numPr>
          <w:ilvl w:val="0"/>
          <w:numId w:val="0"/>
        </w:numPr>
        <w:spacing w:before="0" w:after="0"/>
        <w:ind w:left="142" w:hanging="142"/>
        <w:jc w:val="left"/>
      </w:pPr>
      <w:r>
        <w:t>Chad</w:t>
      </w:r>
    </w:p>
    <w:p w14:paraId="3686D504" w14:textId="77777777" w:rsidR="0096782E" w:rsidRPr="00F517A5" w:rsidRDefault="0096782E" w:rsidP="0096782E">
      <w:pPr>
        <w:pStyle w:val="Para1"/>
        <w:numPr>
          <w:ilvl w:val="0"/>
          <w:numId w:val="0"/>
        </w:numPr>
        <w:spacing w:before="0" w:after="0"/>
        <w:ind w:left="142" w:hanging="142"/>
        <w:jc w:val="left"/>
      </w:pPr>
      <w:r>
        <w:t>Chequia</w:t>
      </w:r>
    </w:p>
    <w:p w14:paraId="6DA6BB90" w14:textId="77777777" w:rsidR="0096782E" w:rsidRPr="00F517A5" w:rsidRDefault="0096782E" w:rsidP="0096782E">
      <w:pPr>
        <w:pStyle w:val="Para1"/>
        <w:numPr>
          <w:ilvl w:val="0"/>
          <w:numId w:val="0"/>
        </w:numPr>
        <w:spacing w:before="0" w:after="0"/>
        <w:ind w:left="142" w:hanging="142"/>
        <w:jc w:val="left"/>
      </w:pPr>
      <w:r>
        <w:t>China</w:t>
      </w:r>
    </w:p>
    <w:p w14:paraId="30767D99" w14:textId="77777777" w:rsidR="0096782E" w:rsidRPr="00F517A5" w:rsidRDefault="0096782E" w:rsidP="0096782E">
      <w:pPr>
        <w:pStyle w:val="Para1"/>
        <w:numPr>
          <w:ilvl w:val="0"/>
          <w:numId w:val="0"/>
        </w:numPr>
        <w:spacing w:before="0" w:after="0"/>
        <w:ind w:left="142" w:hanging="142"/>
        <w:jc w:val="left"/>
      </w:pPr>
      <w:r>
        <w:t>Chipre</w:t>
      </w:r>
      <w:r>
        <w:rPr>
          <w:vertAlign w:val="superscript"/>
        </w:rPr>
        <w:t>a</w:t>
      </w:r>
    </w:p>
    <w:p w14:paraId="4CBD1AD7" w14:textId="77777777" w:rsidR="0096782E" w:rsidRPr="00F517A5" w:rsidRDefault="0096782E" w:rsidP="0096782E">
      <w:pPr>
        <w:pStyle w:val="Para1"/>
        <w:numPr>
          <w:ilvl w:val="0"/>
          <w:numId w:val="0"/>
        </w:numPr>
        <w:spacing w:before="0" w:after="0"/>
        <w:ind w:left="142" w:hanging="142"/>
        <w:jc w:val="left"/>
      </w:pPr>
      <w:r>
        <w:t>Colombia</w:t>
      </w:r>
    </w:p>
    <w:p w14:paraId="0DBB9628" w14:textId="77777777" w:rsidR="0096782E" w:rsidRPr="00F517A5" w:rsidRDefault="0096782E" w:rsidP="0096782E">
      <w:pPr>
        <w:pStyle w:val="Para1"/>
        <w:numPr>
          <w:ilvl w:val="0"/>
          <w:numId w:val="0"/>
        </w:numPr>
        <w:spacing w:before="0" w:after="0"/>
        <w:ind w:left="142" w:hanging="142"/>
        <w:jc w:val="left"/>
      </w:pPr>
      <w:r>
        <w:t>Comoras</w:t>
      </w:r>
    </w:p>
    <w:p w14:paraId="707C2D28" w14:textId="77777777" w:rsidR="0096782E" w:rsidRPr="00F517A5" w:rsidRDefault="0096782E" w:rsidP="0096782E">
      <w:pPr>
        <w:pStyle w:val="Para1"/>
        <w:numPr>
          <w:ilvl w:val="0"/>
          <w:numId w:val="0"/>
        </w:numPr>
        <w:spacing w:before="0" w:after="0"/>
        <w:ind w:left="142" w:hanging="142"/>
        <w:jc w:val="left"/>
      </w:pPr>
      <w:r>
        <w:t>Congo</w:t>
      </w:r>
      <w:r>
        <w:rPr>
          <w:vertAlign w:val="superscript"/>
        </w:rPr>
        <w:t>a</w:t>
      </w:r>
    </w:p>
    <w:p w14:paraId="66DD5350" w14:textId="77777777" w:rsidR="0096782E" w:rsidRPr="00F517A5" w:rsidRDefault="0096782E" w:rsidP="0096782E">
      <w:pPr>
        <w:pStyle w:val="Para1"/>
        <w:numPr>
          <w:ilvl w:val="0"/>
          <w:numId w:val="0"/>
        </w:numPr>
        <w:spacing w:before="0" w:after="0"/>
        <w:ind w:left="142" w:hanging="142"/>
        <w:jc w:val="left"/>
      </w:pPr>
      <w:r>
        <w:t>Costa Rica</w:t>
      </w:r>
    </w:p>
    <w:p w14:paraId="53D20099" w14:textId="77777777" w:rsidR="0096782E" w:rsidRPr="00F517A5" w:rsidRDefault="0096782E" w:rsidP="0096782E">
      <w:pPr>
        <w:pStyle w:val="Para1"/>
        <w:numPr>
          <w:ilvl w:val="0"/>
          <w:numId w:val="0"/>
        </w:numPr>
        <w:spacing w:before="0" w:after="0"/>
        <w:ind w:left="142" w:hanging="142"/>
        <w:jc w:val="left"/>
      </w:pPr>
      <w:r>
        <w:t>Côte d’Ivoire</w:t>
      </w:r>
    </w:p>
    <w:p w14:paraId="3A6DD3EF" w14:textId="77777777" w:rsidR="0096782E" w:rsidRPr="00F517A5" w:rsidRDefault="0096782E" w:rsidP="0096782E">
      <w:pPr>
        <w:pStyle w:val="Para1"/>
        <w:numPr>
          <w:ilvl w:val="0"/>
          <w:numId w:val="0"/>
        </w:numPr>
        <w:spacing w:before="0" w:after="0"/>
        <w:ind w:left="142" w:hanging="142"/>
        <w:jc w:val="left"/>
      </w:pPr>
      <w:r>
        <w:t>Croacia</w:t>
      </w:r>
    </w:p>
    <w:p w14:paraId="22685650" w14:textId="77777777" w:rsidR="0096782E" w:rsidRPr="00F517A5" w:rsidRDefault="0096782E" w:rsidP="0096782E">
      <w:pPr>
        <w:pStyle w:val="Para1"/>
        <w:numPr>
          <w:ilvl w:val="0"/>
          <w:numId w:val="0"/>
        </w:numPr>
        <w:spacing w:before="0" w:after="0"/>
        <w:ind w:left="142" w:hanging="142"/>
        <w:jc w:val="left"/>
      </w:pPr>
      <w:r>
        <w:t>Cuba</w:t>
      </w:r>
    </w:p>
    <w:p w14:paraId="17C3F06A" w14:textId="77777777" w:rsidR="0096782E" w:rsidRPr="00F517A5" w:rsidRDefault="0096782E" w:rsidP="0096782E">
      <w:pPr>
        <w:pStyle w:val="Para1"/>
        <w:numPr>
          <w:ilvl w:val="0"/>
          <w:numId w:val="0"/>
        </w:numPr>
        <w:spacing w:before="0" w:after="0"/>
        <w:ind w:left="142" w:hanging="142"/>
        <w:jc w:val="left"/>
      </w:pPr>
      <w:r>
        <w:t>Dinamarca</w:t>
      </w:r>
    </w:p>
    <w:p w14:paraId="52EAD292" w14:textId="77777777" w:rsidR="0096782E" w:rsidRPr="00F517A5" w:rsidRDefault="0096782E" w:rsidP="0096782E">
      <w:pPr>
        <w:pStyle w:val="Para1"/>
        <w:numPr>
          <w:ilvl w:val="0"/>
          <w:numId w:val="0"/>
        </w:numPr>
        <w:spacing w:before="0" w:after="0"/>
        <w:ind w:left="142" w:hanging="142"/>
        <w:jc w:val="left"/>
      </w:pPr>
      <w:r>
        <w:t>Djibouti</w:t>
      </w:r>
    </w:p>
    <w:p w14:paraId="159D107F" w14:textId="77777777" w:rsidR="0096782E" w:rsidRPr="00F517A5" w:rsidRDefault="0096782E" w:rsidP="0096782E">
      <w:pPr>
        <w:pStyle w:val="Para1"/>
        <w:numPr>
          <w:ilvl w:val="0"/>
          <w:numId w:val="0"/>
        </w:numPr>
        <w:spacing w:before="0" w:after="0"/>
        <w:ind w:left="142" w:hanging="142"/>
        <w:jc w:val="left"/>
      </w:pPr>
      <w:r>
        <w:t>Dominica</w:t>
      </w:r>
      <w:r>
        <w:rPr>
          <w:vertAlign w:val="superscript"/>
        </w:rPr>
        <w:t>a</w:t>
      </w:r>
    </w:p>
    <w:p w14:paraId="458E895D" w14:textId="77777777" w:rsidR="0096782E" w:rsidRPr="00F517A5" w:rsidRDefault="0096782E" w:rsidP="0096782E">
      <w:pPr>
        <w:pStyle w:val="Para1"/>
        <w:numPr>
          <w:ilvl w:val="0"/>
          <w:numId w:val="0"/>
        </w:numPr>
        <w:spacing w:before="0" w:after="0"/>
        <w:ind w:left="142" w:hanging="142"/>
        <w:jc w:val="left"/>
      </w:pPr>
      <w:r>
        <w:t>Ecuador</w:t>
      </w:r>
      <w:r>
        <w:rPr>
          <w:vertAlign w:val="superscript"/>
        </w:rPr>
        <w:t>a</w:t>
      </w:r>
    </w:p>
    <w:p w14:paraId="08389B97" w14:textId="77777777" w:rsidR="0096782E" w:rsidRPr="00F517A5" w:rsidRDefault="0096782E" w:rsidP="0096782E">
      <w:pPr>
        <w:pStyle w:val="Para1"/>
        <w:numPr>
          <w:ilvl w:val="0"/>
          <w:numId w:val="0"/>
        </w:numPr>
        <w:spacing w:before="0" w:after="0"/>
        <w:ind w:left="142" w:hanging="142"/>
        <w:jc w:val="left"/>
      </w:pPr>
      <w:r>
        <w:t>Egipto</w:t>
      </w:r>
    </w:p>
    <w:p w14:paraId="7EB5AB6C" w14:textId="77777777" w:rsidR="0096782E" w:rsidRPr="00F517A5" w:rsidRDefault="0096782E" w:rsidP="0096782E">
      <w:pPr>
        <w:pStyle w:val="Para1"/>
        <w:numPr>
          <w:ilvl w:val="0"/>
          <w:numId w:val="0"/>
        </w:numPr>
        <w:spacing w:before="0" w:after="0"/>
        <w:ind w:left="142" w:hanging="142"/>
        <w:jc w:val="left"/>
      </w:pPr>
      <w:r>
        <w:t>El Salvador</w:t>
      </w:r>
      <w:r>
        <w:rPr>
          <w:vertAlign w:val="superscript"/>
        </w:rPr>
        <w:t>a</w:t>
      </w:r>
    </w:p>
    <w:p w14:paraId="1A7E3796" w14:textId="77777777" w:rsidR="0096782E" w:rsidRPr="00F517A5" w:rsidRDefault="0096782E" w:rsidP="0096782E">
      <w:pPr>
        <w:pStyle w:val="Para1"/>
        <w:numPr>
          <w:ilvl w:val="0"/>
          <w:numId w:val="0"/>
        </w:numPr>
        <w:spacing w:before="0" w:after="0"/>
        <w:ind w:left="142" w:hanging="142"/>
        <w:jc w:val="left"/>
      </w:pPr>
      <w:r>
        <w:t>Emiratos Árabes Unidos</w:t>
      </w:r>
    </w:p>
    <w:p w14:paraId="772737F3" w14:textId="77777777" w:rsidR="0096782E" w:rsidRPr="00F517A5" w:rsidRDefault="0096782E" w:rsidP="0096782E">
      <w:pPr>
        <w:pStyle w:val="Para1"/>
        <w:numPr>
          <w:ilvl w:val="0"/>
          <w:numId w:val="0"/>
        </w:numPr>
        <w:spacing w:before="0" w:after="0"/>
        <w:ind w:left="142" w:hanging="142"/>
        <w:jc w:val="left"/>
      </w:pPr>
      <w:r>
        <w:t>Eritrea</w:t>
      </w:r>
    </w:p>
    <w:p w14:paraId="369A69E7" w14:textId="77777777" w:rsidR="0096782E" w:rsidRPr="00F517A5" w:rsidRDefault="0096782E" w:rsidP="0096782E">
      <w:pPr>
        <w:pStyle w:val="Para1"/>
        <w:numPr>
          <w:ilvl w:val="0"/>
          <w:numId w:val="0"/>
        </w:numPr>
        <w:spacing w:before="0" w:after="0"/>
        <w:ind w:left="142" w:hanging="142"/>
        <w:jc w:val="left"/>
      </w:pPr>
      <w:r>
        <w:t>Eslovaquia</w:t>
      </w:r>
    </w:p>
    <w:p w14:paraId="5CDD89E0" w14:textId="77777777" w:rsidR="0096782E" w:rsidRPr="00F517A5" w:rsidRDefault="0096782E" w:rsidP="0096782E">
      <w:pPr>
        <w:pStyle w:val="Para1"/>
        <w:numPr>
          <w:ilvl w:val="0"/>
          <w:numId w:val="0"/>
        </w:numPr>
        <w:spacing w:before="0" w:after="0"/>
        <w:ind w:left="142" w:hanging="142"/>
        <w:jc w:val="left"/>
      </w:pPr>
      <w:r>
        <w:t>Eslovenia</w:t>
      </w:r>
    </w:p>
    <w:p w14:paraId="39FF30BD" w14:textId="77777777" w:rsidR="0096782E" w:rsidRPr="00F517A5" w:rsidRDefault="0096782E" w:rsidP="0096782E">
      <w:pPr>
        <w:pStyle w:val="Para1"/>
        <w:numPr>
          <w:ilvl w:val="0"/>
          <w:numId w:val="0"/>
        </w:numPr>
        <w:spacing w:before="0" w:after="0"/>
        <w:ind w:left="142" w:hanging="142"/>
        <w:jc w:val="left"/>
      </w:pPr>
      <w:r>
        <w:t>España</w:t>
      </w:r>
    </w:p>
    <w:p w14:paraId="0DFD9EC0" w14:textId="77777777" w:rsidR="0096782E" w:rsidRPr="00F517A5" w:rsidRDefault="0096782E" w:rsidP="0096782E">
      <w:pPr>
        <w:pStyle w:val="Para1"/>
        <w:numPr>
          <w:ilvl w:val="0"/>
          <w:numId w:val="0"/>
        </w:numPr>
        <w:spacing w:before="0" w:after="0"/>
        <w:ind w:left="142" w:hanging="142"/>
        <w:jc w:val="left"/>
      </w:pPr>
      <w:r>
        <w:t>Estado de Palestina</w:t>
      </w:r>
    </w:p>
    <w:p w14:paraId="55BFE84B" w14:textId="77777777" w:rsidR="0096782E" w:rsidRPr="00F517A5" w:rsidRDefault="0096782E" w:rsidP="0096782E">
      <w:pPr>
        <w:pStyle w:val="Para1"/>
        <w:numPr>
          <w:ilvl w:val="0"/>
          <w:numId w:val="0"/>
        </w:numPr>
        <w:spacing w:before="0" w:after="0"/>
        <w:ind w:left="142" w:hanging="142"/>
        <w:jc w:val="left"/>
      </w:pPr>
      <w:r>
        <w:t>Estonia</w:t>
      </w:r>
    </w:p>
    <w:p w14:paraId="3E3F5618" w14:textId="77777777" w:rsidR="0096782E" w:rsidRPr="00F517A5" w:rsidRDefault="0096782E" w:rsidP="0096782E">
      <w:pPr>
        <w:pStyle w:val="Para1"/>
        <w:numPr>
          <w:ilvl w:val="0"/>
          <w:numId w:val="0"/>
        </w:numPr>
        <w:spacing w:before="0" w:after="0"/>
        <w:ind w:left="142" w:hanging="142"/>
        <w:jc w:val="left"/>
      </w:pPr>
      <w:r>
        <w:t>Eswatini</w:t>
      </w:r>
    </w:p>
    <w:p w14:paraId="1ED6B02F" w14:textId="77777777" w:rsidR="0096782E" w:rsidRPr="00F517A5" w:rsidRDefault="0096782E" w:rsidP="0096782E">
      <w:pPr>
        <w:pStyle w:val="Para1"/>
        <w:numPr>
          <w:ilvl w:val="0"/>
          <w:numId w:val="0"/>
        </w:numPr>
        <w:spacing w:before="0" w:after="0"/>
        <w:ind w:left="142" w:hanging="142"/>
        <w:jc w:val="left"/>
      </w:pPr>
      <w:r>
        <w:t>Etiopía</w:t>
      </w:r>
    </w:p>
    <w:p w14:paraId="2D31D045" w14:textId="77777777" w:rsidR="0096782E" w:rsidRPr="00F517A5" w:rsidRDefault="0096782E" w:rsidP="0096782E">
      <w:pPr>
        <w:pStyle w:val="Para1"/>
        <w:numPr>
          <w:ilvl w:val="0"/>
          <w:numId w:val="0"/>
        </w:numPr>
        <w:spacing w:before="0" w:after="0"/>
        <w:ind w:left="142" w:hanging="142"/>
        <w:jc w:val="left"/>
      </w:pPr>
      <w:r>
        <w:t>Fiji</w:t>
      </w:r>
    </w:p>
    <w:p w14:paraId="6B0FAEB2" w14:textId="77777777" w:rsidR="0096782E" w:rsidRPr="00F517A5" w:rsidRDefault="0096782E" w:rsidP="0096782E">
      <w:pPr>
        <w:pStyle w:val="Para1"/>
        <w:numPr>
          <w:ilvl w:val="0"/>
          <w:numId w:val="0"/>
        </w:numPr>
        <w:spacing w:before="0" w:after="0"/>
        <w:ind w:left="142" w:hanging="142"/>
        <w:jc w:val="left"/>
      </w:pPr>
      <w:r>
        <w:t>Filipinas</w:t>
      </w:r>
    </w:p>
    <w:p w14:paraId="53ADD561" w14:textId="77777777" w:rsidR="0096782E" w:rsidRPr="00F517A5" w:rsidRDefault="0096782E" w:rsidP="0096782E">
      <w:pPr>
        <w:pStyle w:val="Para1"/>
        <w:numPr>
          <w:ilvl w:val="0"/>
          <w:numId w:val="0"/>
        </w:numPr>
        <w:spacing w:before="0" w:after="0"/>
        <w:ind w:left="142" w:hanging="142"/>
        <w:jc w:val="left"/>
      </w:pPr>
      <w:r>
        <w:t>Finlandia</w:t>
      </w:r>
    </w:p>
    <w:p w14:paraId="4EDFC7AC" w14:textId="77777777" w:rsidR="0096782E" w:rsidRPr="00F517A5" w:rsidRDefault="0096782E" w:rsidP="0096782E">
      <w:pPr>
        <w:pStyle w:val="Para1"/>
        <w:numPr>
          <w:ilvl w:val="0"/>
          <w:numId w:val="0"/>
        </w:numPr>
        <w:spacing w:before="0" w:after="0"/>
        <w:ind w:left="142" w:hanging="142"/>
        <w:jc w:val="left"/>
      </w:pPr>
      <w:r>
        <w:t>Francia</w:t>
      </w:r>
    </w:p>
    <w:p w14:paraId="79FBFEBA" w14:textId="77777777" w:rsidR="0096782E" w:rsidRPr="00F517A5" w:rsidRDefault="0096782E" w:rsidP="0096782E">
      <w:pPr>
        <w:pStyle w:val="Para1"/>
        <w:numPr>
          <w:ilvl w:val="0"/>
          <w:numId w:val="0"/>
        </w:numPr>
        <w:spacing w:before="0" w:after="0"/>
        <w:ind w:left="142" w:hanging="142"/>
        <w:jc w:val="left"/>
      </w:pPr>
      <w:r>
        <w:t>Gabón</w:t>
      </w:r>
    </w:p>
    <w:p w14:paraId="53681F54" w14:textId="77777777" w:rsidR="0096782E" w:rsidRPr="00F517A5" w:rsidRDefault="0096782E" w:rsidP="0096782E">
      <w:pPr>
        <w:pStyle w:val="Para1"/>
        <w:numPr>
          <w:ilvl w:val="0"/>
          <w:numId w:val="0"/>
        </w:numPr>
        <w:spacing w:before="0" w:after="0"/>
        <w:ind w:left="142" w:hanging="142"/>
        <w:jc w:val="left"/>
      </w:pPr>
      <w:r>
        <w:t>Gambia</w:t>
      </w:r>
    </w:p>
    <w:p w14:paraId="5C86B9CC" w14:textId="77777777" w:rsidR="0096782E" w:rsidRPr="00F517A5" w:rsidRDefault="0096782E" w:rsidP="0096782E">
      <w:pPr>
        <w:pStyle w:val="Para1"/>
        <w:numPr>
          <w:ilvl w:val="0"/>
          <w:numId w:val="0"/>
        </w:numPr>
        <w:spacing w:before="0" w:after="0"/>
        <w:ind w:left="142" w:hanging="142"/>
        <w:jc w:val="left"/>
      </w:pPr>
      <w:r>
        <w:t>Georgia</w:t>
      </w:r>
    </w:p>
    <w:p w14:paraId="3792B09C" w14:textId="77777777" w:rsidR="0096782E" w:rsidRPr="00F517A5" w:rsidRDefault="0096782E" w:rsidP="0096782E">
      <w:pPr>
        <w:pStyle w:val="Para1"/>
        <w:numPr>
          <w:ilvl w:val="0"/>
          <w:numId w:val="0"/>
        </w:numPr>
        <w:spacing w:before="0" w:after="0"/>
        <w:ind w:left="142" w:hanging="142"/>
        <w:jc w:val="left"/>
      </w:pPr>
      <w:r>
        <w:t>Ghana</w:t>
      </w:r>
    </w:p>
    <w:p w14:paraId="118E20EC" w14:textId="77777777" w:rsidR="0096782E" w:rsidRPr="00F517A5" w:rsidRDefault="0096782E" w:rsidP="0096782E">
      <w:pPr>
        <w:pStyle w:val="Para1"/>
        <w:numPr>
          <w:ilvl w:val="0"/>
          <w:numId w:val="0"/>
        </w:numPr>
        <w:spacing w:before="0" w:after="0"/>
        <w:ind w:left="142" w:hanging="142"/>
        <w:jc w:val="left"/>
      </w:pPr>
      <w:r>
        <w:t>Granada</w:t>
      </w:r>
    </w:p>
    <w:p w14:paraId="1491C5D2" w14:textId="77777777" w:rsidR="0096782E" w:rsidRPr="00F517A5" w:rsidRDefault="0096782E" w:rsidP="0096782E">
      <w:pPr>
        <w:pStyle w:val="Para1"/>
        <w:numPr>
          <w:ilvl w:val="0"/>
          <w:numId w:val="0"/>
        </w:numPr>
        <w:spacing w:before="0" w:after="0"/>
        <w:ind w:left="142" w:hanging="142"/>
        <w:jc w:val="left"/>
      </w:pPr>
      <w:r>
        <w:t>Grecia</w:t>
      </w:r>
    </w:p>
    <w:p w14:paraId="375EB2BA" w14:textId="77777777" w:rsidR="0096782E" w:rsidRPr="00F517A5" w:rsidRDefault="0096782E" w:rsidP="0096782E">
      <w:pPr>
        <w:pStyle w:val="Para1"/>
        <w:numPr>
          <w:ilvl w:val="0"/>
          <w:numId w:val="0"/>
        </w:numPr>
        <w:spacing w:before="0" w:after="0"/>
        <w:ind w:left="142" w:hanging="142"/>
        <w:jc w:val="left"/>
      </w:pPr>
      <w:r>
        <w:t>Guatemala</w:t>
      </w:r>
    </w:p>
    <w:p w14:paraId="46FB4E34" w14:textId="77777777" w:rsidR="0096782E" w:rsidRPr="00F517A5" w:rsidRDefault="0096782E" w:rsidP="0096782E">
      <w:pPr>
        <w:pStyle w:val="Para1"/>
        <w:numPr>
          <w:ilvl w:val="0"/>
          <w:numId w:val="0"/>
        </w:numPr>
        <w:spacing w:before="0" w:after="0"/>
        <w:ind w:left="142" w:hanging="142"/>
        <w:jc w:val="left"/>
      </w:pPr>
      <w:r>
        <w:lastRenderedPageBreak/>
        <w:t>Guinea</w:t>
      </w:r>
      <w:r>
        <w:rPr>
          <w:vertAlign w:val="superscript"/>
        </w:rPr>
        <w:t>a</w:t>
      </w:r>
    </w:p>
    <w:p w14:paraId="31F4096B" w14:textId="77777777" w:rsidR="0096782E" w:rsidRPr="00F517A5" w:rsidRDefault="0096782E" w:rsidP="0096782E">
      <w:pPr>
        <w:pStyle w:val="Para1"/>
        <w:numPr>
          <w:ilvl w:val="0"/>
          <w:numId w:val="0"/>
        </w:numPr>
        <w:spacing w:before="0" w:after="0"/>
        <w:ind w:left="142" w:hanging="142"/>
        <w:jc w:val="left"/>
      </w:pPr>
      <w:r>
        <w:t>Guinea-Bissau</w:t>
      </w:r>
    </w:p>
    <w:p w14:paraId="7A1A1041" w14:textId="77777777" w:rsidR="0096782E" w:rsidRPr="00F517A5" w:rsidRDefault="0096782E" w:rsidP="0096782E">
      <w:pPr>
        <w:pStyle w:val="Para1"/>
        <w:numPr>
          <w:ilvl w:val="0"/>
          <w:numId w:val="0"/>
        </w:numPr>
        <w:spacing w:before="0" w:after="0"/>
        <w:ind w:left="142" w:hanging="142"/>
        <w:jc w:val="left"/>
      </w:pPr>
      <w:r>
        <w:t>Guyana</w:t>
      </w:r>
      <w:r>
        <w:rPr>
          <w:vertAlign w:val="superscript"/>
        </w:rPr>
        <w:t>a</w:t>
      </w:r>
    </w:p>
    <w:p w14:paraId="54EE8B44" w14:textId="77777777" w:rsidR="0096782E" w:rsidRPr="00F517A5" w:rsidRDefault="0096782E" w:rsidP="0096782E">
      <w:pPr>
        <w:pStyle w:val="Para1"/>
        <w:numPr>
          <w:ilvl w:val="0"/>
          <w:numId w:val="0"/>
        </w:numPr>
        <w:spacing w:before="0" w:after="0"/>
        <w:ind w:left="142" w:hanging="142"/>
        <w:jc w:val="left"/>
      </w:pPr>
      <w:r>
        <w:t>Honduras</w:t>
      </w:r>
      <w:r>
        <w:rPr>
          <w:vertAlign w:val="superscript"/>
        </w:rPr>
        <w:t>a</w:t>
      </w:r>
    </w:p>
    <w:p w14:paraId="5E61A111" w14:textId="77777777" w:rsidR="0096782E" w:rsidRPr="00F517A5" w:rsidRDefault="0096782E" w:rsidP="0096782E">
      <w:pPr>
        <w:pStyle w:val="Para1"/>
        <w:numPr>
          <w:ilvl w:val="0"/>
          <w:numId w:val="0"/>
        </w:numPr>
        <w:spacing w:before="0" w:after="0"/>
        <w:ind w:left="142" w:hanging="142"/>
        <w:jc w:val="left"/>
      </w:pPr>
      <w:r>
        <w:t>Hungría</w:t>
      </w:r>
    </w:p>
    <w:p w14:paraId="626D028F" w14:textId="77777777" w:rsidR="0096782E" w:rsidRPr="00F517A5" w:rsidRDefault="0096782E" w:rsidP="0096782E">
      <w:pPr>
        <w:pStyle w:val="Para1"/>
        <w:numPr>
          <w:ilvl w:val="0"/>
          <w:numId w:val="0"/>
        </w:numPr>
        <w:spacing w:before="0" w:after="0"/>
        <w:ind w:left="142" w:hanging="142"/>
        <w:jc w:val="left"/>
      </w:pPr>
      <w:r>
        <w:t>India</w:t>
      </w:r>
    </w:p>
    <w:p w14:paraId="0B080BAF" w14:textId="77777777" w:rsidR="0096782E" w:rsidRPr="00F517A5" w:rsidRDefault="0096782E" w:rsidP="0096782E">
      <w:pPr>
        <w:pStyle w:val="Para1"/>
        <w:numPr>
          <w:ilvl w:val="0"/>
          <w:numId w:val="0"/>
        </w:numPr>
        <w:spacing w:before="0" w:after="0"/>
        <w:ind w:left="142" w:hanging="142"/>
        <w:jc w:val="left"/>
      </w:pPr>
      <w:r>
        <w:t>Indonesia</w:t>
      </w:r>
    </w:p>
    <w:p w14:paraId="4EB4E2FC" w14:textId="77777777" w:rsidR="0096782E" w:rsidRPr="00F517A5" w:rsidRDefault="0096782E" w:rsidP="0096782E">
      <w:pPr>
        <w:pStyle w:val="Para1"/>
        <w:numPr>
          <w:ilvl w:val="0"/>
          <w:numId w:val="0"/>
        </w:numPr>
        <w:spacing w:before="0" w:after="0"/>
        <w:ind w:left="142" w:hanging="142"/>
        <w:jc w:val="left"/>
      </w:pPr>
      <w:r>
        <w:t>Irán (República Islámica del)</w:t>
      </w:r>
    </w:p>
    <w:p w14:paraId="0C74B00C" w14:textId="77777777" w:rsidR="0096782E" w:rsidRPr="00F517A5" w:rsidRDefault="0096782E" w:rsidP="0096782E">
      <w:pPr>
        <w:pStyle w:val="Para1"/>
        <w:numPr>
          <w:ilvl w:val="0"/>
          <w:numId w:val="0"/>
        </w:numPr>
        <w:spacing w:before="0" w:after="0"/>
        <w:ind w:left="142" w:hanging="142"/>
        <w:jc w:val="left"/>
      </w:pPr>
      <w:r>
        <w:t>Iraq</w:t>
      </w:r>
      <w:r>
        <w:rPr>
          <w:vertAlign w:val="superscript"/>
        </w:rPr>
        <w:t>b</w:t>
      </w:r>
    </w:p>
    <w:p w14:paraId="73926F4F" w14:textId="77777777" w:rsidR="0096782E" w:rsidRPr="00F517A5" w:rsidRDefault="0096782E" w:rsidP="0096782E">
      <w:pPr>
        <w:pStyle w:val="Para1"/>
        <w:numPr>
          <w:ilvl w:val="0"/>
          <w:numId w:val="0"/>
        </w:numPr>
        <w:spacing w:before="0" w:after="0"/>
        <w:ind w:left="142" w:hanging="142"/>
        <w:jc w:val="left"/>
      </w:pPr>
      <w:r>
        <w:t>Irlanda</w:t>
      </w:r>
    </w:p>
    <w:p w14:paraId="53C51752" w14:textId="77777777" w:rsidR="0096782E" w:rsidRPr="00F517A5" w:rsidRDefault="0096782E" w:rsidP="0096782E">
      <w:pPr>
        <w:pStyle w:val="Para1"/>
        <w:numPr>
          <w:ilvl w:val="0"/>
          <w:numId w:val="0"/>
        </w:numPr>
        <w:spacing w:before="0" w:after="0"/>
        <w:ind w:left="142" w:hanging="142"/>
        <w:jc w:val="left"/>
      </w:pPr>
      <w:r>
        <w:t>Islas Marshall</w:t>
      </w:r>
    </w:p>
    <w:p w14:paraId="4B1C74BD" w14:textId="77777777" w:rsidR="0096782E" w:rsidRPr="00F517A5" w:rsidRDefault="0096782E" w:rsidP="0096782E">
      <w:pPr>
        <w:pStyle w:val="Para1"/>
        <w:numPr>
          <w:ilvl w:val="0"/>
          <w:numId w:val="0"/>
        </w:numPr>
        <w:spacing w:before="0" w:after="0"/>
        <w:ind w:left="142" w:hanging="142"/>
        <w:jc w:val="left"/>
      </w:pPr>
      <w:r>
        <w:t>Islas Salomón</w:t>
      </w:r>
      <w:r>
        <w:rPr>
          <w:vertAlign w:val="superscript"/>
        </w:rPr>
        <w:t>a</w:t>
      </w:r>
    </w:p>
    <w:p w14:paraId="1DB7493C" w14:textId="77777777" w:rsidR="0096782E" w:rsidRPr="00F517A5" w:rsidRDefault="0096782E" w:rsidP="0096782E">
      <w:pPr>
        <w:pStyle w:val="Para1"/>
        <w:numPr>
          <w:ilvl w:val="0"/>
          <w:numId w:val="0"/>
        </w:numPr>
        <w:spacing w:before="0" w:after="0"/>
        <w:ind w:left="142" w:hanging="142"/>
        <w:jc w:val="left"/>
      </w:pPr>
      <w:r>
        <w:t>Israel</w:t>
      </w:r>
      <w:r>
        <w:rPr>
          <w:vertAlign w:val="superscript"/>
        </w:rPr>
        <w:t>a</w:t>
      </w:r>
    </w:p>
    <w:p w14:paraId="1B813CB8" w14:textId="77777777" w:rsidR="0096782E" w:rsidRPr="00F517A5" w:rsidRDefault="0096782E" w:rsidP="0096782E">
      <w:pPr>
        <w:pStyle w:val="Para1"/>
        <w:numPr>
          <w:ilvl w:val="0"/>
          <w:numId w:val="0"/>
        </w:numPr>
        <w:spacing w:before="0" w:after="0"/>
        <w:ind w:left="142" w:hanging="142"/>
        <w:jc w:val="left"/>
      </w:pPr>
      <w:r>
        <w:t>Italia</w:t>
      </w:r>
    </w:p>
    <w:p w14:paraId="480321FB" w14:textId="77777777" w:rsidR="0096782E" w:rsidRPr="00F517A5" w:rsidRDefault="0096782E" w:rsidP="0096782E">
      <w:pPr>
        <w:pStyle w:val="Para1"/>
        <w:numPr>
          <w:ilvl w:val="0"/>
          <w:numId w:val="0"/>
        </w:numPr>
        <w:spacing w:before="0" w:after="0"/>
        <w:ind w:left="142" w:hanging="142"/>
        <w:jc w:val="left"/>
      </w:pPr>
      <w:r>
        <w:t>Jamaica</w:t>
      </w:r>
    </w:p>
    <w:p w14:paraId="3B3B6A6F" w14:textId="77777777" w:rsidR="0096782E" w:rsidRPr="00F517A5" w:rsidRDefault="0096782E" w:rsidP="0096782E">
      <w:pPr>
        <w:pStyle w:val="Para1"/>
        <w:numPr>
          <w:ilvl w:val="0"/>
          <w:numId w:val="0"/>
        </w:numPr>
        <w:spacing w:before="0" w:after="0"/>
        <w:ind w:left="142" w:hanging="142"/>
        <w:jc w:val="left"/>
      </w:pPr>
      <w:r>
        <w:t>Japón</w:t>
      </w:r>
    </w:p>
    <w:p w14:paraId="716EEC67" w14:textId="77777777" w:rsidR="0096782E" w:rsidRPr="00F517A5" w:rsidRDefault="0096782E" w:rsidP="0096782E">
      <w:pPr>
        <w:pStyle w:val="Para1"/>
        <w:numPr>
          <w:ilvl w:val="0"/>
          <w:numId w:val="0"/>
        </w:numPr>
        <w:spacing w:before="0" w:after="0"/>
        <w:ind w:left="142" w:hanging="142"/>
        <w:jc w:val="left"/>
      </w:pPr>
      <w:r>
        <w:t>Jordania</w:t>
      </w:r>
    </w:p>
    <w:p w14:paraId="47702194" w14:textId="77777777" w:rsidR="0096782E" w:rsidRPr="00F517A5" w:rsidRDefault="0096782E" w:rsidP="0096782E">
      <w:pPr>
        <w:pStyle w:val="Para1"/>
        <w:numPr>
          <w:ilvl w:val="0"/>
          <w:numId w:val="0"/>
        </w:numPr>
        <w:spacing w:before="0" w:after="0"/>
        <w:ind w:left="142" w:hanging="142"/>
        <w:jc w:val="left"/>
      </w:pPr>
      <w:r>
        <w:t>Kazajstán</w:t>
      </w:r>
      <w:r>
        <w:rPr>
          <w:vertAlign w:val="superscript"/>
        </w:rPr>
        <w:t>a</w:t>
      </w:r>
    </w:p>
    <w:p w14:paraId="33C515D7" w14:textId="77777777" w:rsidR="0096782E" w:rsidRPr="00F517A5" w:rsidRDefault="0096782E" w:rsidP="0096782E">
      <w:pPr>
        <w:pStyle w:val="Para1"/>
        <w:numPr>
          <w:ilvl w:val="0"/>
          <w:numId w:val="0"/>
        </w:numPr>
        <w:spacing w:before="0" w:after="0"/>
        <w:ind w:left="142" w:hanging="142"/>
        <w:jc w:val="left"/>
      </w:pPr>
      <w:r>
        <w:t>Kenya</w:t>
      </w:r>
    </w:p>
    <w:p w14:paraId="2AE3A23D" w14:textId="77777777" w:rsidR="0096782E" w:rsidRPr="00F517A5" w:rsidRDefault="0096782E" w:rsidP="0096782E">
      <w:pPr>
        <w:pStyle w:val="Para1"/>
        <w:numPr>
          <w:ilvl w:val="0"/>
          <w:numId w:val="0"/>
        </w:numPr>
        <w:spacing w:before="0" w:after="0"/>
        <w:ind w:left="142" w:hanging="142"/>
        <w:jc w:val="left"/>
      </w:pPr>
      <w:r>
        <w:t>Kirguistán</w:t>
      </w:r>
      <w:r>
        <w:rPr>
          <w:vertAlign w:val="superscript"/>
        </w:rPr>
        <w:t>a</w:t>
      </w:r>
    </w:p>
    <w:p w14:paraId="79D3BC6C" w14:textId="77777777" w:rsidR="0096782E" w:rsidRPr="00F517A5" w:rsidRDefault="0096782E" w:rsidP="0096782E">
      <w:pPr>
        <w:pStyle w:val="Para1"/>
        <w:numPr>
          <w:ilvl w:val="0"/>
          <w:numId w:val="0"/>
        </w:numPr>
        <w:spacing w:before="0" w:after="0"/>
        <w:ind w:left="142" w:hanging="142"/>
        <w:jc w:val="left"/>
      </w:pPr>
      <w:r>
        <w:t>Kiribati</w:t>
      </w:r>
    </w:p>
    <w:p w14:paraId="4AF07943" w14:textId="77777777" w:rsidR="0096782E" w:rsidRPr="00F517A5" w:rsidRDefault="0096782E" w:rsidP="0096782E">
      <w:pPr>
        <w:pStyle w:val="Para1"/>
        <w:numPr>
          <w:ilvl w:val="0"/>
          <w:numId w:val="0"/>
        </w:numPr>
        <w:spacing w:before="0" w:after="0"/>
        <w:ind w:left="142" w:hanging="142"/>
        <w:jc w:val="left"/>
      </w:pPr>
      <w:r>
        <w:t xml:space="preserve">Kuwait </w:t>
      </w:r>
    </w:p>
    <w:p w14:paraId="0668ED43" w14:textId="77777777" w:rsidR="0096782E" w:rsidRPr="00F517A5" w:rsidRDefault="0096782E" w:rsidP="0096782E">
      <w:pPr>
        <w:pStyle w:val="Para1"/>
        <w:numPr>
          <w:ilvl w:val="0"/>
          <w:numId w:val="0"/>
        </w:numPr>
        <w:spacing w:before="0" w:after="0"/>
        <w:ind w:left="142" w:hanging="142"/>
        <w:jc w:val="left"/>
      </w:pPr>
      <w:r>
        <w:t>Lesotho</w:t>
      </w:r>
    </w:p>
    <w:p w14:paraId="0262E8BA" w14:textId="77777777" w:rsidR="0096782E" w:rsidRPr="00F517A5" w:rsidRDefault="0096782E" w:rsidP="0096782E">
      <w:pPr>
        <w:pStyle w:val="Para1"/>
        <w:numPr>
          <w:ilvl w:val="0"/>
          <w:numId w:val="0"/>
        </w:numPr>
        <w:spacing w:before="0" w:after="0"/>
        <w:ind w:left="142" w:hanging="142"/>
        <w:jc w:val="left"/>
      </w:pPr>
      <w:r>
        <w:t>Letonia</w:t>
      </w:r>
    </w:p>
    <w:p w14:paraId="2786E2B1" w14:textId="77777777" w:rsidR="0096782E" w:rsidRPr="00F517A5" w:rsidRDefault="0096782E" w:rsidP="0096782E">
      <w:pPr>
        <w:pStyle w:val="Para1"/>
        <w:numPr>
          <w:ilvl w:val="0"/>
          <w:numId w:val="0"/>
        </w:numPr>
        <w:spacing w:before="0" w:after="0"/>
        <w:ind w:left="142" w:hanging="142"/>
        <w:jc w:val="left"/>
      </w:pPr>
      <w:r>
        <w:t>Líbano</w:t>
      </w:r>
      <w:r>
        <w:rPr>
          <w:vertAlign w:val="superscript"/>
        </w:rPr>
        <w:t>a</w:t>
      </w:r>
    </w:p>
    <w:p w14:paraId="7CB35FD7" w14:textId="77777777" w:rsidR="0096782E" w:rsidRPr="00F517A5" w:rsidRDefault="0096782E" w:rsidP="0096782E">
      <w:pPr>
        <w:pStyle w:val="Para1"/>
        <w:numPr>
          <w:ilvl w:val="0"/>
          <w:numId w:val="0"/>
        </w:numPr>
        <w:spacing w:before="0" w:after="0"/>
        <w:ind w:left="142" w:hanging="142"/>
        <w:jc w:val="left"/>
      </w:pPr>
      <w:r>
        <w:t>Liberia</w:t>
      </w:r>
    </w:p>
    <w:p w14:paraId="0870AD26" w14:textId="77777777" w:rsidR="0096782E" w:rsidRPr="00F517A5" w:rsidRDefault="0096782E" w:rsidP="0096782E">
      <w:pPr>
        <w:pStyle w:val="Para1"/>
        <w:numPr>
          <w:ilvl w:val="0"/>
          <w:numId w:val="0"/>
        </w:numPr>
        <w:spacing w:before="0" w:after="0"/>
        <w:ind w:left="142" w:hanging="142"/>
        <w:jc w:val="left"/>
      </w:pPr>
      <w:r>
        <w:t>Libia</w:t>
      </w:r>
      <w:r>
        <w:rPr>
          <w:vertAlign w:val="superscript"/>
        </w:rPr>
        <w:t>a</w:t>
      </w:r>
    </w:p>
    <w:p w14:paraId="65AF4FF6" w14:textId="77777777" w:rsidR="0096782E" w:rsidRPr="00F517A5" w:rsidRDefault="0096782E" w:rsidP="0096782E">
      <w:pPr>
        <w:pStyle w:val="Para1"/>
        <w:numPr>
          <w:ilvl w:val="0"/>
          <w:numId w:val="0"/>
        </w:numPr>
        <w:spacing w:before="0" w:after="0"/>
        <w:ind w:left="142" w:hanging="142"/>
        <w:jc w:val="left"/>
      </w:pPr>
      <w:r>
        <w:t>Lituania</w:t>
      </w:r>
    </w:p>
    <w:p w14:paraId="119B834F" w14:textId="77777777" w:rsidR="0096782E" w:rsidRPr="00F517A5" w:rsidRDefault="0096782E" w:rsidP="0096782E">
      <w:pPr>
        <w:pStyle w:val="Para1"/>
        <w:numPr>
          <w:ilvl w:val="0"/>
          <w:numId w:val="0"/>
        </w:numPr>
        <w:spacing w:before="0" w:after="0"/>
        <w:ind w:left="142" w:hanging="142"/>
        <w:jc w:val="left"/>
      </w:pPr>
      <w:r>
        <w:t>Luxemburgo</w:t>
      </w:r>
    </w:p>
    <w:p w14:paraId="1609399B" w14:textId="77777777" w:rsidR="0096782E" w:rsidRPr="00F517A5" w:rsidRDefault="0096782E" w:rsidP="0096782E">
      <w:pPr>
        <w:pStyle w:val="Para1"/>
        <w:numPr>
          <w:ilvl w:val="0"/>
          <w:numId w:val="0"/>
        </w:numPr>
        <w:spacing w:before="0" w:after="0"/>
        <w:ind w:left="142" w:hanging="142"/>
        <w:jc w:val="left"/>
      </w:pPr>
      <w:r>
        <w:t>Macedonia del Norte</w:t>
      </w:r>
      <w:r>
        <w:rPr>
          <w:vertAlign w:val="superscript"/>
        </w:rPr>
        <w:t>a</w:t>
      </w:r>
    </w:p>
    <w:p w14:paraId="7AF3A2DB" w14:textId="77777777" w:rsidR="0096782E" w:rsidRPr="00F517A5" w:rsidRDefault="0096782E" w:rsidP="0096782E">
      <w:pPr>
        <w:pStyle w:val="Para1"/>
        <w:numPr>
          <w:ilvl w:val="0"/>
          <w:numId w:val="0"/>
        </w:numPr>
        <w:spacing w:before="0" w:after="0"/>
        <w:ind w:left="142" w:hanging="142"/>
        <w:jc w:val="left"/>
      </w:pPr>
      <w:r>
        <w:t>Madagascar</w:t>
      </w:r>
    </w:p>
    <w:p w14:paraId="6FBBAA8F" w14:textId="77777777" w:rsidR="0096782E" w:rsidRPr="00F517A5" w:rsidRDefault="0096782E" w:rsidP="0096782E">
      <w:pPr>
        <w:pStyle w:val="Para1"/>
        <w:numPr>
          <w:ilvl w:val="0"/>
          <w:numId w:val="0"/>
        </w:numPr>
        <w:spacing w:before="0" w:after="0"/>
        <w:ind w:left="142" w:hanging="142"/>
        <w:jc w:val="left"/>
      </w:pPr>
      <w:r>
        <w:t>Malasia</w:t>
      </w:r>
    </w:p>
    <w:p w14:paraId="0D8B2BA9" w14:textId="77777777" w:rsidR="0096782E" w:rsidRPr="00F517A5" w:rsidRDefault="0096782E" w:rsidP="0096782E">
      <w:pPr>
        <w:pStyle w:val="Para1"/>
        <w:numPr>
          <w:ilvl w:val="0"/>
          <w:numId w:val="0"/>
        </w:numPr>
        <w:spacing w:before="0" w:after="0"/>
        <w:ind w:left="142" w:hanging="142"/>
        <w:jc w:val="left"/>
      </w:pPr>
      <w:r>
        <w:t>Malawi</w:t>
      </w:r>
    </w:p>
    <w:p w14:paraId="2F16A1AD" w14:textId="77777777" w:rsidR="0096782E" w:rsidRPr="00F517A5" w:rsidRDefault="0096782E" w:rsidP="0096782E">
      <w:pPr>
        <w:pStyle w:val="Para1"/>
        <w:numPr>
          <w:ilvl w:val="0"/>
          <w:numId w:val="0"/>
        </w:numPr>
        <w:spacing w:before="0" w:after="0"/>
        <w:ind w:left="142" w:hanging="142"/>
        <w:jc w:val="left"/>
      </w:pPr>
      <w:r>
        <w:t>Maldivas</w:t>
      </w:r>
    </w:p>
    <w:p w14:paraId="124534EE" w14:textId="77777777" w:rsidR="0096782E" w:rsidRPr="00F517A5" w:rsidRDefault="0096782E" w:rsidP="0096782E">
      <w:pPr>
        <w:pStyle w:val="Para1"/>
        <w:numPr>
          <w:ilvl w:val="0"/>
          <w:numId w:val="0"/>
        </w:numPr>
        <w:spacing w:before="0" w:after="0"/>
        <w:ind w:left="142" w:hanging="142"/>
        <w:jc w:val="left"/>
      </w:pPr>
      <w:r>
        <w:t>Malí</w:t>
      </w:r>
    </w:p>
    <w:p w14:paraId="040C4217" w14:textId="77777777" w:rsidR="0096782E" w:rsidRPr="00F517A5" w:rsidRDefault="0096782E" w:rsidP="0096782E">
      <w:pPr>
        <w:pStyle w:val="Para1"/>
        <w:numPr>
          <w:ilvl w:val="0"/>
          <w:numId w:val="0"/>
        </w:numPr>
        <w:spacing w:before="0" w:after="0"/>
        <w:ind w:left="142" w:hanging="142"/>
        <w:jc w:val="left"/>
      </w:pPr>
      <w:r>
        <w:t>Malta</w:t>
      </w:r>
      <w:r>
        <w:rPr>
          <w:vertAlign w:val="superscript"/>
        </w:rPr>
        <w:t>a</w:t>
      </w:r>
    </w:p>
    <w:p w14:paraId="65502599" w14:textId="77777777" w:rsidR="0096782E" w:rsidRPr="00F517A5" w:rsidRDefault="0096782E" w:rsidP="0096782E">
      <w:pPr>
        <w:pStyle w:val="Para1"/>
        <w:numPr>
          <w:ilvl w:val="0"/>
          <w:numId w:val="0"/>
        </w:numPr>
        <w:spacing w:before="0" w:after="0"/>
        <w:ind w:left="142" w:hanging="142"/>
        <w:jc w:val="left"/>
      </w:pPr>
      <w:r>
        <w:t>Marruecos</w:t>
      </w:r>
    </w:p>
    <w:p w14:paraId="4EBF5618" w14:textId="77777777" w:rsidR="0096782E" w:rsidRPr="00F517A5" w:rsidRDefault="0096782E" w:rsidP="0096782E">
      <w:pPr>
        <w:pStyle w:val="Para1"/>
        <w:numPr>
          <w:ilvl w:val="0"/>
          <w:numId w:val="0"/>
        </w:numPr>
        <w:spacing w:before="0" w:after="0"/>
        <w:ind w:left="142" w:hanging="142"/>
        <w:jc w:val="left"/>
      </w:pPr>
      <w:r>
        <w:t>Mauricio</w:t>
      </w:r>
    </w:p>
    <w:p w14:paraId="1D56A5B2" w14:textId="77777777" w:rsidR="0096782E" w:rsidRPr="00F517A5" w:rsidRDefault="0096782E" w:rsidP="0096782E">
      <w:pPr>
        <w:pStyle w:val="Para1"/>
        <w:numPr>
          <w:ilvl w:val="0"/>
          <w:numId w:val="0"/>
        </w:numPr>
        <w:spacing w:before="0" w:after="0"/>
        <w:ind w:left="142" w:hanging="142"/>
        <w:jc w:val="left"/>
      </w:pPr>
      <w:r>
        <w:t>Mauritania</w:t>
      </w:r>
    </w:p>
    <w:p w14:paraId="201F6260" w14:textId="77777777" w:rsidR="0096782E" w:rsidRPr="00F517A5" w:rsidRDefault="0096782E" w:rsidP="0096782E">
      <w:pPr>
        <w:pStyle w:val="Para1"/>
        <w:numPr>
          <w:ilvl w:val="0"/>
          <w:numId w:val="0"/>
        </w:numPr>
        <w:spacing w:before="0" w:after="0"/>
        <w:ind w:left="142" w:hanging="142"/>
        <w:jc w:val="left"/>
      </w:pPr>
      <w:r>
        <w:t>México</w:t>
      </w:r>
    </w:p>
    <w:p w14:paraId="6F0DC601" w14:textId="77777777" w:rsidR="0096782E" w:rsidRPr="00F517A5" w:rsidRDefault="0096782E" w:rsidP="0096782E">
      <w:pPr>
        <w:pStyle w:val="Para1"/>
        <w:numPr>
          <w:ilvl w:val="0"/>
          <w:numId w:val="0"/>
        </w:numPr>
        <w:spacing w:before="0" w:after="0"/>
        <w:ind w:left="142" w:hanging="142"/>
        <w:jc w:val="left"/>
      </w:pPr>
      <w:r>
        <w:t>Mongolia</w:t>
      </w:r>
      <w:r>
        <w:rPr>
          <w:vertAlign w:val="superscript"/>
        </w:rPr>
        <w:t>a</w:t>
      </w:r>
    </w:p>
    <w:p w14:paraId="7E71F8FD" w14:textId="77777777" w:rsidR="0096782E" w:rsidRPr="00F517A5" w:rsidRDefault="0096782E" w:rsidP="0096782E">
      <w:pPr>
        <w:pStyle w:val="Para1"/>
        <w:numPr>
          <w:ilvl w:val="0"/>
          <w:numId w:val="0"/>
        </w:numPr>
        <w:spacing w:before="0" w:after="0"/>
        <w:ind w:left="142" w:hanging="142"/>
        <w:jc w:val="left"/>
      </w:pPr>
      <w:r>
        <w:t>Montenegro</w:t>
      </w:r>
      <w:r>
        <w:rPr>
          <w:vertAlign w:val="superscript"/>
        </w:rPr>
        <w:t>b</w:t>
      </w:r>
    </w:p>
    <w:p w14:paraId="756A0003" w14:textId="77777777" w:rsidR="0096782E" w:rsidRPr="00F517A5" w:rsidRDefault="0096782E" w:rsidP="0096782E">
      <w:pPr>
        <w:pStyle w:val="Para1"/>
        <w:numPr>
          <w:ilvl w:val="0"/>
          <w:numId w:val="0"/>
        </w:numPr>
        <w:spacing w:before="0" w:after="0"/>
        <w:ind w:left="142" w:hanging="142"/>
        <w:jc w:val="left"/>
      </w:pPr>
      <w:r>
        <w:t>Mozambique</w:t>
      </w:r>
    </w:p>
    <w:p w14:paraId="7E8F67E6" w14:textId="77777777" w:rsidR="0096782E" w:rsidRPr="00F517A5" w:rsidRDefault="0096782E" w:rsidP="0096782E">
      <w:pPr>
        <w:pStyle w:val="Para1"/>
        <w:numPr>
          <w:ilvl w:val="0"/>
          <w:numId w:val="0"/>
        </w:numPr>
        <w:spacing w:before="0" w:after="0"/>
        <w:ind w:left="142" w:hanging="142"/>
        <w:jc w:val="left"/>
      </w:pPr>
      <w:r>
        <w:t>Namibia</w:t>
      </w:r>
    </w:p>
    <w:p w14:paraId="5E91E9A6" w14:textId="77777777" w:rsidR="0096782E" w:rsidRPr="00F517A5" w:rsidRDefault="0096782E" w:rsidP="0096782E">
      <w:pPr>
        <w:pStyle w:val="Para1"/>
        <w:numPr>
          <w:ilvl w:val="0"/>
          <w:numId w:val="0"/>
        </w:numPr>
        <w:spacing w:before="0" w:after="0"/>
        <w:ind w:left="142" w:hanging="142"/>
        <w:jc w:val="left"/>
      </w:pPr>
      <w:r>
        <w:t>Nauru</w:t>
      </w:r>
      <w:r>
        <w:rPr>
          <w:vertAlign w:val="superscript"/>
        </w:rPr>
        <w:t>a</w:t>
      </w:r>
    </w:p>
    <w:p w14:paraId="1EBD7254" w14:textId="77777777" w:rsidR="0096782E" w:rsidRPr="00F517A5" w:rsidRDefault="0096782E" w:rsidP="0096782E">
      <w:pPr>
        <w:pStyle w:val="Para1"/>
        <w:numPr>
          <w:ilvl w:val="0"/>
          <w:numId w:val="0"/>
        </w:numPr>
        <w:spacing w:before="0" w:after="0"/>
        <w:ind w:left="142" w:hanging="142"/>
        <w:jc w:val="left"/>
      </w:pPr>
      <w:r>
        <w:t>Nicaragua</w:t>
      </w:r>
    </w:p>
    <w:p w14:paraId="64D7BF01" w14:textId="77777777" w:rsidR="0096782E" w:rsidRPr="00F517A5" w:rsidRDefault="0096782E" w:rsidP="0096782E">
      <w:pPr>
        <w:pStyle w:val="Para1"/>
        <w:numPr>
          <w:ilvl w:val="0"/>
          <w:numId w:val="0"/>
        </w:numPr>
        <w:spacing w:before="0" w:after="0"/>
        <w:ind w:left="142" w:hanging="142"/>
        <w:jc w:val="left"/>
      </w:pPr>
      <w:r>
        <w:t>Níger</w:t>
      </w:r>
    </w:p>
    <w:p w14:paraId="43C775EF" w14:textId="77777777" w:rsidR="0096782E" w:rsidRPr="00F517A5" w:rsidRDefault="0096782E" w:rsidP="0096782E">
      <w:pPr>
        <w:pStyle w:val="Para1"/>
        <w:numPr>
          <w:ilvl w:val="0"/>
          <w:numId w:val="0"/>
        </w:numPr>
        <w:spacing w:before="0" w:after="0"/>
        <w:ind w:left="142" w:hanging="142"/>
        <w:jc w:val="left"/>
      </w:pPr>
      <w:r>
        <w:t>Nigeria</w:t>
      </w:r>
    </w:p>
    <w:p w14:paraId="5604333B" w14:textId="77777777" w:rsidR="0096782E" w:rsidRPr="00F517A5" w:rsidRDefault="0096782E" w:rsidP="0096782E">
      <w:pPr>
        <w:pStyle w:val="Para1"/>
        <w:numPr>
          <w:ilvl w:val="0"/>
          <w:numId w:val="0"/>
        </w:numPr>
        <w:spacing w:before="0" w:after="0"/>
        <w:ind w:left="142" w:hanging="142"/>
        <w:jc w:val="left"/>
      </w:pPr>
      <w:r>
        <w:t>Niue</w:t>
      </w:r>
      <w:r>
        <w:rPr>
          <w:vertAlign w:val="superscript"/>
        </w:rPr>
        <w:t>a</w:t>
      </w:r>
    </w:p>
    <w:p w14:paraId="7A2E3D5D" w14:textId="77777777" w:rsidR="0096782E" w:rsidRPr="00F517A5" w:rsidRDefault="0096782E" w:rsidP="0096782E">
      <w:pPr>
        <w:pStyle w:val="Para1"/>
        <w:numPr>
          <w:ilvl w:val="0"/>
          <w:numId w:val="0"/>
        </w:numPr>
        <w:spacing w:before="0" w:after="0"/>
        <w:ind w:left="142" w:hanging="142"/>
        <w:jc w:val="left"/>
      </w:pPr>
      <w:r>
        <w:t>Noruega</w:t>
      </w:r>
    </w:p>
    <w:p w14:paraId="5AF51E4E" w14:textId="77777777" w:rsidR="0096782E" w:rsidRPr="00F517A5" w:rsidRDefault="0096782E" w:rsidP="0096782E">
      <w:pPr>
        <w:pStyle w:val="Para1"/>
        <w:numPr>
          <w:ilvl w:val="0"/>
          <w:numId w:val="0"/>
        </w:numPr>
        <w:spacing w:before="0" w:after="0"/>
        <w:ind w:left="142" w:hanging="142"/>
        <w:jc w:val="left"/>
      </w:pPr>
      <w:r>
        <w:t>Nueva Zelandia</w:t>
      </w:r>
    </w:p>
    <w:p w14:paraId="08988A8E" w14:textId="77777777" w:rsidR="0096782E" w:rsidRPr="00F517A5" w:rsidRDefault="0096782E" w:rsidP="0096782E">
      <w:pPr>
        <w:pStyle w:val="Para1"/>
        <w:numPr>
          <w:ilvl w:val="0"/>
          <w:numId w:val="0"/>
        </w:numPr>
        <w:spacing w:before="0" w:after="0"/>
        <w:ind w:left="142" w:hanging="142"/>
        <w:jc w:val="left"/>
      </w:pPr>
      <w:r>
        <w:t>Omán</w:t>
      </w:r>
    </w:p>
    <w:p w14:paraId="5F08127F" w14:textId="77777777" w:rsidR="0096782E" w:rsidRPr="00F517A5" w:rsidRDefault="0096782E" w:rsidP="0096782E">
      <w:pPr>
        <w:pStyle w:val="Para1"/>
        <w:numPr>
          <w:ilvl w:val="0"/>
          <w:numId w:val="0"/>
        </w:numPr>
        <w:spacing w:before="0" w:after="0"/>
        <w:ind w:left="142" w:hanging="142"/>
        <w:jc w:val="left"/>
      </w:pPr>
      <w:r>
        <w:t>Países Bajos (Reino de los)</w:t>
      </w:r>
    </w:p>
    <w:p w14:paraId="53BA72B8" w14:textId="77777777" w:rsidR="0096782E" w:rsidRPr="00F517A5" w:rsidRDefault="0096782E" w:rsidP="0096782E">
      <w:pPr>
        <w:pStyle w:val="Para1"/>
        <w:numPr>
          <w:ilvl w:val="0"/>
          <w:numId w:val="0"/>
        </w:numPr>
        <w:spacing w:before="0" w:after="0"/>
        <w:ind w:left="142" w:hanging="142"/>
        <w:jc w:val="left"/>
      </w:pPr>
      <w:r>
        <w:t>Pakistán</w:t>
      </w:r>
    </w:p>
    <w:p w14:paraId="32CFDBDB" w14:textId="77777777" w:rsidR="0096782E" w:rsidRPr="00F517A5" w:rsidRDefault="0096782E" w:rsidP="0096782E">
      <w:pPr>
        <w:pStyle w:val="Para1"/>
        <w:numPr>
          <w:ilvl w:val="0"/>
          <w:numId w:val="0"/>
        </w:numPr>
        <w:spacing w:before="0" w:after="0"/>
        <w:ind w:left="142" w:hanging="142"/>
        <w:jc w:val="left"/>
      </w:pPr>
      <w:r>
        <w:t>Palau</w:t>
      </w:r>
      <w:r>
        <w:rPr>
          <w:vertAlign w:val="superscript"/>
        </w:rPr>
        <w:t>a</w:t>
      </w:r>
    </w:p>
    <w:p w14:paraId="6B322052" w14:textId="77777777" w:rsidR="0096782E" w:rsidRPr="00F517A5" w:rsidRDefault="0096782E" w:rsidP="0096782E">
      <w:pPr>
        <w:pStyle w:val="Para1"/>
        <w:numPr>
          <w:ilvl w:val="0"/>
          <w:numId w:val="0"/>
        </w:numPr>
        <w:spacing w:before="0" w:after="0"/>
        <w:ind w:left="142" w:hanging="142"/>
        <w:jc w:val="left"/>
      </w:pPr>
      <w:r>
        <w:t>Panamá</w:t>
      </w:r>
      <w:r>
        <w:rPr>
          <w:vertAlign w:val="superscript"/>
        </w:rPr>
        <w:t>a</w:t>
      </w:r>
    </w:p>
    <w:p w14:paraId="7D0ED9BB" w14:textId="77777777" w:rsidR="0096782E" w:rsidRPr="00F517A5" w:rsidRDefault="0096782E" w:rsidP="0096782E">
      <w:pPr>
        <w:pStyle w:val="Para1"/>
        <w:numPr>
          <w:ilvl w:val="0"/>
          <w:numId w:val="0"/>
        </w:numPr>
        <w:spacing w:before="0" w:after="0"/>
        <w:ind w:left="142" w:hanging="142"/>
        <w:jc w:val="left"/>
      </w:pPr>
      <w:r>
        <w:t>Papua Nueva Guinea</w:t>
      </w:r>
      <w:r>
        <w:rPr>
          <w:vertAlign w:val="superscript"/>
        </w:rPr>
        <w:t>a</w:t>
      </w:r>
    </w:p>
    <w:p w14:paraId="3DC3C329" w14:textId="77777777" w:rsidR="0096782E" w:rsidRPr="00F517A5" w:rsidRDefault="0096782E" w:rsidP="0096782E">
      <w:pPr>
        <w:pStyle w:val="Para1"/>
        <w:numPr>
          <w:ilvl w:val="0"/>
          <w:numId w:val="0"/>
        </w:numPr>
        <w:spacing w:before="0" w:after="0"/>
        <w:ind w:left="142" w:hanging="142"/>
        <w:jc w:val="left"/>
      </w:pPr>
      <w:r>
        <w:t>Paraguay</w:t>
      </w:r>
      <w:r>
        <w:rPr>
          <w:vertAlign w:val="superscript"/>
        </w:rPr>
        <w:t>a</w:t>
      </w:r>
    </w:p>
    <w:p w14:paraId="1A22C8D9" w14:textId="77777777" w:rsidR="0096782E" w:rsidRPr="00F517A5" w:rsidRDefault="0096782E" w:rsidP="0096782E">
      <w:pPr>
        <w:pStyle w:val="Para1"/>
        <w:numPr>
          <w:ilvl w:val="0"/>
          <w:numId w:val="0"/>
        </w:numPr>
        <w:spacing w:before="0" w:after="0"/>
        <w:ind w:left="142" w:hanging="142"/>
        <w:jc w:val="left"/>
      </w:pPr>
      <w:r>
        <w:t>Perú</w:t>
      </w:r>
    </w:p>
    <w:p w14:paraId="437FF536" w14:textId="77777777" w:rsidR="0096782E" w:rsidRPr="00F517A5" w:rsidRDefault="0096782E" w:rsidP="0096782E">
      <w:pPr>
        <w:pStyle w:val="Para1"/>
        <w:numPr>
          <w:ilvl w:val="0"/>
          <w:numId w:val="0"/>
        </w:numPr>
        <w:spacing w:before="0" w:after="0"/>
        <w:ind w:left="142" w:hanging="142"/>
        <w:jc w:val="left"/>
      </w:pPr>
      <w:r>
        <w:t>Polonia</w:t>
      </w:r>
      <w:r>
        <w:rPr>
          <w:vertAlign w:val="superscript"/>
        </w:rPr>
        <w:t>a</w:t>
      </w:r>
    </w:p>
    <w:p w14:paraId="1EEF044B" w14:textId="77777777" w:rsidR="0096782E" w:rsidRPr="00F517A5" w:rsidRDefault="0096782E" w:rsidP="0096782E">
      <w:pPr>
        <w:pStyle w:val="Para1"/>
        <w:numPr>
          <w:ilvl w:val="0"/>
          <w:numId w:val="0"/>
        </w:numPr>
        <w:spacing w:before="0" w:after="0"/>
        <w:ind w:left="142" w:hanging="142"/>
        <w:jc w:val="left"/>
      </w:pPr>
      <w:r>
        <w:t>Portugal</w:t>
      </w:r>
    </w:p>
    <w:p w14:paraId="52846565" w14:textId="77777777" w:rsidR="0096782E" w:rsidRPr="00F517A5" w:rsidRDefault="0096782E" w:rsidP="0096782E">
      <w:pPr>
        <w:pStyle w:val="Para1"/>
        <w:numPr>
          <w:ilvl w:val="0"/>
          <w:numId w:val="0"/>
        </w:numPr>
        <w:spacing w:before="0" w:after="0"/>
        <w:ind w:left="142" w:hanging="142"/>
        <w:jc w:val="left"/>
      </w:pPr>
      <w:r>
        <w:t>Qatar</w:t>
      </w:r>
    </w:p>
    <w:p w14:paraId="3C32BDB7" w14:textId="77777777" w:rsidR="0096782E" w:rsidRPr="00F517A5" w:rsidRDefault="0096782E" w:rsidP="0096782E">
      <w:pPr>
        <w:pStyle w:val="Para1"/>
        <w:numPr>
          <w:ilvl w:val="0"/>
          <w:numId w:val="0"/>
        </w:numPr>
        <w:spacing w:before="0" w:after="0"/>
        <w:ind w:left="142" w:hanging="142"/>
        <w:jc w:val="left"/>
      </w:pPr>
      <w:r>
        <w:t>Reino Unido de Gran Bretaña e Irlanda del Norte</w:t>
      </w:r>
    </w:p>
    <w:p w14:paraId="01A4F026" w14:textId="77777777" w:rsidR="0096782E" w:rsidRPr="00F517A5" w:rsidRDefault="0096782E" w:rsidP="0096782E">
      <w:pPr>
        <w:pStyle w:val="Para1"/>
        <w:numPr>
          <w:ilvl w:val="0"/>
          <w:numId w:val="0"/>
        </w:numPr>
        <w:spacing w:before="0" w:after="0"/>
        <w:ind w:left="142" w:hanging="142"/>
        <w:jc w:val="left"/>
      </w:pPr>
      <w:r>
        <w:t>República Árabe Siria</w:t>
      </w:r>
    </w:p>
    <w:p w14:paraId="2F9D8D0A" w14:textId="77777777" w:rsidR="0096782E" w:rsidRPr="00F517A5" w:rsidRDefault="0096782E" w:rsidP="0096782E">
      <w:pPr>
        <w:pStyle w:val="Para1"/>
        <w:numPr>
          <w:ilvl w:val="0"/>
          <w:numId w:val="0"/>
        </w:numPr>
        <w:spacing w:before="0" w:after="0"/>
        <w:ind w:left="142" w:hanging="142"/>
        <w:jc w:val="left"/>
      </w:pPr>
      <w:r>
        <w:t>República Centroafricana</w:t>
      </w:r>
    </w:p>
    <w:p w14:paraId="4A388B0E" w14:textId="77777777" w:rsidR="0096782E" w:rsidRPr="00F517A5" w:rsidRDefault="0096782E" w:rsidP="0096782E">
      <w:pPr>
        <w:pStyle w:val="Para1"/>
        <w:numPr>
          <w:ilvl w:val="0"/>
          <w:numId w:val="0"/>
        </w:numPr>
        <w:spacing w:before="0" w:after="0"/>
        <w:ind w:left="142" w:hanging="142"/>
        <w:jc w:val="left"/>
      </w:pPr>
      <w:r>
        <w:t>República de Corea</w:t>
      </w:r>
    </w:p>
    <w:p w14:paraId="763B75EE" w14:textId="77777777" w:rsidR="0096782E" w:rsidRPr="00F517A5" w:rsidRDefault="0096782E" w:rsidP="0096782E">
      <w:pPr>
        <w:pStyle w:val="Para1"/>
        <w:numPr>
          <w:ilvl w:val="0"/>
          <w:numId w:val="0"/>
        </w:numPr>
        <w:spacing w:before="0" w:after="0"/>
        <w:ind w:left="142" w:hanging="142"/>
        <w:jc w:val="left"/>
      </w:pPr>
      <w:r>
        <w:t>República de Moldova</w:t>
      </w:r>
    </w:p>
    <w:p w14:paraId="62282BE3" w14:textId="77777777" w:rsidR="0096782E" w:rsidRPr="00F517A5" w:rsidRDefault="0096782E" w:rsidP="0096782E">
      <w:pPr>
        <w:pStyle w:val="Para1"/>
        <w:numPr>
          <w:ilvl w:val="0"/>
          <w:numId w:val="0"/>
        </w:numPr>
        <w:spacing w:before="0" w:after="0"/>
        <w:ind w:left="142" w:hanging="142"/>
        <w:jc w:val="left"/>
      </w:pPr>
      <w:r>
        <w:t>República Democrática del Congo</w:t>
      </w:r>
    </w:p>
    <w:p w14:paraId="3A288A31" w14:textId="77777777" w:rsidR="0096782E" w:rsidRPr="00F517A5" w:rsidRDefault="0096782E" w:rsidP="0096782E">
      <w:pPr>
        <w:pStyle w:val="Para1"/>
        <w:numPr>
          <w:ilvl w:val="0"/>
          <w:numId w:val="0"/>
        </w:numPr>
        <w:spacing w:before="0" w:after="0"/>
        <w:ind w:left="142" w:hanging="142"/>
        <w:jc w:val="left"/>
      </w:pPr>
      <w:r>
        <w:t>República Democrática Popular Lao</w:t>
      </w:r>
      <w:r>
        <w:rPr>
          <w:vertAlign w:val="superscript"/>
        </w:rPr>
        <w:t>a</w:t>
      </w:r>
    </w:p>
    <w:p w14:paraId="404A54C4" w14:textId="77777777" w:rsidR="0096782E" w:rsidRPr="00F517A5" w:rsidRDefault="0096782E" w:rsidP="0096782E">
      <w:pPr>
        <w:pStyle w:val="Para1"/>
        <w:numPr>
          <w:ilvl w:val="0"/>
          <w:numId w:val="0"/>
        </w:numPr>
        <w:spacing w:before="0" w:after="0"/>
        <w:ind w:left="142" w:hanging="142"/>
        <w:jc w:val="left"/>
      </w:pPr>
      <w:r>
        <w:t>República Dominicana</w:t>
      </w:r>
    </w:p>
    <w:p w14:paraId="7EA2AA4E" w14:textId="77777777" w:rsidR="0096782E" w:rsidRPr="00F517A5" w:rsidRDefault="0096782E" w:rsidP="0096782E">
      <w:pPr>
        <w:pStyle w:val="Para1"/>
        <w:numPr>
          <w:ilvl w:val="0"/>
          <w:numId w:val="0"/>
        </w:numPr>
        <w:spacing w:before="0" w:after="0"/>
        <w:ind w:left="142" w:hanging="142"/>
        <w:jc w:val="left"/>
      </w:pPr>
      <w:r>
        <w:t>República Popular Democrática de Corea</w:t>
      </w:r>
      <w:r>
        <w:rPr>
          <w:vertAlign w:val="superscript"/>
        </w:rPr>
        <w:t>a</w:t>
      </w:r>
    </w:p>
    <w:p w14:paraId="416C8100" w14:textId="77777777" w:rsidR="0096782E" w:rsidRPr="00F517A5" w:rsidRDefault="0096782E" w:rsidP="0096782E">
      <w:pPr>
        <w:pStyle w:val="Para1"/>
        <w:numPr>
          <w:ilvl w:val="0"/>
          <w:numId w:val="0"/>
        </w:numPr>
        <w:spacing w:before="0" w:after="0"/>
        <w:ind w:left="142" w:hanging="142"/>
        <w:jc w:val="left"/>
      </w:pPr>
      <w:r>
        <w:t>República Unida de Tanzanía</w:t>
      </w:r>
    </w:p>
    <w:p w14:paraId="7A9DB0D7" w14:textId="77777777" w:rsidR="0096782E" w:rsidRPr="00F517A5" w:rsidRDefault="0096782E" w:rsidP="0096782E">
      <w:pPr>
        <w:pStyle w:val="Para1"/>
        <w:numPr>
          <w:ilvl w:val="0"/>
          <w:numId w:val="0"/>
        </w:numPr>
        <w:spacing w:before="0" w:after="0"/>
        <w:ind w:left="142" w:hanging="142"/>
        <w:jc w:val="left"/>
      </w:pPr>
      <w:r>
        <w:t>Rumania</w:t>
      </w:r>
    </w:p>
    <w:p w14:paraId="0E963220" w14:textId="77777777" w:rsidR="0096782E" w:rsidRPr="00F517A5" w:rsidRDefault="0096782E" w:rsidP="0096782E">
      <w:pPr>
        <w:pStyle w:val="Para1"/>
        <w:numPr>
          <w:ilvl w:val="0"/>
          <w:numId w:val="0"/>
        </w:numPr>
        <w:spacing w:before="0" w:after="0"/>
        <w:ind w:left="142" w:hanging="142"/>
        <w:jc w:val="left"/>
      </w:pPr>
      <w:r>
        <w:t>Rwanda</w:t>
      </w:r>
    </w:p>
    <w:p w14:paraId="330DBF95" w14:textId="77777777" w:rsidR="0096782E" w:rsidRPr="00F517A5" w:rsidRDefault="0096782E" w:rsidP="0096782E">
      <w:pPr>
        <w:pStyle w:val="Para1"/>
        <w:numPr>
          <w:ilvl w:val="0"/>
          <w:numId w:val="0"/>
        </w:numPr>
        <w:spacing w:before="0" w:after="0"/>
        <w:ind w:left="142" w:hanging="142"/>
        <w:jc w:val="left"/>
      </w:pPr>
      <w:r>
        <w:t>Saint Kitts y Nevis</w:t>
      </w:r>
    </w:p>
    <w:p w14:paraId="317B7552" w14:textId="77777777" w:rsidR="0096782E" w:rsidRPr="00F517A5" w:rsidRDefault="0096782E" w:rsidP="0096782E">
      <w:pPr>
        <w:pStyle w:val="Para1"/>
        <w:numPr>
          <w:ilvl w:val="0"/>
          <w:numId w:val="0"/>
        </w:numPr>
        <w:spacing w:before="0" w:after="0"/>
        <w:ind w:left="142" w:hanging="142"/>
        <w:jc w:val="left"/>
      </w:pPr>
      <w:r>
        <w:t>Samoa</w:t>
      </w:r>
      <w:r>
        <w:rPr>
          <w:vertAlign w:val="superscript"/>
        </w:rPr>
        <w:t>a</w:t>
      </w:r>
    </w:p>
    <w:p w14:paraId="68509B7C" w14:textId="77777777" w:rsidR="0096782E" w:rsidRPr="00F517A5" w:rsidRDefault="0096782E" w:rsidP="0096782E">
      <w:pPr>
        <w:pStyle w:val="Para1"/>
        <w:numPr>
          <w:ilvl w:val="0"/>
          <w:numId w:val="0"/>
        </w:numPr>
        <w:spacing w:before="0" w:after="0"/>
        <w:ind w:left="142" w:hanging="142"/>
        <w:jc w:val="left"/>
      </w:pPr>
      <w:r>
        <w:t>San Vicente y las Granadinas</w:t>
      </w:r>
      <w:r>
        <w:rPr>
          <w:vertAlign w:val="superscript"/>
        </w:rPr>
        <w:t>a</w:t>
      </w:r>
    </w:p>
    <w:p w14:paraId="7769D5EF" w14:textId="77777777" w:rsidR="0096782E" w:rsidRPr="00F517A5" w:rsidRDefault="0096782E" w:rsidP="0096782E">
      <w:pPr>
        <w:pStyle w:val="Para1"/>
        <w:numPr>
          <w:ilvl w:val="0"/>
          <w:numId w:val="0"/>
        </w:numPr>
        <w:spacing w:before="0" w:after="0"/>
        <w:ind w:left="142" w:hanging="142"/>
        <w:jc w:val="left"/>
      </w:pPr>
      <w:r>
        <w:t>Santa Lucía</w:t>
      </w:r>
    </w:p>
    <w:p w14:paraId="324135A0" w14:textId="77777777" w:rsidR="0096782E" w:rsidRPr="00F517A5" w:rsidRDefault="0096782E" w:rsidP="0096782E">
      <w:pPr>
        <w:pStyle w:val="Para1"/>
        <w:numPr>
          <w:ilvl w:val="0"/>
          <w:numId w:val="0"/>
        </w:numPr>
        <w:spacing w:before="0" w:after="0"/>
        <w:ind w:left="142" w:hanging="142"/>
        <w:jc w:val="left"/>
      </w:pPr>
      <w:r>
        <w:t>Senegal</w:t>
      </w:r>
    </w:p>
    <w:p w14:paraId="0AB30216" w14:textId="77777777" w:rsidR="0096782E" w:rsidRPr="00F517A5" w:rsidRDefault="0096782E" w:rsidP="0096782E">
      <w:pPr>
        <w:pStyle w:val="Para1"/>
        <w:numPr>
          <w:ilvl w:val="0"/>
          <w:numId w:val="0"/>
        </w:numPr>
        <w:spacing w:before="0" w:after="0"/>
        <w:ind w:left="142" w:hanging="142"/>
        <w:jc w:val="left"/>
      </w:pPr>
      <w:r>
        <w:t>Serbia</w:t>
      </w:r>
      <w:r>
        <w:rPr>
          <w:vertAlign w:val="superscript"/>
        </w:rPr>
        <w:t>a</w:t>
      </w:r>
    </w:p>
    <w:p w14:paraId="1063B9FF" w14:textId="77777777" w:rsidR="0096782E" w:rsidRPr="00F517A5" w:rsidRDefault="0096782E" w:rsidP="0096782E">
      <w:pPr>
        <w:pStyle w:val="Para1"/>
        <w:numPr>
          <w:ilvl w:val="0"/>
          <w:numId w:val="0"/>
        </w:numPr>
        <w:spacing w:before="0" w:after="0"/>
        <w:ind w:left="142" w:hanging="142"/>
        <w:jc w:val="left"/>
      </w:pPr>
      <w:r>
        <w:t>Seychelles</w:t>
      </w:r>
    </w:p>
    <w:p w14:paraId="5CE3215C" w14:textId="77777777" w:rsidR="0096782E" w:rsidRPr="00F517A5" w:rsidRDefault="0096782E" w:rsidP="0096782E">
      <w:pPr>
        <w:pStyle w:val="Para1"/>
        <w:numPr>
          <w:ilvl w:val="0"/>
          <w:numId w:val="0"/>
        </w:numPr>
        <w:spacing w:before="0" w:after="0"/>
        <w:ind w:left="142" w:hanging="142"/>
        <w:jc w:val="left"/>
      </w:pPr>
      <w:r>
        <w:t>Sierra Leona</w:t>
      </w:r>
    </w:p>
    <w:p w14:paraId="1083A955" w14:textId="77777777" w:rsidR="0096782E" w:rsidRPr="00F517A5" w:rsidRDefault="0096782E" w:rsidP="0096782E">
      <w:pPr>
        <w:pStyle w:val="Para1"/>
        <w:numPr>
          <w:ilvl w:val="0"/>
          <w:numId w:val="0"/>
        </w:numPr>
        <w:spacing w:before="0" w:after="0"/>
        <w:ind w:left="142" w:hanging="142"/>
        <w:jc w:val="left"/>
      </w:pPr>
      <w:r>
        <w:t>Somalia</w:t>
      </w:r>
    </w:p>
    <w:p w14:paraId="2603CC5D" w14:textId="77777777" w:rsidR="0096782E" w:rsidRPr="00F517A5" w:rsidRDefault="0096782E" w:rsidP="0096782E">
      <w:pPr>
        <w:pStyle w:val="Para1"/>
        <w:numPr>
          <w:ilvl w:val="0"/>
          <w:numId w:val="0"/>
        </w:numPr>
        <w:spacing w:before="0" w:after="0"/>
        <w:ind w:left="142" w:hanging="142"/>
        <w:jc w:val="left"/>
      </w:pPr>
      <w:r>
        <w:t>Sri Lanka</w:t>
      </w:r>
    </w:p>
    <w:p w14:paraId="7AC3E53F" w14:textId="77777777" w:rsidR="0096782E" w:rsidRPr="00F517A5" w:rsidRDefault="0096782E" w:rsidP="0096782E">
      <w:pPr>
        <w:pStyle w:val="Para1"/>
        <w:numPr>
          <w:ilvl w:val="0"/>
          <w:numId w:val="0"/>
        </w:numPr>
        <w:spacing w:before="0" w:after="0"/>
        <w:ind w:left="142" w:hanging="142"/>
        <w:jc w:val="left"/>
      </w:pPr>
      <w:r>
        <w:t>Sudáfrica</w:t>
      </w:r>
    </w:p>
    <w:p w14:paraId="483E9D71" w14:textId="77777777" w:rsidR="0096782E" w:rsidRPr="00F517A5" w:rsidRDefault="0096782E" w:rsidP="0096782E">
      <w:pPr>
        <w:pStyle w:val="Para1"/>
        <w:numPr>
          <w:ilvl w:val="0"/>
          <w:numId w:val="0"/>
        </w:numPr>
        <w:spacing w:before="0" w:after="0"/>
        <w:ind w:left="142" w:hanging="142"/>
        <w:jc w:val="left"/>
      </w:pPr>
      <w:r>
        <w:t>Sudán</w:t>
      </w:r>
    </w:p>
    <w:p w14:paraId="252AE61F" w14:textId="77777777" w:rsidR="0096782E" w:rsidRPr="00F517A5" w:rsidRDefault="0096782E" w:rsidP="0096782E">
      <w:pPr>
        <w:pStyle w:val="Para1"/>
        <w:numPr>
          <w:ilvl w:val="0"/>
          <w:numId w:val="0"/>
        </w:numPr>
        <w:spacing w:before="0" w:after="0"/>
        <w:ind w:left="142" w:hanging="142"/>
        <w:jc w:val="left"/>
      </w:pPr>
      <w:r>
        <w:t>Suecia</w:t>
      </w:r>
    </w:p>
    <w:p w14:paraId="79CB0694" w14:textId="77777777" w:rsidR="0096782E" w:rsidRPr="00F517A5" w:rsidRDefault="0096782E" w:rsidP="0096782E">
      <w:pPr>
        <w:pStyle w:val="Para1"/>
        <w:numPr>
          <w:ilvl w:val="0"/>
          <w:numId w:val="0"/>
        </w:numPr>
        <w:spacing w:before="0" w:after="0"/>
        <w:ind w:left="142" w:hanging="142"/>
        <w:jc w:val="left"/>
      </w:pPr>
      <w:r>
        <w:t>Suiza</w:t>
      </w:r>
    </w:p>
    <w:p w14:paraId="7CC85B5D" w14:textId="77777777" w:rsidR="0096782E" w:rsidRPr="00F517A5" w:rsidRDefault="0096782E" w:rsidP="0096782E">
      <w:pPr>
        <w:pStyle w:val="Para1"/>
        <w:numPr>
          <w:ilvl w:val="0"/>
          <w:numId w:val="0"/>
        </w:numPr>
        <w:spacing w:before="0" w:after="0"/>
        <w:ind w:left="142" w:hanging="142"/>
        <w:jc w:val="left"/>
      </w:pPr>
      <w:r>
        <w:t>Suriname</w:t>
      </w:r>
      <w:r>
        <w:rPr>
          <w:vertAlign w:val="superscript"/>
        </w:rPr>
        <w:t>a</w:t>
      </w:r>
    </w:p>
    <w:p w14:paraId="2D660BE0" w14:textId="77777777" w:rsidR="0096782E" w:rsidRPr="00F517A5" w:rsidRDefault="0096782E" w:rsidP="0096782E">
      <w:pPr>
        <w:pStyle w:val="Para1"/>
        <w:numPr>
          <w:ilvl w:val="0"/>
          <w:numId w:val="0"/>
        </w:numPr>
        <w:spacing w:before="0" w:after="0"/>
        <w:ind w:left="142" w:hanging="142"/>
        <w:jc w:val="left"/>
      </w:pPr>
      <w:r>
        <w:t>Tailandia</w:t>
      </w:r>
    </w:p>
    <w:p w14:paraId="3EE26B6A" w14:textId="77777777" w:rsidR="0096782E" w:rsidRPr="00F517A5" w:rsidRDefault="0096782E" w:rsidP="0096782E">
      <w:pPr>
        <w:pStyle w:val="Para1"/>
        <w:numPr>
          <w:ilvl w:val="0"/>
          <w:numId w:val="0"/>
        </w:numPr>
        <w:spacing w:before="0" w:after="0"/>
        <w:ind w:left="142" w:hanging="142"/>
        <w:jc w:val="left"/>
      </w:pPr>
      <w:r>
        <w:t>Tayikistán</w:t>
      </w:r>
    </w:p>
    <w:p w14:paraId="0F3F8F96" w14:textId="77777777" w:rsidR="0096782E" w:rsidRPr="00F517A5" w:rsidRDefault="0096782E" w:rsidP="0096782E">
      <w:pPr>
        <w:pStyle w:val="Para1"/>
        <w:numPr>
          <w:ilvl w:val="0"/>
          <w:numId w:val="0"/>
        </w:numPr>
        <w:spacing w:before="0" w:after="0"/>
        <w:ind w:left="142" w:hanging="142"/>
        <w:jc w:val="left"/>
      </w:pPr>
      <w:r>
        <w:t>Timor-Leste</w:t>
      </w:r>
      <w:r>
        <w:rPr>
          <w:vertAlign w:val="superscript"/>
        </w:rPr>
        <w:t>a</w:t>
      </w:r>
    </w:p>
    <w:p w14:paraId="14742B50" w14:textId="77777777" w:rsidR="0096782E" w:rsidRPr="00F517A5" w:rsidRDefault="0096782E" w:rsidP="0096782E">
      <w:pPr>
        <w:pStyle w:val="Para1"/>
        <w:numPr>
          <w:ilvl w:val="0"/>
          <w:numId w:val="0"/>
        </w:numPr>
        <w:spacing w:before="0" w:after="0"/>
        <w:ind w:left="142" w:hanging="142"/>
        <w:jc w:val="left"/>
      </w:pPr>
      <w:r>
        <w:t>Togo</w:t>
      </w:r>
    </w:p>
    <w:p w14:paraId="47AE49EB" w14:textId="77777777" w:rsidR="0096782E" w:rsidRPr="00F517A5" w:rsidRDefault="0096782E" w:rsidP="0096782E">
      <w:pPr>
        <w:pStyle w:val="Para1"/>
        <w:numPr>
          <w:ilvl w:val="0"/>
          <w:numId w:val="0"/>
        </w:numPr>
        <w:spacing w:before="0" w:after="0"/>
        <w:ind w:left="142" w:hanging="142"/>
        <w:jc w:val="left"/>
      </w:pPr>
      <w:r>
        <w:t>Tonga</w:t>
      </w:r>
    </w:p>
    <w:p w14:paraId="04569C82" w14:textId="77777777" w:rsidR="0096782E" w:rsidRPr="00F517A5" w:rsidRDefault="0096782E" w:rsidP="0096782E">
      <w:pPr>
        <w:pStyle w:val="Para1"/>
        <w:numPr>
          <w:ilvl w:val="0"/>
          <w:numId w:val="0"/>
        </w:numPr>
        <w:spacing w:before="0" w:after="0"/>
        <w:ind w:left="142" w:hanging="142"/>
        <w:jc w:val="left"/>
      </w:pPr>
      <w:r>
        <w:t>Trinidad y Tabago</w:t>
      </w:r>
    </w:p>
    <w:p w14:paraId="09BEDC6E" w14:textId="77777777" w:rsidR="0096782E" w:rsidRPr="00F517A5" w:rsidRDefault="0096782E" w:rsidP="0096782E">
      <w:pPr>
        <w:pStyle w:val="Para1"/>
        <w:numPr>
          <w:ilvl w:val="0"/>
          <w:numId w:val="0"/>
        </w:numPr>
        <w:spacing w:before="0" w:after="0"/>
        <w:ind w:left="142" w:hanging="142"/>
        <w:jc w:val="left"/>
      </w:pPr>
      <w:r>
        <w:t>Túnez</w:t>
      </w:r>
    </w:p>
    <w:p w14:paraId="7A1B1A16" w14:textId="77777777" w:rsidR="0096782E" w:rsidRPr="00F517A5" w:rsidRDefault="0096782E" w:rsidP="0096782E">
      <w:pPr>
        <w:pStyle w:val="Para1"/>
        <w:numPr>
          <w:ilvl w:val="0"/>
          <w:numId w:val="0"/>
        </w:numPr>
        <w:spacing w:before="0" w:after="0"/>
        <w:ind w:left="142" w:hanging="142"/>
        <w:jc w:val="left"/>
      </w:pPr>
      <w:r>
        <w:t>Türkiye</w:t>
      </w:r>
    </w:p>
    <w:p w14:paraId="7CC4ABAF" w14:textId="77777777" w:rsidR="0096782E" w:rsidRPr="00F517A5" w:rsidRDefault="0096782E" w:rsidP="0096782E">
      <w:pPr>
        <w:pStyle w:val="Para1"/>
        <w:numPr>
          <w:ilvl w:val="0"/>
          <w:numId w:val="0"/>
        </w:numPr>
        <w:spacing w:before="0" w:after="0"/>
        <w:ind w:left="142" w:hanging="142"/>
        <w:jc w:val="left"/>
      </w:pPr>
      <w:r>
        <w:t>Turkmenistán</w:t>
      </w:r>
    </w:p>
    <w:p w14:paraId="1FFB55C8" w14:textId="77777777" w:rsidR="0096782E" w:rsidRPr="00F517A5" w:rsidRDefault="0096782E" w:rsidP="0096782E">
      <w:pPr>
        <w:pStyle w:val="Para1"/>
        <w:numPr>
          <w:ilvl w:val="0"/>
          <w:numId w:val="0"/>
        </w:numPr>
        <w:spacing w:before="0" w:after="0"/>
        <w:ind w:left="142" w:hanging="142"/>
        <w:jc w:val="left"/>
      </w:pPr>
      <w:r>
        <w:t>Tuvalu</w:t>
      </w:r>
    </w:p>
    <w:p w14:paraId="0816A137" w14:textId="77777777" w:rsidR="0096782E" w:rsidRPr="00F517A5" w:rsidRDefault="0096782E" w:rsidP="0096782E">
      <w:pPr>
        <w:pStyle w:val="Para1"/>
        <w:numPr>
          <w:ilvl w:val="0"/>
          <w:numId w:val="0"/>
        </w:numPr>
        <w:spacing w:before="0" w:after="0"/>
        <w:ind w:left="142" w:hanging="142"/>
        <w:jc w:val="left"/>
      </w:pPr>
      <w:r>
        <w:t>Ucrania</w:t>
      </w:r>
    </w:p>
    <w:p w14:paraId="6733805D" w14:textId="77777777" w:rsidR="0096782E" w:rsidRPr="00F517A5" w:rsidRDefault="0096782E" w:rsidP="0096782E">
      <w:pPr>
        <w:pStyle w:val="Para1"/>
        <w:numPr>
          <w:ilvl w:val="0"/>
          <w:numId w:val="0"/>
        </w:numPr>
        <w:spacing w:before="0" w:after="0"/>
        <w:ind w:left="142" w:hanging="142"/>
        <w:jc w:val="left"/>
      </w:pPr>
      <w:r>
        <w:t>Uganda</w:t>
      </w:r>
    </w:p>
    <w:p w14:paraId="3DD05144" w14:textId="77777777" w:rsidR="0096782E" w:rsidRPr="00F517A5" w:rsidRDefault="0096782E" w:rsidP="0096782E">
      <w:pPr>
        <w:pStyle w:val="Para1"/>
        <w:numPr>
          <w:ilvl w:val="0"/>
          <w:numId w:val="0"/>
        </w:numPr>
        <w:spacing w:before="0" w:after="0"/>
        <w:ind w:left="142" w:hanging="142"/>
        <w:jc w:val="left"/>
      </w:pPr>
      <w:r>
        <w:t>Unión Europea</w:t>
      </w:r>
    </w:p>
    <w:p w14:paraId="7BCA839A" w14:textId="77777777" w:rsidR="0096782E" w:rsidRPr="00F517A5" w:rsidRDefault="0096782E" w:rsidP="0096782E">
      <w:pPr>
        <w:pStyle w:val="Para1"/>
        <w:numPr>
          <w:ilvl w:val="0"/>
          <w:numId w:val="0"/>
        </w:numPr>
        <w:spacing w:before="0" w:after="0"/>
        <w:ind w:left="142" w:hanging="142"/>
        <w:jc w:val="left"/>
      </w:pPr>
      <w:r>
        <w:t>Uruguay</w:t>
      </w:r>
    </w:p>
    <w:p w14:paraId="2327AC59" w14:textId="77777777" w:rsidR="0096782E" w:rsidRPr="00F517A5" w:rsidRDefault="0096782E" w:rsidP="0096782E">
      <w:pPr>
        <w:pStyle w:val="Para1"/>
        <w:numPr>
          <w:ilvl w:val="0"/>
          <w:numId w:val="0"/>
        </w:numPr>
        <w:spacing w:before="0" w:after="0"/>
        <w:ind w:left="142" w:hanging="142"/>
        <w:jc w:val="left"/>
      </w:pPr>
      <w:r>
        <w:t>Uzbekistán</w:t>
      </w:r>
      <w:r>
        <w:rPr>
          <w:vertAlign w:val="superscript"/>
        </w:rPr>
        <w:t>a</w:t>
      </w:r>
    </w:p>
    <w:p w14:paraId="440BA07B" w14:textId="77777777" w:rsidR="0096782E" w:rsidRPr="00F517A5" w:rsidRDefault="0096782E" w:rsidP="0096782E">
      <w:pPr>
        <w:pStyle w:val="Para1"/>
        <w:numPr>
          <w:ilvl w:val="0"/>
          <w:numId w:val="0"/>
        </w:numPr>
        <w:spacing w:before="0" w:after="0"/>
        <w:ind w:left="142" w:hanging="142"/>
        <w:jc w:val="left"/>
      </w:pPr>
      <w:r>
        <w:t>Venezuela (República Bolivariana de)</w:t>
      </w:r>
    </w:p>
    <w:p w14:paraId="0D1879D6" w14:textId="77777777" w:rsidR="0096782E" w:rsidRPr="00F517A5" w:rsidRDefault="0096782E" w:rsidP="0096782E">
      <w:pPr>
        <w:pStyle w:val="Para1"/>
        <w:numPr>
          <w:ilvl w:val="0"/>
          <w:numId w:val="0"/>
        </w:numPr>
        <w:spacing w:before="0" w:after="0"/>
        <w:ind w:left="142" w:hanging="142"/>
        <w:jc w:val="left"/>
      </w:pPr>
      <w:r>
        <w:t>Viet Nam</w:t>
      </w:r>
      <w:r>
        <w:rPr>
          <w:vertAlign w:val="superscript"/>
        </w:rPr>
        <w:t>a</w:t>
      </w:r>
    </w:p>
    <w:p w14:paraId="7F06B079" w14:textId="77777777" w:rsidR="0096782E" w:rsidRPr="00F517A5" w:rsidRDefault="0096782E" w:rsidP="0096782E">
      <w:pPr>
        <w:pStyle w:val="Para1"/>
        <w:numPr>
          <w:ilvl w:val="0"/>
          <w:numId w:val="0"/>
        </w:numPr>
        <w:spacing w:before="0" w:after="0"/>
        <w:ind w:left="142" w:hanging="142"/>
        <w:jc w:val="left"/>
      </w:pPr>
      <w:r>
        <w:t>Yemen</w:t>
      </w:r>
    </w:p>
    <w:p w14:paraId="3EAD18D4" w14:textId="77777777" w:rsidR="0096782E" w:rsidRPr="00F517A5" w:rsidRDefault="0096782E" w:rsidP="0096782E">
      <w:pPr>
        <w:pStyle w:val="Para1"/>
        <w:numPr>
          <w:ilvl w:val="0"/>
          <w:numId w:val="0"/>
        </w:numPr>
        <w:spacing w:before="0" w:after="0"/>
        <w:ind w:left="142" w:hanging="142"/>
        <w:jc w:val="left"/>
      </w:pPr>
      <w:r>
        <w:t>Zambia</w:t>
      </w:r>
    </w:p>
    <w:p w14:paraId="370EFB60" w14:textId="119E550F" w:rsidR="0096782E" w:rsidRPr="00F517A5" w:rsidRDefault="0096782E" w:rsidP="0096782E">
      <w:pPr>
        <w:pStyle w:val="Para1"/>
        <w:numPr>
          <w:ilvl w:val="0"/>
          <w:numId w:val="0"/>
        </w:numPr>
        <w:spacing w:before="0"/>
        <w:ind w:left="142" w:hanging="142"/>
      </w:pPr>
      <w:r>
        <w:t>Zimbabwe</w:t>
      </w:r>
    </w:p>
    <w:p w14:paraId="54CE64AB" w14:textId="77777777" w:rsidR="0096782E" w:rsidRPr="00F517A5" w:rsidRDefault="0096782E" w:rsidP="0096782E">
      <w:pPr>
        <w:pStyle w:val="Para1"/>
        <w:numPr>
          <w:ilvl w:val="0"/>
          <w:numId w:val="0"/>
        </w:numPr>
        <w:sectPr w:rsidR="0096782E" w:rsidRPr="00F517A5" w:rsidSect="00E622EA">
          <w:type w:val="continuous"/>
          <w:pgSz w:w="12240" w:h="15840"/>
          <w:pgMar w:top="1021" w:right="1440" w:bottom="1021" w:left="1440" w:header="459" w:footer="720" w:gutter="0"/>
          <w:cols w:num="3" w:space="708"/>
          <w:docGrid w:linePitch="360"/>
        </w:sectPr>
      </w:pPr>
    </w:p>
    <w:p w14:paraId="0CF8E950" w14:textId="1B2BE36E" w:rsidR="0096782E" w:rsidRPr="00F517A5" w:rsidRDefault="0096782E" w:rsidP="0096782E">
      <w:pPr>
        <w:pStyle w:val="Para1"/>
        <w:numPr>
          <w:ilvl w:val="0"/>
          <w:numId w:val="0"/>
        </w:numPr>
        <w:rPr>
          <w:sz w:val="18"/>
          <w:szCs w:val="18"/>
        </w:rPr>
      </w:pPr>
      <w:r>
        <w:rPr>
          <w:i/>
          <w:sz w:val="18"/>
        </w:rPr>
        <w:t>Nota</w:t>
      </w:r>
      <w:r>
        <w:rPr>
          <w:sz w:val="18"/>
        </w:rPr>
        <w:t>: Las Partes indicadas con una “a” estuvieron representadas únicamente en la segunda parte de la reunión; aquellas indicadas con una “b” estuvieron representadas únicamente en la continuación de la segunda parte; y aquellas que no tienen ninguna indicación estuvieron representadas en ambas</w:t>
      </w:r>
      <w:r w:rsidRPr="00F517A5">
        <w:rPr>
          <w:sz w:val="18"/>
          <w:szCs w:val="18"/>
        </w:rPr>
        <w:t>.</w:t>
      </w:r>
    </w:p>
    <w:p w14:paraId="441B58D6" w14:textId="11B44B1B" w:rsidR="0096782E" w:rsidRPr="00F517A5" w:rsidRDefault="0096782E" w:rsidP="0096782E">
      <w:pPr>
        <w:pStyle w:val="Para1"/>
      </w:pPr>
      <w:r>
        <w:t>Los siguientes Estados que no son Partes en el Protocolo de Cartagena estuvieron representados únicamente en la segunda parte de la reunión. Liechtenstein, Micronesia (Estados Federados de), Mónaco y Nepal. También estuvieron representados tanto en la segunda parte como en la continuación de la segunda parte los siguientes Estados que no son Partes en el Protocolo de Cartagena: Argentina, Australia, Canadá, Chile, Estados Unidos de América, Guinea Ecuatorial, Federación de Rusia, Haití, Islas Cook, Islandia, Santa Sede, Santo Tomé y Príncipe, Singapur, Sudán del Sur y Vanuatu</w:t>
      </w:r>
      <w:r w:rsidRPr="00F517A5">
        <w:t>.</w:t>
      </w:r>
    </w:p>
    <w:p w14:paraId="682BDB1D" w14:textId="0DD98D70" w:rsidR="0096782E" w:rsidRPr="00F517A5" w:rsidRDefault="0096782E" w:rsidP="006A4072">
      <w:pPr>
        <w:numPr>
          <w:ilvl w:val="0"/>
          <w:numId w:val="4"/>
        </w:numPr>
        <w:suppressLineNumbers/>
        <w:tabs>
          <w:tab w:val="left" w:pos="720"/>
        </w:tabs>
        <w:suppressAutoHyphens/>
        <w:kinsoku w:val="0"/>
        <w:overflowPunct w:val="0"/>
        <w:autoSpaceDE w:val="0"/>
        <w:autoSpaceDN w:val="0"/>
        <w:adjustRightInd w:val="0"/>
        <w:snapToGrid w:val="0"/>
        <w:spacing w:before="120" w:after="120"/>
      </w:pPr>
      <w:r>
        <w:t>E</w:t>
      </w:r>
      <w:r w:rsidRPr="00F517A5">
        <w:t xml:space="preserve">n </w:t>
      </w:r>
      <w:r>
        <w:t>el documento</w:t>
      </w:r>
      <w:r w:rsidRPr="00F517A5">
        <w:t xml:space="preserve"> CBD/COP/15/17</w:t>
      </w:r>
      <w:r>
        <w:t>/Add.1 se brinda la lista de organizaciones representadas en la reunión</w:t>
      </w:r>
      <w:r w:rsidRPr="00F517A5">
        <w:t>.</w:t>
      </w:r>
    </w:p>
    <w:bookmarkEnd w:id="30"/>
    <w:p w14:paraId="7581CB69" w14:textId="6AB6AEBC" w:rsidR="0096782E" w:rsidRPr="00F517A5" w:rsidRDefault="0096782E" w:rsidP="0093681A">
      <w:pPr>
        <w:keepNext/>
        <w:kinsoku w:val="0"/>
        <w:overflowPunct w:val="0"/>
        <w:autoSpaceDE w:val="0"/>
        <w:autoSpaceDN w:val="0"/>
        <w:spacing w:before="240" w:after="120"/>
        <w:jc w:val="center"/>
        <w:rPr>
          <w:rFonts w:asciiTheme="majorBidi" w:hAnsiTheme="majorBidi" w:cstheme="majorBidi"/>
          <w:b/>
          <w:bCs/>
          <w:caps/>
          <w:snapToGrid w:val="0"/>
          <w:kern w:val="22"/>
        </w:rPr>
      </w:pPr>
      <w:r>
        <w:rPr>
          <w:rFonts w:asciiTheme="majorBidi" w:hAnsiTheme="majorBidi" w:cstheme="majorBidi"/>
          <w:b/>
          <w:bCs/>
          <w:snapToGrid w:val="0"/>
          <w:kern w:val="22"/>
        </w:rPr>
        <w:lastRenderedPageBreak/>
        <w:t>T</w:t>
      </w:r>
      <w:r w:rsidRPr="00F517A5">
        <w:rPr>
          <w:rFonts w:asciiTheme="majorBidi" w:hAnsiTheme="majorBidi" w:cstheme="majorBidi"/>
          <w:b/>
          <w:bCs/>
          <w:snapToGrid w:val="0"/>
          <w:kern w:val="22"/>
        </w:rPr>
        <w:t>em</w:t>
      </w:r>
      <w:r>
        <w:rPr>
          <w:rFonts w:asciiTheme="majorBidi" w:hAnsiTheme="majorBidi" w:cstheme="majorBidi"/>
          <w:b/>
          <w:bCs/>
          <w:snapToGrid w:val="0"/>
          <w:kern w:val="22"/>
        </w:rPr>
        <w:t>a</w:t>
      </w:r>
      <w:r w:rsidRPr="00F517A5">
        <w:rPr>
          <w:rFonts w:asciiTheme="majorBidi" w:hAnsiTheme="majorBidi" w:cstheme="majorBidi"/>
          <w:b/>
          <w:bCs/>
          <w:snapToGrid w:val="0"/>
          <w:kern w:val="22"/>
        </w:rPr>
        <w:t xml:space="preserve"> 1.</w:t>
      </w:r>
      <w:r w:rsidRPr="00F517A5">
        <w:rPr>
          <w:rFonts w:asciiTheme="majorBidi" w:hAnsiTheme="majorBidi" w:cstheme="majorBidi"/>
          <w:b/>
          <w:bCs/>
          <w:snapToGrid w:val="0"/>
          <w:kern w:val="22"/>
        </w:rPr>
        <w:tab/>
      </w:r>
      <w:r>
        <w:rPr>
          <w:rFonts w:asciiTheme="majorBidi" w:hAnsiTheme="majorBidi"/>
          <w:b/>
          <w:snapToGrid w:val="0"/>
        </w:rPr>
        <w:t>Apertura de la reunión</w:t>
      </w:r>
    </w:p>
    <w:p w14:paraId="0F658038" w14:textId="424456BC" w:rsidR="0096782E" w:rsidRPr="00F517A5" w:rsidRDefault="0096782E" w:rsidP="006A4072">
      <w:pPr>
        <w:numPr>
          <w:ilvl w:val="0"/>
          <w:numId w:val="4"/>
        </w:numPr>
        <w:suppressLineNumbers/>
        <w:tabs>
          <w:tab w:val="left" w:pos="720"/>
        </w:tabs>
        <w:suppressAutoHyphens/>
        <w:kinsoku w:val="0"/>
        <w:overflowPunct w:val="0"/>
        <w:autoSpaceDE w:val="0"/>
        <w:autoSpaceDN w:val="0"/>
        <w:adjustRightInd w:val="0"/>
        <w:snapToGrid w:val="0"/>
        <w:spacing w:before="120" w:after="120"/>
        <w:rPr>
          <w:szCs w:val="22"/>
        </w:rPr>
      </w:pPr>
      <w:bookmarkStart w:id="31" w:name="_Hlk135294984"/>
      <w:r>
        <w:t>La primera sesión plenaria se celebró conjuntamente con las sesiones plenarias de la Conferencia de las Partes en el Convenio y de la Conferencia de las Partes que actúa como reunión de las Partes en el Protocolo de Nagoya, el 7 de diciembre de 2022. El Presidente de los tres órganos, el Ministro de Ecología y Medio Ambiente de China, declaró inaugurada la segunda parte de las reuniones a las 10.25 horas</w:t>
      </w:r>
      <w:bookmarkEnd w:id="31"/>
      <w:r w:rsidRPr="0096782E">
        <w:rPr>
          <w:rStyle w:val="FootnoteReference"/>
          <w:sz w:val="22"/>
          <w:szCs w:val="22"/>
          <w:u w:val="none"/>
          <w:vertAlign w:val="superscript"/>
        </w:rPr>
        <w:footnoteReference w:customMarkFollows="1" w:id="51"/>
        <w:t>2</w:t>
      </w:r>
      <w:r>
        <w:t>.</w:t>
      </w:r>
    </w:p>
    <w:p w14:paraId="43F4AE99" w14:textId="5D005252" w:rsidR="0096782E" w:rsidRPr="0096782E" w:rsidRDefault="0096782E" w:rsidP="0096782E">
      <w:pPr>
        <w:spacing w:before="120" w:after="120"/>
        <w:rPr>
          <w:b/>
          <w:bCs/>
          <w:i/>
          <w:iCs/>
          <w:snapToGrid w:val="0"/>
        </w:rPr>
      </w:pPr>
      <w:r w:rsidRPr="0096782E">
        <w:rPr>
          <w:rFonts w:asciiTheme="majorBidi" w:hAnsiTheme="majorBidi"/>
          <w:i/>
          <w:snapToGrid w:val="0"/>
        </w:rPr>
        <w:t>Continuación de la segunda parte</w:t>
      </w:r>
    </w:p>
    <w:p w14:paraId="1CDAFDA6" w14:textId="35C502C7" w:rsidR="0096782E" w:rsidRPr="00F517A5" w:rsidRDefault="0096782E" w:rsidP="0096782E">
      <w:pPr>
        <w:pStyle w:val="Para1"/>
        <w:overflowPunct w:val="0"/>
        <w:autoSpaceDE w:val="0"/>
        <w:autoSpaceDN w:val="0"/>
        <w:snapToGrid w:val="0"/>
        <w:spacing w:before="0"/>
      </w:pPr>
      <w:r>
        <w:t>Tras la suspensión de la reunión el 19 de diciembre de 2022, esta se reanudó el 19 de octubre de 2023, en la sexta sesión plenaria de la Conferencia de las Partes que actúa como reunión de las Partes en el Protocolo de Cartagena</w:t>
      </w:r>
      <w:r w:rsidRPr="00F517A5">
        <w:t>.</w:t>
      </w:r>
    </w:p>
    <w:p w14:paraId="18418985" w14:textId="1FF97EC3" w:rsidR="0096782E" w:rsidRPr="00F517A5" w:rsidRDefault="0096782E" w:rsidP="0096782E">
      <w:pPr>
        <w:pStyle w:val="Para1"/>
        <w:overflowPunct w:val="0"/>
        <w:autoSpaceDE w:val="0"/>
        <w:autoSpaceDN w:val="0"/>
        <w:snapToGrid w:val="0"/>
        <w:spacing w:before="0"/>
      </w:pPr>
      <w:r>
        <w:t>La continuación de la reunión fue inaugurada a las 16.05 horas por la Presidencia, a cargo de Guomei Zhou, en representación del Presidente, Runqiu Huang, Ministro de Ecología y Medio Ambiente de China</w:t>
      </w:r>
      <w:r w:rsidRPr="00F517A5">
        <w:t>.</w:t>
      </w:r>
    </w:p>
    <w:p w14:paraId="25458058" w14:textId="20B25B07" w:rsidR="0096782E" w:rsidRPr="00F517A5" w:rsidRDefault="0096782E" w:rsidP="0096782E">
      <w:pPr>
        <w:pStyle w:val="Para1"/>
        <w:overflowPunct w:val="0"/>
        <w:autoSpaceDE w:val="0"/>
        <w:autoSpaceDN w:val="0"/>
        <w:snapToGrid w:val="0"/>
        <w:spacing w:before="0"/>
      </w:pPr>
      <w:r>
        <w:t>La Presidenta y el Secretario Ejecutivo Interino del Convenio sobre la Diversidad Biológica, David Cooper, pronunciaron discursos de apertura</w:t>
      </w:r>
      <w:r w:rsidRPr="0096782E">
        <w:rPr>
          <w:rStyle w:val="FootnoteReference"/>
          <w:sz w:val="22"/>
          <w:u w:val="none"/>
          <w:vertAlign w:val="superscript"/>
        </w:rPr>
        <w:footnoteReference w:customMarkFollows="1" w:id="52"/>
        <w:t>3</w:t>
      </w:r>
      <w:r w:rsidRPr="00F517A5">
        <w:t>.</w:t>
      </w:r>
    </w:p>
    <w:p w14:paraId="76597F51" w14:textId="7BDE35DA" w:rsidR="0096782E" w:rsidRPr="00F517A5" w:rsidRDefault="0096782E" w:rsidP="0093681A">
      <w:pPr>
        <w:keepNext/>
        <w:kinsoku w:val="0"/>
        <w:overflowPunct w:val="0"/>
        <w:autoSpaceDE w:val="0"/>
        <w:autoSpaceDN w:val="0"/>
        <w:spacing w:before="240" w:after="120"/>
        <w:jc w:val="center"/>
        <w:rPr>
          <w:rFonts w:asciiTheme="majorBidi" w:hAnsiTheme="majorBidi" w:cstheme="majorBidi"/>
          <w:b/>
          <w:bCs/>
          <w:caps/>
          <w:snapToGrid w:val="0"/>
          <w:kern w:val="22"/>
        </w:rPr>
      </w:pPr>
      <w:r>
        <w:rPr>
          <w:rFonts w:asciiTheme="majorBidi" w:hAnsiTheme="majorBidi" w:cstheme="majorBidi"/>
          <w:b/>
          <w:bCs/>
          <w:snapToGrid w:val="0"/>
          <w:kern w:val="22"/>
        </w:rPr>
        <w:t>T</w:t>
      </w:r>
      <w:r w:rsidRPr="00F517A5">
        <w:rPr>
          <w:rFonts w:asciiTheme="majorBidi" w:hAnsiTheme="majorBidi" w:cstheme="majorBidi"/>
          <w:b/>
          <w:bCs/>
          <w:snapToGrid w:val="0"/>
          <w:kern w:val="22"/>
        </w:rPr>
        <w:t>em</w:t>
      </w:r>
      <w:r>
        <w:rPr>
          <w:rFonts w:asciiTheme="majorBidi" w:hAnsiTheme="majorBidi" w:cstheme="majorBidi"/>
          <w:b/>
          <w:bCs/>
          <w:snapToGrid w:val="0"/>
          <w:kern w:val="22"/>
        </w:rPr>
        <w:t>a</w:t>
      </w:r>
      <w:r w:rsidRPr="00F517A5">
        <w:rPr>
          <w:rFonts w:asciiTheme="majorBidi" w:hAnsiTheme="majorBidi" w:cstheme="majorBidi"/>
          <w:b/>
          <w:bCs/>
          <w:snapToGrid w:val="0"/>
          <w:kern w:val="22"/>
        </w:rPr>
        <w:t xml:space="preserve"> 2</w:t>
      </w:r>
      <w:r w:rsidRPr="00F517A5">
        <w:rPr>
          <w:rFonts w:asciiTheme="majorBidi" w:hAnsiTheme="majorBidi" w:cstheme="majorBidi"/>
          <w:b/>
          <w:bCs/>
          <w:caps/>
        </w:rPr>
        <w:t>.</w:t>
      </w:r>
      <w:r w:rsidRPr="00F517A5">
        <w:rPr>
          <w:rFonts w:asciiTheme="majorBidi" w:hAnsiTheme="majorBidi" w:cstheme="majorBidi"/>
          <w:b/>
          <w:bCs/>
          <w:caps/>
          <w:snapToGrid w:val="0"/>
          <w:kern w:val="22"/>
        </w:rPr>
        <w:tab/>
      </w:r>
      <w:r>
        <w:rPr>
          <w:rFonts w:asciiTheme="majorBidi" w:hAnsiTheme="majorBidi"/>
          <w:b/>
          <w:snapToGrid w:val="0"/>
        </w:rPr>
        <w:t>Cuestiones de organización</w:t>
      </w:r>
    </w:p>
    <w:p w14:paraId="62762DFA" w14:textId="125FE819" w:rsidR="0096782E" w:rsidRPr="0096782E" w:rsidRDefault="0096782E" w:rsidP="0096782E">
      <w:pPr>
        <w:pStyle w:val="BodyText"/>
        <w:ind w:firstLine="0"/>
        <w:jc w:val="center"/>
        <w:rPr>
          <w:b/>
          <w:bCs/>
        </w:rPr>
      </w:pPr>
      <w:r w:rsidRPr="00BB32F3">
        <w:rPr>
          <w:b/>
          <w:bCs/>
        </w:rPr>
        <w:t>A.</w:t>
      </w:r>
      <w:r w:rsidRPr="00BB32F3">
        <w:rPr>
          <w:b/>
          <w:bCs/>
        </w:rPr>
        <w:tab/>
      </w:r>
      <w:r w:rsidRPr="0096782E">
        <w:rPr>
          <w:b/>
        </w:rPr>
        <w:t>Elección de la Mesa</w:t>
      </w:r>
    </w:p>
    <w:p w14:paraId="6ACEAADB" w14:textId="69AD01FC" w:rsidR="0096782E" w:rsidRPr="00F517A5" w:rsidRDefault="00FF0C65" w:rsidP="006A4072">
      <w:pPr>
        <w:numPr>
          <w:ilvl w:val="0"/>
          <w:numId w:val="4"/>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t>De conformidad con el párrafo 3 del artículo 29 del Protocolo, la Mesa de la Conferencia de las Partes en el Convenio también ofició de Mesa de la Conferencia de las Partes que actúa como reunión de las Partes en el Protocolo de Cartagena</w:t>
      </w:r>
      <w:r>
        <w:rPr>
          <w:iCs/>
          <w:color w:val="000000"/>
          <w:kern w:val="22"/>
        </w:rPr>
        <w:t>.</w:t>
      </w:r>
    </w:p>
    <w:p w14:paraId="157D8800" w14:textId="6A75CA88" w:rsidR="0096782E" w:rsidRPr="00F517A5" w:rsidRDefault="00FF0C65" w:rsidP="006A4072">
      <w:pPr>
        <w:numPr>
          <w:ilvl w:val="0"/>
          <w:numId w:val="4"/>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t>En su primera sesión plenaria, la Conferencia de las Partes que actúa como reunión de las Partes en el Protocolo de Cartagena tomó nota de que el Presidente, los Vicepresidentes y la Relatora, que habían ejercido esas funciones durante la primera parte de la décima reunión, seguirían desempeñándolas, con excepción de dos de los vicepresidentes, que habían sido sustituidos desde entonces</w:t>
      </w:r>
      <w:r w:rsidRPr="00FF0C65">
        <w:rPr>
          <w:rStyle w:val="FootnoteReference"/>
          <w:kern w:val="22"/>
          <w:sz w:val="22"/>
          <w:szCs w:val="22"/>
          <w:u w:val="none"/>
          <w:vertAlign w:val="superscript"/>
        </w:rPr>
        <w:footnoteReference w:customMarkFollows="1" w:id="53"/>
        <w:t>4</w:t>
      </w:r>
      <w:r w:rsidR="0096782E" w:rsidRPr="00F517A5">
        <w:rPr>
          <w:kern w:val="22"/>
          <w:szCs w:val="22"/>
        </w:rPr>
        <w:t>.</w:t>
      </w:r>
    </w:p>
    <w:p w14:paraId="2FABB8CA" w14:textId="689AAC4C" w:rsidR="00E3562C" w:rsidRPr="0096782E" w:rsidRDefault="00FF0C65" w:rsidP="006A4072">
      <w:pPr>
        <w:numPr>
          <w:ilvl w:val="0"/>
          <w:numId w:val="4"/>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t>En la quinta sesión plenaria, el 19 de diciembre de 2022, tras la falta de consenso con respecto a las candidaturas de los miembros de la Mesa y de la Presidencia del Órgano Subsidiario de Asesoramiento Científico, Técnico y Tecnológico, así como la falta de quórum para tomar una decisión al respecto, el Presidente propuso suspender la segunda parte de las reuniones de los tres órganos a fin de permitir que las Partes consideraran el asunto en una continuación de las reuniones, que se convocaría en una fecha posterior</w:t>
      </w:r>
      <w:r w:rsidR="0096782E" w:rsidRPr="00FF0C65">
        <w:rPr>
          <w:rStyle w:val="FootnoteReference"/>
          <w:kern w:val="22"/>
          <w:sz w:val="22"/>
          <w:szCs w:val="22"/>
          <w:u w:val="none"/>
          <w:vertAlign w:val="superscript"/>
        </w:rPr>
        <w:footnoteReference w:customMarkFollows="1" w:id="54"/>
        <w:t>5</w:t>
      </w:r>
      <w:r w:rsidRPr="00F517A5">
        <w:rPr>
          <w:kern w:val="22"/>
          <w:szCs w:val="22"/>
        </w:rPr>
        <w:t>.</w:t>
      </w:r>
    </w:p>
    <w:p w14:paraId="2F13C8AC" w14:textId="77777777" w:rsidR="00C36819" w:rsidRPr="00A202B4" w:rsidRDefault="00C36819" w:rsidP="00C36819">
      <w:pPr>
        <w:pStyle w:val="Para1"/>
        <w:numPr>
          <w:ilvl w:val="0"/>
          <w:numId w:val="0"/>
        </w:numPr>
        <w:rPr>
          <w:b/>
          <w:bCs/>
          <w:lang w:val="es-ES_tradnl"/>
        </w:rPr>
      </w:pPr>
      <w:r w:rsidRPr="00A202B4">
        <w:rPr>
          <w:b/>
          <w:lang w:val="es-ES_tradnl"/>
        </w:rPr>
        <w:t>Continuación de la segunda parte</w:t>
      </w:r>
    </w:p>
    <w:p w14:paraId="36055ADB" w14:textId="77777777" w:rsidR="00E622EA" w:rsidRPr="00A202B4" w:rsidRDefault="00E622EA" w:rsidP="00E622EA">
      <w:pPr>
        <w:keepNext/>
        <w:suppressLineNumbers/>
        <w:suppressAutoHyphens/>
        <w:kinsoku w:val="0"/>
        <w:overflowPunct w:val="0"/>
        <w:autoSpaceDE w:val="0"/>
        <w:autoSpaceDN w:val="0"/>
        <w:spacing w:before="120" w:after="120"/>
        <w:outlineLvl w:val="2"/>
        <w:rPr>
          <w:i/>
          <w:iCs/>
          <w:snapToGrid w:val="0"/>
          <w:kern w:val="22"/>
          <w:szCs w:val="22"/>
          <w:lang w:val="es-ES_tradnl"/>
        </w:rPr>
      </w:pPr>
      <w:bookmarkStart w:id="32" w:name="_Toc879837"/>
      <w:bookmarkEnd w:id="29"/>
      <w:r w:rsidRPr="00A202B4">
        <w:rPr>
          <w:i/>
          <w:snapToGrid w:val="0"/>
          <w:lang w:val="es-ES_tradnl"/>
        </w:rPr>
        <w:t>Elección de los miembros sustitutos de la Mesa</w:t>
      </w:r>
      <w:bookmarkEnd w:id="32"/>
    </w:p>
    <w:p w14:paraId="1B8BFC6E" w14:textId="18E88C78" w:rsidR="00E622EA" w:rsidRPr="00A202B4" w:rsidRDefault="00C4651D" w:rsidP="00E622EA">
      <w:pPr>
        <w:pStyle w:val="Para1"/>
        <w:overflowPunct w:val="0"/>
        <w:autoSpaceDE w:val="0"/>
        <w:autoSpaceDN w:val="0"/>
        <w:snapToGrid w:val="0"/>
        <w:spacing w:before="0"/>
        <w:rPr>
          <w:snapToGrid/>
          <w:szCs w:val="24"/>
          <w:lang w:val="es-ES_tradnl"/>
        </w:rPr>
      </w:pPr>
      <w:r w:rsidRPr="00A202B4">
        <w:rPr>
          <w:lang w:val="es-ES_tradnl"/>
        </w:rPr>
        <w:t xml:space="preserve">En la </w:t>
      </w:r>
      <w:r w:rsidR="008A68E6" w:rsidRPr="00A202B4">
        <w:rPr>
          <w:lang w:val="es-ES_tradnl"/>
        </w:rPr>
        <w:t>sexta</w:t>
      </w:r>
      <w:r w:rsidRPr="00A202B4">
        <w:rPr>
          <w:lang w:val="es-ES_tradnl"/>
        </w:rPr>
        <w:t xml:space="preserve"> sesión plenaria de su 15</w:t>
      </w:r>
      <w:r w:rsidRPr="00A202B4">
        <w:rPr>
          <w:vertAlign w:val="superscript"/>
          <w:lang w:val="es-ES_tradnl"/>
        </w:rPr>
        <w:t>a</w:t>
      </w:r>
      <w:r w:rsidRPr="00A202B4">
        <w:rPr>
          <w:lang w:val="es-ES_tradnl"/>
        </w:rPr>
        <w:t xml:space="preserve"> reunión, el 19 de octubre de 2023, la Conferencia de las Partes </w:t>
      </w:r>
      <w:r w:rsidR="000A202A" w:rsidRPr="00A202B4">
        <w:rPr>
          <w:lang w:val="es-ES_tradnl"/>
        </w:rPr>
        <w:t xml:space="preserve">en el Convenio </w:t>
      </w:r>
      <w:r w:rsidRPr="00A202B4">
        <w:rPr>
          <w:lang w:val="es-ES_tradnl"/>
        </w:rPr>
        <w:t xml:space="preserve">eligió </w:t>
      </w:r>
      <w:r w:rsidR="000A202A" w:rsidRPr="00A202B4">
        <w:rPr>
          <w:lang w:val="es-ES_tradnl"/>
        </w:rPr>
        <w:t xml:space="preserve">diez </w:t>
      </w:r>
      <w:r w:rsidRPr="00A202B4">
        <w:rPr>
          <w:lang w:val="es-ES_tradnl"/>
        </w:rPr>
        <w:t>representantes para integrar la Mesa y eligió también a quienes ocuparían la Presidencia del Órgano Subsidiario de Asesoramiento Científico, Técnico y Tecnológico y la Presidencia del Órgano Subsidiario sobre la Aplicación, todos ellos por un mandato que comenzaría al clausurarse la 15</w:t>
      </w:r>
      <w:r w:rsidR="000A202A" w:rsidRPr="00A202B4">
        <w:rPr>
          <w:vertAlign w:val="superscript"/>
          <w:lang w:val="es-ES_tradnl"/>
        </w:rPr>
        <w:t>a</w:t>
      </w:r>
      <w:r w:rsidRPr="00A202B4">
        <w:rPr>
          <w:lang w:val="es-ES_tradnl"/>
        </w:rPr>
        <w:t> reunión y finalizaría al clausurarse la 16</w:t>
      </w:r>
      <w:r w:rsidRPr="00A202B4">
        <w:rPr>
          <w:vertAlign w:val="superscript"/>
          <w:lang w:val="es-ES_tradnl"/>
        </w:rPr>
        <w:t>a</w:t>
      </w:r>
      <w:r w:rsidR="000A202A" w:rsidRPr="00A202B4">
        <w:rPr>
          <w:lang w:val="es-ES_tradnl"/>
        </w:rPr>
        <w:t> </w:t>
      </w:r>
      <w:r w:rsidRPr="00A202B4">
        <w:rPr>
          <w:lang w:val="es-ES_tradnl"/>
        </w:rPr>
        <w:t>reunión. Dado que los diez miembros de la Mesa que se eligieron representaban a países que también son Partes en el Protocolo de Cartagena, esos miembros conformarían también la Mesa de la 11</w:t>
      </w:r>
      <w:r w:rsidRPr="00A202B4">
        <w:rPr>
          <w:vertAlign w:val="superscript"/>
          <w:lang w:val="es-ES_tradnl"/>
        </w:rPr>
        <w:t>a</w:t>
      </w:r>
      <w:r w:rsidR="000A202A" w:rsidRPr="00A202B4">
        <w:rPr>
          <w:lang w:val="es-ES_tradnl"/>
        </w:rPr>
        <w:t> </w:t>
      </w:r>
      <w:r w:rsidRPr="00A202B4">
        <w:rPr>
          <w:lang w:val="es-ES_tradnl"/>
        </w:rPr>
        <w:t>reunión de la Conferencia de las Partes que actúa como reunión de las Partes en el Protocolo de Cartagena, sin que hubiera necesidad de designar miembros sustitutos. Por la misma razón, las presidencias de los órganos subsidiarios no requirieron sustitutos.</w:t>
      </w:r>
    </w:p>
    <w:p w14:paraId="38A99901" w14:textId="2274875B" w:rsidR="00297FCE" w:rsidRPr="00A202B4" w:rsidRDefault="00515993" w:rsidP="00E622EA">
      <w:pPr>
        <w:pStyle w:val="Para1"/>
        <w:overflowPunct w:val="0"/>
        <w:autoSpaceDE w:val="0"/>
        <w:autoSpaceDN w:val="0"/>
        <w:snapToGrid w:val="0"/>
        <w:spacing w:before="0"/>
        <w:rPr>
          <w:snapToGrid/>
          <w:szCs w:val="24"/>
          <w:lang w:val="es-ES_tradnl"/>
        </w:rPr>
      </w:pPr>
      <w:r w:rsidRPr="00A202B4">
        <w:rPr>
          <w:lang w:val="es-ES_tradnl"/>
        </w:rPr>
        <w:lastRenderedPageBreak/>
        <w:t xml:space="preserve">Por consiguiente, la Mesa quedó conformada por los siguientes miembros: </w:t>
      </w:r>
    </w:p>
    <w:p w14:paraId="7E8CD421" w14:textId="77777777" w:rsidR="003F3790" w:rsidRPr="00A202B4" w:rsidRDefault="003F3790" w:rsidP="006A4072">
      <w:pPr>
        <w:pStyle w:val="Para1"/>
        <w:numPr>
          <w:ilvl w:val="0"/>
          <w:numId w:val="6"/>
        </w:numPr>
        <w:tabs>
          <w:tab w:val="left" w:pos="1080"/>
        </w:tabs>
        <w:spacing w:before="0" w:after="40"/>
        <w:ind w:firstLine="0"/>
        <w:rPr>
          <w:snapToGrid/>
          <w:lang w:val="es-ES_tradnl"/>
        </w:rPr>
      </w:pPr>
      <w:r w:rsidRPr="00A202B4">
        <w:rPr>
          <w:snapToGrid/>
          <w:lang w:val="es-ES_tradnl"/>
        </w:rPr>
        <w:t>Abderahmane Zino Izourar (Argelia)</w:t>
      </w:r>
    </w:p>
    <w:p w14:paraId="6E534990" w14:textId="77777777" w:rsidR="00537DB6" w:rsidRPr="00A202B4" w:rsidRDefault="00537DB6" w:rsidP="006A4072">
      <w:pPr>
        <w:pStyle w:val="Para1"/>
        <w:numPr>
          <w:ilvl w:val="0"/>
          <w:numId w:val="6"/>
        </w:numPr>
        <w:tabs>
          <w:tab w:val="left" w:pos="1080"/>
        </w:tabs>
        <w:overflowPunct w:val="0"/>
        <w:autoSpaceDE w:val="0"/>
        <w:autoSpaceDN w:val="0"/>
        <w:snapToGrid w:val="0"/>
        <w:spacing w:before="0" w:after="40"/>
        <w:ind w:firstLine="0"/>
        <w:rPr>
          <w:snapToGrid/>
          <w:szCs w:val="24"/>
          <w:lang w:val="es-ES_tradnl"/>
        </w:rPr>
      </w:pPr>
      <w:r w:rsidRPr="00A202B4">
        <w:rPr>
          <w:snapToGrid/>
          <w:lang w:val="es-ES_tradnl"/>
        </w:rPr>
        <w:t>Hlobsile Sikhosana (Eswatini)</w:t>
      </w:r>
    </w:p>
    <w:p w14:paraId="4A6A1BD7" w14:textId="77777777" w:rsidR="003F3790" w:rsidRPr="00A202B4" w:rsidRDefault="003F3790" w:rsidP="006A4072">
      <w:pPr>
        <w:pStyle w:val="Para1"/>
        <w:numPr>
          <w:ilvl w:val="0"/>
          <w:numId w:val="6"/>
        </w:numPr>
        <w:tabs>
          <w:tab w:val="left" w:pos="1080"/>
        </w:tabs>
        <w:overflowPunct w:val="0"/>
        <w:autoSpaceDE w:val="0"/>
        <w:autoSpaceDN w:val="0"/>
        <w:snapToGrid w:val="0"/>
        <w:spacing w:before="0" w:after="40"/>
        <w:ind w:firstLine="0"/>
        <w:rPr>
          <w:snapToGrid/>
          <w:szCs w:val="24"/>
          <w:lang w:val="es-ES_tradnl"/>
        </w:rPr>
      </w:pPr>
      <w:r w:rsidRPr="00A202B4">
        <w:rPr>
          <w:snapToGrid/>
          <w:lang w:val="es-ES_tradnl"/>
        </w:rPr>
        <w:t>Somaly Chan (Camboya)</w:t>
      </w:r>
    </w:p>
    <w:p w14:paraId="27E3FD77" w14:textId="77777777" w:rsidR="00537DB6" w:rsidRPr="00A202B4" w:rsidRDefault="00537DB6" w:rsidP="006A4072">
      <w:pPr>
        <w:pStyle w:val="Para1"/>
        <w:numPr>
          <w:ilvl w:val="0"/>
          <w:numId w:val="6"/>
        </w:numPr>
        <w:tabs>
          <w:tab w:val="left" w:pos="1080"/>
        </w:tabs>
        <w:overflowPunct w:val="0"/>
        <w:autoSpaceDE w:val="0"/>
        <w:autoSpaceDN w:val="0"/>
        <w:snapToGrid w:val="0"/>
        <w:spacing w:before="0" w:after="40"/>
        <w:ind w:firstLine="0"/>
        <w:rPr>
          <w:snapToGrid/>
          <w:szCs w:val="24"/>
          <w:lang w:val="es-ES_tradnl"/>
        </w:rPr>
      </w:pPr>
      <w:r w:rsidRPr="00A202B4">
        <w:rPr>
          <w:snapToGrid/>
          <w:lang w:val="es-ES_tradnl"/>
        </w:rPr>
        <w:t>Krishneel Nand (Fiji)</w:t>
      </w:r>
    </w:p>
    <w:p w14:paraId="2FEE18D0" w14:textId="77777777" w:rsidR="00E82730" w:rsidRPr="00A202B4" w:rsidRDefault="00E82730" w:rsidP="006A4072">
      <w:pPr>
        <w:pStyle w:val="Para1"/>
        <w:numPr>
          <w:ilvl w:val="0"/>
          <w:numId w:val="6"/>
        </w:numPr>
        <w:tabs>
          <w:tab w:val="left" w:pos="1080"/>
        </w:tabs>
        <w:overflowPunct w:val="0"/>
        <w:autoSpaceDE w:val="0"/>
        <w:autoSpaceDN w:val="0"/>
        <w:snapToGrid w:val="0"/>
        <w:spacing w:before="0" w:after="40"/>
        <w:ind w:firstLine="0"/>
        <w:rPr>
          <w:rFonts w:asciiTheme="majorBidi" w:eastAsiaTheme="minorEastAsia" w:hAnsiTheme="majorBidi" w:cstheme="majorBidi"/>
          <w:bCs/>
          <w:lang w:val="es-ES_tradnl"/>
        </w:rPr>
      </w:pPr>
      <w:r w:rsidRPr="00A202B4">
        <w:rPr>
          <w:rFonts w:asciiTheme="majorBidi" w:hAnsiTheme="majorBidi"/>
          <w:lang w:val="es-ES_tradnl"/>
        </w:rPr>
        <w:t>Teona Karchava (Georgia)</w:t>
      </w:r>
    </w:p>
    <w:p w14:paraId="6031C36F" w14:textId="5232BE36" w:rsidR="00E82730" w:rsidRPr="00A202B4" w:rsidRDefault="004D3596" w:rsidP="006A4072">
      <w:pPr>
        <w:pStyle w:val="Para1"/>
        <w:numPr>
          <w:ilvl w:val="0"/>
          <w:numId w:val="6"/>
        </w:numPr>
        <w:tabs>
          <w:tab w:val="left" w:pos="1080"/>
        </w:tabs>
        <w:overflowPunct w:val="0"/>
        <w:autoSpaceDE w:val="0"/>
        <w:autoSpaceDN w:val="0"/>
        <w:snapToGrid w:val="0"/>
        <w:spacing w:before="0" w:after="40"/>
        <w:ind w:firstLine="0"/>
        <w:rPr>
          <w:snapToGrid/>
          <w:szCs w:val="24"/>
          <w:lang w:val="es-ES_tradnl"/>
        </w:rPr>
      </w:pPr>
      <w:r w:rsidRPr="00A202B4">
        <w:rPr>
          <w:rFonts w:asciiTheme="majorBidi" w:hAnsiTheme="majorBidi"/>
          <w:lang w:val="es-ES_tradnl"/>
        </w:rPr>
        <w:t>Angela Lozan (República de Moldova)</w:t>
      </w:r>
    </w:p>
    <w:p w14:paraId="4F7B5148" w14:textId="77777777" w:rsidR="003F3790" w:rsidRPr="00A202B4" w:rsidRDefault="003F3790" w:rsidP="006A4072">
      <w:pPr>
        <w:pStyle w:val="Para1"/>
        <w:numPr>
          <w:ilvl w:val="0"/>
          <w:numId w:val="6"/>
        </w:numPr>
        <w:tabs>
          <w:tab w:val="left" w:pos="1080"/>
        </w:tabs>
        <w:overflowPunct w:val="0"/>
        <w:autoSpaceDE w:val="0"/>
        <w:autoSpaceDN w:val="0"/>
        <w:snapToGrid w:val="0"/>
        <w:spacing w:before="0" w:after="40"/>
        <w:ind w:firstLine="0"/>
        <w:rPr>
          <w:snapToGrid/>
          <w:szCs w:val="24"/>
          <w:lang w:val="es-ES_tradnl"/>
        </w:rPr>
      </w:pPr>
      <w:r w:rsidRPr="00A202B4">
        <w:rPr>
          <w:snapToGrid/>
          <w:lang w:val="es-ES_tradnl"/>
        </w:rPr>
        <w:t>María Teresa Becerra Ramírez (Colombia)</w:t>
      </w:r>
    </w:p>
    <w:p w14:paraId="64FA95C2" w14:textId="77777777" w:rsidR="00537DB6" w:rsidRPr="00A202B4" w:rsidRDefault="00537DB6" w:rsidP="006A4072">
      <w:pPr>
        <w:pStyle w:val="Para1"/>
        <w:numPr>
          <w:ilvl w:val="0"/>
          <w:numId w:val="6"/>
        </w:numPr>
        <w:tabs>
          <w:tab w:val="left" w:pos="1080"/>
        </w:tabs>
        <w:overflowPunct w:val="0"/>
        <w:autoSpaceDE w:val="0"/>
        <w:autoSpaceDN w:val="0"/>
        <w:snapToGrid w:val="0"/>
        <w:spacing w:before="0" w:after="40"/>
        <w:ind w:firstLine="0"/>
        <w:rPr>
          <w:snapToGrid/>
          <w:szCs w:val="24"/>
          <w:lang w:val="es-ES_tradnl"/>
        </w:rPr>
      </w:pPr>
      <w:r w:rsidRPr="00A202B4">
        <w:rPr>
          <w:snapToGrid/>
          <w:lang w:val="es-ES_tradnl"/>
        </w:rPr>
        <w:t>Gillian Guthrie (Jamaica)</w:t>
      </w:r>
    </w:p>
    <w:p w14:paraId="78CED38B" w14:textId="77777777" w:rsidR="004D3596" w:rsidRPr="00A202B4" w:rsidRDefault="004D3596" w:rsidP="006A4072">
      <w:pPr>
        <w:pStyle w:val="Para1"/>
        <w:numPr>
          <w:ilvl w:val="0"/>
          <w:numId w:val="6"/>
        </w:numPr>
        <w:tabs>
          <w:tab w:val="left" w:pos="1080"/>
        </w:tabs>
        <w:overflowPunct w:val="0"/>
        <w:autoSpaceDE w:val="0"/>
        <w:autoSpaceDN w:val="0"/>
        <w:snapToGrid w:val="0"/>
        <w:spacing w:before="0" w:after="40"/>
        <w:ind w:firstLine="0"/>
        <w:rPr>
          <w:bCs/>
          <w:lang w:val="es-ES_tradnl"/>
        </w:rPr>
      </w:pPr>
      <w:r w:rsidRPr="00A202B4">
        <w:rPr>
          <w:lang w:val="es-ES_tradnl"/>
        </w:rPr>
        <w:t>Eric Schauls (Luxemburgo)</w:t>
      </w:r>
    </w:p>
    <w:p w14:paraId="16DE79E7" w14:textId="48301CD4" w:rsidR="00537DB6" w:rsidRPr="00A202B4" w:rsidRDefault="00537DB6" w:rsidP="006A4072">
      <w:pPr>
        <w:pStyle w:val="Para1"/>
        <w:numPr>
          <w:ilvl w:val="0"/>
          <w:numId w:val="6"/>
        </w:numPr>
        <w:tabs>
          <w:tab w:val="left" w:pos="1080"/>
        </w:tabs>
        <w:overflowPunct w:val="0"/>
        <w:autoSpaceDE w:val="0"/>
        <w:autoSpaceDN w:val="0"/>
        <w:snapToGrid w:val="0"/>
        <w:spacing w:before="0"/>
        <w:ind w:firstLine="0"/>
        <w:rPr>
          <w:snapToGrid/>
          <w:szCs w:val="24"/>
          <w:lang w:val="es-ES_tradnl"/>
        </w:rPr>
      </w:pPr>
      <w:r w:rsidRPr="00A202B4">
        <w:rPr>
          <w:snapToGrid/>
          <w:lang w:val="es-ES_tradnl"/>
        </w:rPr>
        <w:t>Norbert Bärlocher (Suiza)</w:t>
      </w:r>
    </w:p>
    <w:p w14:paraId="7693F6D5" w14:textId="75EF6185" w:rsidR="0020240C" w:rsidRPr="00A202B4" w:rsidRDefault="0018060B" w:rsidP="0018060B">
      <w:pPr>
        <w:pStyle w:val="Para1"/>
        <w:rPr>
          <w:snapToGrid/>
          <w:szCs w:val="24"/>
          <w:lang w:val="es-ES_tradnl"/>
        </w:rPr>
      </w:pPr>
      <w:r w:rsidRPr="00A202B4">
        <w:rPr>
          <w:snapToGrid/>
          <w:lang w:val="es-ES_tradnl"/>
        </w:rPr>
        <w:t>L</w:t>
      </w:r>
      <w:r w:rsidR="0022049B" w:rsidRPr="00A202B4">
        <w:rPr>
          <w:snapToGrid/>
          <w:lang w:val="es-ES_tradnl"/>
        </w:rPr>
        <w:t>o</w:t>
      </w:r>
      <w:r w:rsidRPr="00A202B4">
        <w:rPr>
          <w:snapToGrid/>
          <w:lang w:val="es-ES_tradnl"/>
        </w:rPr>
        <w:t>s candidat</w:t>
      </w:r>
      <w:r w:rsidR="0022049B" w:rsidRPr="00A202B4">
        <w:rPr>
          <w:snapToGrid/>
          <w:lang w:val="es-ES_tradnl"/>
        </w:rPr>
        <w:t>o</w:t>
      </w:r>
      <w:r w:rsidRPr="00A202B4">
        <w:rPr>
          <w:snapToGrid/>
          <w:lang w:val="es-ES_tradnl"/>
        </w:rPr>
        <w:t>s elegid</w:t>
      </w:r>
      <w:r w:rsidR="0022049B" w:rsidRPr="00A202B4">
        <w:rPr>
          <w:snapToGrid/>
          <w:lang w:val="es-ES_tradnl"/>
        </w:rPr>
        <w:t>o</w:t>
      </w:r>
      <w:r w:rsidRPr="00A202B4">
        <w:rPr>
          <w:snapToGrid/>
          <w:lang w:val="es-ES_tradnl"/>
        </w:rPr>
        <w:t xml:space="preserve">s para ocupar las </w:t>
      </w:r>
      <w:r w:rsidRPr="00A202B4">
        <w:rPr>
          <w:lang w:val="es-ES_tradnl"/>
        </w:rPr>
        <w:t>presidencias</w:t>
      </w:r>
      <w:r w:rsidRPr="00A202B4">
        <w:rPr>
          <w:snapToGrid/>
          <w:lang w:val="es-ES_tradnl"/>
        </w:rPr>
        <w:t xml:space="preserve"> de los órganos subsidiarios fueron l</w:t>
      </w:r>
      <w:r w:rsidR="003D000E" w:rsidRPr="00A202B4">
        <w:rPr>
          <w:snapToGrid/>
          <w:lang w:val="es-ES_tradnl"/>
        </w:rPr>
        <w:t>o</w:t>
      </w:r>
      <w:r w:rsidRPr="00A202B4">
        <w:rPr>
          <w:snapToGrid/>
          <w:lang w:val="es-ES_tradnl"/>
        </w:rPr>
        <w:t>s siguientes:</w:t>
      </w:r>
    </w:p>
    <w:p w14:paraId="49295240" w14:textId="70CA2D8D" w:rsidR="00CD0011" w:rsidRPr="00A202B4" w:rsidRDefault="00AF35EF" w:rsidP="006A4072">
      <w:pPr>
        <w:pStyle w:val="Para1"/>
        <w:numPr>
          <w:ilvl w:val="0"/>
          <w:numId w:val="6"/>
        </w:numPr>
        <w:tabs>
          <w:tab w:val="left" w:pos="1080"/>
        </w:tabs>
        <w:overflowPunct w:val="0"/>
        <w:autoSpaceDE w:val="0"/>
        <w:autoSpaceDN w:val="0"/>
        <w:snapToGrid w:val="0"/>
        <w:spacing w:before="0" w:after="40"/>
        <w:ind w:firstLine="0"/>
        <w:rPr>
          <w:snapToGrid/>
          <w:szCs w:val="24"/>
          <w:lang w:val="es-ES_tradnl"/>
        </w:rPr>
      </w:pPr>
      <w:r w:rsidRPr="00A202B4">
        <w:rPr>
          <w:lang w:val="es-ES_tradnl"/>
        </w:rPr>
        <w:t>Órgano Subsidiario de Asesoramiento Científico, Técnico y Tecnológico:</w:t>
      </w:r>
      <w:r w:rsidRPr="00A202B4">
        <w:rPr>
          <w:snapToGrid/>
          <w:lang w:val="es-ES_tradnl"/>
        </w:rPr>
        <w:t xml:space="preserve"> Senka Barudanović (Bosnia y Herzegovina)</w:t>
      </w:r>
    </w:p>
    <w:p w14:paraId="1680E28D" w14:textId="1B03F944" w:rsidR="00AF35EF" w:rsidRPr="00A202B4" w:rsidRDefault="00AF35EF" w:rsidP="006A4072">
      <w:pPr>
        <w:pStyle w:val="Para1"/>
        <w:numPr>
          <w:ilvl w:val="0"/>
          <w:numId w:val="6"/>
        </w:numPr>
        <w:tabs>
          <w:tab w:val="left" w:pos="1080"/>
        </w:tabs>
        <w:overflowPunct w:val="0"/>
        <w:autoSpaceDE w:val="0"/>
        <w:autoSpaceDN w:val="0"/>
        <w:snapToGrid w:val="0"/>
        <w:spacing w:before="0" w:after="40"/>
        <w:ind w:firstLine="0"/>
        <w:rPr>
          <w:snapToGrid/>
          <w:szCs w:val="24"/>
          <w:lang w:val="es-ES_tradnl"/>
        </w:rPr>
      </w:pPr>
      <w:r w:rsidRPr="00A202B4">
        <w:rPr>
          <w:lang w:val="es-ES_tradnl"/>
        </w:rPr>
        <w:t>Órgano Subsidiario sobre la Aplicación: Chirra Achalender Reddy (India)</w:t>
      </w:r>
    </w:p>
    <w:p w14:paraId="0B4AF43E" w14:textId="3C822401" w:rsidR="00E3562C" w:rsidRPr="00A202B4" w:rsidRDefault="00E3562C" w:rsidP="0093681A">
      <w:pPr>
        <w:pStyle w:val="Heading2"/>
        <w:tabs>
          <w:tab w:val="clear" w:pos="720"/>
        </w:tabs>
        <w:rPr>
          <w:i w:val="0"/>
          <w:iCs w:val="0"/>
          <w:szCs w:val="22"/>
          <w:lang w:val="es-ES_tradnl"/>
        </w:rPr>
      </w:pPr>
      <w:r w:rsidRPr="00A202B4">
        <w:rPr>
          <w:i w:val="0"/>
          <w:lang w:val="es-ES_tradnl"/>
        </w:rPr>
        <w:t>B.</w:t>
      </w:r>
      <w:r w:rsidRPr="00A202B4">
        <w:rPr>
          <w:i w:val="0"/>
          <w:lang w:val="es-ES_tradnl"/>
        </w:rPr>
        <w:tab/>
        <w:t>Adopción del programa</w:t>
      </w:r>
    </w:p>
    <w:p w14:paraId="5D85F08A" w14:textId="519E1CD4" w:rsidR="00E3562C" w:rsidRPr="00A202B4" w:rsidRDefault="00E3562C" w:rsidP="009678B5">
      <w:pPr>
        <w:pStyle w:val="Para1"/>
        <w:rPr>
          <w:rFonts w:asciiTheme="majorBidi" w:eastAsiaTheme="minorEastAsia" w:hAnsiTheme="majorBidi" w:cstheme="majorBidi"/>
          <w:color w:val="000000" w:themeColor="text1"/>
          <w:lang w:val="es-ES_tradnl"/>
        </w:rPr>
      </w:pPr>
      <w:bookmarkStart w:id="33" w:name="_Hlk121915715"/>
      <w:r w:rsidRPr="00A202B4">
        <w:rPr>
          <w:lang w:val="es-ES_tradnl"/>
        </w:rPr>
        <w:t>El programa de la décima reunión de la Conferencia de las Partes que actúa como reunión de las Partes en el Protocolo de Cartagena, adoptado durante la primera parte de la reunión, fue el siguiente:</w:t>
      </w:r>
    </w:p>
    <w:p w14:paraId="293BEEF3" w14:textId="34AC97B8" w:rsidR="00E3562C" w:rsidRPr="00A202B4" w:rsidRDefault="00E3562C" w:rsidP="006A4072">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es-ES_tradnl"/>
        </w:rPr>
      </w:pPr>
      <w:r w:rsidRPr="00A202B4">
        <w:rPr>
          <w:snapToGrid w:val="0"/>
          <w:lang w:val="es-ES_tradnl"/>
        </w:rPr>
        <w:t>Apertura de la reunión.</w:t>
      </w:r>
    </w:p>
    <w:p w14:paraId="7B4ABC36" w14:textId="67E515A8" w:rsidR="00E3562C" w:rsidRPr="00A202B4" w:rsidRDefault="00E3562C" w:rsidP="006A4072">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es-ES_tradnl"/>
        </w:rPr>
      </w:pPr>
      <w:r w:rsidRPr="00A202B4">
        <w:rPr>
          <w:snapToGrid w:val="0"/>
          <w:lang w:val="es-ES_tradnl"/>
        </w:rPr>
        <w:t>Cuestiones de organización.</w:t>
      </w:r>
    </w:p>
    <w:p w14:paraId="7D235EF2" w14:textId="03C9BD99" w:rsidR="00E3562C" w:rsidRPr="00A202B4" w:rsidRDefault="00E3562C" w:rsidP="006A4072">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es-ES_tradnl"/>
        </w:rPr>
      </w:pPr>
      <w:bookmarkStart w:id="34" w:name="_Hlk121915768"/>
      <w:bookmarkEnd w:id="33"/>
      <w:r w:rsidRPr="00A202B4">
        <w:rPr>
          <w:snapToGrid w:val="0"/>
          <w:lang w:val="es-ES_tradnl"/>
        </w:rPr>
        <w:t>Informe sobre las credenciales de los representantes que participan en la décima reunión de la Conferencia de las Partes que actúa como reunión de las Partes en el Protocolo de Cartagena.</w:t>
      </w:r>
    </w:p>
    <w:p w14:paraId="50FE6984" w14:textId="73FB8428" w:rsidR="00E3562C" w:rsidRPr="00A202B4" w:rsidRDefault="00E3562C" w:rsidP="006A4072">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es-ES_tradnl"/>
        </w:rPr>
      </w:pPr>
      <w:r w:rsidRPr="00A202B4">
        <w:rPr>
          <w:snapToGrid w:val="0"/>
          <w:lang w:val="es-ES_tradnl"/>
        </w:rPr>
        <w:t>Informes de los órganos subsidiarios.</w:t>
      </w:r>
    </w:p>
    <w:p w14:paraId="4B22D3AE" w14:textId="4DCC1FDA" w:rsidR="00E3562C" w:rsidRPr="00A202B4" w:rsidRDefault="00E3562C" w:rsidP="006A4072">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es-ES_tradnl"/>
        </w:rPr>
      </w:pPr>
      <w:r w:rsidRPr="00A202B4">
        <w:rPr>
          <w:snapToGrid w:val="0"/>
          <w:lang w:val="es-ES_tradnl"/>
        </w:rPr>
        <w:t>Informe del Comité de Cumplimiento.</w:t>
      </w:r>
    </w:p>
    <w:p w14:paraId="121F952D" w14:textId="17B2D516" w:rsidR="00E3562C" w:rsidRPr="00A202B4" w:rsidRDefault="00E3562C" w:rsidP="006A4072">
      <w:pPr>
        <w:pStyle w:val="ListParagraph"/>
        <w:numPr>
          <w:ilvl w:val="6"/>
          <w:numId w:val="4"/>
        </w:numPr>
        <w:kinsoku w:val="0"/>
        <w:overflowPunct w:val="0"/>
        <w:autoSpaceDE w:val="0"/>
        <w:autoSpaceDN w:val="0"/>
        <w:spacing w:before="120" w:after="120"/>
        <w:ind w:left="1152" w:hanging="720"/>
        <w:jc w:val="left"/>
        <w:rPr>
          <w:bCs/>
          <w:snapToGrid w:val="0"/>
          <w:kern w:val="22"/>
          <w:lang w:val="es-ES_tradnl"/>
        </w:rPr>
      </w:pPr>
      <w:r w:rsidRPr="00A202B4">
        <w:rPr>
          <w:snapToGrid w:val="0"/>
          <w:lang w:val="es-ES_tradnl"/>
        </w:rPr>
        <w:t>Administración del Protocolo y el presupuesto para los fondos fiduciarios.</w:t>
      </w:r>
    </w:p>
    <w:p w14:paraId="60AAA674" w14:textId="362DFD5C" w:rsidR="00E3562C" w:rsidRPr="00A202B4" w:rsidRDefault="00E3562C" w:rsidP="006A4072">
      <w:pPr>
        <w:pStyle w:val="bodytextnoindent"/>
        <w:numPr>
          <w:ilvl w:val="6"/>
          <w:numId w:val="4"/>
        </w:numPr>
        <w:kinsoku w:val="0"/>
        <w:overflowPunct w:val="0"/>
        <w:autoSpaceDE w:val="0"/>
        <w:autoSpaceDN w:val="0"/>
        <w:spacing w:before="120" w:after="120"/>
        <w:ind w:left="1152" w:hanging="720"/>
        <w:jc w:val="left"/>
        <w:rPr>
          <w:snapToGrid w:val="0"/>
          <w:kern w:val="22"/>
          <w:szCs w:val="22"/>
          <w:lang w:val="es-ES_tradnl"/>
        </w:rPr>
      </w:pPr>
      <w:r w:rsidRPr="00A202B4">
        <w:rPr>
          <w:snapToGrid w:val="0"/>
          <w:lang w:val="es-ES_tradnl"/>
        </w:rPr>
        <w:t>Plan de aplicación y plan de creación de capacidad para el Protocolo de Cartagena.</w:t>
      </w:r>
    </w:p>
    <w:p w14:paraId="0DC09872" w14:textId="2502B06E" w:rsidR="00E3562C" w:rsidRPr="00A202B4" w:rsidRDefault="00E3562C" w:rsidP="006A4072">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es-ES_tradnl"/>
        </w:rPr>
      </w:pPr>
      <w:r w:rsidRPr="00A202B4">
        <w:rPr>
          <w:snapToGrid w:val="0"/>
          <w:lang w:val="es-ES_tradnl"/>
        </w:rPr>
        <w:t>Vigilancia y presentación de informes (artículo 33).</w:t>
      </w:r>
    </w:p>
    <w:p w14:paraId="30A4FAE6" w14:textId="39C4DD83" w:rsidR="00E3562C" w:rsidRPr="00A202B4" w:rsidRDefault="00E3562C" w:rsidP="006A4072">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es-ES_tradnl"/>
        </w:rPr>
      </w:pPr>
      <w:r w:rsidRPr="00A202B4">
        <w:rPr>
          <w:snapToGrid w:val="0"/>
          <w:lang w:val="es-ES_tradnl"/>
        </w:rPr>
        <w:t>Evaluación y revisión de la eficacia del Protocolo (artículo 35) y evaluación final del Plan Estratégico para el Protocolo de Cartagena sobre Seguridad de la Biotecnología para el período 2011-2020.</w:t>
      </w:r>
    </w:p>
    <w:p w14:paraId="443A06D9" w14:textId="34322473" w:rsidR="00E3562C" w:rsidRPr="00A202B4" w:rsidRDefault="00E3562C" w:rsidP="006A4072">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es-ES_tradnl"/>
        </w:rPr>
      </w:pPr>
      <w:r w:rsidRPr="00A202B4">
        <w:rPr>
          <w:snapToGrid w:val="0"/>
          <w:lang w:val="es-ES_tradnl"/>
        </w:rPr>
        <w:t>Asuntos relacionados con el mecanismo financiero y los recursos financieros (artículo 28).</w:t>
      </w:r>
    </w:p>
    <w:p w14:paraId="01257CA4" w14:textId="24200636" w:rsidR="00E3562C" w:rsidRPr="00A202B4" w:rsidRDefault="00E3562C" w:rsidP="006A4072">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es-ES_tradnl"/>
        </w:rPr>
      </w:pPr>
      <w:r w:rsidRPr="00A202B4">
        <w:rPr>
          <w:snapToGrid w:val="0"/>
          <w:lang w:val="es-ES_tradnl"/>
        </w:rPr>
        <w:t>Funcionamiento y actividades del Centro de Intercambio de Información sobre Seguridad de la Biotecnología (artículo 20).</w:t>
      </w:r>
    </w:p>
    <w:p w14:paraId="162B4FD6" w14:textId="486A5FF4" w:rsidR="00E3562C" w:rsidRPr="00A202B4" w:rsidRDefault="00E3562C" w:rsidP="006A4072">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es-ES_tradnl"/>
        </w:rPr>
      </w:pPr>
      <w:r w:rsidRPr="00A202B4">
        <w:rPr>
          <w:snapToGrid w:val="0"/>
          <w:lang w:val="es-ES_tradnl"/>
        </w:rPr>
        <w:t>Cooperación con otras organizaciones, convenios e iniciativas.</w:t>
      </w:r>
    </w:p>
    <w:p w14:paraId="16A27753" w14:textId="7970025D" w:rsidR="00E3562C" w:rsidRPr="00A202B4" w:rsidRDefault="00E3562C" w:rsidP="006A4072">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es-ES_tradnl"/>
        </w:rPr>
      </w:pPr>
      <w:r w:rsidRPr="00A202B4">
        <w:rPr>
          <w:snapToGrid w:val="0"/>
          <w:lang w:val="es-ES_tradnl"/>
        </w:rPr>
        <w:t>Revisión de la eficacia de las estructuras y los procesos del Convenio y sus Protocolos.</w:t>
      </w:r>
    </w:p>
    <w:p w14:paraId="71C85B11" w14:textId="4513DC07" w:rsidR="00E3562C" w:rsidRPr="00A202B4" w:rsidRDefault="00E3562C" w:rsidP="006A4072">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es-ES_tradnl"/>
        </w:rPr>
      </w:pPr>
      <w:r w:rsidRPr="00A202B4">
        <w:rPr>
          <w:snapToGrid w:val="0"/>
          <w:lang w:val="es-ES_tradnl"/>
        </w:rPr>
        <w:t>Evaluación del riesgo y gestión del riesgo (artículos 15 y 16).</w:t>
      </w:r>
    </w:p>
    <w:p w14:paraId="2E5A8E4E" w14:textId="618E0151" w:rsidR="00E3562C" w:rsidRPr="00A202B4" w:rsidRDefault="00E3562C" w:rsidP="006A4072">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es-ES_tradnl"/>
        </w:rPr>
      </w:pPr>
      <w:r w:rsidRPr="00A202B4">
        <w:rPr>
          <w:snapToGrid w:val="0"/>
          <w:lang w:val="es-ES_tradnl"/>
        </w:rPr>
        <w:t>Detección e identificación de organismos vivos modificados.</w:t>
      </w:r>
    </w:p>
    <w:p w14:paraId="63121097" w14:textId="5072C507" w:rsidR="00E3562C" w:rsidRPr="00A202B4" w:rsidRDefault="00E3562C" w:rsidP="006A4072">
      <w:pPr>
        <w:pStyle w:val="bodytextnoindent"/>
        <w:numPr>
          <w:ilvl w:val="6"/>
          <w:numId w:val="4"/>
        </w:numPr>
        <w:kinsoku w:val="0"/>
        <w:overflowPunct w:val="0"/>
        <w:autoSpaceDE w:val="0"/>
        <w:autoSpaceDN w:val="0"/>
        <w:spacing w:before="120" w:after="120"/>
        <w:ind w:left="1152" w:hanging="720"/>
        <w:jc w:val="left"/>
        <w:rPr>
          <w:bCs/>
          <w:iCs/>
          <w:snapToGrid w:val="0"/>
          <w:kern w:val="22"/>
          <w:szCs w:val="22"/>
          <w:lang w:val="es-ES_tradnl"/>
        </w:rPr>
      </w:pPr>
      <w:r w:rsidRPr="00A202B4">
        <w:rPr>
          <w:snapToGrid w:val="0"/>
          <w:lang w:val="es-ES_tradnl"/>
        </w:rPr>
        <w:t>Consideraciones socioeconómicas (artículo 26).</w:t>
      </w:r>
    </w:p>
    <w:p w14:paraId="47134AEB" w14:textId="5DFD8099" w:rsidR="00E3562C" w:rsidRPr="00A202B4" w:rsidRDefault="00E3562C" w:rsidP="006A4072">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es-ES_tradnl"/>
        </w:rPr>
      </w:pPr>
      <w:r w:rsidRPr="00A202B4">
        <w:rPr>
          <w:snapToGrid w:val="0"/>
          <w:lang w:val="es-ES_tradnl"/>
        </w:rPr>
        <w:lastRenderedPageBreak/>
        <w:t>Protocolo Suplementario de Nagoya-Kuala Lumpur sobre Responsabilidad y Compensación.</w:t>
      </w:r>
    </w:p>
    <w:p w14:paraId="4A2DFFF3" w14:textId="6B45FF83" w:rsidR="00E3562C" w:rsidRPr="00A202B4" w:rsidRDefault="00E3562C" w:rsidP="006A4072">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es-ES_tradnl"/>
        </w:rPr>
      </w:pPr>
      <w:r w:rsidRPr="00A202B4">
        <w:rPr>
          <w:snapToGrid w:val="0"/>
          <w:lang w:val="es-ES_tradnl"/>
        </w:rPr>
        <w:t>Otros asuntos.</w:t>
      </w:r>
    </w:p>
    <w:p w14:paraId="61C0DA4D" w14:textId="7C769ED0" w:rsidR="00E3562C" w:rsidRPr="00A202B4" w:rsidRDefault="00E3562C" w:rsidP="006A4072">
      <w:pPr>
        <w:pStyle w:val="bodytextnoindent"/>
        <w:numPr>
          <w:ilvl w:val="6"/>
          <w:numId w:val="4"/>
        </w:numPr>
        <w:kinsoku w:val="0"/>
        <w:overflowPunct w:val="0"/>
        <w:autoSpaceDE w:val="0"/>
        <w:autoSpaceDN w:val="0"/>
        <w:spacing w:before="120" w:after="120"/>
        <w:ind w:left="1152" w:hanging="720"/>
        <w:jc w:val="left"/>
        <w:rPr>
          <w:bCs/>
          <w:snapToGrid w:val="0"/>
          <w:kern w:val="22"/>
          <w:szCs w:val="22"/>
          <w:lang w:val="es-ES_tradnl"/>
        </w:rPr>
      </w:pPr>
      <w:r w:rsidRPr="00A202B4">
        <w:rPr>
          <w:snapToGrid w:val="0"/>
          <w:lang w:val="es-ES_tradnl"/>
        </w:rPr>
        <w:t>Adopción del informe.</w:t>
      </w:r>
    </w:p>
    <w:p w14:paraId="3E83B1AF" w14:textId="06A52A1C" w:rsidR="00E3562C" w:rsidRPr="00A202B4" w:rsidRDefault="00E3562C" w:rsidP="007F0EAC">
      <w:pPr>
        <w:pStyle w:val="bodytextnoindent"/>
        <w:kinsoku w:val="0"/>
        <w:overflowPunct w:val="0"/>
        <w:autoSpaceDE w:val="0"/>
        <w:autoSpaceDN w:val="0"/>
        <w:spacing w:before="120" w:after="120"/>
        <w:ind w:left="1152"/>
        <w:jc w:val="left"/>
        <w:rPr>
          <w:bCs/>
          <w:snapToGrid w:val="0"/>
          <w:kern w:val="22"/>
          <w:szCs w:val="22"/>
          <w:lang w:val="es-ES_tradnl"/>
        </w:rPr>
      </w:pPr>
      <w:r w:rsidRPr="00A202B4">
        <w:rPr>
          <w:snapToGrid w:val="0"/>
          <w:lang w:val="es-ES_tradnl"/>
        </w:rPr>
        <w:t>20.</w:t>
      </w:r>
      <w:r w:rsidRPr="00A202B4">
        <w:rPr>
          <w:snapToGrid w:val="0"/>
          <w:lang w:val="es-ES_tradnl"/>
        </w:rPr>
        <w:tab/>
        <w:t>Clausura de la reunión.</w:t>
      </w:r>
    </w:p>
    <w:bookmarkEnd w:id="34"/>
    <w:p w14:paraId="744E9C18" w14:textId="4BBBEB17" w:rsidR="00E3562C" w:rsidRPr="00A202B4" w:rsidRDefault="00E3562C" w:rsidP="0093681A">
      <w:pPr>
        <w:pStyle w:val="Heading2"/>
        <w:tabs>
          <w:tab w:val="clear" w:pos="720"/>
        </w:tabs>
        <w:rPr>
          <w:i w:val="0"/>
          <w:iCs w:val="0"/>
          <w:lang w:val="es-ES_tradnl"/>
        </w:rPr>
      </w:pPr>
      <w:r w:rsidRPr="00A202B4">
        <w:rPr>
          <w:i w:val="0"/>
          <w:lang w:val="es-ES_tradnl"/>
        </w:rPr>
        <w:t>C.</w:t>
      </w:r>
      <w:r w:rsidRPr="00A202B4">
        <w:rPr>
          <w:i w:val="0"/>
          <w:lang w:val="es-ES_tradnl"/>
        </w:rPr>
        <w:tab/>
        <w:t>Organización de los trabajos</w:t>
      </w:r>
    </w:p>
    <w:p w14:paraId="53E0C83A" w14:textId="55507161" w:rsidR="00E3562C" w:rsidRPr="00A202B4" w:rsidRDefault="00E3562C" w:rsidP="006A4072">
      <w:pPr>
        <w:numPr>
          <w:ilvl w:val="0"/>
          <w:numId w:val="4"/>
        </w:numPr>
        <w:suppressLineNumbers/>
        <w:suppressAutoHyphens/>
        <w:kinsoku w:val="0"/>
        <w:overflowPunct w:val="0"/>
        <w:autoSpaceDE w:val="0"/>
        <w:autoSpaceDN w:val="0"/>
        <w:adjustRightInd w:val="0"/>
        <w:snapToGrid w:val="0"/>
        <w:spacing w:before="120" w:after="120"/>
        <w:rPr>
          <w:snapToGrid w:val="0"/>
          <w:kern w:val="22"/>
          <w:szCs w:val="22"/>
          <w:lang w:val="es-ES_tradnl"/>
        </w:rPr>
      </w:pPr>
      <w:bookmarkStart w:id="35" w:name="_Hlk122108880"/>
      <w:r w:rsidRPr="00A202B4">
        <w:rPr>
          <w:lang w:val="es-ES_tradnl"/>
        </w:rPr>
        <w:t xml:space="preserve">En su primera sesión plenaria, la Conferencia de las Partes que actúa como reunión de las Partes en el Protocolo de Cartagena consideró una nota de la Secretaria Ejecutiva sobre la propuesta de organización de los trabajos para la segunda parte de su </w:t>
      </w:r>
      <w:r w:rsidR="0085081B" w:rsidRPr="00A202B4">
        <w:rPr>
          <w:lang w:val="es-ES_tradnl"/>
        </w:rPr>
        <w:t xml:space="preserve">décima </w:t>
      </w:r>
      <w:r w:rsidRPr="00A202B4">
        <w:rPr>
          <w:lang w:val="es-ES_tradnl"/>
        </w:rPr>
        <w:t>reunión (CBD/CP/MOP/10/1/Add.4/Rev.1) y convino en organizar su labor como se establecía en la nota. Los tres órganos, que celebraron la sesión en forma conjunta, establecieron dos grupos de trabajo que les prestarían asistencia y se eligió a Rosemary Paterson (Nueva Zelandia) como Presidenta del Grupo de Trabajo I y a Helena Jeffery Brown (Antigua y Barbuda) como Presidenta del Grupo de Trabajo II.</w:t>
      </w:r>
    </w:p>
    <w:p w14:paraId="7F567561" w14:textId="77777777" w:rsidR="00E3562C" w:rsidRPr="00A202B4" w:rsidRDefault="00E3562C" w:rsidP="003B1E1A">
      <w:pPr>
        <w:pStyle w:val="Heading6"/>
        <w:spacing w:before="120" w:after="120"/>
        <w:ind w:left="0"/>
        <w:rPr>
          <w:i/>
          <w:iCs/>
          <w:u w:val="none"/>
          <w:lang w:val="es-ES_tradnl"/>
        </w:rPr>
      </w:pPr>
      <w:bookmarkStart w:id="36" w:name="_Hlk123387745"/>
      <w:bookmarkEnd w:id="35"/>
      <w:r w:rsidRPr="00A202B4">
        <w:rPr>
          <w:i/>
          <w:u w:val="none"/>
          <w:lang w:val="es-ES_tradnl"/>
        </w:rPr>
        <w:t>Primera sesión de balance</w:t>
      </w:r>
    </w:p>
    <w:bookmarkEnd w:id="36"/>
    <w:p w14:paraId="2BD5C66F" w14:textId="43C5FCE9" w:rsidR="00E33E23" w:rsidRPr="00F517A5" w:rsidRDefault="00F43608" w:rsidP="006A4072">
      <w:pPr>
        <w:numPr>
          <w:ilvl w:val="0"/>
          <w:numId w:val="4"/>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El 10 de diciembre, la Conferencia de las Partes que actúa como reunión de las Partes en el Protocolo de Cartagena mantuvo su segunda sesión plenaria, que sirvió en parte como sesión de balance. La sesión se celebró conjuntamente con la Conferencia de las Partes en el Convenio y la Conferencia de las Partes que actúa como reunión de las Partes en el Protocolo de Nagoya, y las presidencias de los Grupos de Trabajo I y II y del grupo de contacto sobre el presupuesto informaron sobre los progresos realizados hasta esa fecha</w:t>
      </w:r>
      <w:r w:rsidR="00E33E23" w:rsidRPr="00F43608">
        <w:rPr>
          <w:rStyle w:val="FootnoteReference"/>
          <w:sz w:val="22"/>
          <w:szCs w:val="22"/>
          <w:u w:val="none"/>
          <w:vertAlign w:val="superscript"/>
        </w:rPr>
        <w:footnoteReference w:customMarkFollows="1" w:id="55"/>
        <w:t>6</w:t>
      </w:r>
      <w:r w:rsidRPr="00F517A5">
        <w:t>.</w:t>
      </w:r>
    </w:p>
    <w:p w14:paraId="432A509D" w14:textId="257A604A" w:rsidR="00E33E23" w:rsidRPr="00DA09F0" w:rsidRDefault="00F43608" w:rsidP="00E33E23">
      <w:pPr>
        <w:rPr>
          <w:i/>
          <w:iCs/>
        </w:rPr>
      </w:pPr>
      <w:r>
        <w:rPr>
          <w:i/>
        </w:rPr>
        <w:t>Primera reunión de los jefes de delegación</w:t>
      </w:r>
    </w:p>
    <w:p w14:paraId="49636B08" w14:textId="35FC0442" w:rsidR="00E33E23" w:rsidRPr="00F517A5" w:rsidRDefault="00F43608" w:rsidP="006A4072">
      <w:pPr>
        <w:numPr>
          <w:ilvl w:val="0"/>
          <w:numId w:val="4"/>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El 14 de diciembre se celebró una reunión de los jefes de delegación conjuntamente con la Conferencia de las Partes en el Convenio y la Conferencia de las Partes que actúa como reunión de las Partes en el Protocolo de Nagoya a fin de discutir los progresos realizados hasta esa fecha en relación con las cuestiones clave que se estaban considerando</w:t>
      </w:r>
      <w:r w:rsidR="00E33E23" w:rsidRPr="00F43608">
        <w:rPr>
          <w:rStyle w:val="FootnoteReference"/>
          <w:sz w:val="22"/>
          <w:szCs w:val="22"/>
          <w:u w:val="none"/>
          <w:vertAlign w:val="superscript"/>
        </w:rPr>
        <w:footnoteReference w:customMarkFollows="1" w:id="56"/>
        <w:t>7</w:t>
      </w:r>
      <w:r w:rsidRPr="00F517A5">
        <w:t>.</w:t>
      </w:r>
    </w:p>
    <w:p w14:paraId="4FF44033" w14:textId="77777777" w:rsidR="00F43608" w:rsidRPr="00F517A5" w:rsidRDefault="00F43608" w:rsidP="00F43608">
      <w:pPr>
        <w:pStyle w:val="Heading6"/>
        <w:spacing w:before="120" w:after="120"/>
        <w:ind w:left="0"/>
        <w:rPr>
          <w:i/>
          <w:iCs/>
          <w:u w:val="none"/>
        </w:rPr>
      </w:pPr>
      <w:r>
        <w:rPr>
          <w:i/>
          <w:u w:val="none"/>
        </w:rPr>
        <w:t>Consultas ministeriales</w:t>
      </w:r>
    </w:p>
    <w:p w14:paraId="5CE94947" w14:textId="39DCFFF6" w:rsidR="00E33E23" w:rsidRPr="00F517A5" w:rsidRDefault="00F43608" w:rsidP="00F43608">
      <w:pPr>
        <w:pStyle w:val="Para1"/>
        <w:overflowPunct w:val="0"/>
        <w:autoSpaceDE w:val="0"/>
        <w:autoSpaceDN w:val="0"/>
        <w:snapToGrid w:val="0"/>
        <w:spacing w:before="0"/>
      </w:pPr>
      <w:r>
        <w:t>El 15 de diciembre, la Conferencia de las Partes que actúa como reunión de las Partes en el Protocolo de Cartagena celebró la sesión plenaria de apertura de la serie de sesiones de alto nivel de la reunión conjuntamente con la Conferencia de las Partes en el Convenio y la Conferencia de las Partes que actúa como reunión de las Partes en el Protocolo de Nagoya</w:t>
      </w:r>
      <w:r w:rsidR="00E33E23" w:rsidRPr="00F43608">
        <w:rPr>
          <w:rStyle w:val="FootnoteReference"/>
          <w:sz w:val="22"/>
          <w:u w:val="none"/>
          <w:vertAlign w:val="superscript"/>
        </w:rPr>
        <w:footnoteReference w:customMarkFollows="1" w:id="57"/>
        <w:t>8</w:t>
      </w:r>
      <w:r w:rsidRPr="00F517A5">
        <w:t>.</w:t>
      </w:r>
    </w:p>
    <w:p w14:paraId="1B3AEC41" w14:textId="77777777" w:rsidR="00F43608" w:rsidRPr="00F517A5" w:rsidRDefault="00F43608" w:rsidP="00F43608">
      <w:pPr>
        <w:pStyle w:val="Heading6"/>
        <w:spacing w:before="120" w:after="120"/>
        <w:ind w:left="0"/>
        <w:rPr>
          <w:i/>
          <w:iCs/>
          <w:u w:val="none"/>
        </w:rPr>
      </w:pPr>
      <w:r>
        <w:rPr>
          <w:i/>
          <w:u w:val="none"/>
        </w:rPr>
        <w:t>Segunda sesión de balance</w:t>
      </w:r>
    </w:p>
    <w:p w14:paraId="13EBF6CB" w14:textId="2DC135F0" w:rsidR="00E33E23" w:rsidRPr="00F517A5" w:rsidRDefault="00F43608" w:rsidP="00F43608">
      <w:pPr>
        <w:pStyle w:val="Para1"/>
        <w:overflowPunct w:val="0"/>
        <w:autoSpaceDE w:val="0"/>
        <w:autoSpaceDN w:val="0"/>
        <w:snapToGrid w:val="0"/>
        <w:spacing w:before="0"/>
      </w:pPr>
      <w:r>
        <w:t>El 17 de diciembre, la Conferencia de las Partes que actúa como reunión de las Partes en el Protocolo de Cartagena celebró su tercera sesión plenaria, que sirvió como una segunda sesión de balance. La sesión se celebró conjuntamente con la Conferencia de las Partes en el Convenio y la Conferencia de las Partes que actúa como reunión de las Partes en el Protocolo de Nagoya, y las presidencias de los Grupos de Trabajo I y II y del grupo de contacto sobre el presupuesto informaron sobre los progresos realizados hasta esa fecha</w:t>
      </w:r>
      <w:r w:rsidR="00E33E23" w:rsidRPr="00F43608">
        <w:rPr>
          <w:rStyle w:val="FootnoteReference"/>
          <w:sz w:val="22"/>
          <w:u w:val="none"/>
          <w:vertAlign w:val="superscript"/>
        </w:rPr>
        <w:footnoteReference w:customMarkFollows="1" w:id="58"/>
        <w:t>9</w:t>
      </w:r>
      <w:r w:rsidRPr="00F517A5">
        <w:t>.</w:t>
      </w:r>
      <w:bookmarkStart w:id="37" w:name="_Hlk122179754"/>
      <w:bookmarkStart w:id="38" w:name="_Hlk122192162"/>
    </w:p>
    <w:p w14:paraId="7A233CA8" w14:textId="77777777" w:rsidR="00F43608" w:rsidRPr="00F517A5" w:rsidRDefault="00F43608" w:rsidP="00F43608">
      <w:pPr>
        <w:pStyle w:val="Heading6"/>
        <w:spacing w:before="120" w:after="120"/>
        <w:ind w:left="0"/>
        <w:rPr>
          <w:i/>
          <w:iCs/>
          <w:u w:val="none"/>
        </w:rPr>
      </w:pPr>
      <w:r>
        <w:rPr>
          <w:i/>
          <w:u w:val="none"/>
        </w:rPr>
        <w:t>Segunda reunión de los jefes de delegación</w:t>
      </w:r>
    </w:p>
    <w:p w14:paraId="464F61F2" w14:textId="074711AA" w:rsidR="00E33E23" w:rsidRPr="00F517A5" w:rsidRDefault="00F43608" w:rsidP="006A4072">
      <w:pPr>
        <w:numPr>
          <w:ilvl w:val="0"/>
          <w:numId w:val="4"/>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 xml:space="preserve">El 18 de diciembre se celebró una segunda reunión de los jefes de delegación conjuntamente con la Conferencia de las Partes en el Convenio y la Conferencia de las Partes que actúa como reunión de las Partes en el Protocolo de Nagoya a fin de examinar los proyectos de decisión preparados por el Presidente </w:t>
      </w:r>
      <w:r>
        <w:lastRenderedPageBreak/>
        <w:t>para los temas del programa fundamentales en relación con el marco mundial de la diversidad biológica posterior a 2020</w:t>
      </w:r>
      <w:r w:rsidR="00E33E23" w:rsidRPr="00F43608">
        <w:rPr>
          <w:rStyle w:val="FootnoteReference"/>
          <w:sz w:val="22"/>
          <w:szCs w:val="22"/>
          <w:u w:val="none"/>
          <w:vertAlign w:val="superscript"/>
        </w:rPr>
        <w:footnoteReference w:customMarkFollows="1" w:id="59"/>
        <w:t>10</w:t>
      </w:r>
      <w:r w:rsidRPr="00F517A5">
        <w:t>.</w:t>
      </w:r>
    </w:p>
    <w:bookmarkEnd w:id="37"/>
    <w:bookmarkEnd w:id="38"/>
    <w:p w14:paraId="3C38ED91" w14:textId="77777777" w:rsidR="00CF061B" w:rsidRPr="00A202B4" w:rsidRDefault="00CF061B" w:rsidP="00CF061B">
      <w:pPr>
        <w:pStyle w:val="Para1"/>
        <w:numPr>
          <w:ilvl w:val="0"/>
          <w:numId w:val="0"/>
        </w:numPr>
        <w:rPr>
          <w:i/>
          <w:iCs/>
          <w:lang w:val="es-ES_tradnl"/>
        </w:rPr>
      </w:pPr>
      <w:r w:rsidRPr="00A202B4">
        <w:rPr>
          <w:i/>
          <w:lang w:val="es-ES_tradnl"/>
        </w:rPr>
        <w:t>Continuación de la segunda parte</w:t>
      </w:r>
    </w:p>
    <w:p w14:paraId="086C04CE" w14:textId="26D719F4" w:rsidR="00DD330E" w:rsidRPr="00A202B4" w:rsidRDefault="00CF061B" w:rsidP="00775CC2">
      <w:pPr>
        <w:pStyle w:val="Para1"/>
        <w:overflowPunct w:val="0"/>
        <w:autoSpaceDE w:val="0"/>
        <w:autoSpaceDN w:val="0"/>
        <w:snapToGrid w:val="0"/>
        <w:spacing w:before="0"/>
        <w:rPr>
          <w:snapToGrid/>
          <w:szCs w:val="24"/>
          <w:lang w:val="es-ES_tradnl"/>
        </w:rPr>
      </w:pPr>
      <w:r w:rsidRPr="00A202B4">
        <w:rPr>
          <w:lang w:val="es-ES_tradnl"/>
        </w:rPr>
        <w:t>En su sexta sesión plenaria, la Conferencia de las Partes que actúa como reunión de las Partes en el Protocolo de Cartagena consideró un documento preparado por la Secretaría sobre la propuesta de organización de los trabajos para la continuación de la segunda parte de su décima reunión (CBD/CP/MOP/10/1/Add.6, anexo II) y convino en organizar su labor según lo indicado en la propuesta, a</w:t>
      </w:r>
      <w:r w:rsidRPr="00A202B4">
        <w:rPr>
          <w:rStyle w:val="ui-provider"/>
          <w:lang w:val="es-ES_tradnl"/>
        </w:rPr>
        <w:t xml:space="preserve"> excepción de la elección de la Mesa, en el tema 2 del programa, que se realizaría inmediatamente después del examen de las credenciales (tema 3 del programa).</w:t>
      </w:r>
    </w:p>
    <w:p w14:paraId="2FE36BB0" w14:textId="1D9B821B" w:rsidR="00E3562C" w:rsidRPr="00A202B4" w:rsidRDefault="00E3562C" w:rsidP="002D6D61">
      <w:pPr>
        <w:kinsoku w:val="0"/>
        <w:overflowPunct w:val="0"/>
        <w:autoSpaceDE w:val="0"/>
        <w:autoSpaceDN w:val="0"/>
        <w:spacing w:before="240" w:after="120"/>
        <w:ind w:left="1276" w:hanging="1080"/>
        <w:jc w:val="left"/>
        <w:rPr>
          <w:rFonts w:asciiTheme="majorBidi" w:eastAsia="MS Mincho" w:hAnsiTheme="majorBidi" w:cstheme="majorBidi"/>
          <w:b/>
          <w:caps/>
          <w:snapToGrid w:val="0"/>
          <w:kern w:val="22"/>
          <w:szCs w:val="22"/>
          <w:lang w:val="es-ES_tradnl"/>
        </w:rPr>
      </w:pPr>
      <w:r w:rsidRPr="00A202B4">
        <w:rPr>
          <w:rFonts w:asciiTheme="majorBidi" w:hAnsiTheme="majorBidi"/>
          <w:b/>
          <w:snapToGrid w:val="0"/>
          <w:lang w:val="es-ES_tradnl"/>
        </w:rPr>
        <w:t>Tema 3.</w:t>
      </w:r>
      <w:r w:rsidRPr="00A202B4">
        <w:rPr>
          <w:rFonts w:asciiTheme="majorBidi" w:hAnsiTheme="majorBidi"/>
          <w:b/>
          <w:snapToGrid w:val="0"/>
          <w:lang w:val="es-ES_tradnl"/>
        </w:rPr>
        <w:tab/>
        <w:t>Informe sobre las credenciales de los representantes que participan en la décima reunión de la Conferencia de las Partes que actúa como reunión de las Partes en el Protocolo de Cartagena</w:t>
      </w:r>
    </w:p>
    <w:p w14:paraId="7ED4751C" w14:textId="71DAFD07" w:rsidR="00E3562C" w:rsidRPr="00A202B4" w:rsidRDefault="00E3562C" w:rsidP="009678B5">
      <w:pPr>
        <w:pStyle w:val="Para1"/>
        <w:overflowPunct w:val="0"/>
        <w:autoSpaceDE w:val="0"/>
        <w:autoSpaceDN w:val="0"/>
        <w:snapToGrid w:val="0"/>
        <w:spacing w:before="0"/>
        <w:rPr>
          <w:lang w:val="es-ES_tradnl"/>
        </w:rPr>
      </w:pPr>
      <w:bookmarkStart w:id="39" w:name="_Hlk122171160"/>
      <w:r w:rsidRPr="00A202B4">
        <w:rPr>
          <w:lang w:val="es-ES_tradnl"/>
        </w:rPr>
        <w:t>En su primera sesión plenaria, la Conferencia de las Partes que actúa como reunión de las Partes en el Protocolo de Cartagena tomó nota de que, de conformidad con los artículos pertinentes del Reglamento para las reuniones de la Conferencia de las Partes, la Mesa había examinado la lista de observadores admitidos a la reunión (CBD/COP/15/INF/2) y examinaría las credenciales de las delegaciones, e informaría al respecto en una sesión posterior.</w:t>
      </w:r>
    </w:p>
    <w:p w14:paraId="6536F7D2" w14:textId="51C0D96B" w:rsidR="00E3562C" w:rsidRPr="00A202B4" w:rsidRDefault="00E3562C">
      <w:pPr>
        <w:pStyle w:val="Para1"/>
        <w:rPr>
          <w:lang w:val="es-ES_tradnl"/>
        </w:rPr>
      </w:pPr>
      <w:r w:rsidRPr="00A202B4">
        <w:rPr>
          <w:lang w:val="es-ES_tradnl"/>
        </w:rPr>
        <w:t>En consecuencia, en la segunda sesión plenaria, Eric Okoree (Ghana), designado por la Mesa durante la primera parte de la décima reunión como su representante para informar sobre las credenciales, informó a la Conferencia de las Partes que actúa como reunión de las Partes en el Protocolo de Cartagena que 161 Partes estaban inscritas como asistentes a la reunión. La Mesa había examinado las credenciales de los representantes de 122 Partes que asistían a la reunión. Las credenciales de 10</w:t>
      </w:r>
      <w:r w:rsidR="0032095B">
        <w:rPr>
          <w:lang w:val="es-ES_tradnl"/>
        </w:rPr>
        <w:t>5</w:t>
      </w:r>
      <w:r w:rsidRPr="00A202B4">
        <w:rPr>
          <w:lang w:val="es-ES_tradnl"/>
        </w:rPr>
        <w:t> delegaciones se ajustaban plenamente al artículo 18 del Reglamento, mientras que las de 17 delegaciones no lo cumplían plenamente y otras 39 delegaciones no habían presentado sus credenciales hasta esa fecha.</w:t>
      </w:r>
    </w:p>
    <w:p w14:paraId="5287E3DA" w14:textId="167A6B9D" w:rsidR="00E3562C" w:rsidRPr="00A202B4" w:rsidRDefault="00E3562C" w:rsidP="006C2BCD">
      <w:pPr>
        <w:pStyle w:val="Para1"/>
        <w:tabs>
          <w:tab w:val="clear" w:pos="720"/>
        </w:tabs>
        <w:rPr>
          <w:lang w:val="es-ES_tradnl"/>
        </w:rPr>
      </w:pPr>
      <w:bookmarkStart w:id="40" w:name="_Hlk122358179"/>
      <w:bookmarkStart w:id="41" w:name="_Hlk122372233"/>
      <w:bookmarkEnd w:id="39"/>
      <w:r w:rsidRPr="00A202B4">
        <w:rPr>
          <w:lang w:val="es-ES_tradnl"/>
        </w:rPr>
        <w:t>En la cuarta sesión plenaria, el 19 de diciembre de 2022, la Sra. Jeffery Brown, hablando en nombre del Sr. Okoree, presentó el informe sobre las credenciales (CBD/CP/MOP/10/INF/9/Rev.1). Informó a la Conferencia de las Partes que actúa como reunión de las Partes en el Protocolo de Cartagena que 168 Partes estaban inscritas como asistentes a la reunión. La Mesa había examinado las credenciales de los representantes de 148 Partes que asistían a la reunión. Las credenciales de 135 delegaciones se ajustaban plenamente al artículo 18 del Reglamento, mientras que las de 13 delegaciones no lo cumplían plenamente y otras 20 delegaciones no habían presentado sus credenciales hasta esa fecha.</w:t>
      </w:r>
      <w:bookmarkEnd w:id="40"/>
    </w:p>
    <w:p w14:paraId="30A142E1" w14:textId="162E1A95" w:rsidR="00E3562C" w:rsidRPr="00A202B4" w:rsidRDefault="00E3562C" w:rsidP="006C2BCD">
      <w:pPr>
        <w:pStyle w:val="Para1"/>
        <w:tabs>
          <w:tab w:val="clear" w:pos="720"/>
        </w:tabs>
        <w:rPr>
          <w:lang w:val="es-ES_tradnl"/>
        </w:rPr>
      </w:pPr>
      <w:r w:rsidRPr="00A202B4">
        <w:rPr>
          <w:lang w:val="es-ES_tradnl"/>
        </w:rPr>
        <w:t xml:space="preserve">Varios jefes de delegación habían firmado una declaración que indicaba que presentarían sus credenciales, en la forma apropiada y en su versión original, a la Secretaria Ejecutiva dentro de un plazo de 30 días después de la clausura de la reunión y a más tardar el 19 de enero de 2023. Conforme a la práctica seguida anteriormente, la Conferencia de las Partes que actúa como reunión de las Partes en el Protocolo de Cartagena aceptó la propuesta de la Mesa de que se permitiera </w:t>
      </w:r>
      <w:r w:rsidR="00A707B0" w:rsidRPr="00A202B4">
        <w:rPr>
          <w:lang w:val="es-ES_tradnl"/>
        </w:rPr>
        <w:t xml:space="preserve">participar en la reunión en forma provisional </w:t>
      </w:r>
      <w:r w:rsidRPr="00A202B4">
        <w:rPr>
          <w:lang w:val="es-ES_tradnl"/>
        </w:rPr>
        <w:t>a aquellas delegaciones que aún debían presentar sus credenciales o que habían presentado credenciales que no se ajustaban plenamente a las disposiciones del artículo 18.</w:t>
      </w:r>
    </w:p>
    <w:p w14:paraId="259D7B8D" w14:textId="6F522F5B" w:rsidR="00E3562C" w:rsidRPr="00A202B4" w:rsidRDefault="00E3562C" w:rsidP="00F335A7">
      <w:pPr>
        <w:pStyle w:val="Para1"/>
        <w:rPr>
          <w:lang w:val="es-ES_tradnl"/>
        </w:rPr>
      </w:pPr>
      <w:r w:rsidRPr="00A202B4">
        <w:rPr>
          <w:lang w:val="es-ES_tradnl"/>
        </w:rPr>
        <w:t>Al 18 de diciembre de 2022, se habían presentado credenciales oficiales expedidas por el Jefe de Estado o de Gobierno o por el Ministro de Relaciones Exteriores o, en el caso de una organización de integración económica regional, por la autoridad competente, se</w:t>
      </w:r>
      <w:r w:rsidR="00A707B0" w:rsidRPr="00A202B4">
        <w:rPr>
          <w:lang w:val="es-ES_tradnl"/>
        </w:rPr>
        <w:t>gún lo</w:t>
      </w:r>
      <w:r w:rsidRPr="00A202B4">
        <w:rPr>
          <w:lang w:val="es-ES_tradnl"/>
        </w:rPr>
        <w:t xml:space="preserve"> establec</w:t>
      </w:r>
      <w:r w:rsidR="00A707B0" w:rsidRPr="00A202B4">
        <w:rPr>
          <w:lang w:val="es-ES_tradnl"/>
        </w:rPr>
        <w:t>ido</w:t>
      </w:r>
      <w:r w:rsidRPr="00A202B4">
        <w:rPr>
          <w:lang w:val="es-ES_tradnl"/>
        </w:rPr>
        <w:t xml:space="preserve"> en el artículo 18 del Reglamento, para los representantes de las siguientes 135 Partes que participaban en la segunda parte de la décima reunión: Albania, Alemania, Angola, Antigua y Barbuda, Argelia, Armenia, Austria, Azerbaiyán, Bahamas, Bahrein, Bangladesh, Barbados, Belarús, Bélgica, Belice, Benin, Bhután, Bolivia (Estado Plurinacional de), Bosnia y Herzegovina, Botswana, Brasil, Bulgaria, Burkina Faso, Cabo Verde, Camboya, Camerún, Chequia, China, Chipre, Colombia, Costa Rica, Côte d’Ivoire, Croacia, Cuba, Dinamarca, Ecuador, Egipto, El Salvador, Emiratos Árabes Unidos, Eritrea, Eslovaquia, Eslovenia, España, Estado de </w:t>
      </w:r>
      <w:r w:rsidRPr="00A202B4">
        <w:rPr>
          <w:lang w:val="es-ES_tradnl"/>
        </w:rPr>
        <w:lastRenderedPageBreak/>
        <w:t>Palestina, Estonia, Eswatini, Etiopía, Fiji, Filipinas, Finlandia, Francia, Gambia, Georgia, Ghana, Granada, Grecia, Guatemala, Guinea Bissau, Guyana, Hungría, India, Indonesia, Irán (República Islámica del), Irlanda, Italia, Jamaica, Japón, Kenya, Kirguistán, Kiribati, Kuwait, Lesotho, Liberia, Lituania, Luxemburgo, Macedonia del Norte, Madagascar, Malawi, Maldivas</w:t>
      </w:r>
      <w:r w:rsidR="00B12565">
        <w:rPr>
          <w:lang w:val="es-ES_tradnl"/>
        </w:rPr>
        <w:t xml:space="preserve"> </w:t>
      </w:r>
      <w:r w:rsidRPr="00A202B4">
        <w:rPr>
          <w:lang w:val="es-ES_tradnl"/>
        </w:rPr>
        <w:t>, Malta, Marruecos, Mauricio, Mauritania, México, Mongolia, Mozambique, Namibia, Nicaragua, Níger, Nigeria, Niue, Noruega, Nueva Zelandia, Omán, Países Bajos (Reino de los), Palau, Panamá, Paraguay, Perú, Polonia, Portugal, Qatar, Reino Unido, República Árabe Siria, República de Corea, República de Moldova, República Dominicana, República Unida de Tanzanía, Rumania, Rwanda, Saint Kitts y Nevis, Samoa, Santa Lucía, Serbia, Seychelles, Sudáfrica, Sudán, Suecia, Suiza, Suriname, Tailandia, Tayikistán, Togo, Tonga, Trinidad y Tabago, Túnez, Türkiye, Uganda, Unión Europea, Uruguay, Uzbekistán, Viet Nam, Yemen, Zambia y Zimbabwe.</w:t>
      </w:r>
    </w:p>
    <w:p w14:paraId="7CE9D7A8" w14:textId="36113A98" w:rsidR="00E3562C" w:rsidRPr="00A202B4" w:rsidRDefault="00E3562C" w:rsidP="007C6892">
      <w:pPr>
        <w:pStyle w:val="Para1"/>
        <w:rPr>
          <w:spacing w:val="-2"/>
          <w:lang w:val="es-ES_tradnl"/>
        </w:rPr>
      </w:pPr>
      <w:r w:rsidRPr="00A202B4">
        <w:rPr>
          <w:spacing w:val="-2"/>
          <w:lang w:val="es-ES_tradnl"/>
        </w:rPr>
        <w:t>Al 19 de enero de 2023, otras ocho Partes habían presentado credenciales válidas, a saber: Arabia Saudita, Gabón, Honduras, Islas Salomón, Malasia, Malí, Sri Lanka y Venezuela (República Bolivariana de).</w:t>
      </w:r>
    </w:p>
    <w:p w14:paraId="484A134A" w14:textId="77777777" w:rsidR="00CF061B" w:rsidRPr="00A202B4" w:rsidRDefault="00CF061B" w:rsidP="00CF061B">
      <w:pPr>
        <w:pStyle w:val="Para1"/>
        <w:numPr>
          <w:ilvl w:val="0"/>
          <w:numId w:val="0"/>
        </w:numPr>
        <w:rPr>
          <w:i/>
          <w:iCs/>
          <w:lang w:val="es-ES_tradnl"/>
        </w:rPr>
      </w:pPr>
      <w:bookmarkStart w:id="42" w:name="_Hlk148636745"/>
      <w:r w:rsidRPr="00A202B4">
        <w:rPr>
          <w:i/>
          <w:lang w:val="es-ES_tradnl"/>
        </w:rPr>
        <w:t>Continuación de la segunda parte</w:t>
      </w:r>
    </w:p>
    <w:bookmarkEnd w:id="42"/>
    <w:p w14:paraId="5CD2DFD0" w14:textId="6BC928D9" w:rsidR="00CF061B" w:rsidRPr="00A202B4" w:rsidRDefault="00CF061B" w:rsidP="00CF061B">
      <w:pPr>
        <w:pStyle w:val="Para1"/>
        <w:overflowPunct w:val="0"/>
        <w:autoSpaceDE w:val="0"/>
        <w:autoSpaceDN w:val="0"/>
        <w:snapToGrid w:val="0"/>
        <w:spacing w:before="0"/>
        <w:rPr>
          <w:lang w:val="es-ES_tradnl"/>
        </w:rPr>
      </w:pPr>
      <w:r w:rsidRPr="00A202B4">
        <w:rPr>
          <w:lang w:val="es-ES_tradnl"/>
        </w:rPr>
        <w:t>En la sexta sesión plenaria, el Sr. Okoree informó a la Conferencia de las Partes que actúa como reunión de las Partes en el Protocolo de Cartagena que 129 Partes estaban inscritas como asistentes a la continuación de la segunda parte de la reunión. La Mesa había examinado las credenciales de los representantes de 123 Partes que asistían a la reunión. Las credenciales de 122 delegaciones se ajustaban plenamente al artículo 18 del Reglamento, mientras que las de 1 delegación no lo cumplían plenamente y otras 6 delegaciones no habían presentado sus credenciales hasta esa fecha.</w:t>
      </w:r>
    </w:p>
    <w:p w14:paraId="20E117EA" w14:textId="356C7F6F" w:rsidR="00CF061B" w:rsidRPr="00A202B4" w:rsidRDefault="00CF061B" w:rsidP="00CF061B">
      <w:pPr>
        <w:pStyle w:val="Para1"/>
        <w:overflowPunct w:val="0"/>
        <w:autoSpaceDE w:val="0"/>
        <w:autoSpaceDN w:val="0"/>
        <w:snapToGrid w:val="0"/>
        <w:spacing w:before="0"/>
        <w:rPr>
          <w:snapToGrid/>
          <w:szCs w:val="24"/>
          <w:lang w:val="es-ES_tradnl"/>
        </w:rPr>
      </w:pPr>
      <w:r w:rsidRPr="00A202B4">
        <w:rPr>
          <w:lang w:val="es-ES_tradnl"/>
        </w:rPr>
        <w:t xml:space="preserve">La Conferencia de las Partes que actúa como reunión de las Partes en el Protocolo tomó nota del informe sobre las credenciales de los representantes. </w:t>
      </w:r>
    </w:p>
    <w:bookmarkEnd w:id="41"/>
    <w:p w14:paraId="092852DE" w14:textId="6734DAF6" w:rsidR="00CE587A" w:rsidRPr="00A202B4" w:rsidRDefault="00C85724" w:rsidP="00F153C5">
      <w:pPr>
        <w:pStyle w:val="Para1"/>
        <w:rPr>
          <w:snapToGrid/>
          <w:szCs w:val="24"/>
          <w:lang w:val="es-ES_tradnl"/>
        </w:rPr>
      </w:pPr>
      <w:r w:rsidRPr="00A202B4">
        <w:rPr>
          <w:lang w:val="es-ES_tradnl"/>
        </w:rPr>
        <w:t xml:space="preserve">En la séptima sesión plenaria, el 20 de octubre de 2023, la Secretaría presentó una actualización sobre las credenciales. A esa fecha, se habían recibido credenciales válidas de las siguientes 123 Partes en el Protocolo de Cartagena: </w:t>
      </w:r>
      <w:r w:rsidR="00F153C5" w:rsidRPr="00A202B4">
        <w:rPr>
          <w:lang w:val="es-ES_tradnl"/>
        </w:rPr>
        <w:t>Alemania, Angola, Antigua y Barbuda, Arabia Saudita, Argelia, Armenia, Austria, Azerbaiyán, Bangladesh, Barbados, Belarús, Bélgica, Benin, Bhután, Bosnia y Herzegovina, Brasil, Bulgaria, Burkina Faso, Burundi, Cabo Verde, Camboya, Camerún, Chequia, China, Colombia, Costa Rica, Côte d’Ivoire, Croacia, Cuba, Dinamarca, Djibouti, Egipto, Emiratos Árabes Unidos, Eritrea, Eslovaquia, Eslovenia, España, Estado de Palestina, Estonia, Eswatini, Fiji, Filipinas, Finlandia, Francia, Gabón, Gambia, Georgia, Ghana, Granada, Grecia, Guatemala, Guinea-Bissau, Hungría, India, Indonesia, Irlanda, Italia, Jamaica, Japón, Jordania, Kenya, Kiribati, Kuwait, Lesotho, Letonia, Liberia, Lituania, Luxemburgo, Madagascar, Malasia, Malawi, Maldivas, Malí, Marruecos, Mauricio, México, Montenegro, Mozambique, Namibia, Nicaragua, Nigeria, Noruega, Nueva Zelandia, Omán, Países Bajos (Reino de los), Pakistán, Perú, Portugal, Qatar, Reino Unido, República Árabe Siria, República Centroafricana, República de Corea, República de Moldova, República Democrática del Congo, República Dominicana, Rumania, Rwanda, Saint Kitts y Nevis, Santa Lucia, Senegal, Seychelles, Sierra Leone, Sri Lanka, Sudáfrica, Sudán, Suecia, Suiza, Tailandia, Tayikistán, Togo, Tonga, Trinidad y Tabago, Túnez, Türkiye, Ucrania, Uganda, Unión Europea, Uruguay, Venezuela (República Bolivariana de), Yemen, Zambia y Zimbabwe</w:t>
      </w:r>
      <w:r w:rsidRPr="00A202B4">
        <w:rPr>
          <w:lang w:val="es-ES_tradnl"/>
        </w:rPr>
        <w:t>.</w:t>
      </w:r>
    </w:p>
    <w:p w14:paraId="42A715DB" w14:textId="55E53A40" w:rsidR="00E3562C" w:rsidRPr="00A202B4" w:rsidRDefault="00E3562C" w:rsidP="0093681A">
      <w:pPr>
        <w:keepNext/>
        <w:kinsoku w:val="0"/>
        <w:overflowPunct w:val="0"/>
        <w:autoSpaceDE w:val="0"/>
        <w:autoSpaceDN w:val="0"/>
        <w:spacing w:before="240" w:after="120"/>
        <w:jc w:val="center"/>
        <w:rPr>
          <w:rFonts w:asciiTheme="majorBidi" w:hAnsiTheme="majorBidi" w:cstheme="majorBidi"/>
          <w:b/>
          <w:bCs/>
          <w:caps/>
          <w:snapToGrid w:val="0"/>
          <w:kern w:val="22"/>
          <w:lang w:val="es-ES_tradnl"/>
        </w:rPr>
      </w:pPr>
      <w:r w:rsidRPr="00A202B4">
        <w:rPr>
          <w:rFonts w:asciiTheme="majorBidi" w:hAnsiTheme="majorBidi"/>
          <w:b/>
          <w:snapToGrid w:val="0"/>
          <w:lang w:val="es-ES_tradnl"/>
        </w:rPr>
        <w:t>Tema 4.</w:t>
      </w:r>
      <w:r w:rsidRPr="00A202B4">
        <w:rPr>
          <w:rFonts w:asciiTheme="majorBidi" w:hAnsiTheme="majorBidi"/>
          <w:b/>
          <w:caps/>
          <w:snapToGrid w:val="0"/>
          <w:lang w:val="es-ES_tradnl"/>
        </w:rPr>
        <w:tab/>
      </w:r>
      <w:r w:rsidRPr="00A202B4">
        <w:rPr>
          <w:rFonts w:asciiTheme="majorBidi" w:hAnsiTheme="majorBidi"/>
          <w:b/>
          <w:snapToGrid w:val="0"/>
          <w:lang w:val="es-ES_tradnl"/>
        </w:rPr>
        <w:t>Informes de los órganos subsidiarios</w:t>
      </w:r>
    </w:p>
    <w:p w14:paraId="02BAEF38" w14:textId="7723E46A" w:rsidR="00E3562C" w:rsidRPr="00A202B4" w:rsidRDefault="00E3562C" w:rsidP="009678B5">
      <w:pPr>
        <w:pStyle w:val="Para1"/>
        <w:rPr>
          <w:lang w:val="es-ES_tradnl"/>
        </w:rPr>
      </w:pPr>
      <w:bookmarkStart w:id="43" w:name="_Hlk122171820"/>
      <w:r w:rsidRPr="00A202B4">
        <w:rPr>
          <w:lang w:val="es-ES_tradnl"/>
        </w:rPr>
        <w:t>En su primera sesión plenaria, la Conferencia de las Partes que actúa como reunión de las Partes en el Protocolo de Cartagena tuvo ante sí los informes sobre la labor realizada entre períodos de sesiones desde la primera parte de su 10ª reunión, a saber: el informe del Órgano Subsidiario de Asesoramiento Científico, Técnico y Tecnológico sobre su 24ª reunión (CBD/SBSTTA/24/12), el informe del Órgano Subsidiario sobre la Aplicación sobre su 3ª reunión (CBD/SBI/3/21) y los informes del Grupo de Trabajo de Composición Abierta sobre el Marco Mundial de la Diversidad Biológica posterior a 2020 sobre la segunda parte de su 3ª reunión y sobre sus reuniones 4ª y 5ª (CBD/WG2020/3/7, CBD/WG2020/4/4 y CBD/WG2020/5/5, respectivamente).</w:t>
      </w:r>
    </w:p>
    <w:p w14:paraId="24E5DD42" w14:textId="7BDE5887" w:rsidR="00E3562C" w:rsidRPr="00A202B4" w:rsidRDefault="00E3562C" w:rsidP="00541561">
      <w:pPr>
        <w:pStyle w:val="Para1"/>
        <w:overflowPunct w:val="0"/>
        <w:autoSpaceDE w:val="0"/>
        <w:autoSpaceDN w:val="0"/>
        <w:snapToGrid w:val="0"/>
        <w:spacing w:before="0"/>
        <w:rPr>
          <w:lang w:val="es-ES_tradnl"/>
        </w:rPr>
      </w:pPr>
      <w:r w:rsidRPr="00A202B4">
        <w:rPr>
          <w:lang w:val="es-ES_tradnl"/>
        </w:rPr>
        <w:t xml:space="preserve">Seguidamente, la Conferencia de las Partes que actúa como reunión de las Partes en el Protocolo de Cartagena escuchó informes orales de las </w:t>
      </w:r>
      <w:r w:rsidR="00F153C5" w:rsidRPr="00A202B4">
        <w:rPr>
          <w:lang w:val="es-ES_tradnl"/>
        </w:rPr>
        <w:t>p</w:t>
      </w:r>
      <w:r w:rsidRPr="00A202B4">
        <w:rPr>
          <w:lang w:val="es-ES_tradnl"/>
        </w:rPr>
        <w:t xml:space="preserve">residencias del Órgano Subsidiario de Asesoramiento </w:t>
      </w:r>
      <w:r w:rsidRPr="00A202B4">
        <w:rPr>
          <w:lang w:val="es-ES_tradnl"/>
        </w:rPr>
        <w:lastRenderedPageBreak/>
        <w:t xml:space="preserve">Científico, Técnico y Tecnológico y del Órgano Subsidiario sobre la Aplicación y las </w:t>
      </w:r>
      <w:r w:rsidR="00F153C5" w:rsidRPr="00A202B4">
        <w:rPr>
          <w:lang w:val="es-ES_tradnl"/>
        </w:rPr>
        <w:t>c</w:t>
      </w:r>
      <w:r w:rsidRPr="00A202B4">
        <w:rPr>
          <w:lang w:val="es-ES_tradnl"/>
        </w:rPr>
        <w:t>opresidencias del Grupo de Trabajo de Composición Abierta sobre el Marco Mundial de la Diversidad Biológica posterior a</w:t>
      </w:r>
      <w:r w:rsidR="00745E9E" w:rsidRPr="00A202B4">
        <w:rPr>
          <w:lang w:val="es-ES_tradnl"/>
        </w:rPr>
        <w:t> </w:t>
      </w:r>
      <w:r w:rsidRPr="00A202B4">
        <w:rPr>
          <w:lang w:val="es-ES_tradnl"/>
        </w:rPr>
        <w:t>2020.</w:t>
      </w:r>
    </w:p>
    <w:p w14:paraId="2165EFD1" w14:textId="43EEE544" w:rsidR="00E3562C" w:rsidRPr="00A202B4" w:rsidRDefault="00E3562C" w:rsidP="00541561">
      <w:pPr>
        <w:pStyle w:val="Para1"/>
        <w:overflowPunct w:val="0"/>
        <w:autoSpaceDE w:val="0"/>
        <w:autoSpaceDN w:val="0"/>
        <w:snapToGrid w:val="0"/>
        <w:spacing w:before="0"/>
        <w:rPr>
          <w:lang w:val="es-ES_tradnl"/>
        </w:rPr>
      </w:pPr>
      <w:r w:rsidRPr="00A202B4">
        <w:rPr>
          <w:lang w:val="es-ES_tradnl"/>
        </w:rPr>
        <w:t>La Conferencia de las Partes que actúa como reunión de las Partes en el Protocolo de Cartagena tomó nota de la información proporcionada y convino en considerar las recomendaciones de los órganos subsidiarios cuando tratara los temas correspondientes del programa.</w:t>
      </w:r>
    </w:p>
    <w:bookmarkEnd w:id="43"/>
    <w:p w14:paraId="1EFE4103" w14:textId="664E62CA" w:rsidR="00E3562C" w:rsidRPr="00A202B4" w:rsidRDefault="00E3562C" w:rsidP="0093681A">
      <w:pPr>
        <w:keepNext/>
        <w:kinsoku w:val="0"/>
        <w:overflowPunct w:val="0"/>
        <w:autoSpaceDE w:val="0"/>
        <w:autoSpaceDN w:val="0"/>
        <w:spacing w:before="240" w:after="120"/>
        <w:jc w:val="center"/>
        <w:outlineLvl w:val="0"/>
        <w:rPr>
          <w:rFonts w:asciiTheme="majorBidi" w:hAnsiTheme="majorBidi" w:cstheme="majorBidi"/>
          <w:b/>
          <w:bCs/>
          <w:caps/>
          <w:snapToGrid w:val="0"/>
          <w:kern w:val="22"/>
          <w:lang w:val="es-ES_tradnl"/>
        </w:rPr>
      </w:pPr>
      <w:r w:rsidRPr="00A202B4">
        <w:rPr>
          <w:rFonts w:asciiTheme="majorBidi" w:hAnsiTheme="majorBidi"/>
          <w:b/>
          <w:snapToGrid w:val="0"/>
          <w:lang w:val="es-ES_tradnl"/>
        </w:rPr>
        <w:t>Tema 5.</w:t>
      </w:r>
      <w:r w:rsidRPr="00A202B4">
        <w:rPr>
          <w:rFonts w:asciiTheme="majorBidi" w:hAnsiTheme="majorBidi"/>
          <w:b/>
          <w:snapToGrid w:val="0"/>
          <w:lang w:val="es-ES_tradnl"/>
        </w:rPr>
        <w:tab/>
        <w:t>Informe del Comité de Cumplimiento</w:t>
      </w:r>
    </w:p>
    <w:p w14:paraId="01267023" w14:textId="7C5D35A6" w:rsidR="00E3562C" w:rsidRPr="00A202B4" w:rsidRDefault="00E3562C" w:rsidP="00575F20">
      <w:pPr>
        <w:pStyle w:val="Para1"/>
        <w:suppressLineNumbers/>
        <w:suppressAutoHyphens/>
        <w:kinsoku w:val="0"/>
        <w:overflowPunct w:val="0"/>
        <w:autoSpaceDE w:val="0"/>
        <w:autoSpaceDN w:val="0"/>
        <w:snapToGrid w:val="0"/>
        <w:rPr>
          <w:lang w:val="es-ES_tradnl"/>
        </w:rPr>
      </w:pPr>
      <w:r w:rsidRPr="00A202B4">
        <w:rPr>
          <w:lang w:val="es-ES_tradnl"/>
        </w:rPr>
        <w:t>En la primera sesión plenaria, la Presidencia del Comité de Cumplimiento del Protocolo de Cartagena hizo una breve reseña del informe del Comité de Cumplimiento sobre la labor realizada en sus reuniones</w:t>
      </w:r>
      <w:r w:rsidR="00745E9E" w:rsidRPr="00A202B4">
        <w:rPr>
          <w:lang w:val="es-ES_tradnl"/>
        </w:rPr>
        <w:t> </w:t>
      </w:r>
      <w:r w:rsidRPr="00A202B4">
        <w:rPr>
          <w:lang w:val="es-ES_tradnl"/>
        </w:rPr>
        <w:t>16ª</w:t>
      </w:r>
      <w:r w:rsidR="00745E9E" w:rsidRPr="00A202B4">
        <w:rPr>
          <w:lang w:val="es-ES_tradnl"/>
        </w:rPr>
        <w:t> </w:t>
      </w:r>
      <w:r w:rsidRPr="00A202B4">
        <w:rPr>
          <w:lang w:val="es-ES_tradnl"/>
        </w:rPr>
        <w:t>y</w:t>
      </w:r>
      <w:r w:rsidR="00745E9E" w:rsidRPr="00A202B4">
        <w:rPr>
          <w:lang w:val="es-ES_tradnl"/>
        </w:rPr>
        <w:t> </w:t>
      </w:r>
      <w:r w:rsidRPr="00A202B4">
        <w:rPr>
          <w:lang w:val="es-ES_tradnl"/>
        </w:rPr>
        <w:t>17ª, que figuraba en el documento CBD/CP/MOP/10/2, y que había sido presentado íntegramente durante la primera parte de la 10ª reunión de la Conferencia de las Partes que actúa como reunión de las Partes en el Protocolo de Cartagena.</w:t>
      </w:r>
      <w:r w:rsidRPr="00A202B4">
        <w:rPr>
          <w:rFonts w:asciiTheme="majorBidi" w:hAnsiTheme="majorBidi"/>
          <w:color w:val="000000"/>
          <w:lang w:val="es-ES_tradnl"/>
        </w:rPr>
        <w:t xml:space="preserve"> De acuerdo con la organización de los trabajos, las cuestiones sustanciales deriva</w:t>
      </w:r>
      <w:r w:rsidR="0032095B">
        <w:rPr>
          <w:rFonts w:asciiTheme="majorBidi" w:hAnsiTheme="majorBidi"/>
          <w:color w:val="000000"/>
          <w:lang w:val="es-ES_tradnl"/>
        </w:rPr>
        <w:t>das del informe se remitieron a</w:t>
      </w:r>
      <w:r w:rsidRPr="00A202B4">
        <w:rPr>
          <w:rFonts w:asciiTheme="majorBidi" w:hAnsiTheme="majorBidi"/>
          <w:color w:val="000000"/>
          <w:lang w:val="es-ES_tradnl"/>
        </w:rPr>
        <w:t>l Grupo de Trabajo II para su examen.</w:t>
      </w:r>
    </w:p>
    <w:p w14:paraId="3FAA6B02" w14:textId="18E2C4C1" w:rsidR="00671090" w:rsidRPr="00A202B4" w:rsidRDefault="008C35AD" w:rsidP="00671090">
      <w:pPr>
        <w:pStyle w:val="Para1"/>
        <w:rPr>
          <w:lang w:val="es-ES_tradnl"/>
        </w:rPr>
      </w:pPr>
      <w:r>
        <w:t>En atención a la notificación núm. 2022-054, emitida por la Secretaría el 1 de septiembre de 2022, la Conferencia de las Partes que actúa como reunión de las Partes en el Protocolo de Cartagena prorrogó el mandato de cinco miembros del Comité, uno de cada región, por dos años más. También se acordó que más adelante en la reunión se elegirían diez nuevos miembros, dos de cada región, para sustituir a los diez miembros indicados en el anexo de la notificación, cuyos mandatos finaliza</w:t>
      </w:r>
      <w:r w:rsidR="006A2F5C">
        <w:t>rían el 31 de diciembre de 2022</w:t>
      </w:r>
      <w:r w:rsidRPr="006A2F5C">
        <w:rPr>
          <w:rStyle w:val="FootnoteReference"/>
          <w:sz w:val="22"/>
          <w:u w:val="none"/>
          <w:vertAlign w:val="superscript"/>
        </w:rPr>
        <w:footnoteReference w:customMarkFollows="1" w:id="60"/>
        <w:t>11</w:t>
      </w:r>
      <w:r w:rsidR="006A2F5C" w:rsidRPr="00A67D29">
        <w:t>.</w:t>
      </w:r>
    </w:p>
    <w:p w14:paraId="1C1BF474" w14:textId="5A37E54C" w:rsidR="008C4661" w:rsidRPr="00A202B4" w:rsidRDefault="008C4661" w:rsidP="002D6D61">
      <w:pPr>
        <w:pStyle w:val="Para1"/>
        <w:rPr>
          <w:bCs/>
          <w:lang w:val="es-ES_tradnl"/>
        </w:rPr>
      </w:pPr>
      <w:r w:rsidRPr="00A202B4">
        <w:rPr>
          <w:lang w:val="es-ES_tradnl"/>
        </w:rPr>
        <w:t>El Grupo de Trabajo II consideró el tema 5 del programa en su segunda reunión, el 8 de diciembre de 2022. Tuvo ante sí un proyecto de decisión basado en las recomendaciones del Comité de Cumplimiento contenidas en el anexo del documento CBD/CP/MOP/10/2, que figuraba en la recopilación de proyectos de de</w:t>
      </w:r>
      <w:r w:rsidR="00F46569">
        <w:rPr>
          <w:lang w:val="es-ES_tradnl"/>
        </w:rPr>
        <w:t>cisión (CBD/CP/MOP/10/1/Add.5).</w:t>
      </w:r>
    </w:p>
    <w:p w14:paraId="777DBDBC" w14:textId="375F2EEF" w:rsidR="008C4661" w:rsidRPr="00A202B4" w:rsidRDefault="008C4661" w:rsidP="008C4661">
      <w:pPr>
        <w:pStyle w:val="Para1"/>
        <w:rPr>
          <w:lang w:val="es-ES_tradnl"/>
        </w:rPr>
      </w:pPr>
      <w:r w:rsidRPr="00A202B4">
        <w:rPr>
          <w:lang w:val="es-ES_tradnl"/>
        </w:rPr>
        <w:t>El representante de la Unión Europea y sus 27 Estados mi</w:t>
      </w:r>
      <w:r w:rsidR="00F46569">
        <w:rPr>
          <w:lang w:val="es-ES_tradnl"/>
        </w:rPr>
        <w:t>embros formuló una declaración.</w:t>
      </w:r>
    </w:p>
    <w:p w14:paraId="2DE4CCF5" w14:textId="52946BB2" w:rsidR="008C4661" w:rsidRPr="00A202B4" w:rsidRDefault="00851BFC" w:rsidP="008C4661">
      <w:pPr>
        <w:pStyle w:val="Para1"/>
        <w:rPr>
          <w:lang w:val="es-ES_tradnl"/>
        </w:rPr>
      </w:pPr>
      <w:r w:rsidRPr="00A202B4">
        <w:rPr>
          <w:lang w:val="es-ES_tradnl"/>
        </w:rPr>
        <w:t>El Grupo de Trabajo II acordó que su Presidenta prepararía un proyecto de decisión revisado</w:t>
      </w:r>
      <w:r w:rsidR="00745E9E" w:rsidRPr="00A202B4">
        <w:rPr>
          <w:lang w:val="es-ES_tradnl"/>
        </w:rPr>
        <w:t xml:space="preserve"> para su consideración</w:t>
      </w:r>
      <w:r w:rsidRPr="00A202B4">
        <w:rPr>
          <w:lang w:val="es-ES_tradnl"/>
        </w:rPr>
        <w:t xml:space="preserve">, teniendo en </w:t>
      </w:r>
      <w:r w:rsidR="00745E9E" w:rsidRPr="00A202B4">
        <w:rPr>
          <w:lang w:val="es-ES_tradnl"/>
        </w:rPr>
        <w:t>cuenta la declaración formulada</w:t>
      </w:r>
      <w:r w:rsidRPr="00A202B4">
        <w:rPr>
          <w:lang w:val="es-ES_tradnl"/>
        </w:rPr>
        <w:t>.</w:t>
      </w:r>
    </w:p>
    <w:p w14:paraId="56D38378" w14:textId="2968D127" w:rsidR="008C4661" w:rsidRPr="00A202B4" w:rsidRDefault="008C4661" w:rsidP="002D6D61">
      <w:pPr>
        <w:pStyle w:val="Para1"/>
        <w:rPr>
          <w:lang w:val="es-ES_tradnl"/>
        </w:rPr>
      </w:pPr>
      <w:r w:rsidRPr="00A202B4">
        <w:rPr>
          <w:lang w:val="es-ES_tradnl"/>
        </w:rPr>
        <w:t>En su cuarta reunión, el 9 de diciembre de 2022, el Grupo de Trabajo II consideró el proyecto de decisión revisado presentado por su Presidenta y lo aprobó para que fuera remitido a la sesión plenaria como proyecto de decisión CBD/CP/MOP/10/L.3.</w:t>
      </w:r>
    </w:p>
    <w:p w14:paraId="153DAF2A" w14:textId="0C4BAA25" w:rsidR="00CB4649" w:rsidRPr="00A202B4" w:rsidRDefault="00CB4649" w:rsidP="00CB4649">
      <w:pPr>
        <w:pStyle w:val="Para1"/>
        <w:suppressLineNumbers/>
        <w:suppressAutoHyphens/>
        <w:kinsoku w:val="0"/>
        <w:overflowPunct w:val="0"/>
        <w:autoSpaceDE w:val="0"/>
        <w:autoSpaceDN w:val="0"/>
        <w:snapToGrid w:val="0"/>
        <w:rPr>
          <w:lang w:val="es-ES_tradnl"/>
        </w:rPr>
      </w:pPr>
      <w:r w:rsidRPr="00A202B4">
        <w:rPr>
          <w:lang w:val="es-ES_tradnl"/>
        </w:rPr>
        <w:t>En su segunda sesión plenaria, la Conferencia de las Partes que actúa como reunión de las Partes en el Protocolo de Cartagena adoptó el proyecto de decisión como decisión CP</w:t>
      </w:r>
      <w:r w:rsidRPr="00A202B4">
        <w:rPr>
          <w:lang w:val="es-ES_tradnl"/>
        </w:rPr>
        <w:noBreakHyphen/>
        <w:t>10/2.</w:t>
      </w:r>
    </w:p>
    <w:p w14:paraId="68481991" w14:textId="77777777" w:rsidR="00E622EA" w:rsidRPr="00A202B4" w:rsidRDefault="00E622EA" w:rsidP="00E622EA">
      <w:pPr>
        <w:pStyle w:val="Para1"/>
        <w:numPr>
          <w:ilvl w:val="0"/>
          <w:numId w:val="0"/>
        </w:numPr>
        <w:rPr>
          <w:i/>
          <w:iCs/>
          <w:lang w:val="es-ES_tradnl"/>
        </w:rPr>
      </w:pPr>
      <w:r w:rsidRPr="00A202B4">
        <w:rPr>
          <w:i/>
          <w:lang w:val="es-ES_tradnl"/>
        </w:rPr>
        <w:t>Continuación de la segunda parte</w:t>
      </w:r>
    </w:p>
    <w:p w14:paraId="3109AE9C" w14:textId="2DF01407" w:rsidR="00E622EA" w:rsidRPr="00A202B4" w:rsidRDefault="00944936" w:rsidP="00E622EA">
      <w:pPr>
        <w:pStyle w:val="Para1"/>
        <w:overflowPunct w:val="0"/>
        <w:autoSpaceDE w:val="0"/>
        <w:autoSpaceDN w:val="0"/>
        <w:snapToGrid w:val="0"/>
        <w:spacing w:before="0"/>
        <w:rPr>
          <w:snapToGrid/>
          <w:szCs w:val="24"/>
          <w:lang w:val="es-ES_tradnl"/>
        </w:rPr>
      </w:pPr>
      <w:r w:rsidRPr="00A202B4">
        <w:rPr>
          <w:lang w:val="es-ES_tradnl"/>
        </w:rPr>
        <w:t>En su séptima sesión plenaria, la Conferencia de las Partes que actúa como reunión de las Partes en el Protocolo de Cartagena señaló que en su reunión celebrada en mayo de 2023, y dada la incertidumbre que existía en aquel momento en cuanto a la fecha de reanudación de la reunión, la Mesa había convenido prorrogar hasta el 31 de diciembre de 2024 los mandatos de los miembros, a fin de permitir al Comité de Cumplimiento continuar con su labor entre períodos de sesiones.</w:t>
      </w:r>
    </w:p>
    <w:p w14:paraId="7EB5D2E0" w14:textId="00CE2641" w:rsidR="002C4E28" w:rsidRPr="00A202B4" w:rsidRDefault="002C4E28" w:rsidP="00E622EA">
      <w:pPr>
        <w:pStyle w:val="Para1"/>
        <w:overflowPunct w:val="0"/>
        <w:autoSpaceDE w:val="0"/>
        <w:autoSpaceDN w:val="0"/>
        <w:snapToGrid w:val="0"/>
        <w:spacing w:before="0"/>
        <w:rPr>
          <w:snapToGrid/>
          <w:szCs w:val="24"/>
          <w:lang w:val="es-ES_tradnl"/>
        </w:rPr>
      </w:pPr>
      <w:r w:rsidRPr="00A202B4">
        <w:rPr>
          <w:lang w:val="es-ES_tradnl"/>
        </w:rPr>
        <w:t xml:space="preserve">La Conferencia de las Partes que actúa como reunión de las Partes en el Protocolo </w:t>
      </w:r>
      <w:r w:rsidR="00745E9E" w:rsidRPr="00A202B4">
        <w:rPr>
          <w:lang w:val="es-ES_tradnl"/>
        </w:rPr>
        <w:t xml:space="preserve">de Cartagena </w:t>
      </w:r>
      <w:r w:rsidRPr="00A202B4">
        <w:rPr>
          <w:lang w:val="es-ES_tradnl"/>
        </w:rPr>
        <w:t>ratificó la prórroga de los mandatos de los miembros y los observadores en cuestión.</w:t>
      </w:r>
    </w:p>
    <w:p w14:paraId="1EEDD7E3" w14:textId="305E6123" w:rsidR="00D623E5" w:rsidRPr="00A202B4" w:rsidRDefault="00E0630E" w:rsidP="0093681A">
      <w:pPr>
        <w:keepNext/>
        <w:keepLines/>
        <w:kinsoku w:val="0"/>
        <w:overflowPunct w:val="0"/>
        <w:autoSpaceDE w:val="0"/>
        <w:autoSpaceDN w:val="0"/>
        <w:spacing w:before="240" w:after="120"/>
        <w:jc w:val="center"/>
        <w:outlineLvl w:val="0"/>
        <w:rPr>
          <w:rFonts w:asciiTheme="majorBidi" w:hAnsiTheme="majorBidi" w:cstheme="majorBidi"/>
          <w:b/>
          <w:bCs/>
          <w:caps/>
          <w:snapToGrid w:val="0"/>
          <w:kern w:val="22"/>
          <w:lang w:val="es-ES_tradnl"/>
        </w:rPr>
      </w:pPr>
      <w:r w:rsidRPr="00A202B4">
        <w:rPr>
          <w:rFonts w:asciiTheme="majorBidi" w:hAnsiTheme="majorBidi"/>
          <w:b/>
          <w:snapToGrid w:val="0"/>
          <w:lang w:val="es-ES_tradnl"/>
        </w:rPr>
        <w:lastRenderedPageBreak/>
        <w:t>Tema 6.</w:t>
      </w:r>
      <w:r w:rsidRPr="00A202B4">
        <w:rPr>
          <w:rFonts w:asciiTheme="majorBidi" w:hAnsiTheme="majorBidi"/>
          <w:b/>
          <w:snapToGrid w:val="0"/>
          <w:lang w:val="es-ES_tradnl"/>
        </w:rPr>
        <w:tab/>
        <w:t>Administración del Protocolo y el presupuesto para los fondos fiduciarios</w:t>
      </w:r>
    </w:p>
    <w:p w14:paraId="7A7787C3" w14:textId="21E25CE1" w:rsidR="00BD4A18" w:rsidRPr="00A202B4" w:rsidRDefault="00BD4A18" w:rsidP="0032095B">
      <w:pPr>
        <w:pStyle w:val="Para1"/>
        <w:keepNext/>
        <w:keepLines/>
        <w:overflowPunct w:val="0"/>
        <w:autoSpaceDE w:val="0"/>
        <w:autoSpaceDN w:val="0"/>
        <w:snapToGrid w:val="0"/>
        <w:spacing w:before="0"/>
        <w:rPr>
          <w:lang w:val="es-ES_tradnl"/>
        </w:rPr>
      </w:pPr>
      <w:r w:rsidRPr="00A202B4">
        <w:rPr>
          <w:lang w:val="es-ES_tradnl"/>
        </w:rPr>
        <w:t>En la primera sesión plenaria, la Secretaria Ejecutiva informó sobre las actividades de la Secretaría y presentó el proyecto de presupuesto para los programas de trabajo del Convenio y sus Protocolos para el bienio 2023</w:t>
      </w:r>
      <w:r w:rsidRPr="00A202B4">
        <w:rPr>
          <w:lang w:val="es-ES_tradnl"/>
        </w:rPr>
        <w:sym w:font="Symbol" w:char="F02D"/>
      </w:r>
      <w:r w:rsidR="0032095B">
        <w:rPr>
          <w:lang w:val="es-ES_tradnl"/>
        </w:rPr>
        <w:t>2024 (CBD/COP/15/7).</w:t>
      </w:r>
    </w:p>
    <w:p w14:paraId="56A03B0D" w14:textId="0DEADA56" w:rsidR="00BD4A18" w:rsidRPr="00A202B4" w:rsidRDefault="00BD4A18" w:rsidP="00BD4A18">
      <w:pPr>
        <w:pStyle w:val="Para1"/>
        <w:overflowPunct w:val="0"/>
        <w:autoSpaceDE w:val="0"/>
        <w:autoSpaceDN w:val="0"/>
        <w:snapToGrid w:val="0"/>
        <w:spacing w:before="0"/>
        <w:rPr>
          <w:lang w:val="es-ES_tradnl"/>
        </w:rPr>
      </w:pPr>
      <w:bookmarkStart w:id="44" w:name="_Hlk122437381"/>
      <w:r w:rsidRPr="00A202B4">
        <w:rPr>
          <w:lang w:val="es-ES_tradnl"/>
        </w:rPr>
        <w:t>Los tres órganos establecieron un grupo de contacto sobre el presupuesto, presidido por Hamdallah Zedan (Egipto), con el mandato de examinar el proyecto de presupuesto para el bienio 2023</w:t>
      </w:r>
      <w:r w:rsidRPr="00A202B4">
        <w:rPr>
          <w:lang w:val="es-ES_tradnl"/>
        </w:rPr>
        <w:sym w:font="Symbol" w:char="F02D"/>
      </w:r>
      <w:r w:rsidRPr="00A202B4">
        <w:rPr>
          <w:lang w:val="es-ES_tradnl"/>
        </w:rPr>
        <w:t>2024 en detalle.</w:t>
      </w:r>
    </w:p>
    <w:p w14:paraId="35727777" w14:textId="3952353F" w:rsidR="00D532B8" w:rsidRPr="00A202B4" w:rsidRDefault="00D532B8" w:rsidP="006A4072">
      <w:pPr>
        <w:numPr>
          <w:ilvl w:val="0"/>
          <w:numId w:val="4"/>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es-ES_tradnl"/>
        </w:rPr>
      </w:pPr>
      <w:r w:rsidRPr="00A202B4">
        <w:rPr>
          <w:snapToGrid w:val="0"/>
          <w:lang w:val="es-ES_tradnl"/>
        </w:rPr>
        <w:t>El Presidente del grupo de contacto sobre el presupuesto informó sobre la labor del grupo en las dos sesiones plenarias de balance.</w:t>
      </w:r>
    </w:p>
    <w:p w14:paraId="035DE7C0" w14:textId="1450B53F" w:rsidR="00D532B8" w:rsidRPr="00A202B4" w:rsidRDefault="00D532B8" w:rsidP="006A4072">
      <w:pPr>
        <w:numPr>
          <w:ilvl w:val="0"/>
          <w:numId w:val="4"/>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val="es-ES_tradnl"/>
        </w:rPr>
      </w:pPr>
      <w:r w:rsidRPr="00A202B4">
        <w:rPr>
          <w:lang w:val="es-ES_tradnl"/>
        </w:rPr>
        <w:t>En la quinta sesión plenaria, el Presidente del grupo de contacto sobre el presupuesto presentó su informe final sobre la labor del grupo.</w:t>
      </w:r>
    </w:p>
    <w:p w14:paraId="670A4042" w14:textId="5E275673" w:rsidR="003210BF" w:rsidRPr="00A202B4" w:rsidRDefault="00E8261B" w:rsidP="003210BF">
      <w:pPr>
        <w:pStyle w:val="Para1"/>
        <w:rPr>
          <w:lang w:val="es-ES_tradnl"/>
        </w:rPr>
      </w:pPr>
      <w:r w:rsidRPr="00A202B4">
        <w:rPr>
          <w:lang w:val="es-ES_tradnl"/>
        </w:rPr>
        <w:t xml:space="preserve">Seguidamente, la Conferencia de las Partes que actúa como reunión de las Partes en el Protocolo de Cartagena consideró el proyecto de decisión CBD/CP/MOP/10/L.15 presentado por el Presidente del grupo de contacto sobre el presupuesto y lo adoptó como decisión CP-10/14. </w:t>
      </w:r>
    </w:p>
    <w:bookmarkEnd w:id="44"/>
    <w:p w14:paraId="682F999A" w14:textId="5093CAAA" w:rsidR="00827FC7" w:rsidRPr="00A202B4" w:rsidRDefault="00E0630E" w:rsidP="00E51D38">
      <w:pPr>
        <w:keepNext/>
        <w:tabs>
          <w:tab w:val="left" w:pos="851"/>
        </w:tabs>
        <w:kinsoku w:val="0"/>
        <w:overflowPunct w:val="0"/>
        <w:autoSpaceDE w:val="0"/>
        <w:autoSpaceDN w:val="0"/>
        <w:spacing w:before="240" w:after="120"/>
        <w:ind w:left="1710" w:right="6" w:hanging="990"/>
        <w:jc w:val="left"/>
        <w:outlineLvl w:val="0"/>
        <w:rPr>
          <w:rFonts w:asciiTheme="majorBidi" w:hAnsiTheme="majorBidi" w:cstheme="majorBidi"/>
          <w:b/>
          <w:bCs/>
          <w:caps/>
          <w:snapToGrid w:val="0"/>
          <w:kern w:val="22"/>
          <w:lang w:val="es-ES_tradnl"/>
        </w:rPr>
      </w:pPr>
      <w:r w:rsidRPr="00A202B4">
        <w:rPr>
          <w:rFonts w:asciiTheme="majorBidi" w:hAnsiTheme="majorBidi"/>
          <w:b/>
          <w:snapToGrid w:val="0"/>
          <w:lang w:val="es-ES_tradnl"/>
        </w:rPr>
        <w:t>Tema 7.</w:t>
      </w:r>
      <w:r w:rsidRPr="00A202B4">
        <w:rPr>
          <w:rFonts w:asciiTheme="majorBidi" w:hAnsiTheme="majorBidi"/>
          <w:b/>
          <w:snapToGrid w:val="0"/>
          <w:lang w:val="es-ES_tradnl"/>
        </w:rPr>
        <w:tab/>
        <w:t>Plan de aplicación y plan de acción para la creación de capacidad</w:t>
      </w:r>
      <w:r w:rsidR="00E51D38" w:rsidRPr="00A202B4">
        <w:rPr>
          <w:rFonts w:asciiTheme="majorBidi" w:hAnsiTheme="majorBidi"/>
          <w:b/>
          <w:snapToGrid w:val="0"/>
          <w:lang w:val="es-ES_tradnl"/>
        </w:rPr>
        <w:br/>
      </w:r>
      <w:r w:rsidRPr="00A202B4">
        <w:rPr>
          <w:rFonts w:asciiTheme="majorBidi" w:hAnsiTheme="majorBidi"/>
          <w:b/>
          <w:snapToGrid w:val="0"/>
          <w:lang w:val="es-ES_tradnl"/>
        </w:rPr>
        <w:t>para el Protocolo de Cartagena</w:t>
      </w:r>
    </w:p>
    <w:p w14:paraId="252FFB64" w14:textId="7C0B4EA3" w:rsidR="00F511DD" w:rsidRPr="00A202B4" w:rsidRDefault="00F511DD" w:rsidP="002D6D61">
      <w:pPr>
        <w:pStyle w:val="Para1"/>
        <w:rPr>
          <w:bCs/>
          <w:lang w:val="es-ES_tradnl"/>
        </w:rPr>
      </w:pPr>
      <w:r w:rsidRPr="00A202B4">
        <w:rPr>
          <w:lang w:val="es-ES_tradnl"/>
        </w:rPr>
        <w:t>El Grupo de Trabajo II consideró el tema 7 del programa en su primera reunión, el 7 de diciembre de 2022. Tuvo ante sí dos proyectos de decisión basados en la recomendación 3/4 del Órgano Subsidiario sobre la Aplicación, que figuraban en la recopilación de proyectos de decisión.</w:t>
      </w:r>
      <w:r w:rsidRPr="00A202B4">
        <w:rPr>
          <w:i/>
          <w:color w:val="FF0000"/>
          <w:lang w:val="es-ES_tradnl"/>
        </w:rPr>
        <w:t xml:space="preserve"> </w:t>
      </w:r>
    </w:p>
    <w:p w14:paraId="3CCBEC5E" w14:textId="28F45803" w:rsidR="00F511DD" w:rsidRPr="00A202B4" w:rsidRDefault="00F511DD" w:rsidP="00F511DD">
      <w:pPr>
        <w:pStyle w:val="Para1"/>
        <w:rPr>
          <w:lang w:val="es-ES_tradnl"/>
        </w:rPr>
      </w:pPr>
      <w:r w:rsidRPr="00A202B4">
        <w:rPr>
          <w:lang w:val="es-ES_tradnl"/>
        </w:rPr>
        <w:t>Formularon declaraciones los representantes de las siguientes Partes: Brasil, Noruega y Unión Europea y sus 27 Estados miembros.</w:t>
      </w:r>
    </w:p>
    <w:p w14:paraId="76379F19" w14:textId="4418CF39" w:rsidR="00F511DD" w:rsidRPr="00A202B4" w:rsidRDefault="00615937" w:rsidP="00F511DD">
      <w:pPr>
        <w:pStyle w:val="Para1"/>
        <w:rPr>
          <w:lang w:val="es-ES_tradnl"/>
        </w:rPr>
      </w:pPr>
      <w:r w:rsidRPr="00A202B4">
        <w:rPr>
          <w:lang w:val="es-ES_tradnl"/>
        </w:rPr>
        <w:t>El Grupo de Trabajo II acordó establecer un grupo de contacto presidido por Rita Andorkò (Hungría) y Rigobert Ntep (Camerún) encargado de resolver las cuestiones relacionadas con el texto entre corchete</w:t>
      </w:r>
      <w:r w:rsidR="00F46569">
        <w:rPr>
          <w:lang w:val="es-ES_tradnl"/>
        </w:rPr>
        <w:t>s en los proyectos de decisión.</w:t>
      </w:r>
    </w:p>
    <w:p w14:paraId="4EDF70D3" w14:textId="0E0610ED" w:rsidR="00F511DD" w:rsidRPr="00A202B4" w:rsidRDefault="00F511DD" w:rsidP="00F511DD">
      <w:pPr>
        <w:pStyle w:val="Para1"/>
        <w:rPr>
          <w:lang w:val="es-ES_tradnl"/>
        </w:rPr>
      </w:pPr>
      <w:r w:rsidRPr="00A202B4">
        <w:rPr>
          <w:lang w:val="es-ES_tradnl"/>
        </w:rPr>
        <w:t>En su sexta reunión, el 10 de diciembre de 2022, el Grupo de Trabajo II escuchó un informe provisional sobre la labor del grupo de contacto.</w:t>
      </w:r>
    </w:p>
    <w:p w14:paraId="6CF83A79" w14:textId="061C3A18" w:rsidR="00F511DD" w:rsidRPr="00A202B4" w:rsidRDefault="00F511DD" w:rsidP="00F511DD">
      <w:pPr>
        <w:pStyle w:val="Para1"/>
        <w:rPr>
          <w:lang w:val="es-ES_tradnl"/>
        </w:rPr>
      </w:pPr>
      <w:r w:rsidRPr="00A202B4">
        <w:rPr>
          <w:lang w:val="es-ES_tradnl"/>
        </w:rPr>
        <w:t>En su séptima reunión, el 13 de diciembre de 2022, el Grupo de Trabajo II escuchó otro informe sobre la labor del grupo de contacto.</w:t>
      </w:r>
    </w:p>
    <w:p w14:paraId="6CBD7189" w14:textId="24D6BDFC" w:rsidR="00F511DD" w:rsidRPr="00A202B4" w:rsidRDefault="00F511DD" w:rsidP="00F511DD">
      <w:pPr>
        <w:pStyle w:val="Para1"/>
        <w:rPr>
          <w:lang w:val="es-ES_tradnl"/>
        </w:rPr>
      </w:pPr>
      <w:r w:rsidRPr="00A202B4">
        <w:rPr>
          <w:lang w:val="es-ES_tradnl"/>
        </w:rPr>
        <w:t>En su octava reunión, el 13 de diciembre de 2022, el Grupo de Trabajo II consideró dos proyectos de decisión revisados presentados por su Presidenta y los aprobó, con las enmiendas efectuadas oralmente, para que fuera remitido a la sesión plenaria como proyectos de decisión CBD/CP/MO</w:t>
      </w:r>
      <w:r w:rsidR="00F46569">
        <w:rPr>
          <w:lang w:val="es-ES_tradnl"/>
        </w:rPr>
        <w:t>P/10/L.13 y CBD/CP/MOP/10/L.14.</w:t>
      </w:r>
    </w:p>
    <w:p w14:paraId="37F53174" w14:textId="12635D33" w:rsidR="00CF582B" w:rsidRPr="00A202B4" w:rsidRDefault="00CF582B" w:rsidP="00CF582B">
      <w:pPr>
        <w:pStyle w:val="Para1"/>
        <w:rPr>
          <w:lang w:val="es-ES_tradnl"/>
        </w:rPr>
      </w:pPr>
      <w:r w:rsidRPr="00A202B4">
        <w:rPr>
          <w:lang w:val="es-ES_tradnl"/>
        </w:rPr>
        <w:t>En su quinta sesión plenaria, la Conferencia de las Partes que actúa como reunión de las Partes en el Protocolo de Cartagena adoptó los proyectos de decisión como decisiones CP-10/3 y CP-10/4, respectivamente.</w:t>
      </w:r>
    </w:p>
    <w:p w14:paraId="167770C9" w14:textId="22AF5E5B" w:rsidR="00C85B3F" w:rsidRPr="00A202B4" w:rsidRDefault="003E5686" w:rsidP="00BA7E37">
      <w:pPr>
        <w:spacing w:before="240" w:after="120"/>
        <w:jc w:val="center"/>
        <w:rPr>
          <w:b/>
          <w:color w:val="000000" w:themeColor="text1"/>
          <w:lang w:val="es-ES_tradnl"/>
        </w:rPr>
      </w:pPr>
      <w:r w:rsidRPr="00A202B4">
        <w:rPr>
          <w:b/>
          <w:lang w:val="es-ES_tradnl"/>
        </w:rPr>
        <w:t xml:space="preserve">Tema </w:t>
      </w:r>
      <w:r w:rsidR="00B43A65" w:rsidRPr="00A202B4">
        <w:rPr>
          <w:b/>
          <w:lang w:val="es-ES_tradnl"/>
        </w:rPr>
        <w:t>8.</w:t>
      </w:r>
      <w:r w:rsidRPr="00A202B4">
        <w:rPr>
          <w:b/>
          <w:lang w:val="es-ES_tradnl"/>
        </w:rPr>
        <w:tab/>
        <w:t>Vigilancia y presentación de informes (artículo 33)</w:t>
      </w:r>
    </w:p>
    <w:p w14:paraId="38C5CEEA" w14:textId="7EBC69D6" w:rsidR="00066852" w:rsidRPr="00A202B4" w:rsidRDefault="00066852" w:rsidP="002D6D61">
      <w:pPr>
        <w:pStyle w:val="Para1"/>
        <w:rPr>
          <w:bCs/>
          <w:lang w:val="es-ES_tradnl"/>
        </w:rPr>
      </w:pPr>
      <w:r w:rsidRPr="00A202B4">
        <w:rPr>
          <w:lang w:val="es-ES_tradnl"/>
        </w:rPr>
        <w:t xml:space="preserve">El Grupo de Trabajo II consideró el tema 8 del programa en su primera reunión. Tuvo ante sí un proyecto de decisión, que figuraba en la recopilación de proyectos de decisión, una nota de la Secretaria Ejecutiva que contenía </w:t>
      </w:r>
      <w:r w:rsidR="004A7211" w:rsidRPr="00A202B4">
        <w:rPr>
          <w:lang w:val="es-ES_tradnl"/>
        </w:rPr>
        <w:t>un panorama</w:t>
      </w:r>
      <w:r w:rsidRPr="00A202B4">
        <w:rPr>
          <w:lang w:val="es-ES_tradnl"/>
        </w:rPr>
        <w:t xml:space="preserve"> del estado de presentación de los cuartos informes nacionales y el proyecto de formato de informe para los quintos informes nacionales (CBD/CP/MOP/10/5) y, como documento de información, un cuadro de referencia </w:t>
      </w:r>
      <w:r w:rsidR="00364BBD" w:rsidRPr="00A202B4">
        <w:rPr>
          <w:lang w:val="es-ES_tradnl"/>
        </w:rPr>
        <w:t>con</w:t>
      </w:r>
      <w:r w:rsidRPr="00A202B4">
        <w:rPr>
          <w:lang w:val="es-ES_tradnl"/>
        </w:rPr>
        <w:t xml:space="preserve"> la correspondencia entre las preguntas del formato para el quinto informe nacional y las preguntas del cuarto informe </w:t>
      </w:r>
      <w:r w:rsidR="00364BBD" w:rsidRPr="00A202B4">
        <w:rPr>
          <w:lang w:val="es-ES_tradnl"/>
        </w:rPr>
        <w:t xml:space="preserve">nacional </w:t>
      </w:r>
      <w:r w:rsidRPr="00A202B4">
        <w:rPr>
          <w:lang w:val="es-ES_tradnl"/>
        </w:rPr>
        <w:t>(CBD/CP/MOP/10/INF/3).</w:t>
      </w:r>
    </w:p>
    <w:p w14:paraId="179FAEF1" w14:textId="1C88B6DC" w:rsidR="00066852" w:rsidRPr="00A202B4" w:rsidRDefault="00066852" w:rsidP="00066852">
      <w:pPr>
        <w:pStyle w:val="Para1"/>
        <w:rPr>
          <w:lang w:val="es-ES_tradnl"/>
        </w:rPr>
      </w:pPr>
      <w:r w:rsidRPr="00A202B4">
        <w:rPr>
          <w:lang w:val="es-ES_tradnl"/>
        </w:rPr>
        <w:t>Formularon declaraciones los representantes de las siguientes Partes: Colombia, India, Malasia, Nueva Zelandia, Sudáfrica y Unión Europea y sus 27 Estados miembros.</w:t>
      </w:r>
    </w:p>
    <w:p w14:paraId="64071569" w14:textId="607CD2DE" w:rsidR="00066852" w:rsidRPr="00A202B4" w:rsidRDefault="00B01F38" w:rsidP="00066852">
      <w:pPr>
        <w:pStyle w:val="Para1"/>
        <w:rPr>
          <w:lang w:val="es-ES_tradnl"/>
        </w:rPr>
      </w:pPr>
      <w:r w:rsidRPr="00A202B4">
        <w:rPr>
          <w:lang w:val="es-ES_tradnl"/>
        </w:rPr>
        <w:lastRenderedPageBreak/>
        <w:t>El Grupo de Trabajo II acordó que su Presidenta prepararía un proyecto de decisión revisado para su consideración.</w:t>
      </w:r>
    </w:p>
    <w:p w14:paraId="3E79A25D" w14:textId="70EDEE34" w:rsidR="000A4410" w:rsidRPr="00A202B4" w:rsidRDefault="00066852" w:rsidP="00066852">
      <w:pPr>
        <w:pStyle w:val="Para1"/>
        <w:rPr>
          <w:lang w:val="es-ES_tradnl"/>
        </w:rPr>
      </w:pPr>
      <w:r w:rsidRPr="00A202B4">
        <w:rPr>
          <w:lang w:val="es-ES_tradnl"/>
        </w:rPr>
        <w:t>En su cuarta reunión, el Grupo de Trabajo II consideró el proyecto de decisión revisado presentado por su Presidenta y lo aprobó, con las enmiendas efectuadas oralmente, para que fuera remitido a la sesión plenaria como proyecto de decisión CBD/CP/MOP/10/L.4.</w:t>
      </w:r>
    </w:p>
    <w:p w14:paraId="547B640F" w14:textId="32F39C56" w:rsidR="00B566C9" w:rsidRPr="00A202B4" w:rsidRDefault="00B566C9" w:rsidP="00B566C9">
      <w:pPr>
        <w:pStyle w:val="Para1"/>
        <w:rPr>
          <w:color w:val="000000"/>
          <w:lang w:val="es-ES_tradnl"/>
        </w:rPr>
      </w:pPr>
      <w:r w:rsidRPr="00A202B4">
        <w:rPr>
          <w:lang w:val="es-ES_tradnl"/>
        </w:rPr>
        <w:t>En su segunda sesión plenaria, la Conferencia de las Partes que actúa como reunión de las Partes en el Protocolo de Cartagena adoptó el proyecto de decisión como decisión CP</w:t>
      </w:r>
      <w:r w:rsidRPr="00A202B4">
        <w:rPr>
          <w:lang w:val="es-ES_tradnl"/>
        </w:rPr>
        <w:noBreakHyphen/>
        <w:t>10/9.</w:t>
      </w:r>
    </w:p>
    <w:p w14:paraId="7F3B7546" w14:textId="756E6A02" w:rsidR="00C40DD5" w:rsidRPr="00A202B4" w:rsidRDefault="00345D47" w:rsidP="00BA7E37">
      <w:pPr>
        <w:spacing w:before="240" w:after="120"/>
        <w:ind w:left="1627" w:hanging="907"/>
        <w:jc w:val="left"/>
        <w:rPr>
          <w:rFonts w:asciiTheme="majorBidi" w:hAnsiTheme="majorBidi" w:cstheme="majorBidi"/>
          <w:b/>
          <w:bCs/>
          <w:caps/>
          <w:snapToGrid w:val="0"/>
          <w:kern w:val="22"/>
          <w:lang w:val="es-ES_tradnl"/>
        </w:rPr>
      </w:pPr>
      <w:r w:rsidRPr="00A202B4">
        <w:rPr>
          <w:rFonts w:asciiTheme="majorBidi" w:hAnsiTheme="majorBidi"/>
          <w:b/>
          <w:snapToGrid w:val="0"/>
          <w:lang w:val="es-ES_tradnl"/>
        </w:rPr>
        <w:t>Tema 9.</w:t>
      </w:r>
      <w:r w:rsidRPr="00A202B4">
        <w:rPr>
          <w:rFonts w:asciiTheme="majorBidi" w:hAnsiTheme="majorBidi"/>
          <w:b/>
          <w:snapToGrid w:val="0"/>
          <w:lang w:val="es-ES_tradnl"/>
        </w:rPr>
        <w:tab/>
        <w:t>Evaluación y revisión de la eficacia del Protocolo (artículo 35) y evaluación</w:t>
      </w:r>
      <w:r w:rsidR="00BA7E37">
        <w:rPr>
          <w:rFonts w:asciiTheme="majorBidi" w:hAnsiTheme="majorBidi"/>
          <w:b/>
          <w:snapToGrid w:val="0"/>
          <w:lang w:val="es-ES_tradnl"/>
        </w:rPr>
        <w:br/>
      </w:r>
      <w:r w:rsidRPr="00A202B4">
        <w:rPr>
          <w:rFonts w:asciiTheme="majorBidi" w:hAnsiTheme="majorBidi"/>
          <w:b/>
          <w:snapToGrid w:val="0"/>
          <w:lang w:val="es-ES_tradnl"/>
        </w:rPr>
        <w:t>final del Plan Estratégico para el Protocolo de Cartagena sobre la Seguridad</w:t>
      </w:r>
      <w:r w:rsidR="00BA7E37">
        <w:rPr>
          <w:rFonts w:asciiTheme="majorBidi" w:hAnsiTheme="majorBidi"/>
          <w:b/>
          <w:snapToGrid w:val="0"/>
          <w:lang w:val="es-ES_tradnl"/>
        </w:rPr>
        <w:br/>
      </w:r>
      <w:r w:rsidRPr="00A202B4">
        <w:rPr>
          <w:rFonts w:asciiTheme="majorBidi" w:hAnsiTheme="majorBidi"/>
          <w:b/>
          <w:snapToGrid w:val="0"/>
          <w:lang w:val="es-ES_tradnl"/>
        </w:rPr>
        <w:t>de la Biotecno</w:t>
      </w:r>
      <w:r w:rsidR="003E5686" w:rsidRPr="00A202B4">
        <w:rPr>
          <w:rFonts w:asciiTheme="majorBidi" w:hAnsiTheme="majorBidi"/>
          <w:b/>
          <w:snapToGrid w:val="0"/>
          <w:lang w:val="es-ES_tradnl"/>
        </w:rPr>
        <w:t>logía para el período 2011-2020</w:t>
      </w:r>
    </w:p>
    <w:p w14:paraId="670D885A" w14:textId="7C338940" w:rsidR="001062E3" w:rsidRPr="00A202B4" w:rsidRDefault="001062E3" w:rsidP="002D6D61">
      <w:pPr>
        <w:pStyle w:val="Para1"/>
        <w:rPr>
          <w:bCs/>
          <w:lang w:val="es-ES_tradnl"/>
        </w:rPr>
      </w:pPr>
      <w:r w:rsidRPr="00A202B4">
        <w:rPr>
          <w:lang w:val="es-ES_tradnl"/>
        </w:rPr>
        <w:t>El Grupo de Trabajo II consideró el tema 9 del programa en su primera reunión. Tuvo ante sí un proyecto de decisión basado en la recomendación 3/2 del Órgano Subsidiario sobre la Aplicación, que figuraba en la recopilación de proyectos de decisión y, como documento de información, una actualización del análisis de datos de los cuartos informes nacionales (CBD/CP/MOP/10/INF/2).</w:t>
      </w:r>
    </w:p>
    <w:p w14:paraId="0D34DB76" w14:textId="73F3CB8C" w:rsidR="001062E3" w:rsidRPr="00A202B4" w:rsidRDefault="001A3E6A" w:rsidP="001062E3">
      <w:pPr>
        <w:pStyle w:val="Para1"/>
        <w:rPr>
          <w:lang w:val="es-ES_tradnl"/>
        </w:rPr>
      </w:pPr>
      <w:r w:rsidRPr="00A202B4">
        <w:rPr>
          <w:lang w:val="es-ES_tradnl"/>
        </w:rPr>
        <w:t>El Grupo de Trabajo II acordó que su Presidenta prepararía un proyecto de decisión revisado para su consideración.</w:t>
      </w:r>
    </w:p>
    <w:p w14:paraId="16894788" w14:textId="60255F86" w:rsidR="001062E3" w:rsidRPr="00A202B4" w:rsidRDefault="001062E3" w:rsidP="001062E3">
      <w:pPr>
        <w:pStyle w:val="Para1"/>
        <w:rPr>
          <w:lang w:val="es-ES_tradnl"/>
        </w:rPr>
      </w:pPr>
      <w:r w:rsidRPr="00A202B4">
        <w:rPr>
          <w:lang w:val="es-ES_tradnl"/>
        </w:rPr>
        <w:t>En su cuarta reunión, el Grupo de Trabajo II consideró el proyecto de decisión revisado presentado por su Presidenta y lo aprobó, con las enmiendas efectuadas oralmente, para que fuera remitido a la sesión plenaria como proyecto de decisión CBD/CP/MOP/10/L.9.</w:t>
      </w:r>
    </w:p>
    <w:p w14:paraId="1137A968" w14:textId="317118CF" w:rsidR="00097EE2" w:rsidRPr="00A202B4" w:rsidRDefault="00097EE2">
      <w:pPr>
        <w:pStyle w:val="Para1"/>
        <w:suppressLineNumbers/>
        <w:suppressAutoHyphens/>
        <w:kinsoku w:val="0"/>
        <w:overflowPunct w:val="0"/>
        <w:autoSpaceDE w:val="0"/>
        <w:autoSpaceDN w:val="0"/>
        <w:snapToGrid w:val="0"/>
        <w:rPr>
          <w:lang w:val="es-ES_tradnl"/>
        </w:rPr>
      </w:pPr>
      <w:r w:rsidRPr="00A202B4">
        <w:rPr>
          <w:lang w:val="es-ES_tradnl"/>
        </w:rPr>
        <w:t>En su segunda sesión plenaria, la Conferencia de las Partes que actúa como reunión de las Partes en el Protocolo de Cartagena adoptó el proyecto de decisión, con las enmiendas efectuadas oralmente, como decisión CP-10/7.</w:t>
      </w:r>
    </w:p>
    <w:p w14:paraId="7B65D00E" w14:textId="5AD193AB" w:rsidR="006A1DE3" w:rsidRPr="00A202B4" w:rsidRDefault="00302224" w:rsidP="00BA7E37">
      <w:pPr>
        <w:spacing w:before="240" w:after="120"/>
        <w:ind w:left="1987" w:hanging="1267"/>
        <w:jc w:val="left"/>
        <w:rPr>
          <w:rFonts w:asciiTheme="majorBidi" w:hAnsiTheme="majorBidi" w:cstheme="majorBidi"/>
          <w:b/>
          <w:bCs/>
          <w:caps/>
          <w:snapToGrid w:val="0"/>
          <w:kern w:val="22"/>
          <w:lang w:val="es-ES_tradnl"/>
        </w:rPr>
      </w:pPr>
      <w:r w:rsidRPr="00A202B4">
        <w:rPr>
          <w:rFonts w:asciiTheme="majorBidi" w:hAnsiTheme="majorBidi"/>
          <w:b/>
          <w:snapToGrid w:val="0"/>
          <w:lang w:val="es-ES_tradnl"/>
        </w:rPr>
        <w:t>Tema 10.</w:t>
      </w:r>
      <w:r w:rsidRPr="00A202B4">
        <w:rPr>
          <w:rFonts w:asciiTheme="majorBidi" w:hAnsiTheme="majorBidi"/>
          <w:b/>
          <w:snapToGrid w:val="0"/>
          <w:lang w:val="es-ES_tradnl"/>
        </w:rPr>
        <w:tab/>
        <w:t>Asuntos relacionados con el mecanismo financiero y los recursos financieros (artículo 28)</w:t>
      </w:r>
    </w:p>
    <w:p w14:paraId="6B0ADBD4" w14:textId="3DA7CBAF" w:rsidR="00831D49" w:rsidRPr="00A202B4" w:rsidRDefault="00831D49" w:rsidP="002D6D61">
      <w:pPr>
        <w:pStyle w:val="Para1"/>
        <w:rPr>
          <w:lang w:val="es-ES_tradnl"/>
        </w:rPr>
      </w:pPr>
      <w:r w:rsidRPr="00A202B4">
        <w:rPr>
          <w:lang w:val="es-ES_tradnl"/>
        </w:rPr>
        <w:t>El Grupo de Trabajo II consideró el tema 10 del programa en su segunda reunión. Tuvo ante sí un proyecto de decisión, que figuraba en la recopilación de proyectos de decisión, una nota de la Secretaria Ejecutiva (CBD/CP/MOP/10/6) y un informe del Consejo del Fondo para el Medio Ambiente Mundial a la 15ª reunión de la Conferencia de las Partes en el Convenio (CBD/COP/15/8).</w:t>
      </w:r>
    </w:p>
    <w:p w14:paraId="1AA033DA" w14:textId="5E83278A" w:rsidR="00831D49" w:rsidRPr="00A202B4" w:rsidRDefault="00831D49" w:rsidP="00831D49">
      <w:pPr>
        <w:pStyle w:val="Para1"/>
        <w:rPr>
          <w:lang w:val="es-ES_tradnl"/>
        </w:rPr>
      </w:pPr>
      <w:r w:rsidRPr="00A202B4">
        <w:rPr>
          <w:lang w:val="es-ES_tradnl"/>
        </w:rPr>
        <w:t>Formularon declaraciones los representantes de las siguientes Partes: Brasil, Irán (República Islámica de), Sudáfrica y Unión Europea y sus 27 Estados miembros.</w:t>
      </w:r>
    </w:p>
    <w:p w14:paraId="0EF1F1F6" w14:textId="5C8B8E41" w:rsidR="00831D49" w:rsidRPr="00A202B4" w:rsidRDefault="00E22208" w:rsidP="00831D49">
      <w:pPr>
        <w:pStyle w:val="Para1"/>
        <w:rPr>
          <w:lang w:val="es-ES_tradnl"/>
        </w:rPr>
      </w:pPr>
      <w:r w:rsidRPr="00A202B4">
        <w:rPr>
          <w:lang w:val="es-ES_tradnl"/>
        </w:rPr>
        <w:t>El Grupo de Trabajo II acordó que su Presidenta prepararía un proyecto de decisión revisado, teniendo en cuenta las declaraciones formuladas.</w:t>
      </w:r>
    </w:p>
    <w:p w14:paraId="54690FF3" w14:textId="0D267A04" w:rsidR="00831D49" w:rsidRPr="00A202B4" w:rsidRDefault="00831D49" w:rsidP="006A4072">
      <w:pPr>
        <w:numPr>
          <w:ilvl w:val="0"/>
          <w:numId w:val="4"/>
        </w:numPr>
        <w:spacing w:after="120"/>
        <w:rPr>
          <w:szCs w:val="22"/>
          <w:lang w:val="es-ES_tradnl"/>
        </w:rPr>
      </w:pPr>
      <w:r w:rsidRPr="00A202B4">
        <w:rPr>
          <w:lang w:val="es-ES_tradnl"/>
        </w:rPr>
        <w:t>En su octava reunión, el Grupo de Trabajo II consideró el proyecto de decisión revisado presentado por su Presidenta y lo aprobó, con las enmiendas efectuadas oralmente, para que fuera remitido a la sesión plenaria como proyecto de decisión CBD/CP/MOP/10/L.12.</w:t>
      </w:r>
    </w:p>
    <w:p w14:paraId="59EAB202" w14:textId="28AC0C9C" w:rsidR="00154491" w:rsidRPr="00A202B4" w:rsidRDefault="00154491" w:rsidP="00575F20">
      <w:pPr>
        <w:pStyle w:val="Para1"/>
        <w:suppressLineNumbers/>
        <w:suppressAutoHyphens/>
        <w:kinsoku w:val="0"/>
        <w:overflowPunct w:val="0"/>
        <w:autoSpaceDE w:val="0"/>
        <w:autoSpaceDN w:val="0"/>
        <w:snapToGrid w:val="0"/>
        <w:rPr>
          <w:lang w:val="es-ES_tradnl"/>
        </w:rPr>
      </w:pPr>
      <w:r w:rsidRPr="00A202B4">
        <w:rPr>
          <w:lang w:val="es-ES_tradnl"/>
        </w:rPr>
        <w:t>En su quinta sesión plenaria, la Conferencia de las Partes que actúa como reunión de las Partes en el Protocolo de Cartagena adoptó el proyecto de decisión como decisión CP-10/6.</w:t>
      </w:r>
    </w:p>
    <w:p w14:paraId="0BEBA300" w14:textId="6A7893CA" w:rsidR="006A1DE3" w:rsidRPr="00A202B4" w:rsidRDefault="00A716F5" w:rsidP="00BA7E37">
      <w:pPr>
        <w:spacing w:before="240" w:after="120"/>
        <w:ind w:left="1987" w:hanging="1267"/>
        <w:jc w:val="left"/>
        <w:rPr>
          <w:rFonts w:asciiTheme="majorBidi" w:hAnsiTheme="majorBidi" w:cstheme="majorBidi"/>
          <w:b/>
          <w:bCs/>
          <w:caps/>
          <w:snapToGrid w:val="0"/>
          <w:kern w:val="22"/>
          <w:lang w:val="es-ES_tradnl"/>
        </w:rPr>
      </w:pPr>
      <w:r w:rsidRPr="00A202B4">
        <w:rPr>
          <w:rFonts w:asciiTheme="majorBidi" w:hAnsiTheme="majorBidi"/>
          <w:b/>
          <w:snapToGrid w:val="0"/>
          <w:lang w:val="es-ES_tradnl"/>
        </w:rPr>
        <w:t>Tema 11.</w:t>
      </w:r>
      <w:r w:rsidRPr="00A202B4">
        <w:rPr>
          <w:rFonts w:asciiTheme="majorBidi" w:hAnsiTheme="majorBidi"/>
          <w:b/>
          <w:snapToGrid w:val="0"/>
          <w:lang w:val="es-ES_tradnl"/>
        </w:rPr>
        <w:tab/>
        <w:t>Funcionamiento y actividades del Centro de Intercambio de Información sobre Seguridad de la Biotecnología (artículo 20)</w:t>
      </w:r>
    </w:p>
    <w:p w14:paraId="4DD130AD" w14:textId="737FB790" w:rsidR="00C67928" w:rsidRPr="00A202B4" w:rsidRDefault="00C67928" w:rsidP="00A82D90">
      <w:pPr>
        <w:pStyle w:val="Para1"/>
        <w:suppressLineNumbers/>
        <w:suppressAutoHyphens/>
        <w:kinsoku w:val="0"/>
        <w:overflowPunct w:val="0"/>
        <w:autoSpaceDE w:val="0"/>
        <w:autoSpaceDN w:val="0"/>
        <w:snapToGrid w:val="0"/>
        <w:rPr>
          <w:bCs/>
          <w:lang w:val="es-ES_tradnl"/>
        </w:rPr>
      </w:pPr>
      <w:r w:rsidRPr="00A202B4">
        <w:rPr>
          <w:lang w:val="es-ES_tradnl"/>
        </w:rPr>
        <w:t>El Grupo de Trabajo II consideró el tema 11 del programa en su primera reunión. Tuvo ante sí un proyecto de decisión, que figuraba en la recopilación de proyectos de decisión, así como notas de la</w:t>
      </w:r>
      <w:r w:rsidR="00B43A16" w:rsidRPr="00A202B4">
        <w:rPr>
          <w:lang w:val="es-ES_tradnl"/>
        </w:rPr>
        <w:t> </w:t>
      </w:r>
      <w:r w:rsidRPr="00A202B4">
        <w:rPr>
          <w:lang w:val="es-ES_tradnl"/>
        </w:rPr>
        <w:t xml:space="preserve">Secretaria Ejecutiva relativas al funcionamiento y las actividades del Centro de Intercambio de Información sobre Seguridad de la Biotecnología (CBD/CP/MOP/10/7), características clave y avances en la nueva plataforma del Centro de Intercambio de Información sobre Seguridad de la Biotecnología </w:t>
      </w:r>
      <w:r w:rsidRPr="00A202B4">
        <w:rPr>
          <w:lang w:val="es-ES_tradnl"/>
        </w:rPr>
        <w:lastRenderedPageBreak/>
        <w:t xml:space="preserve">(CBD/CP/MOP/10/INF/7), y un informe sobre una encuesta de evaluación de necesidades en relación con el Centro de Intercambio de Información sobre Seguridad de la Biotecnología (CBD/CP/MOP/10/INF/8). </w:t>
      </w:r>
    </w:p>
    <w:p w14:paraId="6D454E70" w14:textId="6965398D" w:rsidR="00C67928" w:rsidRPr="00A202B4" w:rsidRDefault="00C67928" w:rsidP="00C67928">
      <w:pPr>
        <w:pStyle w:val="Para1"/>
        <w:rPr>
          <w:lang w:val="es-ES_tradnl"/>
        </w:rPr>
      </w:pPr>
      <w:r w:rsidRPr="00A202B4">
        <w:rPr>
          <w:lang w:val="es-ES_tradnl"/>
        </w:rPr>
        <w:t>Formularon declaraciones los representantes de las siguientes Partes: Belarús, Brasil, Burkina Faso, Eswatini, Ghana, Guatemala, India, Kenya, Malasia, Malawi, México, República Democrática del Congo, República de Corea, República Dominicana, Sudáfrica (en nombre de los Estados de África), Uganda y Unión Europea y sus 27 Estados miembros.</w:t>
      </w:r>
    </w:p>
    <w:p w14:paraId="16DF069E" w14:textId="77777777" w:rsidR="00C67928" w:rsidRPr="00A202B4" w:rsidRDefault="00C67928" w:rsidP="00C67928">
      <w:pPr>
        <w:pStyle w:val="Para1"/>
        <w:rPr>
          <w:lang w:val="es-ES_tradnl"/>
        </w:rPr>
      </w:pPr>
      <w:r w:rsidRPr="00A202B4">
        <w:rPr>
          <w:lang w:val="es-ES_tradnl"/>
        </w:rPr>
        <w:t>El representante de la Organización de Cooperación y Desarrollo Económicos también formuló una declaración.</w:t>
      </w:r>
    </w:p>
    <w:p w14:paraId="050D8C7B" w14:textId="1CA18D3C" w:rsidR="00C67928" w:rsidRPr="00A202B4" w:rsidRDefault="002C7C85" w:rsidP="00C67928">
      <w:pPr>
        <w:pStyle w:val="Para1"/>
        <w:rPr>
          <w:lang w:val="es-ES_tradnl"/>
        </w:rPr>
      </w:pPr>
      <w:r w:rsidRPr="00A202B4">
        <w:rPr>
          <w:lang w:val="es-ES_tradnl"/>
        </w:rPr>
        <w:t>El Grupo de Trabajo II acordó que su Presidenta prepararía un proyecto de decisión revisado para su consideración.</w:t>
      </w:r>
    </w:p>
    <w:p w14:paraId="12C939E5" w14:textId="57A67999" w:rsidR="00C67928" w:rsidRPr="00A202B4" w:rsidRDefault="00C67928" w:rsidP="00C67928">
      <w:pPr>
        <w:pStyle w:val="Para1"/>
        <w:rPr>
          <w:lang w:val="es-ES_tradnl"/>
        </w:rPr>
      </w:pPr>
      <w:r w:rsidRPr="00A202B4">
        <w:rPr>
          <w:lang w:val="es-ES_tradnl"/>
        </w:rPr>
        <w:t>En su cuarta reunión, el Grupo de Trabajo II consideró el proyecto de decisión revisado presentado por su Presidenta y lo aprobó, con las enmiendas efectuadas oralmente, para que fuera remitido a la sesión plenaria como proyecto de decisión CBD/CP/MOP/10/L.7.</w:t>
      </w:r>
    </w:p>
    <w:p w14:paraId="7F26C0D9" w14:textId="29471200" w:rsidR="00097EE2" w:rsidRPr="00A202B4" w:rsidRDefault="00097EE2" w:rsidP="00575F20">
      <w:pPr>
        <w:pStyle w:val="Para1"/>
        <w:suppressLineNumbers/>
        <w:suppressAutoHyphens/>
        <w:kinsoku w:val="0"/>
        <w:overflowPunct w:val="0"/>
        <w:autoSpaceDE w:val="0"/>
        <w:autoSpaceDN w:val="0"/>
        <w:snapToGrid w:val="0"/>
        <w:rPr>
          <w:lang w:val="es-ES_tradnl"/>
        </w:rPr>
      </w:pPr>
      <w:r w:rsidRPr="00A202B4">
        <w:rPr>
          <w:lang w:val="es-ES_tradnl"/>
        </w:rPr>
        <w:t>En su segunda sesión plenaria, la Conferencia de las Partes que actúa como reunión de las Partes en el Protocolo de Cartagena adoptó el proyecto de decisión como decisión CP-10/5.</w:t>
      </w:r>
    </w:p>
    <w:p w14:paraId="59D3B5A2" w14:textId="5B78D934" w:rsidR="00D623E5" w:rsidRPr="00A202B4" w:rsidRDefault="00B21192" w:rsidP="00BA7E37">
      <w:pPr>
        <w:spacing w:before="240" w:after="120"/>
        <w:jc w:val="center"/>
        <w:rPr>
          <w:rFonts w:asciiTheme="majorBidi" w:hAnsiTheme="majorBidi" w:cstheme="majorBidi"/>
          <w:b/>
          <w:bCs/>
          <w:caps/>
          <w:snapToGrid w:val="0"/>
          <w:kern w:val="22"/>
          <w:lang w:val="es-ES_tradnl"/>
        </w:rPr>
      </w:pPr>
      <w:r w:rsidRPr="00A202B4">
        <w:rPr>
          <w:rFonts w:asciiTheme="majorBidi" w:hAnsiTheme="majorBidi"/>
          <w:b/>
          <w:snapToGrid w:val="0"/>
          <w:lang w:val="es-ES_tradnl"/>
        </w:rPr>
        <w:t>Tema 12.</w:t>
      </w:r>
      <w:r w:rsidRPr="00A202B4">
        <w:rPr>
          <w:rFonts w:asciiTheme="majorBidi" w:hAnsiTheme="majorBidi"/>
          <w:b/>
          <w:snapToGrid w:val="0"/>
          <w:lang w:val="es-ES_tradnl"/>
        </w:rPr>
        <w:tab/>
        <w:t>Cooperación con otras organizaciones, convenios e iniciativas</w:t>
      </w:r>
    </w:p>
    <w:p w14:paraId="58C9B204" w14:textId="26BA0DF4" w:rsidR="00AB4979" w:rsidRPr="00A202B4" w:rsidRDefault="00AB4979" w:rsidP="00AB4979">
      <w:pPr>
        <w:pStyle w:val="Para1"/>
        <w:rPr>
          <w:bCs/>
          <w:lang w:val="es-ES_tradnl"/>
        </w:rPr>
      </w:pPr>
      <w:r w:rsidRPr="00A202B4">
        <w:rPr>
          <w:lang w:val="es-ES_tradnl"/>
        </w:rPr>
        <w:t>El Grupo de Trabajo II consideró el tema 12 del programa en su segunda reunión. Tuvo ante sí un informe sobre la cooperación con otros convenios, organizaciones e iniciativas internacionales (CBD/CP/MOP/10/8).</w:t>
      </w:r>
    </w:p>
    <w:p w14:paraId="60ECCBCE" w14:textId="40F9FD68" w:rsidR="00AB4979" w:rsidRPr="00A202B4" w:rsidRDefault="00BA610F" w:rsidP="00AB4979">
      <w:pPr>
        <w:pStyle w:val="Para1"/>
        <w:rPr>
          <w:lang w:val="es-ES_tradnl"/>
        </w:rPr>
      </w:pPr>
      <w:r w:rsidRPr="00A202B4">
        <w:rPr>
          <w:lang w:val="es-ES_tradnl"/>
        </w:rPr>
        <w:t>El Grupo de Trabajo II tomó nota de la información brindada.</w:t>
      </w:r>
    </w:p>
    <w:p w14:paraId="5D5D0582" w14:textId="4759AFEB" w:rsidR="00A11B01" w:rsidRPr="00A202B4" w:rsidRDefault="00B21192" w:rsidP="00BA7E37">
      <w:pPr>
        <w:spacing w:before="240" w:after="120"/>
        <w:ind w:left="1987" w:hanging="1267"/>
        <w:jc w:val="left"/>
        <w:rPr>
          <w:rFonts w:asciiTheme="majorBidi" w:hAnsiTheme="majorBidi" w:cstheme="majorBidi"/>
          <w:b/>
          <w:bCs/>
          <w:caps/>
          <w:snapToGrid w:val="0"/>
          <w:kern w:val="22"/>
          <w:lang w:val="es-ES_tradnl"/>
        </w:rPr>
      </w:pPr>
      <w:r w:rsidRPr="00A202B4">
        <w:rPr>
          <w:rFonts w:asciiTheme="majorBidi" w:hAnsiTheme="majorBidi"/>
          <w:b/>
          <w:snapToGrid w:val="0"/>
          <w:lang w:val="es-ES_tradnl"/>
        </w:rPr>
        <w:t>Tema 13.</w:t>
      </w:r>
      <w:r w:rsidRPr="00A202B4">
        <w:rPr>
          <w:rFonts w:asciiTheme="majorBidi" w:hAnsiTheme="majorBidi"/>
          <w:b/>
          <w:snapToGrid w:val="0"/>
          <w:lang w:val="es-ES_tradnl"/>
        </w:rPr>
        <w:tab/>
        <w:t>Revisión de la eficacia de las estructuras y los procesos en el marco del Convenio y sus Protocolos</w:t>
      </w:r>
    </w:p>
    <w:p w14:paraId="120E05E2" w14:textId="769D846C" w:rsidR="00F81F05" w:rsidRPr="00A202B4" w:rsidRDefault="00F81F05" w:rsidP="00F81F05">
      <w:pPr>
        <w:pStyle w:val="Para1"/>
        <w:rPr>
          <w:bCs/>
          <w:lang w:val="es-ES_tradnl"/>
        </w:rPr>
      </w:pPr>
      <w:bookmarkStart w:id="45" w:name="_Hlk122182305"/>
      <w:r w:rsidRPr="00A202B4">
        <w:rPr>
          <w:lang w:val="es-ES_tradnl"/>
        </w:rPr>
        <w:t>El Grupo de Trabajo II consideró el tema 13 del programa en su segunda reunión, junto con el tema 17 del programa de la 15ª reunión de la Conferencia de las Partes en el Convenio y el tema 12 del programa de la 4ª reunión de la Conferencia de las Partes que actúa como reunión de las Partes en el Protocolo de Nagoya. Tuvo ante sí un proyecto de decisión basado en la recomendación 3/13 del Órgano Subsidiario sobre la Aplicación, que figuraba en las recopilaciones de proyectos de decisión de los tres órganos (CBD/CP/MOP/10/1/Add.5, CBD/COP/15/2 y CBD/NP/MOP/4/1/Add.5, respectivamente).</w:t>
      </w:r>
    </w:p>
    <w:p w14:paraId="21581480" w14:textId="69C9FE87" w:rsidR="00812B25" w:rsidRPr="00A202B4" w:rsidRDefault="00F81F05" w:rsidP="00F81F05">
      <w:pPr>
        <w:pStyle w:val="Para1"/>
        <w:rPr>
          <w:lang w:val="es-ES_tradnl"/>
        </w:rPr>
      </w:pPr>
      <w:r w:rsidRPr="00A202B4">
        <w:rPr>
          <w:lang w:val="es-ES_tradnl"/>
        </w:rPr>
        <w:t xml:space="preserve">En su sexta reunión, el Grupo de Trabajo II consideró un proyecto de decisión revisado presentado por su Presidenta </w:t>
      </w:r>
      <w:r w:rsidR="006D4886" w:rsidRPr="00A202B4">
        <w:rPr>
          <w:lang w:val="es-ES_tradnl"/>
        </w:rPr>
        <w:t>r</w:t>
      </w:r>
      <w:r w:rsidRPr="00A202B4">
        <w:rPr>
          <w:lang w:val="es-ES_tradnl"/>
        </w:rPr>
        <w:t>e</w:t>
      </w:r>
      <w:r w:rsidR="006D4886" w:rsidRPr="00A202B4">
        <w:rPr>
          <w:lang w:val="es-ES_tradnl"/>
        </w:rPr>
        <w:t>ferido a</w:t>
      </w:r>
      <w:r w:rsidRPr="00A202B4">
        <w:rPr>
          <w:lang w:val="es-ES_tradnl"/>
        </w:rPr>
        <w:t>l tema 17 del programa de la 15ª reunión de la Conferencia de las Partes en el Convenio y, tras la aprobación de esta última en ese tema del programa, también lo aprobó, con los cambios correspondientes, para que fuera remitido a la sesión plenaria como proyecto de decisión CBD/CP/MOP/10/L.11.</w:t>
      </w:r>
    </w:p>
    <w:p w14:paraId="7962747B" w14:textId="01CBBB7D" w:rsidR="00BF2DD6" w:rsidRPr="00A202B4" w:rsidRDefault="00BF2DD6" w:rsidP="00575F20">
      <w:pPr>
        <w:pStyle w:val="Para1"/>
        <w:suppressLineNumbers/>
        <w:suppressAutoHyphens/>
        <w:kinsoku w:val="0"/>
        <w:overflowPunct w:val="0"/>
        <w:autoSpaceDE w:val="0"/>
        <w:autoSpaceDN w:val="0"/>
        <w:snapToGrid w:val="0"/>
        <w:rPr>
          <w:lang w:val="es-ES_tradnl"/>
        </w:rPr>
      </w:pPr>
      <w:r w:rsidRPr="00A202B4">
        <w:rPr>
          <w:lang w:val="es-ES_tradnl"/>
        </w:rPr>
        <w:t>En su segunda sesión plenaria, la Conferencia de las Partes que actúa como reunión de las Partes en el Protocolo de Cartagena adoptó el proyecto de decisión como decisión CP-10/8.</w:t>
      </w:r>
    </w:p>
    <w:bookmarkEnd w:id="45"/>
    <w:p w14:paraId="48B1FA3A" w14:textId="1C42C7D6" w:rsidR="00783258" w:rsidRPr="00A202B4" w:rsidRDefault="003E5686" w:rsidP="00BA7E37">
      <w:pPr>
        <w:spacing w:before="240" w:after="120"/>
        <w:jc w:val="center"/>
        <w:rPr>
          <w:b/>
          <w:lang w:val="es-ES_tradnl"/>
        </w:rPr>
      </w:pPr>
      <w:r w:rsidRPr="00A202B4">
        <w:rPr>
          <w:b/>
          <w:lang w:val="es-ES_tradnl"/>
        </w:rPr>
        <w:t>Tema</w:t>
      </w:r>
      <w:r w:rsidR="00B21192" w:rsidRPr="00A202B4">
        <w:rPr>
          <w:b/>
          <w:caps/>
          <w:lang w:val="es-ES_tradnl"/>
        </w:rPr>
        <w:t xml:space="preserve"> </w:t>
      </w:r>
      <w:r w:rsidR="00B21192" w:rsidRPr="00A202B4">
        <w:rPr>
          <w:b/>
          <w:lang w:val="es-ES_tradnl"/>
        </w:rPr>
        <w:t>14.</w:t>
      </w:r>
      <w:r w:rsidRPr="00A202B4">
        <w:rPr>
          <w:b/>
          <w:lang w:val="es-ES_tradnl"/>
        </w:rPr>
        <w:tab/>
        <w:t xml:space="preserve">Evaluación del riesgo y gestión del riesgo (artículos 15 y </w:t>
      </w:r>
      <w:r w:rsidR="00B21192" w:rsidRPr="00A202B4">
        <w:rPr>
          <w:b/>
          <w:caps/>
          <w:lang w:val="es-ES_tradnl"/>
        </w:rPr>
        <w:t>16)</w:t>
      </w:r>
    </w:p>
    <w:p w14:paraId="3028A15B" w14:textId="53AA093F" w:rsidR="001B30CC" w:rsidRPr="00A202B4" w:rsidRDefault="001B30CC" w:rsidP="002D6D61">
      <w:pPr>
        <w:pStyle w:val="Para1"/>
        <w:rPr>
          <w:bCs/>
          <w:lang w:val="es-ES_tradnl"/>
        </w:rPr>
      </w:pPr>
      <w:bookmarkStart w:id="46" w:name="_Hlk121578553"/>
      <w:r w:rsidRPr="00A202B4">
        <w:rPr>
          <w:lang w:val="es-ES_tradnl"/>
        </w:rPr>
        <w:t xml:space="preserve">El Grupo de Trabajo II consideró el tema 14 del programa en su primera reunión. Tuvo ante sí un proyecto de decisión, basado en la recomendación 24/5 del Órgano Subsidiario de Asesoramiento Científico, Técnico y Tecnológico, que figuraba en la recopilación de proyectos de decisión. </w:t>
      </w:r>
    </w:p>
    <w:p w14:paraId="21C2EBD0" w14:textId="6B5DC47A" w:rsidR="001B30CC" w:rsidRPr="00A202B4" w:rsidRDefault="00C65A54" w:rsidP="001B30CC">
      <w:pPr>
        <w:pStyle w:val="Para1"/>
        <w:rPr>
          <w:lang w:val="es-ES_tradnl"/>
        </w:rPr>
      </w:pPr>
      <w:r w:rsidRPr="00A202B4">
        <w:rPr>
          <w:lang w:val="es-ES_tradnl"/>
        </w:rPr>
        <w:t>El Grupo de Trabajo II acordó establecer un grupo de contacto, copresidido por Ntakadzeni Tshidada (Sudáfrica) y Werner Schenkel (Alemania), encargado de resolver las cuestiones relacionadas con los textos entre corchetes en los párrafos 4, 6, 9 y 11 a) y el anexo del proyecto de decisión.</w:t>
      </w:r>
    </w:p>
    <w:p w14:paraId="4DDD568A" w14:textId="69A5A08D" w:rsidR="001B30CC" w:rsidRPr="00A202B4" w:rsidRDefault="001B30CC" w:rsidP="001B30CC">
      <w:pPr>
        <w:pStyle w:val="Para1"/>
        <w:rPr>
          <w:lang w:val="es-ES_tradnl"/>
        </w:rPr>
      </w:pPr>
      <w:bookmarkStart w:id="47" w:name="_Hlk121578514"/>
      <w:bookmarkEnd w:id="46"/>
      <w:r w:rsidRPr="00A202B4">
        <w:rPr>
          <w:lang w:val="es-ES_tradnl"/>
        </w:rPr>
        <w:t>En la segunda reunión del Grupo de Trabajo II, uno de los copresidentes del grupo de contacto informó que el grupo había finalizado su labor.</w:t>
      </w:r>
    </w:p>
    <w:p w14:paraId="4147D5E5" w14:textId="120D233B" w:rsidR="001B30CC" w:rsidRPr="00A202B4" w:rsidRDefault="001B30CC" w:rsidP="001B30CC">
      <w:pPr>
        <w:pStyle w:val="Para1"/>
        <w:rPr>
          <w:lang w:val="es-ES_tradnl"/>
        </w:rPr>
      </w:pPr>
      <w:r w:rsidRPr="00A202B4">
        <w:rPr>
          <w:lang w:val="es-ES_tradnl"/>
        </w:rPr>
        <w:lastRenderedPageBreak/>
        <w:t>En su cuarta reunión, el Grupo de Trabajo II consideró un proyecto de decisión revisado presentado por su Presidenta y lo aprobó, con las enmiendas efectuadas oralmente, para que fuera remitido a la sesión plenaria como proyecto de decisión CBD/CP/MOP/10/L.8.</w:t>
      </w:r>
      <w:bookmarkEnd w:id="47"/>
    </w:p>
    <w:p w14:paraId="5286970C" w14:textId="37CB4F8B" w:rsidR="00097EE2" w:rsidRPr="00A202B4" w:rsidRDefault="00097EE2" w:rsidP="00575F20">
      <w:pPr>
        <w:pStyle w:val="Para1"/>
        <w:suppressLineNumbers/>
        <w:suppressAutoHyphens/>
        <w:kinsoku w:val="0"/>
        <w:overflowPunct w:val="0"/>
        <w:autoSpaceDE w:val="0"/>
        <w:autoSpaceDN w:val="0"/>
        <w:snapToGrid w:val="0"/>
        <w:rPr>
          <w:lang w:val="es-ES_tradnl"/>
        </w:rPr>
      </w:pPr>
      <w:r w:rsidRPr="00A202B4">
        <w:rPr>
          <w:lang w:val="es-ES_tradnl"/>
        </w:rPr>
        <w:t>En su segunda sesión plenaria, la Conferencia de las Partes que actúa como reunión de las Partes en el Protocolo de Cartagena adoptó el proyecto de decisión como decisión CP-10/10.</w:t>
      </w:r>
    </w:p>
    <w:p w14:paraId="2AF61AF6" w14:textId="7C60E73A" w:rsidR="00A11B01" w:rsidRPr="00A202B4" w:rsidRDefault="003E5686" w:rsidP="00BA7E37">
      <w:pPr>
        <w:spacing w:before="240" w:after="120"/>
        <w:jc w:val="center"/>
        <w:rPr>
          <w:b/>
          <w:lang w:val="es-ES_tradnl"/>
        </w:rPr>
      </w:pPr>
      <w:r w:rsidRPr="00A202B4">
        <w:rPr>
          <w:b/>
          <w:lang w:val="es-ES_tradnl"/>
        </w:rPr>
        <w:t xml:space="preserve">Tema </w:t>
      </w:r>
      <w:r w:rsidR="00B21192" w:rsidRPr="00A202B4">
        <w:rPr>
          <w:b/>
          <w:lang w:val="es-ES_tradnl"/>
        </w:rPr>
        <w:t>15.</w:t>
      </w:r>
      <w:r w:rsidR="00B21192" w:rsidRPr="00A202B4">
        <w:rPr>
          <w:b/>
          <w:lang w:val="es-ES_tradnl"/>
        </w:rPr>
        <w:tab/>
      </w:r>
      <w:r w:rsidRPr="00A202B4">
        <w:rPr>
          <w:b/>
          <w:lang w:val="es-ES_tradnl"/>
        </w:rPr>
        <w:t>Detección e identificación de organismos vivos modificados</w:t>
      </w:r>
    </w:p>
    <w:p w14:paraId="252A9AC1" w14:textId="72CAB87F" w:rsidR="00360912" w:rsidRPr="00A202B4" w:rsidRDefault="00360912" w:rsidP="002D6D61">
      <w:pPr>
        <w:pStyle w:val="Para1"/>
        <w:rPr>
          <w:bCs/>
          <w:lang w:val="es-ES_tradnl"/>
        </w:rPr>
      </w:pPr>
      <w:r w:rsidRPr="00A202B4">
        <w:rPr>
          <w:lang w:val="es-ES_tradnl"/>
        </w:rPr>
        <w:t>El Grupo de Trabajo II consideró el tema 15 del programa en su primera reunión. Tuvo ante sí un proyecto de decisión, que figuraba en la recopilación de proyectos de decisión, así como notas de la Secretaria Ejecutiva sobre la detección e identificación de organismos vivos modificados (CBD/CP/MOP/10/10/Rev.1), una síntesis de información sobre detección e identificación de organismos vivos modificados (CBD/CP/MOP/10/INF/4) y un resumen de las deliberaciones en línea de la red de laboratorios para la detección e identificación de organismos vivos mod</w:t>
      </w:r>
      <w:r w:rsidR="00A3115C" w:rsidRPr="00A202B4">
        <w:rPr>
          <w:lang w:val="es-ES_tradnl"/>
        </w:rPr>
        <w:t>ificados (CBD/CP/MOP/10/INF/5).</w:t>
      </w:r>
    </w:p>
    <w:p w14:paraId="6E7FB148" w14:textId="078D313A" w:rsidR="00360912" w:rsidRPr="00A202B4" w:rsidRDefault="00360912" w:rsidP="00360912">
      <w:pPr>
        <w:pStyle w:val="Para1"/>
        <w:rPr>
          <w:lang w:val="es-ES_tradnl"/>
        </w:rPr>
      </w:pPr>
      <w:r w:rsidRPr="00A202B4">
        <w:rPr>
          <w:lang w:val="es-ES_tradnl"/>
        </w:rPr>
        <w:t xml:space="preserve">Formularon declaraciones los representantes de las siguientes Partes: Brasil, Colombia, Côte d’Ivoire, Egipto (en nombre de los Estados de África), Kenya, Malawi, Namibia, Nueva Zelandia, República de Corea, Sudáfrica y Unión Europea y sus 27 Estados miembros. </w:t>
      </w:r>
    </w:p>
    <w:p w14:paraId="33C108D3" w14:textId="77777777" w:rsidR="00360912" w:rsidRPr="00A202B4" w:rsidRDefault="00360912" w:rsidP="00360912">
      <w:pPr>
        <w:pStyle w:val="Para1"/>
        <w:rPr>
          <w:lang w:val="es-ES_tradnl"/>
        </w:rPr>
      </w:pPr>
      <w:r w:rsidRPr="00A202B4">
        <w:rPr>
          <w:lang w:val="es-ES_tradnl"/>
        </w:rPr>
        <w:t xml:space="preserve">El representante de la Argentina también formuló una declaración. </w:t>
      </w:r>
    </w:p>
    <w:p w14:paraId="0F7C4F43" w14:textId="398BE8D6" w:rsidR="00360912" w:rsidRPr="00A202B4" w:rsidRDefault="00C65A54" w:rsidP="00360912">
      <w:pPr>
        <w:pStyle w:val="Para1"/>
        <w:rPr>
          <w:lang w:val="es-ES_tradnl"/>
        </w:rPr>
      </w:pPr>
      <w:r w:rsidRPr="00A202B4">
        <w:rPr>
          <w:lang w:val="es-ES_tradnl"/>
        </w:rPr>
        <w:t>El Grupo de Trabajo II convino en que su Presidenta prepararía un proyecto de decisión revisado para su consideración, teniendo en cuenta las declaraciones formuladas.</w:t>
      </w:r>
    </w:p>
    <w:p w14:paraId="2EF97131" w14:textId="3C08CF7D" w:rsidR="00360912" w:rsidRPr="00A202B4" w:rsidRDefault="00360912" w:rsidP="00360912">
      <w:pPr>
        <w:pStyle w:val="Para1"/>
        <w:rPr>
          <w:lang w:val="es-ES_tradnl"/>
        </w:rPr>
      </w:pPr>
      <w:r w:rsidRPr="00A202B4">
        <w:rPr>
          <w:lang w:val="es-ES_tradnl"/>
        </w:rPr>
        <w:t>En su cuarta reunión, el Grupo de Trabajo II consideró el proyecto de decisión revisado presentado por su Presidenta.</w:t>
      </w:r>
    </w:p>
    <w:p w14:paraId="327832F4" w14:textId="237BA70A" w:rsidR="00360912" w:rsidRPr="00A202B4" w:rsidRDefault="00360912" w:rsidP="00360912">
      <w:pPr>
        <w:pStyle w:val="Para1"/>
        <w:rPr>
          <w:lang w:val="es-ES_tradnl"/>
        </w:rPr>
      </w:pPr>
      <w:r w:rsidRPr="00A202B4">
        <w:rPr>
          <w:lang w:val="es-ES_tradnl"/>
        </w:rPr>
        <w:t>Formularon declaraciones los representantes de las siguientes Partes: Antigua y Barbuda, Belarús, Brasil, Burkina Faso, Colombia, Costa Rica, Ecuador, Egipto (en nombre de los Estados de África), Kenya, Pakistán, Paraguay, República Árabe Siria, Sudáfrica, Tayikistán y Unión Europea y sus 27 Estados miembros.</w:t>
      </w:r>
    </w:p>
    <w:p w14:paraId="48477F6D" w14:textId="0C74C112" w:rsidR="00360912" w:rsidRPr="00A202B4" w:rsidRDefault="00C65A54" w:rsidP="00360912">
      <w:pPr>
        <w:pStyle w:val="Para1"/>
        <w:rPr>
          <w:lang w:val="es-ES_tradnl"/>
        </w:rPr>
      </w:pPr>
      <w:r w:rsidRPr="00A202B4">
        <w:rPr>
          <w:lang w:val="es-ES_tradnl"/>
        </w:rPr>
        <w:t>El Grupo de Trabajo II acordó que se mantendrían deliberaciones bilaterales según fuera necesario para resolver una cuestión pendiente.</w:t>
      </w:r>
    </w:p>
    <w:p w14:paraId="5D6F9BE7" w14:textId="4F63B0E0" w:rsidR="00360912" w:rsidRPr="00A202B4" w:rsidRDefault="00360912" w:rsidP="00360912">
      <w:pPr>
        <w:pStyle w:val="Para1"/>
        <w:rPr>
          <w:lang w:val="es-ES_tradnl"/>
        </w:rPr>
      </w:pPr>
      <w:r w:rsidRPr="00A202B4">
        <w:rPr>
          <w:lang w:val="es-ES_tradnl"/>
        </w:rPr>
        <w:t>En su quinta reunión, el 9 de diciembre de 2022, el Grupo de Trabajo II reanudó su examen del proyecto de decisión revisado y lo aprobó, con las enmiendas efectuadas oralmente, para que fuera remitido a la sesión plenaria como proyecto de decisión CBD/CP/MOP/10/L.10.</w:t>
      </w:r>
    </w:p>
    <w:p w14:paraId="78241F9A" w14:textId="08E2F0EE" w:rsidR="00097EE2" w:rsidRPr="00A202B4" w:rsidRDefault="00097EE2">
      <w:pPr>
        <w:pStyle w:val="Para1"/>
        <w:rPr>
          <w:lang w:val="es-ES_tradnl"/>
        </w:rPr>
      </w:pPr>
      <w:r w:rsidRPr="00A202B4">
        <w:rPr>
          <w:lang w:val="es-ES_tradnl"/>
        </w:rPr>
        <w:t>En su segunda sesión plenaria, la Conferencia de las Partes que actúa como reunión de las Partes en el Protocolo de Cartagena adoptó el proyecto de decisión, con las enmiendas efectuadas oralmente, como decisión CP-10/11.</w:t>
      </w:r>
    </w:p>
    <w:p w14:paraId="0A037152" w14:textId="4DEE4FA8" w:rsidR="00D623E5" w:rsidRPr="00A202B4" w:rsidRDefault="003E5686" w:rsidP="00BA7E37">
      <w:pPr>
        <w:spacing w:before="240" w:after="120"/>
        <w:jc w:val="center"/>
        <w:rPr>
          <w:b/>
          <w:lang w:val="es-ES_tradnl"/>
        </w:rPr>
      </w:pPr>
      <w:r w:rsidRPr="00A202B4">
        <w:rPr>
          <w:b/>
          <w:lang w:val="es-ES_tradnl"/>
        </w:rPr>
        <w:t xml:space="preserve">Tema </w:t>
      </w:r>
      <w:r w:rsidR="007775F6" w:rsidRPr="00A202B4">
        <w:rPr>
          <w:b/>
          <w:lang w:val="es-ES_tradnl"/>
        </w:rPr>
        <w:t>16.</w:t>
      </w:r>
      <w:r w:rsidRPr="00A202B4">
        <w:rPr>
          <w:b/>
          <w:lang w:val="es-ES_tradnl"/>
        </w:rPr>
        <w:tab/>
        <w:t>Consideraciones socioeconómicas (artículo 26)</w:t>
      </w:r>
    </w:p>
    <w:p w14:paraId="13E6C616" w14:textId="2A5FBAB0" w:rsidR="002504AD" w:rsidRPr="00A202B4" w:rsidRDefault="002504AD" w:rsidP="002D6D61">
      <w:pPr>
        <w:pStyle w:val="Para1"/>
        <w:rPr>
          <w:bCs/>
          <w:lang w:val="es-ES_tradnl"/>
        </w:rPr>
      </w:pPr>
      <w:r w:rsidRPr="00A202B4">
        <w:rPr>
          <w:lang w:val="es-ES_tradnl"/>
        </w:rPr>
        <w:t>El Grupo de Trabajo II consideró el tema 16 del programa en su segunda reunión. Tuvo ante sí un proyecto de decisión, que figuraba en la recopilación de proyectos de decisión, y una nota de la Secretaria Ejecutiva (CBD/CP/MOP/10/11).</w:t>
      </w:r>
    </w:p>
    <w:p w14:paraId="1749E4C7" w14:textId="17FCF3C6" w:rsidR="002504AD" w:rsidRPr="00A202B4" w:rsidRDefault="002504AD" w:rsidP="002504AD">
      <w:pPr>
        <w:pStyle w:val="Para1"/>
        <w:rPr>
          <w:bCs/>
          <w:lang w:val="es-ES_tradnl"/>
        </w:rPr>
      </w:pPr>
      <w:r w:rsidRPr="00A202B4">
        <w:rPr>
          <w:lang w:val="es-ES_tradnl"/>
        </w:rPr>
        <w:t>Formularon declaraciones los representantes de las siguientes Partes: Bolivia (Estado Plurinacional de), Botswana, Brasil, Côte d’Ivoire, Ecuador, Eswatini, Guatemala, Malasia, México, Namibia, Noruega, Paraguay, República de Corea, República Unida de Tanzanía, Sudáfrica, Unión Europea y sus 27 Estados miembros, Uruguay y Zimbabwe (en nombre de los Estados de África).</w:t>
      </w:r>
    </w:p>
    <w:p w14:paraId="08DA7545" w14:textId="77777777" w:rsidR="002504AD" w:rsidRPr="00A202B4" w:rsidRDefault="002504AD" w:rsidP="002504AD">
      <w:pPr>
        <w:pStyle w:val="Para1"/>
        <w:rPr>
          <w:bCs/>
          <w:lang w:val="es-ES_tradnl"/>
        </w:rPr>
      </w:pPr>
      <w:r w:rsidRPr="00A202B4">
        <w:rPr>
          <w:lang w:val="es-ES_tradnl"/>
        </w:rPr>
        <w:t>El representante de la Argentina también formuló una declaración.</w:t>
      </w:r>
    </w:p>
    <w:p w14:paraId="3FD19CC7" w14:textId="3D1CED09" w:rsidR="002504AD" w:rsidRPr="00A202B4" w:rsidRDefault="007A1FEE" w:rsidP="002504AD">
      <w:pPr>
        <w:pStyle w:val="Para1"/>
        <w:rPr>
          <w:bCs/>
          <w:lang w:val="es-ES_tradnl"/>
        </w:rPr>
      </w:pPr>
      <w:r w:rsidRPr="00A202B4">
        <w:rPr>
          <w:lang w:val="es-ES_tradnl"/>
        </w:rPr>
        <w:t>El Grupo de Trabajo II convino en que su Presidenta prepararía un proyecto de decisión revisado para su consideración, teniendo en cuenta las declaraciones formuladas.</w:t>
      </w:r>
    </w:p>
    <w:p w14:paraId="4B517A98" w14:textId="3589B4D9" w:rsidR="002504AD" w:rsidRPr="00A202B4" w:rsidRDefault="002504AD" w:rsidP="002504AD">
      <w:pPr>
        <w:pStyle w:val="Para1"/>
        <w:rPr>
          <w:lang w:val="es-ES_tradnl"/>
        </w:rPr>
      </w:pPr>
      <w:r w:rsidRPr="00A202B4">
        <w:rPr>
          <w:lang w:val="es-ES_tradnl"/>
        </w:rPr>
        <w:lastRenderedPageBreak/>
        <w:t>En su cuarta reunión, el Grupo de Trabajo II consideró el proyecto de decisión revisado presentado por su Presidenta y lo aprobó, con las enmiendas efectuadas oralmente, para que fuera remitido a la sesión plenaria como proyecto de decisión CBD/CP/MOP/10/L.6.</w:t>
      </w:r>
    </w:p>
    <w:p w14:paraId="2BBD02B4" w14:textId="782E6958" w:rsidR="00575F20" w:rsidRPr="00A202B4" w:rsidRDefault="000E50F4" w:rsidP="00575F20">
      <w:pPr>
        <w:pStyle w:val="Para1"/>
        <w:suppressLineNumbers/>
        <w:suppressAutoHyphens/>
        <w:kinsoku w:val="0"/>
        <w:overflowPunct w:val="0"/>
        <w:autoSpaceDE w:val="0"/>
        <w:autoSpaceDN w:val="0"/>
        <w:snapToGrid w:val="0"/>
        <w:rPr>
          <w:lang w:val="es-ES_tradnl"/>
        </w:rPr>
      </w:pPr>
      <w:r w:rsidRPr="00A202B4">
        <w:rPr>
          <w:lang w:val="es-ES_tradnl"/>
        </w:rPr>
        <w:t>En su segunda sesión plenaria, la Conferencia de las Partes que actúa como reunión de las Partes en el Protocolo de Cartagena adoptó el proyecto de decisión como decisión CP-10/12.</w:t>
      </w:r>
    </w:p>
    <w:p w14:paraId="476397EA" w14:textId="48D44A86" w:rsidR="008C52BD" w:rsidRPr="00A202B4" w:rsidRDefault="007775F6" w:rsidP="00BA7E37">
      <w:pPr>
        <w:spacing w:before="240" w:after="120"/>
        <w:ind w:left="1987" w:hanging="1267"/>
        <w:jc w:val="left"/>
        <w:rPr>
          <w:rFonts w:asciiTheme="majorBidi" w:hAnsiTheme="majorBidi" w:cstheme="majorBidi"/>
          <w:b/>
          <w:bCs/>
          <w:caps/>
          <w:snapToGrid w:val="0"/>
          <w:kern w:val="22"/>
          <w:lang w:val="es-ES_tradnl"/>
        </w:rPr>
      </w:pPr>
      <w:r w:rsidRPr="00A202B4">
        <w:rPr>
          <w:rFonts w:asciiTheme="majorBidi" w:hAnsiTheme="majorBidi"/>
          <w:b/>
          <w:snapToGrid w:val="0"/>
          <w:lang w:val="es-ES_tradnl"/>
        </w:rPr>
        <w:t>Tema 17.</w:t>
      </w:r>
      <w:r w:rsidRPr="00A202B4">
        <w:rPr>
          <w:rFonts w:asciiTheme="majorBidi" w:hAnsiTheme="majorBidi"/>
          <w:b/>
          <w:snapToGrid w:val="0"/>
          <w:lang w:val="es-ES_tradnl"/>
        </w:rPr>
        <w:tab/>
        <w:t>Protocolo Suplementario de Nagoya–Kuala Lumpur sobre Responsabilidad</w:t>
      </w:r>
      <w:r w:rsidR="00BA7E37">
        <w:rPr>
          <w:rFonts w:asciiTheme="majorBidi" w:hAnsiTheme="majorBidi"/>
          <w:b/>
          <w:snapToGrid w:val="0"/>
          <w:lang w:val="es-ES_tradnl"/>
        </w:rPr>
        <w:br/>
      </w:r>
      <w:r w:rsidRPr="00A202B4">
        <w:rPr>
          <w:rFonts w:asciiTheme="majorBidi" w:hAnsiTheme="majorBidi"/>
          <w:b/>
          <w:snapToGrid w:val="0"/>
          <w:lang w:val="es-ES_tradnl"/>
        </w:rPr>
        <w:t>y Compensación</w:t>
      </w:r>
    </w:p>
    <w:p w14:paraId="0734338A" w14:textId="436336CD" w:rsidR="003F7E9F" w:rsidRPr="00A202B4" w:rsidRDefault="003F7E9F" w:rsidP="002D6D61">
      <w:pPr>
        <w:pStyle w:val="Para1"/>
        <w:rPr>
          <w:bCs/>
          <w:lang w:val="es-ES_tradnl"/>
        </w:rPr>
      </w:pPr>
      <w:r w:rsidRPr="00A202B4">
        <w:rPr>
          <w:lang w:val="es-ES_tradnl"/>
        </w:rPr>
        <w:t>El Grupo de Trabajo II consideró el tema 17 del programa en su primera reunión. Tuvo ante sí un proyecto de decisión, que figuraba en la recopilación de proyectos de decisión, una nota de la Secretaria Ejecutiva (CBD/CP/MOP/10/9) y un estudio sobre mecanismos de garantía financiera (artículo 10 del Protocolo Suplementario de Nagoya-Kuala Lumpur sobre Responsabilidad y Compensación) (CBD/CP/MOP/10/INF/1).</w:t>
      </w:r>
    </w:p>
    <w:p w14:paraId="78A9FB43" w14:textId="25C526F5" w:rsidR="003F7E9F" w:rsidRPr="00A202B4" w:rsidRDefault="003F7E9F" w:rsidP="003F7E9F">
      <w:pPr>
        <w:pStyle w:val="Para1"/>
        <w:rPr>
          <w:lang w:val="es-ES_tradnl"/>
        </w:rPr>
      </w:pPr>
      <w:r w:rsidRPr="00A202B4">
        <w:rPr>
          <w:lang w:val="es-ES_tradnl"/>
        </w:rPr>
        <w:t>Formularon declaraciones los representantes de las siguientes Partes: Brasil y Unión Europea y sus</w:t>
      </w:r>
      <w:r w:rsidR="006D4886" w:rsidRPr="00A202B4">
        <w:rPr>
          <w:lang w:val="es-ES_tradnl"/>
        </w:rPr>
        <w:t> </w:t>
      </w:r>
      <w:r w:rsidRPr="00A202B4">
        <w:rPr>
          <w:lang w:val="es-ES_tradnl"/>
        </w:rPr>
        <w:t>27 Estados miembros.</w:t>
      </w:r>
    </w:p>
    <w:p w14:paraId="2C193A25" w14:textId="263BDF3F" w:rsidR="003F7E9F" w:rsidRPr="00A202B4" w:rsidRDefault="007A1FEE" w:rsidP="003F7E9F">
      <w:pPr>
        <w:pStyle w:val="Para1"/>
        <w:rPr>
          <w:lang w:val="es-ES_tradnl"/>
        </w:rPr>
      </w:pPr>
      <w:r w:rsidRPr="00A202B4">
        <w:rPr>
          <w:lang w:val="es-ES_tradnl"/>
        </w:rPr>
        <w:t>El Grupo de Trabajo II convino en que su Presidenta prepararía un proyecto de decisión revisado para su consideración, teniendo en cuenta las declaraciones formuladas.</w:t>
      </w:r>
    </w:p>
    <w:p w14:paraId="4D1ED078" w14:textId="60AD3DA4" w:rsidR="003F7E9F" w:rsidRPr="00A202B4" w:rsidRDefault="003F7E9F" w:rsidP="003F7E9F">
      <w:pPr>
        <w:pStyle w:val="Para1"/>
        <w:rPr>
          <w:lang w:val="es-ES_tradnl"/>
        </w:rPr>
      </w:pPr>
      <w:r w:rsidRPr="00A202B4">
        <w:rPr>
          <w:lang w:val="es-ES_tradnl"/>
        </w:rPr>
        <w:t>En su cuarta reunión, el Grupo de Trabajo II consideró el proyecto de decisión revisado presentado por su Presidenta y lo aprobó, con las enmiendas efectuadas oralmente, para que fuera remitido a la sesión plenaria como proyecto de decisión CBD/CP/MOP/10/L.5.</w:t>
      </w:r>
    </w:p>
    <w:p w14:paraId="07314782" w14:textId="2EE49383" w:rsidR="00575F20" w:rsidRPr="00A202B4" w:rsidRDefault="00B566C9" w:rsidP="00575F20">
      <w:pPr>
        <w:pStyle w:val="Para1"/>
        <w:suppressLineNumbers/>
        <w:suppressAutoHyphens/>
        <w:kinsoku w:val="0"/>
        <w:overflowPunct w:val="0"/>
        <w:autoSpaceDE w:val="0"/>
        <w:autoSpaceDN w:val="0"/>
        <w:snapToGrid w:val="0"/>
        <w:rPr>
          <w:lang w:val="es-ES_tradnl"/>
        </w:rPr>
      </w:pPr>
      <w:r w:rsidRPr="00A202B4">
        <w:rPr>
          <w:lang w:val="es-ES_tradnl"/>
        </w:rPr>
        <w:t>En su segunda sesión plenaria, la Conferencia de las Partes que actúa como reunión de las Partes en el Protocolo de Cartagena adoptó el proyecto de decisión como decisión CP-10/13.</w:t>
      </w:r>
    </w:p>
    <w:p w14:paraId="03C38553" w14:textId="3FD7E645" w:rsidR="004C0A0D" w:rsidRPr="00A202B4" w:rsidRDefault="003E5686" w:rsidP="00BA7E37">
      <w:pPr>
        <w:spacing w:before="240" w:after="120"/>
        <w:jc w:val="center"/>
        <w:rPr>
          <w:rFonts w:eastAsia="MS Mincho"/>
          <w:b/>
          <w:lang w:val="es-ES_tradnl"/>
        </w:rPr>
      </w:pPr>
      <w:r w:rsidRPr="00A202B4">
        <w:rPr>
          <w:b/>
          <w:lang w:val="es-ES_tradnl"/>
        </w:rPr>
        <w:t xml:space="preserve">Tema </w:t>
      </w:r>
      <w:r w:rsidR="007775F6" w:rsidRPr="00A202B4">
        <w:rPr>
          <w:b/>
          <w:lang w:val="es-ES_tradnl"/>
        </w:rPr>
        <w:t>18.</w:t>
      </w:r>
      <w:r w:rsidRPr="00A202B4">
        <w:rPr>
          <w:b/>
          <w:lang w:val="es-ES_tradnl"/>
        </w:rPr>
        <w:tab/>
        <w:t>Otros asuntos</w:t>
      </w:r>
    </w:p>
    <w:p w14:paraId="1865C559" w14:textId="53790F5D" w:rsidR="00B82035" w:rsidRPr="00A202B4" w:rsidRDefault="00B82035" w:rsidP="00B82035">
      <w:pPr>
        <w:pStyle w:val="Para1"/>
        <w:overflowPunct w:val="0"/>
        <w:autoSpaceDE w:val="0"/>
        <w:autoSpaceDN w:val="0"/>
        <w:snapToGrid w:val="0"/>
        <w:spacing w:before="0"/>
        <w:rPr>
          <w:spacing w:val="2"/>
          <w:lang w:val="es-ES_tradnl"/>
        </w:rPr>
      </w:pPr>
      <w:bookmarkStart w:id="48" w:name="_Hlk123388366"/>
      <w:r w:rsidRPr="00A202B4">
        <w:rPr>
          <w:spacing w:val="2"/>
          <w:lang w:val="es-ES_tradnl"/>
        </w:rPr>
        <w:t xml:space="preserve">Habida cuenta de la decisión del Presidente de suspender la reunión, adoptada en el marco del subtema 2 A del programa, la Conferencia de las Partes que actúa como reunión de las Partes en el Protocolo de Cartagena no </w:t>
      </w:r>
      <w:r w:rsidR="00AE0717" w:rsidRPr="00A202B4">
        <w:rPr>
          <w:spacing w:val="2"/>
          <w:lang w:val="es-ES_tradnl"/>
        </w:rPr>
        <w:t>consideró</w:t>
      </w:r>
      <w:r w:rsidRPr="00A202B4">
        <w:rPr>
          <w:spacing w:val="2"/>
          <w:lang w:val="es-ES_tradnl"/>
        </w:rPr>
        <w:t xml:space="preserve"> el tema 18 del programa</w:t>
      </w:r>
      <w:r w:rsidR="002A7F79" w:rsidRPr="00A202B4">
        <w:rPr>
          <w:spacing w:val="2"/>
          <w:lang w:val="es-ES_tradnl"/>
        </w:rPr>
        <w:t xml:space="preserve"> hasta la continuación de la reunión</w:t>
      </w:r>
      <w:r w:rsidRPr="00A202B4">
        <w:rPr>
          <w:spacing w:val="2"/>
          <w:lang w:val="es-ES_tradnl"/>
        </w:rPr>
        <w:t>.</w:t>
      </w:r>
    </w:p>
    <w:p w14:paraId="7749A961" w14:textId="77777777" w:rsidR="00E543AD" w:rsidRPr="00A202B4" w:rsidRDefault="00E543AD" w:rsidP="00E543AD">
      <w:pPr>
        <w:pStyle w:val="Para1"/>
        <w:numPr>
          <w:ilvl w:val="0"/>
          <w:numId w:val="0"/>
        </w:numPr>
        <w:rPr>
          <w:i/>
          <w:iCs/>
          <w:lang w:val="es-ES_tradnl"/>
        </w:rPr>
      </w:pPr>
      <w:r w:rsidRPr="00A202B4">
        <w:rPr>
          <w:i/>
          <w:lang w:val="es-ES_tradnl"/>
        </w:rPr>
        <w:t>Continuación de la segunda parte</w:t>
      </w:r>
    </w:p>
    <w:p w14:paraId="5FF3E90B" w14:textId="00003E8C" w:rsidR="00E543AD" w:rsidRPr="00A202B4" w:rsidRDefault="00D85353" w:rsidP="00E543AD">
      <w:pPr>
        <w:pStyle w:val="Para1"/>
        <w:overflowPunct w:val="0"/>
        <w:autoSpaceDE w:val="0"/>
        <w:autoSpaceDN w:val="0"/>
        <w:snapToGrid w:val="0"/>
        <w:spacing w:before="0"/>
        <w:rPr>
          <w:snapToGrid/>
          <w:szCs w:val="24"/>
          <w:lang w:val="es-ES_tradnl"/>
        </w:rPr>
      </w:pPr>
      <w:r w:rsidRPr="00A202B4">
        <w:rPr>
          <w:lang w:val="es-ES_tradnl"/>
        </w:rPr>
        <w:t>No se examinaron otros asuntos.</w:t>
      </w:r>
    </w:p>
    <w:bookmarkEnd w:id="48"/>
    <w:p w14:paraId="2EA5DC6C" w14:textId="27E75B64" w:rsidR="00AD3AFD" w:rsidRPr="00A202B4" w:rsidRDefault="003E5686" w:rsidP="00BA7E37">
      <w:pPr>
        <w:spacing w:before="240" w:after="120"/>
        <w:jc w:val="center"/>
        <w:rPr>
          <w:b/>
          <w:caps/>
          <w:lang w:val="es-ES_tradnl"/>
        </w:rPr>
      </w:pPr>
      <w:r w:rsidRPr="00A202B4">
        <w:rPr>
          <w:b/>
          <w:lang w:val="es-ES_tradnl"/>
        </w:rPr>
        <w:t>Tema 19.</w:t>
      </w:r>
      <w:r w:rsidR="00BA7E37">
        <w:rPr>
          <w:b/>
          <w:lang w:val="es-ES_tradnl"/>
        </w:rPr>
        <w:tab/>
      </w:r>
      <w:r w:rsidRPr="00A202B4">
        <w:rPr>
          <w:b/>
          <w:lang w:val="es-ES_tradnl"/>
        </w:rPr>
        <w:t>Adopción del informe</w:t>
      </w:r>
    </w:p>
    <w:p w14:paraId="5BC7725F" w14:textId="5985365B" w:rsidR="00B82035" w:rsidRPr="00A202B4" w:rsidRDefault="00B82035" w:rsidP="00B82035">
      <w:pPr>
        <w:pStyle w:val="Para1"/>
        <w:overflowPunct w:val="0"/>
        <w:autoSpaceDE w:val="0"/>
        <w:autoSpaceDN w:val="0"/>
        <w:snapToGrid w:val="0"/>
        <w:spacing w:before="0"/>
        <w:rPr>
          <w:spacing w:val="2"/>
          <w:lang w:val="es-ES_tradnl"/>
        </w:rPr>
      </w:pPr>
      <w:r w:rsidRPr="00A202B4">
        <w:rPr>
          <w:spacing w:val="2"/>
          <w:lang w:val="es-ES_tradnl"/>
        </w:rPr>
        <w:t xml:space="preserve">Habida cuenta de la decisión del Presidente de suspender la reunión, adoptada en el marco del subtema 2 A del programa, la Conferencia de las Partes que actúa como reunión de las Partes en el Protocolo de Cartagena no </w:t>
      </w:r>
      <w:r w:rsidR="00AE0717" w:rsidRPr="00A202B4">
        <w:rPr>
          <w:spacing w:val="2"/>
          <w:lang w:val="es-ES_tradnl"/>
        </w:rPr>
        <w:t>consideró</w:t>
      </w:r>
      <w:r w:rsidRPr="00A202B4">
        <w:rPr>
          <w:spacing w:val="2"/>
          <w:lang w:val="es-ES_tradnl"/>
        </w:rPr>
        <w:t xml:space="preserve"> el tema 19 del programa</w:t>
      </w:r>
      <w:r w:rsidR="002A7F79" w:rsidRPr="00A202B4">
        <w:rPr>
          <w:spacing w:val="2"/>
          <w:lang w:val="es-ES_tradnl"/>
        </w:rPr>
        <w:t xml:space="preserve"> hasta la continuación de la reunión</w:t>
      </w:r>
      <w:r w:rsidRPr="00A202B4">
        <w:rPr>
          <w:spacing w:val="2"/>
          <w:lang w:val="es-ES_tradnl"/>
        </w:rPr>
        <w:t>.</w:t>
      </w:r>
    </w:p>
    <w:p w14:paraId="29E70404" w14:textId="77777777" w:rsidR="00E543AD" w:rsidRPr="00A202B4" w:rsidRDefault="00E543AD" w:rsidP="00AF2927">
      <w:pPr>
        <w:pStyle w:val="Para1"/>
        <w:keepNext/>
        <w:numPr>
          <w:ilvl w:val="0"/>
          <w:numId w:val="0"/>
        </w:numPr>
        <w:rPr>
          <w:i/>
          <w:iCs/>
          <w:lang w:val="es-ES_tradnl"/>
        </w:rPr>
      </w:pPr>
      <w:r w:rsidRPr="00A202B4">
        <w:rPr>
          <w:i/>
          <w:lang w:val="es-ES_tradnl"/>
        </w:rPr>
        <w:t>Continuación de la segunda parte</w:t>
      </w:r>
    </w:p>
    <w:p w14:paraId="1E91DD08" w14:textId="4FD1E6E8" w:rsidR="00E543AD" w:rsidRPr="00A202B4" w:rsidRDefault="00B93299" w:rsidP="00E543AD">
      <w:pPr>
        <w:pStyle w:val="Para1"/>
        <w:overflowPunct w:val="0"/>
        <w:autoSpaceDE w:val="0"/>
        <w:autoSpaceDN w:val="0"/>
        <w:snapToGrid w:val="0"/>
        <w:spacing w:before="0"/>
        <w:rPr>
          <w:snapToGrid/>
          <w:szCs w:val="24"/>
          <w:lang w:val="es-ES_tradnl"/>
        </w:rPr>
      </w:pPr>
      <w:r w:rsidRPr="00A202B4">
        <w:rPr>
          <w:lang w:val="es-ES_tradnl"/>
        </w:rPr>
        <w:t>El presente informe se adoptó en la séptima sesión, sobre la base del proyecto de informe preparado por la Relatora (CBD/CP/MOP/10/L.1/Rev.2), y en el entendido de que se encargaría su finalización a la Relatora.</w:t>
      </w:r>
    </w:p>
    <w:p w14:paraId="7C0C5F17" w14:textId="5B48C4D2" w:rsidR="00D623E5" w:rsidRPr="00A202B4" w:rsidRDefault="003E5686" w:rsidP="00BA7E37">
      <w:pPr>
        <w:spacing w:before="240" w:after="120"/>
        <w:jc w:val="center"/>
        <w:rPr>
          <w:b/>
          <w:lang w:val="es-ES_tradnl"/>
        </w:rPr>
      </w:pPr>
      <w:r w:rsidRPr="00A202B4">
        <w:rPr>
          <w:b/>
          <w:lang w:val="es-ES_tradnl"/>
        </w:rPr>
        <w:t xml:space="preserve">Tema </w:t>
      </w:r>
      <w:r w:rsidR="007775F6" w:rsidRPr="00A202B4">
        <w:rPr>
          <w:b/>
          <w:lang w:val="es-ES_tradnl"/>
        </w:rPr>
        <w:t>20.</w:t>
      </w:r>
      <w:r w:rsidR="007775F6" w:rsidRPr="00A202B4">
        <w:rPr>
          <w:b/>
          <w:lang w:val="es-ES_tradnl"/>
        </w:rPr>
        <w:tab/>
      </w:r>
      <w:r w:rsidRPr="00A202B4">
        <w:rPr>
          <w:b/>
          <w:lang w:val="es-ES_tradnl"/>
        </w:rPr>
        <w:t>Clausura de la reunión</w:t>
      </w:r>
    </w:p>
    <w:p w14:paraId="22582A81" w14:textId="45ADE875" w:rsidR="009203DE" w:rsidRPr="00A202B4" w:rsidRDefault="009203DE" w:rsidP="009203DE">
      <w:pPr>
        <w:pStyle w:val="Para1"/>
        <w:overflowPunct w:val="0"/>
        <w:autoSpaceDE w:val="0"/>
        <w:autoSpaceDN w:val="0"/>
        <w:snapToGrid w:val="0"/>
        <w:spacing w:before="0"/>
        <w:rPr>
          <w:lang w:val="es-ES_tradnl"/>
        </w:rPr>
      </w:pPr>
      <w:r w:rsidRPr="00A202B4">
        <w:rPr>
          <w:lang w:val="es-ES_tradnl"/>
        </w:rPr>
        <w:t>Como se indica en el subtema 2 A del programa, no resultó posible llevar a cabo la elección de la Mesa y concluir la segunda parte de la décima reunión de la Conferencia de las Partes que actúa como reunión de las Partes en el Protocolo de Cartagena en su quinta sesión plenaria.</w:t>
      </w:r>
    </w:p>
    <w:p w14:paraId="52DE6F79" w14:textId="06548B78" w:rsidR="009203DE" w:rsidRPr="00A202B4" w:rsidRDefault="009203DE" w:rsidP="002D6D61">
      <w:pPr>
        <w:pStyle w:val="Para1"/>
        <w:overflowPunct w:val="0"/>
        <w:autoSpaceDE w:val="0"/>
        <w:autoSpaceDN w:val="0"/>
        <w:snapToGrid w:val="0"/>
        <w:spacing w:before="0"/>
        <w:rPr>
          <w:lang w:val="es-ES_tradnl"/>
        </w:rPr>
      </w:pPr>
      <w:r w:rsidRPr="00A202B4">
        <w:rPr>
          <w:lang w:val="es-ES_tradnl"/>
        </w:rPr>
        <w:t xml:space="preserve">Por consiguiente, el Presidente propuso suspender la décima reunión a fin de permitir que las Partes resolvieran sus diferencias en relación con la elección de la Mesa en una continuación de la reunión, que se convocaría en una fecha posterior, y pidió a los miembros de la Mesa de la reunión y a los miembros de las </w:t>
      </w:r>
      <w:r w:rsidRPr="00A202B4">
        <w:rPr>
          <w:lang w:val="es-ES_tradnl"/>
        </w:rPr>
        <w:lastRenderedPageBreak/>
        <w:t>Mesas de los otros órganos que se mantuvieran en funciones hasta la conclusión de la continuación de la reunión. Ninguna de las Parte</w:t>
      </w:r>
      <w:r w:rsidR="00A3115C" w:rsidRPr="00A202B4">
        <w:rPr>
          <w:lang w:val="es-ES_tradnl"/>
        </w:rPr>
        <w:t>s expresó opiniones contrarias.</w:t>
      </w:r>
    </w:p>
    <w:p w14:paraId="786526A7" w14:textId="24E57F2F" w:rsidR="00B82035" w:rsidRPr="00A202B4" w:rsidRDefault="00B82035" w:rsidP="00E1686B">
      <w:pPr>
        <w:pStyle w:val="Para1"/>
        <w:tabs>
          <w:tab w:val="clear" w:pos="720"/>
        </w:tabs>
        <w:rPr>
          <w:lang w:val="es-ES_tradnl"/>
        </w:rPr>
      </w:pPr>
      <w:r w:rsidRPr="00A202B4">
        <w:rPr>
          <w:lang w:val="es-ES_tradnl"/>
        </w:rPr>
        <w:t>Tras el intercambio habitual de cortesías, el Presidente suspendió la reunión el 20 de diciembre de 2022 a la 1.00 hora.</w:t>
      </w:r>
    </w:p>
    <w:p w14:paraId="3DF20B2F" w14:textId="77777777" w:rsidR="00E543AD" w:rsidRPr="00A202B4" w:rsidRDefault="00E543AD" w:rsidP="00E543AD">
      <w:pPr>
        <w:pStyle w:val="Para1"/>
        <w:numPr>
          <w:ilvl w:val="0"/>
          <w:numId w:val="0"/>
        </w:numPr>
        <w:rPr>
          <w:i/>
          <w:iCs/>
          <w:lang w:val="es-ES_tradnl"/>
        </w:rPr>
      </w:pPr>
      <w:r w:rsidRPr="00A202B4">
        <w:rPr>
          <w:i/>
          <w:lang w:val="es-ES_tradnl"/>
        </w:rPr>
        <w:t>Continuación de la segunda parte</w:t>
      </w:r>
    </w:p>
    <w:p w14:paraId="09A3D741" w14:textId="4D420DD8" w:rsidR="00E543AD" w:rsidRPr="00A202B4" w:rsidRDefault="00AF2927" w:rsidP="00E543AD">
      <w:pPr>
        <w:pStyle w:val="Para1"/>
        <w:overflowPunct w:val="0"/>
        <w:autoSpaceDE w:val="0"/>
        <w:autoSpaceDN w:val="0"/>
        <w:snapToGrid w:val="0"/>
        <w:spacing w:before="0"/>
        <w:rPr>
          <w:snapToGrid/>
          <w:szCs w:val="24"/>
          <w:lang w:val="es-ES_tradnl"/>
        </w:rPr>
      </w:pPr>
      <w:r w:rsidRPr="00A202B4">
        <w:rPr>
          <w:lang w:val="es-ES_tradnl"/>
        </w:rPr>
        <w:t xml:space="preserve">Tras el habitual intercambio de cortesías, </w:t>
      </w:r>
      <w:r w:rsidR="006263BC" w:rsidRPr="00A202B4">
        <w:rPr>
          <w:lang w:val="es-ES_tradnl"/>
        </w:rPr>
        <w:t xml:space="preserve">se declaró clausurada la reunión </w:t>
      </w:r>
      <w:r w:rsidRPr="00A202B4">
        <w:rPr>
          <w:lang w:val="es-ES_tradnl"/>
        </w:rPr>
        <w:t>el 20 de octubre de 2023 a las 13:15 horas.</w:t>
      </w:r>
    </w:p>
    <w:p w14:paraId="40DDC3F8" w14:textId="409B0710" w:rsidR="007F2CFF" w:rsidRPr="0032095B" w:rsidRDefault="00CE5B1F" w:rsidP="0032095B">
      <w:pPr>
        <w:jc w:val="center"/>
        <w:rPr>
          <w:snapToGrid w:val="0"/>
          <w:kern w:val="22"/>
          <w:szCs w:val="22"/>
          <w:lang w:val="es-ES_tradnl"/>
        </w:rPr>
      </w:pPr>
      <w:r w:rsidRPr="00A202B4">
        <w:rPr>
          <w:snapToGrid w:val="0"/>
          <w:lang w:val="es-ES_tradnl"/>
        </w:rPr>
        <w:t>__________</w:t>
      </w:r>
    </w:p>
    <w:sectPr w:rsidR="007F2CFF" w:rsidRPr="0032095B" w:rsidSect="00BB6DDC">
      <w:headerReference w:type="even" r:id="rId23"/>
      <w:headerReference w:type="default" r:id="rId24"/>
      <w:footnotePr>
        <w:numRestart w:val="eachSect"/>
      </w:footnotePr>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82FB4" w14:textId="77777777" w:rsidR="006A4072" w:rsidRDefault="006A4072" w:rsidP="00CF1848">
      <w:r>
        <w:separator/>
      </w:r>
    </w:p>
  </w:endnote>
  <w:endnote w:type="continuationSeparator" w:id="0">
    <w:p w14:paraId="113F6D05" w14:textId="77777777" w:rsidR="006A4072" w:rsidRDefault="006A4072" w:rsidP="00CF1848">
      <w:r>
        <w:continuationSeparator/>
      </w:r>
    </w:p>
  </w:endnote>
  <w:endnote w:type="continuationNotice" w:id="1">
    <w:p w14:paraId="22D34292" w14:textId="77777777" w:rsidR="006A4072" w:rsidRDefault="006A40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69FB8" w14:textId="77777777" w:rsidR="008C35AD" w:rsidRDefault="008C35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5F6B6" w14:textId="77777777" w:rsidR="008C35AD" w:rsidRDefault="008C35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20105" w14:textId="77777777" w:rsidR="008C35AD" w:rsidRDefault="008C35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E1087" w14:textId="77777777" w:rsidR="006A4072" w:rsidRDefault="006A4072" w:rsidP="00CF1848">
      <w:r>
        <w:separator/>
      </w:r>
    </w:p>
  </w:footnote>
  <w:footnote w:type="continuationSeparator" w:id="0">
    <w:p w14:paraId="53079665" w14:textId="77777777" w:rsidR="006A4072" w:rsidRDefault="006A4072" w:rsidP="00CF1848">
      <w:r>
        <w:continuationSeparator/>
      </w:r>
    </w:p>
  </w:footnote>
  <w:footnote w:type="continuationNotice" w:id="1">
    <w:p w14:paraId="530726D1" w14:textId="77777777" w:rsidR="006A4072" w:rsidRDefault="006A4072"/>
  </w:footnote>
  <w:footnote w:id="2">
    <w:p w14:paraId="0F78D033" w14:textId="5E3BB826" w:rsidR="00B1027C" w:rsidRPr="00B1027C" w:rsidRDefault="00B1027C" w:rsidP="00B1027C">
      <w:pPr>
        <w:pStyle w:val="FootnoteText"/>
        <w:ind w:firstLine="0"/>
        <w:rPr>
          <w:lang w:val="es-ES_tradnl"/>
        </w:rPr>
      </w:pPr>
      <w:r w:rsidRPr="00B1027C">
        <w:rPr>
          <w:rStyle w:val="FootnoteReference"/>
          <w:u w:val="none"/>
          <w:lang w:val="es-ES_tradnl"/>
        </w:rPr>
        <w:t>*</w:t>
      </w:r>
      <w:r w:rsidRPr="00B1027C">
        <w:rPr>
          <w:lang w:val="es-ES_tradnl"/>
        </w:rPr>
        <w:t xml:space="preserve"> La decisión CP-10/1 figura en el documento CBD/CP/MOP/10/4, secc. I.</w:t>
      </w:r>
    </w:p>
  </w:footnote>
  <w:footnote w:id="3">
    <w:p w14:paraId="5394AB46" w14:textId="2C9C5193" w:rsidR="008C35AD" w:rsidRPr="00B1027C" w:rsidRDefault="008C35AD" w:rsidP="003F7CF4">
      <w:pPr>
        <w:pStyle w:val="FootnoteText"/>
        <w:ind w:firstLine="0"/>
        <w:rPr>
          <w:lang w:val="es-ES_tradnl"/>
        </w:rPr>
      </w:pPr>
      <w:r w:rsidRPr="00B1027C">
        <w:rPr>
          <w:rStyle w:val="FootnoteReference"/>
          <w:u w:val="none"/>
          <w:lang w:val="es-ES_tradnl"/>
        </w:rPr>
        <w:t>*</w:t>
      </w:r>
      <w:r w:rsidRPr="00B1027C">
        <w:rPr>
          <w:lang w:val="es-ES_tradnl"/>
        </w:rPr>
        <w:t xml:space="preserve"> La decisión CP-10/1 (Presupuesto para el programa de trabajo integrado de la Secretaría) se adoptó el 15 de octubre de 2021, durante la primera parte de la décima reunión de la Conferencia de las Partes que actúa como reunión de las Partes en el Protocolo de Cartagena sobre Seguridad de la Biotecnología y por lo tanto figura en el informe correspondiente (</w:t>
      </w:r>
      <w:hyperlink r:id="rId1" w:history="1">
        <w:r w:rsidRPr="00B1027C">
          <w:rPr>
            <w:rStyle w:val="Hyperlink"/>
            <w:u w:val="none"/>
            <w:lang w:val="es-ES_tradnl"/>
          </w:rPr>
          <w:t>CBD/CP/MOP/10/4</w:t>
        </w:r>
      </w:hyperlink>
      <w:r w:rsidRPr="00B1027C">
        <w:rPr>
          <w:rStyle w:val="Hyperlink"/>
          <w:u w:val="none"/>
          <w:lang w:val="es-ES_tradnl"/>
        </w:rPr>
        <w:t>)</w:t>
      </w:r>
      <w:r w:rsidRPr="00B1027C">
        <w:rPr>
          <w:lang w:val="es-ES_tradnl"/>
        </w:rPr>
        <w:t>.</w:t>
      </w:r>
    </w:p>
  </w:footnote>
  <w:footnote w:id="4">
    <w:p w14:paraId="5F917714" w14:textId="77777777" w:rsidR="008C35AD" w:rsidRPr="00B1027C" w:rsidRDefault="008C35AD" w:rsidP="00892D38">
      <w:pPr>
        <w:pStyle w:val="FootnoteText"/>
        <w:suppressLineNumbers/>
        <w:suppressAutoHyphens/>
        <w:ind w:firstLine="0"/>
        <w:jc w:val="left"/>
        <w:rPr>
          <w:rFonts w:eastAsia="MS Mincho"/>
          <w:szCs w:val="18"/>
          <w:lang w:val="es-ES_tradnl"/>
        </w:rPr>
      </w:pPr>
      <w:r w:rsidRPr="00B1027C">
        <w:rPr>
          <w:rStyle w:val="FootnoteReference"/>
          <w:kern w:val="18"/>
          <w:u w:val="none"/>
          <w:vertAlign w:val="superscript"/>
          <w:lang w:val="es-ES_tradnl"/>
        </w:rPr>
        <w:footnoteRef/>
      </w:r>
      <w:r w:rsidRPr="00B1027C">
        <w:rPr>
          <w:kern w:val="18"/>
          <w:lang w:val="es-ES_tradnl"/>
        </w:rPr>
        <w:t xml:space="preserve"> Barbados, </w:t>
      </w:r>
      <w:r w:rsidRPr="00B1027C">
        <w:rPr>
          <w:lang w:val="es-ES_tradnl"/>
        </w:rPr>
        <w:t>Kirguistán, Marruecos y Omán</w:t>
      </w:r>
      <w:r w:rsidRPr="00B1027C">
        <w:rPr>
          <w:kern w:val="18"/>
          <w:lang w:val="es-ES_tradnl"/>
        </w:rPr>
        <w:t>.</w:t>
      </w:r>
    </w:p>
  </w:footnote>
  <w:footnote w:id="5">
    <w:p w14:paraId="5F6A3F38" w14:textId="77777777" w:rsidR="008C35AD" w:rsidRPr="00B1027C" w:rsidRDefault="008C35AD" w:rsidP="001024F9">
      <w:pPr>
        <w:pStyle w:val="FootnoteText"/>
        <w:ind w:firstLine="0"/>
        <w:jc w:val="left"/>
        <w:rPr>
          <w:szCs w:val="18"/>
          <w:lang w:val="es-ES_tradnl"/>
        </w:rPr>
      </w:pPr>
      <w:r w:rsidRPr="00B1027C">
        <w:rPr>
          <w:rStyle w:val="FootnoteReference"/>
          <w:szCs w:val="18"/>
          <w:u w:val="none"/>
          <w:vertAlign w:val="superscript"/>
          <w:lang w:val="es-ES_tradnl"/>
        </w:rPr>
        <w:footnoteRef/>
      </w:r>
      <w:r w:rsidRPr="00B1027C">
        <w:rPr>
          <w:szCs w:val="18"/>
          <w:lang w:val="es-ES_tradnl"/>
        </w:rPr>
        <w:t xml:space="preserve"> Decisión </w:t>
      </w:r>
      <w:hyperlink r:id="rId2" w:history="1">
        <w:r w:rsidRPr="00B1027C">
          <w:rPr>
            <w:rStyle w:val="Hyperlink"/>
            <w:szCs w:val="18"/>
            <w:u w:val="none"/>
            <w:lang w:val="es-ES_tradnl"/>
          </w:rPr>
          <w:t>BS-V/16</w:t>
        </w:r>
      </w:hyperlink>
      <w:r w:rsidRPr="00B1027C">
        <w:rPr>
          <w:color w:val="003344"/>
          <w:szCs w:val="18"/>
          <w:shd w:val="clear" w:color="auto" w:fill="FFFFFF"/>
          <w:lang w:val="es-ES_tradnl"/>
        </w:rPr>
        <w:t>.</w:t>
      </w:r>
    </w:p>
  </w:footnote>
  <w:footnote w:id="6">
    <w:p w14:paraId="0A082F33" w14:textId="77777777" w:rsidR="008C35AD" w:rsidRPr="00B1027C" w:rsidRDefault="008C35AD" w:rsidP="001024F9">
      <w:pPr>
        <w:pStyle w:val="FootnoteText"/>
        <w:ind w:firstLine="0"/>
        <w:rPr>
          <w:lang w:val="es-ES_tradnl"/>
        </w:rPr>
      </w:pPr>
      <w:r w:rsidRPr="00B1027C">
        <w:rPr>
          <w:rStyle w:val="FootnoteReference"/>
          <w:u w:val="none"/>
          <w:vertAlign w:val="superscript"/>
          <w:lang w:val="es-ES_tradnl"/>
        </w:rPr>
        <w:footnoteRef/>
      </w:r>
      <w:r w:rsidRPr="00B1027C">
        <w:rPr>
          <w:lang w:val="es-ES_tradnl"/>
        </w:rPr>
        <w:t xml:space="preserve"> Decisión CP-10/4.</w:t>
      </w:r>
    </w:p>
  </w:footnote>
  <w:footnote w:id="7">
    <w:p w14:paraId="7707618F" w14:textId="77777777" w:rsidR="008C35AD" w:rsidRPr="00B1027C" w:rsidRDefault="008C35AD" w:rsidP="001024F9">
      <w:pPr>
        <w:pStyle w:val="FootnoteText"/>
        <w:ind w:firstLine="0"/>
        <w:jc w:val="left"/>
        <w:rPr>
          <w:szCs w:val="18"/>
          <w:lang w:val="es-ES_tradnl"/>
        </w:rPr>
      </w:pPr>
      <w:r w:rsidRPr="00B1027C">
        <w:rPr>
          <w:rStyle w:val="FootnoteReference"/>
          <w:rFonts w:asciiTheme="majorBidi" w:hAnsiTheme="majorBidi" w:cstheme="majorBidi"/>
          <w:u w:val="none"/>
          <w:vertAlign w:val="superscript"/>
          <w:lang w:val="es-ES_tradnl"/>
        </w:rPr>
        <w:footnoteRef/>
      </w:r>
      <w:r w:rsidRPr="00B1027C">
        <w:rPr>
          <w:szCs w:val="18"/>
          <w:lang w:val="es-ES_tradnl"/>
        </w:rPr>
        <w:t xml:space="preserve"> CBD/SBI/3/3/Add.1.</w:t>
      </w:r>
    </w:p>
  </w:footnote>
  <w:footnote w:id="8">
    <w:p w14:paraId="75FF307F" w14:textId="77777777" w:rsidR="008C35AD" w:rsidRPr="00B1027C" w:rsidRDefault="008C35AD" w:rsidP="00905212">
      <w:pPr>
        <w:pStyle w:val="FootnoteText"/>
        <w:ind w:firstLine="0"/>
        <w:rPr>
          <w:lang w:val="es-ES_tradnl"/>
        </w:rPr>
      </w:pPr>
      <w:r w:rsidRPr="00B1027C">
        <w:rPr>
          <w:rStyle w:val="FootnoteReference"/>
          <w:u w:val="none"/>
          <w:vertAlign w:val="superscript"/>
          <w:lang w:val="es-ES_tradnl"/>
        </w:rPr>
        <w:footnoteRef/>
      </w:r>
      <w:r w:rsidRPr="00B1027C">
        <w:rPr>
          <w:lang w:val="es-ES_tradnl"/>
        </w:rPr>
        <w:t xml:space="preserve"> Decisión CP-10/4.</w:t>
      </w:r>
    </w:p>
  </w:footnote>
  <w:footnote w:id="9">
    <w:p w14:paraId="0940BBC9" w14:textId="77777777" w:rsidR="008C35AD" w:rsidRPr="00B1027C" w:rsidRDefault="008C35AD" w:rsidP="00846826">
      <w:pPr>
        <w:pStyle w:val="FootnoteText"/>
        <w:ind w:firstLine="0"/>
        <w:jc w:val="left"/>
        <w:rPr>
          <w:lang w:val="es-ES_tradnl"/>
        </w:rPr>
      </w:pPr>
      <w:r w:rsidRPr="00B1027C">
        <w:rPr>
          <w:rStyle w:val="FootnoteReference"/>
          <w:u w:val="none"/>
          <w:vertAlign w:val="superscript"/>
          <w:lang w:val="es-ES_tradnl"/>
        </w:rPr>
        <w:footnoteRef/>
      </w:r>
      <w:r w:rsidRPr="00B1027C">
        <w:rPr>
          <w:lang w:val="es-ES_tradnl"/>
        </w:rPr>
        <w:t xml:space="preserve"> Anexo I de la decisión </w:t>
      </w:r>
      <w:hyperlink r:id="rId3" w:history="1">
        <w:r w:rsidRPr="00472E64">
          <w:rPr>
            <w:rStyle w:val="Hyperlink"/>
            <w:lang w:val="es-ES_tradnl"/>
          </w:rPr>
          <w:t>BS-VI/3</w:t>
        </w:r>
      </w:hyperlink>
      <w:r w:rsidRPr="00B1027C">
        <w:rPr>
          <w:lang w:val="es-ES_tradnl"/>
        </w:rPr>
        <w:t>.</w:t>
      </w:r>
    </w:p>
  </w:footnote>
  <w:footnote w:id="10">
    <w:p w14:paraId="1370B1D7" w14:textId="77777777" w:rsidR="008C35AD" w:rsidRPr="00B1027C" w:rsidRDefault="008C35AD" w:rsidP="00846826">
      <w:pPr>
        <w:pStyle w:val="FootnoteText"/>
        <w:ind w:firstLine="0"/>
        <w:rPr>
          <w:lang w:val="es-ES_tradnl"/>
        </w:rPr>
      </w:pPr>
      <w:r w:rsidRPr="00B1027C">
        <w:rPr>
          <w:rStyle w:val="FootnoteReference"/>
          <w:u w:val="none"/>
          <w:vertAlign w:val="superscript"/>
          <w:lang w:val="es-ES_tradnl"/>
        </w:rPr>
        <w:footnoteRef/>
      </w:r>
      <w:r w:rsidRPr="00B1027C">
        <w:rPr>
          <w:lang w:val="es-ES_tradnl"/>
        </w:rPr>
        <w:t xml:space="preserve"> Anexo de la decisión CP-10/3.</w:t>
      </w:r>
    </w:p>
  </w:footnote>
  <w:footnote w:id="11">
    <w:p w14:paraId="656331D6" w14:textId="77777777" w:rsidR="008C35AD" w:rsidRPr="00B1027C" w:rsidRDefault="008C35AD" w:rsidP="00846826">
      <w:pPr>
        <w:pStyle w:val="FootnoteText"/>
        <w:ind w:firstLine="0"/>
        <w:jc w:val="left"/>
        <w:rPr>
          <w:lang w:val="es-ES_tradnl"/>
        </w:rPr>
      </w:pPr>
      <w:r w:rsidRPr="00B1027C">
        <w:rPr>
          <w:rStyle w:val="FootnoteReference"/>
          <w:u w:val="none"/>
          <w:vertAlign w:val="superscript"/>
          <w:lang w:val="es-ES_tradnl"/>
        </w:rPr>
        <w:footnoteRef/>
      </w:r>
      <w:r w:rsidRPr="00B1027C">
        <w:rPr>
          <w:lang w:val="es-ES_tradnl"/>
        </w:rPr>
        <w:t xml:space="preserve"> CBD/SBI/3/3/Add.1.</w:t>
      </w:r>
    </w:p>
  </w:footnote>
  <w:footnote w:id="12">
    <w:p w14:paraId="3D15657B" w14:textId="77777777" w:rsidR="008C35AD" w:rsidRPr="00B1027C" w:rsidRDefault="008C35AD" w:rsidP="00846826">
      <w:pPr>
        <w:pStyle w:val="FootnoteText"/>
        <w:ind w:firstLine="0"/>
        <w:rPr>
          <w:lang w:val="es-ES_tradnl"/>
        </w:rPr>
      </w:pPr>
      <w:r w:rsidRPr="00B1027C">
        <w:rPr>
          <w:rStyle w:val="FootnoteReference"/>
          <w:u w:val="none"/>
          <w:vertAlign w:val="superscript"/>
          <w:lang w:val="es-ES_tradnl"/>
        </w:rPr>
        <w:footnoteRef/>
      </w:r>
      <w:r w:rsidRPr="00B1027C">
        <w:rPr>
          <w:lang w:val="es-ES_tradnl"/>
        </w:rPr>
        <w:t xml:space="preserve"> Anexo de la decisión CP-10/3.</w:t>
      </w:r>
    </w:p>
  </w:footnote>
  <w:footnote w:id="13">
    <w:p w14:paraId="78E2F519" w14:textId="77777777" w:rsidR="008C35AD" w:rsidRPr="00B1027C" w:rsidRDefault="008C35AD" w:rsidP="00846826">
      <w:pPr>
        <w:pStyle w:val="FootnoteText"/>
        <w:ind w:firstLine="0"/>
        <w:rPr>
          <w:lang w:val="es-ES_tradnl"/>
        </w:rPr>
      </w:pPr>
      <w:r w:rsidRPr="00B1027C">
        <w:rPr>
          <w:rStyle w:val="FootnoteReference"/>
          <w:u w:val="none"/>
          <w:vertAlign w:val="superscript"/>
          <w:lang w:val="es-ES_tradnl"/>
        </w:rPr>
        <w:footnoteRef/>
      </w:r>
      <w:r w:rsidRPr="00B1027C">
        <w:rPr>
          <w:lang w:val="es-ES_tradnl"/>
        </w:rPr>
        <w:t xml:space="preserve"> Anexo I de la decisión 15/8 de la Conferencia de las Partes en el Convenio.</w:t>
      </w:r>
    </w:p>
  </w:footnote>
  <w:footnote w:id="14">
    <w:p w14:paraId="35E1C2FC" w14:textId="77777777" w:rsidR="008C35AD" w:rsidRPr="00B1027C" w:rsidRDefault="008C35AD" w:rsidP="00846826">
      <w:pPr>
        <w:pStyle w:val="FootnoteText"/>
        <w:ind w:firstLine="0"/>
        <w:rPr>
          <w:lang w:val="es-ES_tradnl"/>
        </w:rPr>
      </w:pPr>
      <w:r w:rsidRPr="00B1027C">
        <w:rPr>
          <w:rStyle w:val="FootnoteReference"/>
          <w:u w:val="none"/>
          <w:vertAlign w:val="superscript"/>
          <w:lang w:val="es-ES_tradnl"/>
        </w:rPr>
        <w:footnoteRef/>
      </w:r>
      <w:r w:rsidRPr="00B1027C">
        <w:rPr>
          <w:lang w:val="es-ES_tradnl"/>
        </w:rPr>
        <w:t xml:space="preserve"> Véase la decisión CP-10/7.</w:t>
      </w:r>
    </w:p>
  </w:footnote>
  <w:footnote w:id="15">
    <w:p w14:paraId="3F42F052" w14:textId="77777777" w:rsidR="008C35AD" w:rsidRPr="00B1027C" w:rsidRDefault="008C35AD" w:rsidP="00846826">
      <w:pPr>
        <w:pStyle w:val="FootnoteText"/>
        <w:ind w:firstLine="0"/>
        <w:rPr>
          <w:szCs w:val="18"/>
          <w:lang w:val="es-ES_tradnl"/>
        </w:rPr>
      </w:pPr>
      <w:r w:rsidRPr="00B1027C">
        <w:rPr>
          <w:rStyle w:val="FootnoteReference"/>
          <w:szCs w:val="18"/>
          <w:u w:val="none"/>
          <w:vertAlign w:val="superscript"/>
          <w:lang w:val="es-ES_tradnl"/>
        </w:rPr>
        <w:footnoteRef/>
      </w:r>
      <w:r w:rsidRPr="00B1027C">
        <w:rPr>
          <w:szCs w:val="18"/>
          <w:lang w:val="es-ES_tradnl"/>
        </w:rPr>
        <w:t xml:space="preserve"> Anexo de la decisión CP-10/3.</w:t>
      </w:r>
    </w:p>
  </w:footnote>
  <w:footnote w:id="16">
    <w:p w14:paraId="060A610B" w14:textId="77777777" w:rsidR="008C35AD" w:rsidRPr="00B1027C" w:rsidRDefault="008C35AD" w:rsidP="00846826">
      <w:pPr>
        <w:pStyle w:val="FootnoteText"/>
        <w:ind w:firstLine="0"/>
        <w:rPr>
          <w:lang w:val="es-ES_tradnl"/>
        </w:rPr>
      </w:pPr>
      <w:r w:rsidRPr="00B1027C">
        <w:rPr>
          <w:rStyle w:val="FootnoteReference"/>
          <w:szCs w:val="18"/>
          <w:u w:val="none"/>
          <w:vertAlign w:val="superscript"/>
          <w:lang w:val="es-ES_tradnl"/>
        </w:rPr>
        <w:footnoteRef/>
      </w:r>
      <w:r w:rsidRPr="00B1027C">
        <w:rPr>
          <w:szCs w:val="18"/>
          <w:lang w:val="es-ES_tradnl"/>
        </w:rPr>
        <w:t xml:space="preserve"> Anexo de la decisión CP-10/4.</w:t>
      </w:r>
    </w:p>
  </w:footnote>
  <w:footnote w:id="17">
    <w:p w14:paraId="532476C2" w14:textId="77777777" w:rsidR="008C35AD" w:rsidRPr="00B1027C" w:rsidRDefault="008C35AD" w:rsidP="005C3E00">
      <w:pPr>
        <w:pStyle w:val="FootnoteText"/>
        <w:ind w:firstLine="0"/>
        <w:rPr>
          <w:szCs w:val="18"/>
          <w:lang w:val="es-ES_tradnl"/>
        </w:rPr>
      </w:pPr>
      <w:r w:rsidRPr="00B1027C">
        <w:rPr>
          <w:rStyle w:val="FootnoteReference"/>
          <w:szCs w:val="18"/>
          <w:u w:val="none"/>
          <w:vertAlign w:val="superscript"/>
          <w:lang w:val="es-ES_tradnl"/>
        </w:rPr>
        <w:footnoteRef/>
      </w:r>
      <w:r w:rsidRPr="00B1027C">
        <w:rPr>
          <w:szCs w:val="18"/>
          <w:lang w:val="es-ES_tradnl"/>
        </w:rPr>
        <w:t xml:space="preserve"> Anexo de la decisión CP-10/3.</w:t>
      </w:r>
    </w:p>
  </w:footnote>
  <w:footnote w:id="18">
    <w:p w14:paraId="38ECD4F5" w14:textId="77777777" w:rsidR="008C35AD" w:rsidRPr="00B1027C" w:rsidRDefault="008C35AD" w:rsidP="005C3E00">
      <w:pPr>
        <w:pStyle w:val="FootnoteText"/>
        <w:ind w:firstLine="0"/>
        <w:rPr>
          <w:szCs w:val="18"/>
          <w:lang w:val="es-ES_tradnl"/>
        </w:rPr>
      </w:pPr>
      <w:r w:rsidRPr="00B1027C">
        <w:rPr>
          <w:rStyle w:val="FootnoteReference"/>
          <w:szCs w:val="18"/>
          <w:u w:val="none"/>
          <w:vertAlign w:val="superscript"/>
          <w:lang w:val="es-ES_tradnl"/>
        </w:rPr>
        <w:footnoteRef/>
      </w:r>
      <w:r w:rsidRPr="00B1027C">
        <w:rPr>
          <w:szCs w:val="18"/>
          <w:lang w:val="es-ES_tradnl"/>
        </w:rPr>
        <w:t xml:space="preserve"> Anexo de la decisión CP-10/4.</w:t>
      </w:r>
    </w:p>
  </w:footnote>
  <w:footnote w:id="19">
    <w:p w14:paraId="70B284BB" w14:textId="77777777" w:rsidR="008C35AD" w:rsidRPr="00B1027C" w:rsidRDefault="008C35AD" w:rsidP="005C3E00">
      <w:pPr>
        <w:pStyle w:val="FootnoteText"/>
        <w:ind w:firstLine="0"/>
        <w:rPr>
          <w:lang w:val="es-ES_tradnl"/>
        </w:rPr>
      </w:pPr>
      <w:r w:rsidRPr="00B1027C">
        <w:rPr>
          <w:rStyle w:val="FootnoteReference"/>
          <w:u w:val="none"/>
          <w:vertAlign w:val="superscript"/>
          <w:lang w:val="es-ES_tradnl"/>
        </w:rPr>
        <w:footnoteRef/>
      </w:r>
      <w:r w:rsidRPr="00B1027C">
        <w:rPr>
          <w:lang w:val="es-ES_tradnl"/>
        </w:rPr>
        <w:t xml:space="preserve"> Véase la decisión 15/7 de la Conferencia de las Partes. </w:t>
      </w:r>
    </w:p>
  </w:footnote>
  <w:footnote w:id="20">
    <w:p w14:paraId="0B9AEFF3" w14:textId="77777777" w:rsidR="008C35AD" w:rsidRPr="00B1027C" w:rsidRDefault="008C35AD" w:rsidP="005C3E00">
      <w:pPr>
        <w:pStyle w:val="FootnoteText"/>
        <w:ind w:firstLine="0"/>
        <w:rPr>
          <w:lang w:val="es-ES_tradnl"/>
        </w:rPr>
      </w:pPr>
      <w:r w:rsidRPr="00B1027C">
        <w:rPr>
          <w:rStyle w:val="FootnoteReference"/>
          <w:u w:val="none"/>
          <w:vertAlign w:val="superscript"/>
          <w:lang w:val="es-ES_tradnl"/>
        </w:rPr>
        <w:footnoteRef/>
      </w:r>
      <w:r w:rsidRPr="00B1027C">
        <w:rPr>
          <w:lang w:val="es-ES_tradnl"/>
        </w:rPr>
        <w:t xml:space="preserve"> Véase la decisión 15/15 de la Conferencia de las Partes.</w:t>
      </w:r>
    </w:p>
  </w:footnote>
  <w:footnote w:id="21">
    <w:p w14:paraId="5B3FDEFB" w14:textId="77777777" w:rsidR="008C35AD" w:rsidRPr="00B1027C" w:rsidRDefault="008C35AD" w:rsidP="005C3E00">
      <w:pPr>
        <w:pStyle w:val="FootnoteText"/>
        <w:ind w:firstLine="0"/>
        <w:rPr>
          <w:lang w:val="es-ES_tradnl"/>
        </w:rPr>
      </w:pPr>
      <w:r w:rsidRPr="00B1027C">
        <w:rPr>
          <w:rStyle w:val="FootnoteReference"/>
          <w:u w:val="none"/>
          <w:vertAlign w:val="superscript"/>
          <w:lang w:val="es-ES_tradnl"/>
        </w:rPr>
        <w:footnoteRef/>
      </w:r>
      <w:r w:rsidRPr="00B1027C">
        <w:rPr>
          <w:lang w:val="es-ES_tradnl"/>
        </w:rPr>
        <w:t xml:space="preserve"> Decisión BS-V/16, anexo I.</w:t>
      </w:r>
    </w:p>
  </w:footnote>
  <w:footnote w:id="22">
    <w:p w14:paraId="3C5A36B9" w14:textId="77777777" w:rsidR="008C35AD" w:rsidRPr="00B1027C" w:rsidRDefault="008C35AD" w:rsidP="005C3E00">
      <w:pPr>
        <w:pStyle w:val="FootnoteText"/>
        <w:ind w:firstLine="0"/>
        <w:rPr>
          <w:szCs w:val="18"/>
          <w:lang w:val="es-ES_tradnl"/>
        </w:rPr>
      </w:pPr>
      <w:r w:rsidRPr="00B1027C">
        <w:rPr>
          <w:rStyle w:val="FootnoteReference"/>
          <w:szCs w:val="18"/>
          <w:u w:val="none"/>
          <w:vertAlign w:val="superscript"/>
          <w:lang w:val="es-ES_tradnl"/>
        </w:rPr>
        <w:footnoteRef/>
      </w:r>
      <w:r w:rsidRPr="00B1027C">
        <w:rPr>
          <w:szCs w:val="18"/>
          <w:lang w:val="es-ES_tradnl"/>
        </w:rPr>
        <w:t xml:space="preserve"> Decisión CP-10/3, anexo.</w:t>
      </w:r>
    </w:p>
  </w:footnote>
  <w:footnote w:id="23">
    <w:p w14:paraId="6BF2347E" w14:textId="77777777" w:rsidR="008C35AD" w:rsidRPr="00B1027C" w:rsidRDefault="008C35AD" w:rsidP="005C3E00">
      <w:pPr>
        <w:pStyle w:val="FootnoteText"/>
        <w:ind w:firstLine="0"/>
        <w:rPr>
          <w:lang w:val="es-ES_tradnl"/>
        </w:rPr>
      </w:pPr>
      <w:r w:rsidRPr="00B1027C">
        <w:rPr>
          <w:rStyle w:val="FootnoteReference"/>
          <w:szCs w:val="18"/>
          <w:u w:val="none"/>
          <w:vertAlign w:val="superscript"/>
          <w:lang w:val="es-ES_tradnl"/>
        </w:rPr>
        <w:footnoteRef/>
      </w:r>
      <w:r w:rsidRPr="00B1027C">
        <w:rPr>
          <w:szCs w:val="18"/>
          <w:lang w:val="es-ES_tradnl"/>
        </w:rPr>
        <w:t xml:space="preserve"> Decisión CP-10/4, anexo.</w:t>
      </w:r>
    </w:p>
  </w:footnote>
  <w:footnote w:id="24">
    <w:p w14:paraId="45D4A515" w14:textId="77777777" w:rsidR="008C35AD" w:rsidRPr="00B1027C" w:rsidRDefault="008C35AD" w:rsidP="005C3E00">
      <w:pPr>
        <w:pStyle w:val="FootnoteText"/>
        <w:ind w:firstLine="0"/>
        <w:rPr>
          <w:lang w:val="es-ES_tradnl"/>
        </w:rPr>
      </w:pPr>
      <w:r w:rsidRPr="00B1027C">
        <w:rPr>
          <w:rStyle w:val="FootnoteReference"/>
          <w:u w:val="none"/>
          <w:vertAlign w:val="superscript"/>
          <w:lang w:val="es-ES_tradnl"/>
        </w:rPr>
        <w:footnoteRef/>
      </w:r>
      <w:r w:rsidRPr="00B1027C">
        <w:rPr>
          <w:lang w:val="es-ES_tradnl"/>
        </w:rPr>
        <w:t xml:space="preserve"> CBD/SBI/3/3, anexos I y II, respectivamente.</w:t>
      </w:r>
    </w:p>
  </w:footnote>
  <w:footnote w:id="25">
    <w:p w14:paraId="09CDF245" w14:textId="77777777" w:rsidR="008C35AD" w:rsidRPr="00B1027C" w:rsidRDefault="008C35AD" w:rsidP="005C3E00">
      <w:pPr>
        <w:pStyle w:val="FootnoteText"/>
        <w:suppressLineNumbers/>
        <w:suppressAutoHyphens/>
        <w:kinsoku w:val="0"/>
        <w:overflowPunct w:val="0"/>
        <w:autoSpaceDE w:val="0"/>
        <w:autoSpaceDN w:val="0"/>
        <w:ind w:firstLine="0"/>
        <w:jc w:val="left"/>
        <w:rPr>
          <w:kern w:val="18"/>
          <w:szCs w:val="18"/>
          <w:lang w:val="es-ES_tradnl"/>
        </w:rPr>
      </w:pPr>
      <w:r w:rsidRPr="00B1027C">
        <w:rPr>
          <w:rStyle w:val="FootnoteReference"/>
          <w:rFonts w:asciiTheme="majorBidi" w:hAnsiTheme="majorBidi" w:cstheme="majorBidi"/>
          <w:u w:val="none"/>
          <w:vertAlign w:val="superscript"/>
          <w:lang w:val="es-ES_tradnl"/>
        </w:rPr>
        <w:footnoteRef/>
      </w:r>
      <w:r w:rsidRPr="00B1027C">
        <w:rPr>
          <w:kern w:val="18"/>
          <w:szCs w:val="18"/>
          <w:lang w:val="es-ES_tradnl"/>
        </w:rPr>
        <w:t xml:space="preserve"> Véase la decisión CP-VIII/15.</w:t>
      </w:r>
    </w:p>
  </w:footnote>
  <w:footnote w:id="26">
    <w:p w14:paraId="333D2CC1" w14:textId="77777777" w:rsidR="008C35AD" w:rsidRPr="00B1027C" w:rsidRDefault="008C35AD" w:rsidP="005C3E00">
      <w:pPr>
        <w:keepLines/>
        <w:suppressLineNumbers/>
        <w:suppressAutoHyphens/>
        <w:spacing w:after="60"/>
        <w:rPr>
          <w:lang w:val="es-ES_tradnl"/>
        </w:rPr>
      </w:pPr>
      <w:r w:rsidRPr="00B1027C">
        <w:rPr>
          <w:rStyle w:val="FootnoteReference"/>
          <w:kern w:val="18"/>
          <w:szCs w:val="18"/>
          <w:u w:val="none"/>
          <w:vertAlign w:val="superscript"/>
          <w:lang w:val="es-ES_tradnl"/>
        </w:rPr>
        <w:footnoteRef/>
      </w:r>
      <w:r w:rsidRPr="00B1027C">
        <w:rPr>
          <w:kern w:val="18"/>
          <w:sz w:val="18"/>
          <w:szCs w:val="18"/>
          <w:lang w:val="es-ES_tradnl"/>
        </w:rPr>
        <w:t xml:space="preserve"> Véanse </w:t>
      </w:r>
      <w:hyperlink r:id="rId4" w:history="1">
        <w:r w:rsidRPr="00B1027C">
          <w:rPr>
            <w:rStyle w:val="Hyperlink"/>
            <w:kern w:val="18"/>
            <w:u w:val="none"/>
            <w:lang w:val="es-ES_tradnl"/>
          </w:rPr>
          <w:t>CBD/SBI/2/16/Add.1</w:t>
        </w:r>
      </w:hyperlink>
      <w:r w:rsidRPr="00B1027C">
        <w:rPr>
          <w:kern w:val="18"/>
          <w:sz w:val="18"/>
          <w:szCs w:val="18"/>
          <w:lang w:val="es-ES_tradnl"/>
        </w:rPr>
        <w:t xml:space="preserve"> y las notas informativas relacionadas (CBD/SBI/2/INF/1 e INF/2).</w:t>
      </w:r>
    </w:p>
  </w:footnote>
  <w:footnote w:id="27">
    <w:p w14:paraId="0BE674DB" w14:textId="77777777" w:rsidR="008C35AD" w:rsidRPr="00B1027C" w:rsidRDefault="008C35AD" w:rsidP="005C3E00">
      <w:pPr>
        <w:pStyle w:val="FootnoteText"/>
        <w:suppressLineNumbers/>
        <w:suppressAutoHyphens/>
        <w:ind w:firstLine="0"/>
        <w:jc w:val="left"/>
        <w:rPr>
          <w:kern w:val="18"/>
          <w:szCs w:val="18"/>
          <w:lang w:val="es-ES_tradnl"/>
        </w:rPr>
      </w:pPr>
      <w:r w:rsidRPr="00B1027C">
        <w:rPr>
          <w:rStyle w:val="FootnoteReference"/>
          <w:rFonts w:asciiTheme="majorBidi" w:hAnsiTheme="majorBidi" w:cstheme="majorBidi"/>
          <w:u w:val="none"/>
          <w:vertAlign w:val="superscript"/>
          <w:lang w:val="es-ES_tradnl"/>
        </w:rPr>
        <w:footnoteRef/>
      </w:r>
      <w:r w:rsidRPr="00B1027C">
        <w:rPr>
          <w:kern w:val="18"/>
          <w:szCs w:val="18"/>
          <w:vertAlign w:val="superscript"/>
          <w:lang w:val="es-ES_tradnl"/>
        </w:rPr>
        <w:t xml:space="preserve"> </w:t>
      </w:r>
      <w:r w:rsidRPr="00B1027C">
        <w:rPr>
          <w:kern w:val="18"/>
          <w:szCs w:val="18"/>
          <w:lang w:val="es-ES_tradnl"/>
        </w:rPr>
        <w:t>Afganistán, Albania, Angola, Arabia Saudita, Azerbaiyán, Belice, Bolivia, Cabo Verde, Djibouti, Dominica, Fiji, Honduras, Islas Marshall, Jordania, Kirguistán, Kiribati, Libia, Mauricio, Mongolia, Nauru, Niue, Papua Nueva Guinea, Qatar, República Árabe Siria, República Popular Democrática de Corea, Samoa, San Vicente y las Granadinas, Seychelles, Tayikistán, Trinidad y Tobago, y Yemen.</w:t>
      </w:r>
    </w:p>
  </w:footnote>
  <w:footnote w:id="28">
    <w:p w14:paraId="231D9CE6" w14:textId="77777777" w:rsidR="008C35AD" w:rsidRPr="00B1027C" w:rsidRDefault="008C35AD" w:rsidP="005C3E00">
      <w:pPr>
        <w:pStyle w:val="FootnoteText"/>
        <w:suppressLineNumbers/>
        <w:suppressAutoHyphens/>
        <w:ind w:firstLine="0"/>
        <w:jc w:val="left"/>
        <w:rPr>
          <w:kern w:val="18"/>
          <w:szCs w:val="18"/>
          <w:lang w:val="es-ES_tradnl"/>
        </w:rPr>
      </w:pPr>
      <w:r w:rsidRPr="00B1027C">
        <w:rPr>
          <w:rStyle w:val="FootnoteReference"/>
          <w:rFonts w:asciiTheme="majorBidi" w:hAnsiTheme="majorBidi" w:cstheme="majorBidi"/>
          <w:u w:val="none"/>
          <w:vertAlign w:val="superscript"/>
          <w:lang w:val="es-ES_tradnl"/>
        </w:rPr>
        <w:footnoteRef/>
      </w:r>
      <w:r w:rsidRPr="00B1027C">
        <w:rPr>
          <w:kern w:val="18"/>
          <w:szCs w:val="18"/>
          <w:lang w:val="es-ES_tradnl"/>
        </w:rPr>
        <w:t xml:space="preserve"> Arabia Saudita, Azerbaiyán, Belice, Libia, Nauru, Papua Nueva Guinea, Qatar, República Árabe Siria y Seychelles.</w:t>
      </w:r>
    </w:p>
  </w:footnote>
  <w:footnote w:id="29">
    <w:p w14:paraId="4218E4E4" w14:textId="77777777" w:rsidR="008C35AD" w:rsidRPr="00B1027C" w:rsidRDefault="008C35AD" w:rsidP="005C3E00">
      <w:pPr>
        <w:pStyle w:val="FootnoteText"/>
        <w:ind w:firstLine="0"/>
        <w:jc w:val="left"/>
        <w:rPr>
          <w:lang w:val="es-ES_tradnl"/>
        </w:rPr>
      </w:pPr>
      <w:r w:rsidRPr="00B1027C">
        <w:rPr>
          <w:rStyle w:val="FootnoteReference"/>
          <w:rFonts w:asciiTheme="majorBidi" w:hAnsiTheme="majorBidi" w:cstheme="majorBidi"/>
          <w:u w:val="none"/>
          <w:vertAlign w:val="superscript"/>
          <w:lang w:val="es-ES_tradnl"/>
        </w:rPr>
        <w:footnoteRef/>
      </w:r>
      <w:r w:rsidRPr="00B1027C">
        <w:rPr>
          <w:lang w:val="es-ES_tradnl"/>
        </w:rPr>
        <w:t xml:space="preserve"> Decisión 15/6 de la Conferencia de las Partes</w:t>
      </w:r>
    </w:p>
  </w:footnote>
  <w:footnote w:id="30">
    <w:p w14:paraId="5011E7A7" w14:textId="77777777" w:rsidR="008C35AD" w:rsidRPr="00B1027C" w:rsidRDefault="008C35AD" w:rsidP="005C3E00">
      <w:pPr>
        <w:pStyle w:val="FootnoteText"/>
        <w:ind w:firstLine="0"/>
        <w:rPr>
          <w:szCs w:val="18"/>
          <w:lang w:val="es-ES_tradnl"/>
        </w:rPr>
      </w:pPr>
      <w:r w:rsidRPr="00B1027C">
        <w:rPr>
          <w:rStyle w:val="FootnoteReference"/>
          <w:szCs w:val="18"/>
          <w:u w:val="none"/>
          <w:vertAlign w:val="superscript"/>
          <w:lang w:val="es-ES_tradnl"/>
        </w:rPr>
        <w:footnoteRef/>
      </w:r>
      <w:r w:rsidRPr="00B1027C">
        <w:rPr>
          <w:szCs w:val="18"/>
          <w:lang w:val="es-ES_tradnl"/>
        </w:rPr>
        <w:t xml:space="preserve"> Anexo de la decisión CP-10/4.</w:t>
      </w:r>
    </w:p>
  </w:footnote>
  <w:footnote w:id="31">
    <w:p w14:paraId="3DA4CB86" w14:textId="77777777" w:rsidR="008C35AD" w:rsidRPr="00B1027C" w:rsidRDefault="008C35AD" w:rsidP="00B83B21">
      <w:pPr>
        <w:pStyle w:val="FootnoteText"/>
        <w:suppressLineNumbers/>
        <w:suppressAutoHyphens/>
        <w:ind w:firstLine="0"/>
        <w:jc w:val="left"/>
        <w:rPr>
          <w:kern w:val="18"/>
          <w:szCs w:val="18"/>
          <w:lang w:val="es-ES_tradnl"/>
        </w:rPr>
      </w:pPr>
      <w:r w:rsidRPr="00B1027C">
        <w:rPr>
          <w:rStyle w:val="FootnoteReference"/>
          <w:kern w:val="18"/>
          <w:szCs w:val="18"/>
          <w:u w:val="none"/>
          <w:vertAlign w:val="superscript"/>
          <w:lang w:val="es-ES_tradnl"/>
        </w:rPr>
        <w:footnoteRef/>
      </w:r>
      <w:r w:rsidRPr="00B1027C">
        <w:rPr>
          <w:kern w:val="18"/>
          <w:szCs w:val="18"/>
          <w:lang w:val="es-ES_tradnl"/>
        </w:rPr>
        <w:t xml:space="preserve"> CBD/CP/RA/AHTEG/2020/1/5.</w:t>
      </w:r>
    </w:p>
  </w:footnote>
  <w:footnote w:id="32">
    <w:p w14:paraId="7620AC64" w14:textId="77777777" w:rsidR="008C35AD" w:rsidRPr="00B1027C" w:rsidRDefault="008C35AD" w:rsidP="00B83B21">
      <w:pPr>
        <w:pStyle w:val="FootnoteText"/>
        <w:suppressLineNumbers/>
        <w:suppressAutoHyphens/>
        <w:ind w:firstLine="0"/>
        <w:jc w:val="left"/>
        <w:rPr>
          <w:kern w:val="18"/>
          <w:szCs w:val="18"/>
          <w:lang w:val="es-ES_tradnl"/>
        </w:rPr>
      </w:pPr>
      <w:r w:rsidRPr="00B1027C">
        <w:rPr>
          <w:rStyle w:val="FootnoteReference"/>
          <w:kern w:val="18"/>
          <w:szCs w:val="18"/>
          <w:u w:val="none"/>
          <w:vertAlign w:val="superscript"/>
          <w:lang w:val="es-ES_tradnl"/>
        </w:rPr>
        <w:footnoteRef/>
      </w:r>
      <w:r w:rsidRPr="00B1027C">
        <w:rPr>
          <w:kern w:val="18"/>
          <w:szCs w:val="18"/>
          <w:lang w:val="es-ES_tradnl"/>
        </w:rPr>
        <w:t xml:space="preserve"> Véase CBD/CP/RA/AHTEG/2020/1/5, anexo I, sección III.</w:t>
      </w:r>
    </w:p>
  </w:footnote>
  <w:footnote w:id="33">
    <w:p w14:paraId="5E827AED" w14:textId="77777777" w:rsidR="008C35AD" w:rsidRPr="00B1027C" w:rsidRDefault="008C35AD" w:rsidP="00B83B21">
      <w:pPr>
        <w:pStyle w:val="FootnoteText"/>
        <w:suppressLineNumbers/>
        <w:suppressAutoHyphens/>
        <w:ind w:firstLine="0"/>
        <w:jc w:val="left"/>
        <w:rPr>
          <w:kern w:val="18"/>
          <w:szCs w:val="18"/>
          <w:lang w:val="es-ES_tradnl"/>
        </w:rPr>
      </w:pPr>
      <w:r w:rsidRPr="00B1027C">
        <w:rPr>
          <w:rStyle w:val="FootnoteReference"/>
          <w:kern w:val="18"/>
          <w:szCs w:val="18"/>
          <w:u w:val="none"/>
          <w:vertAlign w:val="superscript"/>
          <w:lang w:val="es-ES_tradnl"/>
        </w:rPr>
        <w:footnoteRef/>
      </w:r>
      <w:r w:rsidRPr="00B1027C">
        <w:rPr>
          <w:kern w:val="18"/>
          <w:szCs w:val="18"/>
          <w:lang w:val="es-ES_tradnl"/>
        </w:rPr>
        <w:t xml:space="preserve"> </w:t>
      </w:r>
      <w:r w:rsidRPr="00B1027C">
        <w:rPr>
          <w:lang w:val="es-ES_tradnl"/>
        </w:rPr>
        <w:t>Dependiendo de las restricciones debidas a la situación de la pandemia</w:t>
      </w:r>
      <w:r w:rsidRPr="00B1027C">
        <w:rPr>
          <w:kern w:val="18"/>
          <w:szCs w:val="18"/>
          <w:lang w:val="es-ES_tradnl"/>
        </w:rPr>
        <w:t>.</w:t>
      </w:r>
    </w:p>
  </w:footnote>
  <w:footnote w:id="34">
    <w:p w14:paraId="4EB2C704" w14:textId="77777777" w:rsidR="008C35AD" w:rsidRPr="00B1027C" w:rsidRDefault="008C35AD" w:rsidP="00B83B21">
      <w:pPr>
        <w:pStyle w:val="FootnoteText"/>
        <w:suppressLineNumbers/>
        <w:suppressAutoHyphens/>
        <w:spacing w:before="60"/>
        <w:ind w:firstLine="0"/>
        <w:jc w:val="left"/>
        <w:rPr>
          <w:kern w:val="18"/>
          <w:szCs w:val="18"/>
          <w:lang w:val="es-ES_tradnl"/>
        </w:rPr>
      </w:pPr>
      <w:r w:rsidRPr="00B1027C">
        <w:rPr>
          <w:rStyle w:val="FootnoteReference"/>
          <w:kern w:val="22"/>
          <w:sz w:val="20"/>
          <w:szCs w:val="20"/>
          <w:u w:val="none"/>
          <w:vertAlign w:val="superscript"/>
          <w:lang w:val="es-ES_tradnl"/>
        </w:rPr>
        <w:footnoteRef/>
      </w:r>
      <w:r w:rsidRPr="00B1027C">
        <w:rPr>
          <w:kern w:val="18"/>
          <w:szCs w:val="18"/>
          <w:lang w:val="es-ES_tradnl"/>
        </w:rPr>
        <w:t xml:space="preserve"> </w:t>
      </w:r>
      <w:r w:rsidRPr="00B1027C">
        <w:rPr>
          <w:lang w:val="es-ES_tradnl"/>
        </w:rPr>
        <w:t>Como la Organización Mundial del Comercio, la Plataforma Intergubernamental Científico-Normativa sobre Diversidad Biológica y Servicios de los Ecosistemas y la Organización de las Naciones Unidas para la Alimentación y la Agricultura</w:t>
      </w:r>
      <w:r w:rsidRPr="00B1027C">
        <w:rPr>
          <w:kern w:val="18"/>
          <w:szCs w:val="18"/>
          <w:lang w:val="es-ES_tradnl"/>
        </w:rPr>
        <w:t>.</w:t>
      </w:r>
    </w:p>
  </w:footnote>
  <w:footnote w:id="35">
    <w:p w14:paraId="3B89B407" w14:textId="77777777" w:rsidR="008C35AD" w:rsidRPr="00B1027C" w:rsidRDefault="008C35AD" w:rsidP="00B83B21">
      <w:pPr>
        <w:pStyle w:val="FootnoteText"/>
        <w:ind w:firstLine="0"/>
        <w:rPr>
          <w:lang w:val="es-ES_tradnl"/>
        </w:rPr>
      </w:pPr>
      <w:r w:rsidRPr="00B1027C">
        <w:rPr>
          <w:rStyle w:val="FootnoteReference"/>
          <w:u w:val="none"/>
          <w:vertAlign w:val="superscript"/>
          <w:lang w:val="es-ES_tradnl"/>
        </w:rPr>
        <w:footnoteRef/>
      </w:r>
      <w:r w:rsidRPr="00B1027C">
        <w:rPr>
          <w:lang w:val="es-ES_tradnl"/>
        </w:rPr>
        <w:t xml:space="preserve"> </w:t>
      </w:r>
      <w:r w:rsidRPr="00B1027C">
        <w:rPr>
          <w:kern w:val="18"/>
          <w:szCs w:val="18"/>
          <w:lang w:val="es-ES_tradnl"/>
        </w:rPr>
        <w:t>Entre otros, el informe Perseus encargado por la Secretaría del Convenio sobre la Diversidad Biológica.</w:t>
      </w:r>
    </w:p>
  </w:footnote>
  <w:footnote w:id="36">
    <w:p w14:paraId="2CCC46A3" w14:textId="77777777" w:rsidR="008C35AD" w:rsidRPr="00B1027C" w:rsidRDefault="008C35AD" w:rsidP="00B83B21">
      <w:pPr>
        <w:pStyle w:val="FootnoteText"/>
        <w:suppressLineNumbers/>
        <w:suppressAutoHyphens/>
        <w:spacing w:before="60"/>
        <w:ind w:firstLine="0"/>
        <w:jc w:val="left"/>
        <w:rPr>
          <w:kern w:val="18"/>
          <w:szCs w:val="18"/>
          <w:lang w:val="es-ES_tradnl"/>
        </w:rPr>
      </w:pPr>
      <w:r w:rsidRPr="00B1027C">
        <w:rPr>
          <w:rStyle w:val="FootnoteReference"/>
          <w:kern w:val="22"/>
          <w:sz w:val="20"/>
          <w:szCs w:val="20"/>
          <w:u w:val="none"/>
          <w:vertAlign w:val="superscript"/>
          <w:lang w:val="es-ES_tradnl"/>
        </w:rPr>
        <w:footnoteRef/>
      </w:r>
      <w:r w:rsidRPr="00B1027C">
        <w:rPr>
          <w:kern w:val="18"/>
          <w:szCs w:val="18"/>
          <w:lang w:val="es-ES_tradnl"/>
        </w:rPr>
        <w:t xml:space="preserve"> CBD/CP/RA/AHTEG/2020/1/4.</w:t>
      </w:r>
    </w:p>
  </w:footnote>
  <w:footnote w:id="37">
    <w:p w14:paraId="21099012" w14:textId="77777777" w:rsidR="008C35AD" w:rsidRPr="00B1027C" w:rsidRDefault="008C35AD" w:rsidP="00B83B21">
      <w:pPr>
        <w:pStyle w:val="FootnoteText"/>
        <w:ind w:firstLine="0"/>
        <w:rPr>
          <w:szCs w:val="18"/>
          <w:lang w:val="es-ES_tradnl"/>
        </w:rPr>
      </w:pPr>
      <w:r w:rsidRPr="00B1027C">
        <w:rPr>
          <w:rStyle w:val="FootnoteReference"/>
          <w:szCs w:val="18"/>
          <w:u w:val="none"/>
          <w:vertAlign w:val="superscript"/>
          <w:lang w:val="es-ES_tradnl"/>
        </w:rPr>
        <w:footnoteRef/>
      </w:r>
      <w:r w:rsidRPr="00B1027C">
        <w:rPr>
          <w:szCs w:val="18"/>
          <w:lang w:val="es-ES_tradnl"/>
        </w:rPr>
        <w:t xml:space="preserve"> Anexo de la decisión CP-10/3.</w:t>
      </w:r>
    </w:p>
  </w:footnote>
  <w:footnote w:id="38">
    <w:p w14:paraId="06E8CC1F" w14:textId="77777777" w:rsidR="008C35AD" w:rsidRPr="00B1027C" w:rsidRDefault="008C35AD" w:rsidP="00B83B21">
      <w:pPr>
        <w:pStyle w:val="FootnoteText"/>
        <w:ind w:firstLine="0"/>
        <w:rPr>
          <w:lang w:val="es-ES_tradnl"/>
        </w:rPr>
      </w:pPr>
      <w:r w:rsidRPr="00B1027C">
        <w:rPr>
          <w:rStyle w:val="FootnoteReference"/>
          <w:szCs w:val="18"/>
          <w:u w:val="none"/>
          <w:vertAlign w:val="superscript"/>
          <w:lang w:val="es-ES_tradnl"/>
        </w:rPr>
        <w:footnoteRef/>
      </w:r>
      <w:r w:rsidRPr="00B1027C">
        <w:rPr>
          <w:szCs w:val="18"/>
          <w:lang w:val="es-ES_tradnl"/>
        </w:rPr>
        <w:t xml:space="preserve"> Anexo de la decisión CP-10/4.</w:t>
      </w:r>
    </w:p>
  </w:footnote>
  <w:footnote w:id="39">
    <w:p w14:paraId="5C00C900" w14:textId="77777777" w:rsidR="008C35AD" w:rsidRPr="00B1027C" w:rsidRDefault="008C35AD" w:rsidP="00B83B21">
      <w:pPr>
        <w:pStyle w:val="FootnoteText"/>
        <w:ind w:firstLine="0"/>
        <w:rPr>
          <w:szCs w:val="18"/>
          <w:lang w:val="es-ES_tradnl"/>
        </w:rPr>
      </w:pPr>
      <w:r w:rsidRPr="00B1027C">
        <w:rPr>
          <w:rStyle w:val="FootnoteReference"/>
          <w:szCs w:val="18"/>
          <w:u w:val="none"/>
          <w:vertAlign w:val="superscript"/>
          <w:lang w:val="es-ES_tradnl"/>
        </w:rPr>
        <w:footnoteRef/>
      </w:r>
      <w:r w:rsidRPr="00B1027C">
        <w:rPr>
          <w:szCs w:val="18"/>
          <w:lang w:val="es-ES_tradnl"/>
        </w:rPr>
        <w:t xml:space="preserve"> Anexo de la decisión CP-10/3.</w:t>
      </w:r>
    </w:p>
  </w:footnote>
  <w:footnote w:id="40">
    <w:p w14:paraId="252BF2C6" w14:textId="77777777" w:rsidR="008C35AD" w:rsidRPr="00B1027C" w:rsidRDefault="008C35AD" w:rsidP="00B83B21">
      <w:pPr>
        <w:pStyle w:val="FootnoteText"/>
        <w:ind w:firstLine="0"/>
        <w:rPr>
          <w:szCs w:val="18"/>
          <w:lang w:val="es-ES_tradnl"/>
        </w:rPr>
      </w:pPr>
      <w:r w:rsidRPr="00B1027C">
        <w:rPr>
          <w:rStyle w:val="FootnoteReference"/>
          <w:szCs w:val="18"/>
          <w:u w:val="none"/>
          <w:vertAlign w:val="superscript"/>
          <w:lang w:val="es-ES_tradnl"/>
        </w:rPr>
        <w:footnoteRef/>
      </w:r>
      <w:r w:rsidRPr="00B1027C">
        <w:rPr>
          <w:szCs w:val="18"/>
          <w:lang w:val="es-ES_tradnl"/>
        </w:rPr>
        <w:t xml:space="preserve"> Anexo de la decisión CP-10/4.</w:t>
      </w:r>
    </w:p>
  </w:footnote>
  <w:footnote w:id="41">
    <w:p w14:paraId="220D4D61" w14:textId="77777777" w:rsidR="008C35AD" w:rsidRPr="00B1027C" w:rsidRDefault="008C35AD" w:rsidP="00B83B21">
      <w:pPr>
        <w:pStyle w:val="FootnoteText"/>
        <w:spacing w:after="0"/>
        <w:ind w:firstLine="0"/>
        <w:rPr>
          <w:lang w:val="es-ES_tradnl"/>
        </w:rPr>
      </w:pPr>
      <w:r w:rsidRPr="00B1027C">
        <w:rPr>
          <w:rStyle w:val="FootnoteReference"/>
          <w:kern w:val="22"/>
          <w:sz w:val="20"/>
          <w:szCs w:val="20"/>
          <w:u w:val="none"/>
          <w:vertAlign w:val="superscript"/>
          <w:lang w:val="es-ES_tradnl"/>
        </w:rPr>
        <w:footnoteRef/>
      </w:r>
      <w:r w:rsidRPr="00B1027C">
        <w:rPr>
          <w:lang w:val="es-ES_tradnl"/>
        </w:rPr>
        <w:t xml:space="preserve"> Expuestas en el documento CBD/CP/MOP/10/11, anexos II y III.</w:t>
      </w:r>
    </w:p>
  </w:footnote>
  <w:footnote w:id="42">
    <w:p w14:paraId="0AD88C8F" w14:textId="77777777" w:rsidR="008C35AD" w:rsidRPr="00B1027C" w:rsidRDefault="008C35AD" w:rsidP="00C90053">
      <w:pPr>
        <w:pStyle w:val="FootnoteText"/>
        <w:suppressLineNumbers/>
        <w:suppressAutoHyphens/>
        <w:spacing w:before="60"/>
        <w:ind w:firstLine="0"/>
        <w:rPr>
          <w:szCs w:val="18"/>
          <w:lang w:val="es-ES_tradnl"/>
        </w:rPr>
      </w:pPr>
      <w:r w:rsidRPr="00B1027C">
        <w:rPr>
          <w:rStyle w:val="FootnoteReference"/>
          <w:kern w:val="22"/>
          <w:szCs w:val="18"/>
          <w:u w:val="none"/>
          <w:vertAlign w:val="superscript"/>
          <w:lang w:val="es-ES_tradnl"/>
        </w:rPr>
        <w:footnoteRef/>
      </w:r>
      <w:r w:rsidRPr="00B1027C">
        <w:rPr>
          <w:lang w:val="es-ES_tradnl"/>
        </w:rPr>
        <w:t xml:space="preserve"> De conformidad con el párrafo 1 del artículo 14 del Protocolo Suplementario y con sujeción a lo estipulado en el párrafo 2 del artículo 32 del Convenio, la Conferencia de las Partes que actúa como reunión de las Partes en el Protocolo actuará como reunión de las Partes en el Protocolo Suplementario. Por consiguiente, la presente decisión ha sido adoptada por las Partes en el Protocolo Suplementario.</w:t>
      </w:r>
    </w:p>
  </w:footnote>
  <w:footnote w:id="43">
    <w:p w14:paraId="3095115B" w14:textId="77777777" w:rsidR="008C35AD" w:rsidRPr="00B1027C" w:rsidRDefault="008C35AD" w:rsidP="00C90053">
      <w:pPr>
        <w:pStyle w:val="FootnoteText"/>
        <w:ind w:firstLine="0"/>
        <w:rPr>
          <w:szCs w:val="18"/>
          <w:lang w:val="es-ES_tradnl"/>
        </w:rPr>
      </w:pPr>
      <w:r w:rsidRPr="00B1027C">
        <w:rPr>
          <w:rStyle w:val="FootnoteReference"/>
          <w:szCs w:val="18"/>
          <w:u w:val="none"/>
          <w:vertAlign w:val="superscript"/>
          <w:lang w:val="es-ES_tradnl"/>
        </w:rPr>
        <w:footnoteRef/>
      </w:r>
      <w:r w:rsidRPr="00B1027C">
        <w:rPr>
          <w:szCs w:val="18"/>
          <w:lang w:val="es-ES_tradnl"/>
        </w:rPr>
        <w:t xml:space="preserve"> Anexo de la decisión CP-10/3.</w:t>
      </w:r>
    </w:p>
  </w:footnote>
  <w:footnote w:id="44">
    <w:p w14:paraId="61C7ADDE" w14:textId="77777777" w:rsidR="008C35AD" w:rsidRPr="00B1027C" w:rsidRDefault="008C35AD" w:rsidP="00C90053">
      <w:pPr>
        <w:pStyle w:val="FootnoteText"/>
        <w:ind w:firstLine="0"/>
        <w:rPr>
          <w:szCs w:val="18"/>
          <w:lang w:val="es-ES_tradnl"/>
        </w:rPr>
      </w:pPr>
      <w:r w:rsidRPr="00B1027C">
        <w:rPr>
          <w:rStyle w:val="FootnoteReference"/>
          <w:szCs w:val="18"/>
          <w:u w:val="none"/>
          <w:vertAlign w:val="superscript"/>
          <w:lang w:val="es-ES_tradnl"/>
        </w:rPr>
        <w:footnoteRef/>
      </w:r>
      <w:r w:rsidRPr="00B1027C">
        <w:rPr>
          <w:szCs w:val="18"/>
          <w:lang w:val="es-ES_tradnl"/>
        </w:rPr>
        <w:t xml:space="preserve"> Anexo de la decisión CP-10/4.</w:t>
      </w:r>
    </w:p>
  </w:footnote>
  <w:footnote w:id="45">
    <w:p w14:paraId="4466075F" w14:textId="77777777" w:rsidR="008C35AD" w:rsidRPr="00B1027C" w:rsidRDefault="008C35AD" w:rsidP="00C90053">
      <w:pPr>
        <w:pStyle w:val="FootnoteText"/>
        <w:spacing w:before="60"/>
        <w:ind w:firstLine="0"/>
        <w:rPr>
          <w:lang w:val="es-ES_tradnl"/>
        </w:rPr>
      </w:pPr>
      <w:r w:rsidRPr="00B1027C">
        <w:rPr>
          <w:rStyle w:val="FootnoteReference"/>
          <w:kern w:val="22"/>
          <w:sz w:val="20"/>
          <w:szCs w:val="20"/>
          <w:u w:val="none"/>
          <w:vertAlign w:val="superscript"/>
          <w:lang w:val="es-ES_tradnl"/>
        </w:rPr>
        <w:footnoteRef/>
      </w:r>
      <w:r w:rsidRPr="00B1027C">
        <w:rPr>
          <w:rStyle w:val="FootnoteReference"/>
          <w:sz w:val="20"/>
          <w:u w:val="none"/>
          <w:lang w:val="es-ES_tradnl"/>
        </w:rPr>
        <w:t xml:space="preserve"> </w:t>
      </w:r>
      <w:r w:rsidRPr="00B1027C">
        <w:rPr>
          <w:lang w:val="es-ES_tradnl"/>
        </w:rPr>
        <w:t>Disponible en el documento CBD/CP/MOP/10/INF/1. El resumen del estudio se encuentra disponible en los seis idiomas oficiales de las Naciones Unidas en el anexo del documento CBD/CP/MOP/10/9.</w:t>
      </w:r>
    </w:p>
  </w:footnote>
  <w:footnote w:id="46">
    <w:p w14:paraId="1935ACAB" w14:textId="77777777" w:rsidR="008C35AD" w:rsidRPr="00B1027C" w:rsidRDefault="008C35AD" w:rsidP="00C90053">
      <w:pPr>
        <w:pStyle w:val="FootnoteText"/>
        <w:ind w:firstLine="0"/>
        <w:rPr>
          <w:lang w:val="es-ES_tradnl"/>
        </w:rPr>
      </w:pPr>
      <w:r w:rsidRPr="00B1027C">
        <w:rPr>
          <w:rStyle w:val="FootnoteReference"/>
          <w:u w:val="none"/>
          <w:vertAlign w:val="superscript"/>
          <w:lang w:val="es-ES_tradnl"/>
        </w:rPr>
        <w:footnoteRef/>
      </w:r>
      <w:r w:rsidRPr="00B1027C">
        <w:rPr>
          <w:lang w:val="es-ES_tradnl"/>
        </w:rPr>
        <w:t xml:space="preserve"> Véase la decisión CP-10/9.</w:t>
      </w:r>
    </w:p>
  </w:footnote>
  <w:footnote w:id="47">
    <w:p w14:paraId="38207E96" w14:textId="77777777" w:rsidR="008C35AD" w:rsidRPr="00B1027C" w:rsidRDefault="008C35AD" w:rsidP="000C0573">
      <w:pPr>
        <w:pStyle w:val="FootnoteText"/>
        <w:keepLines w:val="0"/>
        <w:ind w:firstLine="0"/>
        <w:rPr>
          <w:szCs w:val="18"/>
          <w:lang w:val="es-ES_tradnl"/>
        </w:rPr>
      </w:pPr>
      <w:r w:rsidRPr="00B1027C">
        <w:rPr>
          <w:rStyle w:val="FootnoteReference"/>
          <w:szCs w:val="18"/>
          <w:u w:val="none"/>
          <w:vertAlign w:val="superscript"/>
          <w:lang w:val="es-ES_tradnl"/>
        </w:rPr>
        <w:footnoteRef/>
      </w:r>
      <w:r w:rsidRPr="00B1027C">
        <w:rPr>
          <w:szCs w:val="18"/>
          <w:lang w:val="es-ES_tradnl"/>
        </w:rPr>
        <w:t xml:space="preserve"> Conforme a la resolución 76/238 de la Asamblea General.</w:t>
      </w:r>
    </w:p>
  </w:footnote>
  <w:footnote w:id="48">
    <w:p w14:paraId="51A50713" w14:textId="77777777" w:rsidR="008C35AD" w:rsidRPr="00B1027C" w:rsidRDefault="008C35AD" w:rsidP="000C0573">
      <w:pPr>
        <w:pStyle w:val="FootnoteText"/>
        <w:keepLines w:val="0"/>
        <w:ind w:firstLine="0"/>
        <w:rPr>
          <w:szCs w:val="18"/>
          <w:lang w:val="es-ES_tradnl"/>
        </w:rPr>
      </w:pPr>
      <w:r w:rsidRPr="00B1027C">
        <w:rPr>
          <w:rStyle w:val="FootnoteReference"/>
          <w:szCs w:val="18"/>
          <w:u w:val="none"/>
          <w:vertAlign w:val="superscript"/>
          <w:lang w:val="es-ES_tradnl"/>
        </w:rPr>
        <w:footnoteRef/>
      </w:r>
      <w:r w:rsidRPr="00B1027C">
        <w:rPr>
          <w:szCs w:val="18"/>
          <w:lang w:val="es-ES_tradnl"/>
        </w:rPr>
        <w:t xml:space="preserve"> Véase la resolución 60/283, sección IV, de la Asamblea General.</w:t>
      </w:r>
    </w:p>
  </w:footnote>
  <w:footnote w:id="49">
    <w:p w14:paraId="7EB6854A" w14:textId="77777777" w:rsidR="008C35AD" w:rsidRPr="00B1027C" w:rsidRDefault="008C35AD" w:rsidP="00010866">
      <w:pPr>
        <w:pStyle w:val="FootnoteText"/>
        <w:ind w:firstLine="0"/>
        <w:rPr>
          <w:lang w:val="es-ES_tradnl"/>
        </w:rPr>
      </w:pPr>
      <w:r w:rsidRPr="00B1027C">
        <w:rPr>
          <w:rStyle w:val="FootnoteReference"/>
          <w:szCs w:val="18"/>
          <w:u w:val="none"/>
          <w:vertAlign w:val="superscript"/>
          <w:lang w:val="es-ES_tradnl"/>
        </w:rPr>
        <w:footnoteRef/>
      </w:r>
      <w:r w:rsidRPr="00B1027C">
        <w:rPr>
          <w:szCs w:val="18"/>
          <w:lang w:val="es-ES_tradnl"/>
        </w:rPr>
        <w:t xml:space="preserve"> De conformidad con la resolución 76/238 de la Asamblea General de las Naciones Unidas.</w:t>
      </w:r>
    </w:p>
  </w:footnote>
  <w:footnote w:id="50">
    <w:p w14:paraId="57D856E3" w14:textId="56010A92" w:rsidR="008C35AD" w:rsidRPr="00B1027C" w:rsidRDefault="008C35AD" w:rsidP="0096782E">
      <w:pPr>
        <w:pStyle w:val="FootnoteText"/>
        <w:ind w:firstLine="0"/>
        <w:rPr>
          <w:lang w:val="es-ES_tradnl"/>
        </w:rPr>
      </w:pPr>
      <w:r w:rsidRPr="00B1027C">
        <w:rPr>
          <w:rStyle w:val="FootnoteReference"/>
          <w:u w:val="none"/>
          <w:vertAlign w:val="superscript"/>
          <w:lang w:val="es-ES_tradnl"/>
        </w:rPr>
        <w:footnoteRef/>
      </w:r>
      <w:r w:rsidRPr="00B1027C">
        <w:rPr>
          <w:lang w:val="es-ES_tradnl"/>
        </w:rPr>
        <w:t xml:space="preserve"> El informe de la primera parte de la décima reunión se publicó como documento CBD/CP/MOP/10/4</w:t>
      </w:r>
      <w:r w:rsidRPr="00B1027C">
        <w:rPr>
          <w:kern w:val="22"/>
          <w:lang w:val="es-ES_tradnl"/>
        </w:rPr>
        <w:t>.</w:t>
      </w:r>
    </w:p>
  </w:footnote>
  <w:footnote w:id="51">
    <w:p w14:paraId="218A1A5C" w14:textId="78616277" w:rsidR="008C35AD" w:rsidRPr="00B1027C" w:rsidRDefault="008C35AD" w:rsidP="0096782E">
      <w:pPr>
        <w:pStyle w:val="FootnoteText"/>
        <w:ind w:firstLine="0"/>
        <w:rPr>
          <w:lang w:val="es-ES_tradnl"/>
        </w:rPr>
      </w:pPr>
      <w:r w:rsidRPr="00B1027C">
        <w:rPr>
          <w:rStyle w:val="FootnoteReference"/>
          <w:u w:val="none"/>
          <w:vertAlign w:val="superscript"/>
          <w:lang w:val="es-ES_tradnl"/>
        </w:rPr>
        <w:t>2</w:t>
      </w:r>
      <w:r w:rsidRPr="00B1027C">
        <w:rPr>
          <w:lang w:val="es-ES_tradnl"/>
        </w:rPr>
        <w:t xml:space="preserve"> Véase el documento CBD/COP/15/17, párrs. 9 a 23, para consultar los discursos y las declaraciones de apertura.</w:t>
      </w:r>
    </w:p>
  </w:footnote>
  <w:footnote w:id="52">
    <w:p w14:paraId="4A21F15F" w14:textId="4082D49C" w:rsidR="008C35AD" w:rsidRPr="00B1027C" w:rsidRDefault="008C35AD" w:rsidP="0096782E">
      <w:pPr>
        <w:pStyle w:val="FootnoteText"/>
        <w:ind w:firstLine="0"/>
        <w:rPr>
          <w:lang w:val="es-ES_tradnl"/>
        </w:rPr>
      </w:pPr>
      <w:r w:rsidRPr="00B1027C">
        <w:rPr>
          <w:rStyle w:val="FootnoteReference"/>
          <w:u w:val="none"/>
          <w:vertAlign w:val="superscript"/>
          <w:lang w:val="es-ES_tradnl"/>
        </w:rPr>
        <w:t>3</w:t>
      </w:r>
      <w:r w:rsidRPr="00B1027C">
        <w:rPr>
          <w:lang w:val="es-ES_tradnl"/>
        </w:rPr>
        <w:t xml:space="preserve"> Ibidem, párrs. 26 a 28, para consultar los discursos de apertura.</w:t>
      </w:r>
    </w:p>
  </w:footnote>
  <w:footnote w:id="53">
    <w:p w14:paraId="43E7B932" w14:textId="31BC3796" w:rsidR="008C35AD" w:rsidRPr="00B1027C" w:rsidRDefault="008C35AD" w:rsidP="00FF0C65">
      <w:pPr>
        <w:pStyle w:val="FootnoteText"/>
        <w:ind w:firstLine="0"/>
        <w:rPr>
          <w:lang w:val="es-ES_tradnl"/>
        </w:rPr>
      </w:pPr>
      <w:r w:rsidRPr="00B1027C">
        <w:rPr>
          <w:rStyle w:val="FootnoteReference"/>
          <w:u w:val="none"/>
          <w:vertAlign w:val="superscript"/>
          <w:lang w:val="es-ES_tradnl"/>
        </w:rPr>
        <w:t>4</w:t>
      </w:r>
      <w:r w:rsidRPr="00B1027C">
        <w:rPr>
          <w:lang w:val="es-ES_tradnl"/>
        </w:rPr>
        <w:t xml:space="preserve"> Vinod Mathur (India) fue sustituido por Naresh Pal Gangwar, y Andrea Meza Murillo (Costa Rica) fue sustituida por Eugenia Arguedas Montezuma.</w:t>
      </w:r>
    </w:p>
  </w:footnote>
  <w:footnote w:id="54">
    <w:p w14:paraId="0A8693DB" w14:textId="5BB7D787" w:rsidR="008C35AD" w:rsidRPr="00B1027C" w:rsidRDefault="008C35AD" w:rsidP="0096782E">
      <w:pPr>
        <w:pStyle w:val="FootnoteText"/>
        <w:ind w:firstLine="0"/>
        <w:rPr>
          <w:lang w:val="es-ES_tradnl"/>
        </w:rPr>
      </w:pPr>
      <w:r w:rsidRPr="00B1027C">
        <w:rPr>
          <w:rStyle w:val="FootnoteReference"/>
          <w:u w:val="none"/>
          <w:vertAlign w:val="superscript"/>
          <w:lang w:val="es-ES_tradnl"/>
        </w:rPr>
        <w:t>5</w:t>
      </w:r>
      <w:r w:rsidRPr="00B1027C">
        <w:rPr>
          <w:lang w:val="es-ES_tradnl"/>
        </w:rPr>
        <w:t xml:space="preserve"> Véase el documento CBD/COP/15/17, párrs. 29 a 34, para más información</w:t>
      </w:r>
      <w:r w:rsidRPr="00B1027C">
        <w:rPr>
          <w:bCs/>
          <w:lang w:val="es-ES_tradnl"/>
        </w:rPr>
        <w:t>.</w:t>
      </w:r>
    </w:p>
  </w:footnote>
  <w:footnote w:id="55">
    <w:p w14:paraId="71B00D45" w14:textId="5E0DD252" w:rsidR="008C35AD" w:rsidRPr="00B1027C" w:rsidRDefault="008C35AD" w:rsidP="00E33E23">
      <w:pPr>
        <w:pStyle w:val="FootnoteText"/>
        <w:spacing w:after="0"/>
        <w:ind w:firstLine="0"/>
        <w:rPr>
          <w:lang w:val="es-ES_tradnl"/>
        </w:rPr>
      </w:pPr>
      <w:r w:rsidRPr="00B1027C">
        <w:rPr>
          <w:rStyle w:val="FootnoteReference"/>
          <w:u w:val="none"/>
          <w:vertAlign w:val="superscript"/>
          <w:lang w:val="es-ES_tradnl"/>
        </w:rPr>
        <w:t>6</w:t>
      </w:r>
      <w:r w:rsidRPr="00B1027C">
        <w:rPr>
          <w:lang w:val="es-ES_tradnl"/>
        </w:rPr>
        <w:t xml:space="preserve"> Véase el documento CBD/COP/15/17, párr. 58, para consultar las declaraciones.</w:t>
      </w:r>
    </w:p>
  </w:footnote>
  <w:footnote w:id="56">
    <w:p w14:paraId="09F9FC7E" w14:textId="5D761EC8" w:rsidR="008C35AD" w:rsidRPr="00B1027C" w:rsidRDefault="008C35AD" w:rsidP="00E33E23">
      <w:pPr>
        <w:pStyle w:val="FootnoteText"/>
        <w:spacing w:after="0"/>
        <w:ind w:firstLine="0"/>
        <w:rPr>
          <w:lang w:val="es-ES_tradnl"/>
        </w:rPr>
      </w:pPr>
      <w:r w:rsidRPr="00B1027C">
        <w:rPr>
          <w:rStyle w:val="FootnoteReference"/>
          <w:u w:val="none"/>
          <w:vertAlign w:val="superscript"/>
          <w:lang w:val="es-ES_tradnl"/>
        </w:rPr>
        <w:t>7</w:t>
      </w:r>
      <w:r w:rsidRPr="00B1027C">
        <w:rPr>
          <w:lang w:val="es-ES_tradnl"/>
        </w:rPr>
        <w:t xml:space="preserve"> Ibidem, párr. 60, para consultar las declaraciones.</w:t>
      </w:r>
    </w:p>
  </w:footnote>
  <w:footnote w:id="57">
    <w:p w14:paraId="56581AF4" w14:textId="73C05A45" w:rsidR="008C35AD" w:rsidRPr="00B1027C" w:rsidRDefault="008C35AD" w:rsidP="00E33E23">
      <w:pPr>
        <w:pStyle w:val="FootnoteText"/>
        <w:spacing w:after="0"/>
        <w:ind w:firstLine="0"/>
        <w:rPr>
          <w:lang w:val="es-ES_tradnl"/>
        </w:rPr>
      </w:pPr>
      <w:r w:rsidRPr="00B1027C">
        <w:rPr>
          <w:rStyle w:val="FootnoteReference"/>
          <w:u w:val="none"/>
          <w:vertAlign w:val="superscript"/>
          <w:lang w:val="es-ES_tradnl"/>
        </w:rPr>
        <w:t>8</w:t>
      </w:r>
      <w:r w:rsidRPr="00B1027C">
        <w:rPr>
          <w:lang w:val="es-ES_tradnl"/>
        </w:rPr>
        <w:t xml:space="preserve"> Ibidem, párr. 61, para obtener más información sobre las consultas ministeriales.</w:t>
      </w:r>
    </w:p>
  </w:footnote>
  <w:footnote w:id="58">
    <w:p w14:paraId="0D0EF0CA" w14:textId="4FCBAF34" w:rsidR="008C35AD" w:rsidRPr="00B1027C" w:rsidRDefault="008C35AD" w:rsidP="00E33E23">
      <w:pPr>
        <w:pStyle w:val="FootnoteText"/>
        <w:spacing w:after="0"/>
        <w:ind w:firstLine="0"/>
        <w:rPr>
          <w:lang w:val="es-ES_tradnl"/>
        </w:rPr>
      </w:pPr>
      <w:r w:rsidRPr="00B1027C">
        <w:rPr>
          <w:rStyle w:val="FootnoteReference"/>
          <w:u w:val="none"/>
          <w:vertAlign w:val="superscript"/>
          <w:lang w:val="es-ES_tradnl"/>
        </w:rPr>
        <w:t>9</w:t>
      </w:r>
      <w:r w:rsidRPr="00B1027C">
        <w:rPr>
          <w:lang w:val="es-ES_tradnl"/>
        </w:rPr>
        <w:t xml:space="preserve"> Ibidem, párrs. 63 a 66, para obtener más información.</w:t>
      </w:r>
    </w:p>
  </w:footnote>
  <w:footnote w:id="59">
    <w:p w14:paraId="11382950" w14:textId="260758E6" w:rsidR="008C35AD" w:rsidRPr="00B1027C" w:rsidRDefault="008C35AD" w:rsidP="00E33E23">
      <w:pPr>
        <w:pStyle w:val="FootnoteText"/>
        <w:spacing w:after="0"/>
        <w:ind w:firstLine="0"/>
        <w:rPr>
          <w:lang w:val="es-ES_tradnl"/>
        </w:rPr>
      </w:pPr>
      <w:r w:rsidRPr="00B1027C">
        <w:rPr>
          <w:rStyle w:val="FootnoteReference"/>
          <w:u w:val="none"/>
          <w:vertAlign w:val="superscript"/>
          <w:lang w:val="es-ES_tradnl"/>
        </w:rPr>
        <w:t>10</w:t>
      </w:r>
      <w:r w:rsidRPr="00B1027C">
        <w:rPr>
          <w:lang w:val="es-ES_tradnl"/>
        </w:rPr>
        <w:t xml:space="preserve"> Ibidem, párr. 68, para consultar las declaraciones.</w:t>
      </w:r>
    </w:p>
  </w:footnote>
  <w:footnote w:id="60">
    <w:p w14:paraId="1174FDC4" w14:textId="2E9C8FBA" w:rsidR="008C35AD" w:rsidRPr="00B1027C" w:rsidRDefault="008C35AD" w:rsidP="008C35AD">
      <w:pPr>
        <w:pStyle w:val="FootnoteText"/>
        <w:ind w:firstLine="0"/>
        <w:rPr>
          <w:lang w:val="es-ES_tradnl"/>
        </w:rPr>
      </w:pPr>
      <w:r w:rsidRPr="00B1027C">
        <w:rPr>
          <w:rStyle w:val="FootnoteReference"/>
          <w:u w:val="none"/>
          <w:vertAlign w:val="superscript"/>
          <w:lang w:val="es-ES_tradnl"/>
        </w:rPr>
        <w:t>11</w:t>
      </w:r>
      <w:r w:rsidRPr="00B1027C">
        <w:rPr>
          <w:lang w:val="es-ES_tradnl"/>
        </w:rPr>
        <w:t xml:space="preserve"> </w:t>
      </w:r>
      <w:r w:rsidR="006A2F5C" w:rsidRPr="00B1027C">
        <w:rPr>
          <w:lang w:val="es-ES_tradnl"/>
        </w:rPr>
        <w:t>Debido a la suspensión de la décima reunión de la Conferencia de las Partes que actúa como reunión de las Partes en el Protocolo de Cartagena (véase el documento CBD/COP/15/17, párr. 34), la cuestión de la elección de los miembros del Comité de Cumplimiento finalmente se postergó hasta la continuación de la segunda parte de la reunión</w:t>
      </w:r>
      <w:r w:rsidRPr="00B1027C">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Asunto"/>
      <w:tag w:val=""/>
      <w:id w:val="759958486"/>
      <w:dataBinding w:prefixMappings="xmlns:ns0='http://purl.org/dc/elements/1.1/' xmlns:ns1='http://schemas.openxmlformats.org/package/2006/metadata/core-properties' " w:xpath="/ns1:coreProperties[1]/ns0:subject[1]" w:storeItemID="{6C3C8BC8-F283-45AE-878A-BAB7291924A1}"/>
      <w:text/>
    </w:sdtPr>
    <w:sdtEndPr/>
    <w:sdtContent>
      <w:p w14:paraId="2A733EEB" w14:textId="7A833502" w:rsidR="008C35AD" w:rsidRPr="00E622EA" w:rsidRDefault="008C35AD" w:rsidP="000950A3">
        <w:pPr>
          <w:pStyle w:val="Header"/>
          <w:jc w:val="left"/>
          <w:rPr>
            <w:lang w:val="en-US"/>
          </w:rPr>
        </w:pPr>
        <w:r>
          <w:rPr>
            <w:lang w:val="en-US"/>
          </w:rPr>
          <w:t>CBD/CP/MOP/10/12</w:t>
        </w:r>
      </w:p>
    </w:sdtContent>
  </w:sdt>
  <w:p w14:paraId="1475AB84" w14:textId="32B9E534" w:rsidR="008C35AD" w:rsidRPr="00757192" w:rsidRDefault="008C35AD" w:rsidP="00910961">
    <w:pPr>
      <w:pStyle w:val="Header"/>
      <w:tabs>
        <w:tab w:val="clear" w:pos="4320"/>
        <w:tab w:val="clear" w:pos="8640"/>
      </w:tabs>
    </w:pPr>
    <w:r>
      <w:t xml:space="preserve">Página </w:t>
    </w:r>
    <w:r>
      <w:fldChar w:fldCharType="begin"/>
    </w:r>
    <w:r w:rsidRPr="00757192">
      <w:instrText xml:space="preserve"> PAGE   \* MERGEFORMAT </w:instrText>
    </w:r>
    <w:r>
      <w:fldChar w:fldCharType="separate"/>
    </w:r>
    <w:r w:rsidR="00FD33B3">
      <w:rPr>
        <w:noProof/>
      </w:rPr>
      <w:t>22</w:t>
    </w:r>
    <w:r>
      <w:fldChar w:fldCharType="end"/>
    </w:r>
  </w:p>
  <w:p w14:paraId="0141B21C" w14:textId="77777777" w:rsidR="008C35AD" w:rsidRPr="00757192" w:rsidRDefault="008C35AD" w:rsidP="00910961">
    <w:pPr>
      <w:pStyle w:val="Header"/>
      <w:tabs>
        <w:tab w:val="clear" w:pos="4320"/>
        <w:tab w:val="clear" w:pos="8640"/>
      </w:tabs>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Asunto"/>
      <w:tag w:val=""/>
      <w:id w:val="1944643786"/>
      <w:dataBinding w:prefixMappings="xmlns:ns0='http://purl.org/dc/elements/1.1/' xmlns:ns1='http://schemas.openxmlformats.org/package/2006/metadata/core-properties' " w:xpath="/ns1:coreProperties[1]/ns0:subject[1]" w:storeItemID="{6C3C8BC8-F283-45AE-878A-BAB7291924A1}"/>
      <w:text/>
    </w:sdtPr>
    <w:sdtEndPr/>
    <w:sdtContent>
      <w:p w14:paraId="3E56B8B1" w14:textId="06C261B5" w:rsidR="008C35AD" w:rsidRPr="00E622EA" w:rsidRDefault="008C35AD" w:rsidP="009505C9">
        <w:pPr>
          <w:pStyle w:val="Header"/>
          <w:jc w:val="right"/>
          <w:rPr>
            <w:lang w:val="en-US"/>
          </w:rPr>
        </w:pPr>
        <w:r>
          <w:rPr>
            <w:lang w:val="en-US"/>
          </w:rPr>
          <w:t>CBD/CP/MOP/10/12</w:t>
        </w:r>
      </w:p>
    </w:sdtContent>
  </w:sdt>
  <w:p w14:paraId="1FF83B4A" w14:textId="704EFC95" w:rsidR="008C35AD" w:rsidRPr="008B46D4" w:rsidRDefault="008C35AD" w:rsidP="009505C9">
    <w:pPr>
      <w:pStyle w:val="Header"/>
      <w:jc w:val="right"/>
    </w:pPr>
    <w:r>
      <w:t xml:space="preserve">Página </w:t>
    </w:r>
    <w:r>
      <w:fldChar w:fldCharType="begin"/>
    </w:r>
    <w:r w:rsidRPr="008B46D4">
      <w:instrText xml:space="preserve"> PAGE   \* MERGEFORMAT </w:instrText>
    </w:r>
    <w:r>
      <w:fldChar w:fldCharType="separate"/>
    </w:r>
    <w:r w:rsidR="00FD33B3">
      <w:rPr>
        <w:noProof/>
      </w:rPr>
      <w:t>21</w:t>
    </w:r>
    <w:r>
      <w:fldChar w:fldCharType="end"/>
    </w:r>
  </w:p>
  <w:p w14:paraId="11074952" w14:textId="77777777" w:rsidR="008C35AD" w:rsidRPr="008B46D4" w:rsidRDefault="008C35AD">
    <w:pPr>
      <w:pStyle w:val="Header"/>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s-ES_tradnl"/>
      </w:rPr>
      <w:alias w:val="Subject"/>
      <w:tag w:val=""/>
      <w:id w:val="989993642"/>
      <w:placeholder>
        <w:docPart w:val="6F674EB3FD754915B2A84F92C86BDCE3"/>
      </w:placeholder>
      <w:dataBinding w:prefixMappings="xmlns:ns0='http://purl.org/dc/elements/1.1/' xmlns:ns1='http://schemas.openxmlformats.org/package/2006/metadata/core-properties' " w:xpath="/ns1:coreProperties[1]/ns0:subject[1]" w:storeItemID="{6C3C8BC8-F283-45AE-878A-BAB7291924A1}"/>
      <w:text/>
    </w:sdtPr>
    <w:sdtEndPr/>
    <w:sdtContent>
      <w:p w14:paraId="63EACE51" w14:textId="4608F45C" w:rsidR="008C35AD" w:rsidRPr="000C0573" w:rsidRDefault="008C35AD" w:rsidP="00534681">
        <w:pPr>
          <w:pStyle w:val="Header"/>
          <w:rPr>
            <w:lang w:val="es-ES_tradnl"/>
          </w:rPr>
        </w:pPr>
        <w:r w:rsidRPr="000C0573">
          <w:rPr>
            <w:lang w:val="es-ES_tradnl"/>
          </w:rPr>
          <w:t>CBD/CP/MOP/10/12</w:t>
        </w:r>
      </w:p>
    </w:sdtContent>
  </w:sdt>
  <w:p w14:paraId="41F9F775" w14:textId="464F3B2F" w:rsidR="008C35AD" w:rsidRPr="000C0573" w:rsidRDefault="008C35AD" w:rsidP="00534681">
    <w:pPr>
      <w:pStyle w:val="Header"/>
      <w:rPr>
        <w:lang w:val="es-ES_tradnl"/>
      </w:rPr>
    </w:pPr>
    <w:r w:rsidRPr="000C0573">
      <w:rPr>
        <w:lang w:val="es-ES_tradnl"/>
      </w:rPr>
      <w:t>P</w:t>
    </w:r>
    <w:r>
      <w:rPr>
        <w:lang w:val="es-ES_tradnl"/>
      </w:rPr>
      <w:t>á</w:t>
    </w:r>
    <w:r w:rsidRPr="000C0573">
      <w:rPr>
        <w:lang w:val="es-ES_tradnl"/>
      </w:rPr>
      <w:t>g</w:t>
    </w:r>
    <w:r>
      <w:rPr>
        <w:lang w:val="es-ES_tradnl"/>
      </w:rPr>
      <w:t>ina</w:t>
    </w:r>
    <w:r w:rsidRPr="000C0573">
      <w:rPr>
        <w:lang w:val="es-ES_tradnl"/>
      </w:rPr>
      <w:t xml:space="preserve"> </w:t>
    </w:r>
    <w:r w:rsidRPr="000C0573">
      <w:rPr>
        <w:lang w:val="es-ES_tradnl"/>
      </w:rPr>
      <w:fldChar w:fldCharType="begin"/>
    </w:r>
    <w:r w:rsidRPr="000C0573">
      <w:rPr>
        <w:lang w:val="es-ES_tradnl"/>
      </w:rPr>
      <w:instrText xml:space="preserve"> PAGE   \* MERGEFORMAT </w:instrText>
    </w:r>
    <w:r w:rsidRPr="000C0573">
      <w:rPr>
        <w:lang w:val="es-ES_tradnl"/>
      </w:rPr>
      <w:fldChar w:fldCharType="separate"/>
    </w:r>
    <w:r w:rsidR="00FD33B3">
      <w:rPr>
        <w:noProof/>
        <w:lang w:val="es-ES_tradnl"/>
      </w:rPr>
      <w:t>56</w:t>
    </w:r>
    <w:r w:rsidRPr="000C0573">
      <w:rPr>
        <w:lang w:val="es-ES_tradnl"/>
      </w:rPr>
      <w:fldChar w:fldCharType="end"/>
    </w:r>
  </w:p>
  <w:p w14:paraId="2D970AE9" w14:textId="77777777" w:rsidR="008C35AD" w:rsidRPr="000C0573" w:rsidRDefault="008C35AD">
    <w:pPr>
      <w:pStyle w:val="Header"/>
      <w:rPr>
        <w:lang w:val="es-ES_tradn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s-ES_tradnl"/>
      </w:rPr>
      <w:alias w:val="Subject"/>
      <w:tag w:val=""/>
      <w:id w:val="1143939170"/>
      <w:dataBinding w:prefixMappings="xmlns:ns0='http://purl.org/dc/elements/1.1/' xmlns:ns1='http://schemas.openxmlformats.org/package/2006/metadata/core-properties' " w:xpath="/ns1:coreProperties[1]/ns0:subject[1]" w:storeItemID="{6C3C8BC8-F283-45AE-878A-BAB7291924A1}"/>
      <w:text/>
    </w:sdtPr>
    <w:sdtEndPr/>
    <w:sdtContent>
      <w:p w14:paraId="5722CDDD" w14:textId="393A72C5" w:rsidR="008C35AD" w:rsidRPr="000C0573" w:rsidRDefault="008C35AD" w:rsidP="009505C9">
        <w:pPr>
          <w:pStyle w:val="Header"/>
          <w:jc w:val="right"/>
          <w:rPr>
            <w:lang w:val="es-ES_tradnl"/>
          </w:rPr>
        </w:pPr>
        <w:r w:rsidRPr="000C0573">
          <w:rPr>
            <w:lang w:val="es-ES_tradnl"/>
          </w:rPr>
          <w:t>CBD/CP/MOP/10/12</w:t>
        </w:r>
      </w:p>
    </w:sdtContent>
  </w:sdt>
  <w:p w14:paraId="6D407C70" w14:textId="15DE2429" w:rsidR="008C35AD" w:rsidRPr="000C0573" w:rsidRDefault="008C35AD" w:rsidP="009505C9">
    <w:pPr>
      <w:pStyle w:val="Header"/>
      <w:jc w:val="right"/>
      <w:rPr>
        <w:lang w:val="es-ES_tradnl"/>
      </w:rPr>
    </w:pPr>
    <w:r w:rsidRPr="000C0573">
      <w:rPr>
        <w:lang w:val="es-ES_tradnl"/>
      </w:rPr>
      <w:t>P</w:t>
    </w:r>
    <w:r>
      <w:rPr>
        <w:lang w:val="es-ES_tradnl"/>
      </w:rPr>
      <w:t>á</w:t>
    </w:r>
    <w:r w:rsidRPr="000C0573">
      <w:rPr>
        <w:lang w:val="es-ES_tradnl"/>
      </w:rPr>
      <w:t>g</w:t>
    </w:r>
    <w:r>
      <w:rPr>
        <w:lang w:val="es-ES_tradnl"/>
      </w:rPr>
      <w:t>ina</w:t>
    </w:r>
    <w:r w:rsidRPr="000C0573">
      <w:rPr>
        <w:lang w:val="es-ES_tradnl"/>
      </w:rPr>
      <w:t xml:space="preserve"> </w:t>
    </w:r>
    <w:r w:rsidRPr="000C0573">
      <w:rPr>
        <w:lang w:val="es-ES_tradnl"/>
      </w:rPr>
      <w:fldChar w:fldCharType="begin"/>
    </w:r>
    <w:r w:rsidRPr="000C0573">
      <w:rPr>
        <w:lang w:val="es-ES_tradnl"/>
      </w:rPr>
      <w:instrText xml:space="preserve"> PAGE   \* MERGEFORMAT </w:instrText>
    </w:r>
    <w:r w:rsidRPr="000C0573">
      <w:rPr>
        <w:lang w:val="es-ES_tradnl"/>
      </w:rPr>
      <w:fldChar w:fldCharType="separate"/>
    </w:r>
    <w:r w:rsidR="00FD33B3">
      <w:rPr>
        <w:noProof/>
        <w:lang w:val="es-ES_tradnl"/>
      </w:rPr>
      <w:t>55</w:t>
    </w:r>
    <w:r w:rsidRPr="000C0573">
      <w:rPr>
        <w:lang w:val="es-ES_tradnl"/>
      </w:rPr>
      <w:fldChar w:fldCharType="end"/>
    </w:r>
  </w:p>
  <w:p w14:paraId="5DF2B6C4" w14:textId="77777777" w:rsidR="008C35AD" w:rsidRPr="000C0573" w:rsidRDefault="008C35AD">
    <w:pPr>
      <w:pStyle w:val="Header"/>
      <w:rPr>
        <w:lang w:val="es-ES_tradn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F7E7E" w14:textId="77777777" w:rsidR="008C35AD" w:rsidRDefault="008C35A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Asunto"/>
      <w:tag w:val=""/>
      <w:id w:val="462623663"/>
      <w:dataBinding w:prefixMappings="xmlns:ns0='http://purl.org/dc/elements/1.1/' xmlns:ns1='http://schemas.openxmlformats.org/package/2006/metadata/core-properties' " w:xpath="/ns1:coreProperties[1]/ns0:subject[1]" w:storeItemID="{6C3C8BC8-F283-45AE-878A-BAB7291924A1}"/>
      <w:text/>
    </w:sdtPr>
    <w:sdtEndPr/>
    <w:sdtContent>
      <w:p w14:paraId="2EA65D35" w14:textId="118A9411" w:rsidR="008C35AD" w:rsidRPr="00E622EA" w:rsidRDefault="008C35AD" w:rsidP="000950A3">
        <w:pPr>
          <w:pStyle w:val="Header"/>
          <w:jc w:val="left"/>
          <w:rPr>
            <w:lang w:val="en-US"/>
          </w:rPr>
        </w:pPr>
        <w:r>
          <w:rPr>
            <w:lang w:val="en-US"/>
          </w:rPr>
          <w:t>CBD/CP/MOP/10/12</w:t>
        </w:r>
      </w:p>
    </w:sdtContent>
  </w:sdt>
  <w:p w14:paraId="2417E9CA" w14:textId="3849574C" w:rsidR="008C35AD" w:rsidRPr="00757192" w:rsidRDefault="008C35AD" w:rsidP="00910961">
    <w:pPr>
      <w:pStyle w:val="Header"/>
      <w:tabs>
        <w:tab w:val="clear" w:pos="4320"/>
        <w:tab w:val="clear" w:pos="8640"/>
      </w:tabs>
    </w:pPr>
    <w:r>
      <w:t xml:space="preserve">Página </w:t>
    </w:r>
    <w:r>
      <w:fldChar w:fldCharType="begin"/>
    </w:r>
    <w:r w:rsidRPr="00757192">
      <w:instrText xml:space="preserve"> PAGE   \* MERGEFORMAT </w:instrText>
    </w:r>
    <w:r>
      <w:fldChar w:fldCharType="separate"/>
    </w:r>
    <w:r w:rsidR="00FD33B3">
      <w:rPr>
        <w:noProof/>
      </w:rPr>
      <w:t>60</w:t>
    </w:r>
    <w:r>
      <w:fldChar w:fldCharType="end"/>
    </w:r>
  </w:p>
  <w:p w14:paraId="4470B071" w14:textId="77777777" w:rsidR="008C35AD" w:rsidRPr="00757192" w:rsidRDefault="008C35AD" w:rsidP="00910961">
    <w:pPr>
      <w:pStyle w:val="Header"/>
      <w:tabs>
        <w:tab w:val="clear" w:pos="4320"/>
        <w:tab w:val="clear" w:pos="8640"/>
      </w:tabs>
      <w:rPr>
        <w:lang w:val="nl-N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Asunto"/>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E267F7F" w14:textId="32F3DCA9" w:rsidR="008C35AD" w:rsidRPr="00E622EA" w:rsidRDefault="008C35AD" w:rsidP="009505C9">
        <w:pPr>
          <w:pStyle w:val="Header"/>
          <w:jc w:val="right"/>
          <w:rPr>
            <w:lang w:val="en-US"/>
          </w:rPr>
        </w:pPr>
        <w:r>
          <w:rPr>
            <w:lang w:val="en-US"/>
          </w:rPr>
          <w:t>CBD/CP/MOP/10/12</w:t>
        </w:r>
      </w:p>
    </w:sdtContent>
  </w:sdt>
  <w:p w14:paraId="45F5E32F" w14:textId="2D5C0377" w:rsidR="008C35AD" w:rsidRPr="008B46D4" w:rsidRDefault="008C35AD" w:rsidP="009505C9">
    <w:pPr>
      <w:pStyle w:val="Header"/>
      <w:jc w:val="right"/>
    </w:pPr>
    <w:r>
      <w:t xml:space="preserve">Página </w:t>
    </w:r>
    <w:r>
      <w:fldChar w:fldCharType="begin"/>
    </w:r>
    <w:r w:rsidRPr="008B46D4">
      <w:instrText xml:space="preserve"> PAGE   \* MERGEFORMAT </w:instrText>
    </w:r>
    <w:r>
      <w:fldChar w:fldCharType="separate"/>
    </w:r>
    <w:r w:rsidR="00FD33B3">
      <w:rPr>
        <w:noProof/>
      </w:rPr>
      <w:t>59</w:t>
    </w:r>
    <w:r>
      <w:fldChar w:fldCharType="end"/>
    </w:r>
  </w:p>
  <w:p w14:paraId="051956D2" w14:textId="77777777" w:rsidR="008C35AD" w:rsidRPr="008B46D4" w:rsidRDefault="008C35AD">
    <w:pPr>
      <w:pStyle w:val="Header"/>
      <w:rPr>
        <w:lang w:val="nl-NL"/>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C31F2"/>
    <w:multiLevelType w:val="hybridMultilevel"/>
    <w:tmpl w:val="79808286"/>
    <w:lvl w:ilvl="0" w:tplc="3B8E27F6">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A9B6067"/>
    <w:multiLevelType w:val="hybridMultilevel"/>
    <w:tmpl w:val="62E46070"/>
    <w:lvl w:ilvl="0" w:tplc="E1588D1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595507"/>
    <w:multiLevelType w:val="hybridMultilevel"/>
    <w:tmpl w:val="54409182"/>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02B2C53"/>
    <w:multiLevelType w:val="hybridMultilevel"/>
    <w:tmpl w:val="D29E78A0"/>
    <w:lvl w:ilvl="0" w:tplc="ED5A470E">
      <w:start w:val="1"/>
      <w:numFmt w:val="decimal"/>
      <w:lvlText w:val="%1."/>
      <w:lvlJc w:val="left"/>
      <w:pPr>
        <w:ind w:left="1429" w:hanging="360"/>
      </w:pPr>
      <w:rPr>
        <w:rFonts w:asciiTheme="majorBidi" w:hAnsiTheme="majorBidi" w:cstheme="majorBidi" w:hint="default"/>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1F67F72"/>
    <w:multiLevelType w:val="hybridMultilevel"/>
    <w:tmpl w:val="F3E2BF62"/>
    <w:lvl w:ilvl="0" w:tplc="76F29DFA">
      <w:start w:val="1"/>
      <w:numFmt w:val="lowerLetter"/>
      <w:lvlText w:val="%1)"/>
      <w:lvlJc w:val="left"/>
      <w:pPr>
        <w:ind w:left="2160" w:hanging="660"/>
      </w:pPr>
      <w:rPr>
        <w:rFonts w:hint="default"/>
      </w:rPr>
    </w:lvl>
    <w:lvl w:ilvl="1" w:tplc="08090019" w:tentative="1">
      <w:start w:val="1"/>
      <w:numFmt w:val="lowerLetter"/>
      <w:lvlText w:val="%2."/>
      <w:lvlJc w:val="left"/>
      <w:pPr>
        <w:ind w:left="2580" w:hanging="360"/>
      </w:pPr>
    </w:lvl>
    <w:lvl w:ilvl="2" w:tplc="0809001B" w:tentative="1">
      <w:start w:val="1"/>
      <w:numFmt w:val="lowerRoman"/>
      <w:lvlText w:val="%3."/>
      <w:lvlJc w:val="right"/>
      <w:pPr>
        <w:ind w:left="3300" w:hanging="180"/>
      </w:pPr>
    </w:lvl>
    <w:lvl w:ilvl="3" w:tplc="0809000F" w:tentative="1">
      <w:start w:val="1"/>
      <w:numFmt w:val="decimal"/>
      <w:lvlText w:val="%4."/>
      <w:lvlJc w:val="left"/>
      <w:pPr>
        <w:ind w:left="4020" w:hanging="360"/>
      </w:pPr>
    </w:lvl>
    <w:lvl w:ilvl="4" w:tplc="08090019" w:tentative="1">
      <w:start w:val="1"/>
      <w:numFmt w:val="lowerLetter"/>
      <w:lvlText w:val="%5."/>
      <w:lvlJc w:val="left"/>
      <w:pPr>
        <w:ind w:left="4740" w:hanging="360"/>
      </w:pPr>
    </w:lvl>
    <w:lvl w:ilvl="5" w:tplc="0809001B" w:tentative="1">
      <w:start w:val="1"/>
      <w:numFmt w:val="lowerRoman"/>
      <w:lvlText w:val="%6."/>
      <w:lvlJc w:val="right"/>
      <w:pPr>
        <w:ind w:left="5460" w:hanging="180"/>
      </w:pPr>
    </w:lvl>
    <w:lvl w:ilvl="6" w:tplc="0809000F" w:tentative="1">
      <w:start w:val="1"/>
      <w:numFmt w:val="decimal"/>
      <w:lvlText w:val="%7."/>
      <w:lvlJc w:val="left"/>
      <w:pPr>
        <w:ind w:left="6180" w:hanging="360"/>
      </w:pPr>
    </w:lvl>
    <w:lvl w:ilvl="7" w:tplc="08090019" w:tentative="1">
      <w:start w:val="1"/>
      <w:numFmt w:val="lowerLetter"/>
      <w:lvlText w:val="%8."/>
      <w:lvlJc w:val="left"/>
      <w:pPr>
        <w:ind w:left="6900" w:hanging="360"/>
      </w:pPr>
    </w:lvl>
    <w:lvl w:ilvl="8" w:tplc="0809001B" w:tentative="1">
      <w:start w:val="1"/>
      <w:numFmt w:val="lowerRoman"/>
      <w:lvlText w:val="%9."/>
      <w:lvlJc w:val="right"/>
      <w:pPr>
        <w:ind w:left="7620" w:hanging="180"/>
      </w:pPr>
    </w:lvl>
  </w:abstractNum>
  <w:abstractNum w:abstractNumId="8" w15:restartNumberingAfterBreak="0">
    <w:nsid w:val="620D6AEB"/>
    <w:multiLevelType w:val="multilevel"/>
    <w:tmpl w:val="266202AA"/>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80C2977"/>
    <w:multiLevelType w:val="hybridMultilevel"/>
    <w:tmpl w:val="DFB60D4A"/>
    <w:lvl w:ilvl="0" w:tplc="F030F4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6771818">
    <w:abstractNumId w:val="3"/>
  </w:num>
  <w:num w:numId="2" w16cid:durableId="882448483">
    <w:abstractNumId w:val="5"/>
  </w:num>
  <w:num w:numId="3" w16cid:durableId="311062266">
    <w:abstractNumId w:val="9"/>
  </w:num>
  <w:num w:numId="4" w16cid:durableId="972250570">
    <w:abstractNumId w:val="8"/>
  </w:num>
  <w:num w:numId="5" w16cid:durableId="2112356775">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73100280">
    <w:abstractNumId w:val="10"/>
  </w:num>
  <w:num w:numId="7" w16cid:durableId="414788986">
    <w:abstractNumId w:val="0"/>
  </w:num>
  <w:num w:numId="8" w16cid:durableId="2049065646">
    <w:abstractNumId w:val="7"/>
  </w:num>
  <w:num w:numId="9" w16cid:durableId="1876848981">
    <w:abstractNumId w:val="2"/>
  </w:num>
  <w:num w:numId="10" w16cid:durableId="672344130">
    <w:abstractNumId w:val="4"/>
  </w:num>
  <w:num w:numId="11" w16cid:durableId="29384946">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Formatting/>
  <w:defaultTabStop w:val="720"/>
  <w:evenAndOddHeaders/>
  <w:characterSpacingControl w:val="doNotCompress"/>
  <w:hdrShapeDefaults>
    <o:shapedefaults v:ext="edit" spidmax="4097"/>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2A08"/>
    <w:rsid w:val="00005A7B"/>
    <w:rsid w:val="0000775E"/>
    <w:rsid w:val="00007BDE"/>
    <w:rsid w:val="00010866"/>
    <w:rsid w:val="00012BEA"/>
    <w:rsid w:val="00013696"/>
    <w:rsid w:val="00013A54"/>
    <w:rsid w:val="00015631"/>
    <w:rsid w:val="00016E19"/>
    <w:rsid w:val="00016FDF"/>
    <w:rsid w:val="00017488"/>
    <w:rsid w:val="00020A5D"/>
    <w:rsid w:val="00022609"/>
    <w:rsid w:val="000230CE"/>
    <w:rsid w:val="00025D61"/>
    <w:rsid w:val="000274F0"/>
    <w:rsid w:val="00027E53"/>
    <w:rsid w:val="000302BF"/>
    <w:rsid w:val="000331D3"/>
    <w:rsid w:val="000347A1"/>
    <w:rsid w:val="00034B0E"/>
    <w:rsid w:val="000375E1"/>
    <w:rsid w:val="00042057"/>
    <w:rsid w:val="0004420E"/>
    <w:rsid w:val="00044389"/>
    <w:rsid w:val="000456DA"/>
    <w:rsid w:val="00046424"/>
    <w:rsid w:val="0004681D"/>
    <w:rsid w:val="00047132"/>
    <w:rsid w:val="000473BD"/>
    <w:rsid w:val="000479E3"/>
    <w:rsid w:val="0005153E"/>
    <w:rsid w:val="00052091"/>
    <w:rsid w:val="00053982"/>
    <w:rsid w:val="00053A3A"/>
    <w:rsid w:val="000554B4"/>
    <w:rsid w:val="000558FE"/>
    <w:rsid w:val="00055C21"/>
    <w:rsid w:val="00055EB5"/>
    <w:rsid w:val="000579D2"/>
    <w:rsid w:val="0006202C"/>
    <w:rsid w:val="00062942"/>
    <w:rsid w:val="00062CF7"/>
    <w:rsid w:val="00063E9D"/>
    <w:rsid w:val="00064694"/>
    <w:rsid w:val="00066852"/>
    <w:rsid w:val="00066F26"/>
    <w:rsid w:val="00067F09"/>
    <w:rsid w:val="000704FE"/>
    <w:rsid w:val="00070D5F"/>
    <w:rsid w:val="00071921"/>
    <w:rsid w:val="00071FAE"/>
    <w:rsid w:val="00073C51"/>
    <w:rsid w:val="00074C61"/>
    <w:rsid w:val="000769AF"/>
    <w:rsid w:val="00077BE8"/>
    <w:rsid w:val="0008014A"/>
    <w:rsid w:val="00080B26"/>
    <w:rsid w:val="00080D1E"/>
    <w:rsid w:val="00080D2D"/>
    <w:rsid w:val="000831AB"/>
    <w:rsid w:val="00084F0F"/>
    <w:rsid w:val="00085E63"/>
    <w:rsid w:val="000875B0"/>
    <w:rsid w:val="000912AF"/>
    <w:rsid w:val="0009159B"/>
    <w:rsid w:val="000925B8"/>
    <w:rsid w:val="00093F6B"/>
    <w:rsid w:val="00094A41"/>
    <w:rsid w:val="000950A3"/>
    <w:rsid w:val="000957F6"/>
    <w:rsid w:val="00095A2C"/>
    <w:rsid w:val="0009665A"/>
    <w:rsid w:val="00097384"/>
    <w:rsid w:val="00097EE2"/>
    <w:rsid w:val="00097F5F"/>
    <w:rsid w:val="000A0830"/>
    <w:rsid w:val="000A0AC1"/>
    <w:rsid w:val="000A0BDD"/>
    <w:rsid w:val="000A202A"/>
    <w:rsid w:val="000A3D17"/>
    <w:rsid w:val="000A4410"/>
    <w:rsid w:val="000A53AA"/>
    <w:rsid w:val="000A6992"/>
    <w:rsid w:val="000A79C8"/>
    <w:rsid w:val="000B0A8F"/>
    <w:rsid w:val="000B4A47"/>
    <w:rsid w:val="000B4C66"/>
    <w:rsid w:val="000B5D32"/>
    <w:rsid w:val="000B78EC"/>
    <w:rsid w:val="000B7FDD"/>
    <w:rsid w:val="000C0573"/>
    <w:rsid w:val="000C1721"/>
    <w:rsid w:val="000C1A71"/>
    <w:rsid w:val="000C22A2"/>
    <w:rsid w:val="000C3F36"/>
    <w:rsid w:val="000C4CFC"/>
    <w:rsid w:val="000C723B"/>
    <w:rsid w:val="000C7C21"/>
    <w:rsid w:val="000C7D37"/>
    <w:rsid w:val="000C7E69"/>
    <w:rsid w:val="000D0253"/>
    <w:rsid w:val="000D0C35"/>
    <w:rsid w:val="000D1062"/>
    <w:rsid w:val="000D1F98"/>
    <w:rsid w:val="000D235F"/>
    <w:rsid w:val="000D30DB"/>
    <w:rsid w:val="000D34CA"/>
    <w:rsid w:val="000D419C"/>
    <w:rsid w:val="000D468C"/>
    <w:rsid w:val="000D553B"/>
    <w:rsid w:val="000D57E7"/>
    <w:rsid w:val="000D6E68"/>
    <w:rsid w:val="000D707C"/>
    <w:rsid w:val="000E004B"/>
    <w:rsid w:val="000E0DC5"/>
    <w:rsid w:val="000E1AEE"/>
    <w:rsid w:val="000E1DA5"/>
    <w:rsid w:val="000E2BC2"/>
    <w:rsid w:val="000E4D5D"/>
    <w:rsid w:val="000E50F4"/>
    <w:rsid w:val="000E538A"/>
    <w:rsid w:val="000E673A"/>
    <w:rsid w:val="000E7A35"/>
    <w:rsid w:val="000F1B62"/>
    <w:rsid w:val="000F28AF"/>
    <w:rsid w:val="000F3C63"/>
    <w:rsid w:val="000F468E"/>
    <w:rsid w:val="000F4E0B"/>
    <w:rsid w:val="000F504D"/>
    <w:rsid w:val="000F5A13"/>
    <w:rsid w:val="000F6B61"/>
    <w:rsid w:val="000F74F5"/>
    <w:rsid w:val="001024F9"/>
    <w:rsid w:val="001038DB"/>
    <w:rsid w:val="001045BA"/>
    <w:rsid w:val="001049B3"/>
    <w:rsid w:val="00105372"/>
    <w:rsid w:val="0010554D"/>
    <w:rsid w:val="00105AEF"/>
    <w:rsid w:val="001062E3"/>
    <w:rsid w:val="00106353"/>
    <w:rsid w:val="00106975"/>
    <w:rsid w:val="00106B4E"/>
    <w:rsid w:val="0010739E"/>
    <w:rsid w:val="00107A30"/>
    <w:rsid w:val="00111F11"/>
    <w:rsid w:val="00112E28"/>
    <w:rsid w:val="001133E5"/>
    <w:rsid w:val="00114E22"/>
    <w:rsid w:val="00116B44"/>
    <w:rsid w:val="00117655"/>
    <w:rsid w:val="00117CBC"/>
    <w:rsid w:val="00120D9C"/>
    <w:rsid w:val="00121058"/>
    <w:rsid w:val="00121613"/>
    <w:rsid w:val="00122B86"/>
    <w:rsid w:val="00122ECF"/>
    <w:rsid w:val="00123795"/>
    <w:rsid w:val="00124150"/>
    <w:rsid w:val="001249F6"/>
    <w:rsid w:val="00126EDA"/>
    <w:rsid w:val="00130187"/>
    <w:rsid w:val="00130DCF"/>
    <w:rsid w:val="00131529"/>
    <w:rsid w:val="00131903"/>
    <w:rsid w:val="00131B7F"/>
    <w:rsid w:val="00131C42"/>
    <w:rsid w:val="00131E7A"/>
    <w:rsid w:val="0013330A"/>
    <w:rsid w:val="00134717"/>
    <w:rsid w:val="0013498D"/>
    <w:rsid w:val="00134BE1"/>
    <w:rsid w:val="001414C9"/>
    <w:rsid w:val="00141E85"/>
    <w:rsid w:val="00142CEE"/>
    <w:rsid w:val="00142FE7"/>
    <w:rsid w:val="00150E0B"/>
    <w:rsid w:val="00151E2B"/>
    <w:rsid w:val="001540A5"/>
    <w:rsid w:val="00154491"/>
    <w:rsid w:val="00156384"/>
    <w:rsid w:val="00160872"/>
    <w:rsid w:val="001632F1"/>
    <w:rsid w:val="0016367F"/>
    <w:rsid w:val="00165323"/>
    <w:rsid w:val="00165478"/>
    <w:rsid w:val="00165EBB"/>
    <w:rsid w:val="001676D2"/>
    <w:rsid w:val="00167EEB"/>
    <w:rsid w:val="00170A3F"/>
    <w:rsid w:val="00171079"/>
    <w:rsid w:val="001711E7"/>
    <w:rsid w:val="00172AF6"/>
    <w:rsid w:val="001730C7"/>
    <w:rsid w:val="001730EF"/>
    <w:rsid w:val="00173AEF"/>
    <w:rsid w:val="00173EC1"/>
    <w:rsid w:val="00174058"/>
    <w:rsid w:val="00174982"/>
    <w:rsid w:val="00175BF4"/>
    <w:rsid w:val="001763CD"/>
    <w:rsid w:val="00176586"/>
    <w:rsid w:val="0017659E"/>
    <w:rsid w:val="00176CEE"/>
    <w:rsid w:val="001779A1"/>
    <w:rsid w:val="00177EFB"/>
    <w:rsid w:val="0018060B"/>
    <w:rsid w:val="00183022"/>
    <w:rsid w:val="00184431"/>
    <w:rsid w:val="0018461B"/>
    <w:rsid w:val="00184677"/>
    <w:rsid w:val="00184870"/>
    <w:rsid w:val="00184CD0"/>
    <w:rsid w:val="00185151"/>
    <w:rsid w:val="00185828"/>
    <w:rsid w:val="001871C7"/>
    <w:rsid w:val="0018765F"/>
    <w:rsid w:val="001879DF"/>
    <w:rsid w:val="00187AA8"/>
    <w:rsid w:val="00190281"/>
    <w:rsid w:val="001903F6"/>
    <w:rsid w:val="00190E3C"/>
    <w:rsid w:val="001929FF"/>
    <w:rsid w:val="00193A14"/>
    <w:rsid w:val="00193B0B"/>
    <w:rsid w:val="00193FFF"/>
    <w:rsid w:val="00195077"/>
    <w:rsid w:val="00195A03"/>
    <w:rsid w:val="001A015E"/>
    <w:rsid w:val="001A0379"/>
    <w:rsid w:val="001A1049"/>
    <w:rsid w:val="001A1267"/>
    <w:rsid w:val="001A12D8"/>
    <w:rsid w:val="001A1E1D"/>
    <w:rsid w:val="001A34BF"/>
    <w:rsid w:val="001A3E6A"/>
    <w:rsid w:val="001A548B"/>
    <w:rsid w:val="001A5B91"/>
    <w:rsid w:val="001A62F7"/>
    <w:rsid w:val="001A7591"/>
    <w:rsid w:val="001A7BC1"/>
    <w:rsid w:val="001B0178"/>
    <w:rsid w:val="001B09F5"/>
    <w:rsid w:val="001B11B2"/>
    <w:rsid w:val="001B1549"/>
    <w:rsid w:val="001B24B8"/>
    <w:rsid w:val="001B30CC"/>
    <w:rsid w:val="001B3E8D"/>
    <w:rsid w:val="001B4380"/>
    <w:rsid w:val="001B43A8"/>
    <w:rsid w:val="001B4407"/>
    <w:rsid w:val="001B5293"/>
    <w:rsid w:val="001B62F6"/>
    <w:rsid w:val="001C083C"/>
    <w:rsid w:val="001C24A1"/>
    <w:rsid w:val="001C3A11"/>
    <w:rsid w:val="001C3FBA"/>
    <w:rsid w:val="001C608E"/>
    <w:rsid w:val="001C6621"/>
    <w:rsid w:val="001C6E3A"/>
    <w:rsid w:val="001C76E1"/>
    <w:rsid w:val="001C7D7B"/>
    <w:rsid w:val="001D07D2"/>
    <w:rsid w:val="001D1865"/>
    <w:rsid w:val="001D22C7"/>
    <w:rsid w:val="001D3CE8"/>
    <w:rsid w:val="001D4786"/>
    <w:rsid w:val="001D5298"/>
    <w:rsid w:val="001D725B"/>
    <w:rsid w:val="001D7B0B"/>
    <w:rsid w:val="001D7FEE"/>
    <w:rsid w:val="001E0869"/>
    <w:rsid w:val="001E09E8"/>
    <w:rsid w:val="001E1655"/>
    <w:rsid w:val="001E5131"/>
    <w:rsid w:val="001E604C"/>
    <w:rsid w:val="001E6565"/>
    <w:rsid w:val="001E6AAF"/>
    <w:rsid w:val="001E6E84"/>
    <w:rsid w:val="001F1E12"/>
    <w:rsid w:val="001F20DA"/>
    <w:rsid w:val="001F2C2D"/>
    <w:rsid w:val="001F3763"/>
    <w:rsid w:val="001F39EF"/>
    <w:rsid w:val="001F470B"/>
    <w:rsid w:val="001F4D3C"/>
    <w:rsid w:val="001F4FC7"/>
    <w:rsid w:val="001F4FF4"/>
    <w:rsid w:val="001F544B"/>
    <w:rsid w:val="00200F0D"/>
    <w:rsid w:val="00201D61"/>
    <w:rsid w:val="0020240C"/>
    <w:rsid w:val="00205993"/>
    <w:rsid w:val="00207B73"/>
    <w:rsid w:val="00210116"/>
    <w:rsid w:val="00210829"/>
    <w:rsid w:val="00211F85"/>
    <w:rsid w:val="0021479B"/>
    <w:rsid w:val="00214EDA"/>
    <w:rsid w:val="002167ED"/>
    <w:rsid w:val="0022049B"/>
    <w:rsid w:val="00220942"/>
    <w:rsid w:val="0022173B"/>
    <w:rsid w:val="00222239"/>
    <w:rsid w:val="00222783"/>
    <w:rsid w:val="002231C6"/>
    <w:rsid w:val="00224F74"/>
    <w:rsid w:val="002265F6"/>
    <w:rsid w:val="00226FD4"/>
    <w:rsid w:val="002270E4"/>
    <w:rsid w:val="002278B7"/>
    <w:rsid w:val="00227A7C"/>
    <w:rsid w:val="00230661"/>
    <w:rsid w:val="0023082E"/>
    <w:rsid w:val="0023165E"/>
    <w:rsid w:val="0023477D"/>
    <w:rsid w:val="00235276"/>
    <w:rsid w:val="00235BB4"/>
    <w:rsid w:val="00235C05"/>
    <w:rsid w:val="00235EED"/>
    <w:rsid w:val="002375DB"/>
    <w:rsid w:val="00237BE3"/>
    <w:rsid w:val="002409E6"/>
    <w:rsid w:val="00240FC8"/>
    <w:rsid w:val="00241B02"/>
    <w:rsid w:val="00242E75"/>
    <w:rsid w:val="00245596"/>
    <w:rsid w:val="00245859"/>
    <w:rsid w:val="002504AD"/>
    <w:rsid w:val="002528C0"/>
    <w:rsid w:val="0025471F"/>
    <w:rsid w:val="0026058B"/>
    <w:rsid w:val="00262284"/>
    <w:rsid w:val="00262614"/>
    <w:rsid w:val="002642DC"/>
    <w:rsid w:val="002656CA"/>
    <w:rsid w:val="0026585B"/>
    <w:rsid w:val="00267F4F"/>
    <w:rsid w:val="00270151"/>
    <w:rsid w:val="00270871"/>
    <w:rsid w:val="00272B29"/>
    <w:rsid w:val="00273893"/>
    <w:rsid w:val="00274A85"/>
    <w:rsid w:val="002759AB"/>
    <w:rsid w:val="0027709D"/>
    <w:rsid w:val="002803F8"/>
    <w:rsid w:val="00281815"/>
    <w:rsid w:val="00281B22"/>
    <w:rsid w:val="00284D6A"/>
    <w:rsid w:val="00285C84"/>
    <w:rsid w:val="002862AB"/>
    <w:rsid w:val="0028788F"/>
    <w:rsid w:val="00287939"/>
    <w:rsid w:val="00287A0D"/>
    <w:rsid w:val="00287CD5"/>
    <w:rsid w:val="00287DFE"/>
    <w:rsid w:val="00292DD1"/>
    <w:rsid w:val="002949DB"/>
    <w:rsid w:val="00294D07"/>
    <w:rsid w:val="00295DF4"/>
    <w:rsid w:val="00296763"/>
    <w:rsid w:val="00297FCE"/>
    <w:rsid w:val="002A09E0"/>
    <w:rsid w:val="002A0E0A"/>
    <w:rsid w:val="002A17F7"/>
    <w:rsid w:val="002A1BCE"/>
    <w:rsid w:val="002A4498"/>
    <w:rsid w:val="002A48EE"/>
    <w:rsid w:val="002A624B"/>
    <w:rsid w:val="002A7F20"/>
    <w:rsid w:val="002A7F79"/>
    <w:rsid w:val="002B1D2F"/>
    <w:rsid w:val="002B2230"/>
    <w:rsid w:val="002B3B68"/>
    <w:rsid w:val="002B4215"/>
    <w:rsid w:val="002B4748"/>
    <w:rsid w:val="002B5F62"/>
    <w:rsid w:val="002B6574"/>
    <w:rsid w:val="002B6BAD"/>
    <w:rsid w:val="002B6F03"/>
    <w:rsid w:val="002B741E"/>
    <w:rsid w:val="002C059D"/>
    <w:rsid w:val="002C1F25"/>
    <w:rsid w:val="002C4D0B"/>
    <w:rsid w:val="002C4E28"/>
    <w:rsid w:val="002C5A4B"/>
    <w:rsid w:val="002C6F0D"/>
    <w:rsid w:val="002C77C9"/>
    <w:rsid w:val="002C7C72"/>
    <w:rsid w:val="002C7C85"/>
    <w:rsid w:val="002D0CFE"/>
    <w:rsid w:val="002D10FC"/>
    <w:rsid w:val="002D2802"/>
    <w:rsid w:val="002D294C"/>
    <w:rsid w:val="002D2B28"/>
    <w:rsid w:val="002D3D8E"/>
    <w:rsid w:val="002D4BD7"/>
    <w:rsid w:val="002D504B"/>
    <w:rsid w:val="002D6108"/>
    <w:rsid w:val="002D677D"/>
    <w:rsid w:val="002D6D61"/>
    <w:rsid w:val="002E01C5"/>
    <w:rsid w:val="002E027A"/>
    <w:rsid w:val="002E05A4"/>
    <w:rsid w:val="002E1243"/>
    <w:rsid w:val="002E1EEC"/>
    <w:rsid w:val="002E1EF3"/>
    <w:rsid w:val="002E2ACE"/>
    <w:rsid w:val="002E3292"/>
    <w:rsid w:val="002E5C1A"/>
    <w:rsid w:val="002E5F58"/>
    <w:rsid w:val="002E7F6B"/>
    <w:rsid w:val="002F018B"/>
    <w:rsid w:val="002F1356"/>
    <w:rsid w:val="002F15E8"/>
    <w:rsid w:val="002F1A13"/>
    <w:rsid w:val="002F26BA"/>
    <w:rsid w:val="002F4B63"/>
    <w:rsid w:val="002F4F79"/>
    <w:rsid w:val="002F5787"/>
    <w:rsid w:val="002F5A76"/>
    <w:rsid w:val="002F672F"/>
    <w:rsid w:val="002F6E35"/>
    <w:rsid w:val="002F7849"/>
    <w:rsid w:val="003001BA"/>
    <w:rsid w:val="0030041C"/>
    <w:rsid w:val="00302224"/>
    <w:rsid w:val="00302A53"/>
    <w:rsid w:val="00303570"/>
    <w:rsid w:val="00303CCB"/>
    <w:rsid w:val="00304AA3"/>
    <w:rsid w:val="0030536C"/>
    <w:rsid w:val="00305631"/>
    <w:rsid w:val="00305B61"/>
    <w:rsid w:val="003069FC"/>
    <w:rsid w:val="00306C42"/>
    <w:rsid w:val="00306E0B"/>
    <w:rsid w:val="00307367"/>
    <w:rsid w:val="003126FC"/>
    <w:rsid w:val="0031505D"/>
    <w:rsid w:val="003158C4"/>
    <w:rsid w:val="00316048"/>
    <w:rsid w:val="0032095B"/>
    <w:rsid w:val="003210BF"/>
    <w:rsid w:val="0032181E"/>
    <w:rsid w:val="003256E7"/>
    <w:rsid w:val="00326BA0"/>
    <w:rsid w:val="00326EC6"/>
    <w:rsid w:val="00330903"/>
    <w:rsid w:val="003329D4"/>
    <w:rsid w:val="00332C99"/>
    <w:rsid w:val="00333DD6"/>
    <w:rsid w:val="00334674"/>
    <w:rsid w:val="00334ADC"/>
    <w:rsid w:val="00334EBB"/>
    <w:rsid w:val="0033516E"/>
    <w:rsid w:val="003352A7"/>
    <w:rsid w:val="003364F0"/>
    <w:rsid w:val="003371AF"/>
    <w:rsid w:val="00337B46"/>
    <w:rsid w:val="003401C3"/>
    <w:rsid w:val="003413A7"/>
    <w:rsid w:val="00341403"/>
    <w:rsid w:val="00341573"/>
    <w:rsid w:val="00341E70"/>
    <w:rsid w:val="003431B3"/>
    <w:rsid w:val="003444B6"/>
    <w:rsid w:val="00344969"/>
    <w:rsid w:val="00344A15"/>
    <w:rsid w:val="00345D47"/>
    <w:rsid w:val="0034683A"/>
    <w:rsid w:val="0034721B"/>
    <w:rsid w:val="00350192"/>
    <w:rsid w:val="00353DA9"/>
    <w:rsid w:val="00354052"/>
    <w:rsid w:val="003548FB"/>
    <w:rsid w:val="003576D0"/>
    <w:rsid w:val="00360039"/>
    <w:rsid w:val="00360912"/>
    <w:rsid w:val="003612B7"/>
    <w:rsid w:val="0036207C"/>
    <w:rsid w:val="00362BDC"/>
    <w:rsid w:val="00362F30"/>
    <w:rsid w:val="003644B1"/>
    <w:rsid w:val="00364BBD"/>
    <w:rsid w:val="0036503A"/>
    <w:rsid w:val="00365DE4"/>
    <w:rsid w:val="00370483"/>
    <w:rsid w:val="0037069B"/>
    <w:rsid w:val="00372F74"/>
    <w:rsid w:val="00374604"/>
    <w:rsid w:val="00375A02"/>
    <w:rsid w:val="003768E5"/>
    <w:rsid w:val="00377BFA"/>
    <w:rsid w:val="003812B1"/>
    <w:rsid w:val="003819BA"/>
    <w:rsid w:val="00382315"/>
    <w:rsid w:val="0038348A"/>
    <w:rsid w:val="00383704"/>
    <w:rsid w:val="003842FC"/>
    <w:rsid w:val="0038448C"/>
    <w:rsid w:val="00386392"/>
    <w:rsid w:val="00387257"/>
    <w:rsid w:val="00387F84"/>
    <w:rsid w:val="00392971"/>
    <w:rsid w:val="00392A07"/>
    <w:rsid w:val="00393029"/>
    <w:rsid w:val="00395487"/>
    <w:rsid w:val="0039587A"/>
    <w:rsid w:val="0039681A"/>
    <w:rsid w:val="003A03BF"/>
    <w:rsid w:val="003A05FB"/>
    <w:rsid w:val="003A0DF1"/>
    <w:rsid w:val="003A1274"/>
    <w:rsid w:val="003A1339"/>
    <w:rsid w:val="003A385C"/>
    <w:rsid w:val="003A3A14"/>
    <w:rsid w:val="003A4B49"/>
    <w:rsid w:val="003A7DC5"/>
    <w:rsid w:val="003B04AD"/>
    <w:rsid w:val="003B1E1A"/>
    <w:rsid w:val="003B230C"/>
    <w:rsid w:val="003B2B78"/>
    <w:rsid w:val="003B4172"/>
    <w:rsid w:val="003B41B6"/>
    <w:rsid w:val="003B63E2"/>
    <w:rsid w:val="003B63F7"/>
    <w:rsid w:val="003B74B8"/>
    <w:rsid w:val="003B7786"/>
    <w:rsid w:val="003B7F67"/>
    <w:rsid w:val="003C13D8"/>
    <w:rsid w:val="003C3620"/>
    <w:rsid w:val="003C402A"/>
    <w:rsid w:val="003C4261"/>
    <w:rsid w:val="003C61BD"/>
    <w:rsid w:val="003C6C98"/>
    <w:rsid w:val="003D000E"/>
    <w:rsid w:val="003D007D"/>
    <w:rsid w:val="003D0A4F"/>
    <w:rsid w:val="003D0A8E"/>
    <w:rsid w:val="003D0CBF"/>
    <w:rsid w:val="003D1105"/>
    <w:rsid w:val="003D216A"/>
    <w:rsid w:val="003D39DE"/>
    <w:rsid w:val="003D69A9"/>
    <w:rsid w:val="003E1FAD"/>
    <w:rsid w:val="003E364F"/>
    <w:rsid w:val="003E4B8A"/>
    <w:rsid w:val="003E5097"/>
    <w:rsid w:val="003E5686"/>
    <w:rsid w:val="003E5E54"/>
    <w:rsid w:val="003E7594"/>
    <w:rsid w:val="003F0E56"/>
    <w:rsid w:val="003F16B7"/>
    <w:rsid w:val="003F1F2F"/>
    <w:rsid w:val="003F21DC"/>
    <w:rsid w:val="003F2FC2"/>
    <w:rsid w:val="003F34C4"/>
    <w:rsid w:val="003F3790"/>
    <w:rsid w:val="003F4329"/>
    <w:rsid w:val="003F44C7"/>
    <w:rsid w:val="003F4E89"/>
    <w:rsid w:val="003F4E94"/>
    <w:rsid w:val="003F757C"/>
    <w:rsid w:val="003F7CF4"/>
    <w:rsid w:val="003F7E9F"/>
    <w:rsid w:val="00400A95"/>
    <w:rsid w:val="0040122D"/>
    <w:rsid w:val="00401AF1"/>
    <w:rsid w:val="004026C5"/>
    <w:rsid w:val="00403BC0"/>
    <w:rsid w:val="004040BE"/>
    <w:rsid w:val="00404734"/>
    <w:rsid w:val="004058AB"/>
    <w:rsid w:val="00405DC7"/>
    <w:rsid w:val="00406CE6"/>
    <w:rsid w:val="0040783B"/>
    <w:rsid w:val="00410085"/>
    <w:rsid w:val="00411329"/>
    <w:rsid w:val="00412BE9"/>
    <w:rsid w:val="0041335B"/>
    <w:rsid w:val="00413F66"/>
    <w:rsid w:val="00414896"/>
    <w:rsid w:val="00414F78"/>
    <w:rsid w:val="00415390"/>
    <w:rsid w:val="00415939"/>
    <w:rsid w:val="00415C19"/>
    <w:rsid w:val="00415F16"/>
    <w:rsid w:val="004164B1"/>
    <w:rsid w:val="00416D3B"/>
    <w:rsid w:val="00420479"/>
    <w:rsid w:val="004212F1"/>
    <w:rsid w:val="004213B6"/>
    <w:rsid w:val="00421C34"/>
    <w:rsid w:val="00421DC1"/>
    <w:rsid w:val="00423DEC"/>
    <w:rsid w:val="0042407A"/>
    <w:rsid w:val="00424C9F"/>
    <w:rsid w:val="0042550B"/>
    <w:rsid w:val="004259DF"/>
    <w:rsid w:val="004259FB"/>
    <w:rsid w:val="0042610F"/>
    <w:rsid w:val="0042649D"/>
    <w:rsid w:val="00426AD7"/>
    <w:rsid w:val="00426D4D"/>
    <w:rsid w:val="00427B3B"/>
    <w:rsid w:val="004300F2"/>
    <w:rsid w:val="00430BAB"/>
    <w:rsid w:val="004310B6"/>
    <w:rsid w:val="00432469"/>
    <w:rsid w:val="00432875"/>
    <w:rsid w:val="00434C12"/>
    <w:rsid w:val="004353D2"/>
    <w:rsid w:val="0043653C"/>
    <w:rsid w:val="0044007E"/>
    <w:rsid w:val="004401D5"/>
    <w:rsid w:val="004407EF"/>
    <w:rsid w:val="00440893"/>
    <w:rsid w:val="004409A7"/>
    <w:rsid w:val="004424C2"/>
    <w:rsid w:val="00443C0D"/>
    <w:rsid w:val="00446233"/>
    <w:rsid w:val="00446651"/>
    <w:rsid w:val="0044675D"/>
    <w:rsid w:val="00447E9D"/>
    <w:rsid w:val="00451BEB"/>
    <w:rsid w:val="004521D2"/>
    <w:rsid w:val="004529D0"/>
    <w:rsid w:val="0045382B"/>
    <w:rsid w:val="00453D57"/>
    <w:rsid w:val="00456CC7"/>
    <w:rsid w:val="00456E29"/>
    <w:rsid w:val="0045737D"/>
    <w:rsid w:val="00460D02"/>
    <w:rsid w:val="00461254"/>
    <w:rsid w:val="004618B1"/>
    <w:rsid w:val="00461FAE"/>
    <w:rsid w:val="0046204E"/>
    <w:rsid w:val="00462967"/>
    <w:rsid w:val="00462C1C"/>
    <w:rsid w:val="00462D4F"/>
    <w:rsid w:val="00463147"/>
    <w:rsid w:val="00463825"/>
    <w:rsid w:val="004644C2"/>
    <w:rsid w:val="00465EF5"/>
    <w:rsid w:val="00466FAB"/>
    <w:rsid w:val="004672C8"/>
    <w:rsid w:val="00471323"/>
    <w:rsid w:val="00471731"/>
    <w:rsid w:val="00471DC6"/>
    <w:rsid w:val="00472E64"/>
    <w:rsid w:val="004748A1"/>
    <w:rsid w:val="00474FB1"/>
    <w:rsid w:val="00475149"/>
    <w:rsid w:val="00475350"/>
    <w:rsid w:val="00475A31"/>
    <w:rsid w:val="004767A8"/>
    <w:rsid w:val="00477980"/>
    <w:rsid w:val="00477B2C"/>
    <w:rsid w:val="00480386"/>
    <w:rsid w:val="00485878"/>
    <w:rsid w:val="00485B1B"/>
    <w:rsid w:val="00487231"/>
    <w:rsid w:val="00490344"/>
    <w:rsid w:val="00491E4F"/>
    <w:rsid w:val="004931F0"/>
    <w:rsid w:val="004933A1"/>
    <w:rsid w:val="0049624C"/>
    <w:rsid w:val="0049640E"/>
    <w:rsid w:val="00497091"/>
    <w:rsid w:val="004A0A6D"/>
    <w:rsid w:val="004A0C68"/>
    <w:rsid w:val="004A28DD"/>
    <w:rsid w:val="004A3559"/>
    <w:rsid w:val="004A3BF6"/>
    <w:rsid w:val="004A48F7"/>
    <w:rsid w:val="004A5238"/>
    <w:rsid w:val="004A5DEA"/>
    <w:rsid w:val="004A7211"/>
    <w:rsid w:val="004A7A38"/>
    <w:rsid w:val="004B172B"/>
    <w:rsid w:val="004B2DDA"/>
    <w:rsid w:val="004B32E3"/>
    <w:rsid w:val="004B3648"/>
    <w:rsid w:val="004B4451"/>
    <w:rsid w:val="004B5D31"/>
    <w:rsid w:val="004B6262"/>
    <w:rsid w:val="004B63F3"/>
    <w:rsid w:val="004B6DAA"/>
    <w:rsid w:val="004B7758"/>
    <w:rsid w:val="004B7853"/>
    <w:rsid w:val="004B7A01"/>
    <w:rsid w:val="004B7AAC"/>
    <w:rsid w:val="004C00C7"/>
    <w:rsid w:val="004C0A0D"/>
    <w:rsid w:val="004C0A1E"/>
    <w:rsid w:val="004C0E4B"/>
    <w:rsid w:val="004C2ABB"/>
    <w:rsid w:val="004C34B3"/>
    <w:rsid w:val="004C3603"/>
    <w:rsid w:val="004C3CC3"/>
    <w:rsid w:val="004C4D8A"/>
    <w:rsid w:val="004C5DAE"/>
    <w:rsid w:val="004C63FE"/>
    <w:rsid w:val="004C643B"/>
    <w:rsid w:val="004C75D8"/>
    <w:rsid w:val="004D0309"/>
    <w:rsid w:val="004D18C2"/>
    <w:rsid w:val="004D1A31"/>
    <w:rsid w:val="004D3596"/>
    <w:rsid w:val="004D3DFC"/>
    <w:rsid w:val="004D5F8B"/>
    <w:rsid w:val="004D6601"/>
    <w:rsid w:val="004D674C"/>
    <w:rsid w:val="004E027D"/>
    <w:rsid w:val="004E05CF"/>
    <w:rsid w:val="004E42EE"/>
    <w:rsid w:val="004E517A"/>
    <w:rsid w:val="004E59B3"/>
    <w:rsid w:val="004F091A"/>
    <w:rsid w:val="004F22D6"/>
    <w:rsid w:val="004F2306"/>
    <w:rsid w:val="004F26F2"/>
    <w:rsid w:val="004F2D7C"/>
    <w:rsid w:val="004F344F"/>
    <w:rsid w:val="004F39C9"/>
    <w:rsid w:val="004F5A7E"/>
    <w:rsid w:val="004F5B46"/>
    <w:rsid w:val="004F6852"/>
    <w:rsid w:val="004F72A2"/>
    <w:rsid w:val="004F7B5A"/>
    <w:rsid w:val="00500927"/>
    <w:rsid w:val="00500B6E"/>
    <w:rsid w:val="00502D1D"/>
    <w:rsid w:val="00502ECB"/>
    <w:rsid w:val="00503780"/>
    <w:rsid w:val="00506019"/>
    <w:rsid w:val="00507DE4"/>
    <w:rsid w:val="00510353"/>
    <w:rsid w:val="0051422B"/>
    <w:rsid w:val="00515993"/>
    <w:rsid w:val="00515A33"/>
    <w:rsid w:val="00517265"/>
    <w:rsid w:val="00517AD5"/>
    <w:rsid w:val="0052231B"/>
    <w:rsid w:val="00522F0B"/>
    <w:rsid w:val="00523E4C"/>
    <w:rsid w:val="005268FB"/>
    <w:rsid w:val="00530B24"/>
    <w:rsid w:val="00532E7A"/>
    <w:rsid w:val="0053369C"/>
    <w:rsid w:val="00534681"/>
    <w:rsid w:val="005346E6"/>
    <w:rsid w:val="0053472E"/>
    <w:rsid w:val="00535671"/>
    <w:rsid w:val="005358B9"/>
    <w:rsid w:val="005372E1"/>
    <w:rsid w:val="00537DB6"/>
    <w:rsid w:val="00540237"/>
    <w:rsid w:val="0054064D"/>
    <w:rsid w:val="00541389"/>
    <w:rsid w:val="00541561"/>
    <w:rsid w:val="00541966"/>
    <w:rsid w:val="00541C1F"/>
    <w:rsid w:val="0054229A"/>
    <w:rsid w:val="0054299D"/>
    <w:rsid w:val="005430AD"/>
    <w:rsid w:val="005444EF"/>
    <w:rsid w:val="00544E3F"/>
    <w:rsid w:val="00544F9A"/>
    <w:rsid w:val="00545AE9"/>
    <w:rsid w:val="005476D1"/>
    <w:rsid w:val="005507C1"/>
    <w:rsid w:val="00553B4E"/>
    <w:rsid w:val="00553DBF"/>
    <w:rsid w:val="00554291"/>
    <w:rsid w:val="00555D31"/>
    <w:rsid w:val="005612C5"/>
    <w:rsid w:val="005635DB"/>
    <w:rsid w:val="0056426D"/>
    <w:rsid w:val="00565174"/>
    <w:rsid w:val="00566B07"/>
    <w:rsid w:val="00567340"/>
    <w:rsid w:val="0057042F"/>
    <w:rsid w:val="005717E1"/>
    <w:rsid w:val="00571C54"/>
    <w:rsid w:val="00574F08"/>
    <w:rsid w:val="005753F8"/>
    <w:rsid w:val="00575F20"/>
    <w:rsid w:val="00576754"/>
    <w:rsid w:val="00576EF1"/>
    <w:rsid w:val="00577898"/>
    <w:rsid w:val="00582065"/>
    <w:rsid w:val="005821B8"/>
    <w:rsid w:val="00582E2B"/>
    <w:rsid w:val="005837ED"/>
    <w:rsid w:val="00584781"/>
    <w:rsid w:val="00584A88"/>
    <w:rsid w:val="00584D72"/>
    <w:rsid w:val="00587489"/>
    <w:rsid w:val="0058753A"/>
    <w:rsid w:val="00587A7E"/>
    <w:rsid w:val="00593AA0"/>
    <w:rsid w:val="00595BBD"/>
    <w:rsid w:val="005960AF"/>
    <w:rsid w:val="00596690"/>
    <w:rsid w:val="00596B16"/>
    <w:rsid w:val="005A0F1F"/>
    <w:rsid w:val="005A36B8"/>
    <w:rsid w:val="005A432B"/>
    <w:rsid w:val="005A4591"/>
    <w:rsid w:val="005A7EDE"/>
    <w:rsid w:val="005B01BF"/>
    <w:rsid w:val="005B25AE"/>
    <w:rsid w:val="005B32C1"/>
    <w:rsid w:val="005B5791"/>
    <w:rsid w:val="005B57B5"/>
    <w:rsid w:val="005B63F4"/>
    <w:rsid w:val="005B6FBD"/>
    <w:rsid w:val="005C275C"/>
    <w:rsid w:val="005C3CAB"/>
    <w:rsid w:val="005C3E00"/>
    <w:rsid w:val="005C4FB3"/>
    <w:rsid w:val="005C50AF"/>
    <w:rsid w:val="005C50C4"/>
    <w:rsid w:val="005C68EF"/>
    <w:rsid w:val="005D0C25"/>
    <w:rsid w:val="005D20FA"/>
    <w:rsid w:val="005D4742"/>
    <w:rsid w:val="005D57AC"/>
    <w:rsid w:val="005D5A58"/>
    <w:rsid w:val="005D6441"/>
    <w:rsid w:val="005D7B82"/>
    <w:rsid w:val="005D7ECD"/>
    <w:rsid w:val="005E0389"/>
    <w:rsid w:val="005E052A"/>
    <w:rsid w:val="005E2146"/>
    <w:rsid w:val="005E4926"/>
    <w:rsid w:val="005E4956"/>
    <w:rsid w:val="005E5999"/>
    <w:rsid w:val="005E7635"/>
    <w:rsid w:val="005F0632"/>
    <w:rsid w:val="005F0B02"/>
    <w:rsid w:val="005F1307"/>
    <w:rsid w:val="005F2581"/>
    <w:rsid w:val="005F5432"/>
    <w:rsid w:val="005F6646"/>
    <w:rsid w:val="005F66ED"/>
    <w:rsid w:val="005F72B5"/>
    <w:rsid w:val="005F7B3C"/>
    <w:rsid w:val="0060183E"/>
    <w:rsid w:val="00601C97"/>
    <w:rsid w:val="0060270F"/>
    <w:rsid w:val="00602BFA"/>
    <w:rsid w:val="0060367F"/>
    <w:rsid w:val="006051F1"/>
    <w:rsid w:val="00607268"/>
    <w:rsid w:val="0060737E"/>
    <w:rsid w:val="00610569"/>
    <w:rsid w:val="00610955"/>
    <w:rsid w:val="00611BC7"/>
    <w:rsid w:val="0061216D"/>
    <w:rsid w:val="006122EB"/>
    <w:rsid w:val="0061323C"/>
    <w:rsid w:val="006133D7"/>
    <w:rsid w:val="006138BF"/>
    <w:rsid w:val="006144E0"/>
    <w:rsid w:val="00615937"/>
    <w:rsid w:val="006165BD"/>
    <w:rsid w:val="006171A7"/>
    <w:rsid w:val="006209F0"/>
    <w:rsid w:val="006213A1"/>
    <w:rsid w:val="00621BE3"/>
    <w:rsid w:val="0062215D"/>
    <w:rsid w:val="00623556"/>
    <w:rsid w:val="00624296"/>
    <w:rsid w:val="006242BC"/>
    <w:rsid w:val="00624544"/>
    <w:rsid w:val="00624746"/>
    <w:rsid w:val="00625579"/>
    <w:rsid w:val="006263BC"/>
    <w:rsid w:val="006309DE"/>
    <w:rsid w:val="00631511"/>
    <w:rsid w:val="00631F58"/>
    <w:rsid w:val="00633B30"/>
    <w:rsid w:val="006340BF"/>
    <w:rsid w:val="006343A6"/>
    <w:rsid w:val="00635CEE"/>
    <w:rsid w:val="0063789D"/>
    <w:rsid w:val="00637D16"/>
    <w:rsid w:val="0064055A"/>
    <w:rsid w:val="00642D32"/>
    <w:rsid w:val="00642F7E"/>
    <w:rsid w:val="006435F9"/>
    <w:rsid w:val="006445B8"/>
    <w:rsid w:val="006449AB"/>
    <w:rsid w:val="00644B78"/>
    <w:rsid w:val="00645BEA"/>
    <w:rsid w:val="0064615B"/>
    <w:rsid w:val="0064796E"/>
    <w:rsid w:val="0065284E"/>
    <w:rsid w:val="00653535"/>
    <w:rsid w:val="00654DAB"/>
    <w:rsid w:val="00660370"/>
    <w:rsid w:val="00660CB5"/>
    <w:rsid w:val="00662272"/>
    <w:rsid w:val="006627DD"/>
    <w:rsid w:val="00663AF3"/>
    <w:rsid w:val="00663BD5"/>
    <w:rsid w:val="006655B7"/>
    <w:rsid w:val="0066578E"/>
    <w:rsid w:val="006658C1"/>
    <w:rsid w:val="00665907"/>
    <w:rsid w:val="006700CB"/>
    <w:rsid w:val="00670D87"/>
    <w:rsid w:val="00671090"/>
    <w:rsid w:val="00672B00"/>
    <w:rsid w:val="006739CB"/>
    <w:rsid w:val="0067419D"/>
    <w:rsid w:val="00674BD1"/>
    <w:rsid w:val="00674E48"/>
    <w:rsid w:val="00675499"/>
    <w:rsid w:val="00677453"/>
    <w:rsid w:val="006778E3"/>
    <w:rsid w:val="0068142A"/>
    <w:rsid w:val="00682015"/>
    <w:rsid w:val="00683080"/>
    <w:rsid w:val="00683A81"/>
    <w:rsid w:val="00684857"/>
    <w:rsid w:val="00685151"/>
    <w:rsid w:val="0068664C"/>
    <w:rsid w:val="006867E0"/>
    <w:rsid w:val="0068745F"/>
    <w:rsid w:val="00690420"/>
    <w:rsid w:val="006913EA"/>
    <w:rsid w:val="006915F6"/>
    <w:rsid w:val="00691748"/>
    <w:rsid w:val="006921E4"/>
    <w:rsid w:val="00692A1A"/>
    <w:rsid w:val="00693542"/>
    <w:rsid w:val="00693786"/>
    <w:rsid w:val="00693F75"/>
    <w:rsid w:val="00694334"/>
    <w:rsid w:val="006958BC"/>
    <w:rsid w:val="00695A7B"/>
    <w:rsid w:val="00696A66"/>
    <w:rsid w:val="006975AC"/>
    <w:rsid w:val="00697A9F"/>
    <w:rsid w:val="006A072A"/>
    <w:rsid w:val="006A0DEA"/>
    <w:rsid w:val="006A155D"/>
    <w:rsid w:val="006A1A3D"/>
    <w:rsid w:val="006A1DE3"/>
    <w:rsid w:val="006A1F8F"/>
    <w:rsid w:val="006A2A41"/>
    <w:rsid w:val="006A2F5C"/>
    <w:rsid w:val="006A4072"/>
    <w:rsid w:val="006A5CE1"/>
    <w:rsid w:val="006A6DAD"/>
    <w:rsid w:val="006B0066"/>
    <w:rsid w:val="006B107C"/>
    <w:rsid w:val="006B1230"/>
    <w:rsid w:val="006B2A77"/>
    <w:rsid w:val="006B390F"/>
    <w:rsid w:val="006B44C0"/>
    <w:rsid w:val="006B55EB"/>
    <w:rsid w:val="006B5A13"/>
    <w:rsid w:val="006B6C07"/>
    <w:rsid w:val="006B75A0"/>
    <w:rsid w:val="006C15A9"/>
    <w:rsid w:val="006C2038"/>
    <w:rsid w:val="006C24D6"/>
    <w:rsid w:val="006C2BCD"/>
    <w:rsid w:val="006C377A"/>
    <w:rsid w:val="006C38BF"/>
    <w:rsid w:val="006C6EE7"/>
    <w:rsid w:val="006C76FC"/>
    <w:rsid w:val="006C7700"/>
    <w:rsid w:val="006C772A"/>
    <w:rsid w:val="006C790D"/>
    <w:rsid w:val="006D07A4"/>
    <w:rsid w:val="006D098F"/>
    <w:rsid w:val="006D1134"/>
    <w:rsid w:val="006D354F"/>
    <w:rsid w:val="006D3856"/>
    <w:rsid w:val="006D4886"/>
    <w:rsid w:val="006D55CB"/>
    <w:rsid w:val="006D55E0"/>
    <w:rsid w:val="006D5A7A"/>
    <w:rsid w:val="006D6A26"/>
    <w:rsid w:val="006E01E5"/>
    <w:rsid w:val="006E0F0C"/>
    <w:rsid w:val="006E250A"/>
    <w:rsid w:val="006E294C"/>
    <w:rsid w:val="006E2A11"/>
    <w:rsid w:val="006E4BBF"/>
    <w:rsid w:val="006E5103"/>
    <w:rsid w:val="006E52E0"/>
    <w:rsid w:val="006E5ACD"/>
    <w:rsid w:val="006E6BFE"/>
    <w:rsid w:val="006E75AD"/>
    <w:rsid w:val="006E7623"/>
    <w:rsid w:val="006E7A64"/>
    <w:rsid w:val="006F02BF"/>
    <w:rsid w:val="006F0A0E"/>
    <w:rsid w:val="006F1664"/>
    <w:rsid w:val="006F294D"/>
    <w:rsid w:val="006F30BE"/>
    <w:rsid w:val="006F5525"/>
    <w:rsid w:val="007001F6"/>
    <w:rsid w:val="00700295"/>
    <w:rsid w:val="00700D4C"/>
    <w:rsid w:val="00700E7F"/>
    <w:rsid w:val="00700EF4"/>
    <w:rsid w:val="0070673A"/>
    <w:rsid w:val="00711006"/>
    <w:rsid w:val="007111A3"/>
    <w:rsid w:val="0071239B"/>
    <w:rsid w:val="007125C0"/>
    <w:rsid w:val="00713852"/>
    <w:rsid w:val="00713C5E"/>
    <w:rsid w:val="00714E40"/>
    <w:rsid w:val="00715C39"/>
    <w:rsid w:val="00716716"/>
    <w:rsid w:val="00717D88"/>
    <w:rsid w:val="0072091C"/>
    <w:rsid w:val="0072259F"/>
    <w:rsid w:val="007245A7"/>
    <w:rsid w:val="00725BF2"/>
    <w:rsid w:val="00726593"/>
    <w:rsid w:val="00726783"/>
    <w:rsid w:val="00727E6A"/>
    <w:rsid w:val="007302B4"/>
    <w:rsid w:val="0073098B"/>
    <w:rsid w:val="00731430"/>
    <w:rsid w:val="00731E3B"/>
    <w:rsid w:val="00737A6D"/>
    <w:rsid w:val="007404D4"/>
    <w:rsid w:val="007415C9"/>
    <w:rsid w:val="007424F6"/>
    <w:rsid w:val="00742FC6"/>
    <w:rsid w:val="0074401A"/>
    <w:rsid w:val="007440D7"/>
    <w:rsid w:val="00745039"/>
    <w:rsid w:val="00745E9E"/>
    <w:rsid w:val="00746A8A"/>
    <w:rsid w:val="00746EF4"/>
    <w:rsid w:val="007513E9"/>
    <w:rsid w:val="00751800"/>
    <w:rsid w:val="00752BB4"/>
    <w:rsid w:val="00752DD9"/>
    <w:rsid w:val="00755984"/>
    <w:rsid w:val="00755A90"/>
    <w:rsid w:val="00755B17"/>
    <w:rsid w:val="00757192"/>
    <w:rsid w:val="007606AD"/>
    <w:rsid w:val="0076186C"/>
    <w:rsid w:val="007619E8"/>
    <w:rsid w:val="00762355"/>
    <w:rsid w:val="00763DA4"/>
    <w:rsid w:val="00765EDC"/>
    <w:rsid w:val="00766799"/>
    <w:rsid w:val="007704E7"/>
    <w:rsid w:val="00771A99"/>
    <w:rsid w:val="00772D15"/>
    <w:rsid w:val="00773D65"/>
    <w:rsid w:val="00775BBF"/>
    <w:rsid w:val="00775CC2"/>
    <w:rsid w:val="007775F6"/>
    <w:rsid w:val="007803D8"/>
    <w:rsid w:val="00780CC3"/>
    <w:rsid w:val="0078174B"/>
    <w:rsid w:val="00781AB7"/>
    <w:rsid w:val="00782213"/>
    <w:rsid w:val="00783258"/>
    <w:rsid w:val="00783366"/>
    <w:rsid w:val="0078461F"/>
    <w:rsid w:val="007853AD"/>
    <w:rsid w:val="00785A5C"/>
    <w:rsid w:val="00786709"/>
    <w:rsid w:val="007871BE"/>
    <w:rsid w:val="00787305"/>
    <w:rsid w:val="0079001B"/>
    <w:rsid w:val="007915AC"/>
    <w:rsid w:val="00792C8D"/>
    <w:rsid w:val="00792E7A"/>
    <w:rsid w:val="00793C34"/>
    <w:rsid w:val="00793FA4"/>
    <w:rsid w:val="0079411F"/>
    <w:rsid w:val="007942D3"/>
    <w:rsid w:val="007951C5"/>
    <w:rsid w:val="00796879"/>
    <w:rsid w:val="00797984"/>
    <w:rsid w:val="00797D49"/>
    <w:rsid w:val="007A1041"/>
    <w:rsid w:val="007A19CC"/>
    <w:rsid w:val="007A1FEE"/>
    <w:rsid w:val="007A261E"/>
    <w:rsid w:val="007A282F"/>
    <w:rsid w:val="007A29C9"/>
    <w:rsid w:val="007A3F45"/>
    <w:rsid w:val="007A7506"/>
    <w:rsid w:val="007B1E20"/>
    <w:rsid w:val="007B4438"/>
    <w:rsid w:val="007B4BB8"/>
    <w:rsid w:val="007B631C"/>
    <w:rsid w:val="007B6996"/>
    <w:rsid w:val="007B6C09"/>
    <w:rsid w:val="007B6E54"/>
    <w:rsid w:val="007B7EDB"/>
    <w:rsid w:val="007C3B23"/>
    <w:rsid w:val="007C3CDE"/>
    <w:rsid w:val="007C4396"/>
    <w:rsid w:val="007C4471"/>
    <w:rsid w:val="007C5B4E"/>
    <w:rsid w:val="007C5F7D"/>
    <w:rsid w:val="007C64EF"/>
    <w:rsid w:val="007C6892"/>
    <w:rsid w:val="007C68EE"/>
    <w:rsid w:val="007C69A4"/>
    <w:rsid w:val="007C7485"/>
    <w:rsid w:val="007C78AE"/>
    <w:rsid w:val="007C7D77"/>
    <w:rsid w:val="007D0FAA"/>
    <w:rsid w:val="007D1291"/>
    <w:rsid w:val="007D2CFA"/>
    <w:rsid w:val="007D2D7D"/>
    <w:rsid w:val="007D4114"/>
    <w:rsid w:val="007D4B27"/>
    <w:rsid w:val="007D4C44"/>
    <w:rsid w:val="007D4D62"/>
    <w:rsid w:val="007D5118"/>
    <w:rsid w:val="007D6390"/>
    <w:rsid w:val="007D698F"/>
    <w:rsid w:val="007D706A"/>
    <w:rsid w:val="007D7E15"/>
    <w:rsid w:val="007E0167"/>
    <w:rsid w:val="007E06EB"/>
    <w:rsid w:val="007E07B6"/>
    <w:rsid w:val="007E09DA"/>
    <w:rsid w:val="007E1881"/>
    <w:rsid w:val="007E204A"/>
    <w:rsid w:val="007E2319"/>
    <w:rsid w:val="007E3312"/>
    <w:rsid w:val="007E3B5E"/>
    <w:rsid w:val="007E439A"/>
    <w:rsid w:val="007E6546"/>
    <w:rsid w:val="007E78C0"/>
    <w:rsid w:val="007E78CC"/>
    <w:rsid w:val="007F0719"/>
    <w:rsid w:val="007F0806"/>
    <w:rsid w:val="007F0EAC"/>
    <w:rsid w:val="007F0F85"/>
    <w:rsid w:val="007F1B7B"/>
    <w:rsid w:val="007F1E4B"/>
    <w:rsid w:val="007F2CFF"/>
    <w:rsid w:val="007F6778"/>
    <w:rsid w:val="007F7462"/>
    <w:rsid w:val="007F7571"/>
    <w:rsid w:val="008001A5"/>
    <w:rsid w:val="0080054C"/>
    <w:rsid w:val="008034E9"/>
    <w:rsid w:val="00803E45"/>
    <w:rsid w:val="0080403F"/>
    <w:rsid w:val="0080490E"/>
    <w:rsid w:val="00807F04"/>
    <w:rsid w:val="00810572"/>
    <w:rsid w:val="00810A55"/>
    <w:rsid w:val="0081147B"/>
    <w:rsid w:val="0081195A"/>
    <w:rsid w:val="00811B78"/>
    <w:rsid w:val="00812B25"/>
    <w:rsid w:val="00812CE2"/>
    <w:rsid w:val="00812E12"/>
    <w:rsid w:val="008131A0"/>
    <w:rsid w:val="008141EE"/>
    <w:rsid w:val="00814858"/>
    <w:rsid w:val="0081563E"/>
    <w:rsid w:val="008157D1"/>
    <w:rsid w:val="0081693C"/>
    <w:rsid w:val="0081780D"/>
    <w:rsid w:val="008178B6"/>
    <w:rsid w:val="00817A86"/>
    <w:rsid w:val="00822AE2"/>
    <w:rsid w:val="00822CB9"/>
    <w:rsid w:val="00822DF6"/>
    <w:rsid w:val="00823E19"/>
    <w:rsid w:val="0082442E"/>
    <w:rsid w:val="008247AB"/>
    <w:rsid w:val="00825070"/>
    <w:rsid w:val="00825B54"/>
    <w:rsid w:val="008265B0"/>
    <w:rsid w:val="00827FC7"/>
    <w:rsid w:val="0083076C"/>
    <w:rsid w:val="00831AA0"/>
    <w:rsid w:val="00831D49"/>
    <w:rsid w:val="00833068"/>
    <w:rsid w:val="00835E2C"/>
    <w:rsid w:val="00836A94"/>
    <w:rsid w:val="008422D2"/>
    <w:rsid w:val="008425A3"/>
    <w:rsid w:val="00842DAF"/>
    <w:rsid w:val="008430F1"/>
    <w:rsid w:val="00843480"/>
    <w:rsid w:val="0084429C"/>
    <w:rsid w:val="00846826"/>
    <w:rsid w:val="00846E13"/>
    <w:rsid w:val="0085081B"/>
    <w:rsid w:val="00851BFC"/>
    <w:rsid w:val="00851EEA"/>
    <w:rsid w:val="00853962"/>
    <w:rsid w:val="0085428A"/>
    <w:rsid w:val="0085511F"/>
    <w:rsid w:val="00857A56"/>
    <w:rsid w:val="00857CDC"/>
    <w:rsid w:val="00861D2E"/>
    <w:rsid w:val="00862390"/>
    <w:rsid w:val="008624E1"/>
    <w:rsid w:val="008636F6"/>
    <w:rsid w:val="008639D9"/>
    <w:rsid w:val="008645B5"/>
    <w:rsid w:val="00865371"/>
    <w:rsid w:val="00866204"/>
    <w:rsid w:val="0086712D"/>
    <w:rsid w:val="0086747B"/>
    <w:rsid w:val="008702B7"/>
    <w:rsid w:val="008707A9"/>
    <w:rsid w:val="00870B09"/>
    <w:rsid w:val="008712C1"/>
    <w:rsid w:val="008720C2"/>
    <w:rsid w:val="008722D9"/>
    <w:rsid w:val="008728F8"/>
    <w:rsid w:val="00873576"/>
    <w:rsid w:val="00873E20"/>
    <w:rsid w:val="00874B36"/>
    <w:rsid w:val="008752CC"/>
    <w:rsid w:val="00875457"/>
    <w:rsid w:val="00877125"/>
    <w:rsid w:val="008776A7"/>
    <w:rsid w:val="00880878"/>
    <w:rsid w:val="00881808"/>
    <w:rsid w:val="00881BE0"/>
    <w:rsid w:val="0088375F"/>
    <w:rsid w:val="00885ED0"/>
    <w:rsid w:val="008907A5"/>
    <w:rsid w:val="00890BC5"/>
    <w:rsid w:val="00891A7B"/>
    <w:rsid w:val="00892333"/>
    <w:rsid w:val="008923CD"/>
    <w:rsid w:val="00892D38"/>
    <w:rsid w:val="00892E67"/>
    <w:rsid w:val="00892E71"/>
    <w:rsid w:val="0089335E"/>
    <w:rsid w:val="00893FC3"/>
    <w:rsid w:val="008943D7"/>
    <w:rsid w:val="0089524B"/>
    <w:rsid w:val="00895861"/>
    <w:rsid w:val="00895A8B"/>
    <w:rsid w:val="00895EC2"/>
    <w:rsid w:val="008966F1"/>
    <w:rsid w:val="00897C39"/>
    <w:rsid w:val="008A1778"/>
    <w:rsid w:val="008A1CA8"/>
    <w:rsid w:val="008A5007"/>
    <w:rsid w:val="008A5F16"/>
    <w:rsid w:val="008A68E6"/>
    <w:rsid w:val="008A7862"/>
    <w:rsid w:val="008B0B83"/>
    <w:rsid w:val="008B0DCD"/>
    <w:rsid w:val="008B2B26"/>
    <w:rsid w:val="008B2B7F"/>
    <w:rsid w:val="008B3A35"/>
    <w:rsid w:val="008B46D4"/>
    <w:rsid w:val="008B4BFE"/>
    <w:rsid w:val="008B595C"/>
    <w:rsid w:val="008B6A63"/>
    <w:rsid w:val="008C00DF"/>
    <w:rsid w:val="008C012E"/>
    <w:rsid w:val="008C0316"/>
    <w:rsid w:val="008C1DEB"/>
    <w:rsid w:val="008C35AD"/>
    <w:rsid w:val="008C400F"/>
    <w:rsid w:val="008C406B"/>
    <w:rsid w:val="008C4661"/>
    <w:rsid w:val="008C52BD"/>
    <w:rsid w:val="008C539A"/>
    <w:rsid w:val="008C5489"/>
    <w:rsid w:val="008C6619"/>
    <w:rsid w:val="008C7E9D"/>
    <w:rsid w:val="008D006C"/>
    <w:rsid w:val="008D05FD"/>
    <w:rsid w:val="008D0A47"/>
    <w:rsid w:val="008D1183"/>
    <w:rsid w:val="008D1689"/>
    <w:rsid w:val="008D2C1B"/>
    <w:rsid w:val="008D4817"/>
    <w:rsid w:val="008D5285"/>
    <w:rsid w:val="008D57DD"/>
    <w:rsid w:val="008D5E8B"/>
    <w:rsid w:val="008D6A02"/>
    <w:rsid w:val="008D6D14"/>
    <w:rsid w:val="008D7B0D"/>
    <w:rsid w:val="008D7F66"/>
    <w:rsid w:val="008E032A"/>
    <w:rsid w:val="008E0356"/>
    <w:rsid w:val="008E0A7C"/>
    <w:rsid w:val="008E1054"/>
    <w:rsid w:val="008E2408"/>
    <w:rsid w:val="008E24C6"/>
    <w:rsid w:val="008E3204"/>
    <w:rsid w:val="008E3306"/>
    <w:rsid w:val="008E3DAB"/>
    <w:rsid w:val="008E42A1"/>
    <w:rsid w:val="008E43A2"/>
    <w:rsid w:val="008E487B"/>
    <w:rsid w:val="008E52D4"/>
    <w:rsid w:val="008E5694"/>
    <w:rsid w:val="008E63E4"/>
    <w:rsid w:val="008F01DE"/>
    <w:rsid w:val="008F043E"/>
    <w:rsid w:val="008F050B"/>
    <w:rsid w:val="008F05F8"/>
    <w:rsid w:val="008F0742"/>
    <w:rsid w:val="008F30C1"/>
    <w:rsid w:val="008F3B6B"/>
    <w:rsid w:val="008F6780"/>
    <w:rsid w:val="009005F8"/>
    <w:rsid w:val="0090161B"/>
    <w:rsid w:val="00902894"/>
    <w:rsid w:val="00902DD1"/>
    <w:rsid w:val="00904A92"/>
    <w:rsid w:val="00904F6F"/>
    <w:rsid w:val="00905212"/>
    <w:rsid w:val="00905C92"/>
    <w:rsid w:val="00910961"/>
    <w:rsid w:val="00910B3B"/>
    <w:rsid w:val="00910D10"/>
    <w:rsid w:val="00911742"/>
    <w:rsid w:val="00912210"/>
    <w:rsid w:val="0091321D"/>
    <w:rsid w:val="00914006"/>
    <w:rsid w:val="00915862"/>
    <w:rsid w:val="00916A09"/>
    <w:rsid w:val="0091767B"/>
    <w:rsid w:val="009202DF"/>
    <w:rsid w:val="009203DE"/>
    <w:rsid w:val="00920BBC"/>
    <w:rsid w:val="0092273C"/>
    <w:rsid w:val="0092312C"/>
    <w:rsid w:val="00923227"/>
    <w:rsid w:val="0092426A"/>
    <w:rsid w:val="00925588"/>
    <w:rsid w:val="00925A30"/>
    <w:rsid w:val="00926074"/>
    <w:rsid w:val="0092611D"/>
    <w:rsid w:val="0092626C"/>
    <w:rsid w:val="009311E6"/>
    <w:rsid w:val="00933665"/>
    <w:rsid w:val="00935832"/>
    <w:rsid w:val="0093681A"/>
    <w:rsid w:val="00936B8B"/>
    <w:rsid w:val="009379F3"/>
    <w:rsid w:val="00941A60"/>
    <w:rsid w:val="00943084"/>
    <w:rsid w:val="0094403A"/>
    <w:rsid w:val="00944586"/>
    <w:rsid w:val="0094475F"/>
    <w:rsid w:val="009448D9"/>
    <w:rsid w:val="00944936"/>
    <w:rsid w:val="0094606D"/>
    <w:rsid w:val="0094664D"/>
    <w:rsid w:val="00946878"/>
    <w:rsid w:val="00946A16"/>
    <w:rsid w:val="00946BAE"/>
    <w:rsid w:val="00947312"/>
    <w:rsid w:val="009474D1"/>
    <w:rsid w:val="00947C39"/>
    <w:rsid w:val="009505C9"/>
    <w:rsid w:val="00950CD8"/>
    <w:rsid w:val="00952A0F"/>
    <w:rsid w:val="00952F27"/>
    <w:rsid w:val="00954B4F"/>
    <w:rsid w:val="00954ED3"/>
    <w:rsid w:val="00955780"/>
    <w:rsid w:val="00956483"/>
    <w:rsid w:val="009573A6"/>
    <w:rsid w:val="0096065E"/>
    <w:rsid w:val="00960C8E"/>
    <w:rsid w:val="009610A6"/>
    <w:rsid w:val="00962E70"/>
    <w:rsid w:val="009634DD"/>
    <w:rsid w:val="00963855"/>
    <w:rsid w:val="009654E1"/>
    <w:rsid w:val="009664B6"/>
    <w:rsid w:val="00966E94"/>
    <w:rsid w:val="0096782E"/>
    <w:rsid w:val="009678B5"/>
    <w:rsid w:val="00970A79"/>
    <w:rsid w:val="0097276A"/>
    <w:rsid w:val="00973926"/>
    <w:rsid w:val="00975A5D"/>
    <w:rsid w:val="009762DE"/>
    <w:rsid w:val="00977244"/>
    <w:rsid w:val="009802CE"/>
    <w:rsid w:val="0098131F"/>
    <w:rsid w:val="00983095"/>
    <w:rsid w:val="009835A7"/>
    <w:rsid w:val="009836F8"/>
    <w:rsid w:val="00983847"/>
    <w:rsid w:val="00983E58"/>
    <w:rsid w:val="00985CA6"/>
    <w:rsid w:val="00986059"/>
    <w:rsid w:val="009865BF"/>
    <w:rsid w:val="0098719F"/>
    <w:rsid w:val="00990B64"/>
    <w:rsid w:val="009926AD"/>
    <w:rsid w:val="00992F67"/>
    <w:rsid w:val="00993068"/>
    <w:rsid w:val="00994BCB"/>
    <w:rsid w:val="00994CC9"/>
    <w:rsid w:val="00994CFA"/>
    <w:rsid w:val="00995263"/>
    <w:rsid w:val="00997A6B"/>
    <w:rsid w:val="009A05F6"/>
    <w:rsid w:val="009A2B52"/>
    <w:rsid w:val="009A3714"/>
    <w:rsid w:val="009A372A"/>
    <w:rsid w:val="009A3AA2"/>
    <w:rsid w:val="009A400B"/>
    <w:rsid w:val="009A6230"/>
    <w:rsid w:val="009A6C26"/>
    <w:rsid w:val="009B03C7"/>
    <w:rsid w:val="009B2E4D"/>
    <w:rsid w:val="009B313A"/>
    <w:rsid w:val="009B56FD"/>
    <w:rsid w:val="009C0D51"/>
    <w:rsid w:val="009C1C4C"/>
    <w:rsid w:val="009C2A1F"/>
    <w:rsid w:val="009C328A"/>
    <w:rsid w:val="009C3E84"/>
    <w:rsid w:val="009C486E"/>
    <w:rsid w:val="009C4B2F"/>
    <w:rsid w:val="009C55E0"/>
    <w:rsid w:val="009C67D3"/>
    <w:rsid w:val="009C6BF4"/>
    <w:rsid w:val="009D0111"/>
    <w:rsid w:val="009D662F"/>
    <w:rsid w:val="009D6E60"/>
    <w:rsid w:val="009D7C24"/>
    <w:rsid w:val="009E0849"/>
    <w:rsid w:val="009E08EA"/>
    <w:rsid w:val="009E1242"/>
    <w:rsid w:val="009E1385"/>
    <w:rsid w:val="009E1635"/>
    <w:rsid w:val="009E2075"/>
    <w:rsid w:val="009E2F02"/>
    <w:rsid w:val="009E462B"/>
    <w:rsid w:val="009E5726"/>
    <w:rsid w:val="009E5D15"/>
    <w:rsid w:val="009E669C"/>
    <w:rsid w:val="009E66B0"/>
    <w:rsid w:val="009F1CED"/>
    <w:rsid w:val="009F244F"/>
    <w:rsid w:val="009F3137"/>
    <w:rsid w:val="009F3AC2"/>
    <w:rsid w:val="009F42E5"/>
    <w:rsid w:val="009F5CD7"/>
    <w:rsid w:val="009F5E62"/>
    <w:rsid w:val="009F65D9"/>
    <w:rsid w:val="00A00625"/>
    <w:rsid w:val="00A00B25"/>
    <w:rsid w:val="00A00D82"/>
    <w:rsid w:val="00A0220E"/>
    <w:rsid w:val="00A026E7"/>
    <w:rsid w:val="00A030C0"/>
    <w:rsid w:val="00A059D8"/>
    <w:rsid w:val="00A0730E"/>
    <w:rsid w:val="00A073D5"/>
    <w:rsid w:val="00A11B01"/>
    <w:rsid w:val="00A13A5D"/>
    <w:rsid w:val="00A1521A"/>
    <w:rsid w:val="00A15413"/>
    <w:rsid w:val="00A17437"/>
    <w:rsid w:val="00A202B4"/>
    <w:rsid w:val="00A2100A"/>
    <w:rsid w:val="00A2120D"/>
    <w:rsid w:val="00A23816"/>
    <w:rsid w:val="00A23C06"/>
    <w:rsid w:val="00A25E86"/>
    <w:rsid w:val="00A273FC"/>
    <w:rsid w:val="00A3115C"/>
    <w:rsid w:val="00A31D0B"/>
    <w:rsid w:val="00A3230C"/>
    <w:rsid w:val="00A326DF"/>
    <w:rsid w:val="00A32C8F"/>
    <w:rsid w:val="00A34355"/>
    <w:rsid w:val="00A3475E"/>
    <w:rsid w:val="00A352AF"/>
    <w:rsid w:val="00A41E2D"/>
    <w:rsid w:val="00A42A70"/>
    <w:rsid w:val="00A42AB5"/>
    <w:rsid w:val="00A430A6"/>
    <w:rsid w:val="00A438D4"/>
    <w:rsid w:val="00A44201"/>
    <w:rsid w:val="00A45988"/>
    <w:rsid w:val="00A47D3E"/>
    <w:rsid w:val="00A52D1D"/>
    <w:rsid w:val="00A53F6B"/>
    <w:rsid w:val="00A544D1"/>
    <w:rsid w:val="00A54C8E"/>
    <w:rsid w:val="00A55340"/>
    <w:rsid w:val="00A555F3"/>
    <w:rsid w:val="00A6119E"/>
    <w:rsid w:val="00A62B79"/>
    <w:rsid w:val="00A63BF7"/>
    <w:rsid w:val="00A654D0"/>
    <w:rsid w:val="00A6582D"/>
    <w:rsid w:val="00A65B07"/>
    <w:rsid w:val="00A676E5"/>
    <w:rsid w:val="00A7067A"/>
    <w:rsid w:val="00A7078E"/>
    <w:rsid w:val="00A707B0"/>
    <w:rsid w:val="00A71008"/>
    <w:rsid w:val="00A716F5"/>
    <w:rsid w:val="00A7198D"/>
    <w:rsid w:val="00A71BF3"/>
    <w:rsid w:val="00A72033"/>
    <w:rsid w:val="00A73357"/>
    <w:rsid w:val="00A74164"/>
    <w:rsid w:val="00A7435F"/>
    <w:rsid w:val="00A7477B"/>
    <w:rsid w:val="00A74861"/>
    <w:rsid w:val="00A77848"/>
    <w:rsid w:val="00A81419"/>
    <w:rsid w:val="00A8208C"/>
    <w:rsid w:val="00A82D90"/>
    <w:rsid w:val="00A8395C"/>
    <w:rsid w:val="00A840B2"/>
    <w:rsid w:val="00A84728"/>
    <w:rsid w:val="00A847FC"/>
    <w:rsid w:val="00A84D18"/>
    <w:rsid w:val="00A85A1E"/>
    <w:rsid w:val="00A86D25"/>
    <w:rsid w:val="00A87F48"/>
    <w:rsid w:val="00A909D4"/>
    <w:rsid w:val="00A90A6B"/>
    <w:rsid w:val="00A91026"/>
    <w:rsid w:val="00A920E4"/>
    <w:rsid w:val="00A9462A"/>
    <w:rsid w:val="00A95034"/>
    <w:rsid w:val="00A964F8"/>
    <w:rsid w:val="00AA25F7"/>
    <w:rsid w:val="00AA2A51"/>
    <w:rsid w:val="00AA46A2"/>
    <w:rsid w:val="00AA4E88"/>
    <w:rsid w:val="00AA4F9C"/>
    <w:rsid w:val="00AA525E"/>
    <w:rsid w:val="00AA5918"/>
    <w:rsid w:val="00AA647E"/>
    <w:rsid w:val="00AB22D7"/>
    <w:rsid w:val="00AB2885"/>
    <w:rsid w:val="00AB28A7"/>
    <w:rsid w:val="00AB3845"/>
    <w:rsid w:val="00AB4249"/>
    <w:rsid w:val="00AB4979"/>
    <w:rsid w:val="00AB57D6"/>
    <w:rsid w:val="00AB6170"/>
    <w:rsid w:val="00AB617D"/>
    <w:rsid w:val="00AB6359"/>
    <w:rsid w:val="00AB638C"/>
    <w:rsid w:val="00AB6CD9"/>
    <w:rsid w:val="00AB7D44"/>
    <w:rsid w:val="00AC0A8F"/>
    <w:rsid w:val="00AC0ED3"/>
    <w:rsid w:val="00AC1FA1"/>
    <w:rsid w:val="00AC2B5F"/>
    <w:rsid w:val="00AC309F"/>
    <w:rsid w:val="00AC327F"/>
    <w:rsid w:val="00AC61C0"/>
    <w:rsid w:val="00AC6213"/>
    <w:rsid w:val="00AC77CE"/>
    <w:rsid w:val="00AD1345"/>
    <w:rsid w:val="00AD3AFD"/>
    <w:rsid w:val="00AD4A5A"/>
    <w:rsid w:val="00AD4EC2"/>
    <w:rsid w:val="00AD51BB"/>
    <w:rsid w:val="00AD5A2C"/>
    <w:rsid w:val="00AD629E"/>
    <w:rsid w:val="00AD77E6"/>
    <w:rsid w:val="00AE0717"/>
    <w:rsid w:val="00AE0A87"/>
    <w:rsid w:val="00AE0EC4"/>
    <w:rsid w:val="00AE1913"/>
    <w:rsid w:val="00AE3972"/>
    <w:rsid w:val="00AE3C3E"/>
    <w:rsid w:val="00AE4D11"/>
    <w:rsid w:val="00AE4D42"/>
    <w:rsid w:val="00AE4EFE"/>
    <w:rsid w:val="00AE7E59"/>
    <w:rsid w:val="00AE7F21"/>
    <w:rsid w:val="00AF100B"/>
    <w:rsid w:val="00AF2927"/>
    <w:rsid w:val="00AF29B9"/>
    <w:rsid w:val="00AF35EF"/>
    <w:rsid w:val="00AF57A7"/>
    <w:rsid w:val="00AF6052"/>
    <w:rsid w:val="00AF6C74"/>
    <w:rsid w:val="00AF707D"/>
    <w:rsid w:val="00B00516"/>
    <w:rsid w:val="00B00704"/>
    <w:rsid w:val="00B009D1"/>
    <w:rsid w:val="00B01F38"/>
    <w:rsid w:val="00B0326A"/>
    <w:rsid w:val="00B07120"/>
    <w:rsid w:val="00B07F4B"/>
    <w:rsid w:val="00B1027C"/>
    <w:rsid w:val="00B1070A"/>
    <w:rsid w:val="00B1072C"/>
    <w:rsid w:val="00B124DE"/>
    <w:rsid w:val="00B12565"/>
    <w:rsid w:val="00B1270C"/>
    <w:rsid w:val="00B13FBD"/>
    <w:rsid w:val="00B156C6"/>
    <w:rsid w:val="00B17A0F"/>
    <w:rsid w:val="00B21192"/>
    <w:rsid w:val="00B21237"/>
    <w:rsid w:val="00B24386"/>
    <w:rsid w:val="00B24892"/>
    <w:rsid w:val="00B248B8"/>
    <w:rsid w:val="00B2513F"/>
    <w:rsid w:val="00B272D0"/>
    <w:rsid w:val="00B304D9"/>
    <w:rsid w:val="00B31465"/>
    <w:rsid w:val="00B31BB1"/>
    <w:rsid w:val="00B3255C"/>
    <w:rsid w:val="00B32A73"/>
    <w:rsid w:val="00B3369F"/>
    <w:rsid w:val="00B34B87"/>
    <w:rsid w:val="00B34C2B"/>
    <w:rsid w:val="00B3539C"/>
    <w:rsid w:val="00B35BC3"/>
    <w:rsid w:val="00B3778F"/>
    <w:rsid w:val="00B378F5"/>
    <w:rsid w:val="00B40F4F"/>
    <w:rsid w:val="00B4170C"/>
    <w:rsid w:val="00B42D56"/>
    <w:rsid w:val="00B42E9A"/>
    <w:rsid w:val="00B42FDB"/>
    <w:rsid w:val="00B430E1"/>
    <w:rsid w:val="00B43325"/>
    <w:rsid w:val="00B43A16"/>
    <w:rsid w:val="00B43A65"/>
    <w:rsid w:val="00B445D5"/>
    <w:rsid w:val="00B4558B"/>
    <w:rsid w:val="00B46130"/>
    <w:rsid w:val="00B46A6F"/>
    <w:rsid w:val="00B46AA6"/>
    <w:rsid w:val="00B46EB4"/>
    <w:rsid w:val="00B47E13"/>
    <w:rsid w:val="00B512CB"/>
    <w:rsid w:val="00B53059"/>
    <w:rsid w:val="00B53F35"/>
    <w:rsid w:val="00B5490C"/>
    <w:rsid w:val="00B554E5"/>
    <w:rsid w:val="00B556D9"/>
    <w:rsid w:val="00B55C78"/>
    <w:rsid w:val="00B566C9"/>
    <w:rsid w:val="00B56E6B"/>
    <w:rsid w:val="00B570A2"/>
    <w:rsid w:val="00B57792"/>
    <w:rsid w:val="00B579C6"/>
    <w:rsid w:val="00B61605"/>
    <w:rsid w:val="00B62998"/>
    <w:rsid w:val="00B62E7F"/>
    <w:rsid w:val="00B6305C"/>
    <w:rsid w:val="00B63D34"/>
    <w:rsid w:val="00B63E00"/>
    <w:rsid w:val="00B64831"/>
    <w:rsid w:val="00B65A22"/>
    <w:rsid w:val="00B710A8"/>
    <w:rsid w:val="00B723F3"/>
    <w:rsid w:val="00B7284A"/>
    <w:rsid w:val="00B72DFA"/>
    <w:rsid w:val="00B73318"/>
    <w:rsid w:val="00B7345C"/>
    <w:rsid w:val="00B73C74"/>
    <w:rsid w:val="00B73DFB"/>
    <w:rsid w:val="00B747FD"/>
    <w:rsid w:val="00B76776"/>
    <w:rsid w:val="00B77A6F"/>
    <w:rsid w:val="00B80657"/>
    <w:rsid w:val="00B81050"/>
    <w:rsid w:val="00B82035"/>
    <w:rsid w:val="00B827C3"/>
    <w:rsid w:val="00B83B21"/>
    <w:rsid w:val="00B84670"/>
    <w:rsid w:val="00B90614"/>
    <w:rsid w:val="00B90618"/>
    <w:rsid w:val="00B90920"/>
    <w:rsid w:val="00B90DD5"/>
    <w:rsid w:val="00B91774"/>
    <w:rsid w:val="00B91BFA"/>
    <w:rsid w:val="00B923A8"/>
    <w:rsid w:val="00B924F2"/>
    <w:rsid w:val="00B927C2"/>
    <w:rsid w:val="00B929B4"/>
    <w:rsid w:val="00B93299"/>
    <w:rsid w:val="00B93CC8"/>
    <w:rsid w:val="00B95BF2"/>
    <w:rsid w:val="00BA0BBA"/>
    <w:rsid w:val="00BA0ED2"/>
    <w:rsid w:val="00BA2243"/>
    <w:rsid w:val="00BA31F4"/>
    <w:rsid w:val="00BA4673"/>
    <w:rsid w:val="00BA515A"/>
    <w:rsid w:val="00BA610F"/>
    <w:rsid w:val="00BA7C13"/>
    <w:rsid w:val="00BA7E37"/>
    <w:rsid w:val="00BB0217"/>
    <w:rsid w:val="00BB0850"/>
    <w:rsid w:val="00BB1C5E"/>
    <w:rsid w:val="00BB219E"/>
    <w:rsid w:val="00BB2E20"/>
    <w:rsid w:val="00BB392B"/>
    <w:rsid w:val="00BB3B65"/>
    <w:rsid w:val="00BB4E2E"/>
    <w:rsid w:val="00BB5533"/>
    <w:rsid w:val="00BB554A"/>
    <w:rsid w:val="00BB6DDC"/>
    <w:rsid w:val="00BB70F7"/>
    <w:rsid w:val="00BB7211"/>
    <w:rsid w:val="00BB7AB0"/>
    <w:rsid w:val="00BC006E"/>
    <w:rsid w:val="00BC252D"/>
    <w:rsid w:val="00BC31A7"/>
    <w:rsid w:val="00BC5159"/>
    <w:rsid w:val="00BC629F"/>
    <w:rsid w:val="00BC6E32"/>
    <w:rsid w:val="00BD0C55"/>
    <w:rsid w:val="00BD0E19"/>
    <w:rsid w:val="00BD23E3"/>
    <w:rsid w:val="00BD2E1F"/>
    <w:rsid w:val="00BD2EC3"/>
    <w:rsid w:val="00BD3A91"/>
    <w:rsid w:val="00BD3F3E"/>
    <w:rsid w:val="00BD4A18"/>
    <w:rsid w:val="00BD534F"/>
    <w:rsid w:val="00BD5520"/>
    <w:rsid w:val="00BD61C6"/>
    <w:rsid w:val="00BE01CC"/>
    <w:rsid w:val="00BE18D0"/>
    <w:rsid w:val="00BE1BD0"/>
    <w:rsid w:val="00BE246F"/>
    <w:rsid w:val="00BE284C"/>
    <w:rsid w:val="00BE45EE"/>
    <w:rsid w:val="00BE4CF7"/>
    <w:rsid w:val="00BE6893"/>
    <w:rsid w:val="00BE6DAC"/>
    <w:rsid w:val="00BE771C"/>
    <w:rsid w:val="00BE7B1D"/>
    <w:rsid w:val="00BF12F1"/>
    <w:rsid w:val="00BF25EA"/>
    <w:rsid w:val="00BF2BB7"/>
    <w:rsid w:val="00BF2DD6"/>
    <w:rsid w:val="00BF4EF0"/>
    <w:rsid w:val="00C01584"/>
    <w:rsid w:val="00C031EF"/>
    <w:rsid w:val="00C03499"/>
    <w:rsid w:val="00C04B7F"/>
    <w:rsid w:val="00C053CF"/>
    <w:rsid w:val="00C06550"/>
    <w:rsid w:val="00C10389"/>
    <w:rsid w:val="00C11A54"/>
    <w:rsid w:val="00C11F6C"/>
    <w:rsid w:val="00C125D9"/>
    <w:rsid w:val="00C128E6"/>
    <w:rsid w:val="00C13229"/>
    <w:rsid w:val="00C14DBB"/>
    <w:rsid w:val="00C15043"/>
    <w:rsid w:val="00C20047"/>
    <w:rsid w:val="00C21DAB"/>
    <w:rsid w:val="00C242FA"/>
    <w:rsid w:val="00C254BA"/>
    <w:rsid w:val="00C300AD"/>
    <w:rsid w:val="00C31840"/>
    <w:rsid w:val="00C31B23"/>
    <w:rsid w:val="00C31FC4"/>
    <w:rsid w:val="00C327B9"/>
    <w:rsid w:val="00C35CFB"/>
    <w:rsid w:val="00C36819"/>
    <w:rsid w:val="00C36A0E"/>
    <w:rsid w:val="00C37DF4"/>
    <w:rsid w:val="00C40DD5"/>
    <w:rsid w:val="00C42605"/>
    <w:rsid w:val="00C42E51"/>
    <w:rsid w:val="00C442FA"/>
    <w:rsid w:val="00C4651D"/>
    <w:rsid w:val="00C46880"/>
    <w:rsid w:val="00C51498"/>
    <w:rsid w:val="00C52438"/>
    <w:rsid w:val="00C52494"/>
    <w:rsid w:val="00C52CD5"/>
    <w:rsid w:val="00C53967"/>
    <w:rsid w:val="00C5417B"/>
    <w:rsid w:val="00C5484E"/>
    <w:rsid w:val="00C56165"/>
    <w:rsid w:val="00C564E9"/>
    <w:rsid w:val="00C571F1"/>
    <w:rsid w:val="00C613E3"/>
    <w:rsid w:val="00C617AD"/>
    <w:rsid w:val="00C62CFF"/>
    <w:rsid w:val="00C64379"/>
    <w:rsid w:val="00C65246"/>
    <w:rsid w:val="00C65A54"/>
    <w:rsid w:val="00C668AC"/>
    <w:rsid w:val="00C67928"/>
    <w:rsid w:val="00C71388"/>
    <w:rsid w:val="00C716CB"/>
    <w:rsid w:val="00C71FE9"/>
    <w:rsid w:val="00C722B8"/>
    <w:rsid w:val="00C74068"/>
    <w:rsid w:val="00C747FD"/>
    <w:rsid w:val="00C74936"/>
    <w:rsid w:val="00C75C15"/>
    <w:rsid w:val="00C76377"/>
    <w:rsid w:val="00C76425"/>
    <w:rsid w:val="00C812E3"/>
    <w:rsid w:val="00C814C9"/>
    <w:rsid w:val="00C82EEF"/>
    <w:rsid w:val="00C83132"/>
    <w:rsid w:val="00C83552"/>
    <w:rsid w:val="00C85724"/>
    <w:rsid w:val="00C85B3F"/>
    <w:rsid w:val="00C865FF"/>
    <w:rsid w:val="00C90053"/>
    <w:rsid w:val="00C91614"/>
    <w:rsid w:val="00C9161D"/>
    <w:rsid w:val="00C92960"/>
    <w:rsid w:val="00C93AB5"/>
    <w:rsid w:val="00C96778"/>
    <w:rsid w:val="00C97640"/>
    <w:rsid w:val="00C97673"/>
    <w:rsid w:val="00C976E9"/>
    <w:rsid w:val="00CA1574"/>
    <w:rsid w:val="00CA190D"/>
    <w:rsid w:val="00CA1A5D"/>
    <w:rsid w:val="00CA2494"/>
    <w:rsid w:val="00CA2E4F"/>
    <w:rsid w:val="00CA32D9"/>
    <w:rsid w:val="00CA4CD5"/>
    <w:rsid w:val="00CA65C9"/>
    <w:rsid w:val="00CA69C8"/>
    <w:rsid w:val="00CA7B0D"/>
    <w:rsid w:val="00CB060A"/>
    <w:rsid w:val="00CB0A1C"/>
    <w:rsid w:val="00CB205B"/>
    <w:rsid w:val="00CB23F6"/>
    <w:rsid w:val="00CB278D"/>
    <w:rsid w:val="00CB4649"/>
    <w:rsid w:val="00CB557E"/>
    <w:rsid w:val="00CB5C4C"/>
    <w:rsid w:val="00CB650A"/>
    <w:rsid w:val="00CB68E2"/>
    <w:rsid w:val="00CB6AB2"/>
    <w:rsid w:val="00CB7C2C"/>
    <w:rsid w:val="00CB7C33"/>
    <w:rsid w:val="00CC15F1"/>
    <w:rsid w:val="00CC166F"/>
    <w:rsid w:val="00CC23FC"/>
    <w:rsid w:val="00CC26FC"/>
    <w:rsid w:val="00CC2A84"/>
    <w:rsid w:val="00CC4E92"/>
    <w:rsid w:val="00CC5B2A"/>
    <w:rsid w:val="00CC749A"/>
    <w:rsid w:val="00CD0011"/>
    <w:rsid w:val="00CD07BF"/>
    <w:rsid w:val="00CD23EA"/>
    <w:rsid w:val="00CD2410"/>
    <w:rsid w:val="00CD2B7F"/>
    <w:rsid w:val="00CD2C22"/>
    <w:rsid w:val="00CD407C"/>
    <w:rsid w:val="00CD5F8E"/>
    <w:rsid w:val="00CE00AB"/>
    <w:rsid w:val="00CE08BF"/>
    <w:rsid w:val="00CE0BB2"/>
    <w:rsid w:val="00CE2182"/>
    <w:rsid w:val="00CE40FC"/>
    <w:rsid w:val="00CE452B"/>
    <w:rsid w:val="00CE4962"/>
    <w:rsid w:val="00CE5115"/>
    <w:rsid w:val="00CE587A"/>
    <w:rsid w:val="00CE5B1F"/>
    <w:rsid w:val="00CE7135"/>
    <w:rsid w:val="00CE7B53"/>
    <w:rsid w:val="00CE7C34"/>
    <w:rsid w:val="00CF061B"/>
    <w:rsid w:val="00CF1848"/>
    <w:rsid w:val="00CF2827"/>
    <w:rsid w:val="00CF2BA9"/>
    <w:rsid w:val="00CF3796"/>
    <w:rsid w:val="00CF582B"/>
    <w:rsid w:val="00CF6A3C"/>
    <w:rsid w:val="00CF7D73"/>
    <w:rsid w:val="00D00999"/>
    <w:rsid w:val="00D00DBC"/>
    <w:rsid w:val="00D02C40"/>
    <w:rsid w:val="00D02FDA"/>
    <w:rsid w:val="00D03320"/>
    <w:rsid w:val="00D045BA"/>
    <w:rsid w:val="00D05C05"/>
    <w:rsid w:val="00D06672"/>
    <w:rsid w:val="00D0790F"/>
    <w:rsid w:val="00D10451"/>
    <w:rsid w:val="00D124E4"/>
    <w:rsid w:val="00D13D28"/>
    <w:rsid w:val="00D16858"/>
    <w:rsid w:val="00D17DB5"/>
    <w:rsid w:val="00D202E9"/>
    <w:rsid w:val="00D219FB"/>
    <w:rsid w:val="00D21B0D"/>
    <w:rsid w:val="00D222A5"/>
    <w:rsid w:val="00D239D9"/>
    <w:rsid w:val="00D23C75"/>
    <w:rsid w:val="00D25AFF"/>
    <w:rsid w:val="00D25F6A"/>
    <w:rsid w:val="00D267DD"/>
    <w:rsid w:val="00D315CD"/>
    <w:rsid w:val="00D31A74"/>
    <w:rsid w:val="00D3421D"/>
    <w:rsid w:val="00D343DB"/>
    <w:rsid w:val="00D35C99"/>
    <w:rsid w:val="00D35F1B"/>
    <w:rsid w:val="00D4027E"/>
    <w:rsid w:val="00D40D6B"/>
    <w:rsid w:val="00D4108D"/>
    <w:rsid w:val="00D41455"/>
    <w:rsid w:val="00D41ADC"/>
    <w:rsid w:val="00D4361D"/>
    <w:rsid w:val="00D43B3C"/>
    <w:rsid w:val="00D43E0C"/>
    <w:rsid w:val="00D45CA3"/>
    <w:rsid w:val="00D4601B"/>
    <w:rsid w:val="00D46349"/>
    <w:rsid w:val="00D47A29"/>
    <w:rsid w:val="00D47F55"/>
    <w:rsid w:val="00D51517"/>
    <w:rsid w:val="00D515E4"/>
    <w:rsid w:val="00D532B8"/>
    <w:rsid w:val="00D533B7"/>
    <w:rsid w:val="00D53446"/>
    <w:rsid w:val="00D5395D"/>
    <w:rsid w:val="00D542D8"/>
    <w:rsid w:val="00D56A45"/>
    <w:rsid w:val="00D60036"/>
    <w:rsid w:val="00D60E10"/>
    <w:rsid w:val="00D61679"/>
    <w:rsid w:val="00D61A1C"/>
    <w:rsid w:val="00D620A2"/>
    <w:rsid w:val="00D623E5"/>
    <w:rsid w:val="00D6272C"/>
    <w:rsid w:val="00D627B3"/>
    <w:rsid w:val="00D648AE"/>
    <w:rsid w:val="00D654EE"/>
    <w:rsid w:val="00D655EB"/>
    <w:rsid w:val="00D65B17"/>
    <w:rsid w:val="00D65CC6"/>
    <w:rsid w:val="00D65D28"/>
    <w:rsid w:val="00D66345"/>
    <w:rsid w:val="00D669A5"/>
    <w:rsid w:val="00D713A3"/>
    <w:rsid w:val="00D7144B"/>
    <w:rsid w:val="00D71A8F"/>
    <w:rsid w:val="00D72748"/>
    <w:rsid w:val="00D7480A"/>
    <w:rsid w:val="00D74833"/>
    <w:rsid w:val="00D75690"/>
    <w:rsid w:val="00D75D07"/>
    <w:rsid w:val="00D76A18"/>
    <w:rsid w:val="00D8083E"/>
    <w:rsid w:val="00D81951"/>
    <w:rsid w:val="00D833D3"/>
    <w:rsid w:val="00D85353"/>
    <w:rsid w:val="00D872E0"/>
    <w:rsid w:val="00D87312"/>
    <w:rsid w:val="00D9248D"/>
    <w:rsid w:val="00D93493"/>
    <w:rsid w:val="00D941CD"/>
    <w:rsid w:val="00D94991"/>
    <w:rsid w:val="00D94D24"/>
    <w:rsid w:val="00D978C9"/>
    <w:rsid w:val="00D97DE9"/>
    <w:rsid w:val="00DA0278"/>
    <w:rsid w:val="00DA0F22"/>
    <w:rsid w:val="00DA187E"/>
    <w:rsid w:val="00DA2014"/>
    <w:rsid w:val="00DA2059"/>
    <w:rsid w:val="00DA21FA"/>
    <w:rsid w:val="00DA36DF"/>
    <w:rsid w:val="00DA4693"/>
    <w:rsid w:val="00DA4BD0"/>
    <w:rsid w:val="00DA5609"/>
    <w:rsid w:val="00DA5E60"/>
    <w:rsid w:val="00DA70B9"/>
    <w:rsid w:val="00DA730F"/>
    <w:rsid w:val="00DB084E"/>
    <w:rsid w:val="00DB1291"/>
    <w:rsid w:val="00DB29B7"/>
    <w:rsid w:val="00DB613F"/>
    <w:rsid w:val="00DB773B"/>
    <w:rsid w:val="00DB77B9"/>
    <w:rsid w:val="00DC0907"/>
    <w:rsid w:val="00DC0E96"/>
    <w:rsid w:val="00DC265A"/>
    <w:rsid w:val="00DC65FF"/>
    <w:rsid w:val="00DC7999"/>
    <w:rsid w:val="00DD118C"/>
    <w:rsid w:val="00DD21C3"/>
    <w:rsid w:val="00DD330E"/>
    <w:rsid w:val="00DD3EF2"/>
    <w:rsid w:val="00DD4459"/>
    <w:rsid w:val="00DD4BAA"/>
    <w:rsid w:val="00DD6419"/>
    <w:rsid w:val="00DD683A"/>
    <w:rsid w:val="00DD6A91"/>
    <w:rsid w:val="00DE07A6"/>
    <w:rsid w:val="00DE3961"/>
    <w:rsid w:val="00DE4C18"/>
    <w:rsid w:val="00DE6043"/>
    <w:rsid w:val="00DE6164"/>
    <w:rsid w:val="00DE70EC"/>
    <w:rsid w:val="00DE77F0"/>
    <w:rsid w:val="00DE7A5B"/>
    <w:rsid w:val="00DE7E9F"/>
    <w:rsid w:val="00DF054E"/>
    <w:rsid w:val="00DF1E5F"/>
    <w:rsid w:val="00DF3D49"/>
    <w:rsid w:val="00DF4351"/>
    <w:rsid w:val="00DF4A96"/>
    <w:rsid w:val="00DF6303"/>
    <w:rsid w:val="00DF66B3"/>
    <w:rsid w:val="00DF6EFD"/>
    <w:rsid w:val="00E002F2"/>
    <w:rsid w:val="00E009BD"/>
    <w:rsid w:val="00E00F78"/>
    <w:rsid w:val="00E03559"/>
    <w:rsid w:val="00E03DBF"/>
    <w:rsid w:val="00E042A7"/>
    <w:rsid w:val="00E04E5E"/>
    <w:rsid w:val="00E060B2"/>
    <w:rsid w:val="00E0630E"/>
    <w:rsid w:val="00E0710F"/>
    <w:rsid w:val="00E075B3"/>
    <w:rsid w:val="00E106BB"/>
    <w:rsid w:val="00E10D1C"/>
    <w:rsid w:val="00E10D6E"/>
    <w:rsid w:val="00E12894"/>
    <w:rsid w:val="00E148DF"/>
    <w:rsid w:val="00E1501B"/>
    <w:rsid w:val="00E1501E"/>
    <w:rsid w:val="00E15CEF"/>
    <w:rsid w:val="00E1686B"/>
    <w:rsid w:val="00E1690E"/>
    <w:rsid w:val="00E16DC0"/>
    <w:rsid w:val="00E172F1"/>
    <w:rsid w:val="00E17FDA"/>
    <w:rsid w:val="00E204A7"/>
    <w:rsid w:val="00E21100"/>
    <w:rsid w:val="00E21B87"/>
    <w:rsid w:val="00E22208"/>
    <w:rsid w:val="00E23046"/>
    <w:rsid w:val="00E243CA"/>
    <w:rsid w:val="00E25137"/>
    <w:rsid w:val="00E261D8"/>
    <w:rsid w:val="00E27BFF"/>
    <w:rsid w:val="00E27E55"/>
    <w:rsid w:val="00E3067B"/>
    <w:rsid w:val="00E306A8"/>
    <w:rsid w:val="00E32F49"/>
    <w:rsid w:val="00E33E23"/>
    <w:rsid w:val="00E34F8A"/>
    <w:rsid w:val="00E354B5"/>
    <w:rsid w:val="00E3562C"/>
    <w:rsid w:val="00E36C96"/>
    <w:rsid w:val="00E37003"/>
    <w:rsid w:val="00E373B2"/>
    <w:rsid w:val="00E37839"/>
    <w:rsid w:val="00E37B56"/>
    <w:rsid w:val="00E406EC"/>
    <w:rsid w:val="00E40F06"/>
    <w:rsid w:val="00E431F2"/>
    <w:rsid w:val="00E43FD1"/>
    <w:rsid w:val="00E4451D"/>
    <w:rsid w:val="00E44884"/>
    <w:rsid w:val="00E45770"/>
    <w:rsid w:val="00E45A15"/>
    <w:rsid w:val="00E45A62"/>
    <w:rsid w:val="00E4603E"/>
    <w:rsid w:val="00E46B16"/>
    <w:rsid w:val="00E47CE4"/>
    <w:rsid w:val="00E50BB9"/>
    <w:rsid w:val="00E50D01"/>
    <w:rsid w:val="00E51D38"/>
    <w:rsid w:val="00E523B8"/>
    <w:rsid w:val="00E53C0D"/>
    <w:rsid w:val="00E543AD"/>
    <w:rsid w:val="00E54CC3"/>
    <w:rsid w:val="00E562FE"/>
    <w:rsid w:val="00E56B35"/>
    <w:rsid w:val="00E574F0"/>
    <w:rsid w:val="00E61790"/>
    <w:rsid w:val="00E622EA"/>
    <w:rsid w:val="00E628B7"/>
    <w:rsid w:val="00E632A5"/>
    <w:rsid w:val="00E636CF"/>
    <w:rsid w:val="00E638D8"/>
    <w:rsid w:val="00E63D86"/>
    <w:rsid w:val="00E642D1"/>
    <w:rsid w:val="00E64A16"/>
    <w:rsid w:val="00E65272"/>
    <w:rsid w:val="00E66235"/>
    <w:rsid w:val="00E66674"/>
    <w:rsid w:val="00E66B5E"/>
    <w:rsid w:val="00E67DE4"/>
    <w:rsid w:val="00E719BC"/>
    <w:rsid w:val="00E71FD9"/>
    <w:rsid w:val="00E745B4"/>
    <w:rsid w:val="00E7601E"/>
    <w:rsid w:val="00E76CDC"/>
    <w:rsid w:val="00E76EF1"/>
    <w:rsid w:val="00E77ED7"/>
    <w:rsid w:val="00E80C36"/>
    <w:rsid w:val="00E81BD1"/>
    <w:rsid w:val="00E8205E"/>
    <w:rsid w:val="00E8261B"/>
    <w:rsid w:val="00E82730"/>
    <w:rsid w:val="00E839CC"/>
    <w:rsid w:val="00E83C24"/>
    <w:rsid w:val="00E854BC"/>
    <w:rsid w:val="00E85EE0"/>
    <w:rsid w:val="00E874A4"/>
    <w:rsid w:val="00E901D5"/>
    <w:rsid w:val="00E910F1"/>
    <w:rsid w:val="00E91530"/>
    <w:rsid w:val="00E92467"/>
    <w:rsid w:val="00E928AE"/>
    <w:rsid w:val="00E94207"/>
    <w:rsid w:val="00E96F3E"/>
    <w:rsid w:val="00E9750E"/>
    <w:rsid w:val="00EA03D2"/>
    <w:rsid w:val="00EA23AF"/>
    <w:rsid w:val="00EA2B92"/>
    <w:rsid w:val="00EA4C38"/>
    <w:rsid w:val="00EA5F11"/>
    <w:rsid w:val="00EA6C0B"/>
    <w:rsid w:val="00EA6D13"/>
    <w:rsid w:val="00EA6FE5"/>
    <w:rsid w:val="00EB000D"/>
    <w:rsid w:val="00EB19F3"/>
    <w:rsid w:val="00EB29DB"/>
    <w:rsid w:val="00EB3B60"/>
    <w:rsid w:val="00EB42C7"/>
    <w:rsid w:val="00EB4F28"/>
    <w:rsid w:val="00EB6B29"/>
    <w:rsid w:val="00EC120A"/>
    <w:rsid w:val="00EC2F86"/>
    <w:rsid w:val="00EC4248"/>
    <w:rsid w:val="00EC4695"/>
    <w:rsid w:val="00EC47A4"/>
    <w:rsid w:val="00EC4D24"/>
    <w:rsid w:val="00EC6722"/>
    <w:rsid w:val="00ED00C2"/>
    <w:rsid w:val="00ED08A5"/>
    <w:rsid w:val="00ED1CB2"/>
    <w:rsid w:val="00ED20DB"/>
    <w:rsid w:val="00ED24B9"/>
    <w:rsid w:val="00ED433B"/>
    <w:rsid w:val="00ED6C5E"/>
    <w:rsid w:val="00EE07CC"/>
    <w:rsid w:val="00EE1432"/>
    <w:rsid w:val="00EE1719"/>
    <w:rsid w:val="00EE4DD3"/>
    <w:rsid w:val="00EE5456"/>
    <w:rsid w:val="00EE5567"/>
    <w:rsid w:val="00EE61E9"/>
    <w:rsid w:val="00EE7256"/>
    <w:rsid w:val="00EF032D"/>
    <w:rsid w:val="00EF124D"/>
    <w:rsid w:val="00EF3EFA"/>
    <w:rsid w:val="00EF5BA5"/>
    <w:rsid w:val="00EF6419"/>
    <w:rsid w:val="00EF7396"/>
    <w:rsid w:val="00F00A9E"/>
    <w:rsid w:val="00F00B5F"/>
    <w:rsid w:val="00F00CF1"/>
    <w:rsid w:val="00F00E9A"/>
    <w:rsid w:val="00F01DC2"/>
    <w:rsid w:val="00F01F7D"/>
    <w:rsid w:val="00F02C69"/>
    <w:rsid w:val="00F04291"/>
    <w:rsid w:val="00F04FE6"/>
    <w:rsid w:val="00F05563"/>
    <w:rsid w:val="00F05EAE"/>
    <w:rsid w:val="00F072ED"/>
    <w:rsid w:val="00F0744D"/>
    <w:rsid w:val="00F1220D"/>
    <w:rsid w:val="00F12885"/>
    <w:rsid w:val="00F13089"/>
    <w:rsid w:val="00F153C5"/>
    <w:rsid w:val="00F15D34"/>
    <w:rsid w:val="00F1794F"/>
    <w:rsid w:val="00F211FF"/>
    <w:rsid w:val="00F2157C"/>
    <w:rsid w:val="00F21C65"/>
    <w:rsid w:val="00F22229"/>
    <w:rsid w:val="00F22BC5"/>
    <w:rsid w:val="00F24C0B"/>
    <w:rsid w:val="00F3009B"/>
    <w:rsid w:val="00F30732"/>
    <w:rsid w:val="00F30EDF"/>
    <w:rsid w:val="00F31067"/>
    <w:rsid w:val="00F32D04"/>
    <w:rsid w:val="00F335A7"/>
    <w:rsid w:val="00F343FB"/>
    <w:rsid w:val="00F3529C"/>
    <w:rsid w:val="00F35DC8"/>
    <w:rsid w:val="00F36B9C"/>
    <w:rsid w:val="00F373F5"/>
    <w:rsid w:val="00F379A6"/>
    <w:rsid w:val="00F42CC8"/>
    <w:rsid w:val="00F43314"/>
    <w:rsid w:val="00F43608"/>
    <w:rsid w:val="00F43E3C"/>
    <w:rsid w:val="00F4491B"/>
    <w:rsid w:val="00F46569"/>
    <w:rsid w:val="00F47A8D"/>
    <w:rsid w:val="00F50738"/>
    <w:rsid w:val="00F511DD"/>
    <w:rsid w:val="00F517A5"/>
    <w:rsid w:val="00F522EB"/>
    <w:rsid w:val="00F5271E"/>
    <w:rsid w:val="00F52741"/>
    <w:rsid w:val="00F52ABB"/>
    <w:rsid w:val="00F54519"/>
    <w:rsid w:val="00F5583A"/>
    <w:rsid w:val="00F56634"/>
    <w:rsid w:val="00F578D3"/>
    <w:rsid w:val="00F60C31"/>
    <w:rsid w:val="00F61693"/>
    <w:rsid w:val="00F61C12"/>
    <w:rsid w:val="00F62606"/>
    <w:rsid w:val="00F63AEF"/>
    <w:rsid w:val="00F63F3A"/>
    <w:rsid w:val="00F65BA1"/>
    <w:rsid w:val="00F673FA"/>
    <w:rsid w:val="00F676AD"/>
    <w:rsid w:val="00F70094"/>
    <w:rsid w:val="00F70EF0"/>
    <w:rsid w:val="00F71251"/>
    <w:rsid w:val="00F717B6"/>
    <w:rsid w:val="00F72EC6"/>
    <w:rsid w:val="00F73740"/>
    <w:rsid w:val="00F738A2"/>
    <w:rsid w:val="00F76B93"/>
    <w:rsid w:val="00F76D20"/>
    <w:rsid w:val="00F77DE0"/>
    <w:rsid w:val="00F81093"/>
    <w:rsid w:val="00F8134C"/>
    <w:rsid w:val="00F81F05"/>
    <w:rsid w:val="00F82EEE"/>
    <w:rsid w:val="00F83862"/>
    <w:rsid w:val="00F83913"/>
    <w:rsid w:val="00F83B23"/>
    <w:rsid w:val="00F8438F"/>
    <w:rsid w:val="00F85044"/>
    <w:rsid w:val="00F85888"/>
    <w:rsid w:val="00F86C4E"/>
    <w:rsid w:val="00F86F4A"/>
    <w:rsid w:val="00F87042"/>
    <w:rsid w:val="00F87FFD"/>
    <w:rsid w:val="00F91D46"/>
    <w:rsid w:val="00F921F6"/>
    <w:rsid w:val="00F92FA4"/>
    <w:rsid w:val="00F93483"/>
    <w:rsid w:val="00F938E7"/>
    <w:rsid w:val="00F941BD"/>
    <w:rsid w:val="00F94774"/>
    <w:rsid w:val="00F95D75"/>
    <w:rsid w:val="00F96494"/>
    <w:rsid w:val="00F96C96"/>
    <w:rsid w:val="00FA048F"/>
    <w:rsid w:val="00FA1104"/>
    <w:rsid w:val="00FA142D"/>
    <w:rsid w:val="00FA2190"/>
    <w:rsid w:val="00FA3A2C"/>
    <w:rsid w:val="00FA5802"/>
    <w:rsid w:val="00FA68A5"/>
    <w:rsid w:val="00FA69E0"/>
    <w:rsid w:val="00FA6A95"/>
    <w:rsid w:val="00FA72F2"/>
    <w:rsid w:val="00FA7327"/>
    <w:rsid w:val="00FA794F"/>
    <w:rsid w:val="00FB0D24"/>
    <w:rsid w:val="00FB23D2"/>
    <w:rsid w:val="00FB2F9E"/>
    <w:rsid w:val="00FB33EF"/>
    <w:rsid w:val="00FB37D1"/>
    <w:rsid w:val="00FB52C9"/>
    <w:rsid w:val="00FB598B"/>
    <w:rsid w:val="00FB5A51"/>
    <w:rsid w:val="00FB6E10"/>
    <w:rsid w:val="00FB7ACB"/>
    <w:rsid w:val="00FB7E82"/>
    <w:rsid w:val="00FC0581"/>
    <w:rsid w:val="00FC0D2E"/>
    <w:rsid w:val="00FC2E3F"/>
    <w:rsid w:val="00FC442E"/>
    <w:rsid w:val="00FC4DE4"/>
    <w:rsid w:val="00FC53DB"/>
    <w:rsid w:val="00FC5D45"/>
    <w:rsid w:val="00FC5D64"/>
    <w:rsid w:val="00FC5ECF"/>
    <w:rsid w:val="00FD020A"/>
    <w:rsid w:val="00FD2155"/>
    <w:rsid w:val="00FD33B3"/>
    <w:rsid w:val="00FD4184"/>
    <w:rsid w:val="00FD4488"/>
    <w:rsid w:val="00FD5303"/>
    <w:rsid w:val="00FD757D"/>
    <w:rsid w:val="00FD7D7D"/>
    <w:rsid w:val="00FD7F05"/>
    <w:rsid w:val="00FE0067"/>
    <w:rsid w:val="00FE06CC"/>
    <w:rsid w:val="00FE0BC8"/>
    <w:rsid w:val="00FE0DE4"/>
    <w:rsid w:val="00FE2C2A"/>
    <w:rsid w:val="00FE3DA2"/>
    <w:rsid w:val="00FE4218"/>
    <w:rsid w:val="00FE4DC6"/>
    <w:rsid w:val="00FE5EB6"/>
    <w:rsid w:val="00FF0C65"/>
    <w:rsid w:val="00FF2D20"/>
    <w:rsid w:val="00FF3276"/>
    <w:rsid w:val="00FF417B"/>
    <w:rsid w:val="00FF4293"/>
    <w:rsid w:val="00FF4CAD"/>
    <w:rsid w:val="00FF70D0"/>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D8A49A6"/>
  <w15:docId w15:val="{95A0348C-F60C-4C26-B20E-2CD8313E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D6C5E"/>
    <w:pPr>
      <w:keepNext/>
      <w:tabs>
        <w:tab w:val="left" w:pos="720"/>
      </w:tabs>
      <w:spacing w:before="240" w:after="120"/>
      <w:jc w:val="center"/>
      <w:outlineLvl w:val="1"/>
    </w:pPr>
    <w:rPr>
      <w:b/>
      <w:bCs/>
      <w:i/>
      <w:iCs/>
      <w:snapToGrid w:val="0"/>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E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s-ES"/>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E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E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ES"/>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ES"/>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s-ES"/>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ES"/>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ED6C5E"/>
    <w:rPr>
      <w:rFonts w:ascii="Times New Roman" w:eastAsia="Times New Roman" w:hAnsi="Times New Roman" w:cs="Times New Roman"/>
      <w:b/>
      <w:bCs/>
      <w:i/>
      <w:iCs/>
      <w:snapToGrid w:val="0"/>
      <w:sz w:val="22"/>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ES"/>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ES"/>
    </w:rPr>
  </w:style>
  <w:style w:type="character" w:customStyle="1" w:styleId="Heading7Char">
    <w:name w:val="Heading 7 Char"/>
    <w:basedOn w:val="DefaultParagraphFont"/>
    <w:link w:val="Heading7"/>
    <w:rsid w:val="007E09DA"/>
    <w:rPr>
      <w:rFonts w:ascii="Univers" w:eastAsia="Times New Roman" w:hAnsi="Univers" w:cs="Times New Roman"/>
      <w:b/>
      <w:sz w:val="28"/>
      <w:lang w:val="es-ES"/>
    </w:rPr>
  </w:style>
  <w:style w:type="character" w:customStyle="1" w:styleId="Heading8Char">
    <w:name w:val="Heading 8 Char"/>
    <w:basedOn w:val="DefaultParagraphFont"/>
    <w:link w:val="Heading8"/>
    <w:rsid w:val="007E09DA"/>
    <w:rPr>
      <w:rFonts w:ascii="Univers" w:eastAsia="Times New Roman" w:hAnsi="Univers" w:cs="Times New Roman"/>
      <w:b/>
      <w:sz w:val="32"/>
      <w:lang w:val="es-ES"/>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ES"/>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9678B5"/>
    <w:pPr>
      <w:numPr>
        <w:numId w:val="4"/>
      </w:numPr>
      <w:spacing w:before="120" w:after="120"/>
    </w:pPr>
    <w:rPr>
      <w:rFonts w:eastAsia="Malgun Gothic"/>
      <w:snapToGrid w:val="0"/>
      <w:kern w:val="22"/>
      <w:szCs w:val="22"/>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6051F1"/>
    <w:pPr>
      <w:tabs>
        <w:tab w:val="left" w:pos="630"/>
        <w:tab w:val="left" w:pos="1800"/>
        <w:tab w:val="right" w:leader="dot" w:pos="9360"/>
      </w:tabs>
      <w:spacing w:before="120"/>
      <w:ind w:left="630" w:hanging="630"/>
      <w:jc w:val="left"/>
    </w:pPr>
    <w:rPr>
      <w:caps/>
    </w:rPr>
  </w:style>
  <w:style w:type="paragraph" w:styleId="TOC2">
    <w:name w:val="toc 2"/>
    <w:basedOn w:val="Normal"/>
    <w:next w:val="Normal"/>
    <w:autoRedefine/>
    <w:uiPriority w:val="39"/>
    <w:rsid w:val="00E66674"/>
    <w:pPr>
      <w:tabs>
        <w:tab w:val="left" w:pos="1890"/>
        <w:tab w:val="right" w:leader="dot" w:pos="9360"/>
      </w:tabs>
      <w:spacing w:before="60"/>
      <w:ind w:left="1890" w:hanging="1170"/>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9678B5"/>
    <w:rPr>
      <w:rFonts w:ascii="Times New Roman" w:eastAsia="Malgun Gothic" w:hAnsi="Times New Roman" w:cs="Times New Roman"/>
      <w:snapToGrid w:val="0"/>
      <w:kern w:val="22"/>
      <w:sz w:val="22"/>
      <w:szCs w:val="22"/>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B3778F"/>
    <w:pPr>
      <w:ind w:left="720"/>
      <w:contextualSpacing/>
    </w:pPr>
  </w:style>
  <w:style w:type="paragraph" w:styleId="CommentSubject">
    <w:name w:val="annotation subject"/>
    <w:basedOn w:val="CommentText"/>
    <w:next w:val="CommentText"/>
    <w:link w:val="CommentSubjectChar"/>
    <w:uiPriority w:val="99"/>
    <w:semiHidden/>
    <w:unhideWhenUsed/>
    <w:rsid w:val="00C40DD5"/>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C40DD5"/>
    <w:rPr>
      <w:rFonts w:ascii="Times New Roman" w:eastAsia="Times New Roman" w:hAnsi="Times New Roman" w:cs="Times New Roman"/>
      <w:b/>
      <w:bCs/>
      <w:sz w:val="20"/>
      <w:szCs w:val="20"/>
      <w:lang w:val="es-ES"/>
    </w:rPr>
  </w:style>
  <w:style w:type="character" w:customStyle="1" w:styleId="apple-converted-space">
    <w:name w:val="apple-converted-space"/>
    <w:basedOn w:val="DefaultParagraphFont"/>
    <w:rsid w:val="00230661"/>
  </w:style>
  <w:style w:type="character" w:customStyle="1" w:styleId="Para1Char1">
    <w:name w:val="Para1 Char1"/>
    <w:rsid w:val="00E562FE"/>
    <w:rPr>
      <w:rFonts w:cs="Angsana New"/>
      <w:snapToGrid w:val="0"/>
      <w:sz w:val="22"/>
      <w:szCs w:val="18"/>
      <w:lang w:val="es-ES"/>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B4172"/>
    <w:pPr>
      <w:spacing w:after="160" w:line="240" w:lineRule="exact"/>
    </w:pPr>
    <w:rPr>
      <w:rFonts w:asciiTheme="minorHAnsi" w:eastAsiaTheme="minorEastAsia" w:hAnsiTheme="minorHAnsi" w:cstheme="minorBidi"/>
      <w:sz w:val="18"/>
      <w:u w:val="single"/>
    </w:rPr>
  </w:style>
  <w:style w:type="paragraph" w:styleId="Revision">
    <w:name w:val="Revision"/>
    <w:hidden/>
    <w:uiPriority w:val="99"/>
    <w:semiHidden/>
    <w:rsid w:val="00915862"/>
    <w:rPr>
      <w:rFonts w:ascii="Times New Roman" w:eastAsia="Times New Roman" w:hAnsi="Times New Roman" w:cs="Times New Roman"/>
      <w:sz w:val="22"/>
    </w:rPr>
  </w:style>
  <w:style w:type="paragraph" w:customStyle="1" w:styleId="Heading-plainbold">
    <w:name w:val="Heading-plain bold"/>
    <w:basedOn w:val="BodyText"/>
    <w:rsid w:val="00C46880"/>
    <w:pPr>
      <w:ind w:firstLine="0"/>
      <w:jc w:val="center"/>
    </w:pPr>
    <w:rPr>
      <w:rFonts w:eastAsia="Malgun Gothic"/>
      <w:b/>
      <w:bCs/>
      <w:i/>
      <w:iCs w:val="0"/>
      <w:lang w:eastAsia="x-none"/>
    </w:rPr>
  </w:style>
  <w:style w:type="character" w:customStyle="1" w:styleId="UnresolvedMention1">
    <w:name w:val="Unresolved Mention1"/>
    <w:basedOn w:val="DefaultParagraphFont"/>
    <w:uiPriority w:val="99"/>
    <w:semiHidden/>
    <w:unhideWhenUsed/>
    <w:rsid w:val="006D6A26"/>
    <w:rPr>
      <w:color w:val="605E5C"/>
      <w:shd w:val="clear" w:color="auto" w:fill="E1DFDD"/>
    </w:rPr>
  </w:style>
  <w:style w:type="paragraph" w:customStyle="1" w:styleId="para10">
    <w:name w:val="para1"/>
    <w:basedOn w:val="Normal"/>
    <w:rsid w:val="00575F20"/>
    <w:pPr>
      <w:suppressLineNumbers/>
      <w:tabs>
        <w:tab w:val="left" w:pos="720"/>
      </w:tabs>
      <w:suppressAutoHyphens/>
      <w:kinsoku w:val="0"/>
      <w:overflowPunct w:val="0"/>
      <w:autoSpaceDE w:val="0"/>
      <w:autoSpaceDN w:val="0"/>
      <w:adjustRightInd w:val="0"/>
      <w:snapToGrid w:val="0"/>
      <w:spacing w:before="120" w:after="120"/>
    </w:pPr>
  </w:style>
  <w:style w:type="character" w:customStyle="1" w:styleId="ui-provider">
    <w:name w:val="ui-provider"/>
    <w:basedOn w:val="DefaultParagraphFont"/>
    <w:rsid w:val="00DA730F"/>
  </w:style>
  <w:style w:type="paragraph" w:customStyle="1" w:styleId="decision">
    <w:name w:val="decision"/>
    <w:basedOn w:val="Normal"/>
    <w:qFormat/>
    <w:rsid w:val="00DD4BAA"/>
    <w:pPr>
      <w:keepNext/>
      <w:spacing w:before="120" w:after="120"/>
      <w:jc w:val="center"/>
      <w:outlineLvl w:val="1"/>
    </w:pPr>
    <w:rPr>
      <w:rFonts w:ascii="Times New Roman Bold" w:eastAsia="Malgun Gothic" w:hAnsi="Times New Roman Bold"/>
      <w:b/>
      <w:lang w:val="en-GB"/>
    </w:rPr>
  </w:style>
  <w:style w:type="character" w:customStyle="1" w:styleId="None">
    <w:name w:val="None"/>
    <w:rsid w:val="00846826"/>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5C3E00"/>
    <w:rPr>
      <w:rFonts w:ascii="Times New Roman" w:eastAsia="Times New Roman" w:hAnsi="Times New Roman" w:cs="Times New Roman"/>
      <w:sz w:val="22"/>
    </w:rPr>
  </w:style>
  <w:style w:type="paragraph" w:styleId="NormalWeb">
    <w:name w:val="Normal (Web)"/>
    <w:basedOn w:val="Normal"/>
    <w:uiPriority w:val="99"/>
    <w:rsid w:val="00D8083E"/>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msonormal0">
    <w:name w:val="msonormal"/>
    <w:basedOn w:val="Normal"/>
    <w:rsid w:val="00D8083E"/>
    <w:pPr>
      <w:spacing w:before="100" w:beforeAutospacing="1" w:after="100" w:afterAutospacing="1"/>
      <w:jc w:val="left"/>
    </w:pPr>
    <w:rPr>
      <w:sz w:val="24"/>
      <w:lang w:val="en-US" w:eastAsia="zh-CN"/>
    </w:rPr>
  </w:style>
  <w:style w:type="paragraph" w:customStyle="1" w:styleId="xl65">
    <w:name w:val="xl65"/>
    <w:basedOn w:val="Normal"/>
    <w:rsid w:val="00D80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6">
    <w:name w:val="xl66"/>
    <w:basedOn w:val="Normal"/>
    <w:rsid w:val="00D80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7">
    <w:name w:val="xl67"/>
    <w:basedOn w:val="Normal"/>
    <w:rsid w:val="00D8083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69">
    <w:name w:val="xl69"/>
    <w:basedOn w:val="Normal"/>
    <w:rsid w:val="00D8083E"/>
    <w:pPr>
      <w:spacing w:before="100" w:beforeAutospacing="1" w:after="100" w:afterAutospacing="1"/>
      <w:jc w:val="center"/>
      <w:textAlignment w:val="center"/>
    </w:pPr>
    <w:rPr>
      <w:sz w:val="18"/>
      <w:szCs w:val="18"/>
      <w:lang w:val="en-US" w:eastAsia="zh-CN"/>
    </w:rPr>
  </w:style>
  <w:style w:type="paragraph" w:customStyle="1" w:styleId="xl70">
    <w:name w:val="xl70"/>
    <w:basedOn w:val="Normal"/>
    <w:rsid w:val="00D80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1">
    <w:name w:val="xl71"/>
    <w:basedOn w:val="Normal"/>
    <w:rsid w:val="00D80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2">
    <w:name w:val="xl72"/>
    <w:basedOn w:val="Normal"/>
    <w:rsid w:val="00D8083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73">
    <w:name w:val="xl73"/>
    <w:basedOn w:val="Normal"/>
    <w:rsid w:val="00D8083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74">
    <w:name w:val="xl74"/>
    <w:basedOn w:val="Normal"/>
    <w:rsid w:val="00D80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5">
    <w:name w:val="xl75"/>
    <w:basedOn w:val="Normal"/>
    <w:rsid w:val="00D80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6">
    <w:name w:val="xl76"/>
    <w:basedOn w:val="Normal"/>
    <w:rsid w:val="00D8083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eastAsia="zh-CN"/>
    </w:rPr>
  </w:style>
  <w:style w:type="paragraph" w:customStyle="1" w:styleId="xl77">
    <w:name w:val="xl77"/>
    <w:basedOn w:val="Normal"/>
    <w:rsid w:val="00D8083E"/>
    <w:pPr>
      <w:spacing w:before="100" w:beforeAutospacing="1" w:after="100" w:afterAutospacing="1"/>
      <w:jc w:val="left"/>
      <w:textAlignment w:val="center"/>
    </w:pPr>
    <w:rPr>
      <w:sz w:val="18"/>
      <w:szCs w:val="18"/>
      <w:lang w:val="en-US" w:eastAsia="zh-CN"/>
    </w:rPr>
  </w:style>
  <w:style w:type="paragraph" w:customStyle="1" w:styleId="xl78">
    <w:name w:val="xl78"/>
    <w:basedOn w:val="Normal"/>
    <w:rsid w:val="00D80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508373428">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footer" Target="footer1.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meetings/bs/mop-06/official/mop-06-18-es.pdf" TargetMode="External"/><Relationship Id="rId2" Type="http://schemas.openxmlformats.org/officeDocument/2006/relationships/hyperlink" Target="https://bch.cbd.int/protocol/decisions/decision.shtml?decisionID=12329" TargetMode="External"/><Relationship Id="rId1" Type="http://schemas.openxmlformats.org/officeDocument/2006/relationships/hyperlink" Target="https://www.cbd.int/doc/c/3b80/5796/20c75dfd11569c281b6b163c/cp-mop-10-04-es.pdf" TargetMode="External"/><Relationship Id="rId4" Type="http://schemas.openxmlformats.org/officeDocument/2006/relationships/hyperlink" Target="https://www.cbd.int/doc/c/0069/ee5c/e2cdfdb1252f37b6e10bb6af/sbi-02-16-add1-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19FD1BE09E4923AF80EF4FDE15EC52"/>
        <w:category>
          <w:name w:val="General"/>
          <w:gallery w:val="placeholder"/>
        </w:category>
        <w:types>
          <w:type w:val="bbPlcHdr"/>
        </w:types>
        <w:behaviors>
          <w:behavior w:val="content"/>
        </w:behaviors>
        <w:guid w:val="{2839CAD9-DF48-40E8-9EC5-F506CEB67408}"/>
      </w:docPartPr>
      <w:docPartBody>
        <w:p w:rsidR="00922AD3" w:rsidRDefault="00E71A9F">
          <w:r w:rsidRPr="00B0528E">
            <w:rPr>
              <w:rStyle w:val="PlaceholderText"/>
            </w:rPr>
            <w:t>[Subject]</w:t>
          </w:r>
        </w:p>
      </w:docPartBody>
    </w:docPart>
    <w:docPart>
      <w:docPartPr>
        <w:name w:val="6F674EB3FD754915B2A84F92C86BDCE3"/>
        <w:category>
          <w:name w:val="General"/>
          <w:gallery w:val="placeholder"/>
        </w:category>
        <w:types>
          <w:type w:val="bbPlcHdr"/>
        </w:types>
        <w:behaviors>
          <w:behavior w:val="content"/>
        </w:behaviors>
        <w:guid w:val="{69162198-5BD2-464D-A455-B31103178D94}"/>
      </w:docPartPr>
      <w:docPartBody>
        <w:p w:rsidR="005D39DF" w:rsidRDefault="005D39DF" w:rsidP="005D39DF">
          <w:pPr>
            <w:pStyle w:val="6F674EB3FD754915B2A84F92C86BDCE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0495"/>
    <w:rsid w:val="00025FA8"/>
    <w:rsid w:val="000342DF"/>
    <w:rsid w:val="000416B3"/>
    <w:rsid w:val="0004371D"/>
    <w:rsid w:val="000462FD"/>
    <w:rsid w:val="00090CCC"/>
    <w:rsid w:val="00095AA3"/>
    <w:rsid w:val="000C44F5"/>
    <w:rsid w:val="000F5F4B"/>
    <w:rsid w:val="001365F9"/>
    <w:rsid w:val="00175533"/>
    <w:rsid w:val="0018788D"/>
    <w:rsid w:val="001D08C1"/>
    <w:rsid w:val="00204ED8"/>
    <w:rsid w:val="00235D99"/>
    <w:rsid w:val="00280388"/>
    <w:rsid w:val="00293EF7"/>
    <w:rsid w:val="002B64FF"/>
    <w:rsid w:val="002C3F1A"/>
    <w:rsid w:val="002E024C"/>
    <w:rsid w:val="002F5023"/>
    <w:rsid w:val="003147E7"/>
    <w:rsid w:val="003161D7"/>
    <w:rsid w:val="00316FDD"/>
    <w:rsid w:val="00334D4E"/>
    <w:rsid w:val="003355B8"/>
    <w:rsid w:val="003356FD"/>
    <w:rsid w:val="00377183"/>
    <w:rsid w:val="00382240"/>
    <w:rsid w:val="003E3A5B"/>
    <w:rsid w:val="003E6890"/>
    <w:rsid w:val="004102C1"/>
    <w:rsid w:val="00420803"/>
    <w:rsid w:val="004957CA"/>
    <w:rsid w:val="004C5293"/>
    <w:rsid w:val="004F086B"/>
    <w:rsid w:val="00500A2B"/>
    <w:rsid w:val="00517E50"/>
    <w:rsid w:val="005801A1"/>
    <w:rsid w:val="0058288D"/>
    <w:rsid w:val="00590CF3"/>
    <w:rsid w:val="005B62B8"/>
    <w:rsid w:val="005D39DF"/>
    <w:rsid w:val="005E1DAB"/>
    <w:rsid w:val="005F7933"/>
    <w:rsid w:val="00601B49"/>
    <w:rsid w:val="00602DD3"/>
    <w:rsid w:val="006047BD"/>
    <w:rsid w:val="0061507A"/>
    <w:rsid w:val="006801B3"/>
    <w:rsid w:val="006C1D23"/>
    <w:rsid w:val="006C368E"/>
    <w:rsid w:val="00724B6B"/>
    <w:rsid w:val="00736ECC"/>
    <w:rsid w:val="00773CEF"/>
    <w:rsid w:val="007743E0"/>
    <w:rsid w:val="007C4396"/>
    <w:rsid w:val="007C4C70"/>
    <w:rsid w:val="007E5562"/>
    <w:rsid w:val="0080118F"/>
    <w:rsid w:val="00810A55"/>
    <w:rsid w:val="00825108"/>
    <w:rsid w:val="008350F9"/>
    <w:rsid w:val="00840476"/>
    <w:rsid w:val="00874F2B"/>
    <w:rsid w:val="008C6619"/>
    <w:rsid w:val="008D420E"/>
    <w:rsid w:val="008E3463"/>
    <w:rsid w:val="008F60AA"/>
    <w:rsid w:val="00922AD3"/>
    <w:rsid w:val="00944794"/>
    <w:rsid w:val="00971A74"/>
    <w:rsid w:val="0098140C"/>
    <w:rsid w:val="0098642F"/>
    <w:rsid w:val="009B5A7E"/>
    <w:rsid w:val="00A4311C"/>
    <w:rsid w:val="00A45C58"/>
    <w:rsid w:val="00A50EA3"/>
    <w:rsid w:val="00A97534"/>
    <w:rsid w:val="00AC6C29"/>
    <w:rsid w:val="00AD0E4C"/>
    <w:rsid w:val="00AD3435"/>
    <w:rsid w:val="00AF7FCF"/>
    <w:rsid w:val="00B338F6"/>
    <w:rsid w:val="00B43CDB"/>
    <w:rsid w:val="00B97655"/>
    <w:rsid w:val="00BB7498"/>
    <w:rsid w:val="00BE5E89"/>
    <w:rsid w:val="00BF5CC0"/>
    <w:rsid w:val="00C34A10"/>
    <w:rsid w:val="00C745B9"/>
    <w:rsid w:val="00C9570A"/>
    <w:rsid w:val="00CD0B52"/>
    <w:rsid w:val="00D10070"/>
    <w:rsid w:val="00D43F44"/>
    <w:rsid w:val="00D46BBF"/>
    <w:rsid w:val="00D47623"/>
    <w:rsid w:val="00DA18B2"/>
    <w:rsid w:val="00DB3D05"/>
    <w:rsid w:val="00DC5AE1"/>
    <w:rsid w:val="00DE47E1"/>
    <w:rsid w:val="00DF0F24"/>
    <w:rsid w:val="00DF7B8A"/>
    <w:rsid w:val="00E2068F"/>
    <w:rsid w:val="00E37F2E"/>
    <w:rsid w:val="00E71A9F"/>
    <w:rsid w:val="00E75D63"/>
    <w:rsid w:val="00E971CB"/>
    <w:rsid w:val="00F45C20"/>
    <w:rsid w:val="00F529A7"/>
    <w:rsid w:val="00FB0293"/>
    <w:rsid w:val="00FB2FED"/>
    <w:rsid w:val="00FC3EE6"/>
    <w:rsid w:val="00FD1606"/>
    <w:rsid w:val="00FE14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D39DF"/>
    <w:rPr>
      <w:color w:val="808080"/>
    </w:rPr>
  </w:style>
  <w:style w:type="paragraph" w:customStyle="1" w:styleId="6F674EB3FD754915B2A84F92C86BDCE3">
    <w:name w:val="6F674EB3FD754915B2A84F92C86BDCE3"/>
    <w:rsid w:val="005D39DF"/>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67F04A9-7763-48E3-976B-2570D22EBDEA}">
  <ds:schemaRefs>
    <ds:schemaRef ds:uri="http://schemas.openxmlformats.org/officeDocument/2006/bibliography"/>
  </ds:schemaRefs>
</ds:datastoreItem>
</file>

<file path=customXml/itemProps4.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5.xml><?xml version="1.0" encoding="utf-8"?>
<ds:datastoreItem xmlns:ds="http://schemas.openxmlformats.org/officeDocument/2006/customXml" ds:itemID="{CB9200A7-923D-4900-A13A-E2DB0AC0FF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378</TotalTime>
  <Pages>70</Pages>
  <Words>29827</Words>
  <Characters>170015</Characters>
  <Application>Microsoft Office Word</Application>
  <DocSecurity>0</DocSecurity>
  <Lines>1416</Lines>
  <Paragraphs>398</Paragraphs>
  <ScaleCrop>false</ScaleCrop>
  <HeadingPairs>
    <vt:vector size="2" baseType="variant">
      <vt:variant>
        <vt:lpstr>Title</vt:lpstr>
      </vt:variant>
      <vt:variant>
        <vt:i4>1</vt:i4>
      </vt:variant>
    </vt:vector>
  </HeadingPairs>
  <TitlesOfParts>
    <vt:vector size="1" baseType="lpstr">
      <vt:lpstr>CP-10/2.	Cumplimiento</vt:lpstr>
    </vt:vector>
  </TitlesOfParts>
  <Company>SCBD</Company>
  <LinksUpToDate>false</LinksUpToDate>
  <CharactersWithSpaces>199444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CP-10/2.	Cumplimiento</dc:title>
  <dc:subject>CBD/CP/MOP/10/12</dc:subject>
  <dc:creator>SCBD</dc:creator>
  <cp:keywords>Conference of the Parties serving as the meeting of the Parties to the Cartagena Protocol on Biosafety, tenth meeting</cp:keywords>
  <dc:description/>
  <cp:lastModifiedBy>Lisa Pedicelli</cp:lastModifiedBy>
  <cp:revision>36</cp:revision>
  <cp:lastPrinted>2023-12-06T23:19:00Z</cp:lastPrinted>
  <dcterms:created xsi:type="dcterms:W3CDTF">2023-12-06T15:48:00Z</dcterms:created>
  <dcterms:modified xsi:type="dcterms:W3CDTF">2024-02-07T19:24:00Z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d3c7b8af3e8b8651484f4c7aafb0841a55c27152ab054f8eb85e3126927c1af5</vt:lpwstr>
  </property>
</Properties>
</file>