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0A4D5C" w:rsidTr="00AA5D23">
        <w:trPr>
          <w:cantSplit/>
          <w:trHeight w:val="1077"/>
        </w:trPr>
        <w:tc>
          <w:tcPr>
            <w:tcW w:w="6588" w:type="dxa"/>
            <w:gridSpan w:val="2"/>
            <w:tcBorders>
              <w:top w:val="nil"/>
              <w:left w:val="nil"/>
              <w:bottom w:val="single" w:sz="12" w:space="0" w:color="auto"/>
              <w:right w:val="nil"/>
            </w:tcBorders>
          </w:tcPr>
          <w:p w:rsidR="000A4D5C" w:rsidRPr="00AA5D23" w:rsidRDefault="000A4D5C" w:rsidP="00C4441D">
            <w:pPr>
              <w:rPr>
                <w:rFonts w:cs="Times New Roman" w:hint="cs"/>
                <w:b/>
                <w:bCs/>
                <w:sz w:val="22"/>
                <w:szCs w:val="22"/>
                <w:lang w:bidi="ar-EG"/>
              </w:rPr>
            </w:pPr>
            <w:bookmarkStart w:id="0" w:name="_GoBack"/>
            <w:bookmarkEnd w:id="0"/>
          </w:p>
          <w:p w:rsidR="000A4D5C" w:rsidRPr="004E3065" w:rsidRDefault="000A4D5C" w:rsidP="00AA5D23">
            <w:pPr>
              <w:bidi w:val="0"/>
              <w:rPr>
                <w:rFonts w:ascii="Arial" w:hAnsi="Arial" w:cs="Arial"/>
                <w:iCs/>
                <w:sz w:val="32"/>
                <w:szCs w:val="32"/>
                <w:lang w:bidi="ar-EG"/>
              </w:rPr>
            </w:pPr>
            <w:bookmarkStart w:id="1" w:name="_Toc341821748"/>
            <w:bookmarkStart w:id="2" w:name="_Toc341823158"/>
            <w:r w:rsidRPr="004E3065">
              <w:rPr>
                <w:rFonts w:ascii="Arial" w:hAnsi="Arial" w:cs="Arial"/>
                <w:b/>
                <w:bCs/>
                <w:iCs/>
                <w:sz w:val="32"/>
                <w:szCs w:val="32"/>
              </w:rPr>
              <w:t>CBD</w:t>
            </w:r>
            <w:bookmarkEnd w:id="1"/>
            <w:bookmarkEnd w:id="2"/>
          </w:p>
        </w:tc>
        <w:tc>
          <w:tcPr>
            <w:tcW w:w="1440" w:type="dxa"/>
            <w:tcBorders>
              <w:top w:val="nil"/>
              <w:left w:val="nil"/>
              <w:bottom w:val="single" w:sz="12" w:space="0" w:color="auto"/>
              <w:right w:val="nil"/>
            </w:tcBorders>
          </w:tcPr>
          <w:p w:rsidR="000A4D5C" w:rsidRDefault="001F0F60" w:rsidP="00C4441D">
            <w:pPr>
              <w:rPr>
                <w:b/>
                <w:bCs/>
                <w:rtl/>
                <w:lang w:bidi="ar-EG"/>
              </w:rPr>
            </w:pPr>
            <w:r w:rsidRPr="001F0F60">
              <w:rPr>
                <w:b/>
                <w:bCs/>
                <w:noProof/>
                <w:rtl/>
              </w:rPr>
              <w:pict>
                <v:group id="_x0000_s1032" style="position:absolute;left:0;text-align:left;margin-left:42.85pt;margin-top:2.45pt;width:97.2pt;height:43.2pt;z-index:251657728;mso-position-horizontal-relative:text;mso-position-vertical-relative:text" coordorigin="8885,351" coordsize="194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8885;top:351;width:732;height:864;visibility:visible;mso-position-horizontal-relative:margin;mso-position-vertical-relative:margin" o:regroupid="1">
                    <v:imagedata r:id="rId8" o:title="unep-old"/>
                  </v:shape>
                  <v:shape id="Picture 1" o:spid="_x0000_s1031" type="#_x0000_t75" alt="Macintosh HD:Users:bilodeau:Desktop:logos:template 2017:un.emf" style="position:absolute;left:9975;top:351;width:854;height:720;visibility:visible;mso-position-horizontal-relative:margin;mso-position-vertical-relative:margin" o:regroupid="1">
                    <v:imagedata r:id="rId9" o:title="un"/>
                  </v:shape>
                </v:group>
              </w:pict>
            </w:r>
          </w:p>
        </w:tc>
        <w:tc>
          <w:tcPr>
            <w:tcW w:w="1620" w:type="dxa"/>
            <w:tcBorders>
              <w:top w:val="nil"/>
              <w:left w:val="nil"/>
              <w:bottom w:val="single" w:sz="12" w:space="0" w:color="auto"/>
              <w:right w:val="nil"/>
            </w:tcBorders>
          </w:tcPr>
          <w:p w:rsidR="000A4D5C" w:rsidRDefault="000A4D5C" w:rsidP="00AA5D23">
            <w:pPr>
              <w:rPr>
                <w:lang w:bidi="ar-EG"/>
              </w:rPr>
            </w:pPr>
          </w:p>
        </w:tc>
      </w:tr>
      <w:tr w:rsidR="000A4D5C" w:rsidTr="00C4441D">
        <w:trPr>
          <w:cantSplit/>
          <w:trHeight w:val="1401"/>
        </w:trPr>
        <w:tc>
          <w:tcPr>
            <w:tcW w:w="3810" w:type="dxa"/>
            <w:tcBorders>
              <w:top w:val="nil"/>
              <w:left w:val="nil"/>
              <w:bottom w:val="single" w:sz="24" w:space="0" w:color="auto"/>
              <w:right w:val="nil"/>
            </w:tcBorders>
          </w:tcPr>
          <w:p w:rsidR="000A4D5C" w:rsidRPr="003B3FAC" w:rsidRDefault="000A4D5C" w:rsidP="00AA5D23">
            <w:pPr>
              <w:bidi w:val="0"/>
              <w:spacing w:line="240" w:lineRule="auto"/>
              <w:rPr>
                <w:sz w:val="22"/>
                <w:szCs w:val="22"/>
                <w:lang w:val="en-CA"/>
              </w:rPr>
            </w:pPr>
            <w:r w:rsidRPr="003B3FAC">
              <w:rPr>
                <w:sz w:val="22"/>
                <w:szCs w:val="22"/>
                <w:lang w:val="en-CA"/>
              </w:rPr>
              <w:t>Distr.</w:t>
            </w:r>
          </w:p>
          <w:p w:rsidR="000A4D5C" w:rsidRPr="00C33C90" w:rsidRDefault="00A1113E" w:rsidP="00AA5D23">
            <w:pPr>
              <w:bidi w:val="0"/>
              <w:spacing w:line="240" w:lineRule="auto"/>
              <w:rPr>
                <w:sz w:val="22"/>
                <w:szCs w:val="22"/>
                <w:lang w:val="en-CA"/>
              </w:rPr>
            </w:pPr>
            <w:r>
              <w:rPr>
                <w:sz w:val="22"/>
                <w:szCs w:val="22"/>
                <w:lang w:val="en-CA"/>
              </w:rPr>
              <w:t>GENERAL</w:t>
            </w:r>
          </w:p>
          <w:p w:rsidR="000A4D5C" w:rsidRPr="00B555BB" w:rsidRDefault="000A4D5C" w:rsidP="00AA5D23">
            <w:pPr>
              <w:bidi w:val="0"/>
              <w:spacing w:line="240" w:lineRule="auto"/>
              <w:rPr>
                <w:sz w:val="22"/>
                <w:szCs w:val="22"/>
              </w:rPr>
            </w:pPr>
          </w:p>
          <w:p w:rsidR="007F69C1" w:rsidRPr="007F69C1" w:rsidRDefault="007F69C1" w:rsidP="007C29FC">
            <w:pPr>
              <w:bidi w:val="0"/>
              <w:spacing w:line="240" w:lineRule="auto"/>
              <w:rPr>
                <w:sz w:val="22"/>
                <w:szCs w:val="22"/>
                <w:lang w:val="en-GB"/>
              </w:rPr>
            </w:pPr>
            <w:r w:rsidRPr="007F69C1">
              <w:rPr>
                <w:sz w:val="22"/>
                <w:szCs w:val="22"/>
                <w:lang w:val="en-GB"/>
              </w:rPr>
              <w:t>CBD/SBI/2/</w:t>
            </w:r>
            <w:r w:rsidR="007C29FC">
              <w:rPr>
                <w:rFonts w:hint="cs"/>
                <w:sz w:val="22"/>
                <w:szCs w:val="22"/>
                <w:rtl/>
                <w:lang w:val="en-GB"/>
              </w:rPr>
              <w:t>5</w:t>
            </w:r>
          </w:p>
          <w:p w:rsidR="007F69C1" w:rsidRPr="007F69C1" w:rsidRDefault="007C29FC" w:rsidP="00B95C9F">
            <w:pPr>
              <w:bidi w:val="0"/>
              <w:spacing w:line="240" w:lineRule="auto"/>
              <w:rPr>
                <w:sz w:val="22"/>
                <w:szCs w:val="22"/>
                <w:lang w:val="en-GB"/>
              </w:rPr>
            </w:pPr>
            <w:r>
              <w:rPr>
                <w:rFonts w:hint="cs"/>
                <w:sz w:val="22"/>
                <w:szCs w:val="22"/>
                <w:rtl/>
                <w:lang w:val="en-GB"/>
              </w:rPr>
              <w:t>18</w:t>
            </w:r>
            <w:r>
              <w:rPr>
                <w:sz w:val="22"/>
                <w:szCs w:val="22"/>
              </w:rPr>
              <w:t xml:space="preserve"> May</w:t>
            </w:r>
            <w:r w:rsidR="00B95C9F">
              <w:rPr>
                <w:sz w:val="22"/>
                <w:szCs w:val="22"/>
                <w:lang w:val="en-GB"/>
              </w:rPr>
              <w:t xml:space="preserve"> 2018</w:t>
            </w:r>
          </w:p>
          <w:p w:rsidR="000A4D5C" w:rsidRPr="006C2998" w:rsidRDefault="000A4D5C" w:rsidP="00AA5D23">
            <w:pPr>
              <w:bidi w:val="0"/>
              <w:spacing w:line="240" w:lineRule="auto"/>
              <w:rPr>
                <w:sz w:val="22"/>
                <w:szCs w:val="22"/>
                <w:lang w:val="en-CA"/>
              </w:rPr>
            </w:pPr>
          </w:p>
          <w:p w:rsidR="000A4D5C" w:rsidRPr="006C2998" w:rsidRDefault="000A4D5C" w:rsidP="00AA5D23">
            <w:pPr>
              <w:bidi w:val="0"/>
              <w:spacing w:line="240" w:lineRule="auto"/>
              <w:rPr>
                <w:sz w:val="22"/>
                <w:szCs w:val="22"/>
                <w:lang w:val="en-CA"/>
              </w:rPr>
            </w:pPr>
            <w:r w:rsidRPr="006C2998">
              <w:rPr>
                <w:sz w:val="22"/>
                <w:szCs w:val="22"/>
                <w:lang w:val="en-CA"/>
              </w:rPr>
              <w:t>ARABIC</w:t>
            </w:r>
          </w:p>
          <w:p w:rsidR="000A4D5C" w:rsidRPr="006C2998" w:rsidRDefault="000A4D5C" w:rsidP="00AA5D23">
            <w:pPr>
              <w:bidi w:val="0"/>
              <w:spacing w:line="240" w:lineRule="auto"/>
              <w:rPr>
                <w:sz w:val="22"/>
                <w:szCs w:val="22"/>
                <w:lang w:val="en-CA" w:bidi="ar-EG"/>
              </w:rPr>
            </w:pPr>
            <w:r w:rsidRPr="006C2998">
              <w:rPr>
                <w:sz w:val="22"/>
                <w:szCs w:val="22"/>
                <w:lang w:val="en-CA"/>
              </w:rPr>
              <w:t>ORIGINAL:  ENGLISH</w:t>
            </w:r>
          </w:p>
        </w:tc>
        <w:tc>
          <w:tcPr>
            <w:tcW w:w="5838" w:type="dxa"/>
            <w:gridSpan w:val="3"/>
            <w:tcBorders>
              <w:top w:val="nil"/>
              <w:left w:val="nil"/>
              <w:bottom w:val="single" w:sz="24" w:space="0" w:color="auto"/>
              <w:right w:val="nil"/>
            </w:tcBorders>
            <w:vAlign w:val="center"/>
          </w:tcPr>
          <w:p w:rsidR="000A4D5C" w:rsidRPr="00F54ABE" w:rsidRDefault="007C29FC" w:rsidP="00C4441D">
            <w:pPr>
              <w:tabs>
                <w:tab w:val="left" w:pos="-720"/>
              </w:tabs>
              <w:suppressAutoHyphens/>
              <w:spacing w:before="120"/>
              <w:rPr>
                <w:rtl/>
                <w:lang w:bidi="ar-EG"/>
              </w:rPr>
            </w:pPr>
            <w:r>
              <w:rPr>
                <w:b/>
                <w:bCs/>
                <w:noProof/>
                <w:sz w:val="36"/>
                <w:szCs w:val="36"/>
                <w:lang w:val="en-CA" w:eastAsia="en-CA"/>
              </w:rPr>
              <w:drawing>
                <wp:inline distT="0" distB="0" distL="0" distR="0">
                  <wp:extent cx="2533650" cy="1019175"/>
                  <wp:effectExtent l="19050" t="0" r="0" b="0"/>
                  <wp:docPr id="1"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c>
      </w:tr>
    </w:tbl>
    <w:p w:rsidR="00E43397" w:rsidRDefault="007F69C1" w:rsidP="00E43397">
      <w:pPr>
        <w:spacing w:before="60"/>
        <w:ind w:left="302" w:right="302" w:hanging="302"/>
        <w:rPr>
          <w:b/>
          <w:bCs/>
          <w:sz w:val="26"/>
          <w:szCs w:val="26"/>
          <w:rtl/>
          <w:lang w:bidi="ar-EG"/>
        </w:rPr>
      </w:pPr>
      <w:r>
        <w:rPr>
          <w:rFonts w:hint="cs"/>
          <w:b/>
          <w:bCs/>
          <w:sz w:val="26"/>
          <w:szCs w:val="26"/>
          <w:rtl/>
        </w:rPr>
        <w:t>الهيئة الفرعية للتنفيذ</w:t>
      </w:r>
    </w:p>
    <w:p w:rsidR="000A4D5C" w:rsidRPr="00F760E4" w:rsidRDefault="000A4D5C" w:rsidP="00B7408E">
      <w:pPr>
        <w:pStyle w:val="Heading7"/>
        <w:spacing w:before="0" w:after="0"/>
        <w:jc w:val="both"/>
        <w:rPr>
          <w:rFonts w:cs="Simplified Arabic"/>
          <w:sz w:val="26"/>
          <w:szCs w:val="26"/>
          <w:rtl/>
          <w:lang w:bidi="ar-EG"/>
        </w:rPr>
      </w:pPr>
      <w:r w:rsidRPr="00F760E4">
        <w:rPr>
          <w:rFonts w:cs="Simplified Arabic" w:hint="cs"/>
          <w:sz w:val="26"/>
          <w:szCs w:val="26"/>
          <w:rtl/>
        </w:rPr>
        <w:t>الاجتماع</w:t>
      </w:r>
      <w:r w:rsidRPr="00F760E4">
        <w:rPr>
          <w:rFonts w:cs="Simplified Arabic" w:hint="cs"/>
          <w:sz w:val="26"/>
          <w:szCs w:val="26"/>
          <w:rtl/>
          <w:lang w:bidi="ar-EG"/>
        </w:rPr>
        <w:t xml:space="preserve"> </w:t>
      </w:r>
      <w:r w:rsidR="00B7408E">
        <w:rPr>
          <w:rFonts w:cs="Simplified Arabic" w:hint="cs"/>
          <w:sz w:val="26"/>
          <w:szCs w:val="26"/>
          <w:rtl/>
          <w:lang w:bidi="ar-EG"/>
        </w:rPr>
        <w:t>ال</w:t>
      </w:r>
      <w:r w:rsidR="007F69C1">
        <w:rPr>
          <w:rFonts w:cs="Simplified Arabic" w:hint="cs"/>
          <w:sz w:val="26"/>
          <w:szCs w:val="26"/>
          <w:rtl/>
          <w:lang w:bidi="ar-EG"/>
        </w:rPr>
        <w:t>ثاني</w:t>
      </w:r>
    </w:p>
    <w:p w:rsidR="000A4D5C" w:rsidRDefault="007F69C1" w:rsidP="00B7408E">
      <w:pPr>
        <w:jc w:val="both"/>
        <w:rPr>
          <w:sz w:val="26"/>
          <w:szCs w:val="26"/>
          <w:rtl/>
          <w:lang w:bidi="ar-EG"/>
        </w:rPr>
      </w:pPr>
      <w:r>
        <w:rPr>
          <w:rFonts w:hint="cs"/>
          <w:sz w:val="26"/>
          <w:szCs w:val="26"/>
          <w:rtl/>
          <w:lang w:bidi="ar-LY"/>
        </w:rPr>
        <w:t>مونتريال</w:t>
      </w:r>
      <w:r w:rsidR="00B7408E">
        <w:rPr>
          <w:rFonts w:hint="cs"/>
          <w:sz w:val="26"/>
          <w:szCs w:val="26"/>
          <w:rtl/>
          <w:lang w:bidi="ar-LY"/>
        </w:rPr>
        <w:t xml:space="preserve">، </w:t>
      </w:r>
      <w:r>
        <w:rPr>
          <w:rFonts w:hint="cs"/>
          <w:sz w:val="26"/>
          <w:szCs w:val="26"/>
          <w:rtl/>
          <w:lang w:bidi="ar-LY"/>
        </w:rPr>
        <w:t>كندا</w:t>
      </w:r>
      <w:r w:rsidR="000A4D5C">
        <w:rPr>
          <w:rFonts w:hint="cs"/>
          <w:sz w:val="26"/>
          <w:szCs w:val="26"/>
          <w:rtl/>
          <w:lang w:bidi="ar-LY"/>
        </w:rPr>
        <w:t xml:space="preserve">، </w:t>
      </w:r>
      <w:r>
        <w:rPr>
          <w:rFonts w:hint="cs"/>
          <w:sz w:val="26"/>
          <w:szCs w:val="26"/>
          <w:rtl/>
          <w:lang w:bidi="ar-LY"/>
        </w:rPr>
        <w:t>9</w:t>
      </w:r>
      <w:r w:rsidR="000A4D5C">
        <w:rPr>
          <w:rFonts w:hint="cs"/>
          <w:sz w:val="26"/>
          <w:szCs w:val="26"/>
          <w:rtl/>
          <w:lang w:bidi="ar-LY"/>
        </w:rPr>
        <w:t>-1</w:t>
      </w:r>
      <w:r>
        <w:rPr>
          <w:rFonts w:hint="cs"/>
          <w:sz w:val="26"/>
          <w:szCs w:val="26"/>
          <w:rtl/>
          <w:lang w:bidi="ar-LY"/>
        </w:rPr>
        <w:t>3</w:t>
      </w:r>
      <w:r w:rsidR="000A4D5C">
        <w:rPr>
          <w:rFonts w:hint="cs"/>
          <w:sz w:val="26"/>
          <w:szCs w:val="26"/>
          <w:rtl/>
          <w:lang w:bidi="ar-LY"/>
        </w:rPr>
        <w:t xml:space="preserve"> </w:t>
      </w:r>
      <w:r>
        <w:rPr>
          <w:rFonts w:hint="cs"/>
          <w:sz w:val="26"/>
          <w:szCs w:val="26"/>
          <w:rtl/>
          <w:lang w:bidi="ar-LY"/>
        </w:rPr>
        <w:t>يوليه</w:t>
      </w:r>
      <w:r w:rsidR="000812CF">
        <w:rPr>
          <w:rFonts w:hint="cs"/>
          <w:sz w:val="26"/>
          <w:szCs w:val="26"/>
          <w:rtl/>
          <w:lang w:bidi="ar-LY"/>
        </w:rPr>
        <w:t>/</w:t>
      </w:r>
      <w:r>
        <w:rPr>
          <w:rFonts w:hint="cs"/>
          <w:sz w:val="26"/>
          <w:szCs w:val="26"/>
          <w:rtl/>
          <w:lang w:bidi="ar-LY"/>
        </w:rPr>
        <w:t>تموز</w:t>
      </w:r>
      <w:r w:rsidR="00282D12">
        <w:rPr>
          <w:rFonts w:hint="cs"/>
          <w:sz w:val="26"/>
          <w:szCs w:val="26"/>
          <w:rtl/>
          <w:lang w:bidi="ar-EG"/>
        </w:rPr>
        <w:t xml:space="preserve"> 201</w:t>
      </w:r>
      <w:r>
        <w:rPr>
          <w:rFonts w:hint="cs"/>
          <w:sz w:val="26"/>
          <w:szCs w:val="26"/>
          <w:rtl/>
          <w:lang w:bidi="ar-EG"/>
        </w:rPr>
        <w:t>8</w:t>
      </w:r>
    </w:p>
    <w:p w:rsidR="007F69C1" w:rsidRPr="007F69C1" w:rsidRDefault="007F69C1" w:rsidP="00610EA4">
      <w:pPr>
        <w:jc w:val="both"/>
        <w:rPr>
          <w:sz w:val="26"/>
          <w:szCs w:val="26"/>
          <w:rtl/>
          <w:lang w:val="fr-CH" w:bidi="ar-EG"/>
        </w:rPr>
      </w:pPr>
      <w:r>
        <w:rPr>
          <w:rFonts w:hint="cs"/>
          <w:sz w:val="26"/>
          <w:szCs w:val="26"/>
          <w:rtl/>
          <w:lang w:bidi="ar-EG"/>
        </w:rPr>
        <w:t xml:space="preserve">البند </w:t>
      </w:r>
      <w:r w:rsidR="00AA5D23">
        <w:rPr>
          <w:rFonts w:hint="cs"/>
          <w:sz w:val="26"/>
          <w:szCs w:val="26"/>
          <w:rtl/>
          <w:lang w:bidi="ar-EG"/>
        </w:rPr>
        <w:t>15</w:t>
      </w:r>
      <w:r>
        <w:rPr>
          <w:rFonts w:hint="cs"/>
          <w:sz w:val="26"/>
          <w:szCs w:val="26"/>
          <w:rtl/>
          <w:lang w:bidi="ar-EG"/>
        </w:rPr>
        <w:t xml:space="preserve"> من جدول الأعمال المؤقت</w:t>
      </w:r>
      <w:r w:rsidR="00610EA4">
        <w:rPr>
          <w:rStyle w:val="FootnoteReference"/>
          <w:sz w:val="26"/>
          <w:szCs w:val="26"/>
          <w:rtl/>
          <w:lang w:val="fr-CH" w:bidi="ar-EG"/>
        </w:rPr>
        <w:footnoteReference w:customMarkFollows="1" w:id="1"/>
        <w:t>*</w:t>
      </w:r>
    </w:p>
    <w:p w:rsidR="000A4D5C" w:rsidRPr="00C8118F" w:rsidRDefault="000A4D5C" w:rsidP="000A4D5C">
      <w:pPr>
        <w:spacing w:line="120" w:lineRule="auto"/>
        <w:jc w:val="both"/>
        <w:rPr>
          <w:rtl/>
          <w:lang w:bidi="ar-EG"/>
        </w:rPr>
      </w:pPr>
    </w:p>
    <w:p w:rsidR="00EC6864" w:rsidRDefault="00B345B4" w:rsidP="00EC6864">
      <w:pPr>
        <w:jc w:val="center"/>
        <w:rPr>
          <w:b/>
          <w:bCs/>
          <w:sz w:val="28"/>
          <w:szCs w:val="28"/>
          <w:rtl/>
          <w:lang w:val="en-GB" w:bidi="ar-EG"/>
        </w:rPr>
      </w:pPr>
      <w:r>
        <w:rPr>
          <w:rFonts w:hint="cs"/>
          <w:b/>
          <w:bCs/>
          <w:sz w:val="28"/>
          <w:szCs w:val="28"/>
          <w:rtl/>
          <w:lang w:val="en-GB" w:bidi="ar-EG"/>
        </w:rPr>
        <w:t xml:space="preserve">الآلية العالمية </w:t>
      </w:r>
      <w:r w:rsidR="00EC6864">
        <w:rPr>
          <w:rFonts w:hint="cs"/>
          <w:b/>
          <w:bCs/>
          <w:sz w:val="28"/>
          <w:szCs w:val="28"/>
          <w:rtl/>
          <w:lang w:val="en-GB" w:bidi="ar-EG"/>
        </w:rPr>
        <w:t>المتعددة الأطراف لتقاسم المنافع</w:t>
      </w:r>
    </w:p>
    <w:p w:rsidR="00B7408E" w:rsidRPr="00B95C9F" w:rsidRDefault="00B345B4" w:rsidP="00A733B2">
      <w:pPr>
        <w:spacing w:after="120"/>
        <w:jc w:val="center"/>
        <w:rPr>
          <w:b/>
          <w:bCs/>
          <w:sz w:val="28"/>
          <w:szCs w:val="28"/>
          <w:rtl/>
          <w:lang w:val="en-GB" w:bidi="ar-EG"/>
        </w:rPr>
      </w:pPr>
      <w:r>
        <w:rPr>
          <w:rFonts w:hint="cs"/>
          <w:b/>
          <w:bCs/>
          <w:sz w:val="28"/>
          <w:szCs w:val="28"/>
          <w:rtl/>
          <w:lang w:val="en-GB" w:bidi="ar-EG"/>
        </w:rPr>
        <w:t>(المادة 10 من بروتوكول ناغويا)</w:t>
      </w:r>
    </w:p>
    <w:p w:rsidR="00B95C9F" w:rsidRDefault="00B95C9F" w:rsidP="009213DD">
      <w:pPr>
        <w:spacing w:after="120" w:line="204" w:lineRule="auto"/>
        <w:jc w:val="center"/>
        <w:rPr>
          <w:i/>
          <w:iCs/>
          <w:sz w:val="22"/>
          <w:rtl/>
          <w:lang w:val="en-GB" w:bidi="ar-EG"/>
        </w:rPr>
      </w:pPr>
      <w:r w:rsidRPr="00A733B2">
        <w:rPr>
          <w:rFonts w:hint="cs"/>
          <w:i/>
          <w:iCs/>
          <w:sz w:val="22"/>
          <w:rtl/>
          <w:lang w:val="en-GB" w:bidi="ar-EG"/>
        </w:rPr>
        <w:t>مذكرة من الأمينة التنفيذية</w:t>
      </w:r>
    </w:p>
    <w:p w:rsidR="00EC6864" w:rsidRPr="00EC6864" w:rsidRDefault="00EC6864" w:rsidP="009213DD">
      <w:pPr>
        <w:spacing w:after="120" w:line="204" w:lineRule="auto"/>
        <w:jc w:val="center"/>
        <w:rPr>
          <w:b/>
          <w:bCs/>
          <w:sz w:val="28"/>
          <w:szCs w:val="28"/>
          <w:rtl/>
          <w:lang w:val="en-GB" w:bidi="ar-EG"/>
        </w:rPr>
      </w:pPr>
      <w:r w:rsidRPr="00EC6864">
        <w:rPr>
          <w:rFonts w:hint="cs"/>
          <w:b/>
          <w:bCs/>
          <w:sz w:val="28"/>
          <w:szCs w:val="28"/>
          <w:rtl/>
          <w:lang w:val="en-GB" w:bidi="ar-EG"/>
        </w:rPr>
        <w:t>مقدمة</w:t>
      </w:r>
    </w:p>
    <w:p w:rsidR="00B95C9F" w:rsidRPr="00A733B2" w:rsidRDefault="00CD0CFB" w:rsidP="007665C5">
      <w:pPr>
        <w:numPr>
          <w:ilvl w:val="0"/>
          <w:numId w:val="27"/>
        </w:numPr>
        <w:spacing w:after="100" w:line="204" w:lineRule="auto"/>
        <w:ind w:left="0" w:firstLine="0"/>
        <w:jc w:val="both"/>
        <w:rPr>
          <w:sz w:val="22"/>
          <w:lang w:val="en-GB" w:bidi="ar-EG"/>
        </w:rPr>
      </w:pPr>
      <w:r w:rsidRPr="00A733B2">
        <w:rPr>
          <w:rFonts w:hint="cs"/>
          <w:sz w:val="22"/>
          <w:rtl/>
          <w:lang w:val="en-GB" w:bidi="ar-EG"/>
        </w:rPr>
        <w:t>تنص المادة 19 من بروتوكول ناغويا على ما يلي:</w:t>
      </w:r>
    </w:p>
    <w:p w:rsidR="00CD0CFB" w:rsidRPr="00A733B2" w:rsidRDefault="00CD0CFB" w:rsidP="007665C5">
      <w:pPr>
        <w:spacing w:after="100" w:line="204" w:lineRule="auto"/>
        <w:ind w:left="720"/>
        <w:jc w:val="both"/>
        <w:rPr>
          <w:sz w:val="22"/>
          <w:lang w:val="en-GB" w:bidi="ar-EG"/>
        </w:rPr>
      </w:pPr>
      <w:r w:rsidRPr="00A733B2">
        <w:rPr>
          <w:rFonts w:hint="cs"/>
          <w:sz w:val="22"/>
          <w:rtl/>
          <w:lang w:bidi="ar-EG"/>
        </w:rPr>
        <w:t>على الأطراف النظر في الحاجة إلى آلية عالمية متعددة الأطراف لتقاسم المنافع وأساليب هذه الآلية لمعالجة التقاسم العادل والمنصف للمنافع الناشئة عن استخدام الموارد الجينية والمعارف التقليدية المرتبطة بالموارد الجينية التي تحدث في حالات عبور الحدود أو التي لا يكون من الممكن منح الموافقة المسبقة عن علم أو الحصول عليها. وتستخدم منافع الموارد الجينية التي يتقاسمها المستخدمون والمعارف التقليدية المرتبطة بالموارد الجينية من خلال هذه الآلية لدعم حفظ التنوع البيولوجي والاستخدام المستدام لمكوناته على المستوى العالمي.</w:t>
      </w:r>
    </w:p>
    <w:p w:rsidR="00B345B4" w:rsidRPr="00A733B2" w:rsidRDefault="00CD0CFB" w:rsidP="007665C5">
      <w:pPr>
        <w:numPr>
          <w:ilvl w:val="0"/>
          <w:numId w:val="27"/>
        </w:numPr>
        <w:spacing w:after="100" w:line="204" w:lineRule="auto"/>
        <w:ind w:left="0" w:firstLine="0"/>
        <w:jc w:val="both"/>
        <w:rPr>
          <w:sz w:val="22"/>
          <w:lang w:val="en-GB" w:bidi="ar-EG"/>
        </w:rPr>
      </w:pPr>
      <w:r w:rsidRPr="00A733B2">
        <w:rPr>
          <w:rFonts w:hint="cs"/>
          <w:sz w:val="22"/>
          <w:rtl/>
          <w:lang w:val="en-GB" w:bidi="ar-EG"/>
        </w:rPr>
        <w:t xml:space="preserve">وفي اجتماعه الثاني، اعتمد مؤتمر الأطراف العامل كاجتماع للأطراف في بروتوكول ناغويا المقرر </w:t>
      </w:r>
      <w:hyperlink r:id="rId11" w:history="1">
        <w:r w:rsidRPr="00A733B2">
          <w:rPr>
            <w:rStyle w:val="Hyperlink"/>
            <w:sz w:val="22"/>
          </w:rPr>
          <w:t>NP-2/10</w:t>
        </w:r>
      </w:hyperlink>
      <w:r w:rsidRPr="00A733B2">
        <w:rPr>
          <w:rFonts w:hint="cs"/>
          <w:sz w:val="22"/>
          <w:rtl/>
          <w:lang w:val="en-GB" w:bidi="ar-EG"/>
        </w:rPr>
        <w:t xml:space="preserve"> بشأن </w:t>
      </w:r>
      <w:r w:rsidR="00D945E2" w:rsidRPr="00A733B2">
        <w:rPr>
          <w:rFonts w:hint="cs"/>
          <w:sz w:val="22"/>
          <w:rtl/>
          <w:lang w:bidi="ar-SY"/>
        </w:rPr>
        <w:t>"</w:t>
      </w:r>
      <w:r w:rsidRPr="00A733B2">
        <w:rPr>
          <w:rFonts w:hint="cs"/>
          <w:sz w:val="22"/>
          <w:rtl/>
          <w:lang w:bidi="ar-SY"/>
        </w:rPr>
        <w:t xml:space="preserve">الحاجة </w:t>
      </w:r>
      <w:r w:rsidRPr="00A733B2">
        <w:rPr>
          <w:rFonts w:hint="cs"/>
          <w:sz w:val="22"/>
          <w:rtl/>
          <w:lang w:bidi="ar-EG"/>
        </w:rPr>
        <w:t xml:space="preserve">إلى آلية عالمية متعددة الأطراف لتقاسم المنافع </w:t>
      </w:r>
      <w:r w:rsidRPr="00A733B2">
        <w:rPr>
          <w:rFonts w:hint="cs"/>
          <w:sz w:val="22"/>
          <w:rtl/>
          <w:lang w:bidi="ar-SY"/>
        </w:rPr>
        <w:t>وطرائق ذلك (الما</w:t>
      </w:r>
      <w:r w:rsidRPr="00A733B2">
        <w:rPr>
          <w:rFonts w:hint="cs"/>
          <w:sz w:val="22"/>
          <w:rtl/>
          <w:lang w:bidi="ar-EG"/>
        </w:rPr>
        <w:t>د</w:t>
      </w:r>
      <w:r w:rsidRPr="00A733B2">
        <w:rPr>
          <w:rFonts w:hint="cs"/>
          <w:sz w:val="22"/>
          <w:rtl/>
          <w:lang w:bidi="ar-SY"/>
        </w:rPr>
        <w:t>ة 10)</w:t>
      </w:r>
      <w:r w:rsidRPr="00A733B2">
        <w:rPr>
          <w:rFonts w:hint="cs"/>
          <w:sz w:val="22"/>
          <w:rtl/>
          <w:lang w:val="en-GB" w:bidi="ar-EG"/>
        </w:rPr>
        <w:t>"</w:t>
      </w:r>
      <w:r w:rsidR="00B345B4" w:rsidRPr="00A733B2">
        <w:rPr>
          <w:rFonts w:hint="cs"/>
          <w:sz w:val="22"/>
          <w:rtl/>
          <w:lang w:val="en-GB" w:bidi="ar-EG"/>
        </w:rPr>
        <w:t>.</w:t>
      </w:r>
      <w:r w:rsidR="00D945E2" w:rsidRPr="00A733B2">
        <w:rPr>
          <w:rFonts w:hint="cs"/>
          <w:sz w:val="22"/>
          <w:rtl/>
          <w:lang w:val="en-GB" w:bidi="ar-EG"/>
        </w:rPr>
        <w:t xml:space="preserve"> ولاحظ المقرر، ضمن جملة أمور أن </w:t>
      </w:r>
      <w:r w:rsidR="00D945E2" w:rsidRPr="00A733B2">
        <w:rPr>
          <w:rFonts w:hint="cs"/>
          <w:i/>
          <w:sz w:val="22"/>
          <w:rtl/>
          <w:lang w:bidi="ar-EG"/>
        </w:rPr>
        <w:t>الأمر يحتاج إلى المزيد من المعلومات والخبرات بشأن تنفيذ بروتوكول ناغويا، "بما في ذلك تلك الضرورية لتحقيق الاستنارة للمداولات التي تجري بمقتضى المادة 10" (الفقرة 1).</w:t>
      </w:r>
    </w:p>
    <w:p w:rsidR="00B345B4" w:rsidRPr="00A733B2" w:rsidRDefault="00D945E2" w:rsidP="007665C5">
      <w:pPr>
        <w:numPr>
          <w:ilvl w:val="0"/>
          <w:numId w:val="27"/>
        </w:numPr>
        <w:spacing w:after="100" w:line="204" w:lineRule="auto"/>
        <w:ind w:left="0" w:firstLine="0"/>
        <w:jc w:val="both"/>
        <w:rPr>
          <w:sz w:val="22"/>
          <w:lang w:val="en-GB" w:bidi="ar-EG"/>
        </w:rPr>
      </w:pPr>
      <w:r w:rsidRPr="00A733B2">
        <w:rPr>
          <w:rFonts w:hint="cs"/>
          <w:sz w:val="22"/>
          <w:rtl/>
          <w:lang w:val="en-GB" w:bidi="ar-EG"/>
        </w:rPr>
        <w:t>ودعا المقرر إلى تقديم المعلومات عن مختلف الجوانب ذات الصلة بالمادة 10 على النحو التالي</w:t>
      </w:r>
      <w:r w:rsidR="00B345B4" w:rsidRPr="00A733B2">
        <w:rPr>
          <w:rFonts w:hint="cs"/>
          <w:sz w:val="22"/>
          <w:rtl/>
          <w:lang w:val="en-GB" w:bidi="ar-EG"/>
        </w:rPr>
        <w:t>:</w:t>
      </w:r>
    </w:p>
    <w:p w:rsidR="00B95C9F" w:rsidRPr="00A733B2" w:rsidRDefault="00610EA4" w:rsidP="00697304">
      <w:pPr>
        <w:spacing w:after="100" w:line="204" w:lineRule="auto"/>
        <w:ind w:firstLine="720"/>
        <w:jc w:val="both"/>
        <w:rPr>
          <w:sz w:val="22"/>
          <w:rtl/>
          <w:lang w:val="en-GB" w:bidi="ar-EG"/>
        </w:rPr>
      </w:pPr>
      <w:r w:rsidRPr="00A733B2">
        <w:rPr>
          <w:rFonts w:hint="cs"/>
          <w:sz w:val="22"/>
          <w:rtl/>
          <w:lang w:val="en-GB" w:bidi="ar-EG"/>
        </w:rPr>
        <w:t>(أ)</w:t>
      </w:r>
      <w:r w:rsidRPr="00A733B2">
        <w:rPr>
          <w:rFonts w:hint="cs"/>
          <w:sz w:val="22"/>
          <w:rtl/>
          <w:lang w:val="en-GB" w:bidi="ar-EG"/>
        </w:rPr>
        <w:tab/>
      </w:r>
      <w:r w:rsidR="00D945E2" w:rsidRPr="00A733B2">
        <w:rPr>
          <w:rFonts w:hint="cs"/>
          <w:sz w:val="22"/>
          <w:rtl/>
          <w:lang w:val="en-GB" w:bidi="ar-EG"/>
        </w:rPr>
        <w:t>دع</w:t>
      </w:r>
      <w:r w:rsidR="00EC6864">
        <w:rPr>
          <w:rFonts w:hint="cs"/>
          <w:sz w:val="22"/>
          <w:rtl/>
          <w:lang w:val="en-GB" w:bidi="ar-EG"/>
        </w:rPr>
        <w:t>يت</w:t>
      </w:r>
      <w:r w:rsidR="00D945E2" w:rsidRPr="00A733B2">
        <w:rPr>
          <w:rFonts w:hint="cs"/>
          <w:sz w:val="22"/>
          <w:rtl/>
          <w:lang w:val="en-GB" w:bidi="ar-EG"/>
        </w:rPr>
        <w:t xml:space="preserve"> الأطراف، </w:t>
      </w:r>
      <w:r w:rsidR="00D945E2" w:rsidRPr="00A733B2">
        <w:rPr>
          <w:rFonts w:hint="cs"/>
          <w:i/>
          <w:sz w:val="22"/>
          <w:rtl/>
          <w:lang w:bidi="ar-EG"/>
        </w:rPr>
        <w:t xml:space="preserve">بمشاركة كاملة وفعالة من جانب الشعوب الأصلية والمجتمعات المحلية </w:t>
      </w:r>
      <w:r w:rsidR="00697304">
        <w:rPr>
          <w:rFonts w:hint="cs"/>
          <w:i/>
          <w:sz w:val="22"/>
          <w:rtl/>
          <w:lang w:bidi="ar-EG"/>
        </w:rPr>
        <w:t xml:space="preserve">إلى </w:t>
      </w:r>
      <w:r w:rsidR="00D945E2" w:rsidRPr="00A733B2">
        <w:rPr>
          <w:rFonts w:hint="cs"/>
          <w:i/>
          <w:sz w:val="22"/>
          <w:rtl/>
          <w:lang w:bidi="ar-EG"/>
        </w:rPr>
        <w:t>إيلاء اهتمام خاص لتقديم معلومات عن تنفيذ أحكام البروتوكول فيما يتعلق بالمعارف التقليدية المرتبطة بالموارد الجينية التي تحتفظ بها الشعوب الأصلية والمجتمعات المحلية لدى إعداد وتقديم تقاريرها الوطنية المرحلية (الفقرة 3)</w:t>
      </w:r>
      <w:r w:rsidR="007F4F8F" w:rsidRPr="00A733B2">
        <w:rPr>
          <w:rFonts w:hint="cs"/>
          <w:sz w:val="22"/>
          <w:rtl/>
          <w:lang w:val="en-GB" w:bidi="ar-EG"/>
        </w:rPr>
        <w:t>؛</w:t>
      </w:r>
    </w:p>
    <w:p w:rsidR="00610EA4" w:rsidRPr="00A733B2" w:rsidRDefault="00610EA4" w:rsidP="007665C5">
      <w:pPr>
        <w:spacing w:after="100" w:line="204" w:lineRule="auto"/>
        <w:ind w:firstLine="720"/>
        <w:jc w:val="both"/>
        <w:rPr>
          <w:sz w:val="22"/>
          <w:rtl/>
          <w:lang w:val="en-GB" w:bidi="ar-EG"/>
        </w:rPr>
      </w:pPr>
      <w:r w:rsidRPr="00A733B2">
        <w:rPr>
          <w:rFonts w:hint="cs"/>
          <w:sz w:val="22"/>
          <w:rtl/>
          <w:lang w:val="en-GB" w:bidi="ar-EG"/>
        </w:rPr>
        <w:t>(ب)</w:t>
      </w:r>
      <w:r w:rsidRPr="00A733B2">
        <w:rPr>
          <w:rFonts w:hint="cs"/>
          <w:sz w:val="22"/>
          <w:rtl/>
          <w:lang w:val="en-GB" w:bidi="ar-EG"/>
        </w:rPr>
        <w:tab/>
      </w:r>
      <w:r w:rsidR="00D945E2" w:rsidRPr="00A733B2">
        <w:rPr>
          <w:rFonts w:hint="cs"/>
          <w:sz w:val="22"/>
          <w:rtl/>
          <w:lang w:val="en-GB" w:bidi="ar-EG"/>
        </w:rPr>
        <w:t>دع</w:t>
      </w:r>
      <w:r w:rsidR="00EC6864">
        <w:rPr>
          <w:rFonts w:hint="cs"/>
          <w:sz w:val="22"/>
          <w:rtl/>
          <w:lang w:val="en-GB" w:bidi="ar-EG"/>
        </w:rPr>
        <w:t>يت</w:t>
      </w:r>
      <w:r w:rsidR="00D945E2" w:rsidRPr="00A733B2">
        <w:rPr>
          <w:rFonts w:hint="cs"/>
          <w:sz w:val="22"/>
          <w:rtl/>
          <w:lang w:val="en-GB" w:bidi="ar-EG"/>
        </w:rPr>
        <w:t xml:space="preserve"> الشعوب الأصلية والمجتمعات المحلية أيضا إلى تقديم ه</w:t>
      </w:r>
      <w:r w:rsidR="006036A7" w:rsidRPr="00A733B2">
        <w:rPr>
          <w:rFonts w:hint="cs"/>
          <w:sz w:val="22"/>
          <w:rtl/>
          <w:lang w:val="en-GB" w:bidi="ar-EG"/>
        </w:rPr>
        <w:t>ذ</w:t>
      </w:r>
      <w:r w:rsidR="00EC6864">
        <w:rPr>
          <w:rFonts w:hint="cs"/>
          <w:sz w:val="22"/>
          <w:rtl/>
          <w:lang w:val="en-GB" w:bidi="ar-EG"/>
        </w:rPr>
        <w:t>ه المعلومات إلى الأمين التنفيذي</w:t>
      </w:r>
      <w:r w:rsidR="00D945E2" w:rsidRPr="00A733B2">
        <w:rPr>
          <w:rFonts w:hint="cs"/>
          <w:sz w:val="22"/>
          <w:rtl/>
          <w:lang w:val="en-GB" w:bidi="ar-EG"/>
        </w:rPr>
        <w:t xml:space="preserve"> (الفقرة</w:t>
      </w:r>
      <w:r w:rsidR="00463922">
        <w:rPr>
          <w:rFonts w:hint="cs"/>
          <w:sz w:val="22"/>
          <w:rtl/>
          <w:lang w:val="en-GB" w:bidi="ar-EG"/>
        </w:rPr>
        <w:t> </w:t>
      </w:r>
      <w:r w:rsidR="00D945E2" w:rsidRPr="00A733B2">
        <w:rPr>
          <w:rFonts w:hint="cs"/>
          <w:sz w:val="22"/>
          <w:rtl/>
          <w:lang w:val="en-GB" w:bidi="ar-EG"/>
        </w:rPr>
        <w:t>3)</w:t>
      </w:r>
      <w:r w:rsidR="00023300" w:rsidRPr="00A733B2">
        <w:rPr>
          <w:rFonts w:hint="cs"/>
          <w:sz w:val="22"/>
          <w:rtl/>
          <w:lang w:val="en-GB" w:bidi="ar-EG"/>
        </w:rPr>
        <w:t>؛</w:t>
      </w:r>
    </w:p>
    <w:p w:rsidR="00610EA4" w:rsidRPr="00A733B2" w:rsidRDefault="00610EA4" w:rsidP="007665C5">
      <w:pPr>
        <w:spacing w:after="100" w:line="204" w:lineRule="auto"/>
        <w:ind w:firstLine="720"/>
        <w:jc w:val="both"/>
        <w:rPr>
          <w:sz w:val="22"/>
          <w:rtl/>
          <w:lang w:val="en-GB" w:bidi="ar-EG"/>
        </w:rPr>
      </w:pPr>
      <w:r w:rsidRPr="00A733B2">
        <w:rPr>
          <w:rFonts w:hint="cs"/>
          <w:sz w:val="22"/>
          <w:rtl/>
          <w:lang w:val="en-GB" w:bidi="ar-EG"/>
        </w:rPr>
        <w:t>(ج)</w:t>
      </w:r>
      <w:r w:rsidRPr="00A733B2">
        <w:rPr>
          <w:rFonts w:hint="cs"/>
          <w:sz w:val="22"/>
          <w:rtl/>
          <w:lang w:val="en-GB" w:bidi="ar-EG"/>
        </w:rPr>
        <w:tab/>
      </w:r>
      <w:r w:rsidR="00D945E2" w:rsidRPr="00A733B2">
        <w:rPr>
          <w:rFonts w:hint="cs"/>
          <w:sz w:val="22"/>
          <w:rtl/>
          <w:lang w:val="en-GB" w:bidi="ar-EG"/>
        </w:rPr>
        <w:t>دع</w:t>
      </w:r>
      <w:r w:rsidR="00EC6864">
        <w:rPr>
          <w:rFonts w:hint="cs"/>
          <w:sz w:val="22"/>
          <w:rtl/>
          <w:lang w:val="en-GB" w:bidi="ar-EG"/>
        </w:rPr>
        <w:t>يت</w:t>
      </w:r>
      <w:r w:rsidR="00D945E2" w:rsidRPr="00A733B2">
        <w:rPr>
          <w:rFonts w:hint="cs"/>
          <w:sz w:val="22"/>
          <w:rtl/>
          <w:lang w:val="en-GB" w:bidi="ar-EG"/>
        </w:rPr>
        <w:t xml:space="preserve"> </w:t>
      </w:r>
      <w:r w:rsidR="00D945E2" w:rsidRPr="00A733B2">
        <w:rPr>
          <w:rFonts w:hint="cs"/>
          <w:i/>
          <w:sz w:val="22"/>
          <w:rtl/>
          <w:lang w:bidi="ar-EG"/>
        </w:rPr>
        <w:t xml:space="preserve">الأطراف والحكومات الأخرى والشعوب الأصلية والمجتمعات المحلية وأصحاب المصلحة، بما في ذلك المجموعات خارج المواقع الطبيعية، إلى تقديم معلومات تتضمن الخبرات العملية، إن وجدت، بشأن الأوضاع التي لا </w:t>
      </w:r>
      <w:r w:rsidR="00D945E2" w:rsidRPr="00A733B2">
        <w:rPr>
          <w:rFonts w:hint="cs"/>
          <w:i/>
          <w:sz w:val="22"/>
          <w:rtl/>
          <w:lang w:bidi="ar-EG"/>
        </w:rPr>
        <w:lastRenderedPageBreak/>
        <w:t>يمكن في ظلها منح أو الحصول على الموافقة المسبقة عن علم فيما يتعلق بالموارد الجينية في المواقع الطبيعية وخارجها، وما يرتبط بذلك من معارف تقليدية</w:t>
      </w:r>
      <w:r w:rsidR="00D945E2" w:rsidRPr="00A733B2">
        <w:rPr>
          <w:rFonts w:hint="cs"/>
          <w:sz w:val="22"/>
          <w:rtl/>
          <w:lang w:val="en-GB" w:bidi="ar-EG"/>
        </w:rPr>
        <w:t xml:space="preserve"> (الفقرة 4)؛</w:t>
      </w:r>
    </w:p>
    <w:p w:rsidR="00D945E2" w:rsidRPr="00A733B2" w:rsidRDefault="00D945E2" w:rsidP="007665C5">
      <w:pPr>
        <w:spacing w:after="100" w:line="204" w:lineRule="auto"/>
        <w:ind w:firstLine="720"/>
        <w:jc w:val="both"/>
        <w:rPr>
          <w:sz w:val="22"/>
          <w:rtl/>
          <w:lang w:val="en-GB" w:bidi="ar-EG"/>
        </w:rPr>
      </w:pPr>
      <w:r w:rsidRPr="00A733B2">
        <w:rPr>
          <w:rFonts w:hint="cs"/>
          <w:sz w:val="22"/>
          <w:rtl/>
          <w:lang w:val="en-GB" w:bidi="ar-EG"/>
        </w:rPr>
        <w:t>(د)</w:t>
      </w:r>
      <w:r w:rsidRPr="00A733B2">
        <w:rPr>
          <w:rFonts w:hint="cs"/>
          <w:sz w:val="22"/>
          <w:rtl/>
          <w:lang w:val="en-GB" w:bidi="ar-EG"/>
        </w:rPr>
        <w:tab/>
      </w:r>
      <w:r w:rsidR="006E565A" w:rsidRPr="00A733B2">
        <w:rPr>
          <w:rFonts w:hint="cs"/>
          <w:sz w:val="22"/>
          <w:rtl/>
          <w:lang w:val="en-GB" w:bidi="ar-EG"/>
        </w:rPr>
        <w:t>دع</w:t>
      </w:r>
      <w:r w:rsidR="00EC6864">
        <w:rPr>
          <w:rFonts w:hint="cs"/>
          <w:sz w:val="22"/>
          <w:rtl/>
          <w:lang w:val="en-GB" w:bidi="ar-EG"/>
        </w:rPr>
        <w:t>يت</w:t>
      </w:r>
      <w:r w:rsidR="006E565A" w:rsidRPr="00A733B2">
        <w:rPr>
          <w:rFonts w:hint="cs"/>
          <w:sz w:val="22"/>
          <w:rtl/>
          <w:lang w:val="en-GB" w:bidi="ar-EG"/>
        </w:rPr>
        <w:t xml:space="preserve"> </w:t>
      </w:r>
      <w:r w:rsidR="006E565A" w:rsidRPr="00A733B2">
        <w:rPr>
          <w:rFonts w:hint="cs"/>
          <w:i/>
          <w:sz w:val="22"/>
          <w:rtl/>
          <w:lang w:bidi="ar-EG"/>
        </w:rPr>
        <w:t>الأطراف والحكومات الأخرى والشعوب الأصلية والمجتمعات المحلية وأصحاب المصلحة إلى تقديم وجهات نظرها بشأن سُبل تحقيق تقدم فيما يتعلق بالمادة 10 (الفقرة 5).</w:t>
      </w:r>
    </w:p>
    <w:p w:rsidR="00306427" w:rsidRPr="00A733B2" w:rsidRDefault="006E565A" w:rsidP="007665C5">
      <w:pPr>
        <w:numPr>
          <w:ilvl w:val="0"/>
          <w:numId w:val="27"/>
        </w:numPr>
        <w:spacing w:after="100" w:line="204" w:lineRule="auto"/>
        <w:ind w:left="0" w:firstLine="0"/>
        <w:jc w:val="both"/>
        <w:rPr>
          <w:sz w:val="22"/>
          <w:lang w:val="en-GB" w:bidi="ar-EG"/>
        </w:rPr>
      </w:pPr>
      <w:r w:rsidRPr="00A733B2">
        <w:rPr>
          <w:rFonts w:hint="cs"/>
          <w:sz w:val="22"/>
          <w:rtl/>
          <w:lang w:val="en-GB" w:bidi="ar-EG"/>
        </w:rPr>
        <w:t xml:space="preserve">وطالب المقرر الأمين التنفيذي بتجميع و/أو </w:t>
      </w:r>
      <w:r w:rsidR="009213DD">
        <w:rPr>
          <w:rFonts w:hint="cs"/>
          <w:sz w:val="22"/>
          <w:rtl/>
          <w:lang w:val="en-GB" w:bidi="ar-EG"/>
        </w:rPr>
        <w:t>تلخي</w:t>
      </w:r>
      <w:r w:rsidR="003D6B1A">
        <w:rPr>
          <w:rFonts w:hint="cs"/>
          <w:sz w:val="22"/>
          <w:rtl/>
          <w:lang w:val="en-GB" w:bidi="ar-EG"/>
        </w:rPr>
        <w:t>ص</w:t>
      </w:r>
      <w:r w:rsidR="009213DD">
        <w:rPr>
          <w:rFonts w:hint="cs"/>
          <w:sz w:val="22"/>
          <w:rtl/>
          <w:lang w:val="en-GB" w:bidi="ar-EG"/>
        </w:rPr>
        <w:t xml:space="preserve"> المعلومات المذكورة أعلاه بالإضافة إلى ما يلي</w:t>
      </w:r>
      <w:r w:rsidR="00023300" w:rsidRPr="00A733B2">
        <w:rPr>
          <w:rFonts w:hint="cs"/>
          <w:sz w:val="22"/>
          <w:rtl/>
          <w:lang w:val="en-GB" w:bidi="ar-EG"/>
        </w:rPr>
        <w:t>:</w:t>
      </w:r>
    </w:p>
    <w:p w:rsidR="007F4F8F" w:rsidRPr="00A733B2" w:rsidRDefault="007F4F8F" w:rsidP="007665C5">
      <w:pPr>
        <w:spacing w:after="100" w:line="204" w:lineRule="auto"/>
        <w:ind w:firstLine="720"/>
        <w:jc w:val="both"/>
        <w:rPr>
          <w:sz w:val="22"/>
          <w:rtl/>
          <w:lang w:val="en-GB" w:bidi="ar-EG"/>
        </w:rPr>
      </w:pPr>
      <w:r w:rsidRPr="00A733B2">
        <w:rPr>
          <w:rFonts w:hint="cs"/>
          <w:sz w:val="22"/>
          <w:rtl/>
          <w:lang w:val="en-GB" w:bidi="ar-EG"/>
        </w:rPr>
        <w:t>(أ)</w:t>
      </w:r>
      <w:r w:rsidRPr="00A733B2">
        <w:rPr>
          <w:rFonts w:hint="cs"/>
          <w:sz w:val="22"/>
          <w:rtl/>
          <w:lang w:val="en-GB" w:bidi="ar-EG"/>
        </w:rPr>
        <w:tab/>
      </w:r>
      <w:r w:rsidR="006E565A" w:rsidRPr="00A733B2">
        <w:rPr>
          <w:rFonts w:hint="cs"/>
          <w:i/>
          <w:sz w:val="22"/>
          <w:rtl/>
          <w:lang w:bidi="ar-EG"/>
        </w:rPr>
        <w:t>المعلومات المقدمة من خلال التقارير الوطنية المرحلية وغرفة تبادل معلومات الحصول وتقاسم المنافع ذات الصلة بالمادة 10 (الفقرة 6(أ))</w:t>
      </w:r>
      <w:r w:rsidR="00023300" w:rsidRPr="00A733B2">
        <w:rPr>
          <w:rFonts w:hint="cs"/>
          <w:sz w:val="22"/>
          <w:rtl/>
          <w:lang w:val="en-GB" w:bidi="ar-EG"/>
        </w:rPr>
        <w:t>؛</w:t>
      </w:r>
    </w:p>
    <w:p w:rsidR="007F4F8F" w:rsidRPr="00A733B2" w:rsidRDefault="007F4F8F" w:rsidP="007665C5">
      <w:pPr>
        <w:spacing w:after="100" w:line="204" w:lineRule="auto"/>
        <w:ind w:firstLine="720"/>
        <w:jc w:val="both"/>
        <w:rPr>
          <w:sz w:val="22"/>
          <w:rtl/>
          <w:lang w:val="en-GB" w:bidi="ar-EG"/>
        </w:rPr>
      </w:pPr>
      <w:r w:rsidRPr="00A733B2">
        <w:rPr>
          <w:rFonts w:hint="cs"/>
          <w:sz w:val="22"/>
          <w:rtl/>
          <w:lang w:val="en-GB" w:bidi="ar-EG"/>
        </w:rPr>
        <w:t>(ب)</w:t>
      </w:r>
      <w:r w:rsidRPr="00A733B2">
        <w:rPr>
          <w:rFonts w:hint="cs"/>
          <w:sz w:val="22"/>
          <w:rtl/>
          <w:lang w:val="en-GB" w:bidi="ar-EG"/>
        </w:rPr>
        <w:tab/>
      </w:r>
      <w:r w:rsidR="006E565A" w:rsidRPr="00A733B2">
        <w:rPr>
          <w:rFonts w:hint="cs"/>
          <w:i/>
          <w:sz w:val="22"/>
          <w:rtl/>
          <w:lang w:bidi="ar-EG"/>
        </w:rPr>
        <w:t>المعلومات المتاحة بشأن التطورات في العمليات والمنظمات الدولية ذات الصلة بغرض توفير الاستنارة للمناقشات المقبلة بشأن المادة 10 (الفقرة 6(ب)).</w:t>
      </w:r>
    </w:p>
    <w:p w:rsidR="00B345B4" w:rsidRPr="00A733B2" w:rsidRDefault="006E565A" w:rsidP="007665C5">
      <w:pPr>
        <w:numPr>
          <w:ilvl w:val="0"/>
          <w:numId w:val="27"/>
        </w:numPr>
        <w:spacing w:after="100" w:line="204" w:lineRule="auto"/>
        <w:ind w:left="0" w:firstLine="0"/>
        <w:jc w:val="both"/>
        <w:rPr>
          <w:sz w:val="22"/>
          <w:lang w:val="en-GB" w:bidi="ar-EG"/>
        </w:rPr>
      </w:pPr>
      <w:r w:rsidRPr="00A733B2">
        <w:rPr>
          <w:rFonts w:hint="cs"/>
          <w:sz w:val="22"/>
          <w:rtl/>
          <w:lang w:val="en-GB" w:bidi="ar-EG"/>
        </w:rPr>
        <w:t>وستقدم هذه المعلومات لنظر الهيئة الفرعية للتنفيذ وإلى الاجتماع الثالث لمؤتمر الأطراف العامل كاجتماع للأطراف في بروتوكول ناغويا.</w:t>
      </w:r>
    </w:p>
    <w:p w:rsidR="00B345B4" w:rsidRPr="00A733B2" w:rsidRDefault="006E565A" w:rsidP="007665C5">
      <w:pPr>
        <w:numPr>
          <w:ilvl w:val="0"/>
          <w:numId w:val="27"/>
        </w:numPr>
        <w:spacing w:after="100" w:line="204" w:lineRule="auto"/>
        <w:ind w:left="0" w:firstLine="0"/>
        <w:jc w:val="both"/>
        <w:rPr>
          <w:sz w:val="22"/>
          <w:lang w:val="en-GB" w:bidi="ar-EG"/>
        </w:rPr>
      </w:pPr>
      <w:r w:rsidRPr="00A733B2">
        <w:rPr>
          <w:rFonts w:hint="cs"/>
          <w:sz w:val="22"/>
          <w:rtl/>
          <w:lang w:val="en-GB" w:bidi="ar-EG"/>
        </w:rPr>
        <w:t xml:space="preserve">وعلاوة على ذلك، طالب مؤتمر الأطراف الهيئة الفرعية للتنفيذ باستكشاف </w:t>
      </w:r>
      <w:r w:rsidRPr="00A733B2">
        <w:rPr>
          <w:rFonts w:hint="cs"/>
          <w:i/>
          <w:sz w:val="22"/>
          <w:rtl/>
          <w:lang w:bidi="ar-EG"/>
        </w:rPr>
        <w:t>مدى الحاجة إلى آلية عالمية متعددة الأطراف بشأن تقاسم المنافع، وتقديم توصيات للنظر من جانب مؤتمر الأطراف العامل كاجتماع للأطراف في بروتوكول ناغويا خلال اجتماعه الثالث</w:t>
      </w:r>
      <w:r w:rsidRPr="00A733B2">
        <w:rPr>
          <w:rFonts w:hint="cs"/>
          <w:sz w:val="22"/>
          <w:rtl/>
          <w:lang w:val="en-GB" w:bidi="ar-EG"/>
        </w:rPr>
        <w:t xml:space="preserve"> (الفقرة 7).</w:t>
      </w:r>
    </w:p>
    <w:p w:rsidR="00B345B4" w:rsidRPr="00A733B2" w:rsidRDefault="006E565A" w:rsidP="007665C5">
      <w:pPr>
        <w:numPr>
          <w:ilvl w:val="0"/>
          <w:numId w:val="27"/>
        </w:numPr>
        <w:spacing w:after="100" w:line="204" w:lineRule="auto"/>
        <w:ind w:left="0" w:firstLine="0"/>
        <w:jc w:val="both"/>
        <w:rPr>
          <w:sz w:val="22"/>
          <w:lang w:val="en-GB" w:bidi="ar-EG"/>
        </w:rPr>
      </w:pPr>
      <w:r w:rsidRPr="00A733B2">
        <w:rPr>
          <w:rFonts w:hint="cs"/>
          <w:sz w:val="22"/>
          <w:rtl/>
          <w:lang w:val="en-GB" w:bidi="ar-EG"/>
        </w:rPr>
        <w:t xml:space="preserve">وبموجب </w:t>
      </w:r>
      <w:r w:rsidR="006036A7" w:rsidRPr="00A733B2">
        <w:rPr>
          <w:rFonts w:hint="cs"/>
          <w:sz w:val="22"/>
          <w:rtl/>
          <w:lang w:val="en-GB" w:bidi="ar-EG"/>
        </w:rPr>
        <w:t>الإخطار 2017-017 (23 فبراير/شباط 2017)،</w:t>
      </w:r>
      <w:r w:rsidR="006036A7" w:rsidRPr="00A733B2">
        <w:rPr>
          <w:rStyle w:val="FootnoteReference"/>
          <w:sz w:val="22"/>
          <w:rtl/>
          <w:lang w:val="en-GB" w:bidi="ar-EG"/>
        </w:rPr>
        <w:footnoteReference w:id="2"/>
      </w:r>
      <w:r w:rsidR="006036A7" w:rsidRPr="00A733B2">
        <w:rPr>
          <w:rFonts w:hint="cs"/>
          <w:sz w:val="22"/>
          <w:rtl/>
          <w:lang w:val="en-GB" w:bidi="ar-EG"/>
        </w:rPr>
        <w:t xml:space="preserve"> دعيت الأطراف إلى تقديم تقريرها الوطني المرحلي عن تنفيذ بروتوكول ناغويا. ودعا الإخطار الأطراف، ضمن جملة أمور إلى </w:t>
      </w:r>
      <w:r w:rsidR="006036A7" w:rsidRPr="00A733B2">
        <w:rPr>
          <w:rFonts w:hint="cs"/>
          <w:i/>
          <w:sz w:val="22"/>
          <w:rtl/>
          <w:lang w:bidi="ar-EG"/>
        </w:rPr>
        <w:t>إيلاء اهتمام خاص لتقديم المعلومات المشار إليها في الفقرة 3(أ) أعلاه عند إعداد وتقديم تقاريرها الوطنية المرحلية.</w:t>
      </w:r>
    </w:p>
    <w:p w:rsidR="00B345B4" w:rsidRPr="00A733B2" w:rsidRDefault="006036A7" w:rsidP="00697304">
      <w:pPr>
        <w:numPr>
          <w:ilvl w:val="0"/>
          <w:numId w:val="27"/>
        </w:numPr>
        <w:spacing w:after="100" w:line="204" w:lineRule="auto"/>
        <w:ind w:left="0" w:firstLine="0"/>
        <w:jc w:val="both"/>
        <w:rPr>
          <w:sz w:val="22"/>
          <w:lang w:val="en-GB" w:bidi="ar-EG"/>
        </w:rPr>
      </w:pPr>
      <w:r w:rsidRPr="00A733B2">
        <w:rPr>
          <w:rFonts w:hint="cs"/>
          <w:sz w:val="22"/>
          <w:rtl/>
          <w:lang w:val="en-GB" w:bidi="ar-EG"/>
        </w:rPr>
        <w:t>ودعا الإخطار 2017-094 (20 سبتمبر/أيلول 2017)</w:t>
      </w:r>
      <w:r w:rsidRPr="00A733B2">
        <w:rPr>
          <w:rStyle w:val="FootnoteReference"/>
          <w:sz w:val="22"/>
          <w:rtl/>
          <w:lang w:val="en-GB" w:bidi="ar-EG"/>
        </w:rPr>
        <w:footnoteReference w:id="3"/>
      </w:r>
      <w:r w:rsidRPr="00A733B2">
        <w:rPr>
          <w:rFonts w:hint="cs"/>
          <w:sz w:val="22"/>
          <w:rtl/>
          <w:lang w:val="en-GB" w:bidi="ar-EG"/>
        </w:rPr>
        <w:t xml:space="preserve"> إلى تقديم الآراء والمعلومات تبعا للمقرر </w:t>
      </w:r>
      <w:r w:rsidRPr="00A733B2">
        <w:rPr>
          <w:sz w:val="22"/>
          <w:lang w:bidi="ar-EG"/>
        </w:rPr>
        <w:t>NP-2/10</w:t>
      </w:r>
      <w:r w:rsidRPr="00A733B2">
        <w:rPr>
          <w:rFonts w:hint="cs"/>
          <w:sz w:val="22"/>
          <w:rtl/>
          <w:lang w:val="en-GB" w:bidi="ar-EG"/>
        </w:rPr>
        <w:t>، وخاصة فيما يتعلق بالجوانب المشار إليها في الفقرات 3(ب) و(ج) و(د) أعلاه. واستلمت تقديمات من أربعة أطراف في البروتوكول، وواحد من غير الأطراف، ومنظمة غير حكومية واحدة وثماني منظمات أو أصحاب مصلحة. وأتي</w:t>
      </w:r>
      <w:r w:rsidR="00697304">
        <w:rPr>
          <w:rFonts w:hint="cs"/>
          <w:sz w:val="22"/>
          <w:rtl/>
          <w:lang w:val="en-GB" w:bidi="ar-EG"/>
        </w:rPr>
        <w:t>ح</w:t>
      </w:r>
      <w:r w:rsidRPr="00A733B2">
        <w:rPr>
          <w:rFonts w:hint="cs"/>
          <w:sz w:val="22"/>
          <w:rtl/>
          <w:lang w:val="en-GB" w:bidi="ar-EG"/>
        </w:rPr>
        <w:t xml:space="preserve">ت التقديمات على </w:t>
      </w:r>
      <w:r w:rsidR="0096210A" w:rsidRPr="00A733B2">
        <w:rPr>
          <w:rFonts w:hint="cs"/>
          <w:sz w:val="22"/>
          <w:rtl/>
          <w:lang w:val="en-GB" w:bidi="ar-EG"/>
        </w:rPr>
        <w:t>شبكة الانترنت</w:t>
      </w:r>
      <w:r w:rsidRPr="00A733B2">
        <w:rPr>
          <w:rFonts w:hint="cs"/>
          <w:sz w:val="22"/>
          <w:rtl/>
          <w:lang w:val="en-GB" w:bidi="ar-EG"/>
        </w:rPr>
        <w:t>.</w:t>
      </w:r>
      <w:r w:rsidRPr="00A733B2">
        <w:rPr>
          <w:rStyle w:val="FootnoteReference"/>
          <w:sz w:val="22"/>
          <w:rtl/>
          <w:lang w:val="en-GB" w:bidi="ar-EG"/>
        </w:rPr>
        <w:footnoteReference w:id="4"/>
      </w:r>
    </w:p>
    <w:p w:rsidR="00B95C9F" w:rsidRPr="00A733B2" w:rsidRDefault="0096210A" w:rsidP="00697304">
      <w:pPr>
        <w:numPr>
          <w:ilvl w:val="0"/>
          <w:numId w:val="27"/>
        </w:numPr>
        <w:spacing w:after="100" w:line="204" w:lineRule="auto"/>
        <w:ind w:left="0" w:firstLine="0"/>
        <w:jc w:val="both"/>
        <w:rPr>
          <w:sz w:val="22"/>
          <w:lang w:val="en-GB" w:bidi="ar-EG"/>
        </w:rPr>
      </w:pPr>
      <w:r w:rsidRPr="00A733B2">
        <w:rPr>
          <w:rFonts w:hint="cs"/>
          <w:sz w:val="22"/>
          <w:rtl/>
          <w:lang w:val="en-GB" w:bidi="ar-EG"/>
        </w:rPr>
        <w:t xml:space="preserve">ويلخص القسم الأول من الوثيقة الحالية </w:t>
      </w:r>
      <w:r w:rsidR="00A733B2">
        <w:rPr>
          <w:rFonts w:hint="cs"/>
          <w:sz w:val="22"/>
          <w:rtl/>
          <w:lang w:val="en-GB" w:bidi="ar-EG"/>
        </w:rPr>
        <w:t>المعلومات ذات الصلة من التقارير الوطنية المرحلية وغرفة تبادل معلومات الحصول وتقاسم المنافع فيما يتعلق بتنفيذ أحكام البروتوكول ذات الصلة با</w:t>
      </w:r>
      <w:r w:rsidR="00ED7D6E">
        <w:rPr>
          <w:rFonts w:hint="cs"/>
          <w:sz w:val="22"/>
          <w:rtl/>
          <w:lang w:val="en-GB" w:bidi="ar-EG"/>
        </w:rPr>
        <w:t>ل</w:t>
      </w:r>
      <w:r w:rsidR="00A733B2">
        <w:rPr>
          <w:rFonts w:hint="cs"/>
          <w:sz w:val="22"/>
          <w:rtl/>
          <w:lang w:val="en-GB" w:bidi="ar-EG"/>
        </w:rPr>
        <w:t>معارف التقليدية المرتبطة بالموارد الجينية والمادة</w:t>
      </w:r>
      <w:r w:rsidR="00FB3AA6">
        <w:rPr>
          <w:rFonts w:hint="cs"/>
          <w:sz w:val="22"/>
          <w:rtl/>
          <w:lang w:val="en-GB" w:bidi="ar-EG"/>
        </w:rPr>
        <w:t> </w:t>
      </w:r>
      <w:r w:rsidR="00A733B2">
        <w:rPr>
          <w:rFonts w:hint="cs"/>
          <w:sz w:val="22"/>
          <w:rtl/>
          <w:lang w:val="en-GB" w:bidi="ar-EG"/>
        </w:rPr>
        <w:t xml:space="preserve">11. ويعرض القسم الثاني معلومات من التقديمات </w:t>
      </w:r>
      <w:r w:rsidR="00ED7D6E" w:rsidRPr="00A733B2">
        <w:rPr>
          <w:rFonts w:hint="cs"/>
          <w:i/>
          <w:sz w:val="22"/>
          <w:rtl/>
          <w:lang w:bidi="ar-EG"/>
        </w:rPr>
        <w:t>بشأن الأوضاع التي لا يمكن في ظلها منح أو الحصول على الموافقة المسبقة عن علم فيما يتعلق بالموارد الجينية في المواقع الطبيعية وخارجها، وما يرتبط ب</w:t>
      </w:r>
      <w:r w:rsidR="00697304">
        <w:rPr>
          <w:rFonts w:hint="cs"/>
          <w:i/>
          <w:sz w:val="22"/>
          <w:rtl/>
          <w:lang w:bidi="ar-EG"/>
        </w:rPr>
        <w:t>ها</w:t>
      </w:r>
      <w:r w:rsidR="00ED7D6E" w:rsidRPr="00A733B2">
        <w:rPr>
          <w:rFonts w:hint="cs"/>
          <w:i/>
          <w:sz w:val="22"/>
          <w:rtl/>
          <w:lang w:bidi="ar-EG"/>
        </w:rPr>
        <w:t xml:space="preserve"> من معارف تقليدية</w:t>
      </w:r>
      <w:r w:rsidR="00306427" w:rsidRPr="00A733B2">
        <w:rPr>
          <w:rFonts w:hint="cs"/>
          <w:sz w:val="22"/>
          <w:rtl/>
          <w:lang w:val="en-GB" w:bidi="ar-EG"/>
        </w:rPr>
        <w:t>.</w:t>
      </w:r>
      <w:r w:rsidR="00ED7D6E">
        <w:rPr>
          <w:rFonts w:hint="cs"/>
          <w:sz w:val="22"/>
          <w:rtl/>
          <w:lang w:val="en-GB" w:bidi="ar-EG"/>
        </w:rPr>
        <w:t xml:space="preserve"> ويلخص القسم الثالث المعلومات عن التطورات في العمليات الدولية ذات الصلة بينما يلخص القسم الرابع الآراء المقدمة بشأن </w:t>
      </w:r>
      <w:r w:rsidR="00ED7D6E" w:rsidRPr="00A733B2">
        <w:rPr>
          <w:rFonts w:hint="cs"/>
          <w:i/>
          <w:sz w:val="22"/>
          <w:rtl/>
          <w:lang w:bidi="ar-EG"/>
        </w:rPr>
        <w:t>سُبل تحقيق تقدم فيما يتعلق بالمادة 10</w:t>
      </w:r>
      <w:r w:rsidR="00ED7D6E">
        <w:rPr>
          <w:rFonts w:hint="cs"/>
          <w:sz w:val="22"/>
          <w:rtl/>
          <w:lang w:val="en-GB" w:bidi="ar-EG"/>
        </w:rPr>
        <w:t xml:space="preserve">. وختاما، </w:t>
      </w:r>
      <w:r w:rsidR="001156E2">
        <w:rPr>
          <w:rFonts w:hint="cs"/>
          <w:sz w:val="22"/>
          <w:rtl/>
          <w:lang w:val="en-GB" w:bidi="ar-EG"/>
        </w:rPr>
        <w:t xml:space="preserve">يدعو القسم الخامس الهيئة الفرعية للتنفيذ </w:t>
      </w:r>
      <w:r w:rsidR="00EC6864">
        <w:rPr>
          <w:rFonts w:hint="cs"/>
          <w:sz w:val="22"/>
          <w:rtl/>
          <w:lang w:val="en-GB" w:bidi="ar-EG"/>
        </w:rPr>
        <w:t xml:space="preserve">إلى </w:t>
      </w:r>
      <w:r w:rsidR="001156E2">
        <w:rPr>
          <w:rFonts w:hint="cs"/>
          <w:sz w:val="22"/>
          <w:rtl/>
          <w:lang w:val="en-GB" w:bidi="ar-EG"/>
        </w:rPr>
        <w:t>استكشاف الحاجة إلى آلية عالمية متعددة الأطراف لتقاسم المنافع و</w:t>
      </w:r>
      <w:r w:rsidR="00697304">
        <w:rPr>
          <w:rFonts w:hint="cs"/>
          <w:sz w:val="22"/>
          <w:rtl/>
          <w:lang w:val="en-GB" w:bidi="ar-EG"/>
        </w:rPr>
        <w:t>تقديم</w:t>
      </w:r>
      <w:r w:rsidR="001156E2">
        <w:rPr>
          <w:rFonts w:hint="cs"/>
          <w:sz w:val="22"/>
          <w:rtl/>
          <w:lang w:val="en-GB" w:bidi="ar-EG"/>
        </w:rPr>
        <w:t xml:space="preserve"> توصيات إلى </w:t>
      </w:r>
      <w:r w:rsidR="00EC6864">
        <w:rPr>
          <w:rFonts w:hint="cs"/>
          <w:sz w:val="22"/>
          <w:rtl/>
          <w:lang w:val="en-GB" w:bidi="ar-EG"/>
        </w:rPr>
        <w:t>مؤتمر ا</w:t>
      </w:r>
      <w:r w:rsidR="001156E2">
        <w:rPr>
          <w:rFonts w:hint="cs"/>
          <w:sz w:val="22"/>
          <w:rtl/>
          <w:lang w:val="en-GB" w:bidi="ar-EG"/>
        </w:rPr>
        <w:t>لأطراف</w:t>
      </w:r>
      <w:r w:rsidR="00EC6864">
        <w:rPr>
          <w:rFonts w:hint="cs"/>
          <w:sz w:val="22"/>
          <w:rtl/>
          <w:lang w:val="en-GB" w:bidi="ar-EG"/>
        </w:rPr>
        <w:t xml:space="preserve"> العامل كاجتماع للأطراف في البروتوكول</w:t>
      </w:r>
      <w:r w:rsidR="001156E2">
        <w:rPr>
          <w:rFonts w:hint="cs"/>
          <w:sz w:val="22"/>
          <w:rtl/>
          <w:lang w:val="en-GB" w:bidi="ar-EG"/>
        </w:rPr>
        <w:t>.</w:t>
      </w:r>
    </w:p>
    <w:p w:rsidR="00B95C9F" w:rsidRPr="00306427" w:rsidRDefault="00B95C9F" w:rsidP="007665C5">
      <w:pPr>
        <w:spacing w:after="100" w:line="204" w:lineRule="auto"/>
        <w:ind w:left="2160" w:right="1890" w:hanging="900"/>
        <w:jc w:val="left"/>
        <w:rPr>
          <w:b/>
          <w:bCs/>
          <w:sz w:val="28"/>
          <w:szCs w:val="28"/>
          <w:lang w:val="en-GB" w:bidi="ar-EG"/>
        </w:rPr>
      </w:pPr>
      <w:r w:rsidRPr="00306427">
        <w:rPr>
          <w:rFonts w:hint="cs"/>
          <w:b/>
          <w:bCs/>
          <w:sz w:val="28"/>
          <w:szCs w:val="28"/>
          <w:rtl/>
          <w:lang w:val="en-GB" w:bidi="ar-EG"/>
        </w:rPr>
        <w:t>أولا -</w:t>
      </w:r>
      <w:r w:rsidRPr="00306427">
        <w:rPr>
          <w:rFonts w:hint="cs"/>
          <w:b/>
          <w:bCs/>
          <w:sz w:val="28"/>
          <w:szCs w:val="28"/>
          <w:rtl/>
          <w:lang w:val="en-GB" w:bidi="ar-EG"/>
        </w:rPr>
        <w:tab/>
      </w:r>
      <w:r w:rsidR="001156E2">
        <w:rPr>
          <w:rFonts w:hint="cs"/>
          <w:b/>
          <w:bCs/>
          <w:sz w:val="28"/>
          <w:szCs w:val="28"/>
          <w:rtl/>
          <w:lang w:val="en-GB" w:bidi="ar-EG"/>
        </w:rPr>
        <w:t>المعلومات ذات الصلة من التقارير الوطنية المرحلية وغرفة تبادل معلومات الحصول وتقاسم المنافع</w:t>
      </w:r>
    </w:p>
    <w:p w:rsidR="00B95C9F" w:rsidRPr="007665C5" w:rsidRDefault="001156E2" w:rsidP="007665C5">
      <w:pPr>
        <w:numPr>
          <w:ilvl w:val="0"/>
          <w:numId w:val="27"/>
        </w:numPr>
        <w:spacing w:after="100" w:line="204" w:lineRule="auto"/>
        <w:ind w:left="0" w:firstLine="0"/>
        <w:jc w:val="both"/>
        <w:rPr>
          <w:spacing w:val="-8"/>
          <w:sz w:val="22"/>
          <w:lang w:val="en-GB" w:bidi="ar-EG"/>
        </w:rPr>
      </w:pPr>
      <w:r w:rsidRPr="001156E2">
        <w:rPr>
          <w:rFonts w:hint="cs"/>
          <w:sz w:val="22"/>
          <w:rtl/>
          <w:lang w:val="en-GB" w:bidi="ar-EG"/>
        </w:rPr>
        <w:t>تشتق المعلومات في هذا القسم من تحليل المعلومات الواردة في التقارير الوطنية المرحلية والمعلوما</w:t>
      </w:r>
      <w:r w:rsidR="00697304">
        <w:rPr>
          <w:rFonts w:hint="cs"/>
          <w:sz w:val="22"/>
          <w:rtl/>
          <w:lang w:val="en-GB" w:bidi="ar-EG"/>
        </w:rPr>
        <w:t>ت</w:t>
      </w:r>
      <w:r w:rsidRPr="001156E2">
        <w:rPr>
          <w:rFonts w:hint="cs"/>
          <w:sz w:val="22"/>
          <w:rtl/>
          <w:lang w:val="en-GB" w:bidi="ar-EG"/>
        </w:rPr>
        <w:t xml:space="preserve"> المنشورة في غرفة تبادل معلومات الحصول وتقاسم المنافع </w:t>
      </w:r>
      <w:r w:rsidRPr="001156E2">
        <w:rPr>
          <w:sz w:val="22"/>
        </w:rPr>
        <w:t>(CBD/SBI/2/INF/3)</w:t>
      </w:r>
      <w:r w:rsidRPr="001156E2">
        <w:rPr>
          <w:rFonts w:hint="cs"/>
          <w:sz w:val="22"/>
          <w:rtl/>
          <w:lang w:val="en-GB" w:bidi="ar-EG"/>
        </w:rPr>
        <w:t xml:space="preserve">، التي أعدت لدعم تقييم واستعراض البروتوكول لكي تنظر فيها الهيئة الفرعية للتنفيذ. ويستند التحليل إلى المعلومات المتاحة في </w:t>
      </w:r>
      <w:r w:rsidR="009213DD">
        <w:rPr>
          <w:rFonts w:hint="cs"/>
          <w:sz w:val="22"/>
          <w:rtl/>
          <w:lang w:val="en-GB" w:bidi="ar-EG"/>
        </w:rPr>
        <w:t xml:space="preserve">22 فبراير/شباط 2018. وينبغي الرجوع </w:t>
      </w:r>
      <w:r w:rsidR="009213DD">
        <w:rPr>
          <w:rFonts w:hint="cs"/>
          <w:sz w:val="22"/>
          <w:rtl/>
          <w:lang w:val="en-GB" w:bidi="ar-EG"/>
        </w:rPr>
        <w:lastRenderedPageBreak/>
        <w:t xml:space="preserve">إلى وثيقة </w:t>
      </w:r>
      <w:r w:rsidR="00225432">
        <w:rPr>
          <w:rFonts w:hint="cs"/>
          <w:sz w:val="22"/>
          <w:rtl/>
          <w:lang w:val="en-GB" w:bidi="ar-EG"/>
        </w:rPr>
        <w:t>المعلومات</w:t>
      </w:r>
      <w:r w:rsidR="009213DD">
        <w:rPr>
          <w:rFonts w:hint="cs"/>
          <w:sz w:val="22"/>
          <w:rtl/>
          <w:lang w:val="en-GB" w:bidi="ar-EG"/>
        </w:rPr>
        <w:t xml:space="preserve"> لمزيد من التفاصيل بما في ذلك بشأن المنهجية المستخدمة </w:t>
      </w:r>
      <w:r w:rsidR="009213DD" w:rsidRPr="007665C5">
        <w:rPr>
          <w:rFonts w:hint="cs"/>
          <w:spacing w:val="-8"/>
          <w:sz w:val="22"/>
          <w:rtl/>
          <w:lang w:val="en-GB" w:bidi="ar-EG"/>
        </w:rPr>
        <w:t>في إعداد التحليل والأمثلة التي تشرح المعلومات الواردة أدناه</w:t>
      </w:r>
      <w:r w:rsidR="00D1637F" w:rsidRPr="007665C5">
        <w:rPr>
          <w:rFonts w:hint="cs"/>
          <w:spacing w:val="-8"/>
          <w:sz w:val="22"/>
          <w:rtl/>
          <w:lang w:val="en-GB" w:bidi="ar-EG"/>
        </w:rPr>
        <w:t>.</w:t>
      </w:r>
    </w:p>
    <w:p w:rsidR="00B95C9F" w:rsidRPr="00A733B2" w:rsidRDefault="00B95C9F" w:rsidP="00750BBC">
      <w:pPr>
        <w:spacing w:after="100" w:line="204" w:lineRule="auto"/>
        <w:ind w:left="2174" w:right="990" w:hanging="907"/>
        <w:jc w:val="left"/>
        <w:rPr>
          <w:b/>
          <w:bCs/>
          <w:sz w:val="22"/>
          <w:lang w:val="en-GB" w:bidi="ar-EG"/>
        </w:rPr>
      </w:pPr>
      <w:r w:rsidRPr="00A733B2">
        <w:rPr>
          <w:rFonts w:hint="cs"/>
          <w:b/>
          <w:bCs/>
          <w:sz w:val="22"/>
          <w:rtl/>
          <w:lang w:val="en-GB" w:bidi="ar-EG"/>
        </w:rPr>
        <w:t>ألف -</w:t>
      </w:r>
      <w:r w:rsidRPr="00A733B2">
        <w:rPr>
          <w:rFonts w:hint="cs"/>
          <w:b/>
          <w:bCs/>
          <w:sz w:val="22"/>
          <w:rtl/>
          <w:lang w:val="en-GB" w:bidi="ar-EG"/>
        </w:rPr>
        <w:tab/>
      </w:r>
      <w:r w:rsidR="001156E2">
        <w:rPr>
          <w:rFonts w:hint="cs"/>
          <w:b/>
          <w:bCs/>
          <w:sz w:val="22"/>
          <w:rtl/>
          <w:lang w:val="en-GB" w:bidi="ar-EG"/>
        </w:rPr>
        <w:t>معلومات عن تنفيذ أحكام البروتوكول ذات الصلة بالمعارف التقليدية المرتبطة بالموارد الجينية التي تحوزها الشعوب الأصلية والمجتمعات المحلية</w:t>
      </w:r>
    </w:p>
    <w:p w:rsidR="00B95C9F" w:rsidRPr="00A733B2" w:rsidRDefault="001521A7" w:rsidP="007665C5">
      <w:pPr>
        <w:numPr>
          <w:ilvl w:val="0"/>
          <w:numId w:val="27"/>
        </w:numPr>
        <w:spacing w:after="100" w:line="204" w:lineRule="auto"/>
        <w:ind w:left="0" w:firstLine="0"/>
        <w:jc w:val="both"/>
        <w:rPr>
          <w:sz w:val="22"/>
          <w:lang w:val="en-GB" w:bidi="ar-EG"/>
        </w:rPr>
      </w:pPr>
      <w:r>
        <w:rPr>
          <w:rFonts w:hint="cs"/>
          <w:sz w:val="22"/>
          <w:rtl/>
          <w:lang w:bidi="ar-EG"/>
        </w:rPr>
        <w:t xml:space="preserve">كما ورد وصفه أعلاه، في المقرر </w:t>
      </w:r>
      <w:r>
        <w:rPr>
          <w:sz w:val="22"/>
          <w:lang w:bidi="ar-EG"/>
        </w:rPr>
        <w:t>NP-2/10</w:t>
      </w:r>
      <w:r>
        <w:rPr>
          <w:rFonts w:hint="cs"/>
          <w:sz w:val="22"/>
          <w:rtl/>
          <w:lang w:bidi="ar-EG"/>
        </w:rPr>
        <w:t xml:space="preserve">، الفقرة 3، أدرك </w:t>
      </w:r>
      <w:r>
        <w:rPr>
          <w:rFonts w:hint="cs"/>
          <w:i/>
          <w:sz w:val="24"/>
          <w:rtl/>
          <w:lang w:bidi="ar-EG"/>
        </w:rPr>
        <w:t xml:space="preserve">مؤتمر الأطراف العامل كاجتماع للأطراف في بروتوكول ناغويا </w:t>
      </w:r>
      <w:r w:rsidRPr="00A4245F">
        <w:rPr>
          <w:rFonts w:hint="cs"/>
          <w:i/>
          <w:sz w:val="24"/>
          <w:rtl/>
          <w:lang w:bidi="ar-EG"/>
        </w:rPr>
        <w:t xml:space="preserve">أن </w:t>
      </w:r>
      <w:r>
        <w:rPr>
          <w:rFonts w:hint="cs"/>
          <w:i/>
          <w:sz w:val="24"/>
          <w:rtl/>
          <w:lang w:bidi="ar-EG"/>
        </w:rPr>
        <w:t>"</w:t>
      </w:r>
      <w:r w:rsidRPr="00A4245F">
        <w:rPr>
          <w:rFonts w:hint="cs"/>
          <w:i/>
          <w:sz w:val="24"/>
          <w:rtl/>
          <w:lang w:bidi="ar-EG"/>
        </w:rPr>
        <w:t>المعلومات المتاحة محدودة، بشأن تنفيذ أحكام البروتوكول فيما يتعلق بالمعارف التقليدية المرتبطة بالموارد الجينية التي تحتفظ بها الشعوب الأصلية والمجتمعات المحلية</w:t>
      </w:r>
      <w:r>
        <w:rPr>
          <w:rFonts w:hint="cs"/>
          <w:i/>
          <w:sz w:val="24"/>
          <w:rtl/>
          <w:lang w:bidi="ar-EG"/>
        </w:rPr>
        <w:t>"، ودعا</w:t>
      </w:r>
      <w:r w:rsidRPr="00A4245F">
        <w:rPr>
          <w:rFonts w:hint="cs"/>
          <w:i/>
          <w:sz w:val="24"/>
          <w:rtl/>
          <w:lang w:bidi="ar-EG"/>
        </w:rPr>
        <w:t xml:space="preserve"> الأطراف، </w:t>
      </w:r>
      <w:r>
        <w:rPr>
          <w:rFonts w:hint="cs"/>
          <w:i/>
          <w:sz w:val="24"/>
          <w:rtl/>
          <w:lang w:bidi="ar-EG"/>
        </w:rPr>
        <w:t xml:space="preserve">إلى </w:t>
      </w:r>
      <w:r w:rsidRPr="00A4245F">
        <w:rPr>
          <w:rFonts w:hint="cs"/>
          <w:i/>
          <w:sz w:val="24"/>
          <w:rtl/>
          <w:lang w:bidi="ar-EG"/>
        </w:rPr>
        <w:t xml:space="preserve">إيلاء اهتمام خاص </w:t>
      </w:r>
      <w:r>
        <w:rPr>
          <w:rFonts w:hint="cs"/>
          <w:i/>
          <w:sz w:val="24"/>
          <w:rtl/>
          <w:lang w:bidi="ar-EG"/>
        </w:rPr>
        <w:t xml:space="preserve">لهذه المسألة </w:t>
      </w:r>
      <w:r w:rsidRPr="00A4245F">
        <w:rPr>
          <w:rFonts w:hint="cs"/>
          <w:i/>
          <w:sz w:val="24"/>
          <w:rtl/>
          <w:lang w:bidi="ar-EG"/>
        </w:rPr>
        <w:t>لدى إعداد وتقديم تقاريرها الوطنية المرحلية</w:t>
      </w:r>
      <w:r w:rsidR="000C2C14" w:rsidRPr="00A733B2">
        <w:rPr>
          <w:rFonts w:hint="cs"/>
          <w:sz w:val="22"/>
          <w:rtl/>
          <w:lang w:bidi="ar-EG"/>
        </w:rPr>
        <w:t>.</w:t>
      </w:r>
    </w:p>
    <w:p w:rsidR="00B95C9F" w:rsidRPr="00A733B2" w:rsidRDefault="001521A7" w:rsidP="007665C5">
      <w:pPr>
        <w:numPr>
          <w:ilvl w:val="0"/>
          <w:numId w:val="27"/>
        </w:numPr>
        <w:spacing w:after="100" w:line="204" w:lineRule="auto"/>
        <w:ind w:left="0" w:firstLine="0"/>
        <w:jc w:val="both"/>
        <w:rPr>
          <w:sz w:val="22"/>
          <w:lang w:val="en-GB" w:bidi="ar-EG"/>
        </w:rPr>
      </w:pPr>
      <w:r>
        <w:rPr>
          <w:rFonts w:hint="cs"/>
          <w:sz w:val="22"/>
          <w:rtl/>
          <w:lang w:val="en-GB" w:bidi="ar-EG"/>
        </w:rPr>
        <w:t>والأحكام الرئيسية في بروتوكول ناغويا التي تعالج المعارف التقليدية المرتبطة بالموارد الجينية التي تحتفظ بها الشعوب الأصلية والمجتمعات المحلية هي: المادة 5، الفقرة 5؛ والمادة 7؛ والمادة 12؛ والمادة 16.</w:t>
      </w:r>
    </w:p>
    <w:p w:rsidR="00B95C9F" w:rsidRPr="00A733B2" w:rsidRDefault="001521A7" w:rsidP="007665C5">
      <w:pPr>
        <w:numPr>
          <w:ilvl w:val="0"/>
          <w:numId w:val="27"/>
        </w:numPr>
        <w:spacing w:after="100" w:line="204" w:lineRule="auto"/>
        <w:ind w:left="0" w:firstLine="0"/>
        <w:jc w:val="both"/>
        <w:rPr>
          <w:sz w:val="22"/>
          <w:lang w:val="en-GB" w:bidi="ar-EG"/>
        </w:rPr>
      </w:pPr>
      <w:r>
        <w:rPr>
          <w:rFonts w:hint="cs"/>
          <w:sz w:val="22"/>
          <w:rtl/>
          <w:lang w:val="en-GB"/>
        </w:rPr>
        <w:t>وبناء عليه، يرد أدناه موجز للمعلومات ذات الصلة من وثيقة التحليل بشأن هذه الأحكام</w:t>
      </w:r>
      <w:r w:rsidR="000A1676" w:rsidRPr="00A733B2">
        <w:rPr>
          <w:rFonts w:hint="cs"/>
          <w:sz w:val="22"/>
          <w:rtl/>
        </w:rPr>
        <w:t>.</w:t>
      </w:r>
    </w:p>
    <w:p w:rsidR="00B95C9F" w:rsidRPr="00105C4A" w:rsidRDefault="00B345B4" w:rsidP="007665C5">
      <w:pPr>
        <w:spacing w:after="100" w:line="204" w:lineRule="auto"/>
        <w:ind w:left="1350" w:hanging="630"/>
        <w:jc w:val="both"/>
        <w:rPr>
          <w:i/>
          <w:iCs/>
          <w:sz w:val="24"/>
          <w:lang w:val="en-GB"/>
        </w:rPr>
      </w:pPr>
      <w:r w:rsidRPr="00105C4A">
        <w:rPr>
          <w:rFonts w:hint="cs"/>
          <w:i/>
          <w:iCs/>
          <w:sz w:val="24"/>
          <w:rtl/>
        </w:rPr>
        <w:t>1 -</w:t>
      </w:r>
      <w:r w:rsidR="00F73BBA" w:rsidRPr="00105C4A">
        <w:rPr>
          <w:rFonts w:hint="cs"/>
          <w:i/>
          <w:iCs/>
          <w:sz w:val="24"/>
          <w:rtl/>
          <w:lang w:val="en-GB" w:bidi="ar-EG"/>
        </w:rPr>
        <w:tab/>
      </w:r>
      <w:r w:rsidR="00F73BBA" w:rsidRPr="00105C4A">
        <w:rPr>
          <w:rFonts w:hint="cs"/>
          <w:i/>
          <w:iCs/>
          <w:sz w:val="24"/>
          <w:rtl/>
        </w:rPr>
        <w:t>هل اتخذ بلدك تدابير تشريعية أو إدارية أو سياساتية بهدف تقاسم المنافع الناشئة عن استخدام المعارف التقليدية المرتبطة بالموارد الجينية مع المجتمعات الأصلية والمحلية التي تحوز هذه المعارف على النحو المنصوص عليه في المادة 5-5؟</w:t>
      </w:r>
      <w:r w:rsidR="00F73BBA" w:rsidRPr="00105C4A">
        <w:rPr>
          <w:rFonts w:hint="cs"/>
          <w:i/>
          <w:iCs/>
          <w:sz w:val="24"/>
          <w:rtl/>
          <w:lang w:val="en-GB"/>
        </w:rPr>
        <w:t xml:space="preserve"> (السؤال 22 من نموذج التقرير الوطني المرحلي)</w:t>
      </w:r>
    </w:p>
    <w:p w:rsidR="00B95C9F" w:rsidRPr="00A733B2" w:rsidRDefault="0001586A" w:rsidP="00750BBC">
      <w:pPr>
        <w:numPr>
          <w:ilvl w:val="0"/>
          <w:numId w:val="27"/>
        </w:numPr>
        <w:spacing w:after="100" w:line="204" w:lineRule="auto"/>
        <w:ind w:left="0" w:firstLine="0"/>
        <w:jc w:val="both"/>
        <w:rPr>
          <w:sz w:val="22"/>
          <w:lang w:val="en-GB" w:bidi="ar-EG"/>
        </w:rPr>
      </w:pPr>
      <w:r>
        <w:rPr>
          <w:rFonts w:hint="cs"/>
          <w:sz w:val="22"/>
          <w:rtl/>
        </w:rPr>
        <w:t>أجاب ما مجموعه 41 طرفا و5 من غير الأطراف أنهم اتخذوا تدابير لتنفيذ المادة 5-5، بينما أبلغ 28 طرفا و1</w:t>
      </w:r>
      <w:r w:rsidR="00750BBC">
        <w:rPr>
          <w:rFonts w:hint="cs"/>
          <w:sz w:val="22"/>
          <w:rtl/>
        </w:rPr>
        <w:t> </w:t>
      </w:r>
      <w:r>
        <w:rPr>
          <w:rFonts w:hint="cs"/>
          <w:sz w:val="22"/>
          <w:rtl/>
        </w:rPr>
        <w:t>من غير الأطراف أنهم لم يتخذوا مثل هذه التدابير</w:t>
      </w:r>
      <w:r w:rsidR="001312EA" w:rsidRPr="00A733B2">
        <w:rPr>
          <w:rFonts w:hint="cs"/>
          <w:sz w:val="22"/>
          <w:rtl/>
        </w:rPr>
        <w:t>.</w:t>
      </w:r>
    </w:p>
    <w:p w:rsidR="00164BDE" w:rsidRPr="00A733B2" w:rsidRDefault="0001586A" w:rsidP="007665C5">
      <w:pPr>
        <w:numPr>
          <w:ilvl w:val="0"/>
          <w:numId w:val="27"/>
        </w:numPr>
        <w:spacing w:after="100" w:line="204" w:lineRule="auto"/>
        <w:ind w:left="0" w:firstLine="0"/>
        <w:jc w:val="both"/>
        <w:rPr>
          <w:sz w:val="22"/>
          <w:lang w:bidi="ar-EG"/>
        </w:rPr>
      </w:pPr>
      <w:r>
        <w:rPr>
          <w:rFonts w:hint="cs"/>
          <w:sz w:val="22"/>
          <w:rtl/>
        </w:rPr>
        <w:t>ومن بين البلدان التي أجابت "نعم" على هذا السؤال، أشار الكثيرون إلى التدابير التي تقتضي تقاسم المنافع من استخدام المعارف التقليدية في بلدانهم</w:t>
      </w:r>
      <w:r w:rsidR="001156E2">
        <w:rPr>
          <w:rFonts w:hint="cs"/>
          <w:sz w:val="22"/>
          <w:rtl/>
        </w:rPr>
        <w:t>.</w:t>
      </w:r>
      <w:r w:rsidR="001156E2">
        <w:rPr>
          <w:rStyle w:val="FootnoteReference"/>
          <w:sz w:val="22"/>
          <w:rtl/>
        </w:rPr>
        <w:footnoteReference w:id="5"/>
      </w:r>
      <w:r w:rsidR="001156E2">
        <w:rPr>
          <w:rFonts w:hint="cs"/>
          <w:sz w:val="22"/>
          <w:rtl/>
        </w:rPr>
        <w:t xml:space="preserve"> </w:t>
      </w:r>
      <w:r>
        <w:rPr>
          <w:rFonts w:hint="cs"/>
          <w:sz w:val="22"/>
          <w:rtl/>
        </w:rPr>
        <w:t>وفي بعض البلدان، فإن التدابير التي تتناول تقاسم المنافع من استخدام المعارف التقليدية المرتبطة هي تدابير لديها حماية المعارف التقليدية كهدفها الأساسي</w:t>
      </w:r>
      <w:r w:rsidR="00164BDE" w:rsidRPr="00A733B2">
        <w:rPr>
          <w:rFonts w:hint="cs"/>
          <w:sz w:val="22"/>
          <w:rtl/>
        </w:rPr>
        <w:t>.</w:t>
      </w:r>
      <w:r w:rsidR="001156E2">
        <w:rPr>
          <w:rStyle w:val="FootnoteReference"/>
          <w:sz w:val="22"/>
          <w:rtl/>
        </w:rPr>
        <w:footnoteReference w:id="6"/>
      </w:r>
      <w:r w:rsidR="001156E2">
        <w:rPr>
          <w:rFonts w:hint="cs"/>
          <w:sz w:val="22"/>
          <w:rtl/>
          <w:lang w:bidi="ar-EG"/>
        </w:rPr>
        <w:t xml:space="preserve"> </w:t>
      </w:r>
      <w:r>
        <w:rPr>
          <w:rFonts w:hint="cs"/>
          <w:sz w:val="22"/>
          <w:rtl/>
          <w:lang w:bidi="ar-EG"/>
        </w:rPr>
        <w:t xml:space="preserve">وأشار بعض البلدان إلى خططهم أو عملهم لإعداد تدابير ضرورية أو إضافية لتنفيذ </w:t>
      </w:r>
      <w:r w:rsidR="001156E2">
        <w:rPr>
          <w:rFonts w:hint="cs"/>
          <w:sz w:val="22"/>
          <w:rtl/>
          <w:lang w:bidi="ar-EG"/>
        </w:rPr>
        <w:t>المادة 5-5.</w:t>
      </w:r>
      <w:r w:rsidR="001156E2">
        <w:rPr>
          <w:rStyle w:val="FootnoteReference"/>
          <w:sz w:val="22"/>
          <w:rtl/>
        </w:rPr>
        <w:footnoteReference w:id="7"/>
      </w:r>
    </w:p>
    <w:p w:rsidR="00164BDE" w:rsidRPr="00A733B2" w:rsidRDefault="0001586A" w:rsidP="00750BBC">
      <w:pPr>
        <w:numPr>
          <w:ilvl w:val="0"/>
          <w:numId w:val="27"/>
        </w:numPr>
        <w:spacing w:after="100" w:line="204" w:lineRule="auto"/>
        <w:ind w:left="0" w:firstLine="0"/>
        <w:jc w:val="both"/>
        <w:rPr>
          <w:sz w:val="22"/>
          <w:lang w:bidi="ar-EG"/>
        </w:rPr>
      </w:pPr>
      <w:r>
        <w:rPr>
          <w:rFonts w:hint="cs"/>
          <w:sz w:val="22"/>
          <w:rtl/>
        </w:rPr>
        <w:t xml:space="preserve">ومن بين البلدان التي أجابت "لا" على هذا السؤال، </w:t>
      </w:r>
      <w:r w:rsidR="001156E2">
        <w:rPr>
          <w:rFonts w:hint="cs"/>
          <w:sz w:val="22"/>
          <w:rtl/>
        </w:rPr>
        <w:t>أشار بلدا</w:t>
      </w:r>
      <w:r>
        <w:rPr>
          <w:rFonts w:hint="cs"/>
          <w:sz w:val="22"/>
          <w:rtl/>
        </w:rPr>
        <w:t>ن</w:t>
      </w:r>
      <w:r w:rsidR="00750BBC">
        <w:rPr>
          <w:rFonts w:hint="cs"/>
          <w:sz w:val="22"/>
          <w:rtl/>
        </w:rPr>
        <w:t xml:space="preserve"> اثنان</w:t>
      </w:r>
      <w:r>
        <w:rPr>
          <w:rFonts w:hint="cs"/>
          <w:sz w:val="22"/>
          <w:rtl/>
        </w:rPr>
        <w:t xml:space="preserve"> </w:t>
      </w:r>
      <w:r w:rsidR="00750BBC">
        <w:rPr>
          <w:rFonts w:hint="cs"/>
          <w:sz w:val="22"/>
          <w:rtl/>
        </w:rPr>
        <w:t xml:space="preserve">إلى </w:t>
      </w:r>
      <w:r>
        <w:rPr>
          <w:rFonts w:hint="cs"/>
          <w:sz w:val="22"/>
          <w:rtl/>
        </w:rPr>
        <w:t>عدم وجود أي شعوب أصلية ومجتمعات محلية في بلدهما،</w:t>
      </w:r>
      <w:r w:rsidR="001156E2">
        <w:rPr>
          <w:rStyle w:val="FootnoteReference"/>
          <w:sz w:val="22"/>
          <w:rtl/>
        </w:rPr>
        <w:footnoteReference w:id="8"/>
      </w:r>
      <w:r w:rsidR="00750BBC">
        <w:rPr>
          <w:rFonts w:hint="cs"/>
          <w:sz w:val="22"/>
          <w:rtl/>
        </w:rPr>
        <w:t xml:space="preserve"> </w:t>
      </w:r>
      <w:r w:rsidR="001156E2">
        <w:rPr>
          <w:rFonts w:hint="cs"/>
          <w:sz w:val="22"/>
          <w:rtl/>
        </w:rPr>
        <w:t>و</w:t>
      </w:r>
      <w:r>
        <w:rPr>
          <w:rFonts w:hint="cs"/>
          <w:sz w:val="22"/>
          <w:rtl/>
        </w:rPr>
        <w:t xml:space="preserve">أوضح </w:t>
      </w:r>
      <w:r w:rsidR="001156E2">
        <w:rPr>
          <w:rFonts w:hint="cs"/>
          <w:sz w:val="22"/>
          <w:rtl/>
        </w:rPr>
        <w:t>بلد آخر</w:t>
      </w:r>
      <w:r w:rsidR="001156E2">
        <w:rPr>
          <w:rStyle w:val="FootnoteReference"/>
          <w:sz w:val="22"/>
          <w:rtl/>
        </w:rPr>
        <w:footnoteReference w:id="9"/>
      </w:r>
      <w:r>
        <w:rPr>
          <w:rFonts w:hint="cs"/>
          <w:sz w:val="22"/>
          <w:rtl/>
        </w:rPr>
        <w:t xml:space="preserve"> أنه يوجد به مجتمعات محلية فقط</w:t>
      </w:r>
      <w:r w:rsidR="00164BDE" w:rsidRPr="00A733B2">
        <w:rPr>
          <w:rFonts w:hint="cs"/>
          <w:sz w:val="22"/>
          <w:rtl/>
        </w:rPr>
        <w:t>.</w:t>
      </w:r>
      <w:r w:rsidR="001156E2">
        <w:rPr>
          <w:rFonts w:hint="cs"/>
          <w:sz w:val="22"/>
          <w:rtl/>
          <w:lang w:bidi="ar-EG"/>
        </w:rPr>
        <w:t xml:space="preserve"> </w:t>
      </w:r>
      <w:r w:rsidR="009213DD">
        <w:rPr>
          <w:rFonts w:hint="cs"/>
          <w:sz w:val="22"/>
          <w:rtl/>
          <w:lang w:bidi="ar-EG"/>
        </w:rPr>
        <w:t>وشرح بلد آخر</w:t>
      </w:r>
      <w:r w:rsidR="009213DD">
        <w:rPr>
          <w:rStyle w:val="FootnoteReference"/>
          <w:sz w:val="22"/>
          <w:rtl/>
        </w:rPr>
        <w:footnoteReference w:id="10"/>
      </w:r>
      <w:r w:rsidR="009213DD">
        <w:rPr>
          <w:rFonts w:hint="cs"/>
          <w:sz w:val="22"/>
          <w:rtl/>
          <w:lang w:bidi="ar-EG"/>
        </w:rPr>
        <w:t xml:space="preserve"> أن </w:t>
      </w:r>
      <w:r>
        <w:rPr>
          <w:rFonts w:hint="cs"/>
          <w:sz w:val="22"/>
          <w:rtl/>
          <w:lang w:bidi="ar-EG"/>
        </w:rPr>
        <w:t xml:space="preserve">المنافع سيتم تقاسمها </w:t>
      </w:r>
      <w:r w:rsidR="00701379">
        <w:rPr>
          <w:rFonts w:hint="cs"/>
          <w:sz w:val="22"/>
          <w:rtl/>
          <w:lang w:bidi="ar-EG"/>
        </w:rPr>
        <w:t>بال</w:t>
      </w:r>
      <w:r w:rsidR="00750BBC">
        <w:rPr>
          <w:rFonts w:hint="cs"/>
          <w:sz w:val="22"/>
          <w:rtl/>
          <w:lang w:bidi="ar-EG"/>
        </w:rPr>
        <w:t>تساوي</w:t>
      </w:r>
      <w:r w:rsidR="00701379">
        <w:rPr>
          <w:rFonts w:hint="cs"/>
          <w:sz w:val="22"/>
          <w:rtl/>
          <w:lang w:bidi="ar-EG"/>
        </w:rPr>
        <w:t xml:space="preserve"> بين جميع المواطنين. وأشارت عدة بلدان أيضا إلى أنها تعتزم معالجة هذه المسألة.</w:t>
      </w:r>
      <w:r w:rsidR="00701379">
        <w:rPr>
          <w:rStyle w:val="FootnoteReference"/>
          <w:sz w:val="22"/>
          <w:lang w:bidi="ar-EG"/>
        </w:rPr>
        <w:footnoteReference w:id="11"/>
      </w:r>
    </w:p>
    <w:p w:rsidR="00164BDE" w:rsidRPr="00A733B2" w:rsidRDefault="00701379" w:rsidP="007665C5">
      <w:pPr>
        <w:numPr>
          <w:ilvl w:val="0"/>
          <w:numId w:val="27"/>
        </w:numPr>
        <w:spacing w:after="100" w:line="204" w:lineRule="auto"/>
        <w:ind w:left="0" w:firstLine="0"/>
        <w:jc w:val="both"/>
        <w:rPr>
          <w:sz w:val="22"/>
          <w:lang w:bidi="ar-EG"/>
        </w:rPr>
      </w:pPr>
      <w:r>
        <w:rPr>
          <w:rFonts w:hint="cs"/>
          <w:sz w:val="22"/>
          <w:rtl/>
          <w:lang w:bidi="ar-EG"/>
        </w:rPr>
        <w:t>وفي السؤال 23، دعيت الأطراف إلى تقديم موجز للصعوبات الرئيسية والتحديات أمام وضع التدابير. وتضمنت الصعوبات المحددة للمعارف التقليدية المرتبطة ما يلي</w:t>
      </w:r>
      <w:r w:rsidR="00B345B4" w:rsidRPr="00A733B2">
        <w:rPr>
          <w:rFonts w:hint="cs"/>
          <w:sz w:val="22"/>
          <w:rtl/>
          <w:lang w:bidi="ar-EG"/>
        </w:rPr>
        <w:t>:</w:t>
      </w:r>
    </w:p>
    <w:p w:rsidR="00B345B4" w:rsidRPr="00A733B2" w:rsidRDefault="00B345B4" w:rsidP="007665C5">
      <w:pPr>
        <w:spacing w:after="100" w:line="204" w:lineRule="auto"/>
        <w:ind w:firstLine="720"/>
        <w:jc w:val="both"/>
        <w:rPr>
          <w:sz w:val="22"/>
          <w:rtl/>
          <w:lang w:bidi="ar-EG"/>
        </w:rPr>
      </w:pPr>
      <w:r w:rsidRPr="00A733B2">
        <w:rPr>
          <w:rFonts w:hint="cs"/>
          <w:sz w:val="22"/>
          <w:rtl/>
          <w:lang w:bidi="ar-EG"/>
        </w:rPr>
        <w:t>(أ)</w:t>
      </w:r>
      <w:r w:rsidRPr="00A733B2">
        <w:rPr>
          <w:rFonts w:hint="cs"/>
          <w:sz w:val="22"/>
          <w:rtl/>
          <w:lang w:bidi="ar-EG"/>
        </w:rPr>
        <w:tab/>
      </w:r>
      <w:r w:rsidR="00701379">
        <w:rPr>
          <w:rFonts w:hint="cs"/>
          <w:sz w:val="22"/>
          <w:rtl/>
          <w:lang w:bidi="ar-EG"/>
        </w:rPr>
        <w:t xml:space="preserve">التحديات المواجهة في توضيح معني "الشعوب الأصلية والمجتمعات المحلية" في السياق الوطني، بما في ذلك تقديم الوضوح بشأن ملكية الشعوب الأصلية والمجتمعات المحلية للمعارف التقليدية المرتبطة بالموارد الجينية. وقد </w:t>
      </w:r>
      <w:r w:rsidR="00701379">
        <w:rPr>
          <w:rFonts w:hint="cs"/>
          <w:sz w:val="22"/>
          <w:rtl/>
          <w:lang w:bidi="ar-EG"/>
        </w:rPr>
        <w:lastRenderedPageBreak/>
        <w:t xml:space="preserve">واجه أطراف كثيرة صعوبات في تحديد مختلف مجموعات الشعوب الأصلية والمجتمعات المحلية، وفهم طريقة تنظيمها، وقدرتها على الربط بين المعارف التقليدية </w:t>
      </w:r>
      <w:r w:rsidR="00C96E21">
        <w:rPr>
          <w:rFonts w:hint="cs"/>
          <w:sz w:val="22"/>
          <w:rtl/>
          <w:lang w:bidi="ar-EG"/>
        </w:rPr>
        <w:t>و</w:t>
      </w:r>
      <w:r w:rsidR="00701379">
        <w:rPr>
          <w:rFonts w:hint="cs"/>
          <w:sz w:val="22"/>
          <w:rtl/>
          <w:lang w:bidi="ar-EG"/>
        </w:rPr>
        <w:t>حائز أو حائزي هذه المعارف؛</w:t>
      </w:r>
    </w:p>
    <w:p w:rsidR="00B345B4" w:rsidRPr="00A733B2" w:rsidRDefault="00B345B4" w:rsidP="007609DD">
      <w:pPr>
        <w:spacing w:after="100" w:line="204" w:lineRule="auto"/>
        <w:ind w:firstLine="720"/>
        <w:jc w:val="both"/>
        <w:rPr>
          <w:sz w:val="22"/>
          <w:rtl/>
          <w:lang w:bidi="ar-EG"/>
        </w:rPr>
      </w:pPr>
      <w:r w:rsidRPr="00A733B2">
        <w:rPr>
          <w:rFonts w:hint="cs"/>
          <w:sz w:val="22"/>
          <w:rtl/>
          <w:lang w:bidi="ar-EG"/>
        </w:rPr>
        <w:t>(ب)</w:t>
      </w:r>
      <w:r w:rsidRPr="00A733B2">
        <w:rPr>
          <w:rFonts w:hint="cs"/>
          <w:sz w:val="22"/>
          <w:rtl/>
          <w:lang w:bidi="ar-EG"/>
        </w:rPr>
        <w:tab/>
      </w:r>
      <w:r w:rsidR="00701379">
        <w:rPr>
          <w:rFonts w:hint="cs"/>
          <w:sz w:val="22"/>
          <w:rtl/>
          <w:lang w:bidi="ar-EG"/>
        </w:rPr>
        <w:t>ال</w:t>
      </w:r>
      <w:r w:rsidR="007609DD">
        <w:rPr>
          <w:rFonts w:hint="cs"/>
          <w:sz w:val="22"/>
          <w:rtl/>
          <w:lang w:bidi="ar-EG"/>
        </w:rPr>
        <w:t>حاج</w:t>
      </w:r>
      <w:r w:rsidR="00701379">
        <w:rPr>
          <w:rFonts w:hint="cs"/>
          <w:sz w:val="22"/>
          <w:rtl/>
          <w:lang w:bidi="ar-EG"/>
        </w:rPr>
        <w:t xml:space="preserve">ة </w:t>
      </w:r>
      <w:r w:rsidR="007609DD">
        <w:rPr>
          <w:rFonts w:hint="cs"/>
          <w:sz w:val="22"/>
          <w:rtl/>
          <w:lang w:bidi="ar-EG"/>
        </w:rPr>
        <w:t>إ</w:t>
      </w:r>
      <w:r w:rsidR="00701379">
        <w:rPr>
          <w:rFonts w:hint="cs"/>
          <w:sz w:val="22"/>
          <w:rtl/>
          <w:lang w:bidi="ar-EG"/>
        </w:rPr>
        <w:t xml:space="preserve">لى بناء القدرات على المستوى المؤسسي </w:t>
      </w:r>
      <w:r w:rsidR="00C96E21">
        <w:rPr>
          <w:rFonts w:hint="cs"/>
          <w:sz w:val="22"/>
          <w:rtl/>
          <w:lang w:bidi="ar-EG"/>
        </w:rPr>
        <w:t>حول</w:t>
      </w:r>
      <w:r w:rsidR="00701379">
        <w:rPr>
          <w:rFonts w:hint="cs"/>
          <w:sz w:val="22"/>
          <w:rtl/>
          <w:lang w:bidi="ar-EG"/>
        </w:rPr>
        <w:t xml:space="preserve"> ال</w:t>
      </w:r>
      <w:r w:rsidR="00C96E21">
        <w:rPr>
          <w:rFonts w:hint="cs"/>
          <w:sz w:val="22"/>
          <w:rtl/>
          <w:lang w:bidi="ar-EG"/>
        </w:rPr>
        <w:t>قضايا</w:t>
      </w:r>
      <w:r w:rsidR="00701379">
        <w:rPr>
          <w:rFonts w:hint="cs"/>
          <w:sz w:val="22"/>
          <w:rtl/>
          <w:lang w:bidi="ar-EG"/>
        </w:rPr>
        <w:t xml:space="preserve"> المتعلقة بالمعارف التقليدية المرتبطة بالموارد الجينية والشعوب الأصلية والمجتمعات المحلية. </w:t>
      </w:r>
      <w:r w:rsidR="00C96E21">
        <w:rPr>
          <w:rFonts w:hint="cs"/>
          <w:sz w:val="22"/>
          <w:rtl/>
          <w:lang w:bidi="ar-EG"/>
        </w:rPr>
        <w:t>وقد أثيرت</w:t>
      </w:r>
      <w:r w:rsidR="00701379">
        <w:rPr>
          <w:rFonts w:hint="cs"/>
          <w:sz w:val="22"/>
          <w:rtl/>
          <w:lang w:bidi="ar-EG"/>
        </w:rPr>
        <w:t xml:space="preserve"> </w:t>
      </w:r>
      <w:r w:rsidR="00C96E21">
        <w:rPr>
          <w:rFonts w:hint="cs"/>
          <w:sz w:val="22"/>
          <w:rtl/>
          <w:lang w:bidi="ar-EG"/>
        </w:rPr>
        <w:t>الصعوبة في إعداد التدابير التي ستضمن أن جميع قضايا ال</w:t>
      </w:r>
      <w:r w:rsidR="007609DD">
        <w:rPr>
          <w:rFonts w:hint="cs"/>
          <w:sz w:val="22"/>
          <w:rtl/>
          <w:lang w:bidi="ar-EG"/>
        </w:rPr>
        <w:t>ش</w:t>
      </w:r>
      <w:r w:rsidR="00C96E21">
        <w:rPr>
          <w:rFonts w:hint="cs"/>
          <w:sz w:val="22"/>
          <w:rtl/>
          <w:lang w:bidi="ar-EG"/>
        </w:rPr>
        <w:t xml:space="preserve">عوب الأصلية والمجتمعات المحلية </w:t>
      </w:r>
      <w:r w:rsidR="007609DD">
        <w:rPr>
          <w:rFonts w:hint="cs"/>
          <w:sz w:val="22"/>
          <w:rtl/>
          <w:lang w:bidi="ar-EG"/>
        </w:rPr>
        <w:t xml:space="preserve">في البروتوكول </w:t>
      </w:r>
      <w:r w:rsidR="00C96E21">
        <w:rPr>
          <w:rFonts w:hint="cs"/>
          <w:sz w:val="22"/>
          <w:rtl/>
          <w:lang w:bidi="ar-EG"/>
        </w:rPr>
        <w:t>يتم معالجتها على نحو مناسب ولاحظ البعض عدم وجود الخبرات أو الأمثلة التي يمكن استخدامها؛</w:t>
      </w:r>
    </w:p>
    <w:p w:rsidR="00B345B4" w:rsidRPr="00A733B2" w:rsidRDefault="00B345B4" w:rsidP="007665C5">
      <w:pPr>
        <w:spacing w:after="100" w:line="204" w:lineRule="auto"/>
        <w:ind w:firstLine="720"/>
        <w:jc w:val="both"/>
        <w:rPr>
          <w:sz w:val="22"/>
          <w:rtl/>
          <w:lang w:bidi="ar-EG"/>
        </w:rPr>
      </w:pPr>
      <w:r w:rsidRPr="00A733B2">
        <w:rPr>
          <w:rFonts w:hint="cs"/>
          <w:sz w:val="22"/>
          <w:rtl/>
          <w:lang w:bidi="ar-EG"/>
        </w:rPr>
        <w:t>(ج)</w:t>
      </w:r>
      <w:r w:rsidRPr="00A733B2">
        <w:rPr>
          <w:rFonts w:hint="cs"/>
          <w:sz w:val="22"/>
          <w:rtl/>
          <w:lang w:bidi="ar-EG"/>
        </w:rPr>
        <w:tab/>
      </w:r>
      <w:r w:rsidR="00C96E21">
        <w:rPr>
          <w:rFonts w:hint="cs"/>
          <w:sz w:val="22"/>
          <w:rtl/>
          <w:lang w:bidi="ar-EG"/>
        </w:rPr>
        <w:t xml:space="preserve">الحاجة إلى بناء القدرات وزيادة التوعية عن الحصول </w:t>
      </w:r>
      <w:r w:rsidR="00C96E21" w:rsidRPr="007665C5">
        <w:rPr>
          <w:rFonts w:hint="cs"/>
          <w:spacing w:val="-8"/>
          <w:sz w:val="22"/>
          <w:rtl/>
          <w:lang w:bidi="ar-EG"/>
        </w:rPr>
        <w:t>وتقاسم المنافع لدى الشعوب الأصلية والمجتمعات المحلية؛</w:t>
      </w:r>
    </w:p>
    <w:p w:rsidR="00B345B4" w:rsidRPr="00A733B2" w:rsidRDefault="00B345B4" w:rsidP="007609DD">
      <w:pPr>
        <w:spacing w:after="100" w:line="204" w:lineRule="auto"/>
        <w:ind w:firstLine="720"/>
        <w:jc w:val="both"/>
        <w:rPr>
          <w:sz w:val="22"/>
          <w:lang w:bidi="ar-EG"/>
        </w:rPr>
      </w:pPr>
      <w:r w:rsidRPr="00A733B2">
        <w:rPr>
          <w:rFonts w:hint="cs"/>
          <w:sz w:val="22"/>
          <w:rtl/>
          <w:lang w:bidi="ar-EG"/>
        </w:rPr>
        <w:t>(د)</w:t>
      </w:r>
      <w:r w:rsidRPr="00A733B2">
        <w:rPr>
          <w:rFonts w:hint="cs"/>
          <w:sz w:val="22"/>
          <w:rtl/>
          <w:lang w:bidi="ar-EG"/>
        </w:rPr>
        <w:tab/>
      </w:r>
      <w:r w:rsidR="00C96E21">
        <w:rPr>
          <w:rFonts w:hint="cs"/>
          <w:sz w:val="22"/>
          <w:rtl/>
          <w:lang w:bidi="ar-EG"/>
        </w:rPr>
        <w:t xml:space="preserve">الحاجة إلى إعداد جرد، ودراسات و/أو نصوص المعارف التقليدية وتحديد قيمتها. وشرح أحد البلدان أنه حتى لو لديه تشريعات، فهم يرون أن التدابير لم تكن معروفة جيدا أو مفهومة من جانب المؤسسات، والمجتمعات أو المستخدمين، وأن ذلك يمكن أن يفسر </w:t>
      </w:r>
      <w:r w:rsidR="007609DD">
        <w:rPr>
          <w:rFonts w:hint="cs"/>
          <w:sz w:val="22"/>
          <w:rtl/>
          <w:lang w:bidi="ar-EG"/>
        </w:rPr>
        <w:t xml:space="preserve">جزئيا </w:t>
      </w:r>
      <w:r w:rsidR="00C96E21">
        <w:rPr>
          <w:rFonts w:hint="cs"/>
          <w:sz w:val="22"/>
          <w:rtl/>
          <w:lang w:bidi="ar-EG"/>
        </w:rPr>
        <w:t>عدم منح أي تصاريح للحصول على المعارف التقليدية المرتبطة حتى الآن.</w:t>
      </w:r>
      <w:r w:rsidR="00C96E21">
        <w:rPr>
          <w:rStyle w:val="FootnoteReference"/>
          <w:sz w:val="22"/>
          <w:rtl/>
          <w:lang w:bidi="ar-EG"/>
        </w:rPr>
        <w:footnoteReference w:id="12"/>
      </w:r>
    </w:p>
    <w:p w:rsidR="00164BDE" w:rsidRPr="00105C4A" w:rsidRDefault="00F73BBA" w:rsidP="007665C5">
      <w:pPr>
        <w:spacing w:after="100" w:line="204" w:lineRule="auto"/>
        <w:ind w:left="1350" w:hanging="630"/>
        <w:jc w:val="both"/>
        <w:rPr>
          <w:i/>
          <w:iCs/>
          <w:sz w:val="24"/>
          <w:lang w:bidi="ar-EG"/>
        </w:rPr>
      </w:pPr>
      <w:r w:rsidRPr="00105C4A">
        <w:rPr>
          <w:rFonts w:hint="cs"/>
          <w:i/>
          <w:iCs/>
          <w:sz w:val="24"/>
          <w:rtl/>
        </w:rPr>
        <w:t>2 -</w:t>
      </w:r>
      <w:r w:rsidRPr="00105C4A">
        <w:rPr>
          <w:rFonts w:hint="cs"/>
          <w:i/>
          <w:iCs/>
          <w:sz w:val="24"/>
          <w:rtl/>
        </w:rPr>
        <w:tab/>
        <w:t xml:space="preserve">المنافع المتحققة منذ دخول البروتوكول حيز النفاذ في بلدك من استخدام: </w:t>
      </w:r>
      <w:r w:rsidRPr="00105C4A">
        <w:rPr>
          <w:rFonts w:hint="cs"/>
          <w:i/>
          <w:iCs/>
          <w:sz w:val="24"/>
          <w:rtl/>
          <w:lang w:bidi="ar-EG"/>
        </w:rPr>
        <w:t>الموارد الجينية (المنافع النقدية وغير النقدية) والمعارف التقليدية المرتبطة بالموارد الجينية (المنافع النقدية وغير النقدية) (السؤال 18 من التقارير الوطنية المرحلية)</w:t>
      </w:r>
    </w:p>
    <w:p w:rsidR="00BD4BAC" w:rsidRPr="00A733B2" w:rsidRDefault="003014B0" w:rsidP="007665C5">
      <w:pPr>
        <w:numPr>
          <w:ilvl w:val="0"/>
          <w:numId w:val="27"/>
        </w:numPr>
        <w:spacing w:after="100" w:line="204" w:lineRule="auto"/>
        <w:ind w:left="0" w:firstLine="0"/>
        <w:jc w:val="both"/>
        <w:rPr>
          <w:sz w:val="22"/>
          <w:lang w:bidi="ar-EG"/>
        </w:rPr>
      </w:pPr>
      <w:r>
        <w:rPr>
          <w:rFonts w:hint="cs"/>
          <w:sz w:val="22"/>
          <w:rtl/>
          <w:lang w:bidi="ar-EG"/>
        </w:rPr>
        <w:t>بينما تناول السؤال 18 في نموذج التقارير الوطنية المرحلية الموارد الجينية والمعارف التقليدية المرتبطة بالموارد الجينية</w:t>
      </w:r>
      <w:r w:rsidR="007609DD">
        <w:rPr>
          <w:rFonts w:hint="cs"/>
          <w:sz w:val="22"/>
          <w:rtl/>
          <w:lang w:bidi="ar-EG"/>
        </w:rPr>
        <w:t xml:space="preserve"> </w:t>
      </w:r>
      <w:r>
        <w:rPr>
          <w:rFonts w:hint="cs"/>
          <w:sz w:val="22"/>
          <w:rtl/>
          <w:lang w:bidi="ar-EG"/>
        </w:rPr>
        <w:t>على السواء، فقد أدرجت هنا المعلومات عن الأخيرة فقط.</w:t>
      </w:r>
    </w:p>
    <w:p w:rsidR="00F73BBA" w:rsidRDefault="003014B0" w:rsidP="007609DD">
      <w:pPr>
        <w:numPr>
          <w:ilvl w:val="0"/>
          <w:numId w:val="27"/>
        </w:numPr>
        <w:spacing w:after="100" w:line="204" w:lineRule="auto"/>
        <w:ind w:left="0" w:firstLine="0"/>
        <w:jc w:val="both"/>
        <w:rPr>
          <w:sz w:val="22"/>
          <w:lang w:val="en-GB" w:bidi="ar-EG"/>
        </w:rPr>
      </w:pPr>
      <w:r>
        <w:rPr>
          <w:rFonts w:hint="cs"/>
          <w:sz w:val="22"/>
          <w:rtl/>
          <w:lang w:bidi="ar-EG"/>
        </w:rPr>
        <w:t xml:space="preserve">وأفاد ما مجموعه 17 طرفا وواحد من غير الأطراف عن تلقي منافع من استخدام المعارف التقليدية المرتبطة. وأفاد ما مجموعه 6 </w:t>
      </w:r>
      <w:r w:rsidR="007609DD">
        <w:rPr>
          <w:rFonts w:hint="cs"/>
          <w:sz w:val="22"/>
          <w:rtl/>
          <w:lang w:bidi="ar-EG"/>
        </w:rPr>
        <w:t>بلدان</w:t>
      </w:r>
      <w:r>
        <w:rPr>
          <w:rFonts w:hint="cs"/>
          <w:sz w:val="22"/>
          <w:rtl/>
          <w:lang w:bidi="ar-EG"/>
        </w:rPr>
        <w:t xml:space="preserve"> عن تلقي منافع نقدية من استخدام المعارف التقليدية المرتبطة بينما أفاد 15 بلدا عن تلقي منافع غير نقدية من استخدام المعارف التقليدية المرتبطة.</w:t>
      </w:r>
    </w:p>
    <w:p w:rsidR="00F73BBA" w:rsidRDefault="003014B0" w:rsidP="007609DD">
      <w:pPr>
        <w:numPr>
          <w:ilvl w:val="0"/>
          <w:numId w:val="27"/>
        </w:numPr>
        <w:spacing w:after="100" w:line="204" w:lineRule="auto"/>
        <w:ind w:left="0" w:firstLine="0"/>
        <w:jc w:val="both"/>
        <w:rPr>
          <w:sz w:val="22"/>
          <w:lang w:val="en-GB" w:bidi="ar-EG"/>
        </w:rPr>
      </w:pPr>
      <w:r>
        <w:rPr>
          <w:rFonts w:hint="cs"/>
          <w:sz w:val="22"/>
          <w:rtl/>
          <w:lang w:val="en-GB" w:bidi="ar-EG"/>
        </w:rPr>
        <w:t xml:space="preserve">وقدمت بلدان قليلة جدا معلومات إضافية عن المنافع النقدية ذات الصلة بالمعارف التقليدية. وكانت أكثر المنافع النقدية </w:t>
      </w:r>
      <w:r w:rsidR="00FB3AA6">
        <w:rPr>
          <w:rFonts w:hint="cs"/>
          <w:sz w:val="22"/>
          <w:rtl/>
          <w:lang w:val="en-GB" w:bidi="ar-EG"/>
        </w:rPr>
        <w:t xml:space="preserve">المذكورة </w:t>
      </w:r>
      <w:r>
        <w:rPr>
          <w:rFonts w:hint="cs"/>
          <w:sz w:val="22"/>
          <w:rtl/>
          <w:lang w:val="en-GB" w:bidi="ar-EG"/>
        </w:rPr>
        <w:t>شيوعا تنمية القدرات حول ال</w:t>
      </w:r>
      <w:r w:rsidR="007609DD">
        <w:rPr>
          <w:rFonts w:hint="cs"/>
          <w:sz w:val="22"/>
          <w:rtl/>
          <w:lang w:val="en-GB" w:bidi="ar-EG"/>
        </w:rPr>
        <w:t>مسائل</w:t>
      </w:r>
      <w:r>
        <w:rPr>
          <w:rFonts w:hint="cs"/>
          <w:sz w:val="22"/>
          <w:rtl/>
          <w:lang w:val="en-GB" w:bidi="ar-EG"/>
        </w:rPr>
        <w:t xml:space="preserve"> المختلفة ذات الصلة بالمعارف التقليدية (مثل توثيق المعارف التقليدية، والبروتوكولات المجتمعية، أو الاستخدام المستدام للموارد الجينية استنادا إلى المعارف التقليدية).</w:t>
      </w:r>
      <w:r>
        <w:rPr>
          <w:rStyle w:val="FootnoteReference"/>
          <w:sz w:val="22"/>
          <w:rtl/>
          <w:lang w:val="en-GB" w:bidi="ar-EG"/>
        </w:rPr>
        <w:footnoteReference w:id="13"/>
      </w:r>
      <w:r>
        <w:rPr>
          <w:rFonts w:hint="cs"/>
          <w:sz w:val="22"/>
          <w:rtl/>
          <w:lang w:val="en-GB" w:bidi="ar-EG"/>
        </w:rPr>
        <w:t xml:space="preserve"> </w:t>
      </w:r>
      <w:r w:rsidR="00AB70FD">
        <w:rPr>
          <w:rFonts w:hint="cs"/>
          <w:sz w:val="22"/>
          <w:rtl/>
          <w:lang w:val="en-GB" w:bidi="ar-EG"/>
        </w:rPr>
        <w:t>وكانت المنافع غير النقدية الأخرى المذكورة: (أ) الحصول على معلومات عن البحوث في مجال المعارف التقليدية؛</w:t>
      </w:r>
      <w:r w:rsidR="00AB70FD">
        <w:rPr>
          <w:rStyle w:val="FootnoteReference"/>
          <w:sz w:val="22"/>
          <w:rtl/>
          <w:lang w:val="en-GB" w:bidi="ar-EG"/>
        </w:rPr>
        <w:footnoteReference w:id="14"/>
      </w:r>
      <w:r w:rsidR="00AB70FD">
        <w:rPr>
          <w:rFonts w:hint="cs"/>
          <w:sz w:val="22"/>
          <w:rtl/>
          <w:lang w:val="en-GB" w:bidi="ar-EG"/>
        </w:rPr>
        <w:t xml:space="preserve"> (ب) المطبوعات المشتركة؛</w:t>
      </w:r>
      <w:r w:rsidR="00AB70FD">
        <w:rPr>
          <w:rStyle w:val="FootnoteReference"/>
          <w:sz w:val="22"/>
          <w:rtl/>
          <w:lang w:val="en-GB" w:bidi="ar-EG"/>
        </w:rPr>
        <w:footnoteReference w:id="15"/>
      </w:r>
      <w:r w:rsidR="00AB70FD">
        <w:rPr>
          <w:rFonts w:hint="cs"/>
          <w:sz w:val="22"/>
          <w:rtl/>
          <w:lang w:val="en-GB" w:bidi="ar-EG"/>
        </w:rPr>
        <w:t xml:space="preserve"> (د) إعداد بروتوكولات مجتمعية تجريبية؛</w:t>
      </w:r>
      <w:r w:rsidR="00AB70FD">
        <w:rPr>
          <w:rStyle w:val="FootnoteReference"/>
          <w:sz w:val="22"/>
          <w:rtl/>
          <w:lang w:val="en-GB" w:bidi="ar-EG"/>
        </w:rPr>
        <w:footnoteReference w:id="16"/>
      </w:r>
      <w:r w:rsidR="00AB70FD">
        <w:rPr>
          <w:rFonts w:hint="cs"/>
          <w:sz w:val="22"/>
          <w:rtl/>
          <w:lang w:val="en-GB" w:bidi="ar-EG"/>
        </w:rPr>
        <w:t xml:space="preserve"> (د) حفظ التراث الاجتماعي الثقافي؛</w:t>
      </w:r>
      <w:r w:rsidR="00AB70FD">
        <w:rPr>
          <w:rStyle w:val="FootnoteReference"/>
          <w:sz w:val="22"/>
          <w:rtl/>
          <w:lang w:val="en-GB" w:bidi="ar-EG"/>
        </w:rPr>
        <w:footnoteReference w:id="17"/>
      </w:r>
      <w:r w:rsidR="00AB70FD">
        <w:rPr>
          <w:rFonts w:hint="cs"/>
          <w:sz w:val="22"/>
          <w:rtl/>
          <w:lang w:val="en-GB" w:bidi="ar-EG"/>
        </w:rPr>
        <w:t xml:space="preserve"> (ﻫ) </w:t>
      </w:r>
      <w:r w:rsidR="00940997">
        <w:rPr>
          <w:rFonts w:hint="cs"/>
          <w:sz w:val="22"/>
          <w:rtl/>
          <w:lang w:val="en-GB" w:bidi="ar-EG"/>
        </w:rPr>
        <w:t>زيادة التوعية؛</w:t>
      </w:r>
      <w:r w:rsidR="00940997">
        <w:rPr>
          <w:rStyle w:val="FootnoteReference"/>
          <w:sz w:val="22"/>
          <w:rtl/>
          <w:lang w:val="en-GB" w:bidi="ar-EG"/>
        </w:rPr>
        <w:footnoteReference w:id="18"/>
      </w:r>
      <w:r w:rsidR="00940997">
        <w:rPr>
          <w:rFonts w:hint="cs"/>
          <w:sz w:val="22"/>
          <w:rtl/>
          <w:lang w:val="en-GB" w:bidi="ar-EG"/>
        </w:rPr>
        <w:t xml:space="preserve"> (و)</w:t>
      </w:r>
      <w:r w:rsidR="007609DD">
        <w:rPr>
          <w:rFonts w:hint="cs"/>
          <w:sz w:val="22"/>
          <w:rtl/>
          <w:lang w:val="en-GB" w:bidi="ar-EG"/>
        </w:rPr>
        <w:t> </w:t>
      </w:r>
      <w:r w:rsidR="00AB70FD">
        <w:rPr>
          <w:rFonts w:hint="cs"/>
          <w:sz w:val="22"/>
          <w:rtl/>
          <w:lang w:val="en-GB" w:bidi="ar-EG"/>
        </w:rPr>
        <w:t>تنفيذ المشروعات المجتمعية، بما في ذلك الاحتفالات والاجتماعات بين المجتمعات؛</w:t>
      </w:r>
      <w:r w:rsidR="00AB70FD">
        <w:rPr>
          <w:rStyle w:val="FootnoteReference"/>
          <w:sz w:val="22"/>
          <w:rtl/>
          <w:lang w:val="en-GB" w:bidi="ar-EG"/>
        </w:rPr>
        <w:footnoteReference w:id="19"/>
      </w:r>
      <w:r w:rsidR="00AB70FD">
        <w:rPr>
          <w:rFonts w:hint="cs"/>
          <w:sz w:val="22"/>
          <w:rtl/>
          <w:lang w:val="en-GB" w:bidi="ar-EG"/>
        </w:rPr>
        <w:t xml:space="preserve"> (ز) قواعد البيانات؛</w:t>
      </w:r>
      <w:r w:rsidR="00AB70FD">
        <w:rPr>
          <w:rStyle w:val="FootnoteReference"/>
          <w:sz w:val="22"/>
          <w:rtl/>
          <w:lang w:val="en-GB" w:bidi="ar-EG"/>
        </w:rPr>
        <w:footnoteReference w:id="20"/>
      </w:r>
      <w:r w:rsidR="00AB70FD">
        <w:rPr>
          <w:rFonts w:hint="cs"/>
          <w:sz w:val="22"/>
          <w:rtl/>
          <w:lang w:val="en-GB" w:bidi="ar-EG"/>
        </w:rPr>
        <w:t xml:space="preserve"> و(ح)</w:t>
      </w:r>
      <w:r w:rsidR="007609DD">
        <w:rPr>
          <w:rFonts w:hint="cs"/>
          <w:sz w:val="22"/>
          <w:rtl/>
          <w:lang w:val="en-GB" w:bidi="ar-EG"/>
        </w:rPr>
        <w:t> </w:t>
      </w:r>
      <w:r w:rsidR="00AB70FD">
        <w:rPr>
          <w:rFonts w:hint="cs"/>
          <w:sz w:val="22"/>
          <w:rtl/>
          <w:lang w:val="en-GB" w:bidi="ar-EG"/>
        </w:rPr>
        <w:t>البحوث.</w:t>
      </w:r>
      <w:r w:rsidR="00AB70FD" w:rsidRPr="00AB70FD">
        <w:rPr>
          <w:rStyle w:val="FootnoteReference"/>
          <w:sz w:val="22"/>
          <w:rtl/>
          <w:lang w:val="en-GB" w:bidi="ar-EG"/>
        </w:rPr>
        <w:t xml:space="preserve"> </w:t>
      </w:r>
      <w:r w:rsidR="00AB70FD">
        <w:rPr>
          <w:rStyle w:val="FootnoteReference"/>
          <w:sz w:val="22"/>
          <w:rtl/>
          <w:lang w:val="en-GB" w:bidi="ar-EG"/>
        </w:rPr>
        <w:footnoteReference w:id="21"/>
      </w:r>
    </w:p>
    <w:p w:rsidR="007665C5" w:rsidRPr="007665C5" w:rsidRDefault="00AB70FD" w:rsidP="007665C5">
      <w:pPr>
        <w:numPr>
          <w:ilvl w:val="0"/>
          <w:numId w:val="27"/>
        </w:numPr>
        <w:spacing w:after="100" w:line="204" w:lineRule="auto"/>
        <w:ind w:left="0" w:firstLine="0"/>
        <w:jc w:val="both"/>
        <w:rPr>
          <w:sz w:val="22"/>
          <w:lang w:val="en-GB" w:bidi="ar-EG"/>
        </w:rPr>
      </w:pPr>
      <w:r>
        <w:rPr>
          <w:rFonts w:hint="cs"/>
          <w:sz w:val="22"/>
          <w:rtl/>
          <w:lang w:val="en-GB" w:bidi="ar-EG"/>
        </w:rPr>
        <w:lastRenderedPageBreak/>
        <w:t>وفي السؤال 19، دعيت الأطراف إلى تقديم موجز للصعوبات والتحديات الرئيسية التي واجهتها. واشتملت الصعوبات المحددة المرتبطة بالمعارف التقليدية ما يلي: الحاجة إلى إعداد جرد للمعارف التقليدية المرتبطة؛ وغياب التدابير ذات الصلة؛ والصعوبات لتأكيد ما إذا كان الأمر يتعلق بمعارف تقليدية.</w:t>
      </w:r>
    </w:p>
    <w:p w:rsidR="00F73BBA" w:rsidRPr="00014A9D" w:rsidRDefault="00F73BBA" w:rsidP="007665C5">
      <w:pPr>
        <w:spacing w:after="100" w:line="204" w:lineRule="auto"/>
        <w:ind w:left="1440" w:hanging="720"/>
        <w:jc w:val="both"/>
        <w:rPr>
          <w:sz w:val="24"/>
          <w:lang w:val="en-GB"/>
        </w:rPr>
      </w:pPr>
      <w:r>
        <w:rPr>
          <w:rFonts w:hint="cs"/>
          <w:sz w:val="22"/>
          <w:rtl/>
          <w:lang w:val="en-GB" w:bidi="ar-EG"/>
        </w:rPr>
        <w:t>3 -</w:t>
      </w:r>
      <w:r>
        <w:rPr>
          <w:rFonts w:hint="cs"/>
          <w:sz w:val="22"/>
          <w:rtl/>
          <w:lang w:val="en-GB" w:bidi="ar-EG"/>
        </w:rPr>
        <w:tab/>
      </w:r>
      <w:r w:rsidRPr="00014A9D">
        <w:rPr>
          <w:i/>
          <w:iCs/>
          <w:sz w:val="24"/>
          <w:rtl/>
        </w:rPr>
        <w:t xml:space="preserve">هل اتخذ بلدك تدابير </w:t>
      </w:r>
      <w:r w:rsidRPr="00014A9D">
        <w:rPr>
          <w:rFonts w:hint="cs"/>
          <w:i/>
          <w:iCs/>
          <w:sz w:val="24"/>
          <w:rtl/>
        </w:rPr>
        <w:t xml:space="preserve">تشريعية أو إدارية أو سياساتية ملائمة وفعالة ومتناسبة </w:t>
      </w:r>
      <w:r w:rsidRPr="00014A9D">
        <w:rPr>
          <w:i/>
          <w:iCs/>
          <w:sz w:val="24"/>
          <w:rtl/>
        </w:rPr>
        <w:t>تنص على أن الحصول على المعارف التقليدية المرتبطة بالموارد الجينية المستخدمة داخل ولايته القضائية يتم و</w:t>
      </w:r>
      <w:r w:rsidRPr="00014A9D">
        <w:rPr>
          <w:rFonts w:hint="cs"/>
          <w:i/>
          <w:iCs/>
          <w:sz w:val="24"/>
          <w:rtl/>
        </w:rPr>
        <w:t>فق</w:t>
      </w:r>
      <w:r w:rsidRPr="00014A9D">
        <w:rPr>
          <w:i/>
          <w:iCs/>
          <w:sz w:val="24"/>
          <w:rtl/>
        </w:rPr>
        <w:t>ا للموافقة المسبقة عن علم أو موافقة وإشراك المجتمعات الأصلية والمحلية مع وضع شروط متفق عليها بصورة متبادلة حسبما تنص عليه تدابير الحصول وتقاسم المنافع ل</w:t>
      </w:r>
      <w:r w:rsidRPr="00014A9D">
        <w:rPr>
          <w:rFonts w:hint="cs"/>
          <w:i/>
          <w:iCs/>
          <w:sz w:val="24"/>
          <w:rtl/>
        </w:rPr>
        <w:t>لبلد ا</w:t>
      </w:r>
      <w:r w:rsidRPr="00014A9D">
        <w:rPr>
          <w:i/>
          <w:iCs/>
          <w:sz w:val="24"/>
          <w:rtl/>
        </w:rPr>
        <w:t>لطرف الآخر الذي توجد به هذه المجتمعات الأصلية والمحلية على النحو المنصوص عليه في المادة 16</w:t>
      </w:r>
      <w:r w:rsidRPr="00014A9D">
        <w:rPr>
          <w:i/>
          <w:iCs/>
          <w:sz w:val="24"/>
          <w:rtl/>
        </w:rPr>
        <w:noBreakHyphen/>
        <w:t>1؟</w:t>
      </w:r>
      <w:r w:rsidRPr="00014A9D">
        <w:rPr>
          <w:rFonts w:hint="cs"/>
          <w:sz w:val="24"/>
          <w:rtl/>
          <w:lang w:val="en-GB"/>
        </w:rPr>
        <w:t xml:space="preserve"> </w:t>
      </w:r>
      <w:r w:rsidRPr="00014A9D">
        <w:rPr>
          <w:rFonts w:hint="cs"/>
          <w:i/>
          <w:iCs/>
          <w:sz w:val="24"/>
          <w:rtl/>
          <w:lang w:bidi="ar-EG"/>
        </w:rPr>
        <w:t>(السؤال 25)</w:t>
      </w:r>
    </w:p>
    <w:p w:rsidR="00F73BBA" w:rsidRDefault="00014A9D" w:rsidP="007665C5">
      <w:pPr>
        <w:numPr>
          <w:ilvl w:val="0"/>
          <w:numId w:val="27"/>
        </w:numPr>
        <w:spacing w:after="100" w:line="204" w:lineRule="auto"/>
        <w:ind w:left="0" w:firstLine="0"/>
        <w:jc w:val="both"/>
        <w:rPr>
          <w:sz w:val="22"/>
          <w:lang w:val="en-GB" w:bidi="ar-EG"/>
        </w:rPr>
      </w:pPr>
      <w:r>
        <w:rPr>
          <w:rFonts w:hint="cs"/>
          <w:sz w:val="22"/>
          <w:rtl/>
          <w:lang w:val="en-GB" w:bidi="ar-EG"/>
        </w:rPr>
        <w:t>أجاب</w:t>
      </w:r>
      <w:r w:rsidR="00AB70FD">
        <w:rPr>
          <w:rFonts w:hint="cs"/>
          <w:sz w:val="22"/>
          <w:rtl/>
          <w:lang w:val="en-GB" w:bidi="ar-EG"/>
        </w:rPr>
        <w:t xml:space="preserve"> ما مجموع</w:t>
      </w:r>
      <w:r>
        <w:rPr>
          <w:rFonts w:hint="cs"/>
          <w:sz w:val="22"/>
          <w:rtl/>
          <w:lang w:val="en-GB" w:bidi="ar-EG"/>
        </w:rPr>
        <w:t>ه</w:t>
      </w:r>
      <w:r w:rsidR="00AB70FD">
        <w:rPr>
          <w:rFonts w:hint="cs"/>
          <w:sz w:val="22"/>
          <w:rtl/>
          <w:lang w:val="en-GB" w:bidi="ar-EG"/>
        </w:rPr>
        <w:t xml:space="preserve"> 33 طرفا و4 من غير الأطراف أنهم اتخذوا تدابير لتنفيذ المادة 16-1 من البروتوكول، بينما لم يتخذ 35 طرفا واثنين من غير الأطراف أي تدابير.</w:t>
      </w:r>
    </w:p>
    <w:p w:rsidR="00F73BBA" w:rsidRDefault="00940997" w:rsidP="007665C5">
      <w:pPr>
        <w:numPr>
          <w:ilvl w:val="0"/>
          <w:numId w:val="27"/>
        </w:numPr>
        <w:spacing w:after="100" w:line="204" w:lineRule="auto"/>
        <w:ind w:left="0" w:firstLine="0"/>
        <w:jc w:val="both"/>
        <w:rPr>
          <w:sz w:val="22"/>
          <w:lang w:val="en-GB" w:bidi="ar-EG"/>
        </w:rPr>
      </w:pPr>
      <w:r>
        <w:rPr>
          <w:rFonts w:hint="cs"/>
          <w:sz w:val="22"/>
          <w:rtl/>
          <w:lang w:val="en-GB" w:bidi="ar-EG"/>
        </w:rPr>
        <w:t xml:space="preserve">ومن بين البلدان التي </w:t>
      </w:r>
      <w:r w:rsidR="00014A9D">
        <w:rPr>
          <w:rFonts w:hint="cs"/>
          <w:sz w:val="22"/>
          <w:rtl/>
          <w:lang w:val="en-GB" w:bidi="ar-EG"/>
        </w:rPr>
        <w:t>أجابت</w:t>
      </w:r>
      <w:r>
        <w:rPr>
          <w:rFonts w:hint="cs"/>
          <w:sz w:val="22"/>
          <w:rtl/>
          <w:lang w:val="en-GB" w:bidi="ar-EG"/>
        </w:rPr>
        <w:t xml:space="preserve"> "نعم" على هذا السؤال، أشار البعض إلى التدابير </w:t>
      </w:r>
      <w:r w:rsidR="007609DD">
        <w:rPr>
          <w:rFonts w:hint="cs"/>
          <w:sz w:val="22"/>
          <w:rtl/>
          <w:lang w:val="en-GB" w:bidi="ar-EG"/>
        </w:rPr>
        <w:t xml:space="preserve">ذات الصلة </w:t>
      </w:r>
      <w:r>
        <w:rPr>
          <w:rFonts w:hint="cs"/>
          <w:sz w:val="22"/>
          <w:rtl/>
          <w:lang w:val="en-GB" w:bidi="ar-EG"/>
        </w:rPr>
        <w:t>الموجودة</w:t>
      </w:r>
      <w:r>
        <w:rPr>
          <w:rStyle w:val="FootnoteReference"/>
          <w:sz w:val="22"/>
          <w:rtl/>
          <w:lang w:val="en-GB" w:bidi="ar-EG"/>
        </w:rPr>
        <w:footnoteReference w:id="22"/>
      </w:r>
      <w:r>
        <w:rPr>
          <w:rFonts w:hint="cs"/>
          <w:sz w:val="22"/>
          <w:rtl/>
          <w:lang w:val="en-GB" w:bidi="ar-EG"/>
        </w:rPr>
        <w:t xml:space="preserve"> أو مشاريع تدابير أو عمليات يجري إعدادها.</w:t>
      </w:r>
      <w:r>
        <w:rPr>
          <w:rStyle w:val="FootnoteReference"/>
          <w:sz w:val="22"/>
          <w:rtl/>
          <w:lang w:val="en-GB" w:bidi="ar-EG"/>
        </w:rPr>
        <w:footnoteReference w:id="23"/>
      </w:r>
      <w:r>
        <w:rPr>
          <w:rFonts w:hint="cs"/>
          <w:sz w:val="22"/>
          <w:rtl/>
          <w:lang w:val="en-GB" w:bidi="ar-EG"/>
        </w:rPr>
        <w:t xml:space="preserve"> وقدمت بلدان قليلة جدا معلومات إضافية.</w:t>
      </w:r>
    </w:p>
    <w:p w:rsidR="00F73BBA" w:rsidRDefault="00940997" w:rsidP="003E0AF1">
      <w:pPr>
        <w:numPr>
          <w:ilvl w:val="0"/>
          <w:numId w:val="27"/>
        </w:numPr>
        <w:spacing w:after="100" w:line="204" w:lineRule="auto"/>
        <w:ind w:left="0" w:firstLine="0"/>
        <w:jc w:val="both"/>
        <w:rPr>
          <w:sz w:val="22"/>
          <w:lang w:val="en-GB" w:bidi="ar-EG"/>
        </w:rPr>
      </w:pPr>
      <w:r>
        <w:rPr>
          <w:rFonts w:hint="cs"/>
          <w:sz w:val="22"/>
          <w:rtl/>
          <w:lang w:val="en-GB" w:bidi="ar-EG"/>
        </w:rPr>
        <w:t>ومن بين البلدان التي أجابت "لا" على هذا ا</w:t>
      </w:r>
      <w:r w:rsidR="003E0AF1">
        <w:rPr>
          <w:rFonts w:hint="cs"/>
          <w:sz w:val="22"/>
          <w:rtl/>
          <w:lang w:val="en-GB" w:bidi="ar-EG"/>
        </w:rPr>
        <w:t>لسؤال، أشار الكثيرون إلى أنهم ي</w:t>
      </w:r>
      <w:r>
        <w:rPr>
          <w:rFonts w:hint="cs"/>
          <w:sz w:val="22"/>
          <w:rtl/>
          <w:lang w:val="en-GB" w:bidi="ar-EG"/>
        </w:rPr>
        <w:t>خططون لمعالجة هذه ال</w:t>
      </w:r>
      <w:r w:rsidR="003E0AF1">
        <w:rPr>
          <w:rFonts w:hint="cs"/>
          <w:sz w:val="22"/>
          <w:rtl/>
          <w:lang w:val="en-GB" w:bidi="ar-EG"/>
        </w:rPr>
        <w:t>مسأل</w:t>
      </w:r>
      <w:r>
        <w:rPr>
          <w:rFonts w:hint="cs"/>
          <w:sz w:val="22"/>
          <w:rtl/>
          <w:lang w:val="en-GB" w:bidi="ar-EG"/>
        </w:rPr>
        <w:t>ة.</w:t>
      </w:r>
      <w:r>
        <w:rPr>
          <w:rStyle w:val="FootnoteReference"/>
          <w:sz w:val="22"/>
          <w:rtl/>
          <w:lang w:val="en-GB" w:bidi="ar-EG"/>
        </w:rPr>
        <w:footnoteReference w:id="24"/>
      </w:r>
      <w:r>
        <w:rPr>
          <w:rFonts w:hint="cs"/>
          <w:sz w:val="22"/>
          <w:rtl/>
          <w:lang w:val="en-GB" w:bidi="ar-EG"/>
        </w:rPr>
        <w:t xml:space="preserve"> وذكر بلد واحد أن السؤال لا ينطبق عليه لعدم وجود أي شعوب أصلية ومجتمعات محلية فيه</w:t>
      </w:r>
      <w:r>
        <w:rPr>
          <w:rStyle w:val="FootnoteReference"/>
          <w:sz w:val="22"/>
          <w:rtl/>
          <w:lang w:val="en-GB" w:bidi="ar-EG"/>
        </w:rPr>
        <w:footnoteReference w:id="25"/>
      </w:r>
      <w:r>
        <w:rPr>
          <w:rFonts w:hint="cs"/>
          <w:sz w:val="22"/>
          <w:rtl/>
          <w:lang w:val="en-GB" w:bidi="ar-EG"/>
        </w:rPr>
        <w:t xml:space="preserve"> وأعرب بلد آخر عن الحاجة إلى توضيح فكرة الشعوب الأصلية والمجتمعات المحلية في سياقهم الوطني.</w:t>
      </w:r>
      <w:r>
        <w:rPr>
          <w:rStyle w:val="FootnoteReference"/>
          <w:sz w:val="22"/>
          <w:rtl/>
          <w:lang w:val="en-GB" w:bidi="ar-EG"/>
        </w:rPr>
        <w:footnoteReference w:id="26"/>
      </w:r>
    </w:p>
    <w:p w:rsidR="00F73BBA" w:rsidRPr="003E0AF1" w:rsidRDefault="00940997" w:rsidP="003E0AF1">
      <w:pPr>
        <w:numPr>
          <w:ilvl w:val="0"/>
          <w:numId w:val="27"/>
        </w:numPr>
        <w:spacing w:after="100" w:line="204" w:lineRule="auto"/>
        <w:ind w:left="0" w:firstLine="0"/>
        <w:jc w:val="both"/>
        <w:rPr>
          <w:sz w:val="22"/>
          <w:lang w:val="en-GB" w:bidi="ar-EG"/>
        </w:rPr>
      </w:pPr>
      <w:r w:rsidRPr="003E0AF1">
        <w:rPr>
          <w:rFonts w:hint="cs"/>
          <w:sz w:val="22"/>
          <w:rtl/>
          <w:lang w:val="en-GB" w:bidi="ar-EG"/>
        </w:rPr>
        <w:t xml:space="preserve">والأطراف البالغ عددها 33 </w:t>
      </w:r>
      <w:r w:rsidR="006B6E30" w:rsidRPr="003E0AF1">
        <w:rPr>
          <w:rFonts w:hint="cs"/>
          <w:sz w:val="22"/>
          <w:rtl/>
          <w:lang w:val="en-GB" w:bidi="ar-EG"/>
        </w:rPr>
        <w:t>ط</w:t>
      </w:r>
      <w:r w:rsidRPr="003E0AF1">
        <w:rPr>
          <w:rFonts w:hint="cs"/>
          <w:sz w:val="22"/>
          <w:rtl/>
          <w:lang w:val="en-GB" w:bidi="ar-EG"/>
        </w:rPr>
        <w:t>رفا و</w:t>
      </w:r>
      <w:r w:rsidR="003E0AF1" w:rsidRPr="003E0AF1">
        <w:rPr>
          <w:rFonts w:hint="cs"/>
          <w:sz w:val="22"/>
          <w:rtl/>
          <w:lang w:val="en-GB" w:bidi="ar-EG"/>
        </w:rPr>
        <w:t xml:space="preserve">4 من </w:t>
      </w:r>
      <w:r w:rsidRPr="003E0AF1">
        <w:rPr>
          <w:rFonts w:hint="cs"/>
          <w:sz w:val="22"/>
          <w:rtl/>
          <w:lang w:val="en-GB" w:bidi="ar-EG"/>
        </w:rPr>
        <w:t>غير الأطراف التي أجابت "نعم" على السؤال 25 أجابت أيضا على السؤالين الفرعيين</w:t>
      </w:r>
      <w:r w:rsidR="00F73BBA" w:rsidRPr="003E0AF1">
        <w:rPr>
          <w:rFonts w:hint="cs"/>
          <w:sz w:val="22"/>
          <w:rtl/>
          <w:lang w:val="en-GB" w:bidi="ar-EG"/>
        </w:rPr>
        <w:t>:</w:t>
      </w:r>
    </w:p>
    <w:p w:rsidR="00F73BBA" w:rsidRPr="003E0AF1" w:rsidRDefault="00F73BBA" w:rsidP="007665C5">
      <w:pPr>
        <w:spacing w:after="100" w:line="204" w:lineRule="auto"/>
        <w:ind w:firstLine="720"/>
        <w:jc w:val="both"/>
        <w:rPr>
          <w:sz w:val="22"/>
          <w:rtl/>
          <w:lang w:val="en-GB"/>
        </w:rPr>
      </w:pPr>
      <w:r w:rsidRPr="003E0AF1">
        <w:rPr>
          <w:rFonts w:hint="cs"/>
          <w:sz w:val="22"/>
          <w:rtl/>
          <w:lang w:val="en-GB" w:bidi="ar-EG"/>
        </w:rPr>
        <w:t>(أ)</w:t>
      </w:r>
      <w:r w:rsidRPr="003E0AF1">
        <w:rPr>
          <w:rFonts w:hint="cs"/>
          <w:sz w:val="22"/>
          <w:rtl/>
          <w:lang w:val="en-GB" w:bidi="ar-EG"/>
        </w:rPr>
        <w:tab/>
      </w:r>
      <w:r w:rsidR="006B6E30" w:rsidRPr="003E0AF1">
        <w:rPr>
          <w:sz w:val="22"/>
          <w:rtl/>
        </w:rPr>
        <w:t>يرجى الإشارة إلى ما إذا كان بلدك اتخذ تدابير لمعالجة حالات عدم الامتثال لتلك التدابير على النحو المنصوص عليه في المادة 16-2</w:t>
      </w:r>
      <w:r w:rsidR="006B6E30" w:rsidRPr="003E0AF1">
        <w:rPr>
          <w:rFonts w:hint="cs"/>
          <w:sz w:val="22"/>
          <w:rtl/>
          <w:lang w:val="en-GB"/>
        </w:rPr>
        <w:t>. وأفاد ما مجموعه 28 طرفا و4 من غير الأطراف إلى أنهم اتخذوا تدابير لمعالجة حالات عدم الامتثال للتدابير المنصوص عليها في المادة 16-2؛</w:t>
      </w:r>
    </w:p>
    <w:p w:rsidR="00F73BBA" w:rsidRPr="003E0AF1" w:rsidRDefault="00F73BBA" w:rsidP="003E0AF1">
      <w:pPr>
        <w:spacing w:after="100" w:line="204" w:lineRule="auto"/>
        <w:ind w:firstLine="720"/>
        <w:jc w:val="both"/>
        <w:rPr>
          <w:sz w:val="22"/>
          <w:lang w:val="en-GB"/>
        </w:rPr>
      </w:pPr>
      <w:r w:rsidRPr="003E0AF1">
        <w:rPr>
          <w:rFonts w:hint="cs"/>
          <w:sz w:val="22"/>
          <w:rtl/>
          <w:lang w:val="en-GB" w:bidi="ar-EG"/>
        </w:rPr>
        <w:t>(ب)</w:t>
      </w:r>
      <w:r w:rsidRPr="003E0AF1">
        <w:rPr>
          <w:rFonts w:hint="cs"/>
          <w:sz w:val="22"/>
          <w:rtl/>
          <w:lang w:val="en-GB" w:bidi="ar-EG"/>
        </w:rPr>
        <w:tab/>
      </w:r>
      <w:r w:rsidR="006B6E30" w:rsidRPr="003E0AF1">
        <w:rPr>
          <w:sz w:val="22"/>
          <w:rtl/>
        </w:rPr>
        <w:t>هل تعاون بلدك</w:t>
      </w:r>
      <w:r w:rsidR="006B6E30" w:rsidRPr="003E0AF1">
        <w:rPr>
          <w:rFonts w:hint="cs"/>
          <w:sz w:val="22"/>
          <w:rtl/>
        </w:rPr>
        <w:t xml:space="preserve"> في</w:t>
      </w:r>
      <w:r w:rsidR="006B6E30" w:rsidRPr="003E0AF1">
        <w:rPr>
          <w:sz w:val="22"/>
          <w:rtl/>
        </w:rPr>
        <w:t xml:space="preserve"> حال</w:t>
      </w:r>
      <w:r w:rsidR="006B6E30" w:rsidRPr="003E0AF1">
        <w:rPr>
          <w:rFonts w:hint="cs"/>
          <w:sz w:val="22"/>
          <w:rtl/>
        </w:rPr>
        <w:t>ات محددة ل</w:t>
      </w:r>
      <w:r w:rsidR="006B6E30" w:rsidRPr="003E0AF1">
        <w:rPr>
          <w:sz w:val="22"/>
          <w:rtl/>
        </w:rPr>
        <w:t xml:space="preserve">انتهاكات </w:t>
      </w:r>
      <w:r w:rsidR="006B6E30" w:rsidRPr="003E0AF1">
        <w:rPr>
          <w:rFonts w:hint="cs"/>
          <w:sz w:val="22"/>
          <w:rtl/>
        </w:rPr>
        <w:t xml:space="preserve">مزعومة </w:t>
      </w:r>
      <w:r w:rsidR="006B6E30" w:rsidRPr="003E0AF1">
        <w:rPr>
          <w:sz w:val="22"/>
          <w:rtl/>
        </w:rPr>
        <w:t>لتدابير الحصول وتقاسم المنافع على النحو المنصوص إليه في المادة 16-3؟</w:t>
      </w:r>
      <w:r w:rsidR="006B6E30" w:rsidRPr="003E0AF1">
        <w:rPr>
          <w:rFonts w:hint="cs"/>
          <w:sz w:val="22"/>
          <w:rtl/>
          <w:lang w:val="en-GB"/>
        </w:rPr>
        <w:t xml:space="preserve"> وأفاد ما مجموعه 10 </w:t>
      </w:r>
      <w:r w:rsidR="003E0AF1">
        <w:rPr>
          <w:rFonts w:hint="cs"/>
          <w:sz w:val="22"/>
          <w:rtl/>
          <w:lang w:val="en-GB"/>
        </w:rPr>
        <w:t>بلدان</w:t>
      </w:r>
      <w:r w:rsidR="006B6E30" w:rsidRPr="003E0AF1">
        <w:rPr>
          <w:rStyle w:val="FootnoteReference"/>
          <w:sz w:val="22"/>
          <w:rtl/>
          <w:lang w:val="en-GB"/>
        </w:rPr>
        <w:footnoteReference w:id="27"/>
      </w:r>
      <w:r w:rsidR="006B6E30" w:rsidRPr="003E0AF1">
        <w:rPr>
          <w:rFonts w:hint="cs"/>
          <w:sz w:val="22"/>
          <w:rtl/>
          <w:lang w:val="en-GB"/>
        </w:rPr>
        <w:t xml:space="preserve"> أنهم غير مدركين لأية حالات لانتهاكات مزعومة. وأفاد بلد</w:t>
      </w:r>
      <w:r w:rsidR="003E0AF1">
        <w:rPr>
          <w:rFonts w:hint="cs"/>
          <w:sz w:val="22"/>
          <w:rtl/>
          <w:lang w:val="en-GB"/>
        </w:rPr>
        <w:t>ا</w:t>
      </w:r>
      <w:r w:rsidR="006B6E30" w:rsidRPr="003E0AF1">
        <w:rPr>
          <w:rFonts w:hint="cs"/>
          <w:sz w:val="22"/>
          <w:rtl/>
          <w:lang w:val="en-GB"/>
        </w:rPr>
        <w:t xml:space="preserve">ن فقط بأنهما تعاونا في حالات محددة لانتهاكات مزعومة لتدابير الحصول وتقاسم المنافع على النحو المنصوص عليه في المادة 16-3. </w:t>
      </w:r>
      <w:r w:rsidR="003E0AF1">
        <w:rPr>
          <w:rFonts w:hint="cs"/>
          <w:sz w:val="22"/>
          <w:rtl/>
          <w:lang w:val="en-GB"/>
        </w:rPr>
        <w:t>و</w:t>
      </w:r>
      <w:r w:rsidR="006B6E30" w:rsidRPr="003E0AF1">
        <w:rPr>
          <w:rFonts w:hint="cs"/>
          <w:sz w:val="22"/>
          <w:rtl/>
          <w:lang w:val="en-GB"/>
        </w:rPr>
        <w:t>قدم العديد من البلدان</w:t>
      </w:r>
      <w:r w:rsidR="006B6E30" w:rsidRPr="003E0AF1">
        <w:rPr>
          <w:rStyle w:val="FootnoteReference"/>
          <w:sz w:val="22"/>
          <w:rtl/>
          <w:lang w:val="en-GB"/>
        </w:rPr>
        <w:footnoteReference w:id="28"/>
      </w:r>
      <w:r w:rsidR="006B6E30" w:rsidRPr="003E0AF1">
        <w:rPr>
          <w:rFonts w:hint="cs"/>
          <w:sz w:val="22"/>
          <w:rtl/>
          <w:lang w:val="en-GB"/>
        </w:rPr>
        <w:t xml:space="preserve"> معلومات عن التشريعات ذات الصلة.</w:t>
      </w:r>
    </w:p>
    <w:p w:rsidR="00014A9D" w:rsidRDefault="006B6E30" w:rsidP="007665C5">
      <w:pPr>
        <w:numPr>
          <w:ilvl w:val="0"/>
          <w:numId w:val="27"/>
        </w:numPr>
        <w:spacing w:after="100" w:line="204" w:lineRule="auto"/>
        <w:ind w:left="0" w:firstLine="0"/>
        <w:jc w:val="both"/>
        <w:rPr>
          <w:sz w:val="22"/>
          <w:lang w:val="en-GB" w:bidi="ar-EG"/>
        </w:rPr>
      </w:pPr>
      <w:r w:rsidRPr="003E0AF1">
        <w:rPr>
          <w:rFonts w:hint="cs"/>
          <w:sz w:val="22"/>
          <w:rtl/>
          <w:lang w:val="en-GB" w:bidi="ar-EG"/>
        </w:rPr>
        <w:t xml:space="preserve">والأسئلة من 39 إلى 44 </w:t>
      </w:r>
      <w:r w:rsidR="00014A9D" w:rsidRPr="003E0AF1">
        <w:rPr>
          <w:rFonts w:hint="cs"/>
          <w:sz w:val="22"/>
          <w:rtl/>
          <w:lang w:val="en-GB" w:bidi="ar-EG"/>
        </w:rPr>
        <w:t>في</w:t>
      </w:r>
      <w:r w:rsidRPr="003E0AF1">
        <w:rPr>
          <w:rFonts w:hint="cs"/>
          <w:sz w:val="22"/>
          <w:rtl/>
          <w:lang w:val="en-GB" w:bidi="ar-EG"/>
        </w:rPr>
        <w:t xml:space="preserve"> نموذج التقارير الوطنية المرحلية تتعلق بالمادتين 7 و12 من البروتوكول. واستكمل ه</w:t>
      </w:r>
      <w:r w:rsidR="00014A9D" w:rsidRPr="003E0AF1">
        <w:rPr>
          <w:rFonts w:hint="cs"/>
          <w:sz w:val="22"/>
          <w:rtl/>
          <w:lang w:val="en-GB" w:bidi="ar-EG"/>
        </w:rPr>
        <w:t>ذ</w:t>
      </w:r>
      <w:r w:rsidRPr="003E0AF1">
        <w:rPr>
          <w:rFonts w:hint="cs"/>
          <w:sz w:val="22"/>
          <w:rtl/>
          <w:lang w:val="en-GB" w:bidi="ar-EG"/>
        </w:rPr>
        <w:t xml:space="preserve">ه الأسئلة 49 بلدا </w:t>
      </w:r>
      <w:r w:rsidR="00014A9D" w:rsidRPr="003E0AF1">
        <w:rPr>
          <w:rFonts w:hint="cs"/>
          <w:sz w:val="22"/>
          <w:rtl/>
          <w:lang w:val="en-GB" w:bidi="ar-EG"/>
        </w:rPr>
        <w:t xml:space="preserve">فقط </w:t>
      </w:r>
      <w:r w:rsidRPr="003E0AF1">
        <w:rPr>
          <w:rFonts w:hint="cs"/>
          <w:sz w:val="22"/>
          <w:rtl/>
          <w:lang w:val="en-GB" w:bidi="ar-EG"/>
        </w:rPr>
        <w:t>أشاروا إلى أن لديهم شعوبا أصلية ومجتمعات محلية.</w:t>
      </w:r>
    </w:p>
    <w:p w:rsidR="003E0AF1" w:rsidRPr="003E0AF1" w:rsidRDefault="003E0AF1" w:rsidP="003E0AF1">
      <w:pPr>
        <w:spacing w:after="100" w:line="204" w:lineRule="auto"/>
        <w:jc w:val="both"/>
        <w:rPr>
          <w:sz w:val="22"/>
          <w:lang w:val="en-GB" w:bidi="ar-EG"/>
        </w:rPr>
      </w:pPr>
    </w:p>
    <w:p w:rsidR="00F73BBA" w:rsidRPr="00F73BBA" w:rsidRDefault="00F73BBA" w:rsidP="007665C5">
      <w:pPr>
        <w:spacing w:after="100" w:line="204" w:lineRule="auto"/>
        <w:ind w:left="1440" w:hanging="720"/>
        <w:jc w:val="both"/>
        <w:rPr>
          <w:i/>
          <w:iCs/>
          <w:sz w:val="22"/>
          <w:lang w:val="en-GB"/>
        </w:rPr>
      </w:pPr>
      <w:r w:rsidRPr="00F73BBA">
        <w:rPr>
          <w:rFonts w:hint="cs"/>
          <w:i/>
          <w:iCs/>
          <w:sz w:val="22"/>
          <w:rtl/>
          <w:lang w:val="en-GB" w:bidi="ar-EG"/>
        </w:rPr>
        <w:lastRenderedPageBreak/>
        <w:t>4 -</w:t>
      </w:r>
      <w:r w:rsidRPr="00F73BBA">
        <w:rPr>
          <w:rFonts w:hint="cs"/>
          <w:i/>
          <w:iCs/>
          <w:sz w:val="22"/>
          <w:rtl/>
          <w:lang w:val="en-GB" w:bidi="ar-EG"/>
        </w:rPr>
        <w:tab/>
      </w:r>
      <w:r w:rsidRPr="00014A9D">
        <w:rPr>
          <w:rFonts w:hint="cs"/>
          <w:i/>
          <w:iCs/>
          <w:sz w:val="24"/>
          <w:rtl/>
        </w:rPr>
        <w:t xml:space="preserve">وفقا للقانون المحلي، </w:t>
      </w:r>
      <w:r w:rsidRPr="00014A9D">
        <w:rPr>
          <w:i/>
          <w:iCs/>
          <w:sz w:val="24"/>
          <w:rtl/>
        </w:rPr>
        <w:t xml:space="preserve">هل اتخذ بلدك تدابير </w:t>
      </w:r>
      <w:r w:rsidRPr="00014A9D">
        <w:rPr>
          <w:rFonts w:hint="cs"/>
          <w:i/>
          <w:iCs/>
          <w:sz w:val="24"/>
          <w:rtl/>
        </w:rPr>
        <w:t xml:space="preserve">بهدف </w:t>
      </w:r>
      <w:r w:rsidRPr="00014A9D">
        <w:rPr>
          <w:i/>
          <w:iCs/>
          <w:sz w:val="24"/>
          <w:rtl/>
        </w:rPr>
        <w:t>ضمان الحصول على المعارف التقليدية المرتبطة بالموارد الجينية التي تحوزها المجتمعات الأصلية والمحلية بموافقة مسبقة عن علم أو قبول ومشاركة هذه المجتمعات الأصلية والمحلية وأنه تم إبرام شروط متفق عليها بصورة متبادلة على النحو المنصوص عليه في المادة 7</w:t>
      </w:r>
      <w:r w:rsidRPr="00014A9D">
        <w:rPr>
          <w:i/>
          <w:iCs/>
          <w:color w:val="000000" w:themeColor="text1"/>
          <w:sz w:val="24"/>
          <w:rtl/>
        </w:rPr>
        <w:t>؟</w:t>
      </w:r>
      <w:r w:rsidRPr="00014A9D">
        <w:rPr>
          <w:rFonts w:hint="cs"/>
          <w:i/>
          <w:iCs/>
          <w:color w:val="000000" w:themeColor="text1"/>
          <w:sz w:val="24"/>
          <w:rtl/>
          <w:lang w:val="en-GB"/>
        </w:rPr>
        <w:t xml:space="preserve"> (السؤال 39)</w:t>
      </w:r>
    </w:p>
    <w:p w:rsidR="00F73BBA" w:rsidRDefault="00014A9D" w:rsidP="007665C5">
      <w:pPr>
        <w:numPr>
          <w:ilvl w:val="0"/>
          <w:numId w:val="27"/>
        </w:numPr>
        <w:spacing w:after="100" w:line="204" w:lineRule="auto"/>
        <w:ind w:left="0" w:firstLine="0"/>
        <w:jc w:val="both"/>
        <w:rPr>
          <w:sz w:val="22"/>
          <w:lang w:val="en-GB" w:bidi="ar-EG"/>
        </w:rPr>
      </w:pPr>
      <w:r>
        <w:rPr>
          <w:rFonts w:hint="cs"/>
          <w:sz w:val="22"/>
          <w:rtl/>
          <w:lang w:val="en-GB" w:bidi="ar-EG"/>
        </w:rPr>
        <w:t>أشار ما مجموعه 21 طرفا واثنين من غير الأطراف أنهم اتخذوا تدابير لتنفيذ المادة 7، بينما أفاد 26 طرفا أنهم لم يتخذوا مثل هذه التدابير.</w:t>
      </w:r>
    </w:p>
    <w:p w:rsidR="00F73BBA" w:rsidRDefault="00014A9D" w:rsidP="003E0AF1">
      <w:pPr>
        <w:numPr>
          <w:ilvl w:val="0"/>
          <w:numId w:val="27"/>
        </w:numPr>
        <w:spacing w:after="100" w:line="204" w:lineRule="auto"/>
        <w:ind w:left="0" w:firstLine="0"/>
        <w:jc w:val="both"/>
        <w:rPr>
          <w:sz w:val="22"/>
          <w:lang w:val="en-GB" w:bidi="ar-EG"/>
        </w:rPr>
      </w:pPr>
      <w:r>
        <w:rPr>
          <w:rFonts w:hint="cs"/>
          <w:sz w:val="22"/>
          <w:rtl/>
          <w:lang w:val="en-GB" w:bidi="ar-EG"/>
        </w:rPr>
        <w:t>والبلدان التي أ</w:t>
      </w:r>
      <w:r w:rsidR="003E0AF1">
        <w:rPr>
          <w:rFonts w:hint="cs"/>
          <w:sz w:val="22"/>
          <w:rtl/>
          <w:lang w:val="en-GB" w:bidi="ar-EG"/>
        </w:rPr>
        <w:t>جا</w:t>
      </w:r>
      <w:r>
        <w:rPr>
          <w:rFonts w:hint="cs"/>
          <w:sz w:val="22"/>
          <w:rtl/>
          <w:lang w:val="en-GB" w:bidi="ar-EG"/>
        </w:rPr>
        <w:t>بت "نعم" على هذا السؤال أشارت إلى التدابير ذات الصلة القائمة</w:t>
      </w:r>
      <w:r>
        <w:rPr>
          <w:rStyle w:val="FootnoteReference"/>
          <w:sz w:val="22"/>
          <w:rtl/>
          <w:lang w:val="en-GB" w:bidi="ar-EG"/>
        </w:rPr>
        <w:footnoteReference w:id="29"/>
      </w:r>
      <w:r>
        <w:rPr>
          <w:rFonts w:hint="cs"/>
          <w:sz w:val="22"/>
          <w:rtl/>
          <w:lang w:val="en-GB" w:bidi="ar-EG"/>
        </w:rPr>
        <w:t xml:space="preserve"> التي تعالج هذه ال</w:t>
      </w:r>
      <w:r w:rsidR="006C67F3">
        <w:rPr>
          <w:rFonts w:hint="cs"/>
          <w:sz w:val="22"/>
          <w:rtl/>
          <w:lang w:val="en-GB" w:bidi="ar-EG"/>
        </w:rPr>
        <w:t>مسأل</w:t>
      </w:r>
      <w:r>
        <w:rPr>
          <w:rFonts w:hint="cs"/>
          <w:sz w:val="22"/>
          <w:rtl/>
          <w:lang w:val="en-GB" w:bidi="ar-EG"/>
        </w:rPr>
        <w:t>ة أو إلى مشاريع التدابير قيد ال</w:t>
      </w:r>
      <w:r w:rsidR="003E0AF1">
        <w:rPr>
          <w:rFonts w:hint="cs"/>
          <w:sz w:val="22"/>
          <w:rtl/>
          <w:lang w:val="en-GB" w:bidi="ar-EG"/>
        </w:rPr>
        <w:t>إعداد</w:t>
      </w:r>
      <w:r>
        <w:rPr>
          <w:rFonts w:hint="cs"/>
          <w:sz w:val="22"/>
          <w:rtl/>
          <w:lang w:val="en-GB" w:bidi="ar-EG"/>
        </w:rPr>
        <w:t xml:space="preserve"> أو الموافقة.</w:t>
      </w:r>
      <w:r>
        <w:rPr>
          <w:rStyle w:val="FootnoteReference"/>
          <w:sz w:val="22"/>
          <w:rtl/>
          <w:lang w:val="en-GB" w:bidi="ar-EG"/>
        </w:rPr>
        <w:footnoteReference w:id="30"/>
      </w:r>
      <w:r w:rsidR="005E4349">
        <w:rPr>
          <w:rFonts w:hint="cs"/>
          <w:sz w:val="22"/>
          <w:rtl/>
          <w:lang w:val="en-GB" w:bidi="ar-EG"/>
        </w:rPr>
        <w:t xml:space="preserve"> وقدم بعض البلدان</w:t>
      </w:r>
      <w:r w:rsidR="005E4349">
        <w:rPr>
          <w:rStyle w:val="FootnoteReference"/>
          <w:sz w:val="22"/>
          <w:rtl/>
          <w:lang w:val="en-GB" w:bidi="ar-EG"/>
        </w:rPr>
        <w:footnoteReference w:id="31"/>
      </w:r>
      <w:r w:rsidR="005E4349">
        <w:rPr>
          <w:rFonts w:hint="cs"/>
          <w:sz w:val="22"/>
          <w:rtl/>
          <w:lang w:val="en-GB" w:bidi="ar-EG"/>
        </w:rPr>
        <w:t xml:space="preserve"> معلومات أخرى ع</w:t>
      </w:r>
      <w:r w:rsidR="003E0AF1">
        <w:rPr>
          <w:rFonts w:hint="cs"/>
          <w:sz w:val="22"/>
          <w:rtl/>
          <w:lang w:val="en-GB" w:bidi="ar-EG"/>
        </w:rPr>
        <w:t>ن</w:t>
      </w:r>
      <w:r w:rsidR="005E4349">
        <w:rPr>
          <w:rFonts w:hint="cs"/>
          <w:sz w:val="22"/>
          <w:rtl/>
          <w:lang w:val="en-GB" w:bidi="ar-EG"/>
        </w:rPr>
        <w:t xml:space="preserve"> التدابير المتخذة.</w:t>
      </w:r>
    </w:p>
    <w:p w:rsidR="00F73BBA" w:rsidRDefault="005E4349" w:rsidP="003E0AF1">
      <w:pPr>
        <w:numPr>
          <w:ilvl w:val="0"/>
          <w:numId w:val="27"/>
        </w:numPr>
        <w:spacing w:after="100" w:line="204" w:lineRule="auto"/>
        <w:ind w:left="0" w:firstLine="0"/>
        <w:jc w:val="both"/>
        <w:rPr>
          <w:sz w:val="22"/>
          <w:lang w:val="en-GB" w:bidi="ar-EG"/>
        </w:rPr>
      </w:pPr>
      <w:r>
        <w:rPr>
          <w:rFonts w:hint="cs"/>
          <w:sz w:val="22"/>
          <w:rtl/>
          <w:lang w:val="en-GB" w:bidi="ar-EG"/>
        </w:rPr>
        <w:t>وأشار عدد من البلدان</w:t>
      </w:r>
      <w:r>
        <w:rPr>
          <w:rStyle w:val="FootnoteReference"/>
          <w:sz w:val="22"/>
          <w:rtl/>
          <w:lang w:val="en-GB" w:bidi="ar-EG"/>
        </w:rPr>
        <w:footnoteReference w:id="32"/>
      </w:r>
      <w:r>
        <w:rPr>
          <w:rFonts w:hint="cs"/>
          <w:sz w:val="22"/>
          <w:rtl/>
          <w:lang w:val="en-GB" w:bidi="ar-EG"/>
        </w:rPr>
        <w:t xml:space="preserve"> التي أجابت "لا" على هذا السؤال إلى أنها تخطط لمعالجة هذه المسألة في </w:t>
      </w:r>
      <w:r w:rsidR="003E0AF1">
        <w:rPr>
          <w:rFonts w:hint="cs"/>
          <w:sz w:val="22"/>
          <w:rtl/>
          <w:lang w:val="en-GB" w:bidi="ar-EG"/>
        </w:rPr>
        <w:t>إعداد</w:t>
      </w:r>
      <w:r>
        <w:rPr>
          <w:rFonts w:hint="cs"/>
          <w:sz w:val="22"/>
          <w:rtl/>
          <w:lang w:val="en-GB" w:bidi="ar-EG"/>
        </w:rPr>
        <w:t xml:space="preserve"> أو استعراض تدابيرها الخاصة بالحصول وتقاسم المنافع.</w:t>
      </w:r>
    </w:p>
    <w:p w:rsidR="00F73BBA" w:rsidRPr="005E4349" w:rsidRDefault="00F73BBA" w:rsidP="007665C5">
      <w:pPr>
        <w:spacing w:after="100" w:line="204" w:lineRule="auto"/>
        <w:ind w:left="1440" w:hanging="720"/>
        <w:jc w:val="both"/>
        <w:rPr>
          <w:i/>
          <w:iCs/>
          <w:sz w:val="24"/>
          <w:lang w:val="en-GB"/>
        </w:rPr>
      </w:pPr>
      <w:r w:rsidRPr="005E4349">
        <w:rPr>
          <w:rFonts w:hint="cs"/>
          <w:i/>
          <w:iCs/>
          <w:sz w:val="24"/>
          <w:rtl/>
          <w:lang w:val="en-GB" w:bidi="ar-EG"/>
        </w:rPr>
        <w:t>5-1</w:t>
      </w:r>
      <w:r w:rsidRPr="005E4349">
        <w:rPr>
          <w:rFonts w:hint="cs"/>
          <w:i/>
          <w:iCs/>
          <w:sz w:val="24"/>
          <w:rtl/>
          <w:lang w:val="en-GB" w:bidi="ar-EG"/>
        </w:rPr>
        <w:tab/>
      </w:r>
      <w:r w:rsidRPr="005E4349">
        <w:rPr>
          <w:i/>
          <w:iCs/>
          <w:sz w:val="24"/>
          <w:rtl/>
        </w:rPr>
        <w:t xml:space="preserve">عند تنفيذ البروتوكول، </w:t>
      </w:r>
      <w:r w:rsidRPr="005E4349">
        <w:rPr>
          <w:rFonts w:hint="cs"/>
          <w:i/>
          <w:iCs/>
          <w:sz w:val="24"/>
          <w:rtl/>
        </w:rPr>
        <w:t xml:space="preserve">ووفقا للقانون المحلي، </w:t>
      </w:r>
      <w:r w:rsidRPr="005E4349">
        <w:rPr>
          <w:i/>
          <w:iCs/>
          <w:sz w:val="24"/>
          <w:rtl/>
        </w:rPr>
        <w:t>هل يراعي بلدك القوانين العرفية للمجتمعات الأصلية والمحلية وبروتوكولاتها وإجراءاتها المحلية فيما يتعلق بالمعارف التقليدية المرتبطة بالموارد الجينية على النحو المنصوص عليه في المادة 12</w:t>
      </w:r>
      <w:r w:rsidRPr="005E4349">
        <w:rPr>
          <w:i/>
          <w:iCs/>
          <w:sz w:val="24"/>
          <w:rtl/>
        </w:rPr>
        <w:noBreakHyphen/>
        <w:t>1؟</w:t>
      </w:r>
      <w:r w:rsidRPr="005E4349">
        <w:rPr>
          <w:rFonts w:hint="cs"/>
          <w:i/>
          <w:iCs/>
          <w:sz w:val="24"/>
          <w:rtl/>
          <w:lang w:val="en-GB"/>
        </w:rPr>
        <w:t xml:space="preserve"> (السؤال 40)</w:t>
      </w:r>
    </w:p>
    <w:p w:rsidR="00F73BBA" w:rsidRDefault="005E4349" w:rsidP="00975DF8">
      <w:pPr>
        <w:numPr>
          <w:ilvl w:val="0"/>
          <w:numId w:val="27"/>
        </w:numPr>
        <w:spacing w:after="100" w:line="204" w:lineRule="auto"/>
        <w:ind w:left="0" w:firstLine="0"/>
        <w:jc w:val="both"/>
        <w:rPr>
          <w:sz w:val="22"/>
          <w:lang w:val="en-GB" w:bidi="ar-EG"/>
        </w:rPr>
      </w:pPr>
      <w:r>
        <w:rPr>
          <w:rFonts w:hint="cs"/>
          <w:sz w:val="22"/>
          <w:rtl/>
          <w:lang w:val="en-GB" w:bidi="ar-EG"/>
        </w:rPr>
        <w:t>ذكر ما مجموعه 24 طرفا و</w:t>
      </w:r>
      <w:r w:rsidR="003E0AF1">
        <w:rPr>
          <w:rFonts w:hint="cs"/>
          <w:sz w:val="22"/>
          <w:rtl/>
          <w:lang w:val="en-GB" w:bidi="ar-EG"/>
        </w:rPr>
        <w:t>1</w:t>
      </w:r>
      <w:r>
        <w:rPr>
          <w:rFonts w:hint="cs"/>
          <w:sz w:val="22"/>
          <w:rtl/>
          <w:lang w:val="en-GB" w:bidi="ar-EG"/>
        </w:rPr>
        <w:t xml:space="preserve"> من غير الأطراف أنهم أخذوا في الاعتبار القوانين العرفية للشعوب الأصلية والمجتمعات المحلية، والبروتوكولات المجتمعية والإجراءات فيما يتعلق بالمعارف التقليدية المرتبطة بالموارد الجينية، بينما أبلغ 24 طرفا و</w:t>
      </w:r>
      <w:r w:rsidR="00975DF8">
        <w:rPr>
          <w:rFonts w:hint="cs"/>
          <w:sz w:val="22"/>
          <w:rtl/>
          <w:lang w:val="en-GB" w:bidi="ar-EG"/>
        </w:rPr>
        <w:t>1</w:t>
      </w:r>
      <w:r>
        <w:rPr>
          <w:rFonts w:hint="cs"/>
          <w:sz w:val="22"/>
          <w:rtl/>
          <w:lang w:val="en-GB" w:bidi="ar-EG"/>
        </w:rPr>
        <w:t xml:space="preserve"> من غير الأطراف عن أنهم لم يقوموا بذلك.</w:t>
      </w:r>
    </w:p>
    <w:p w:rsidR="00F73BBA" w:rsidRDefault="005E4349" w:rsidP="00975DF8">
      <w:pPr>
        <w:numPr>
          <w:ilvl w:val="0"/>
          <w:numId w:val="27"/>
        </w:numPr>
        <w:spacing w:after="100" w:line="204" w:lineRule="auto"/>
        <w:ind w:left="0" w:firstLine="0"/>
        <w:jc w:val="both"/>
        <w:rPr>
          <w:sz w:val="22"/>
          <w:lang w:val="en-GB" w:bidi="ar-EG"/>
        </w:rPr>
      </w:pPr>
      <w:r>
        <w:rPr>
          <w:rFonts w:hint="cs"/>
          <w:sz w:val="22"/>
          <w:rtl/>
          <w:lang w:val="en-GB" w:bidi="ar-EG"/>
        </w:rPr>
        <w:t>و</w:t>
      </w:r>
      <w:r w:rsidR="00975DF8">
        <w:rPr>
          <w:rFonts w:hint="cs"/>
          <w:sz w:val="22"/>
          <w:rtl/>
          <w:lang w:val="en-GB" w:bidi="ar-EG"/>
        </w:rPr>
        <w:t xml:space="preserve">قدمت </w:t>
      </w:r>
      <w:r>
        <w:rPr>
          <w:rFonts w:hint="cs"/>
          <w:sz w:val="22"/>
          <w:rtl/>
          <w:lang w:val="en-GB" w:bidi="ar-EG"/>
        </w:rPr>
        <w:t>بعض البلدان التي أجابت "نعم" على هذا السؤال معلومات عن القوانين ذات الصلة التي تنص على الاعتراف بالقانون العرفي</w:t>
      </w:r>
      <w:r>
        <w:rPr>
          <w:rStyle w:val="FootnoteReference"/>
          <w:sz w:val="22"/>
          <w:rtl/>
          <w:lang w:val="en-GB" w:bidi="ar-EG"/>
        </w:rPr>
        <w:footnoteReference w:id="33"/>
      </w:r>
      <w:r>
        <w:rPr>
          <w:rFonts w:hint="cs"/>
          <w:sz w:val="22"/>
          <w:rtl/>
          <w:lang w:val="en-GB" w:bidi="ar-EG"/>
        </w:rPr>
        <w:t xml:space="preserve"> وأشار البعض أيضا إلى اعترافهم بالقوانين العرفية في تدابيرهم الخاصة بالحصول وتقاسم المنافع.</w:t>
      </w:r>
      <w:r>
        <w:rPr>
          <w:rStyle w:val="FootnoteReference"/>
          <w:sz w:val="22"/>
          <w:rtl/>
          <w:lang w:val="en-GB" w:bidi="ar-EG"/>
        </w:rPr>
        <w:footnoteReference w:id="34"/>
      </w:r>
      <w:r>
        <w:rPr>
          <w:rFonts w:hint="cs"/>
          <w:sz w:val="22"/>
          <w:rtl/>
          <w:lang w:val="en-GB" w:bidi="ar-EG"/>
        </w:rPr>
        <w:t xml:space="preserve"> وقدم بلد واحد</w:t>
      </w:r>
      <w:r>
        <w:rPr>
          <w:rStyle w:val="FootnoteReference"/>
          <w:sz w:val="22"/>
          <w:rtl/>
          <w:lang w:val="en-GB" w:bidi="ar-EG"/>
        </w:rPr>
        <w:footnoteReference w:id="35"/>
      </w:r>
      <w:r>
        <w:rPr>
          <w:rFonts w:hint="cs"/>
          <w:sz w:val="22"/>
          <w:rtl/>
          <w:lang w:val="en-GB" w:bidi="ar-EG"/>
        </w:rPr>
        <w:t xml:space="preserve"> معلومات عن الاعتراف بالبروتوكولات المجتمعية. وأشار عدد من البلدان</w:t>
      </w:r>
      <w:r>
        <w:rPr>
          <w:rStyle w:val="FootnoteReference"/>
          <w:sz w:val="22"/>
          <w:rtl/>
          <w:lang w:val="en-GB" w:bidi="ar-EG"/>
        </w:rPr>
        <w:footnoteReference w:id="36"/>
      </w:r>
      <w:r>
        <w:rPr>
          <w:rFonts w:hint="cs"/>
          <w:sz w:val="22"/>
          <w:rtl/>
          <w:lang w:val="en-GB" w:bidi="ar-EG"/>
        </w:rPr>
        <w:t xml:space="preserve"> إلى أنهم يخططون لمعالجة هذه المسألة المتعلقة بالقوانين العرفية و/أو البروتوكولات المجتمعية في إعداد أو استعراض تدابيرها الخاصة بالحصول وتقاسم المنافع.</w:t>
      </w:r>
    </w:p>
    <w:p w:rsidR="00F73BBA" w:rsidRDefault="005E4349" w:rsidP="007665C5">
      <w:pPr>
        <w:numPr>
          <w:ilvl w:val="0"/>
          <w:numId w:val="27"/>
        </w:numPr>
        <w:spacing w:after="100" w:line="204" w:lineRule="auto"/>
        <w:ind w:left="0" w:firstLine="0"/>
        <w:jc w:val="both"/>
        <w:rPr>
          <w:sz w:val="22"/>
          <w:lang w:val="en-GB" w:bidi="ar-EG"/>
        </w:rPr>
      </w:pPr>
      <w:r>
        <w:rPr>
          <w:rFonts w:hint="cs"/>
          <w:sz w:val="22"/>
          <w:rtl/>
          <w:lang w:val="en-GB" w:bidi="ar-EG"/>
        </w:rPr>
        <w:t>ومن بين البلدان التي أجابت "لا" على هذا السؤال، أشار 10 بلدان</w:t>
      </w:r>
      <w:r w:rsidR="009435DE">
        <w:rPr>
          <w:rStyle w:val="FootnoteReference"/>
          <w:sz w:val="22"/>
          <w:rtl/>
          <w:lang w:val="en-GB" w:bidi="ar-EG"/>
        </w:rPr>
        <w:footnoteReference w:id="37"/>
      </w:r>
      <w:r>
        <w:rPr>
          <w:rFonts w:hint="cs"/>
          <w:sz w:val="22"/>
          <w:rtl/>
          <w:lang w:val="en-GB" w:bidi="ar-EG"/>
        </w:rPr>
        <w:t xml:space="preserve"> إلى أنهم </w:t>
      </w:r>
      <w:r w:rsidR="009435DE">
        <w:rPr>
          <w:rFonts w:hint="cs"/>
          <w:sz w:val="22"/>
          <w:rtl/>
          <w:lang w:val="en-GB" w:bidi="ar-EG"/>
        </w:rPr>
        <w:t>كانوا يخططون لمعالجة مسألة القوانين العرفية أو البروتوكولات المجتمعية في إعداد أو استعراض تدابيرها الخاصة بالحصول وتقاسم المنافع.</w:t>
      </w:r>
    </w:p>
    <w:p w:rsidR="00F73BBA" w:rsidRPr="00014A9D" w:rsidRDefault="00116AB8" w:rsidP="00975DF8">
      <w:pPr>
        <w:keepNext/>
        <w:spacing w:after="100" w:line="204" w:lineRule="auto"/>
        <w:ind w:left="1440" w:hanging="720"/>
        <w:jc w:val="both"/>
        <w:rPr>
          <w:i/>
          <w:iCs/>
          <w:sz w:val="24"/>
          <w:lang w:val="en-GB"/>
        </w:rPr>
      </w:pPr>
      <w:r w:rsidRPr="00014A9D">
        <w:rPr>
          <w:rFonts w:hint="cs"/>
          <w:i/>
          <w:iCs/>
          <w:sz w:val="24"/>
          <w:rtl/>
          <w:lang w:val="en-GB" w:bidi="ar-EG"/>
        </w:rPr>
        <w:lastRenderedPageBreak/>
        <w:t>5-2</w:t>
      </w:r>
      <w:r w:rsidRPr="00014A9D">
        <w:rPr>
          <w:rFonts w:hint="cs"/>
          <w:i/>
          <w:iCs/>
          <w:sz w:val="24"/>
          <w:rtl/>
          <w:lang w:val="en-GB" w:bidi="ar-EG"/>
        </w:rPr>
        <w:tab/>
      </w:r>
      <w:r w:rsidRPr="00014A9D">
        <w:rPr>
          <w:i/>
          <w:iCs/>
          <w:sz w:val="24"/>
          <w:rtl/>
        </w:rPr>
        <w:t xml:space="preserve">هل وضع بلدك آليات لإبلاغ المستخدمين المحتملين للمعارف التقليدية المرتبطة بالموارد </w:t>
      </w:r>
      <w:r w:rsidRPr="00014A9D">
        <w:rPr>
          <w:rFonts w:hint="cs"/>
          <w:i/>
          <w:iCs/>
          <w:sz w:val="24"/>
          <w:rtl/>
        </w:rPr>
        <w:t xml:space="preserve">الجينية </w:t>
      </w:r>
      <w:r w:rsidRPr="00014A9D">
        <w:rPr>
          <w:i/>
          <w:iCs/>
          <w:sz w:val="24"/>
          <w:rtl/>
        </w:rPr>
        <w:t>عن</w:t>
      </w:r>
      <w:r w:rsidR="007E1C82">
        <w:rPr>
          <w:rFonts w:hint="cs"/>
          <w:i/>
          <w:iCs/>
          <w:sz w:val="24"/>
          <w:rtl/>
        </w:rPr>
        <w:t> </w:t>
      </w:r>
      <w:r w:rsidRPr="00014A9D">
        <w:rPr>
          <w:i/>
          <w:iCs/>
          <w:sz w:val="24"/>
          <w:rtl/>
        </w:rPr>
        <w:t>التزاماتهم على النحو المنصوص عليه في المادة 12</w:t>
      </w:r>
      <w:r w:rsidRPr="00014A9D">
        <w:rPr>
          <w:i/>
          <w:iCs/>
          <w:sz w:val="24"/>
          <w:rtl/>
        </w:rPr>
        <w:noBreakHyphen/>
        <w:t>2؟</w:t>
      </w:r>
      <w:r w:rsidRPr="00014A9D">
        <w:rPr>
          <w:rFonts w:hint="cs"/>
          <w:i/>
          <w:iCs/>
          <w:sz w:val="24"/>
          <w:rtl/>
          <w:lang w:val="en-GB"/>
        </w:rPr>
        <w:t xml:space="preserve"> (السؤال 41)</w:t>
      </w:r>
    </w:p>
    <w:p w:rsidR="00116AB8" w:rsidRDefault="009435DE" w:rsidP="007665C5">
      <w:pPr>
        <w:numPr>
          <w:ilvl w:val="0"/>
          <w:numId w:val="27"/>
        </w:numPr>
        <w:spacing w:after="100" w:line="204" w:lineRule="auto"/>
        <w:ind w:left="0" w:firstLine="0"/>
        <w:jc w:val="both"/>
        <w:rPr>
          <w:sz w:val="22"/>
          <w:lang w:val="en-GB" w:bidi="ar-EG"/>
        </w:rPr>
      </w:pPr>
      <w:r>
        <w:rPr>
          <w:rFonts w:hint="cs"/>
          <w:sz w:val="22"/>
          <w:rtl/>
          <w:lang w:val="en-GB" w:bidi="ar-EG"/>
        </w:rPr>
        <w:t>أشار ما مجموعه 19 طرفا وإثنان من غير الأطراف إلى أنهم أنشأوا آليات لإبلاغ المستخدمين المحتملين للمعارف التقليدية المرتبطة بالموارد الجينية عن التزاماتهم، بينما لم ينشئ 28 طرفا مثل هذه الآليات.</w:t>
      </w:r>
    </w:p>
    <w:p w:rsidR="00116AB8" w:rsidRDefault="009435DE" w:rsidP="00975DF8">
      <w:pPr>
        <w:numPr>
          <w:ilvl w:val="0"/>
          <w:numId w:val="27"/>
        </w:numPr>
        <w:spacing w:after="100" w:line="204" w:lineRule="auto"/>
        <w:ind w:left="0" w:firstLine="0"/>
        <w:jc w:val="both"/>
        <w:rPr>
          <w:sz w:val="22"/>
          <w:lang w:val="en-GB" w:bidi="ar-EG"/>
        </w:rPr>
      </w:pPr>
      <w:r>
        <w:rPr>
          <w:rFonts w:hint="cs"/>
          <w:sz w:val="22"/>
          <w:rtl/>
          <w:lang w:val="en-GB" w:bidi="ar-EG"/>
        </w:rPr>
        <w:t xml:space="preserve">ومن </w:t>
      </w:r>
      <w:r w:rsidR="00751DC2">
        <w:rPr>
          <w:rFonts w:hint="cs"/>
          <w:sz w:val="22"/>
          <w:rtl/>
          <w:lang w:val="en-GB" w:bidi="ar-EG"/>
        </w:rPr>
        <w:t>بين البلدان الت</w:t>
      </w:r>
      <w:r>
        <w:rPr>
          <w:rFonts w:hint="cs"/>
          <w:sz w:val="22"/>
          <w:rtl/>
          <w:lang w:val="en-GB" w:bidi="ar-EG"/>
        </w:rPr>
        <w:t>ي أجابت "نعم" على هذا السؤال، أشار البعض</w:t>
      </w:r>
      <w:r>
        <w:rPr>
          <w:rStyle w:val="FootnoteReference"/>
          <w:sz w:val="22"/>
          <w:rtl/>
          <w:lang w:val="en-GB" w:bidi="ar-EG"/>
        </w:rPr>
        <w:footnoteReference w:id="38"/>
      </w:r>
      <w:r>
        <w:rPr>
          <w:rFonts w:hint="cs"/>
          <w:sz w:val="22"/>
          <w:rtl/>
          <w:lang w:val="en-GB" w:bidi="ar-EG"/>
        </w:rPr>
        <w:t xml:space="preserve"> إلى أنهم يخططون لمعالجة هذه المسألة أو أنهم عالجوها بالفعل في تدابيرهم الخاصة بالحصول وتقاسم المنافع.</w:t>
      </w:r>
    </w:p>
    <w:p w:rsidR="00116AB8" w:rsidRDefault="00751DC2" w:rsidP="00975DF8">
      <w:pPr>
        <w:numPr>
          <w:ilvl w:val="0"/>
          <w:numId w:val="27"/>
        </w:numPr>
        <w:spacing w:after="100" w:line="204" w:lineRule="auto"/>
        <w:ind w:left="0" w:firstLine="0"/>
        <w:jc w:val="both"/>
        <w:rPr>
          <w:sz w:val="22"/>
          <w:lang w:val="en-GB" w:bidi="ar-EG"/>
        </w:rPr>
      </w:pPr>
      <w:r>
        <w:rPr>
          <w:rFonts w:hint="cs"/>
          <w:sz w:val="22"/>
          <w:rtl/>
          <w:lang w:val="en-GB" w:bidi="ar-EG"/>
        </w:rPr>
        <w:t>وتبادل عدد من البلدان تفاصيل عن الأنشطة التي أجريت لإبلاغ المستخدمين المحتملين عن التزاماتهم، مثل أنشطة التوعية العامة</w:t>
      </w:r>
      <w:r w:rsidR="009435DE">
        <w:rPr>
          <w:rStyle w:val="FootnoteReference"/>
          <w:sz w:val="22"/>
          <w:rtl/>
          <w:lang w:val="en-GB" w:bidi="ar-EG"/>
        </w:rPr>
        <w:footnoteReference w:id="39"/>
      </w:r>
      <w:r>
        <w:rPr>
          <w:rFonts w:hint="cs"/>
          <w:sz w:val="22"/>
          <w:rtl/>
          <w:lang w:val="en-GB" w:bidi="ar-EG"/>
        </w:rPr>
        <w:t xml:space="preserve"> أو إعداد وتنفيذ خطة </w:t>
      </w:r>
      <w:r w:rsidR="00975DF8">
        <w:rPr>
          <w:rFonts w:hint="cs"/>
          <w:sz w:val="22"/>
          <w:rtl/>
          <w:lang w:val="en-GB" w:bidi="ar-EG"/>
        </w:rPr>
        <w:t>للاتصال</w:t>
      </w:r>
      <w:r>
        <w:rPr>
          <w:rFonts w:hint="cs"/>
          <w:sz w:val="22"/>
          <w:rtl/>
          <w:lang w:val="en-GB" w:bidi="ar-EG"/>
        </w:rPr>
        <w:t>.</w:t>
      </w:r>
      <w:r>
        <w:rPr>
          <w:rStyle w:val="FootnoteReference"/>
          <w:sz w:val="22"/>
          <w:rtl/>
          <w:lang w:val="en-GB" w:bidi="ar-EG"/>
        </w:rPr>
        <w:footnoteReference w:id="40"/>
      </w:r>
      <w:r>
        <w:rPr>
          <w:rFonts w:hint="cs"/>
          <w:sz w:val="22"/>
          <w:rtl/>
          <w:lang w:val="en-GB" w:bidi="ar-EG"/>
        </w:rPr>
        <w:t xml:space="preserve"> وأشارت بلدان أخرى إلى استخدام غرفة تبادل معلومات الحصول وتقاسم المنافع،</w:t>
      </w:r>
      <w:r>
        <w:rPr>
          <w:rStyle w:val="FootnoteReference"/>
          <w:sz w:val="22"/>
          <w:rtl/>
          <w:lang w:val="en-GB" w:bidi="ar-EG"/>
        </w:rPr>
        <w:footnoteReference w:id="41"/>
      </w:r>
      <w:r>
        <w:rPr>
          <w:rFonts w:hint="cs"/>
          <w:sz w:val="22"/>
          <w:rtl/>
          <w:lang w:val="en-GB" w:bidi="ar-EG"/>
        </w:rPr>
        <w:t xml:space="preserve"> والمواقع الشبكية،</w:t>
      </w:r>
      <w:r>
        <w:rPr>
          <w:rStyle w:val="FootnoteReference"/>
          <w:sz w:val="22"/>
          <w:rtl/>
          <w:lang w:val="en-GB" w:bidi="ar-EG"/>
        </w:rPr>
        <w:footnoteReference w:id="42"/>
      </w:r>
      <w:r>
        <w:rPr>
          <w:rFonts w:hint="cs"/>
          <w:sz w:val="22"/>
          <w:rtl/>
          <w:lang w:val="en-GB" w:bidi="ar-EG"/>
        </w:rPr>
        <w:t xml:space="preserve"> أو الغرفة الوطنية لتبادل المعلومات</w:t>
      </w:r>
      <w:r>
        <w:rPr>
          <w:rStyle w:val="FootnoteReference"/>
          <w:sz w:val="22"/>
          <w:rtl/>
          <w:lang w:val="en-GB" w:bidi="ar-EG"/>
        </w:rPr>
        <w:footnoteReference w:id="43"/>
      </w:r>
      <w:r>
        <w:rPr>
          <w:rFonts w:hint="cs"/>
          <w:sz w:val="22"/>
          <w:rtl/>
          <w:lang w:val="en-GB" w:bidi="ar-EG"/>
        </w:rPr>
        <w:t xml:space="preserve"> لإبلاغ مستخدمي المعارف التقليدية المرتبطة </w:t>
      </w:r>
      <w:r w:rsidR="007F0F64">
        <w:rPr>
          <w:rFonts w:hint="cs"/>
          <w:sz w:val="22"/>
          <w:rtl/>
          <w:lang w:val="en-GB" w:bidi="ar-EG"/>
        </w:rPr>
        <w:t xml:space="preserve">بالموارد الجينية عن </w:t>
      </w:r>
      <w:r>
        <w:rPr>
          <w:rFonts w:hint="cs"/>
          <w:sz w:val="22"/>
          <w:rtl/>
          <w:lang w:val="en-GB" w:bidi="ar-EG"/>
        </w:rPr>
        <w:t>التزاماتهم.</w:t>
      </w:r>
    </w:p>
    <w:p w:rsidR="00116AB8" w:rsidRDefault="007E1C82" w:rsidP="00975DF8">
      <w:pPr>
        <w:numPr>
          <w:ilvl w:val="0"/>
          <w:numId w:val="27"/>
        </w:numPr>
        <w:spacing w:after="100" w:line="204" w:lineRule="auto"/>
        <w:ind w:left="0" w:firstLine="0"/>
        <w:jc w:val="both"/>
        <w:rPr>
          <w:sz w:val="22"/>
          <w:lang w:val="en-GB" w:bidi="ar-EG"/>
        </w:rPr>
      </w:pPr>
      <w:r>
        <w:rPr>
          <w:rFonts w:hint="cs"/>
          <w:sz w:val="22"/>
          <w:rtl/>
          <w:lang w:val="en-GB" w:bidi="ar-EG"/>
        </w:rPr>
        <w:t>ومن بين البلدان التي أجابت "لا" على هذا السؤال، أشار عدد منها</w:t>
      </w:r>
      <w:r w:rsidR="00CC6917">
        <w:rPr>
          <w:rStyle w:val="FootnoteReference"/>
          <w:sz w:val="22"/>
          <w:rtl/>
          <w:lang w:val="en-GB" w:bidi="ar-EG"/>
        </w:rPr>
        <w:footnoteReference w:id="44"/>
      </w:r>
      <w:r>
        <w:rPr>
          <w:rFonts w:hint="cs"/>
          <w:sz w:val="22"/>
          <w:rtl/>
          <w:lang w:val="en-GB" w:bidi="ar-EG"/>
        </w:rPr>
        <w:t xml:space="preserve"> إلى أنهم يخططون لمعالجة هذه المسألة. ومع ذلك أفاد بلدان اثنان</w:t>
      </w:r>
      <w:r w:rsidR="00CC6917">
        <w:rPr>
          <w:rStyle w:val="FootnoteReference"/>
          <w:sz w:val="22"/>
          <w:rtl/>
          <w:lang w:val="en-GB" w:bidi="ar-EG"/>
        </w:rPr>
        <w:footnoteReference w:id="45"/>
      </w:r>
      <w:r>
        <w:rPr>
          <w:rFonts w:hint="cs"/>
          <w:sz w:val="22"/>
          <w:rtl/>
          <w:lang w:val="en-GB" w:bidi="ar-EG"/>
        </w:rPr>
        <w:t xml:space="preserve"> بإجراء أنشطة زيادة التوعية وتبادل بلدان اثنان خططهما لإعداد غرفة وطنية ل</w:t>
      </w:r>
      <w:r w:rsidR="00975DF8">
        <w:rPr>
          <w:rFonts w:hint="cs"/>
          <w:sz w:val="22"/>
          <w:rtl/>
          <w:lang w:val="en-GB" w:bidi="ar-EG"/>
        </w:rPr>
        <w:t xml:space="preserve">تبادل </w:t>
      </w:r>
      <w:r>
        <w:rPr>
          <w:rFonts w:hint="cs"/>
          <w:sz w:val="22"/>
          <w:rtl/>
          <w:lang w:val="en-GB" w:bidi="ar-EG"/>
        </w:rPr>
        <w:t>معلومات الحصول وتقاسم المنافع أو أنواع أخرى من منابر المعلومات.</w:t>
      </w:r>
      <w:r w:rsidR="00CC6917">
        <w:rPr>
          <w:rStyle w:val="FootnoteReference"/>
          <w:sz w:val="22"/>
          <w:lang w:val="en-GB" w:bidi="ar-EG"/>
        </w:rPr>
        <w:footnoteReference w:id="46"/>
      </w:r>
    </w:p>
    <w:p w:rsidR="00116AB8" w:rsidRPr="00014A9D" w:rsidRDefault="00116AB8" w:rsidP="007665C5">
      <w:pPr>
        <w:spacing w:after="100" w:line="204" w:lineRule="auto"/>
        <w:ind w:left="1440" w:right="540" w:hanging="720"/>
        <w:jc w:val="both"/>
        <w:rPr>
          <w:i/>
          <w:iCs/>
          <w:sz w:val="24"/>
          <w:lang w:val="en-GB"/>
        </w:rPr>
      </w:pPr>
      <w:r w:rsidRPr="00014A9D">
        <w:rPr>
          <w:rFonts w:hint="cs"/>
          <w:i/>
          <w:iCs/>
          <w:sz w:val="24"/>
          <w:rtl/>
          <w:lang w:val="en-GB" w:bidi="ar-EG"/>
        </w:rPr>
        <w:t>5-3</w:t>
      </w:r>
      <w:r w:rsidRPr="00014A9D">
        <w:rPr>
          <w:rFonts w:hint="cs"/>
          <w:i/>
          <w:iCs/>
          <w:sz w:val="24"/>
          <w:rtl/>
          <w:lang w:val="en-GB" w:bidi="ar-EG"/>
        </w:rPr>
        <w:tab/>
      </w:r>
      <w:r w:rsidRPr="00014A9D">
        <w:rPr>
          <w:i/>
          <w:iCs/>
          <w:sz w:val="24"/>
          <w:rtl/>
        </w:rPr>
        <w:t>هل يدعم بلدك إعداد المجتمعات الأصلية والم</w:t>
      </w:r>
      <w:r w:rsidRPr="00014A9D">
        <w:rPr>
          <w:rFonts w:hint="cs"/>
          <w:i/>
          <w:iCs/>
          <w:sz w:val="24"/>
          <w:rtl/>
        </w:rPr>
        <w:t>ح</w:t>
      </w:r>
      <w:r w:rsidRPr="00014A9D">
        <w:rPr>
          <w:i/>
          <w:iCs/>
          <w:sz w:val="24"/>
          <w:rtl/>
        </w:rPr>
        <w:t xml:space="preserve">لية </w:t>
      </w:r>
      <w:r w:rsidR="00105C4A">
        <w:rPr>
          <w:rFonts w:hint="cs"/>
          <w:i/>
          <w:iCs/>
          <w:sz w:val="24"/>
          <w:rtl/>
        </w:rPr>
        <w:t>للبروتوكولات المجتمعي</w:t>
      </w:r>
      <w:r w:rsidRPr="00014A9D">
        <w:rPr>
          <w:i/>
          <w:iCs/>
          <w:sz w:val="24"/>
          <w:rtl/>
        </w:rPr>
        <w:t>ة</w:t>
      </w:r>
      <w:r w:rsidR="00105C4A">
        <w:rPr>
          <w:rFonts w:hint="cs"/>
          <w:i/>
          <w:iCs/>
          <w:sz w:val="24"/>
          <w:rtl/>
        </w:rPr>
        <w:t>، والمتطلبات الدنيا للشروط المتفق عليها بصورة متبادلة وبنود تعاقدية نموذجية</w:t>
      </w:r>
      <w:r w:rsidRPr="00014A9D">
        <w:rPr>
          <w:i/>
          <w:iCs/>
          <w:sz w:val="24"/>
          <w:rtl/>
        </w:rPr>
        <w:t xml:space="preserve"> على النحو المنصوص عليه في المادة</w:t>
      </w:r>
      <w:r w:rsidR="007E1C82">
        <w:rPr>
          <w:rFonts w:hint="cs"/>
          <w:i/>
          <w:iCs/>
          <w:sz w:val="24"/>
          <w:rtl/>
        </w:rPr>
        <w:t> </w:t>
      </w:r>
      <w:r w:rsidRPr="00014A9D">
        <w:rPr>
          <w:i/>
          <w:iCs/>
          <w:sz w:val="24"/>
          <w:rtl/>
        </w:rPr>
        <w:t>12</w:t>
      </w:r>
      <w:r w:rsidRPr="00014A9D">
        <w:rPr>
          <w:i/>
          <w:iCs/>
          <w:sz w:val="24"/>
          <w:rtl/>
        </w:rPr>
        <w:noBreakHyphen/>
        <w:t>3؟</w:t>
      </w:r>
      <w:r w:rsidRPr="00014A9D">
        <w:rPr>
          <w:rFonts w:hint="cs"/>
          <w:i/>
          <w:iCs/>
          <w:sz w:val="24"/>
          <w:rtl/>
          <w:lang w:val="en-GB"/>
        </w:rPr>
        <w:t xml:space="preserve"> (السؤال 42)</w:t>
      </w:r>
    </w:p>
    <w:p w:rsidR="00116AB8" w:rsidRDefault="00105C4A" w:rsidP="009F0CED">
      <w:pPr>
        <w:numPr>
          <w:ilvl w:val="0"/>
          <w:numId w:val="27"/>
        </w:numPr>
        <w:spacing w:after="100" w:line="204" w:lineRule="auto"/>
        <w:ind w:left="0" w:firstLine="0"/>
        <w:jc w:val="both"/>
        <w:rPr>
          <w:sz w:val="22"/>
          <w:lang w:val="en-GB" w:bidi="ar-EG"/>
        </w:rPr>
      </w:pPr>
      <w:r>
        <w:rPr>
          <w:rFonts w:hint="cs"/>
          <w:sz w:val="22"/>
          <w:rtl/>
          <w:lang w:val="en-GB" w:bidi="ar-EG"/>
        </w:rPr>
        <w:t xml:space="preserve">أجاب 30 طرفا وواحد من غير الأطراف بأنهم يدعمون إعداد البروتوكولات المجتمعية؛ وأشار 27 طرفا وواحد من غير الأطراف </w:t>
      </w:r>
      <w:r w:rsidR="009F0CED">
        <w:rPr>
          <w:rFonts w:hint="cs"/>
          <w:sz w:val="22"/>
          <w:rtl/>
          <w:lang w:val="en-GB" w:bidi="ar-EG"/>
        </w:rPr>
        <w:t xml:space="preserve">إلى </w:t>
      </w:r>
      <w:r>
        <w:rPr>
          <w:rFonts w:hint="cs"/>
          <w:sz w:val="22"/>
          <w:rtl/>
          <w:lang w:val="en-GB" w:bidi="ar-EG"/>
        </w:rPr>
        <w:t>أنهم يدعمون إعداد المتطلبات الدنيا للشروط المتفق عليها بصورة متبادلة؛ و22 طرفا وواحد من غير الأطراف أنهم يدعمون إعداد بنود تعاقدية نموذجية.</w:t>
      </w:r>
    </w:p>
    <w:p w:rsidR="00116AB8" w:rsidRPr="00014A9D" w:rsidRDefault="00116AB8" w:rsidP="007665C5">
      <w:pPr>
        <w:spacing w:after="100" w:line="204" w:lineRule="auto"/>
        <w:jc w:val="center"/>
        <w:rPr>
          <w:sz w:val="24"/>
          <w:lang w:val="en-GB" w:bidi="ar-EG"/>
        </w:rPr>
      </w:pPr>
      <w:r w:rsidRPr="00014A9D">
        <w:rPr>
          <w:rFonts w:hint="cs"/>
          <w:i/>
          <w:iCs/>
          <w:sz w:val="24"/>
          <w:rtl/>
          <w:lang w:val="en-GB" w:bidi="ar-EG"/>
        </w:rPr>
        <w:t>6 -</w:t>
      </w:r>
      <w:r w:rsidRPr="00014A9D">
        <w:rPr>
          <w:rFonts w:hint="cs"/>
          <w:i/>
          <w:iCs/>
          <w:sz w:val="24"/>
          <w:rtl/>
          <w:lang w:val="en-GB" w:bidi="ar-EG"/>
        </w:rPr>
        <w:tab/>
        <w:t>المعلومات الإضافية:</w:t>
      </w:r>
      <w:r w:rsidRPr="00014A9D">
        <w:rPr>
          <w:rFonts w:hint="cs"/>
          <w:sz w:val="24"/>
          <w:rtl/>
          <w:lang w:val="en-GB" w:bidi="ar-EG"/>
        </w:rPr>
        <w:t xml:space="preserve"> </w:t>
      </w:r>
      <w:r w:rsidRPr="00014A9D">
        <w:rPr>
          <w:iCs/>
          <w:sz w:val="24"/>
          <w:rtl/>
        </w:rPr>
        <w:t>موجز للصعوبات والتحديات الرئيسي</w:t>
      </w:r>
      <w:r w:rsidR="00105C4A">
        <w:rPr>
          <w:rFonts w:hint="cs"/>
          <w:iCs/>
          <w:sz w:val="24"/>
          <w:rtl/>
        </w:rPr>
        <w:t>ة</w:t>
      </w:r>
      <w:r w:rsidRPr="00014A9D">
        <w:rPr>
          <w:rFonts w:hint="cs"/>
          <w:iCs/>
          <w:sz w:val="24"/>
          <w:rtl/>
        </w:rPr>
        <w:t xml:space="preserve"> (السؤال 44)</w:t>
      </w:r>
    </w:p>
    <w:p w:rsidR="00116AB8" w:rsidRDefault="00105C4A" w:rsidP="00E05515">
      <w:pPr>
        <w:numPr>
          <w:ilvl w:val="0"/>
          <w:numId w:val="27"/>
        </w:numPr>
        <w:spacing w:after="100" w:line="204" w:lineRule="auto"/>
        <w:ind w:left="0" w:firstLine="0"/>
        <w:jc w:val="both"/>
        <w:rPr>
          <w:sz w:val="22"/>
          <w:lang w:val="en-GB" w:bidi="ar-EG"/>
        </w:rPr>
      </w:pPr>
      <w:r>
        <w:rPr>
          <w:rFonts w:hint="cs"/>
          <w:sz w:val="22"/>
          <w:rtl/>
          <w:lang w:val="en-GB" w:bidi="ar-EG"/>
        </w:rPr>
        <w:t xml:space="preserve">دعيت البلدان إلى تقديم موجز للصعوبات والتحديات الرئيسية لوضع التدابير بالعلاقة إلى المعارف التقليدية المرتبطة بالموارد الجينية. وأشار عدد من البلدان إلى أن هناك حاجة لزيادة التوعية والقدرات لدى حائزي المعارف التقليدية، ولوحظ أن الافتقار في الأدوات المناسبة والوصول المحدود </w:t>
      </w:r>
      <w:r w:rsidR="00E05515">
        <w:rPr>
          <w:rFonts w:hint="cs"/>
          <w:sz w:val="22"/>
          <w:rtl/>
          <w:lang w:val="en-GB" w:bidi="ar-EG"/>
        </w:rPr>
        <w:t>إ</w:t>
      </w:r>
      <w:r>
        <w:rPr>
          <w:rFonts w:hint="cs"/>
          <w:sz w:val="22"/>
          <w:rtl/>
          <w:lang w:val="en-GB" w:bidi="ar-EG"/>
        </w:rPr>
        <w:t>لى المعلومات يشكلان تحديا إضافيا.</w:t>
      </w:r>
    </w:p>
    <w:p w:rsidR="00116AB8" w:rsidRDefault="004C5919" w:rsidP="007665C5">
      <w:pPr>
        <w:numPr>
          <w:ilvl w:val="0"/>
          <w:numId w:val="27"/>
        </w:numPr>
        <w:spacing w:after="100" w:line="204" w:lineRule="auto"/>
        <w:ind w:left="0" w:firstLine="0"/>
        <w:jc w:val="both"/>
        <w:rPr>
          <w:sz w:val="22"/>
          <w:lang w:val="en-GB" w:bidi="ar-EG"/>
        </w:rPr>
      </w:pPr>
      <w:r>
        <w:rPr>
          <w:rFonts w:hint="cs"/>
          <w:sz w:val="22"/>
          <w:rtl/>
          <w:lang w:val="en-GB" w:bidi="ar-EG"/>
        </w:rPr>
        <w:t>وأبلغت بعض البلدان عن صعوبات في تحديد المجموعات المختلفة من الشعوب الأصلية والمجتمعات المحلية، وفهم طريقة تنظيمها، وقدرتها على ربط المعارف التقليدية مع حائز أو حائزي هذه المعارف.</w:t>
      </w:r>
    </w:p>
    <w:p w:rsidR="00116AB8" w:rsidRDefault="004C5919" w:rsidP="007665C5">
      <w:pPr>
        <w:numPr>
          <w:ilvl w:val="0"/>
          <w:numId w:val="27"/>
        </w:numPr>
        <w:spacing w:after="100" w:line="204" w:lineRule="auto"/>
        <w:ind w:left="0" w:firstLine="0"/>
        <w:jc w:val="both"/>
        <w:rPr>
          <w:sz w:val="22"/>
          <w:lang w:val="en-GB" w:bidi="ar-EG"/>
        </w:rPr>
      </w:pPr>
      <w:r>
        <w:rPr>
          <w:rFonts w:hint="cs"/>
          <w:sz w:val="22"/>
          <w:rtl/>
          <w:lang w:val="en-GB" w:bidi="ar-EG"/>
        </w:rPr>
        <w:lastRenderedPageBreak/>
        <w:t>وسلطت عدة بلدان الضوء على أهمية توثيق الموارد الجينية، والمعارف التقليدية أو استخدامها، خاصة نظرا لفقدان المعارف التقليدية. وواجهت بعض البلدان صعوبات في معالجة العلاقة بين المعارف التقليدية وحقوق الملكية الفكرية.</w:t>
      </w:r>
    </w:p>
    <w:p w:rsidR="00116AB8" w:rsidRDefault="004C5919" w:rsidP="007665C5">
      <w:pPr>
        <w:numPr>
          <w:ilvl w:val="0"/>
          <w:numId w:val="27"/>
        </w:numPr>
        <w:spacing w:after="100" w:line="204" w:lineRule="auto"/>
        <w:ind w:left="0" w:firstLine="0"/>
        <w:jc w:val="both"/>
        <w:rPr>
          <w:sz w:val="22"/>
          <w:lang w:val="en-GB" w:bidi="ar-EG"/>
        </w:rPr>
      </w:pPr>
      <w:r>
        <w:rPr>
          <w:rFonts w:hint="cs"/>
          <w:sz w:val="22"/>
          <w:rtl/>
          <w:lang w:val="en-GB" w:bidi="ar-EG"/>
        </w:rPr>
        <w:t>وتتمثل التحديات الأخرى المحددة في ما يلي: (أ) حقيقة أن الصناعات تواجه مقاومة لإبرام اتفاقات تقاسم المنافع مع حائزي المعارف التقليدية؛ (ب) جعل البروتوكولات المجتمعية واضحة للمستخدمين؛ (ج) والحاجة إلى خبرة قانونية في إبرام العقود التي تتناول المعارف التقليدية.</w:t>
      </w:r>
    </w:p>
    <w:p w:rsidR="00116AB8" w:rsidRPr="00116AB8" w:rsidRDefault="00116AB8" w:rsidP="007665C5">
      <w:pPr>
        <w:spacing w:after="100" w:line="204" w:lineRule="auto"/>
        <w:ind w:left="1980" w:hanging="900"/>
        <w:jc w:val="both"/>
        <w:rPr>
          <w:b/>
          <w:bCs/>
          <w:sz w:val="22"/>
          <w:lang w:val="en-GB" w:bidi="ar-EG"/>
        </w:rPr>
      </w:pPr>
      <w:r w:rsidRPr="00116AB8">
        <w:rPr>
          <w:rFonts w:hint="cs"/>
          <w:b/>
          <w:bCs/>
          <w:sz w:val="22"/>
          <w:rtl/>
          <w:lang w:val="en-GB" w:bidi="ar-EG"/>
        </w:rPr>
        <w:t xml:space="preserve">باء </w:t>
      </w:r>
      <w:r w:rsidRPr="00116AB8">
        <w:rPr>
          <w:b/>
          <w:bCs/>
          <w:sz w:val="22"/>
          <w:rtl/>
          <w:lang w:val="en-GB" w:bidi="ar-EG"/>
        </w:rPr>
        <w:t>–</w:t>
      </w:r>
      <w:r w:rsidRPr="00116AB8">
        <w:rPr>
          <w:rFonts w:hint="cs"/>
          <w:b/>
          <w:bCs/>
          <w:sz w:val="22"/>
          <w:rtl/>
          <w:lang w:val="en-GB" w:bidi="ar-EG"/>
        </w:rPr>
        <w:tab/>
        <w:t>توليف للمعلومات المقدمة من خلال التقارير الوطنية المرحلية وغرفة تبادل معلومات الحصول وتقاسم المنافع بشأن المادة 11 من بروتوكول ناغويا</w:t>
      </w:r>
    </w:p>
    <w:p w:rsidR="00116AB8" w:rsidRDefault="004C5919" w:rsidP="007665C5">
      <w:pPr>
        <w:numPr>
          <w:ilvl w:val="0"/>
          <w:numId w:val="27"/>
        </w:numPr>
        <w:spacing w:after="100" w:line="204" w:lineRule="auto"/>
        <w:ind w:left="0" w:firstLine="0"/>
        <w:jc w:val="both"/>
        <w:rPr>
          <w:sz w:val="22"/>
          <w:lang w:val="en-GB" w:bidi="ar-EG"/>
        </w:rPr>
      </w:pPr>
      <w:r>
        <w:rPr>
          <w:rFonts w:hint="cs"/>
          <w:sz w:val="22"/>
          <w:rtl/>
          <w:lang w:val="en-GB" w:bidi="ar-EG"/>
        </w:rPr>
        <w:t xml:space="preserve">كما أشرنا أعلاه، طالبت الفقرة 6(أ) من المقرر بشأن المادة 10 الأمين التنفيذي بتجميع </w:t>
      </w:r>
      <w:r w:rsidRPr="00A733B2">
        <w:rPr>
          <w:rFonts w:hint="cs"/>
          <w:i/>
          <w:sz w:val="22"/>
          <w:rtl/>
          <w:lang w:bidi="ar-EG"/>
        </w:rPr>
        <w:t>المعلومات المقدمة من خلال التقارير الوطنية المرحلية وغرفة تبادل معلومات الحصول وتقاسم المنافع ذات الصلة بالمادة 10</w:t>
      </w:r>
      <w:r>
        <w:rPr>
          <w:rFonts w:hint="cs"/>
          <w:i/>
          <w:sz w:val="22"/>
          <w:rtl/>
          <w:lang w:bidi="ar-EG"/>
        </w:rPr>
        <w:t>.</w:t>
      </w:r>
    </w:p>
    <w:p w:rsidR="00116AB8" w:rsidRDefault="004C5919" w:rsidP="00E05515">
      <w:pPr>
        <w:numPr>
          <w:ilvl w:val="0"/>
          <w:numId w:val="27"/>
        </w:numPr>
        <w:spacing w:after="100" w:line="204" w:lineRule="auto"/>
        <w:ind w:left="0" w:firstLine="0"/>
        <w:jc w:val="both"/>
        <w:rPr>
          <w:sz w:val="22"/>
          <w:lang w:val="en-GB" w:bidi="ar-EG"/>
        </w:rPr>
      </w:pPr>
      <w:r>
        <w:rPr>
          <w:rFonts w:hint="cs"/>
          <w:sz w:val="22"/>
          <w:rtl/>
          <w:lang w:val="en-GB" w:bidi="ar-EG"/>
        </w:rPr>
        <w:t xml:space="preserve">والموارد الجينية والمعارف التقليدية المرتبطة بالموارد الجينية التي يمكن أن تتواجد في الموقع الطبيعي في أكثر من طرف واحد </w:t>
      </w:r>
      <w:r w:rsidR="00E05515">
        <w:rPr>
          <w:rFonts w:hint="cs"/>
          <w:sz w:val="22"/>
          <w:rtl/>
          <w:lang w:val="en-GB" w:bidi="ar-EG"/>
        </w:rPr>
        <w:t>تث</w:t>
      </w:r>
      <w:r>
        <w:rPr>
          <w:rFonts w:hint="cs"/>
          <w:sz w:val="22"/>
          <w:rtl/>
          <w:lang w:val="en-GB" w:bidi="ar-EG"/>
        </w:rPr>
        <w:t>ار غالبا في المناقشات بشأن المادة 10 من بروتوكول ناغويا.</w:t>
      </w:r>
      <w:r>
        <w:rPr>
          <w:rStyle w:val="FootnoteReference"/>
          <w:sz w:val="22"/>
          <w:rtl/>
          <w:lang w:val="en-GB" w:bidi="ar-EG"/>
        </w:rPr>
        <w:footnoteReference w:id="47"/>
      </w:r>
      <w:r w:rsidR="0044682F">
        <w:rPr>
          <w:rFonts w:hint="cs"/>
          <w:sz w:val="22"/>
          <w:rtl/>
          <w:lang w:val="en-GB" w:bidi="ar-EG"/>
        </w:rPr>
        <w:t xml:space="preserve"> ونظرا لأن هذه المسألة تشملها المادة 11 من البروتوكول بشأن "التعاون عبر الحدود"، ترد أدناه المعلومات ذات الصلة عن تنفيذ المادة 11.</w:t>
      </w:r>
    </w:p>
    <w:p w:rsidR="00116AB8" w:rsidRPr="00116AB8" w:rsidRDefault="00116AB8" w:rsidP="007665C5">
      <w:pPr>
        <w:spacing w:after="100" w:line="204" w:lineRule="auto"/>
        <w:ind w:left="1440" w:hanging="720"/>
        <w:jc w:val="both"/>
        <w:rPr>
          <w:i/>
          <w:iCs/>
          <w:sz w:val="22"/>
          <w:lang w:val="en-GB"/>
        </w:rPr>
      </w:pPr>
      <w:r w:rsidRPr="00116AB8">
        <w:rPr>
          <w:rFonts w:hint="cs"/>
          <w:i/>
          <w:iCs/>
          <w:sz w:val="22"/>
          <w:rtl/>
          <w:lang w:val="en-GB" w:bidi="ar-EG"/>
        </w:rPr>
        <w:t>1 -</w:t>
      </w:r>
      <w:r w:rsidRPr="00116AB8">
        <w:rPr>
          <w:rFonts w:hint="cs"/>
          <w:i/>
          <w:iCs/>
          <w:sz w:val="22"/>
          <w:rtl/>
          <w:lang w:val="en-GB" w:bidi="ar-EG"/>
        </w:rPr>
        <w:tab/>
      </w:r>
      <w:r w:rsidRPr="00014A9D">
        <w:rPr>
          <w:i/>
          <w:iCs/>
          <w:sz w:val="24"/>
          <w:rtl/>
        </w:rPr>
        <w:t xml:space="preserve">هل </w:t>
      </w:r>
      <w:r w:rsidRPr="00014A9D">
        <w:rPr>
          <w:rFonts w:hint="cs"/>
          <w:i/>
          <w:iCs/>
          <w:sz w:val="24"/>
          <w:rtl/>
        </w:rPr>
        <w:t>يسعى بلدك إلى ال</w:t>
      </w:r>
      <w:r w:rsidRPr="00014A9D">
        <w:rPr>
          <w:i/>
          <w:iCs/>
          <w:sz w:val="24"/>
          <w:rtl/>
        </w:rPr>
        <w:t>تعاون</w:t>
      </w:r>
      <w:r w:rsidRPr="00014A9D">
        <w:rPr>
          <w:rFonts w:hint="cs"/>
          <w:i/>
          <w:iCs/>
          <w:sz w:val="24"/>
          <w:rtl/>
        </w:rPr>
        <w:t>، مع مشاركة المجتمعات الأصلية والمحلية،</w:t>
      </w:r>
      <w:r w:rsidRPr="00014A9D">
        <w:rPr>
          <w:i/>
          <w:iCs/>
          <w:sz w:val="24"/>
          <w:rtl/>
        </w:rPr>
        <w:t xml:space="preserve"> بغية تنفيذ هذا البروتوكول في الحالات التي توجد فيها نفس الموارد الجينية في الموقع الطبيعي داخل إقليم أكثر من طرف واحد على النحو المنصوص عليه في المادة 11</w:t>
      </w:r>
      <w:r w:rsidRPr="00014A9D">
        <w:rPr>
          <w:i/>
          <w:iCs/>
          <w:sz w:val="24"/>
          <w:rtl/>
        </w:rPr>
        <w:noBreakHyphen/>
        <w:t>1؟</w:t>
      </w:r>
      <w:r w:rsidRPr="00014A9D">
        <w:rPr>
          <w:rFonts w:hint="cs"/>
          <w:i/>
          <w:iCs/>
          <w:sz w:val="24"/>
          <w:rtl/>
          <w:lang w:val="en-GB"/>
        </w:rPr>
        <w:t xml:space="preserve"> (السؤال 48 من نموذج التقارير الوطنية المرحلية)</w:t>
      </w:r>
    </w:p>
    <w:p w:rsidR="00116AB8" w:rsidRDefault="0044682F" w:rsidP="00E05515">
      <w:pPr>
        <w:numPr>
          <w:ilvl w:val="0"/>
          <w:numId w:val="27"/>
        </w:numPr>
        <w:spacing w:after="100" w:line="204" w:lineRule="auto"/>
        <w:ind w:left="0" w:firstLine="0"/>
        <w:jc w:val="both"/>
        <w:rPr>
          <w:sz w:val="22"/>
          <w:lang w:val="en-GB" w:bidi="ar-EG"/>
        </w:rPr>
      </w:pPr>
      <w:r>
        <w:rPr>
          <w:rFonts w:hint="cs"/>
          <w:sz w:val="22"/>
          <w:rtl/>
          <w:lang w:val="en-GB" w:bidi="ar-EG"/>
        </w:rPr>
        <w:t xml:space="preserve">أجاب ما مجموعه 30 طرفا وواحد من غير الأطراف أنهم سعوا إلى التعاون، بينما أجاب </w:t>
      </w:r>
      <w:r w:rsidR="00E05515">
        <w:rPr>
          <w:rFonts w:hint="cs"/>
          <w:sz w:val="22"/>
          <w:rtl/>
          <w:lang w:val="en-GB" w:bidi="ar-EG"/>
        </w:rPr>
        <w:t>39</w:t>
      </w:r>
      <w:r>
        <w:rPr>
          <w:rFonts w:hint="cs"/>
          <w:sz w:val="22"/>
          <w:rtl/>
          <w:lang w:val="en-GB" w:bidi="ar-EG"/>
        </w:rPr>
        <w:t xml:space="preserve"> طرفا و5 من غير الأطراف أنهم لم يفعلوا ذلك.</w:t>
      </w:r>
    </w:p>
    <w:p w:rsidR="00116AB8" w:rsidRPr="00116AB8" w:rsidRDefault="00116AB8" w:rsidP="007665C5">
      <w:pPr>
        <w:spacing w:after="100" w:line="204" w:lineRule="auto"/>
        <w:jc w:val="both"/>
        <w:rPr>
          <w:i/>
          <w:iCs/>
          <w:sz w:val="22"/>
          <w:lang w:val="en-GB" w:bidi="ar-EG"/>
        </w:rPr>
      </w:pPr>
      <w:r>
        <w:rPr>
          <w:rFonts w:hint="cs"/>
          <w:i/>
          <w:iCs/>
          <w:sz w:val="22"/>
          <w:rtl/>
          <w:lang w:val="en-GB" w:bidi="ar-EG"/>
        </w:rPr>
        <w:t>(أ)</w:t>
      </w:r>
      <w:r w:rsidR="00014A9D">
        <w:rPr>
          <w:rFonts w:hint="cs"/>
          <w:i/>
          <w:iCs/>
          <w:sz w:val="22"/>
          <w:rtl/>
          <w:lang w:val="en-GB" w:bidi="ar-EG"/>
        </w:rPr>
        <w:tab/>
        <w:t xml:space="preserve">البلدان التي </w:t>
      </w:r>
      <w:r w:rsidR="00CC6917">
        <w:rPr>
          <w:rFonts w:hint="cs"/>
          <w:i/>
          <w:iCs/>
          <w:sz w:val="22"/>
          <w:rtl/>
          <w:lang w:val="en-GB" w:bidi="ar-EG"/>
        </w:rPr>
        <w:t>أجاب</w:t>
      </w:r>
      <w:r w:rsidR="00014A9D">
        <w:rPr>
          <w:rFonts w:hint="cs"/>
          <w:i/>
          <w:iCs/>
          <w:sz w:val="22"/>
          <w:rtl/>
          <w:lang w:val="en-GB" w:bidi="ar-EG"/>
        </w:rPr>
        <w:t>ت "</w:t>
      </w:r>
      <w:r w:rsidRPr="00116AB8">
        <w:rPr>
          <w:rFonts w:hint="cs"/>
          <w:i/>
          <w:iCs/>
          <w:sz w:val="22"/>
          <w:rtl/>
          <w:lang w:val="en-GB" w:bidi="ar-EG"/>
        </w:rPr>
        <w:t>نعم"</w:t>
      </w:r>
    </w:p>
    <w:p w:rsidR="00116AB8" w:rsidRDefault="0044682F" w:rsidP="000F1238">
      <w:pPr>
        <w:numPr>
          <w:ilvl w:val="0"/>
          <w:numId w:val="27"/>
        </w:numPr>
        <w:spacing w:after="100" w:line="204" w:lineRule="auto"/>
        <w:ind w:left="0" w:firstLine="0"/>
        <w:jc w:val="both"/>
        <w:rPr>
          <w:sz w:val="22"/>
          <w:lang w:val="en-GB" w:bidi="ar-EG"/>
        </w:rPr>
      </w:pPr>
      <w:r>
        <w:rPr>
          <w:rFonts w:hint="cs"/>
          <w:sz w:val="22"/>
          <w:rtl/>
          <w:lang w:val="en-GB" w:bidi="ar-EG"/>
        </w:rPr>
        <w:t>قالت بعض البلدان</w:t>
      </w:r>
      <w:r w:rsidR="005A185C">
        <w:rPr>
          <w:rStyle w:val="FootnoteReference"/>
          <w:sz w:val="22"/>
          <w:rtl/>
          <w:lang w:val="en-GB" w:bidi="ar-EG"/>
        </w:rPr>
        <w:footnoteReference w:id="48"/>
      </w:r>
      <w:r>
        <w:rPr>
          <w:rFonts w:hint="cs"/>
          <w:sz w:val="22"/>
          <w:rtl/>
          <w:lang w:val="en-GB" w:bidi="ar-EG"/>
        </w:rPr>
        <w:t xml:space="preserve"> إنه </w:t>
      </w:r>
      <w:r w:rsidR="000F1238" w:rsidRPr="000F1238">
        <w:rPr>
          <w:rFonts w:hint="cs"/>
          <w:sz w:val="22"/>
          <w:rtl/>
          <w:lang w:val="en-GB" w:bidi="ar-EG"/>
        </w:rPr>
        <w:t>إذا نشأت الحالة، سيسعون إلى التعاون</w:t>
      </w:r>
      <w:r>
        <w:rPr>
          <w:rFonts w:hint="cs"/>
          <w:sz w:val="22"/>
          <w:rtl/>
          <w:lang w:val="en-GB" w:bidi="ar-EG"/>
        </w:rPr>
        <w:t>، ولاحظ بلدان اثنان منهم أنه سيتم التعامل مع الحالة على أساس كل حالة على حدة.</w:t>
      </w:r>
      <w:r>
        <w:rPr>
          <w:rStyle w:val="FootnoteReference"/>
          <w:sz w:val="22"/>
          <w:rtl/>
          <w:lang w:val="en-GB" w:bidi="ar-EG"/>
        </w:rPr>
        <w:footnoteReference w:id="49"/>
      </w:r>
      <w:r>
        <w:rPr>
          <w:rFonts w:hint="cs"/>
          <w:sz w:val="22"/>
          <w:rtl/>
          <w:lang w:val="en-GB" w:bidi="ar-EG"/>
        </w:rPr>
        <w:t xml:space="preserve"> وشرح بعض البلدان</w:t>
      </w:r>
      <w:r>
        <w:rPr>
          <w:rStyle w:val="FootnoteReference"/>
          <w:sz w:val="22"/>
          <w:rtl/>
          <w:lang w:val="en-GB" w:bidi="ar-EG"/>
        </w:rPr>
        <w:footnoteReference w:id="50"/>
      </w:r>
      <w:r>
        <w:rPr>
          <w:rFonts w:hint="cs"/>
          <w:sz w:val="22"/>
          <w:rtl/>
          <w:lang w:val="en-GB" w:bidi="ar-EG"/>
        </w:rPr>
        <w:t xml:space="preserve"> أنهم يخططون لإدراج هذا الجانب في تدابيرهم الخاصة بالحصول وتقاسم المنافع.</w:t>
      </w:r>
    </w:p>
    <w:p w:rsidR="00116AB8" w:rsidRDefault="005A185C" w:rsidP="00E05515">
      <w:pPr>
        <w:numPr>
          <w:ilvl w:val="0"/>
          <w:numId w:val="27"/>
        </w:numPr>
        <w:spacing w:after="100" w:line="204" w:lineRule="auto"/>
        <w:ind w:left="0" w:firstLine="0"/>
        <w:jc w:val="both"/>
        <w:rPr>
          <w:sz w:val="22"/>
          <w:lang w:val="en-GB" w:bidi="ar-EG"/>
        </w:rPr>
      </w:pPr>
      <w:r>
        <w:rPr>
          <w:rFonts w:hint="cs"/>
          <w:sz w:val="22"/>
          <w:rtl/>
          <w:lang w:val="en-GB" w:bidi="ar-EG"/>
        </w:rPr>
        <w:t>واقترح بلد واحد</w:t>
      </w:r>
      <w:r>
        <w:rPr>
          <w:rStyle w:val="FootnoteReference"/>
          <w:sz w:val="22"/>
          <w:rtl/>
          <w:lang w:val="en-GB" w:bidi="ar-EG"/>
        </w:rPr>
        <w:footnoteReference w:id="51"/>
      </w:r>
      <w:r>
        <w:rPr>
          <w:rFonts w:hint="cs"/>
          <w:sz w:val="22"/>
          <w:rtl/>
          <w:lang w:val="en-GB" w:bidi="ar-EG"/>
        </w:rPr>
        <w:t xml:space="preserve"> أن المسألة يمكن تناولها بواسطة المنظم</w:t>
      </w:r>
      <w:r w:rsidR="00E05515">
        <w:rPr>
          <w:rFonts w:hint="cs"/>
          <w:sz w:val="22"/>
          <w:rtl/>
          <w:lang w:val="en-GB" w:bidi="ar-EG"/>
        </w:rPr>
        <w:t>ات</w:t>
      </w:r>
      <w:r>
        <w:rPr>
          <w:rFonts w:hint="cs"/>
          <w:sz w:val="22"/>
          <w:rtl/>
          <w:lang w:val="en-GB" w:bidi="ar-EG"/>
        </w:rPr>
        <w:t xml:space="preserve"> الاقتصادية الإقليمية من خلال اتفاقات متعددة الأطراف، وشرح بلد آخر</w:t>
      </w:r>
      <w:r w:rsidR="009808BE">
        <w:rPr>
          <w:rStyle w:val="FootnoteReference"/>
          <w:sz w:val="22"/>
          <w:rtl/>
          <w:lang w:val="en-GB" w:bidi="ar-EG"/>
        </w:rPr>
        <w:footnoteReference w:id="52"/>
      </w:r>
      <w:r>
        <w:rPr>
          <w:rFonts w:hint="cs"/>
          <w:sz w:val="22"/>
          <w:rtl/>
          <w:lang w:val="en-GB" w:bidi="ar-EG"/>
        </w:rPr>
        <w:t xml:space="preserve"> أنه كجزء من مشروع إقليمي بشأن بروتوكول ناغويا، تم التخطيط لغرفة إقليمية لتبادل معلومات الحصول وتقاسم المنافع من أجل الاعتراف بالقواسم المشتركة عبر الأقاليم.</w:t>
      </w:r>
    </w:p>
    <w:p w:rsidR="00116AB8" w:rsidRDefault="009808BE" w:rsidP="007665C5">
      <w:pPr>
        <w:numPr>
          <w:ilvl w:val="0"/>
          <w:numId w:val="27"/>
        </w:numPr>
        <w:spacing w:after="100" w:line="204" w:lineRule="auto"/>
        <w:ind w:left="0" w:firstLine="0"/>
        <w:jc w:val="both"/>
        <w:rPr>
          <w:sz w:val="22"/>
          <w:lang w:val="en-GB" w:bidi="ar-EG"/>
        </w:rPr>
      </w:pPr>
      <w:r>
        <w:rPr>
          <w:rFonts w:hint="cs"/>
          <w:sz w:val="22"/>
          <w:rtl/>
          <w:lang w:val="en-GB" w:bidi="ar-EG"/>
        </w:rPr>
        <w:t>وقدم بعض البلدان</w:t>
      </w:r>
      <w:r>
        <w:rPr>
          <w:rStyle w:val="FootnoteReference"/>
          <w:sz w:val="22"/>
          <w:rtl/>
          <w:lang w:val="en-GB" w:bidi="ar-EG"/>
        </w:rPr>
        <w:footnoteReference w:id="53"/>
      </w:r>
      <w:r>
        <w:rPr>
          <w:rFonts w:hint="cs"/>
          <w:sz w:val="22"/>
          <w:rtl/>
          <w:lang w:val="en-GB" w:bidi="ar-EG"/>
        </w:rPr>
        <w:t xml:space="preserve"> معلومات عن مبادرات تعاون أخرى، ومنظمات، وأدوات كانت جزءا منها، مع ملاحظة أن الخبرة المكتسبة من خلال هذه المبادرات يمكن أن تكون مفيذة للتعاون عبر الحدود في سياق بروتوكول ناغويا.</w:t>
      </w:r>
      <w:r>
        <w:rPr>
          <w:rStyle w:val="FootnoteReference"/>
          <w:sz w:val="22"/>
          <w:rtl/>
          <w:lang w:val="en-GB" w:bidi="ar-EG"/>
        </w:rPr>
        <w:footnoteReference w:id="54"/>
      </w:r>
      <w:r>
        <w:rPr>
          <w:rFonts w:hint="cs"/>
          <w:sz w:val="22"/>
          <w:rtl/>
          <w:lang w:val="en-GB" w:bidi="ar-EG"/>
        </w:rPr>
        <w:t xml:space="preserve"> فمثلا</w:t>
      </w:r>
      <w:r w:rsidR="00116AB8">
        <w:rPr>
          <w:rFonts w:hint="cs"/>
          <w:sz w:val="22"/>
          <w:rtl/>
          <w:lang w:val="en-GB" w:bidi="ar-EG"/>
        </w:rPr>
        <w:t>:</w:t>
      </w:r>
    </w:p>
    <w:p w:rsidR="00116AB8" w:rsidRDefault="00116AB8" w:rsidP="007665C5">
      <w:pPr>
        <w:spacing w:after="100" w:line="204" w:lineRule="auto"/>
        <w:ind w:firstLine="720"/>
        <w:jc w:val="both"/>
        <w:rPr>
          <w:sz w:val="22"/>
          <w:rtl/>
          <w:lang w:val="en-GB" w:bidi="ar-EG"/>
        </w:rPr>
      </w:pPr>
      <w:r>
        <w:rPr>
          <w:rFonts w:hint="cs"/>
          <w:sz w:val="22"/>
          <w:rtl/>
          <w:lang w:val="en-GB" w:bidi="ar-EG"/>
        </w:rPr>
        <w:lastRenderedPageBreak/>
        <w:t>(أ)</w:t>
      </w:r>
      <w:r>
        <w:rPr>
          <w:rFonts w:hint="cs"/>
          <w:sz w:val="22"/>
          <w:rtl/>
          <w:lang w:val="en-GB" w:bidi="ar-EG"/>
        </w:rPr>
        <w:tab/>
      </w:r>
      <w:r w:rsidR="009808BE">
        <w:rPr>
          <w:rFonts w:hint="cs"/>
          <w:sz w:val="22"/>
          <w:rtl/>
          <w:lang w:val="en-GB" w:bidi="ar-EG"/>
        </w:rPr>
        <w:t>شرحت أوغندا أن التعاون أجري من خلال بروتوكول جماعة شرق أفريقيا بشأن إدارة البيئة والموارد الطبيعية التي توجد بها أحكام بشأن الحصول وتقاسم المنافع</w:t>
      </w:r>
      <w:r w:rsidR="009808BE">
        <w:rPr>
          <w:rStyle w:val="FootnoteReference"/>
          <w:sz w:val="22"/>
          <w:rtl/>
          <w:lang w:val="en-GB" w:bidi="ar-EG"/>
        </w:rPr>
        <w:footnoteReference w:id="55"/>
      </w:r>
      <w:r w:rsidR="009808BE">
        <w:rPr>
          <w:rFonts w:hint="cs"/>
          <w:sz w:val="22"/>
          <w:rtl/>
          <w:lang w:val="en-GB" w:bidi="ar-EG"/>
        </w:rPr>
        <w:t xml:space="preserve"> ومن خلال عدد من المشروعات عبر الحدود، والبرامج والاتفاقات بين أوغندا والبلدان المجاورة؛</w:t>
      </w:r>
      <w:r w:rsidR="009808BE">
        <w:rPr>
          <w:rStyle w:val="FootnoteReference"/>
          <w:sz w:val="22"/>
          <w:rtl/>
          <w:lang w:val="en-GB" w:bidi="ar-EG"/>
        </w:rPr>
        <w:footnoteReference w:id="56"/>
      </w:r>
    </w:p>
    <w:p w:rsidR="00116AB8" w:rsidRDefault="00116AB8" w:rsidP="000F1238">
      <w:pPr>
        <w:spacing w:after="100" w:line="204" w:lineRule="auto"/>
        <w:ind w:firstLine="720"/>
        <w:jc w:val="both"/>
        <w:rPr>
          <w:sz w:val="22"/>
          <w:rtl/>
          <w:lang w:val="en-GB" w:bidi="ar-EG"/>
        </w:rPr>
      </w:pPr>
      <w:r>
        <w:rPr>
          <w:rFonts w:hint="cs"/>
          <w:sz w:val="22"/>
          <w:rtl/>
          <w:lang w:val="en-GB" w:bidi="ar-EG"/>
        </w:rPr>
        <w:t>(ب)</w:t>
      </w:r>
      <w:r>
        <w:rPr>
          <w:rFonts w:hint="cs"/>
          <w:sz w:val="22"/>
          <w:rtl/>
          <w:lang w:val="en-GB" w:bidi="ar-EG"/>
        </w:rPr>
        <w:tab/>
      </w:r>
      <w:r w:rsidR="009808BE">
        <w:rPr>
          <w:rFonts w:hint="cs"/>
          <w:sz w:val="22"/>
          <w:rtl/>
          <w:lang w:val="en-GB" w:bidi="ar-EG"/>
        </w:rPr>
        <w:t>أبلغت الهند عن مشروعات التعاون مع بلدان أخرى في المنطقة، مثل مشروع كايلا</w:t>
      </w:r>
      <w:r w:rsidR="000F1238">
        <w:rPr>
          <w:rFonts w:hint="cs"/>
          <w:sz w:val="22"/>
          <w:rtl/>
          <w:lang w:val="en-GB" w:bidi="ar-EG"/>
        </w:rPr>
        <w:t>ش</w:t>
      </w:r>
      <w:r w:rsidR="009808BE">
        <w:rPr>
          <w:rFonts w:hint="cs"/>
          <w:sz w:val="22"/>
          <w:rtl/>
          <w:lang w:val="en-GB" w:bidi="ar-EG"/>
        </w:rPr>
        <w:t xml:space="preserve"> للمناظر الطبيعية (موقع مقدس عبر الحدود) ومشروع النظام الإيكولوجي البحري الكبير في خليج البنغال (منطقة محمية بحرية وساحلية)؛</w:t>
      </w:r>
    </w:p>
    <w:p w:rsidR="00116AB8" w:rsidRDefault="00116AB8" w:rsidP="007665C5">
      <w:pPr>
        <w:spacing w:after="100" w:line="204" w:lineRule="auto"/>
        <w:ind w:firstLine="720"/>
        <w:jc w:val="both"/>
        <w:rPr>
          <w:sz w:val="22"/>
          <w:lang w:val="en-GB" w:bidi="ar-EG"/>
        </w:rPr>
      </w:pPr>
      <w:r>
        <w:rPr>
          <w:rFonts w:hint="cs"/>
          <w:sz w:val="22"/>
          <w:rtl/>
          <w:lang w:val="en-GB" w:bidi="ar-EG"/>
        </w:rPr>
        <w:t>(ج)</w:t>
      </w:r>
      <w:r>
        <w:rPr>
          <w:rFonts w:hint="cs"/>
          <w:sz w:val="22"/>
          <w:rtl/>
          <w:lang w:val="en-GB" w:bidi="ar-EG"/>
        </w:rPr>
        <w:tab/>
      </w:r>
      <w:r w:rsidR="009808BE">
        <w:rPr>
          <w:rFonts w:hint="cs"/>
          <w:sz w:val="22"/>
          <w:rtl/>
          <w:lang w:val="en-GB" w:bidi="ar-EG"/>
        </w:rPr>
        <w:t xml:space="preserve">نفذت بيلاروس مشروعات مشتركة في إطار برنامج التعاون عبر الحدود، بولندا </w:t>
      </w:r>
      <w:r w:rsidR="009808BE">
        <w:rPr>
          <w:sz w:val="22"/>
          <w:rtl/>
          <w:lang w:val="en-GB" w:bidi="ar-EG"/>
        </w:rPr>
        <w:t>–</w:t>
      </w:r>
      <w:r w:rsidR="009808BE">
        <w:rPr>
          <w:rFonts w:hint="cs"/>
          <w:sz w:val="22"/>
          <w:rtl/>
          <w:lang w:val="en-GB" w:bidi="ar-EG"/>
        </w:rPr>
        <w:t xml:space="preserve"> بيلاروس </w:t>
      </w:r>
      <w:r w:rsidR="009808BE">
        <w:rPr>
          <w:sz w:val="22"/>
          <w:rtl/>
          <w:lang w:val="en-GB" w:bidi="ar-EG"/>
        </w:rPr>
        <w:t>–</w:t>
      </w:r>
      <w:r w:rsidR="009808BE">
        <w:rPr>
          <w:rFonts w:hint="cs"/>
          <w:sz w:val="22"/>
          <w:rtl/>
          <w:lang w:val="en-GB" w:bidi="ar-EG"/>
        </w:rPr>
        <w:t xml:space="preserve"> أوكرانيا 2014-2020.</w:t>
      </w:r>
    </w:p>
    <w:p w:rsidR="00116AB8" w:rsidRPr="00116AB8" w:rsidRDefault="00116AB8" w:rsidP="007665C5">
      <w:pPr>
        <w:spacing w:after="100" w:line="204" w:lineRule="auto"/>
        <w:jc w:val="both"/>
        <w:rPr>
          <w:i/>
          <w:iCs/>
          <w:sz w:val="22"/>
          <w:lang w:val="en-GB" w:bidi="ar-EG"/>
        </w:rPr>
      </w:pPr>
      <w:r w:rsidRPr="00116AB8">
        <w:rPr>
          <w:rFonts w:hint="cs"/>
          <w:i/>
          <w:iCs/>
          <w:sz w:val="22"/>
          <w:rtl/>
          <w:lang w:val="en-GB" w:bidi="ar-EG"/>
        </w:rPr>
        <w:t>(ب)</w:t>
      </w:r>
      <w:r w:rsidRPr="00116AB8">
        <w:rPr>
          <w:rFonts w:hint="cs"/>
          <w:i/>
          <w:iCs/>
          <w:sz w:val="22"/>
          <w:rtl/>
          <w:lang w:val="en-GB" w:bidi="ar-EG"/>
        </w:rPr>
        <w:tab/>
        <w:t xml:space="preserve">البلدان التي </w:t>
      </w:r>
      <w:r w:rsidR="00CC6917">
        <w:rPr>
          <w:rFonts w:hint="cs"/>
          <w:i/>
          <w:iCs/>
          <w:sz w:val="22"/>
          <w:rtl/>
          <w:lang w:val="en-GB" w:bidi="ar-EG"/>
        </w:rPr>
        <w:t>أجاب</w:t>
      </w:r>
      <w:r w:rsidRPr="00116AB8">
        <w:rPr>
          <w:rFonts w:hint="cs"/>
          <w:i/>
          <w:iCs/>
          <w:sz w:val="22"/>
          <w:rtl/>
          <w:lang w:val="en-GB" w:bidi="ar-EG"/>
        </w:rPr>
        <w:t>ت "لا"</w:t>
      </w:r>
    </w:p>
    <w:p w:rsidR="00116AB8" w:rsidRDefault="0043639C" w:rsidP="007665C5">
      <w:pPr>
        <w:numPr>
          <w:ilvl w:val="0"/>
          <w:numId w:val="27"/>
        </w:numPr>
        <w:spacing w:after="100" w:line="204" w:lineRule="auto"/>
        <w:ind w:left="0" w:firstLine="0"/>
        <w:jc w:val="both"/>
        <w:rPr>
          <w:sz w:val="22"/>
          <w:lang w:val="en-GB" w:bidi="ar-EG"/>
        </w:rPr>
      </w:pPr>
      <w:r>
        <w:rPr>
          <w:rFonts w:hint="cs"/>
          <w:sz w:val="22"/>
          <w:rtl/>
          <w:lang w:val="en-GB" w:bidi="ar-EG"/>
        </w:rPr>
        <w:t>أوضح بعض البلدان</w:t>
      </w:r>
      <w:r>
        <w:rPr>
          <w:rStyle w:val="FootnoteReference"/>
          <w:sz w:val="22"/>
          <w:rtl/>
          <w:lang w:val="en-GB" w:bidi="ar-EG"/>
        </w:rPr>
        <w:footnoteReference w:id="57"/>
      </w:r>
      <w:r>
        <w:rPr>
          <w:rFonts w:hint="cs"/>
          <w:sz w:val="22"/>
          <w:rtl/>
          <w:lang w:val="en-GB" w:bidi="ar-EG"/>
        </w:rPr>
        <w:t xml:space="preserve"> أن السؤال لا ينطبق عليهم إذ أنهم لم يضعوا متطلبات للحصول و/أو لا توجد شعوب أصلية ومجتمعات محلية في بلدانهم. وقال بعض البلدان</w:t>
      </w:r>
      <w:r>
        <w:rPr>
          <w:rStyle w:val="FootnoteReference"/>
          <w:sz w:val="22"/>
          <w:rtl/>
          <w:lang w:val="en-GB" w:bidi="ar-EG"/>
        </w:rPr>
        <w:footnoteReference w:id="58"/>
      </w:r>
      <w:r>
        <w:rPr>
          <w:rFonts w:hint="cs"/>
          <w:sz w:val="22"/>
          <w:rtl/>
          <w:lang w:val="en-GB" w:bidi="ar-EG"/>
        </w:rPr>
        <w:t xml:space="preserve"> إنه إذا نشأت الحالة، سيسعون إلى التعاون وشرحت بلدان أخرى أنهم يخططون لإدراج هذا الجانب في تدابيرهم الخاصة بالحصول وتقاسم المنافع.</w:t>
      </w:r>
      <w:r>
        <w:rPr>
          <w:rStyle w:val="FootnoteReference"/>
          <w:sz w:val="22"/>
          <w:lang w:val="en-GB" w:bidi="ar-EG"/>
        </w:rPr>
        <w:footnoteReference w:id="59"/>
      </w:r>
      <w:r>
        <w:rPr>
          <w:rFonts w:hint="cs"/>
          <w:sz w:val="22"/>
          <w:rtl/>
          <w:lang w:val="en-GB" w:bidi="ar-EG"/>
        </w:rPr>
        <w:t xml:space="preserve"> وقدم بعض البلدان معلومات عن خبراتهم في إدارة المنتزهات الإقليمية أو مشروعات التعاون الإقليمي الأخرى.</w:t>
      </w:r>
      <w:r w:rsidRPr="0043639C">
        <w:rPr>
          <w:rStyle w:val="FootnoteReference"/>
          <w:sz w:val="22"/>
          <w:lang w:val="en-GB" w:bidi="ar-EG"/>
        </w:rPr>
        <w:t xml:space="preserve"> </w:t>
      </w:r>
      <w:r>
        <w:rPr>
          <w:rStyle w:val="FootnoteReference"/>
          <w:sz w:val="22"/>
          <w:lang w:val="en-GB" w:bidi="ar-EG"/>
        </w:rPr>
        <w:footnoteReference w:id="60"/>
      </w:r>
    </w:p>
    <w:p w:rsidR="00116AB8" w:rsidRDefault="0043639C" w:rsidP="007665C5">
      <w:pPr>
        <w:numPr>
          <w:ilvl w:val="0"/>
          <w:numId w:val="27"/>
        </w:numPr>
        <w:spacing w:after="100" w:line="204" w:lineRule="auto"/>
        <w:ind w:left="0" w:firstLine="0"/>
        <w:jc w:val="both"/>
        <w:rPr>
          <w:sz w:val="22"/>
          <w:lang w:val="en-GB" w:bidi="ar-EG"/>
        </w:rPr>
      </w:pPr>
      <w:r>
        <w:rPr>
          <w:rFonts w:hint="cs"/>
          <w:sz w:val="22"/>
          <w:rtl/>
          <w:lang w:val="en-GB" w:bidi="ar-EG"/>
        </w:rPr>
        <w:t>وتمت الإشارة إلى الاس</w:t>
      </w:r>
      <w:r w:rsidR="00EB1427">
        <w:rPr>
          <w:rFonts w:hint="cs"/>
          <w:sz w:val="22"/>
          <w:rtl/>
          <w:lang w:val="en-GB" w:bidi="ar-EG"/>
        </w:rPr>
        <w:t>ت</w:t>
      </w:r>
      <w:r>
        <w:rPr>
          <w:rFonts w:hint="cs"/>
          <w:sz w:val="22"/>
          <w:rtl/>
          <w:lang w:val="en-GB" w:bidi="ar-EG"/>
        </w:rPr>
        <w:t xml:space="preserve">راتيجية </w:t>
      </w:r>
      <w:r w:rsidR="00EB1427">
        <w:rPr>
          <w:rFonts w:hint="cs"/>
          <w:sz w:val="22"/>
          <w:rtl/>
          <w:lang w:val="en-GB" w:bidi="ar-EG"/>
        </w:rPr>
        <w:t>دون</w:t>
      </w:r>
      <w:r>
        <w:rPr>
          <w:rFonts w:hint="cs"/>
          <w:sz w:val="22"/>
          <w:rtl/>
          <w:lang w:val="en-GB" w:bidi="ar-EG"/>
        </w:rPr>
        <w:t xml:space="preserve"> الإقليمية بشأن الحصول وتقاسم المنافع التي أعدتها لجنة غابات وسط أفريقيا</w:t>
      </w:r>
      <w:r w:rsidR="00EB1427">
        <w:rPr>
          <w:rFonts w:hint="cs"/>
          <w:sz w:val="22"/>
          <w:rtl/>
          <w:lang w:val="en-GB" w:bidi="ar-EG"/>
        </w:rPr>
        <w:t xml:space="preserve"> </w:t>
      </w:r>
      <w:r w:rsidR="00EB1427">
        <w:rPr>
          <w:sz w:val="22"/>
          <w:lang w:bidi="ar-EG"/>
        </w:rPr>
        <w:t>(COMIFAC)</w:t>
      </w:r>
      <w:r w:rsidR="00EB1427">
        <w:rPr>
          <w:rFonts w:hint="cs"/>
          <w:sz w:val="22"/>
          <w:rtl/>
          <w:lang w:val="en-GB" w:bidi="ar-EG"/>
        </w:rPr>
        <w:t>، وأشار بلد واحد</w:t>
      </w:r>
      <w:r w:rsidR="00EB1427">
        <w:rPr>
          <w:rStyle w:val="FootnoteReference"/>
          <w:sz w:val="22"/>
          <w:rtl/>
          <w:lang w:val="en-GB" w:bidi="ar-EG"/>
        </w:rPr>
        <w:footnoteReference w:id="61"/>
      </w:r>
      <w:r w:rsidR="00EB1427">
        <w:rPr>
          <w:rFonts w:hint="cs"/>
          <w:sz w:val="22"/>
          <w:rtl/>
          <w:lang w:val="en-GB" w:bidi="ar-EG"/>
        </w:rPr>
        <w:t xml:space="preserve"> إلى أنهم يخططون لمشروع في إطار التجديد السابع لموارد مرفق البيئة العالمية مع عنصر وطني ودون إقليمي يمكن أن يعالج هذه المسألة.</w:t>
      </w:r>
    </w:p>
    <w:p w:rsidR="00116AB8" w:rsidRPr="00014A9D" w:rsidRDefault="00116AB8" w:rsidP="007665C5">
      <w:pPr>
        <w:spacing w:after="100" w:line="204" w:lineRule="auto"/>
        <w:ind w:left="1440" w:hanging="720"/>
        <w:jc w:val="both"/>
        <w:rPr>
          <w:i/>
          <w:iCs/>
          <w:sz w:val="24"/>
          <w:lang w:val="en-GB"/>
        </w:rPr>
      </w:pPr>
      <w:r w:rsidRPr="00014A9D">
        <w:rPr>
          <w:rFonts w:hint="cs"/>
          <w:i/>
          <w:iCs/>
          <w:sz w:val="24"/>
          <w:rtl/>
          <w:lang w:val="en-GB" w:bidi="ar-EG"/>
        </w:rPr>
        <w:t>2 -</w:t>
      </w:r>
      <w:r w:rsidRPr="00014A9D">
        <w:rPr>
          <w:rFonts w:hint="cs"/>
          <w:i/>
          <w:iCs/>
          <w:sz w:val="24"/>
          <w:rtl/>
          <w:lang w:val="en-GB" w:bidi="ar-EG"/>
        </w:rPr>
        <w:tab/>
      </w:r>
      <w:r w:rsidRPr="00014A9D">
        <w:rPr>
          <w:i/>
          <w:iCs/>
          <w:sz w:val="24"/>
          <w:rtl/>
        </w:rPr>
        <w:t>هل ي</w:t>
      </w:r>
      <w:r w:rsidRPr="00014A9D">
        <w:rPr>
          <w:rFonts w:hint="cs"/>
          <w:i/>
          <w:iCs/>
          <w:sz w:val="24"/>
          <w:rtl/>
        </w:rPr>
        <w:t>سعى بلدك لل</w:t>
      </w:r>
      <w:r w:rsidRPr="00014A9D">
        <w:rPr>
          <w:i/>
          <w:iCs/>
          <w:sz w:val="24"/>
          <w:rtl/>
        </w:rPr>
        <w:t>تعاون</w:t>
      </w:r>
      <w:r w:rsidRPr="00014A9D">
        <w:rPr>
          <w:rFonts w:hint="cs"/>
          <w:i/>
          <w:iCs/>
          <w:sz w:val="24"/>
          <w:rtl/>
        </w:rPr>
        <w:t xml:space="preserve"> </w:t>
      </w:r>
      <w:r w:rsidRPr="00014A9D">
        <w:rPr>
          <w:i/>
          <w:iCs/>
          <w:sz w:val="24"/>
          <w:rtl/>
        </w:rPr>
        <w:t>بغية تنفيذ هذا البروتوكول في الحالات التي توجد فيها نفس المعارف التقليدية المرتبطة بالموارد الجينية بين مجتمع واحد أو أكثر من المجتمعات الأصلية والمحلية في عدة أطراف على النحو المنصوص عليه في المادة 11</w:t>
      </w:r>
      <w:r w:rsidRPr="00014A9D">
        <w:rPr>
          <w:i/>
          <w:iCs/>
          <w:sz w:val="24"/>
          <w:rtl/>
        </w:rPr>
        <w:noBreakHyphen/>
        <w:t>2؟</w:t>
      </w:r>
      <w:r w:rsidRPr="00014A9D">
        <w:rPr>
          <w:rFonts w:hint="cs"/>
          <w:i/>
          <w:iCs/>
          <w:sz w:val="24"/>
          <w:rtl/>
          <w:lang w:val="en-GB"/>
        </w:rPr>
        <w:t xml:space="preserve"> (السؤال 49)</w:t>
      </w:r>
    </w:p>
    <w:p w:rsidR="00116AB8" w:rsidRDefault="006519BC" w:rsidP="000F1238">
      <w:pPr>
        <w:numPr>
          <w:ilvl w:val="0"/>
          <w:numId w:val="27"/>
        </w:numPr>
        <w:spacing w:after="100" w:line="204" w:lineRule="auto"/>
        <w:ind w:left="0" w:firstLine="0"/>
        <w:jc w:val="both"/>
        <w:rPr>
          <w:sz w:val="22"/>
          <w:lang w:val="en-GB" w:bidi="ar-EG"/>
        </w:rPr>
      </w:pPr>
      <w:r>
        <w:rPr>
          <w:rFonts w:hint="cs"/>
          <w:sz w:val="22"/>
          <w:rtl/>
          <w:lang w:val="en-GB" w:bidi="ar-EG"/>
        </w:rPr>
        <w:t>أجا</w:t>
      </w:r>
      <w:r w:rsidR="00414DE9">
        <w:rPr>
          <w:rFonts w:hint="cs"/>
          <w:sz w:val="22"/>
          <w:rtl/>
          <w:lang w:val="en-GB" w:bidi="ar-EG"/>
        </w:rPr>
        <w:t>ب</w:t>
      </w:r>
      <w:r>
        <w:rPr>
          <w:rFonts w:hint="cs"/>
          <w:sz w:val="22"/>
          <w:rtl/>
          <w:lang w:val="en-GB" w:bidi="ar-EG"/>
        </w:rPr>
        <w:t xml:space="preserve"> ما مجموعه </w:t>
      </w:r>
      <w:r w:rsidR="000F1238">
        <w:rPr>
          <w:rFonts w:hint="cs"/>
          <w:sz w:val="22"/>
          <w:rtl/>
          <w:lang w:val="en-GB" w:bidi="ar-EG"/>
        </w:rPr>
        <w:t>27</w:t>
      </w:r>
      <w:r>
        <w:rPr>
          <w:rFonts w:hint="cs"/>
          <w:sz w:val="22"/>
          <w:rtl/>
          <w:lang w:val="en-GB" w:bidi="ar-EG"/>
        </w:rPr>
        <w:t xml:space="preserve"> طرفا أنه سعوا </w:t>
      </w:r>
      <w:r w:rsidR="000F1238">
        <w:rPr>
          <w:rFonts w:hint="cs"/>
          <w:sz w:val="22"/>
          <w:rtl/>
          <w:lang w:val="en-GB" w:bidi="ar-EG"/>
        </w:rPr>
        <w:t>إ</w:t>
      </w:r>
      <w:r>
        <w:rPr>
          <w:rFonts w:hint="cs"/>
          <w:sz w:val="22"/>
          <w:rtl/>
          <w:lang w:val="en-GB" w:bidi="ar-EG"/>
        </w:rPr>
        <w:t xml:space="preserve">لى التعاون، بينما </w:t>
      </w:r>
      <w:r w:rsidR="00414DE9">
        <w:rPr>
          <w:rFonts w:hint="cs"/>
          <w:sz w:val="22"/>
          <w:rtl/>
          <w:lang w:val="en-GB" w:bidi="ar-EG"/>
        </w:rPr>
        <w:t>أجاب</w:t>
      </w:r>
      <w:r>
        <w:rPr>
          <w:rFonts w:hint="cs"/>
          <w:sz w:val="22"/>
          <w:rtl/>
          <w:lang w:val="en-GB" w:bidi="ar-EG"/>
        </w:rPr>
        <w:t xml:space="preserve"> </w:t>
      </w:r>
      <w:r w:rsidR="00B65412">
        <w:rPr>
          <w:rFonts w:hint="cs"/>
          <w:sz w:val="22"/>
          <w:rtl/>
          <w:lang w:val="en-GB" w:bidi="ar-EG"/>
        </w:rPr>
        <w:t>21 طرفا وواحد من غير الأطراف أنهم</w:t>
      </w:r>
      <w:r>
        <w:rPr>
          <w:rFonts w:hint="cs"/>
          <w:sz w:val="22"/>
          <w:rtl/>
          <w:lang w:val="en-GB" w:bidi="ar-EG"/>
        </w:rPr>
        <w:t xml:space="preserve"> لم يفعل</w:t>
      </w:r>
      <w:r w:rsidR="00B65412">
        <w:rPr>
          <w:rFonts w:hint="cs"/>
          <w:sz w:val="22"/>
          <w:rtl/>
          <w:lang w:val="en-GB" w:bidi="ar-EG"/>
        </w:rPr>
        <w:t>وا</w:t>
      </w:r>
      <w:r>
        <w:rPr>
          <w:rFonts w:hint="cs"/>
          <w:sz w:val="22"/>
          <w:rtl/>
          <w:lang w:val="en-GB" w:bidi="ar-EG"/>
        </w:rPr>
        <w:t xml:space="preserve"> ذلك، وأج</w:t>
      </w:r>
      <w:r w:rsidR="00414DE9">
        <w:rPr>
          <w:rFonts w:hint="cs"/>
          <w:sz w:val="22"/>
          <w:rtl/>
          <w:lang w:val="en-GB" w:bidi="ar-EG"/>
        </w:rPr>
        <w:t>ا</w:t>
      </w:r>
      <w:r>
        <w:rPr>
          <w:rFonts w:hint="cs"/>
          <w:sz w:val="22"/>
          <w:rtl/>
          <w:lang w:val="en-GB" w:bidi="ar-EG"/>
        </w:rPr>
        <w:t>ب 21 طرفا و5 من غير الأطراف إلى أن السؤال لا ينطبق عليهم.</w:t>
      </w:r>
    </w:p>
    <w:p w:rsidR="00116AB8" w:rsidRPr="00116AB8" w:rsidRDefault="00116AB8" w:rsidP="007665C5">
      <w:pPr>
        <w:spacing w:after="100" w:line="204" w:lineRule="auto"/>
        <w:jc w:val="both"/>
        <w:rPr>
          <w:i/>
          <w:iCs/>
          <w:sz w:val="22"/>
          <w:lang w:val="en-GB" w:bidi="ar-EG"/>
        </w:rPr>
      </w:pPr>
      <w:r w:rsidRPr="00116AB8">
        <w:rPr>
          <w:rFonts w:hint="cs"/>
          <w:i/>
          <w:iCs/>
          <w:sz w:val="22"/>
          <w:rtl/>
          <w:lang w:val="en-GB" w:bidi="ar-EG"/>
        </w:rPr>
        <w:t>(أ)</w:t>
      </w:r>
      <w:r w:rsidRPr="00116AB8">
        <w:rPr>
          <w:rFonts w:hint="cs"/>
          <w:i/>
          <w:iCs/>
          <w:sz w:val="22"/>
          <w:rtl/>
          <w:lang w:val="en-GB" w:bidi="ar-EG"/>
        </w:rPr>
        <w:tab/>
        <w:t xml:space="preserve">البلدان التي </w:t>
      </w:r>
      <w:r w:rsidR="00CC6917">
        <w:rPr>
          <w:rFonts w:hint="cs"/>
          <w:i/>
          <w:iCs/>
          <w:sz w:val="22"/>
          <w:rtl/>
          <w:lang w:val="en-GB" w:bidi="ar-EG"/>
        </w:rPr>
        <w:t>أجاب</w:t>
      </w:r>
      <w:r w:rsidRPr="00116AB8">
        <w:rPr>
          <w:rFonts w:hint="cs"/>
          <w:i/>
          <w:iCs/>
          <w:sz w:val="22"/>
          <w:rtl/>
          <w:lang w:val="en-GB" w:bidi="ar-EG"/>
        </w:rPr>
        <w:t>ت "نعم</w:t>
      </w:r>
      <w:r w:rsidR="006519BC">
        <w:rPr>
          <w:rFonts w:hint="cs"/>
          <w:i/>
          <w:iCs/>
          <w:sz w:val="22"/>
          <w:rtl/>
          <w:lang w:val="en-GB" w:bidi="ar-EG"/>
        </w:rPr>
        <w:t>"</w:t>
      </w:r>
    </w:p>
    <w:p w:rsidR="00116AB8" w:rsidRDefault="006519BC" w:rsidP="007665C5">
      <w:pPr>
        <w:numPr>
          <w:ilvl w:val="0"/>
          <w:numId w:val="27"/>
        </w:numPr>
        <w:spacing w:after="100" w:line="204" w:lineRule="auto"/>
        <w:ind w:left="0" w:firstLine="0"/>
        <w:jc w:val="both"/>
        <w:rPr>
          <w:sz w:val="22"/>
          <w:lang w:val="en-GB" w:bidi="ar-EG"/>
        </w:rPr>
      </w:pPr>
      <w:r>
        <w:rPr>
          <w:rFonts w:hint="cs"/>
          <w:sz w:val="22"/>
          <w:rtl/>
          <w:lang w:val="en-GB" w:bidi="ar-EG"/>
        </w:rPr>
        <w:t>أبلغ العديد من البلدان أنه، إذا نشأت الحالة، يسعون إلى التعاون،</w:t>
      </w:r>
      <w:r>
        <w:rPr>
          <w:rStyle w:val="FootnoteReference"/>
          <w:sz w:val="22"/>
          <w:rtl/>
          <w:lang w:val="en-GB" w:bidi="ar-EG"/>
        </w:rPr>
        <w:footnoteReference w:id="62"/>
      </w:r>
      <w:r>
        <w:rPr>
          <w:rFonts w:hint="cs"/>
          <w:sz w:val="22"/>
          <w:rtl/>
          <w:lang w:val="en-GB" w:bidi="ar-EG"/>
        </w:rPr>
        <w:t xml:space="preserve"> وشرح آخرون أنه</w:t>
      </w:r>
      <w:r w:rsidR="00B65412">
        <w:rPr>
          <w:rFonts w:hint="cs"/>
          <w:sz w:val="22"/>
          <w:rtl/>
          <w:lang w:val="en-GB" w:bidi="ar-EG"/>
        </w:rPr>
        <w:t>م</w:t>
      </w:r>
      <w:r>
        <w:rPr>
          <w:rFonts w:hint="cs"/>
          <w:sz w:val="22"/>
          <w:rtl/>
          <w:lang w:val="en-GB" w:bidi="ar-EG"/>
        </w:rPr>
        <w:t xml:space="preserve"> كانوا يخططون لإدراج هذا الجانب في تدابيرهم الخاصة بالحصول وتقاسم المنافع.</w:t>
      </w:r>
      <w:r>
        <w:rPr>
          <w:rStyle w:val="FootnoteReference"/>
          <w:sz w:val="22"/>
          <w:lang w:val="en-GB" w:bidi="ar-EG"/>
        </w:rPr>
        <w:footnoteReference w:id="63"/>
      </w:r>
    </w:p>
    <w:p w:rsidR="00116AB8" w:rsidRDefault="006519BC" w:rsidP="007665C5">
      <w:pPr>
        <w:numPr>
          <w:ilvl w:val="0"/>
          <w:numId w:val="27"/>
        </w:numPr>
        <w:spacing w:after="100" w:line="204" w:lineRule="auto"/>
        <w:ind w:left="0" w:firstLine="0"/>
        <w:jc w:val="both"/>
        <w:rPr>
          <w:sz w:val="22"/>
          <w:lang w:val="en-GB" w:bidi="ar-EG"/>
        </w:rPr>
      </w:pPr>
      <w:r>
        <w:rPr>
          <w:rFonts w:hint="cs"/>
          <w:sz w:val="22"/>
          <w:rtl/>
          <w:lang w:val="en-GB" w:bidi="ar-EG"/>
        </w:rPr>
        <w:t>وقدم بعض البلدان</w:t>
      </w:r>
      <w:r>
        <w:rPr>
          <w:rStyle w:val="FootnoteReference"/>
          <w:sz w:val="22"/>
          <w:rtl/>
          <w:lang w:val="en-GB" w:bidi="ar-EG"/>
        </w:rPr>
        <w:footnoteReference w:id="64"/>
      </w:r>
      <w:r>
        <w:rPr>
          <w:rFonts w:hint="cs"/>
          <w:sz w:val="22"/>
          <w:rtl/>
          <w:lang w:val="en-GB" w:bidi="ar-EG"/>
        </w:rPr>
        <w:t xml:space="preserve"> معلومات عن مبادرات التعاون الأخرى، والمنظمات، والأدوات التي كانوا جزءا منها. فمثلا</w:t>
      </w:r>
      <w:r w:rsidR="00116AB8">
        <w:rPr>
          <w:rFonts w:hint="cs"/>
          <w:sz w:val="22"/>
          <w:rtl/>
          <w:lang w:val="en-GB" w:bidi="ar-EG"/>
        </w:rPr>
        <w:t>:</w:t>
      </w:r>
    </w:p>
    <w:p w:rsidR="00116AB8" w:rsidRDefault="00116AB8" w:rsidP="00B65412">
      <w:pPr>
        <w:spacing w:after="100" w:line="192" w:lineRule="auto"/>
        <w:ind w:firstLine="720"/>
        <w:jc w:val="both"/>
        <w:rPr>
          <w:sz w:val="22"/>
          <w:lang w:val="en-GB" w:bidi="ar-EG"/>
        </w:rPr>
      </w:pPr>
      <w:r>
        <w:rPr>
          <w:rFonts w:hint="cs"/>
          <w:sz w:val="22"/>
          <w:rtl/>
          <w:lang w:val="en-GB" w:bidi="ar-EG"/>
        </w:rPr>
        <w:lastRenderedPageBreak/>
        <w:t>(أ)</w:t>
      </w:r>
      <w:r>
        <w:rPr>
          <w:rFonts w:hint="cs"/>
          <w:sz w:val="22"/>
          <w:rtl/>
          <w:lang w:val="en-GB" w:bidi="ar-EG"/>
        </w:rPr>
        <w:tab/>
      </w:r>
      <w:r w:rsidR="006519BC">
        <w:rPr>
          <w:rFonts w:hint="cs"/>
          <w:sz w:val="22"/>
          <w:rtl/>
          <w:lang w:val="en-GB" w:bidi="ar-EG"/>
        </w:rPr>
        <w:t>أشارت كينيا إلى وجود جهود جارية في منابر التعاون الإقليمي لإ</w:t>
      </w:r>
      <w:r w:rsidR="00B65412">
        <w:rPr>
          <w:rFonts w:hint="cs"/>
          <w:sz w:val="22"/>
          <w:rtl/>
          <w:lang w:val="en-GB" w:bidi="ar-EG"/>
        </w:rPr>
        <w:t>ع</w:t>
      </w:r>
      <w:r w:rsidR="006519BC">
        <w:rPr>
          <w:rFonts w:hint="cs"/>
          <w:sz w:val="22"/>
          <w:rtl/>
          <w:lang w:val="en-GB" w:bidi="ar-EG"/>
        </w:rPr>
        <w:t>داد بروتوكولات مناسبة بشأن حوكمة الموارد والاستخدام مع مراعاة متطلبات بروتوكول ناغويا بشأن المادة 11-2 (مثلا، مشروع سياسة تعميم التنوع البيولوجي في مقاطعة بوسيا)؛</w:t>
      </w:r>
    </w:p>
    <w:p w:rsidR="00116AB8" w:rsidRDefault="00116AB8" w:rsidP="00414DE9">
      <w:pPr>
        <w:spacing w:after="100" w:line="192" w:lineRule="auto"/>
        <w:ind w:firstLine="720"/>
        <w:jc w:val="both"/>
        <w:rPr>
          <w:sz w:val="22"/>
          <w:lang w:val="en-GB" w:bidi="ar-EG"/>
        </w:rPr>
      </w:pPr>
      <w:r>
        <w:rPr>
          <w:rFonts w:hint="cs"/>
          <w:sz w:val="22"/>
          <w:rtl/>
          <w:lang w:val="en-GB" w:bidi="ar-EG"/>
        </w:rPr>
        <w:t>(ب)</w:t>
      </w:r>
      <w:r>
        <w:rPr>
          <w:rFonts w:hint="cs"/>
          <w:sz w:val="22"/>
          <w:rtl/>
          <w:lang w:val="en-GB" w:bidi="ar-EG"/>
        </w:rPr>
        <w:tab/>
      </w:r>
      <w:r w:rsidR="00B65412">
        <w:rPr>
          <w:rFonts w:hint="cs"/>
          <w:sz w:val="22"/>
          <w:rtl/>
          <w:lang w:val="en-GB" w:bidi="ar-EG"/>
        </w:rPr>
        <w:t>أشار السودان إلى أنهم يخططو</w:t>
      </w:r>
      <w:r w:rsidR="006519BC">
        <w:rPr>
          <w:rFonts w:hint="cs"/>
          <w:sz w:val="22"/>
          <w:rtl/>
          <w:lang w:val="en-GB" w:bidi="ar-EG"/>
        </w:rPr>
        <w:t xml:space="preserve">ن لتنفيذ المادة وفقا لاستراتيجية الحصول تقاسم المنافع التابعة للسلطة الحكومية الدولية المعنية بالتنمية </w:t>
      </w:r>
      <w:r w:rsidR="006519BC">
        <w:rPr>
          <w:sz w:val="22"/>
          <w:lang w:bidi="ar-EG"/>
        </w:rPr>
        <w:t>IGAD)</w:t>
      </w:r>
      <w:r w:rsidR="00B65412" w:rsidRPr="00B65412">
        <w:rPr>
          <w:rFonts w:cs="Times New Roman"/>
          <w:sz w:val="22"/>
          <w:szCs w:val="22"/>
          <w:rtl/>
          <w:lang w:val="en-GB" w:bidi="ar-EG"/>
        </w:rPr>
        <w:t>)</w:t>
      </w:r>
      <w:r w:rsidR="006519BC">
        <w:rPr>
          <w:rFonts w:hint="cs"/>
          <w:sz w:val="22"/>
          <w:rtl/>
          <w:lang w:val="en-GB" w:bidi="ar-EG"/>
        </w:rPr>
        <w:t>؛</w:t>
      </w:r>
    </w:p>
    <w:p w:rsidR="00116AB8" w:rsidRDefault="00116AB8" w:rsidP="00414DE9">
      <w:pPr>
        <w:spacing w:after="100" w:line="192" w:lineRule="auto"/>
        <w:ind w:firstLine="720"/>
        <w:jc w:val="both"/>
        <w:rPr>
          <w:sz w:val="22"/>
          <w:rtl/>
          <w:lang w:val="en-GB" w:bidi="ar-EG"/>
        </w:rPr>
      </w:pPr>
      <w:r>
        <w:rPr>
          <w:rFonts w:hint="cs"/>
          <w:sz w:val="22"/>
          <w:rtl/>
          <w:lang w:val="en-GB" w:bidi="ar-EG"/>
        </w:rPr>
        <w:t>(ج)</w:t>
      </w:r>
      <w:r>
        <w:rPr>
          <w:rFonts w:hint="cs"/>
          <w:sz w:val="22"/>
          <w:rtl/>
          <w:lang w:val="en-GB" w:bidi="ar-EG"/>
        </w:rPr>
        <w:tab/>
      </w:r>
      <w:r w:rsidR="006519BC">
        <w:rPr>
          <w:rFonts w:hint="cs"/>
          <w:sz w:val="22"/>
          <w:rtl/>
          <w:lang w:val="en-GB" w:bidi="ar-EG"/>
        </w:rPr>
        <w:t>أشارت توغو إلى وجود آليات تعزز الروابط التاريخية بين تبادل مختلف المجتمعات</w:t>
      </w:r>
      <w:r w:rsidR="00FA2A72">
        <w:rPr>
          <w:rFonts w:hint="cs"/>
          <w:sz w:val="22"/>
          <w:rtl/>
          <w:lang w:val="en-GB" w:bidi="ar-EG"/>
        </w:rPr>
        <w:t xml:space="preserve"> لنفس القيم الثقافية، مثل شعوب الإيوي الموجودة بين بنن وغانا وتوغو.</w:t>
      </w:r>
    </w:p>
    <w:p w:rsidR="00116AB8" w:rsidRPr="00116AB8" w:rsidRDefault="00116AB8" w:rsidP="007665C5">
      <w:pPr>
        <w:spacing w:after="100" w:line="204" w:lineRule="auto"/>
        <w:jc w:val="both"/>
        <w:rPr>
          <w:i/>
          <w:iCs/>
          <w:sz w:val="22"/>
          <w:lang w:val="en-GB" w:bidi="ar-EG"/>
        </w:rPr>
      </w:pPr>
      <w:r w:rsidRPr="00116AB8">
        <w:rPr>
          <w:rFonts w:hint="cs"/>
          <w:i/>
          <w:iCs/>
          <w:sz w:val="22"/>
          <w:rtl/>
          <w:lang w:val="en-GB" w:bidi="ar-EG"/>
        </w:rPr>
        <w:t>(ب)</w:t>
      </w:r>
      <w:r w:rsidRPr="00116AB8">
        <w:rPr>
          <w:rFonts w:hint="cs"/>
          <w:i/>
          <w:iCs/>
          <w:sz w:val="22"/>
          <w:rtl/>
          <w:lang w:val="en-GB" w:bidi="ar-EG"/>
        </w:rPr>
        <w:tab/>
        <w:t xml:space="preserve">البلدان التي </w:t>
      </w:r>
      <w:r w:rsidR="00CC6917">
        <w:rPr>
          <w:rFonts w:hint="cs"/>
          <w:i/>
          <w:iCs/>
          <w:sz w:val="22"/>
          <w:rtl/>
          <w:lang w:val="en-GB" w:bidi="ar-EG"/>
        </w:rPr>
        <w:t>أجاب</w:t>
      </w:r>
      <w:r w:rsidRPr="00116AB8">
        <w:rPr>
          <w:rFonts w:hint="cs"/>
          <w:i/>
          <w:iCs/>
          <w:sz w:val="22"/>
          <w:rtl/>
          <w:lang w:val="en-GB" w:bidi="ar-EG"/>
        </w:rPr>
        <w:t>ت "لا" أو "غير منطبق"</w:t>
      </w:r>
    </w:p>
    <w:p w:rsidR="00116AB8" w:rsidRDefault="00F25838" w:rsidP="00D027FA">
      <w:pPr>
        <w:numPr>
          <w:ilvl w:val="0"/>
          <w:numId w:val="27"/>
        </w:numPr>
        <w:spacing w:after="100" w:line="204" w:lineRule="auto"/>
        <w:ind w:left="0" w:firstLine="0"/>
        <w:jc w:val="both"/>
        <w:rPr>
          <w:sz w:val="22"/>
          <w:lang w:val="en-GB" w:bidi="ar-EG"/>
        </w:rPr>
      </w:pPr>
      <w:r>
        <w:rPr>
          <w:rFonts w:hint="cs"/>
          <w:sz w:val="22"/>
          <w:rtl/>
          <w:lang w:val="en-GB" w:bidi="ar-EG"/>
        </w:rPr>
        <w:t>ذكر بلد واحد</w:t>
      </w:r>
      <w:r>
        <w:rPr>
          <w:rStyle w:val="FootnoteReference"/>
          <w:sz w:val="22"/>
          <w:rtl/>
          <w:lang w:val="en-GB" w:bidi="ar-EG"/>
        </w:rPr>
        <w:footnoteReference w:id="65"/>
      </w:r>
      <w:r>
        <w:rPr>
          <w:rFonts w:hint="cs"/>
          <w:sz w:val="22"/>
          <w:rtl/>
          <w:lang w:val="en-GB" w:bidi="ar-EG"/>
        </w:rPr>
        <w:t xml:space="preserve"> أنه إذا نشأت الحالة، سيسع</w:t>
      </w:r>
      <w:r w:rsidR="00D027FA">
        <w:rPr>
          <w:rFonts w:hint="cs"/>
          <w:sz w:val="22"/>
          <w:rtl/>
          <w:lang w:val="en-GB" w:bidi="ar-EG"/>
        </w:rPr>
        <w:t>ى</w:t>
      </w:r>
      <w:r>
        <w:rPr>
          <w:rFonts w:hint="cs"/>
          <w:sz w:val="22"/>
          <w:rtl/>
          <w:lang w:val="en-GB" w:bidi="ar-EG"/>
        </w:rPr>
        <w:t xml:space="preserve"> إلى التعاون، وشرح بعض البلدان الأخرى</w:t>
      </w:r>
      <w:r>
        <w:rPr>
          <w:rStyle w:val="FootnoteReference"/>
          <w:sz w:val="22"/>
          <w:lang w:val="en-GB" w:bidi="ar-EG"/>
        </w:rPr>
        <w:footnoteReference w:id="66"/>
      </w:r>
      <w:r>
        <w:rPr>
          <w:rFonts w:hint="cs"/>
          <w:sz w:val="22"/>
          <w:rtl/>
          <w:lang w:val="en-GB" w:bidi="ar-EG"/>
        </w:rPr>
        <w:t xml:space="preserve"> أنهم يخططون لإدراج هذا الجانب في تدابيرهم الخاصة بالحصول وتقاسم المنافع. وفي هذا الصدد، أشار بلد واحد</w:t>
      </w:r>
      <w:r w:rsidR="00FA2A72">
        <w:rPr>
          <w:rStyle w:val="FootnoteReference"/>
          <w:sz w:val="22"/>
          <w:rtl/>
          <w:lang w:val="en-GB" w:bidi="ar-EG"/>
        </w:rPr>
        <w:footnoteReference w:id="67"/>
      </w:r>
      <w:r>
        <w:rPr>
          <w:rFonts w:hint="cs"/>
          <w:sz w:val="22"/>
          <w:rtl/>
          <w:lang w:val="en-GB" w:bidi="ar-EG"/>
        </w:rPr>
        <w:t xml:space="preserve"> أن تنفيذ المادة 11-2 من البروتوكول سيتم وفقا للمبادئ التو</w:t>
      </w:r>
      <w:r w:rsidR="00FA2A72">
        <w:rPr>
          <w:rFonts w:hint="cs"/>
          <w:sz w:val="22"/>
          <w:rtl/>
          <w:lang w:val="en-GB" w:bidi="ar-EG"/>
        </w:rPr>
        <w:t>ج</w:t>
      </w:r>
      <w:r>
        <w:rPr>
          <w:rFonts w:hint="cs"/>
          <w:sz w:val="22"/>
          <w:rtl/>
          <w:lang w:val="en-GB" w:bidi="ar-EG"/>
        </w:rPr>
        <w:t>يهية للتنفيذ المنسق لبروتوك</w:t>
      </w:r>
      <w:r w:rsidR="00D027FA">
        <w:rPr>
          <w:rFonts w:hint="cs"/>
          <w:sz w:val="22"/>
          <w:rtl/>
          <w:lang w:val="en-GB" w:bidi="ar-EG"/>
        </w:rPr>
        <w:t xml:space="preserve">ول ناغويا في الاتحاد الأفريقي. </w:t>
      </w:r>
      <w:r w:rsidR="00FA2A72">
        <w:rPr>
          <w:rFonts w:hint="cs"/>
          <w:sz w:val="22"/>
          <w:rtl/>
          <w:lang w:val="en-GB" w:bidi="ar-EG"/>
        </w:rPr>
        <w:t>وبالإضافة إلى ذلك، حدد بلد آخر</w:t>
      </w:r>
      <w:r w:rsidR="00FA2A72">
        <w:rPr>
          <w:rStyle w:val="FootnoteReference"/>
          <w:sz w:val="22"/>
          <w:rtl/>
          <w:lang w:val="en-GB" w:bidi="ar-EG"/>
        </w:rPr>
        <w:footnoteReference w:id="68"/>
      </w:r>
      <w:r w:rsidR="00FA2A72">
        <w:rPr>
          <w:rFonts w:hint="cs"/>
          <w:sz w:val="22"/>
          <w:rtl/>
          <w:lang w:val="en-GB" w:bidi="ar-EG"/>
        </w:rPr>
        <w:t xml:space="preserve"> الاستراتيجية الإقليمية للجنة غابات </w:t>
      </w:r>
      <w:r w:rsidR="00D027FA">
        <w:rPr>
          <w:rFonts w:hint="cs"/>
          <w:sz w:val="22"/>
          <w:rtl/>
          <w:lang w:val="en-GB" w:bidi="ar-EG"/>
        </w:rPr>
        <w:t xml:space="preserve">وسط </w:t>
      </w:r>
      <w:r w:rsidR="00FA2A72">
        <w:rPr>
          <w:rFonts w:hint="cs"/>
          <w:sz w:val="22"/>
          <w:rtl/>
          <w:lang w:val="en-GB" w:bidi="ar-EG"/>
        </w:rPr>
        <w:t xml:space="preserve">أفريقيا ومعاهدة إنشاء جماعة شرق أفريقيا كأطر </w:t>
      </w:r>
      <w:r w:rsidR="00D027FA">
        <w:rPr>
          <w:rFonts w:hint="cs"/>
          <w:sz w:val="22"/>
          <w:rtl/>
          <w:lang w:val="en-GB" w:bidi="ar-EG"/>
        </w:rPr>
        <w:t>ذات</w:t>
      </w:r>
      <w:r w:rsidR="00FA2A72">
        <w:rPr>
          <w:rFonts w:hint="cs"/>
          <w:sz w:val="22"/>
          <w:rtl/>
          <w:lang w:val="en-GB" w:bidi="ar-EG"/>
        </w:rPr>
        <w:t xml:space="preserve"> صلة للنظر في هذا المسألة.</w:t>
      </w:r>
    </w:p>
    <w:p w:rsidR="00116AB8" w:rsidRDefault="00FA2A72" w:rsidP="007665C5">
      <w:pPr>
        <w:numPr>
          <w:ilvl w:val="0"/>
          <w:numId w:val="27"/>
        </w:numPr>
        <w:spacing w:after="100" w:line="204" w:lineRule="auto"/>
        <w:ind w:left="0" w:firstLine="0"/>
        <w:jc w:val="both"/>
        <w:rPr>
          <w:sz w:val="22"/>
          <w:lang w:val="en-GB" w:bidi="ar-EG"/>
        </w:rPr>
      </w:pPr>
      <w:r>
        <w:rPr>
          <w:rFonts w:hint="cs"/>
          <w:sz w:val="22"/>
          <w:rtl/>
          <w:lang w:val="en-GB" w:bidi="ar-EG"/>
        </w:rPr>
        <w:t>ولاحظ بلدان اثنان</w:t>
      </w:r>
      <w:r>
        <w:rPr>
          <w:rStyle w:val="FootnoteReference"/>
          <w:sz w:val="22"/>
          <w:rtl/>
          <w:lang w:val="en-GB" w:bidi="ar-EG"/>
        </w:rPr>
        <w:footnoteReference w:id="69"/>
      </w:r>
      <w:r>
        <w:rPr>
          <w:rFonts w:hint="cs"/>
          <w:sz w:val="22"/>
          <w:rtl/>
          <w:lang w:val="en-GB" w:bidi="ar-EG"/>
        </w:rPr>
        <w:t xml:space="preserve"> أن الحالة لم تنشأ </w:t>
      </w:r>
      <w:r w:rsidR="00D027FA">
        <w:rPr>
          <w:rFonts w:hint="cs"/>
          <w:sz w:val="22"/>
          <w:rtl/>
          <w:lang w:val="en-GB" w:bidi="ar-EG"/>
        </w:rPr>
        <w:t xml:space="preserve">بعد </w:t>
      </w:r>
      <w:r>
        <w:rPr>
          <w:rFonts w:hint="cs"/>
          <w:sz w:val="22"/>
          <w:rtl/>
          <w:lang w:val="en-GB" w:bidi="ar-EG"/>
        </w:rPr>
        <w:t>وأشار بلدان آخران</w:t>
      </w:r>
      <w:r>
        <w:rPr>
          <w:rStyle w:val="FootnoteReference"/>
          <w:sz w:val="22"/>
          <w:rtl/>
          <w:lang w:val="en-GB" w:bidi="ar-EG"/>
        </w:rPr>
        <w:footnoteReference w:id="70"/>
      </w:r>
      <w:r>
        <w:rPr>
          <w:rFonts w:hint="cs"/>
          <w:sz w:val="22"/>
          <w:rtl/>
          <w:lang w:val="en-GB" w:bidi="ar-EG"/>
        </w:rPr>
        <w:t xml:space="preserve"> إلى أنهما يتعاونان بالفعل في هذا الجانب.</w:t>
      </w:r>
    </w:p>
    <w:p w:rsidR="00116AB8" w:rsidRPr="00FA2A72" w:rsidRDefault="00E406EC" w:rsidP="007665C5">
      <w:pPr>
        <w:spacing w:after="100" w:line="204" w:lineRule="auto"/>
        <w:jc w:val="center"/>
        <w:rPr>
          <w:i/>
          <w:iCs/>
          <w:sz w:val="24"/>
          <w:lang w:val="en-GB"/>
        </w:rPr>
      </w:pPr>
      <w:r w:rsidRPr="00FA2A72">
        <w:rPr>
          <w:rFonts w:hint="cs"/>
          <w:i/>
          <w:iCs/>
          <w:sz w:val="24"/>
          <w:rtl/>
          <w:lang w:val="en-GB" w:bidi="ar-EG"/>
        </w:rPr>
        <w:t>3 -</w:t>
      </w:r>
      <w:r w:rsidRPr="00FA2A72">
        <w:rPr>
          <w:rFonts w:hint="cs"/>
          <w:i/>
          <w:iCs/>
          <w:sz w:val="24"/>
          <w:rtl/>
          <w:lang w:val="en-GB" w:bidi="ar-EG"/>
        </w:rPr>
        <w:tab/>
        <w:t xml:space="preserve">معلومات إضافية: </w:t>
      </w:r>
      <w:r w:rsidRPr="00FA2A72">
        <w:rPr>
          <w:i/>
          <w:iCs/>
          <w:sz w:val="24"/>
          <w:rtl/>
        </w:rPr>
        <w:t>موجز للصعوبات والتحديات الرئيسي</w:t>
      </w:r>
      <w:r w:rsidRPr="00FA2A72">
        <w:rPr>
          <w:rFonts w:hint="cs"/>
          <w:i/>
          <w:iCs/>
          <w:sz w:val="24"/>
          <w:rtl/>
        </w:rPr>
        <w:t>ة (السؤال 50)</w:t>
      </w:r>
    </w:p>
    <w:p w:rsidR="00116AB8" w:rsidRDefault="007B5FDD" w:rsidP="007665C5">
      <w:pPr>
        <w:numPr>
          <w:ilvl w:val="0"/>
          <w:numId w:val="27"/>
        </w:numPr>
        <w:spacing w:after="100" w:line="204" w:lineRule="auto"/>
        <w:ind w:left="0" w:firstLine="0"/>
        <w:jc w:val="both"/>
        <w:rPr>
          <w:sz w:val="22"/>
          <w:lang w:val="en-GB" w:bidi="ar-EG"/>
        </w:rPr>
      </w:pPr>
      <w:r>
        <w:rPr>
          <w:rFonts w:hint="cs"/>
          <w:sz w:val="22"/>
          <w:rtl/>
          <w:lang w:val="en-GB" w:bidi="ar-EG"/>
        </w:rPr>
        <w:t xml:space="preserve">أجاب ما مجموعه 21 بلدا على هذا السؤال. وبالإضافة إلى الصعوبات المتعددة القطاعات المحددة بخصوص تنفيذ عدد من الجوانب المختلفة للبروتوكول (مثل </w:t>
      </w:r>
      <w:r w:rsidR="009715CE">
        <w:rPr>
          <w:rFonts w:hint="cs"/>
          <w:sz w:val="22"/>
          <w:rtl/>
          <w:lang w:val="en-GB" w:bidi="ar-EG"/>
        </w:rPr>
        <w:t>الافتقار إلى القدرات والموارد المالية، والحاجة إلى زيادة التوعية، وغيرها)، أشار بعض البلدان إلى أنه من الصعب تنفيذ هذه المادة لأن البلدان تتقدم في تنفيذ البروتوكول على نحو مختلف وباستخدام نُهج مختلفة في تشريعاتها، ولاحظ البعض أن الكثير من البلدان لم تصدق بعد على البروتوكول.</w:t>
      </w:r>
    </w:p>
    <w:p w:rsidR="00116AB8" w:rsidRDefault="009715CE" w:rsidP="007665C5">
      <w:pPr>
        <w:numPr>
          <w:ilvl w:val="0"/>
          <w:numId w:val="27"/>
        </w:numPr>
        <w:spacing w:after="100" w:line="204" w:lineRule="auto"/>
        <w:ind w:left="0" w:firstLine="0"/>
        <w:jc w:val="both"/>
        <w:rPr>
          <w:sz w:val="22"/>
          <w:lang w:val="en-GB" w:bidi="ar-EG"/>
        </w:rPr>
      </w:pPr>
      <w:r>
        <w:rPr>
          <w:rFonts w:hint="cs"/>
          <w:sz w:val="22"/>
          <w:rtl/>
          <w:lang w:val="en-GB" w:bidi="ar-EG"/>
        </w:rPr>
        <w:t>ولاحظ بعض البلدان أن تعزيز قدرات الهياكل الإقليمية سيكون ضروريا بهدف تمكينها من تنسيق تنفيذ البروتوكول. وفي هذا الصدد، أشار بلد واحد إلى أن السياسات الإقليمية للحصول وتقاسم المنافع لم تكن منفذة بالكامل على المستوى الوطني. ولاحظ عدد من البلدان الحاجة إلى موارد مالية لدعم التعاون عبر الحدود.</w:t>
      </w:r>
    </w:p>
    <w:p w:rsidR="00116AB8" w:rsidRDefault="009715CE" w:rsidP="006264C9">
      <w:pPr>
        <w:numPr>
          <w:ilvl w:val="0"/>
          <w:numId w:val="27"/>
        </w:numPr>
        <w:spacing w:after="100" w:line="204" w:lineRule="auto"/>
        <w:ind w:left="0" w:firstLine="0"/>
        <w:jc w:val="both"/>
        <w:rPr>
          <w:sz w:val="22"/>
          <w:lang w:val="en-GB" w:bidi="ar-EG"/>
        </w:rPr>
      </w:pPr>
      <w:r>
        <w:rPr>
          <w:rFonts w:hint="cs"/>
          <w:sz w:val="22"/>
          <w:rtl/>
          <w:lang w:val="en-GB" w:bidi="ar-EG"/>
        </w:rPr>
        <w:t>وأشار بعض البلدان إلى عدم تحديد حالات للحصول على الموارد الجينية أو ما يرتبط بها من معارف تقليدية حتى الآن في إقليم أكثر من بلد واحد، وأن هناك حاجة إلى اكتساب خبرة أكبر في هذه</w:t>
      </w:r>
      <w:r w:rsidR="00705EDC">
        <w:rPr>
          <w:rFonts w:hint="cs"/>
          <w:sz w:val="22"/>
          <w:rtl/>
          <w:lang w:val="en-GB" w:bidi="ar-EG"/>
        </w:rPr>
        <w:t xml:space="preserve"> </w:t>
      </w:r>
      <w:r>
        <w:rPr>
          <w:rFonts w:hint="cs"/>
          <w:sz w:val="22"/>
          <w:rtl/>
          <w:lang w:val="en-GB" w:bidi="ar-EG"/>
        </w:rPr>
        <w:t xml:space="preserve">المسألة. وسلط الضوء على أهمية تشارك المعلومات والخبرات. ورأى </w:t>
      </w:r>
      <w:r w:rsidR="006264C9">
        <w:rPr>
          <w:rFonts w:hint="cs"/>
          <w:sz w:val="22"/>
          <w:rtl/>
          <w:lang w:val="en-GB" w:bidi="ar-EG"/>
        </w:rPr>
        <w:t>بلد واحد</w:t>
      </w:r>
      <w:r>
        <w:rPr>
          <w:rFonts w:hint="cs"/>
          <w:sz w:val="22"/>
          <w:rtl/>
          <w:lang w:val="en-GB" w:bidi="ar-EG"/>
        </w:rPr>
        <w:t xml:space="preserve"> أن الخبرات المكتسبة في مشروعات دون إقليمية وثنائية أخرى ستكون أكثر أهمية للمساعدة في تنفيذ المادة 11 من بروتوكول ناغويا.</w:t>
      </w:r>
    </w:p>
    <w:p w:rsidR="00116AB8" w:rsidRDefault="00705EDC" w:rsidP="006264C9">
      <w:pPr>
        <w:numPr>
          <w:ilvl w:val="0"/>
          <w:numId w:val="27"/>
        </w:numPr>
        <w:spacing w:after="100" w:line="204" w:lineRule="auto"/>
        <w:ind w:left="0" w:firstLine="0"/>
        <w:jc w:val="both"/>
        <w:rPr>
          <w:sz w:val="22"/>
          <w:lang w:val="en-GB" w:bidi="ar-EG"/>
        </w:rPr>
      </w:pPr>
      <w:r>
        <w:rPr>
          <w:rFonts w:hint="cs"/>
          <w:sz w:val="22"/>
          <w:rtl/>
          <w:lang w:val="en-GB" w:bidi="ar-EG"/>
        </w:rPr>
        <w:t>وذكر عدد من البلدان أيضا الحاجة إلى تحديد وتوثيق المعارف التقليدية المتبادلة، وأشار بلد واحد إلى أن معارف</w:t>
      </w:r>
      <w:r w:rsidR="006264C9">
        <w:rPr>
          <w:rFonts w:hint="cs"/>
          <w:sz w:val="22"/>
          <w:rtl/>
          <w:lang w:val="en-GB" w:bidi="ar-EG"/>
        </w:rPr>
        <w:t>ه</w:t>
      </w:r>
      <w:r>
        <w:rPr>
          <w:rFonts w:hint="cs"/>
          <w:sz w:val="22"/>
          <w:rtl/>
          <w:lang w:val="en-GB" w:bidi="ar-EG"/>
        </w:rPr>
        <w:t xml:space="preserve"> التقليدية المرتبطة بالموارد الجينية قد تم توثيقها جزئيا بالفعل أو نشرها على نطاق واسع</w:t>
      </w:r>
      <w:r w:rsidR="006264C9">
        <w:rPr>
          <w:rFonts w:hint="cs"/>
          <w:sz w:val="22"/>
          <w:rtl/>
          <w:lang w:val="en-GB" w:bidi="ar-EG"/>
        </w:rPr>
        <w:t>.</w:t>
      </w:r>
    </w:p>
    <w:p w:rsidR="00E406EC" w:rsidRPr="00E406EC" w:rsidRDefault="00E406EC" w:rsidP="00D027FA">
      <w:pPr>
        <w:keepNext/>
        <w:spacing w:after="100" w:line="204" w:lineRule="auto"/>
        <w:ind w:left="1440" w:hanging="720"/>
        <w:jc w:val="both"/>
        <w:rPr>
          <w:b/>
          <w:bCs/>
          <w:sz w:val="28"/>
          <w:szCs w:val="28"/>
          <w:lang w:val="en-GB" w:bidi="ar-EG"/>
        </w:rPr>
      </w:pPr>
      <w:r w:rsidRPr="00E406EC">
        <w:rPr>
          <w:rFonts w:hint="cs"/>
          <w:b/>
          <w:bCs/>
          <w:sz w:val="28"/>
          <w:szCs w:val="28"/>
          <w:rtl/>
          <w:lang w:val="en-GB" w:bidi="ar-EG"/>
        </w:rPr>
        <w:lastRenderedPageBreak/>
        <w:t>ثانيا -</w:t>
      </w:r>
      <w:r w:rsidRPr="00E406EC">
        <w:rPr>
          <w:rFonts w:hint="cs"/>
          <w:b/>
          <w:bCs/>
          <w:sz w:val="28"/>
          <w:szCs w:val="28"/>
          <w:rtl/>
          <w:lang w:val="en-GB" w:bidi="ar-EG"/>
        </w:rPr>
        <w:tab/>
        <w:t xml:space="preserve">معلومات عن </w:t>
      </w:r>
      <w:r w:rsidR="00D46EAB" w:rsidRPr="00D46EAB">
        <w:rPr>
          <w:rFonts w:hint="cs"/>
          <w:b/>
          <w:bCs/>
          <w:i/>
          <w:sz w:val="28"/>
          <w:szCs w:val="28"/>
          <w:rtl/>
          <w:lang w:bidi="ar-EG"/>
        </w:rPr>
        <w:t>الأوضاع التي لا يمكن في ظلها منح أو الحصول على الموافقة المسبقة عن علم فيما يتعلق بالموارد الجينية في المواقع الطبيعية وخارجها</w:t>
      </w:r>
    </w:p>
    <w:p w:rsidR="00E406EC" w:rsidRDefault="00705EDC" w:rsidP="007665C5">
      <w:pPr>
        <w:numPr>
          <w:ilvl w:val="0"/>
          <w:numId w:val="27"/>
        </w:numPr>
        <w:spacing w:after="100" w:line="204" w:lineRule="auto"/>
        <w:ind w:left="0" w:firstLine="0"/>
        <w:jc w:val="both"/>
        <w:rPr>
          <w:sz w:val="22"/>
          <w:lang w:val="en-GB" w:bidi="ar-EG"/>
        </w:rPr>
      </w:pPr>
      <w:r>
        <w:rPr>
          <w:rFonts w:hint="cs"/>
          <w:sz w:val="22"/>
          <w:rtl/>
          <w:lang w:val="en-GB" w:bidi="ar-EG"/>
        </w:rPr>
        <w:t xml:space="preserve">عملا للفقرة 4 من المقرر </w:t>
      </w:r>
      <w:r>
        <w:rPr>
          <w:sz w:val="22"/>
          <w:lang w:bidi="ar-EG"/>
        </w:rPr>
        <w:t>NP-2/10</w:t>
      </w:r>
      <w:r>
        <w:rPr>
          <w:rFonts w:hint="cs"/>
          <w:sz w:val="22"/>
          <w:rtl/>
          <w:lang w:val="en-GB" w:bidi="ar-EG"/>
        </w:rPr>
        <w:t>، عرض عدد من التقديمات آراء ومعلومات عن ال</w:t>
      </w:r>
      <w:r w:rsidR="003E5E6C">
        <w:rPr>
          <w:rFonts w:hint="cs"/>
          <w:sz w:val="22"/>
          <w:rtl/>
          <w:lang w:val="en-GB" w:bidi="ar-EG"/>
        </w:rPr>
        <w:t>أوضاع</w:t>
      </w:r>
      <w:r>
        <w:rPr>
          <w:rFonts w:hint="cs"/>
          <w:sz w:val="22"/>
          <w:rtl/>
          <w:lang w:val="en-GB" w:bidi="ar-EG"/>
        </w:rPr>
        <w:t xml:space="preserve"> التي لا يمكن في ظلها منح أو الحصول على الموافقة السمبقة عن علم.</w:t>
      </w:r>
    </w:p>
    <w:p w:rsidR="00E406EC" w:rsidRDefault="003E5E6C" w:rsidP="007665C5">
      <w:pPr>
        <w:numPr>
          <w:ilvl w:val="0"/>
          <w:numId w:val="27"/>
        </w:numPr>
        <w:spacing w:after="100" w:line="204" w:lineRule="auto"/>
        <w:ind w:left="0" w:firstLine="0"/>
        <w:jc w:val="both"/>
        <w:rPr>
          <w:sz w:val="22"/>
          <w:lang w:val="en-GB" w:bidi="ar-EG"/>
        </w:rPr>
      </w:pPr>
      <w:r>
        <w:rPr>
          <w:rFonts w:hint="cs"/>
          <w:sz w:val="22"/>
          <w:rtl/>
          <w:lang w:val="en-GB" w:bidi="ar-EG"/>
        </w:rPr>
        <w:t>وأشار 4 تقديمات</w:t>
      </w:r>
      <w:r w:rsidR="00D62D9B">
        <w:rPr>
          <w:rStyle w:val="FootnoteReference"/>
          <w:sz w:val="22"/>
          <w:rtl/>
          <w:lang w:val="en-GB" w:bidi="ar-EG"/>
        </w:rPr>
        <w:footnoteReference w:id="71"/>
      </w:r>
      <w:r>
        <w:rPr>
          <w:rFonts w:hint="cs"/>
          <w:sz w:val="22"/>
          <w:rtl/>
          <w:lang w:val="en-GB" w:bidi="ar-EG"/>
        </w:rPr>
        <w:t xml:space="preserve"> إلى أنهم لم يحددوا أي أوضاع </w:t>
      </w:r>
      <w:r w:rsidR="00D62D9B">
        <w:rPr>
          <w:rFonts w:hint="cs"/>
          <w:sz w:val="22"/>
          <w:rtl/>
          <w:lang w:val="en-GB" w:bidi="ar-EG"/>
        </w:rPr>
        <w:t>لم يكن من الممكن في ظلها منح أو الحصول على الموافقة السمبقة عن علم. وأقر واحد من هذه التقديمات</w:t>
      </w:r>
      <w:r w:rsidR="00D62D9B">
        <w:rPr>
          <w:rStyle w:val="FootnoteReference"/>
          <w:sz w:val="22"/>
          <w:rtl/>
          <w:lang w:val="en-GB" w:bidi="ar-EG"/>
        </w:rPr>
        <w:footnoteReference w:id="72"/>
      </w:r>
      <w:r w:rsidR="00D62D9B">
        <w:rPr>
          <w:rFonts w:hint="cs"/>
          <w:sz w:val="22"/>
          <w:rtl/>
          <w:lang w:val="en-GB" w:bidi="ar-EG"/>
        </w:rPr>
        <w:t xml:space="preserve"> بأنه قد يكون هناك مشاكل عملية للحصول على الموافقة المسبقة عن علم ذات الصلة بالتحديات المواجهة في </w:t>
      </w:r>
      <w:r w:rsidR="006264C9">
        <w:rPr>
          <w:rFonts w:hint="cs"/>
          <w:sz w:val="22"/>
          <w:rtl/>
          <w:lang w:val="en-GB" w:bidi="ar-EG"/>
        </w:rPr>
        <w:t>ال</w:t>
      </w:r>
      <w:r w:rsidR="00D62D9B">
        <w:rPr>
          <w:rFonts w:hint="cs"/>
          <w:sz w:val="22"/>
          <w:rtl/>
          <w:lang w:val="en-GB" w:bidi="ar-EG"/>
        </w:rPr>
        <w:t>تنفيذ ا</w:t>
      </w:r>
      <w:r w:rsidR="006264C9">
        <w:rPr>
          <w:rFonts w:hint="cs"/>
          <w:sz w:val="22"/>
          <w:rtl/>
          <w:lang w:val="en-GB" w:bidi="ar-EG"/>
        </w:rPr>
        <w:t>لوطني ل</w:t>
      </w:r>
      <w:r w:rsidR="00D62D9B">
        <w:rPr>
          <w:rFonts w:hint="cs"/>
          <w:sz w:val="22"/>
          <w:rtl/>
          <w:lang w:val="en-GB" w:bidi="ar-EG"/>
        </w:rPr>
        <w:t xml:space="preserve">لبروتوكول ولكنه لم يرى أن ذلك يتصل بالمادة 10. </w:t>
      </w:r>
      <w:r w:rsidR="00EA0035">
        <w:rPr>
          <w:rFonts w:hint="cs"/>
          <w:sz w:val="22"/>
          <w:rtl/>
          <w:lang w:val="en-GB" w:bidi="ar-EG"/>
        </w:rPr>
        <w:t>وقدم أحد الأطراف</w:t>
      </w:r>
      <w:r w:rsidR="00EA0035">
        <w:rPr>
          <w:rStyle w:val="FootnoteReference"/>
          <w:sz w:val="22"/>
          <w:rtl/>
          <w:lang w:val="en-GB" w:bidi="ar-EG"/>
        </w:rPr>
        <w:footnoteReference w:id="73"/>
      </w:r>
      <w:r w:rsidR="00EA0035">
        <w:rPr>
          <w:rFonts w:hint="cs"/>
          <w:sz w:val="22"/>
          <w:rtl/>
          <w:lang w:val="en-GB" w:bidi="ar-EG"/>
        </w:rPr>
        <w:t xml:space="preserve"> مثالا "لمبادئه التوجيهية للحصول على الموارد البيولوجية وما يرتبط بها من معارف تقليدية وقواعد تقاسم</w:t>
      </w:r>
      <w:r w:rsidR="001C666F">
        <w:rPr>
          <w:rFonts w:hint="cs"/>
          <w:sz w:val="22"/>
          <w:rtl/>
          <w:lang w:val="en-GB" w:bidi="ar-EG"/>
        </w:rPr>
        <w:t xml:space="preserve"> </w:t>
      </w:r>
      <w:r w:rsidR="00EA0035">
        <w:rPr>
          <w:rFonts w:hint="cs"/>
          <w:sz w:val="22"/>
          <w:rtl/>
          <w:lang w:val="en-GB" w:bidi="ar-EG"/>
        </w:rPr>
        <w:t>المنافع، 2014" التي تم الإبلاغ عنها في إطار قانون التنوع البيولوجي. وتنص هذه المبادئ التوجيهية على أنه، في الحالات التي</w:t>
      </w:r>
      <w:r w:rsidR="006264C9">
        <w:rPr>
          <w:rFonts w:hint="cs"/>
          <w:sz w:val="22"/>
          <w:rtl/>
          <w:lang w:val="en-GB" w:bidi="ar-EG"/>
        </w:rPr>
        <w:t xml:space="preserve"> لم يحدد فيها المنتفعون، سيتم ا</w:t>
      </w:r>
      <w:r w:rsidR="00EA0035">
        <w:rPr>
          <w:rFonts w:hint="cs"/>
          <w:sz w:val="22"/>
          <w:rtl/>
          <w:lang w:val="en-GB" w:bidi="ar-EG"/>
        </w:rPr>
        <w:t>ستعمال المنافع النقدية المكتسبة من الاستخدام التجاري لدعم الحفظ والاستخدام المستدام وللنهوض بسبل عيش الشعوب المحلية التي تعيش في المنطقة التي تم الحصول فيها على الموارد البيولوجية.</w:t>
      </w:r>
    </w:p>
    <w:p w:rsidR="00E406EC" w:rsidRDefault="00EA0035" w:rsidP="006264C9">
      <w:pPr>
        <w:numPr>
          <w:ilvl w:val="0"/>
          <w:numId w:val="27"/>
        </w:numPr>
        <w:spacing w:after="100" w:line="204" w:lineRule="auto"/>
        <w:ind w:left="0" w:firstLine="0"/>
        <w:jc w:val="both"/>
        <w:rPr>
          <w:sz w:val="22"/>
          <w:lang w:val="en-GB" w:bidi="ar-EG"/>
        </w:rPr>
      </w:pPr>
      <w:r>
        <w:rPr>
          <w:rFonts w:hint="cs"/>
          <w:sz w:val="22"/>
          <w:rtl/>
          <w:lang w:val="en-GB" w:bidi="ar-EG"/>
        </w:rPr>
        <w:t>واقترح طرف آخر</w:t>
      </w:r>
      <w:r>
        <w:rPr>
          <w:rStyle w:val="FootnoteReference"/>
          <w:sz w:val="22"/>
          <w:rtl/>
          <w:lang w:val="en-GB" w:bidi="ar-EG"/>
        </w:rPr>
        <w:footnoteReference w:id="74"/>
      </w:r>
      <w:r>
        <w:rPr>
          <w:rFonts w:hint="cs"/>
          <w:sz w:val="22"/>
          <w:rtl/>
          <w:lang w:val="en-GB" w:bidi="ar-EG"/>
        </w:rPr>
        <w:t xml:space="preserve"> بعض الأوضاع الافتراضية التي لا يمكن في ظلها منح أو الحصول على الموافقة المسبقة عن علم: (أ) إذا سعي إلى الحصول على مورد جيني خارج المو</w:t>
      </w:r>
      <w:r w:rsidR="006264C9">
        <w:rPr>
          <w:rFonts w:hint="cs"/>
          <w:sz w:val="22"/>
          <w:rtl/>
          <w:lang w:val="en-GB" w:bidi="ar-EG"/>
        </w:rPr>
        <w:t>ق</w:t>
      </w:r>
      <w:r>
        <w:rPr>
          <w:rFonts w:hint="cs"/>
          <w:sz w:val="22"/>
          <w:rtl/>
          <w:lang w:val="en-GB" w:bidi="ar-EG"/>
        </w:rPr>
        <w:t xml:space="preserve">ع الطبيعي، </w:t>
      </w:r>
      <w:r w:rsidR="001C666F">
        <w:rPr>
          <w:rFonts w:hint="cs"/>
          <w:sz w:val="22"/>
          <w:rtl/>
          <w:lang w:val="en-GB" w:bidi="ar-EG"/>
        </w:rPr>
        <w:t>و</w:t>
      </w:r>
      <w:r>
        <w:rPr>
          <w:rFonts w:hint="cs"/>
          <w:sz w:val="22"/>
          <w:rtl/>
          <w:lang w:val="en-GB" w:bidi="ar-EG"/>
        </w:rPr>
        <w:t xml:space="preserve">نتيجة </w:t>
      </w:r>
      <w:r w:rsidR="001C666F">
        <w:rPr>
          <w:rFonts w:hint="cs"/>
          <w:sz w:val="22"/>
          <w:rtl/>
          <w:lang w:val="en-GB" w:bidi="ar-EG"/>
        </w:rPr>
        <w:t xml:space="preserve">لتاريخ الإيداع، لم تكن هناك معلومات دقيقة عن بلد منشأ المورد الجيني؛ (ب) إذا سعي الحصول على المعارف التقليدية المرتبطة بالموارد الجينية ولكن الحائزون الأصليون لمثل هذه المعارف هم شعوب أصلية أو مجتمعات محلية </w:t>
      </w:r>
      <w:r w:rsidR="006264C9">
        <w:rPr>
          <w:rFonts w:hint="cs"/>
          <w:sz w:val="22"/>
          <w:rtl/>
          <w:lang w:val="en-GB" w:bidi="ar-EG"/>
        </w:rPr>
        <w:t xml:space="preserve">أصبحت </w:t>
      </w:r>
      <w:r w:rsidR="001C666F">
        <w:rPr>
          <w:rFonts w:hint="cs"/>
          <w:sz w:val="22"/>
          <w:rtl/>
          <w:lang w:val="en-GB" w:bidi="ar-EG"/>
        </w:rPr>
        <w:t xml:space="preserve">منقرضة؛ (ج) إذا سعي الحصول على الحمض النووي أو الحمض الريبي النووي </w:t>
      </w:r>
      <w:r w:rsidR="006264C9">
        <w:rPr>
          <w:rFonts w:hint="cs"/>
          <w:sz w:val="22"/>
          <w:rtl/>
          <w:lang w:val="en-GB" w:bidi="ar-EG"/>
        </w:rPr>
        <w:t xml:space="preserve">النقي </w:t>
      </w:r>
      <w:r w:rsidR="001C666F">
        <w:rPr>
          <w:rFonts w:hint="cs"/>
          <w:sz w:val="22"/>
          <w:rtl/>
          <w:lang w:val="en-GB" w:bidi="ar-EG"/>
        </w:rPr>
        <w:t>الذي يمتلكه أحد الأطراف التي لا تكون لديها توثيق</w:t>
      </w:r>
      <w:r w:rsidR="006264C9">
        <w:rPr>
          <w:rFonts w:hint="cs"/>
          <w:sz w:val="22"/>
          <w:rtl/>
          <w:lang w:val="en-GB" w:bidi="ar-EG"/>
        </w:rPr>
        <w:t>ا</w:t>
      </w:r>
      <w:r w:rsidR="001C666F">
        <w:rPr>
          <w:rFonts w:hint="cs"/>
          <w:sz w:val="22"/>
          <w:rtl/>
          <w:lang w:val="en-GB" w:bidi="ar-EG"/>
        </w:rPr>
        <w:t xml:space="preserve"> </w:t>
      </w:r>
      <w:r w:rsidR="006264C9">
        <w:rPr>
          <w:rFonts w:hint="cs"/>
          <w:sz w:val="22"/>
          <w:rtl/>
          <w:lang w:val="en-GB" w:bidi="ar-EG"/>
        </w:rPr>
        <w:t xml:space="preserve">دقيقا </w:t>
      </w:r>
      <w:r w:rsidR="001C666F">
        <w:rPr>
          <w:rFonts w:hint="cs"/>
          <w:sz w:val="22"/>
          <w:rtl/>
          <w:lang w:val="en-GB" w:bidi="ar-EG"/>
        </w:rPr>
        <w:t>عن منشأ المادة الجينية المعنية.</w:t>
      </w:r>
    </w:p>
    <w:p w:rsidR="00E406EC" w:rsidRDefault="001C666F" w:rsidP="006264C9">
      <w:pPr>
        <w:numPr>
          <w:ilvl w:val="0"/>
          <w:numId w:val="27"/>
        </w:numPr>
        <w:spacing w:after="100" w:line="204" w:lineRule="auto"/>
        <w:ind w:left="0" w:firstLine="0"/>
        <w:jc w:val="both"/>
        <w:rPr>
          <w:sz w:val="22"/>
          <w:lang w:val="en-GB" w:bidi="ar-EG"/>
        </w:rPr>
      </w:pPr>
      <w:r>
        <w:rPr>
          <w:rFonts w:hint="cs"/>
          <w:sz w:val="22"/>
          <w:rtl/>
          <w:lang w:val="en-GB" w:bidi="ar-EG"/>
        </w:rPr>
        <w:t>وقدم عدد من منظمات البحوث والمجموعات خارج المو</w:t>
      </w:r>
      <w:r w:rsidR="006264C9">
        <w:rPr>
          <w:rFonts w:hint="cs"/>
          <w:sz w:val="22"/>
          <w:rtl/>
          <w:lang w:val="en-GB" w:bidi="ar-EG"/>
        </w:rPr>
        <w:t>ق</w:t>
      </w:r>
      <w:r>
        <w:rPr>
          <w:rFonts w:hint="cs"/>
          <w:sz w:val="22"/>
          <w:rtl/>
          <w:lang w:val="en-GB" w:bidi="ar-EG"/>
        </w:rPr>
        <w:t>ع الطبيعي معلومات عن خبراتها في الحصول على الموافقة المسبقة عن علم. وتشمل بعض هذه الخبرات ما يلي</w:t>
      </w:r>
      <w:r w:rsidR="00E406EC">
        <w:rPr>
          <w:rFonts w:hint="cs"/>
          <w:sz w:val="22"/>
          <w:rtl/>
          <w:lang w:val="en-GB" w:bidi="ar-EG"/>
        </w:rPr>
        <w:t>:</w:t>
      </w:r>
    </w:p>
    <w:p w:rsidR="00E406EC" w:rsidRDefault="00E406EC" w:rsidP="006264C9">
      <w:pPr>
        <w:spacing w:after="100" w:line="204" w:lineRule="auto"/>
        <w:ind w:firstLine="720"/>
        <w:jc w:val="both"/>
        <w:rPr>
          <w:sz w:val="22"/>
          <w:rtl/>
          <w:lang w:val="en-GB" w:bidi="ar-EG"/>
        </w:rPr>
      </w:pPr>
      <w:r>
        <w:rPr>
          <w:rFonts w:hint="cs"/>
          <w:sz w:val="22"/>
          <w:rtl/>
          <w:lang w:val="en-GB" w:bidi="ar-EG"/>
        </w:rPr>
        <w:t>(أ)</w:t>
      </w:r>
      <w:r>
        <w:rPr>
          <w:rFonts w:hint="cs"/>
          <w:sz w:val="22"/>
          <w:rtl/>
          <w:lang w:val="en-GB" w:bidi="ar-EG"/>
        </w:rPr>
        <w:tab/>
      </w:r>
      <w:r w:rsidR="001C666F">
        <w:rPr>
          <w:rFonts w:hint="cs"/>
          <w:sz w:val="22"/>
          <w:rtl/>
          <w:lang w:val="en-GB" w:bidi="ar-EG"/>
        </w:rPr>
        <w:t>التحديات المواجهة في الحصول على الموافقة المسبقة عن علم والتصاريح ال</w:t>
      </w:r>
      <w:r w:rsidR="006264C9">
        <w:rPr>
          <w:rFonts w:hint="cs"/>
          <w:sz w:val="22"/>
          <w:rtl/>
          <w:lang w:val="en-GB" w:bidi="ar-EG"/>
        </w:rPr>
        <w:t>لا</w:t>
      </w:r>
      <w:r w:rsidR="001C666F">
        <w:rPr>
          <w:rFonts w:hint="cs"/>
          <w:sz w:val="22"/>
          <w:rtl/>
          <w:lang w:val="en-GB" w:bidi="ar-EG"/>
        </w:rPr>
        <w:t xml:space="preserve">زمة نتيجة لغياب التدابير و/أو الترتيبات المؤسسية في بعض البلدان؛ عدم الاستجابة أو تأخيرات طويلة في استلام الاستجابة من نقاط الاتصال الوطنية؛ </w:t>
      </w:r>
      <w:r w:rsidR="00BF63E0">
        <w:rPr>
          <w:rFonts w:hint="cs"/>
          <w:sz w:val="22"/>
          <w:rtl/>
          <w:lang w:val="en-GB" w:bidi="ar-EG"/>
        </w:rPr>
        <w:t>و</w:t>
      </w:r>
      <w:r w:rsidR="001C666F">
        <w:rPr>
          <w:rFonts w:hint="cs"/>
          <w:sz w:val="22"/>
          <w:rtl/>
          <w:lang w:val="en-GB" w:bidi="ar-EG"/>
        </w:rPr>
        <w:t>العمليات للحصول على الموافقة المسبقة عن علم بيروقراطية وتتطلب عدد</w:t>
      </w:r>
      <w:r w:rsidR="00BF63E0">
        <w:rPr>
          <w:rFonts w:hint="cs"/>
          <w:sz w:val="22"/>
          <w:rtl/>
          <w:lang w:val="en-GB" w:bidi="ar-EG"/>
        </w:rPr>
        <w:t>ا</w:t>
      </w:r>
      <w:r w:rsidR="001C666F">
        <w:rPr>
          <w:rFonts w:hint="cs"/>
          <w:sz w:val="22"/>
          <w:rtl/>
          <w:lang w:val="en-GB" w:bidi="ar-EG"/>
        </w:rPr>
        <w:t xml:space="preserve"> من الأشهر؛</w:t>
      </w:r>
      <w:r w:rsidR="001C666F">
        <w:rPr>
          <w:rStyle w:val="FootnoteReference"/>
          <w:sz w:val="22"/>
          <w:rtl/>
          <w:lang w:val="en-GB" w:bidi="ar-EG"/>
        </w:rPr>
        <w:footnoteReference w:id="75"/>
      </w:r>
    </w:p>
    <w:p w:rsidR="00E406EC" w:rsidRDefault="00E406EC" w:rsidP="00BF63E0">
      <w:pPr>
        <w:spacing w:after="100" w:line="204" w:lineRule="auto"/>
        <w:ind w:firstLine="720"/>
        <w:jc w:val="both"/>
        <w:rPr>
          <w:sz w:val="22"/>
          <w:rtl/>
          <w:lang w:val="en-GB" w:bidi="ar-EG"/>
        </w:rPr>
      </w:pPr>
      <w:r>
        <w:rPr>
          <w:rFonts w:hint="cs"/>
          <w:sz w:val="22"/>
          <w:rtl/>
          <w:lang w:val="en-GB" w:bidi="ar-EG"/>
        </w:rPr>
        <w:t>(ب)</w:t>
      </w:r>
      <w:r>
        <w:rPr>
          <w:rFonts w:hint="cs"/>
          <w:sz w:val="22"/>
          <w:rtl/>
          <w:lang w:val="en-GB" w:bidi="ar-EG"/>
        </w:rPr>
        <w:tab/>
      </w:r>
      <w:r w:rsidR="00237533">
        <w:rPr>
          <w:rFonts w:hint="cs"/>
          <w:sz w:val="22"/>
          <w:rtl/>
          <w:lang w:val="en-GB" w:bidi="ar-EG"/>
        </w:rPr>
        <w:t xml:space="preserve">العمل مع الشركاء المحليين </w:t>
      </w:r>
      <w:r w:rsidR="00BF63E0">
        <w:rPr>
          <w:rFonts w:hint="cs"/>
          <w:sz w:val="22"/>
          <w:rtl/>
          <w:lang w:val="en-GB" w:bidi="ar-EG"/>
        </w:rPr>
        <w:t>سهل</w:t>
      </w:r>
      <w:r w:rsidR="00237533">
        <w:rPr>
          <w:rFonts w:hint="cs"/>
          <w:sz w:val="22"/>
          <w:rtl/>
          <w:lang w:val="en-GB" w:bidi="ar-EG"/>
        </w:rPr>
        <w:t xml:space="preserve"> عادة </w:t>
      </w:r>
      <w:r w:rsidR="00BF63E0">
        <w:rPr>
          <w:rFonts w:hint="cs"/>
          <w:sz w:val="22"/>
          <w:rtl/>
          <w:lang w:val="en-GB" w:bidi="ar-EG"/>
        </w:rPr>
        <w:t xml:space="preserve">من </w:t>
      </w:r>
      <w:r w:rsidR="00237533">
        <w:rPr>
          <w:rFonts w:hint="cs"/>
          <w:sz w:val="22"/>
          <w:rtl/>
          <w:lang w:val="en-GB" w:bidi="ar-EG"/>
        </w:rPr>
        <w:t xml:space="preserve">عمليات </w:t>
      </w:r>
      <w:r w:rsidR="00BF63E0">
        <w:rPr>
          <w:rFonts w:hint="cs"/>
          <w:sz w:val="22"/>
          <w:rtl/>
          <w:lang w:val="en-GB" w:bidi="ar-EG"/>
        </w:rPr>
        <w:t>ا</w:t>
      </w:r>
      <w:r w:rsidR="00237533">
        <w:rPr>
          <w:rFonts w:hint="cs"/>
          <w:sz w:val="22"/>
          <w:rtl/>
          <w:lang w:val="en-GB" w:bidi="ar-EG"/>
        </w:rPr>
        <w:t>لحصول على الموافقة المسبقة عن علم؛</w:t>
      </w:r>
      <w:r w:rsidR="00237533">
        <w:rPr>
          <w:rStyle w:val="FootnoteReference"/>
          <w:sz w:val="22"/>
          <w:rtl/>
          <w:lang w:val="en-GB" w:bidi="ar-EG"/>
        </w:rPr>
        <w:footnoteReference w:id="76"/>
      </w:r>
    </w:p>
    <w:p w:rsidR="00E406EC" w:rsidRDefault="00E406EC" w:rsidP="007665C5">
      <w:pPr>
        <w:spacing w:after="100" w:line="204" w:lineRule="auto"/>
        <w:ind w:firstLine="720"/>
        <w:jc w:val="both"/>
        <w:rPr>
          <w:sz w:val="22"/>
          <w:rtl/>
          <w:lang w:val="en-GB" w:bidi="ar-EG"/>
        </w:rPr>
      </w:pPr>
      <w:r>
        <w:rPr>
          <w:rFonts w:hint="cs"/>
          <w:sz w:val="22"/>
          <w:rtl/>
          <w:lang w:val="en-GB" w:bidi="ar-EG"/>
        </w:rPr>
        <w:t>(ج)</w:t>
      </w:r>
      <w:r>
        <w:rPr>
          <w:rFonts w:hint="cs"/>
          <w:sz w:val="22"/>
          <w:rtl/>
          <w:lang w:val="en-GB" w:bidi="ar-EG"/>
        </w:rPr>
        <w:tab/>
      </w:r>
      <w:r w:rsidR="00237533">
        <w:rPr>
          <w:rFonts w:hint="cs"/>
          <w:sz w:val="22"/>
          <w:rtl/>
          <w:lang w:val="en-GB" w:bidi="ar-EG"/>
        </w:rPr>
        <w:t>الحاجة إلى تحديد العينات التي لا يعرف بلد المنشأ</w:t>
      </w:r>
      <w:r w:rsidR="00F41AB4">
        <w:rPr>
          <w:rFonts w:hint="cs"/>
          <w:sz w:val="22"/>
          <w:rtl/>
          <w:lang w:val="en-GB" w:bidi="ar-EG"/>
        </w:rPr>
        <w:t xml:space="preserve"> عنها</w:t>
      </w:r>
      <w:r w:rsidR="00237533">
        <w:rPr>
          <w:rFonts w:hint="cs"/>
          <w:sz w:val="22"/>
          <w:rtl/>
          <w:lang w:val="en-GB" w:bidi="ar-EG"/>
        </w:rPr>
        <w:t>؛</w:t>
      </w:r>
      <w:r w:rsidR="00237533">
        <w:rPr>
          <w:rStyle w:val="FootnoteReference"/>
          <w:sz w:val="22"/>
          <w:rtl/>
          <w:lang w:val="en-GB" w:bidi="ar-EG"/>
        </w:rPr>
        <w:footnoteReference w:id="77"/>
      </w:r>
    </w:p>
    <w:p w:rsidR="00E406EC" w:rsidRDefault="00E406EC" w:rsidP="00BF63E0">
      <w:pPr>
        <w:spacing w:after="100" w:line="204" w:lineRule="auto"/>
        <w:ind w:firstLine="720"/>
        <w:jc w:val="both"/>
        <w:rPr>
          <w:sz w:val="22"/>
          <w:rtl/>
          <w:lang w:val="en-GB" w:bidi="ar-EG"/>
        </w:rPr>
      </w:pPr>
      <w:r>
        <w:rPr>
          <w:rFonts w:hint="cs"/>
          <w:sz w:val="22"/>
          <w:rtl/>
          <w:lang w:val="en-GB" w:bidi="ar-EG"/>
        </w:rPr>
        <w:t>(د)</w:t>
      </w:r>
      <w:r>
        <w:rPr>
          <w:rFonts w:hint="cs"/>
          <w:sz w:val="22"/>
          <w:rtl/>
          <w:lang w:val="en-GB" w:bidi="ar-EG"/>
        </w:rPr>
        <w:tab/>
      </w:r>
      <w:r w:rsidR="00237533">
        <w:rPr>
          <w:rFonts w:hint="cs"/>
          <w:sz w:val="22"/>
          <w:rtl/>
          <w:lang w:val="en-GB" w:bidi="ar-EG"/>
        </w:rPr>
        <w:t xml:space="preserve">الصعوبات في تفسير العمل المكتبي </w:t>
      </w:r>
      <w:r w:rsidR="00BF63E0">
        <w:rPr>
          <w:rFonts w:hint="cs"/>
          <w:sz w:val="22"/>
          <w:rtl/>
          <w:lang w:val="en-GB" w:bidi="ar-EG"/>
        </w:rPr>
        <w:t>إلى ا</w:t>
      </w:r>
      <w:r w:rsidR="00237533">
        <w:rPr>
          <w:rFonts w:hint="cs"/>
          <w:sz w:val="22"/>
          <w:rtl/>
          <w:lang w:val="en-GB" w:bidi="ar-EG"/>
        </w:rPr>
        <w:t>لشعوب المحلية عند القيام بعمل ميداني مع الموارد الجينية والمعارف التقليدية المرتبطة بها.</w:t>
      </w:r>
      <w:r w:rsidR="00237533">
        <w:rPr>
          <w:rStyle w:val="FootnoteReference"/>
          <w:sz w:val="22"/>
          <w:rtl/>
          <w:lang w:val="en-GB" w:bidi="ar-EG"/>
        </w:rPr>
        <w:footnoteReference w:id="78"/>
      </w:r>
    </w:p>
    <w:p w:rsidR="00E406EC" w:rsidRDefault="00C31233" w:rsidP="007665C5">
      <w:pPr>
        <w:numPr>
          <w:ilvl w:val="0"/>
          <w:numId w:val="27"/>
        </w:numPr>
        <w:spacing w:after="100" w:line="204" w:lineRule="auto"/>
        <w:ind w:left="0" w:firstLine="0"/>
        <w:jc w:val="both"/>
        <w:rPr>
          <w:sz w:val="22"/>
          <w:lang w:val="en-GB" w:bidi="ar-EG"/>
        </w:rPr>
      </w:pPr>
      <w:r>
        <w:rPr>
          <w:rFonts w:hint="cs"/>
          <w:sz w:val="22"/>
          <w:rtl/>
          <w:lang w:val="en-GB" w:bidi="ar-EG"/>
        </w:rPr>
        <w:t>و</w:t>
      </w:r>
      <w:r w:rsidR="00225432">
        <w:rPr>
          <w:rFonts w:hint="cs"/>
          <w:sz w:val="22"/>
          <w:rtl/>
          <w:lang w:val="en-GB" w:bidi="ar-EG"/>
        </w:rPr>
        <w:t>تشاطرت بعض التقديمات أيضا معلومات عن الموافقة المسبقة</w:t>
      </w:r>
      <w:r>
        <w:rPr>
          <w:rFonts w:hint="cs"/>
          <w:sz w:val="22"/>
          <w:rtl/>
          <w:lang w:val="en-GB" w:bidi="ar-EG"/>
        </w:rPr>
        <w:t xml:space="preserve"> عن علم ومجموعاتها تشمل</w:t>
      </w:r>
      <w:r w:rsidR="00E406EC">
        <w:rPr>
          <w:rFonts w:hint="cs"/>
          <w:sz w:val="22"/>
          <w:rtl/>
          <w:lang w:val="en-GB" w:bidi="ar-EG"/>
        </w:rPr>
        <w:t>:</w:t>
      </w:r>
    </w:p>
    <w:p w:rsidR="00E406EC" w:rsidRDefault="00E406EC" w:rsidP="007665C5">
      <w:pPr>
        <w:spacing w:after="100" w:line="204" w:lineRule="auto"/>
        <w:ind w:firstLine="720"/>
        <w:jc w:val="both"/>
        <w:rPr>
          <w:sz w:val="22"/>
          <w:rtl/>
          <w:lang w:val="en-GB" w:bidi="ar-EG"/>
        </w:rPr>
      </w:pPr>
      <w:r>
        <w:rPr>
          <w:rFonts w:hint="cs"/>
          <w:sz w:val="22"/>
          <w:rtl/>
          <w:lang w:val="en-GB" w:bidi="ar-EG"/>
        </w:rPr>
        <w:lastRenderedPageBreak/>
        <w:t>(أ)</w:t>
      </w:r>
      <w:r>
        <w:rPr>
          <w:rFonts w:hint="cs"/>
          <w:sz w:val="22"/>
          <w:rtl/>
          <w:lang w:val="en-GB" w:bidi="ar-EG"/>
        </w:rPr>
        <w:tab/>
      </w:r>
      <w:r w:rsidR="00C31233">
        <w:rPr>
          <w:rFonts w:hint="cs"/>
          <w:sz w:val="22"/>
          <w:rtl/>
          <w:lang w:val="en-GB" w:bidi="ar-EG"/>
        </w:rPr>
        <w:t>مجموعة ميكروبية واحدة</w:t>
      </w:r>
      <w:r w:rsidR="00C31233">
        <w:rPr>
          <w:rStyle w:val="FootnoteReference"/>
          <w:sz w:val="22"/>
          <w:rtl/>
          <w:lang w:val="en-GB" w:bidi="ar-EG"/>
        </w:rPr>
        <w:footnoteReference w:id="79"/>
      </w:r>
      <w:r w:rsidR="00C31233">
        <w:rPr>
          <w:rFonts w:hint="cs"/>
          <w:sz w:val="22"/>
          <w:rtl/>
          <w:lang w:val="en-GB" w:bidi="ar-EG"/>
        </w:rPr>
        <w:t xml:space="preserve"> وصفت جهودها للحصول على الموافقة المسبقة عن علم من أجل إدراج ودائع أنواع البكتريا الجديدة في مجموعتها. وحتى تاريخه، لم تتلق موافقة مسبقة عن علم صحيحة من أحد المودعين، ونتيجة لذلك رفضت ودائع كثيرة</w:t>
      </w:r>
      <w:r w:rsidR="00C31233" w:rsidRPr="00C31233">
        <w:rPr>
          <w:rStyle w:val="FootnoteReference"/>
          <w:rFonts w:hint="cs"/>
          <w:sz w:val="22"/>
          <w:vertAlign w:val="baseline"/>
          <w:rtl/>
          <w:lang w:val="en-GB" w:bidi="ar-EG"/>
        </w:rPr>
        <w:t>؛</w:t>
      </w:r>
    </w:p>
    <w:p w:rsidR="00E406EC" w:rsidRDefault="00E406EC" w:rsidP="007665C5">
      <w:pPr>
        <w:spacing w:after="100" w:line="204" w:lineRule="auto"/>
        <w:ind w:firstLine="720"/>
        <w:jc w:val="both"/>
        <w:rPr>
          <w:sz w:val="22"/>
          <w:rtl/>
          <w:lang w:val="en-GB" w:bidi="ar-EG"/>
        </w:rPr>
      </w:pPr>
      <w:r>
        <w:rPr>
          <w:rFonts w:hint="cs"/>
          <w:sz w:val="22"/>
          <w:rtl/>
          <w:lang w:val="en-GB" w:bidi="ar-EG"/>
        </w:rPr>
        <w:t>(ب)</w:t>
      </w:r>
      <w:r>
        <w:rPr>
          <w:rFonts w:hint="cs"/>
          <w:sz w:val="22"/>
          <w:rtl/>
          <w:lang w:val="en-GB" w:bidi="ar-EG"/>
        </w:rPr>
        <w:tab/>
      </w:r>
      <w:r w:rsidR="00C31233">
        <w:rPr>
          <w:rFonts w:hint="cs"/>
          <w:sz w:val="22"/>
          <w:rtl/>
          <w:lang w:val="en-GB" w:bidi="ar-EG"/>
        </w:rPr>
        <w:t>مجموعة واحدة</w:t>
      </w:r>
      <w:r w:rsidR="00C31233">
        <w:rPr>
          <w:rStyle w:val="FootnoteReference"/>
          <w:sz w:val="22"/>
          <w:rtl/>
          <w:lang w:val="en-GB" w:bidi="ar-EG"/>
        </w:rPr>
        <w:footnoteReference w:id="80"/>
      </w:r>
      <w:r w:rsidR="00C31233">
        <w:rPr>
          <w:rFonts w:hint="cs"/>
          <w:sz w:val="22"/>
          <w:rtl/>
          <w:lang w:val="en-GB" w:bidi="ar-EG"/>
        </w:rPr>
        <w:t xml:space="preserve"> وصفت كيف تميز بين فئتين من العينات في مجموعتها</w:t>
      </w:r>
      <w:r>
        <w:rPr>
          <w:rFonts w:hint="cs"/>
          <w:sz w:val="22"/>
          <w:rtl/>
          <w:lang w:val="en-GB" w:bidi="ar-EG"/>
        </w:rPr>
        <w:t>:</w:t>
      </w:r>
    </w:p>
    <w:p w:rsidR="00E406EC" w:rsidRDefault="00E406EC" w:rsidP="007665C5">
      <w:pPr>
        <w:spacing w:after="100" w:line="204" w:lineRule="auto"/>
        <w:ind w:left="2160" w:hanging="720"/>
        <w:jc w:val="both"/>
        <w:rPr>
          <w:sz w:val="22"/>
          <w:rtl/>
          <w:lang w:val="en-GB" w:bidi="ar-EG"/>
        </w:rPr>
      </w:pPr>
      <w:r>
        <w:rPr>
          <w:rFonts w:hint="cs"/>
          <w:sz w:val="22"/>
          <w:rtl/>
          <w:lang w:val="en-GB" w:bidi="ar-EG"/>
        </w:rPr>
        <w:t>(1)</w:t>
      </w:r>
      <w:r>
        <w:rPr>
          <w:rFonts w:hint="cs"/>
          <w:sz w:val="22"/>
          <w:rtl/>
          <w:lang w:val="en-GB" w:bidi="ar-EG"/>
        </w:rPr>
        <w:tab/>
      </w:r>
      <w:r w:rsidR="00C31233">
        <w:rPr>
          <w:rFonts w:hint="cs"/>
          <w:sz w:val="22"/>
          <w:rtl/>
          <w:lang w:val="en-GB" w:bidi="ar-EG"/>
        </w:rPr>
        <w:t>فئة واحدة هي عينات من بلد المنشأ التي صدقت على البروتوكول وتم جمع العينات حديثا. وبالنسبة لهذه العينات، لم يشتق الحامض النووي بدون الحصول على الموافقة المسبقة عن علم؛</w:t>
      </w:r>
    </w:p>
    <w:p w:rsidR="00E406EC" w:rsidRDefault="00E406EC" w:rsidP="00BF63E0">
      <w:pPr>
        <w:spacing w:after="100" w:line="204" w:lineRule="auto"/>
        <w:ind w:left="2160" w:hanging="720"/>
        <w:jc w:val="both"/>
        <w:rPr>
          <w:sz w:val="22"/>
          <w:lang w:val="en-GB" w:bidi="ar-EG"/>
        </w:rPr>
      </w:pPr>
      <w:r>
        <w:rPr>
          <w:rFonts w:hint="cs"/>
          <w:sz w:val="22"/>
          <w:rtl/>
          <w:lang w:val="en-GB" w:bidi="ar-EG"/>
        </w:rPr>
        <w:t>(2)</w:t>
      </w:r>
      <w:r>
        <w:rPr>
          <w:rFonts w:hint="cs"/>
          <w:sz w:val="22"/>
          <w:rtl/>
          <w:lang w:val="en-GB" w:bidi="ar-EG"/>
        </w:rPr>
        <w:tab/>
      </w:r>
      <w:r w:rsidR="00C31233">
        <w:rPr>
          <w:rFonts w:hint="cs"/>
          <w:sz w:val="22"/>
          <w:rtl/>
          <w:lang w:val="en-GB" w:bidi="ar-EG"/>
        </w:rPr>
        <w:t xml:space="preserve">الفئة الأخرى هي عينات </w:t>
      </w:r>
      <w:r w:rsidR="00BF63E0">
        <w:rPr>
          <w:rFonts w:hint="cs"/>
          <w:sz w:val="22"/>
          <w:rtl/>
          <w:lang w:val="en-GB" w:bidi="ar-EG"/>
        </w:rPr>
        <w:t xml:space="preserve">تأتي </w:t>
      </w:r>
      <w:r w:rsidR="00C31233">
        <w:rPr>
          <w:rFonts w:hint="cs"/>
          <w:sz w:val="22"/>
          <w:rtl/>
          <w:lang w:val="en-GB" w:bidi="ar-EG"/>
        </w:rPr>
        <w:t>من بلد منشأ لم يصدق على البروتوكول عندما أضيفت العينة إلى المجموعة أو عندما أضيفت العينة إلى المجموعة قبل بدء نفاذ القانون بشأن بروتوكول ناغويا في ألمانيا. وبالنسبة لهذه العينات، فهي لا تحتاج إلى أي إذن و</w:t>
      </w:r>
      <w:r w:rsidR="00BF63E0">
        <w:rPr>
          <w:rFonts w:hint="cs"/>
          <w:sz w:val="22"/>
          <w:rtl/>
          <w:lang w:val="en-GB" w:bidi="ar-EG"/>
        </w:rPr>
        <w:t>ي</w:t>
      </w:r>
      <w:r w:rsidR="00C31233">
        <w:rPr>
          <w:rFonts w:hint="cs"/>
          <w:sz w:val="22"/>
          <w:rtl/>
          <w:lang w:val="en-GB" w:bidi="ar-EG"/>
        </w:rPr>
        <w:t>م</w:t>
      </w:r>
      <w:r w:rsidR="00BF63E0">
        <w:rPr>
          <w:rFonts w:hint="cs"/>
          <w:sz w:val="22"/>
          <w:rtl/>
          <w:lang w:val="en-GB" w:bidi="ar-EG"/>
        </w:rPr>
        <w:t>ك</w:t>
      </w:r>
      <w:r w:rsidR="00C31233">
        <w:rPr>
          <w:rFonts w:hint="cs"/>
          <w:sz w:val="22"/>
          <w:rtl/>
          <w:lang w:val="en-GB" w:bidi="ar-EG"/>
        </w:rPr>
        <w:t>ن اشتقاق الحامض النووي.</w:t>
      </w:r>
    </w:p>
    <w:p w:rsidR="00E406EC" w:rsidRDefault="00C31233" w:rsidP="00BF63E0">
      <w:pPr>
        <w:numPr>
          <w:ilvl w:val="0"/>
          <w:numId w:val="27"/>
        </w:numPr>
        <w:spacing w:after="100" w:line="204" w:lineRule="auto"/>
        <w:ind w:left="0" w:firstLine="0"/>
        <w:jc w:val="both"/>
        <w:rPr>
          <w:sz w:val="22"/>
          <w:lang w:val="en-GB" w:bidi="ar-EG"/>
        </w:rPr>
      </w:pPr>
      <w:r>
        <w:rPr>
          <w:rFonts w:hint="cs"/>
          <w:sz w:val="22"/>
          <w:rtl/>
          <w:lang w:val="en-GB" w:bidi="ar-EG"/>
        </w:rPr>
        <w:t>وت</w:t>
      </w:r>
      <w:r w:rsidR="00BF63E0">
        <w:rPr>
          <w:rFonts w:hint="cs"/>
          <w:sz w:val="22"/>
          <w:rtl/>
          <w:lang w:val="en-GB" w:bidi="ar-EG"/>
        </w:rPr>
        <w:t>بادل</w:t>
      </w:r>
      <w:r>
        <w:rPr>
          <w:rFonts w:hint="cs"/>
          <w:sz w:val="22"/>
          <w:rtl/>
          <w:lang w:val="en-GB" w:bidi="ar-EG"/>
        </w:rPr>
        <w:t xml:space="preserve"> تقديم آخر</w:t>
      </w:r>
      <w:r w:rsidR="00237533">
        <w:rPr>
          <w:rStyle w:val="FootnoteReference"/>
          <w:sz w:val="22"/>
          <w:rtl/>
          <w:lang w:val="en-GB" w:bidi="ar-EG"/>
        </w:rPr>
        <w:footnoteReference w:id="81"/>
      </w:r>
      <w:r>
        <w:rPr>
          <w:rFonts w:hint="cs"/>
          <w:sz w:val="22"/>
          <w:rtl/>
          <w:lang w:val="en-GB" w:bidi="ar-EG"/>
        </w:rPr>
        <w:t xml:space="preserve"> معلومات عن </w:t>
      </w:r>
      <w:r w:rsidR="00AD4078">
        <w:rPr>
          <w:rFonts w:hint="cs"/>
          <w:sz w:val="22"/>
          <w:rtl/>
          <w:lang w:val="en-GB" w:bidi="ar-EG"/>
        </w:rPr>
        <w:t xml:space="preserve">مجتمع </w:t>
      </w:r>
      <w:r w:rsidR="005A55AE">
        <w:rPr>
          <w:rFonts w:hint="cs"/>
          <w:sz w:val="22"/>
          <w:rtl/>
          <w:lang w:val="en-GB" w:bidi="ar-EG"/>
        </w:rPr>
        <w:t xml:space="preserve">مجموعات الاستنبات. </w:t>
      </w:r>
      <w:r w:rsidR="00AD4078">
        <w:rPr>
          <w:rFonts w:hint="cs"/>
          <w:sz w:val="22"/>
          <w:rtl/>
          <w:lang w:val="en-GB" w:bidi="ar-EG"/>
        </w:rPr>
        <w:t>ووصف</w:t>
      </w:r>
      <w:r w:rsidR="005A55AE">
        <w:rPr>
          <w:rFonts w:hint="cs"/>
          <w:sz w:val="22"/>
          <w:rtl/>
          <w:lang w:val="en-GB" w:bidi="ar-EG"/>
        </w:rPr>
        <w:t xml:space="preserve"> كيف أنه قد لا يكون من الممكن منح أو الحصول على الموافقة المسبقة عن علم في الحالات التي لا يوجد فيها وثائق بشأن تاريخ أو مكان أخذ العينة أو تكون المعلومات الوحيدة هي أن العينة أودعت في مجموعة قبل بدء نفاذ البروتوكول. وشرحوا أن مدونة السلوك لديهم تشمل "إجراءات تنظيمية" تمكن مجموعة الاستنبات </w:t>
      </w:r>
      <w:r w:rsidR="00AD4078">
        <w:rPr>
          <w:rFonts w:hint="cs"/>
          <w:sz w:val="22"/>
          <w:rtl/>
          <w:lang w:val="en-GB" w:bidi="ar-EG"/>
        </w:rPr>
        <w:t>من قبول</w:t>
      </w:r>
      <w:r w:rsidR="005A55AE">
        <w:rPr>
          <w:rFonts w:hint="cs"/>
          <w:sz w:val="22"/>
          <w:rtl/>
          <w:lang w:val="en-GB" w:bidi="ar-EG"/>
        </w:rPr>
        <w:t xml:space="preserve"> مثل هذه المادة مع إجراء الاتصالات مع السلطة المختصة ذات الصلة.</w:t>
      </w:r>
    </w:p>
    <w:p w:rsidR="00B23FE5" w:rsidRDefault="00B23FE5" w:rsidP="007665C5">
      <w:pPr>
        <w:spacing w:after="100" w:line="204" w:lineRule="auto"/>
        <w:jc w:val="center"/>
        <w:rPr>
          <w:sz w:val="22"/>
          <w:lang w:val="en-GB" w:bidi="ar-EG"/>
        </w:rPr>
      </w:pPr>
      <w:r w:rsidRPr="00E406EC">
        <w:rPr>
          <w:rFonts w:hint="cs"/>
          <w:b/>
          <w:bCs/>
          <w:sz w:val="28"/>
          <w:szCs w:val="28"/>
          <w:rtl/>
          <w:lang w:val="en-GB" w:bidi="ar-EG"/>
        </w:rPr>
        <w:t>ثالثا -</w:t>
      </w:r>
      <w:r w:rsidRPr="00E406EC">
        <w:rPr>
          <w:rFonts w:hint="cs"/>
          <w:b/>
          <w:bCs/>
          <w:sz w:val="28"/>
          <w:szCs w:val="28"/>
          <w:rtl/>
          <w:lang w:val="en-GB" w:bidi="ar-EG"/>
        </w:rPr>
        <w:tab/>
        <w:t>المعلومات عن التطورات في العمليات الدولية ذات الصلة</w:t>
      </w:r>
    </w:p>
    <w:p w:rsidR="00E406EC" w:rsidRDefault="00501AC2" w:rsidP="007665C5">
      <w:pPr>
        <w:numPr>
          <w:ilvl w:val="0"/>
          <w:numId w:val="27"/>
        </w:numPr>
        <w:spacing w:after="100" w:line="204" w:lineRule="auto"/>
        <w:ind w:left="0" w:firstLine="0"/>
        <w:jc w:val="both"/>
        <w:rPr>
          <w:sz w:val="22"/>
          <w:lang w:val="en-GB" w:bidi="ar-EG"/>
        </w:rPr>
      </w:pPr>
      <w:r w:rsidRPr="00B23FE5">
        <w:rPr>
          <w:rFonts w:hint="cs"/>
          <w:sz w:val="22"/>
          <w:rtl/>
          <w:lang w:val="en-GB" w:bidi="ar-EG"/>
        </w:rPr>
        <w:t xml:space="preserve">عملا للمقرر </w:t>
      </w:r>
      <w:r w:rsidRPr="00B23FE5">
        <w:rPr>
          <w:sz w:val="22"/>
          <w:lang w:bidi="ar-EG"/>
        </w:rPr>
        <w:t>NP-2/10</w:t>
      </w:r>
      <w:r w:rsidRPr="00B23FE5">
        <w:rPr>
          <w:rFonts w:hint="cs"/>
          <w:sz w:val="22"/>
          <w:rtl/>
          <w:lang w:val="en-GB" w:bidi="ar-EG"/>
        </w:rPr>
        <w:t xml:space="preserve">، الفقرة 6(ب)، يلخص هذا القسم المعلومات عن التطورات في العمليات والمنظمات </w:t>
      </w:r>
      <w:r w:rsidR="001F4A49">
        <w:rPr>
          <w:rFonts w:hint="cs"/>
          <w:sz w:val="22"/>
          <w:rtl/>
          <w:lang w:val="en-GB" w:bidi="ar-EG"/>
        </w:rPr>
        <w:t xml:space="preserve">الدولية </w:t>
      </w:r>
      <w:r w:rsidRPr="00B23FE5">
        <w:rPr>
          <w:rFonts w:hint="cs"/>
          <w:sz w:val="22"/>
          <w:rtl/>
          <w:lang w:val="en-GB" w:bidi="ar-EG"/>
        </w:rPr>
        <w:t>ذات الصلة بهدف إعلام المناقشات المستقبلية عن المادة 10. ويقدم القسم معلومات عن التطورات الحديثة في إطار الآليات المتعددة الأطراف الأخرى التي جمعتها الأمينة التنفيذية أو التي أتي</w:t>
      </w:r>
      <w:r w:rsidR="00AD4078" w:rsidRPr="00B23FE5">
        <w:rPr>
          <w:rFonts w:hint="cs"/>
          <w:sz w:val="22"/>
          <w:rtl/>
          <w:lang w:val="en-GB" w:bidi="ar-EG"/>
        </w:rPr>
        <w:t>ح</w:t>
      </w:r>
      <w:r w:rsidRPr="00B23FE5">
        <w:rPr>
          <w:rFonts w:hint="cs"/>
          <w:sz w:val="22"/>
          <w:rtl/>
          <w:lang w:val="en-GB" w:bidi="ar-EG"/>
        </w:rPr>
        <w:t xml:space="preserve">ت </w:t>
      </w:r>
      <w:r w:rsidR="004D0813">
        <w:rPr>
          <w:rFonts w:hint="cs"/>
          <w:sz w:val="22"/>
          <w:rtl/>
          <w:lang w:val="en-GB" w:bidi="ar-EG"/>
        </w:rPr>
        <w:t xml:space="preserve">خلاف ذلك </w:t>
      </w:r>
      <w:r w:rsidRPr="00B23FE5">
        <w:rPr>
          <w:rFonts w:hint="cs"/>
          <w:sz w:val="22"/>
          <w:rtl/>
          <w:lang w:val="en-GB" w:bidi="ar-EG"/>
        </w:rPr>
        <w:t>من خلال التقديمات. ويمكن الاطلاع على المزيد من المعلومات ال</w:t>
      </w:r>
      <w:r w:rsidR="001F4A49">
        <w:rPr>
          <w:rFonts w:hint="cs"/>
          <w:sz w:val="22"/>
          <w:rtl/>
          <w:lang w:val="en-GB" w:bidi="ar-EG"/>
        </w:rPr>
        <w:t>أساس</w:t>
      </w:r>
      <w:r w:rsidRPr="00B23FE5">
        <w:rPr>
          <w:rFonts w:hint="cs"/>
          <w:sz w:val="22"/>
          <w:rtl/>
          <w:lang w:val="en-GB" w:bidi="ar-EG"/>
        </w:rPr>
        <w:t>ية في "</w:t>
      </w:r>
      <w:r w:rsidR="00AD4078" w:rsidRPr="00B23FE5">
        <w:rPr>
          <w:rFonts w:ascii="Simplified Arabic" w:hAnsi="Simplified Arabic" w:hint="cs"/>
          <w:color w:val="000000"/>
          <w:rtl/>
        </w:rPr>
        <w:t>ال</w:t>
      </w:r>
      <w:r w:rsidRPr="00B23FE5">
        <w:rPr>
          <w:rFonts w:ascii="Simplified Arabic" w:hAnsi="Simplified Arabic" w:hint="cs"/>
          <w:color w:val="000000"/>
          <w:rtl/>
        </w:rPr>
        <w:t xml:space="preserve">دراسة عن الخبرات المكتسبة من إعداد وتنفيذ بروتوكول ناغويا والآليات المتعددة الأطراف الأخرى والأهمية المحتملة للأعمال التي اضطلعت بها العمليات الأخرى، بما في ذلك دراسات </w:t>
      </w:r>
      <w:r w:rsidR="004D0813">
        <w:rPr>
          <w:rFonts w:ascii="Simplified Arabic" w:hAnsi="Simplified Arabic" w:hint="cs"/>
          <w:color w:val="000000"/>
          <w:rtl/>
        </w:rPr>
        <w:t>ال</w:t>
      </w:r>
      <w:r w:rsidRPr="00B23FE5">
        <w:rPr>
          <w:rFonts w:ascii="Simplified Arabic" w:hAnsi="Simplified Arabic" w:hint="cs"/>
          <w:color w:val="000000"/>
          <w:rtl/>
        </w:rPr>
        <w:t>حالة"</w:t>
      </w:r>
      <w:r w:rsidRPr="00B23FE5">
        <w:rPr>
          <w:rFonts w:hint="cs"/>
          <w:sz w:val="22"/>
          <w:rtl/>
          <w:lang w:val="en-GB"/>
        </w:rPr>
        <w:t xml:space="preserve"> التي </w:t>
      </w:r>
      <w:r w:rsidRPr="00B23FE5">
        <w:rPr>
          <w:rFonts w:hint="cs"/>
          <w:sz w:val="22"/>
          <w:rtl/>
          <w:lang w:val="en-GB" w:bidi="ar-EG"/>
        </w:rPr>
        <w:t xml:space="preserve">كلف بإجرائها الأمين التنفيذي عملا للمقرر </w:t>
      </w:r>
      <w:r w:rsidRPr="00B23FE5">
        <w:rPr>
          <w:sz w:val="22"/>
          <w:lang w:bidi="ar-EG"/>
        </w:rPr>
        <w:t>NP-1/10</w:t>
      </w:r>
      <w:r w:rsidRPr="00B23FE5">
        <w:rPr>
          <w:rFonts w:hint="cs"/>
          <w:sz w:val="22"/>
          <w:rtl/>
          <w:lang w:val="en-GB" w:bidi="ar-EG"/>
        </w:rPr>
        <w:t xml:space="preserve"> وتم استعراضها في اجتماع فريق الخبراء بشأن المادة 10 في عام 2016</w:t>
      </w:r>
      <w:r w:rsidR="007C0D14" w:rsidRPr="00B23FE5">
        <w:rPr>
          <w:rFonts w:hint="cs"/>
          <w:sz w:val="22"/>
          <w:rtl/>
          <w:lang w:val="en-GB" w:bidi="ar-EG"/>
        </w:rPr>
        <w:t>.</w:t>
      </w:r>
      <w:r w:rsidR="007C0D14">
        <w:rPr>
          <w:rStyle w:val="FootnoteReference"/>
          <w:sz w:val="22"/>
          <w:rtl/>
          <w:lang w:val="en-GB" w:bidi="ar-EG"/>
        </w:rPr>
        <w:footnoteReference w:id="82"/>
      </w:r>
    </w:p>
    <w:p w:rsidR="00B23FE5" w:rsidRPr="004D0813" w:rsidRDefault="00B23FE5" w:rsidP="007665C5">
      <w:pPr>
        <w:spacing w:after="100" w:line="204" w:lineRule="auto"/>
        <w:jc w:val="center"/>
        <w:rPr>
          <w:b/>
          <w:bCs/>
          <w:sz w:val="22"/>
          <w:lang w:val="en-GB" w:bidi="ar-EG"/>
        </w:rPr>
      </w:pPr>
      <w:r w:rsidRPr="004D0813">
        <w:rPr>
          <w:rFonts w:hint="cs"/>
          <w:b/>
          <w:bCs/>
          <w:sz w:val="22"/>
          <w:rtl/>
          <w:lang w:val="en-GB" w:bidi="ar-EG"/>
        </w:rPr>
        <w:t>ألف -</w:t>
      </w:r>
      <w:r w:rsidRPr="004D0813">
        <w:rPr>
          <w:rFonts w:hint="cs"/>
          <w:b/>
          <w:bCs/>
          <w:sz w:val="22"/>
          <w:rtl/>
          <w:lang w:val="en-GB" w:bidi="ar-EG"/>
        </w:rPr>
        <w:tab/>
        <w:t>المعاهدة الدولية بشأن الموارد الوراثية النباتية للأغذية والزراعة</w:t>
      </w:r>
    </w:p>
    <w:p w:rsidR="0052417C" w:rsidRPr="00B23FE5" w:rsidRDefault="0052417C" w:rsidP="007665C5">
      <w:pPr>
        <w:numPr>
          <w:ilvl w:val="0"/>
          <w:numId w:val="27"/>
        </w:numPr>
        <w:spacing w:after="100" w:line="204" w:lineRule="auto"/>
        <w:ind w:left="0" w:firstLine="0"/>
        <w:jc w:val="both"/>
        <w:rPr>
          <w:sz w:val="22"/>
          <w:lang w:val="en-GB" w:bidi="ar-EG"/>
        </w:rPr>
      </w:pPr>
      <w:r w:rsidRPr="00B23FE5">
        <w:rPr>
          <w:rFonts w:hint="cs"/>
          <w:sz w:val="22"/>
          <w:rtl/>
          <w:lang w:val="en-GB" w:bidi="ar-EG"/>
        </w:rPr>
        <w:t xml:space="preserve">في ديسمبر/كانون الأول 2017، أطلقت </w:t>
      </w:r>
      <w:r w:rsidR="004D0813">
        <w:rPr>
          <w:rFonts w:hint="cs"/>
          <w:sz w:val="22"/>
          <w:rtl/>
          <w:lang w:val="en-GB" w:bidi="ar-EG"/>
        </w:rPr>
        <w:t xml:space="preserve">أمانة </w:t>
      </w:r>
      <w:r w:rsidRPr="00B23FE5">
        <w:rPr>
          <w:rFonts w:hint="cs"/>
          <w:sz w:val="22"/>
          <w:rtl/>
          <w:lang w:val="en-GB" w:bidi="ar-EG"/>
        </w:rPr>
        <w:t>المعاهدة الدولية بشأن الموارد الوراثية النباتية للأغذية والزراعة نداء لتقديم اقتراحات لصندوق تقاسم المنافع التابع للمعاهدة. وتمثل هدف النداء لتقديم اقتراحات في "تمكين المزارعين في مختلف أنحاء العالم من استخدام الأنواع المكيفة وصونها وصولا إلى زيادة الإنتاجية والمداخيل داخل المزرعة</w:t>
      </w:r>
      <w:r w:rsidR="004B1E94" w:rsidRPr="00B23FE5">
        <w:rPr>
          <w:rFonts w:hint="cs"/>
          <w:sz w:val="22"/>
          <w:rtl/>
          <w:lang w:val="en-GB" w:bidi="ar-EG"/>
        </w:rPr>
        <w:t>، وزيادة توافر أغذية غنية بالمغذيات، والحد من التأثيرات السلبية على البيئة، وتعزيز القدرة على الصمود أمام الصدمات في مجال الإنتاج."</w:t>
      </w:r>
      <w:r w:rsidR="004B1E94">
        <w:rPr>
          <w:rStyle w:val="FootnoteReference"/>
          <w:sz w:val="22"/>
          <w:rtl/>
          <w:lang w:val="en-GB" w:bidi="ar-EG"/>
        </w:rPr>
        <w:footnoteReference w:id="83"/>
      </w:r>
      <w:r w:rsidR="004B1E94" w:rsidRPr="00B23FE5">
        <w:rPr>
          <w:rFonts w:hint="cs"/>
          <w:sz w:val="22"/>
          <w:rtl/>
          <w:lang w:val="en-GB" w:bidi="ar-EG"/>
        </w:rPr>
        <w:t xml:space="preserve"> ومن المتوقع أن يستثمر النداء الرابع لتقديم الاقتراحات أكثر من 5 ملايين دولار أمريكي في المشروعات. وحتى اليوم، كان صندوق تقاسم المنافع قد تم دعمه بواسطة المساهمات الطوعية إذ أن المنافع التجارية الناشئة عن استخدام الموارد الوراثية النباتية في ال</w:t>
      </w:r>
      <w:r w:rsidR="00391B79" w:rsidRPr="00B23FE5">
        <w:rPr>
          <w:rFonts w:hint="cs"/>
          <w:sz w:val="22"/>
          <w:rtl/>
          <w:lang w:val="en-GB" w:bidi="ar-EG"/>
        </w:rPr>
        <w:t>ن</w:t>
      </w:r>
      <w:r w:rsidR="004B1E94" w:rsidRPr="00B23FE5">
        <w:rPr>
          <w:rFonts w:hint="cs"/>
          <w:sz w:val="22"/>
          <w:rtl/>
          <w:lang w:val="en-GB" w:bidi="ar-EG"/>
        </w:rPr>
        <w:t xml:space="preserve">ظام المتعدد الأطراف للحصول وتقاسم المنافع لم </w:t>
      </w:r>
      <w:r w:rsidR="00391B79" w:rsidRPr="00B23FE5">
        <w:rPr>
          <w:rFonts w:hint="cs"/>
          <w:sz w:val="22"/>
          <w:rtl/>
          <w:lang w:val="en-GB" w:bidi="ar-EG"/>
        </w:rPr>
        <w:t>ت</w:t>
      </w:r>
      <w:r w:rsidR="004B1E94" w:rsidRPr="00B23FE5">
        <w:rPr>
          <w:rFonts w:hint="cs"/>
          <w:sz w:val="22"/>
          <w:rtl/>
          <w:lang w:val="en-GB" w:bidi="ar-EG"/>
        </w:rPr>
        <w:t>تحقق بعد.</w:t>
      </w:r>
    </w:p>
    <w:p w:rsidR="00E406EC" w:rsidRDefault="004B1E94" w:rsidP="007665C5">
      <w:pPr>
        <w:numPr>
          <w:ilvl w:val="0"/>
          <w:numId w:val="27"/>
        </w:numPr>
        <w:spacing w:after="100" w:line="204" w:lineRule="auto"/>
        <w:ind w:left="0" w:firstLine="0"/>
        <w:jc w:val="both"/>
        <w:rPr>
          <w:sz w:val="22"/>
          <w:lang w:val="en-GB" w:bidi="ar-EG"/>
        </w:rPr>
      </w:pPr>
      <w:r>
        <w:rPr>
          <w:rFonts w:hint="cs"/>
          <w:sz w:val="22"/>
          <w:rtl/>
          <w:lang w:val="en-GB" w:bidi="ar-EG"/>
        </w:rPr>
        <w:lastRenderedPageBreak/>
        <w:t xml:space="preserve">والمناقشات بشأن تعزيز </w:t>
      </w:r>
      <w:r w:rsidR="00391B79">
        <w:rPr>
          <w:rFonts w:hint="cs"/>
          <w:sz w:val="22"/>
          <w:rtl/>
          <w:lang w:val="en-GB" w:bidi="ar-EG"/>
        </w:rPr>
        <w:t>سير عمل</w:t>
      </w:r>
      <w:r>
        <w:rPr>
          <w:rFonts w:hint="cs"/>
          <w:sz w:val="22"/>
          <w:rtl/>
          <w:lang w:val="en-GB" w:bidi="ar-EG"/>
        </w:rPr>
        <w:t xml:space="preserve"> النظام المتعدد الأطراف للحصول وتقاسم المنافع في إطار المعاهدة كانت جارية منذ عام 2013 عندما أنشأ الجهاز الرئاسي للمعاهدة </w:t>
      </w:r>
      <w:r w:rsidR="00B35596">
        <w:rPr>
          <w:rFonts w:hint="cs"/>
          <w:sz w:val="22"/>
          <w:rtl/>
          <w:lang w:val="en-GB" w:bidi="ar-EG"/>
        </w:rPr>
        <w:t>مجموعة الع</w:t>
      </w:r>
      <w:r>
        <w:rPr>
          <w:rFonts w:hint="cs"/>
          <w:sz w:val="22"/>
          <w:rtl/>
          <w:lang w:val="en-GB" w:bidi="ar-EG"/>
        </w:rPr>
        <w:t>مل المفتوح</w:t>
      </w:r>
      <w:r w:rsidR="00B35596">
        <w:rPr>
          <w:rFonts w:hint="cs"/>
          <w:sz w:val="22"/>
          <w:rtl/>
          <w:lang w:val="en-GB" w:bidi="ar-EG"/>
        </w:rPr>
        <w:t>ة</w:t>
      </w:r>
      <w:r>
        <w:rPr>
          <w:rFonts w:hint="cs"/>
          <w:sz w:val="22"/>
          <w:rtl/>
          <w:lang w:val="en-GB" w:bidi="ar-EG"/>
        </w:rPr>
        <w:t xml:space="preserve"> العضوية المخصص</w:t>
      </w:r>
      <w:r w:rsidR="00B35596">
        <w:rPr>
          <w:rFonts w:hint="cs"/>
          <w:sz w:val="22"/>
          <w:rtl/>
          <w:lang w:val="en-GB" w:bidi="ar-EG"/>
        </w:rPr>
        <w:t>ة</w:t>
      </w:r>
      <w:r>
        <w:rPr>
          <w:rFonts w:hint="cs"/>
          <w:sz w:val="22"/>
          <w:rtl/>
          <w:lang w:val="en-GB" w:bidi="ar-EG"/>
        </w:rPr>
        <w:t xml:space="preserve"> المعني</w:t>
      </w:r>
      <w:r w:rsidR="00B35596">
        <w:rPr>
          <w:rFonts w:hint="cs"/>
          <w:sz w:val="22"/>
          <w:rtl/>
          <w:lang w:val="en-GB" w:bidi="ar-EG"/>
        </w:rPr>
        <w:t>ة</w:t>
      </w:r>
      <w:r>
        <w:rPr>
          <w:rFonts w:hint="cs"/>
          <w:sz w:val="22"/>
          <w:rtl/>
          <w:lang w:val="en-GB" w:bidi="ar-EG"/>
        </w:rPr>
        <w:t xml:space="preserve"> بتعزيز </w:t>
      </w:r>
      <w:r w:rsidR="00B35596">
        <w:rPr>
          <w:rFonts w:hint="cs"/>
          <w:sz w:val="22"/>
          <w:rtl/>
          <w:lang w:val="en-GB" w:bidi="ar-EG"/>
        </w:rPr>
        <w:t>سير عمل</w:t>
      </w:r>
      <w:r>
        <w:rPr>
          <w:rFonts w:hint="cs"/>
          <w:sz w:val="22"/>
          <w:rtl/>
          <w:lang w:val="en-GB" w:bidi="ar-EG"/>
        </w:rPr>
        <w:t xml:space="preserve"> النظام المتعدد الأطراف للحصول </w:t>
      </w:r>
      <w:r w:rsidR="009845AB">
        <w:rPr>
          <w:rFonts w:hint="cs"/>
          <w:sz w:val="22"/>
          <w:rtl/>
          <w:lang w:val="en-GB" w:bidi="ar-EG"/>
        </w:rPr>
        <w:t xml:space="preserve">على الموارد وتقاسم </w:t>
      </w:r>
      <w:r>
        <w:rPr>
          <w:rFonts w:hint="cs"/>
          <w:sz w:val="22"/>
          <w:rtl/>
          <w:lang w:val="en-GB" w:bidi="ar-EG"/>
        </w:rPr>
        <w:t>منافع</w:t>
      </w:r>
      <w:r w:rsidR="009845AB">
        <w:rPr>
          <w:rFonts w:hint="cs"/>
          <w:sz w:val="22"/>
          <w:rtl/>
          <w:lang w:val="en-GB" w:bidi="ar-EG"/>
        </w:rPr>
        <w:t>ها</w:t>
      </w:r>
      <w:r>
        <w:rPr>
          <w:rFonts w:hint="cs"/>
          <w:sz w:val="22"/>
          <w:rtl/>
          <w:lang w:val="en-GB" w:bidi="ar-EG"/>
        </w:rPr>
        <w:t xml:space="preserve"> ("</w:t>
      </w:r>
      <w:r w:rsidR="00B35596">
        <w:rPr>
          <w:rFonts w:hint="cs"/>
          <w:sz w:val="22"/>
          <w:rtl/>
          <w:lang w:val="en-GB" w:bidi="ar-EG"/>
        </w:rPr>
        <w:t>مجموعة الع</w:t>
      </w:r>
      <w:r>
        <w:rPr>
          <w:rFonts w:hint="cs"/>
          <w:sz w:val="22"/>
          <w:rtl/>
          <w:lang w:val="en-GB" w:bidi="ar-EG"/>
        </w:rPr>
        <w:t xml:space="preserve">مل") </w:t>
      </w:r>
      <w:r w:rsidR="00391B79">
        <w:rPr>
          <w:rFonts w:hint="cs"/>
          <w:sz w:val="22"/>
          <w:rtl/>
          <w:lang w:val="en-GB" w:bidi="ar-EG"/>
        </w:rPr>
        <w:t>لتضع</w:t>
      </w:r>
      <w:r>
        <w:rPr>
          <w:rFonts w:hint="cs"/>
          <w:sz w:val="22"/>
          <w:rtl/>
          <w:lang w:val="en-GB" w:bidi="ar-EG"/>
        </w:rPr>
        <w:t xml:space="preserve"> تدابير ت</w:t>
      </w:r>
      <w:r w:rsidR="00391B79">
        <w:rPr>
          <w:rFonts w:hint="cs"/>
          <w:sz w:val="22"/>
          <w:rtl/>
          <w:lang w:val="en-GB" w:bidi="ar-EG"/>
        </w:rPr>
        <w:t>رمي</w:t>
      </w:r>
      <w:r>
        <w:rPr>
          <w:rFonts w:hint="cs"/>
          <w:sz w:val="22"/>
          <w:rtl/>
          <w:lang w:val="en-GB" w:bidi="ar-EG"/>
        </w:rPr>
        <w:t xml:space="preserve"> إلى</w:t>
      </w:r>
      <w:r w:rsidR="00E406EC">
        <w:rPr>
          <w:rFonts w:hint="cs"/>
          <w:sz w:val="22"/>
          <w:rtl/>
          <w:lang w:val="en-GB" w:bidi="ar-EG"/>
        </w:rPr>
        <w:t>:</w:t>
      </w:r>
    </w:p>
    <w:p w:rsidR="00B35596" w:rsidRDefault="00E406EC" w:rsidP="007665C5">
      <w:pPr>
        <w:spacing w:after="100" w:line="204" w:lineRule="auto"/>
        <w:ind w:firstLine="720"/>
        <w:jc w:val="both"/>
        <w:rPr>
          <w:sz w:val="22"/>
          <w:rtl/>
          <w:lang w:val="en-GB" w:bidi="ar-EG"/>
        </w:rPr>
      </w:pPr>
      <w:r>
        <w:rPr>
          <w:rFonts w:hint="cs"/>
          <w:sz w:val="22"/>
          <w:rtl/>
          <w:lang w:val="en-GB" w:bidi="ar-EG"/>
        </w:rPr>
        <w:t>(أ)</w:t>
      </w:r>
      <w:r>
        <w:rPr>
          <w:rFonts w:hint="cs"/>
          <w:sz w:val="22"/>
          <w:rtl/>
          <w:lang w:val="en-GB" w:bidi="ar-EG"/>
        </w:rPr>
        <w:tab/>
      </w:r>
      <w:r w:rsidR="00B35596">
        <w:rPr>
          <w:rtl/>
        </w:rPr>
        <w:t>ز</w:t>
      </w:r>
      <w:r w:rsidR="00B35596">
        <w:rPr>
          <w:rFonts w:hint="cs"/>
          <w:rtl/>
        </w:rPr>
        <w:t>ي</w:t>
      </w:r>
      <w:r w:rsidR="00B35596">
        <w:rPr>
          <w:rtl/>
        </w:rPr>
        <w:t>ادة ا</w:t>
      </w:r>
      <w:r w:rsidR="00B35596">
        <w:rPr>
          <w:rFonts w:hint="cs"/>
          <w:rtl/>
        </w:rPr>
        <w:t>لم</w:t>
      </w:r>
      <w:r w:rsidR="00B35596">
        <w:rPr>
          <w:rtl/>
        </w:rPr>
        <w:t xml:space="preserve">دفوعات القائمة على </w:t>
      </w:r>
      <w:r w:rsidR="00B35596">
        <w:rPr>
          <w:rFonts w:hint="cs"/>
          <w:rtl/>
        </w:rPr>
        <w:t>المستخدمين والمساهمات في حساب تقاسم المنافع بصورة مستدامة ويمكن التنبؤ بها في الأجل الطويل؛</w:t>
      </w:r>
    </w:p>
    <w:p w:rsidR="00E406EC" w:rsidRDefault="00E406EC" w:rsidP="007665C5">
      <w:pPr>
        <w:spacing w:after="100" w:line="204" w:lineRule="auto"/>
        <w:ind w:firstLine="720"/>
        <w:jc w:val="both"/>
        <w:rPr>
          <w:sz w:val="22"/>
          <w:lang w:val="en-GB" w:bidi="ar-EG"/>
        </w:rPr>
      </w:pPr>
      <w:r>
        <w:rPr>
          <w:rFonts w:hint="cs"/>
          <w:sz w:val="22"/>
          <w:rtl/>
          <w:lang w:val="en-GB" w:bidi="ar-EG"/>
        </w:rPr>
        <w:t>(ب)</w:t>
      </w:r>
      <w:r>
        <w:rPr>
          <w:rFonts w:hint="cs"/>
          <w:sz w:val="22"/>
          <w:rtl/>
          <w:lang w:val="en-GB" w:bidi="ar-EG"/>
        </w:rPr>
        <w:tab/>
      </w:r>
      <w:r w:rsidR="007C0D14">
        <w:rPr>
          <w:rFonts w:hint="cs"/>
          <w:sz w:val="22"/>
          <w:rtl/>
          <w:lang w:val="en-GB" w:bidi="ar-EG"/>
        </w:rPr>
        <w:t xml:space="preserve">تعزيز </w:t>
      </w:r>
      <w:r w:rsidR="00B35596">
        <w:rPr>
          <w:rFonts w:hint="cs"/>
          <w:sz w:val="22"/>
          <w:rtl/>
          <w:lang w:val="en-GB" w:bidi="ar-EG"/>
        </w:rPr>
        <w:t>سير عمل</w:t>
      </w:r>
      <w:r w:rsidR="007C0D14">
        <w:rPr>
          <w:rFonts w:hint="cs"/>
          <w:sz w:val="22"/>
          <w:rtl/>
          <w:lang w:val="en-GB" w:bidi="ar-EG"/>
        </w:rPr>
        <w:t xml:space="preserve"> النظام المتعدد الأطراف </w:t>
      </w:r>
      <w:r w:rsidR="00391B79">
        <w:rPr>
          <w:rFonts w:hint="cs"/>
          <w:sz w:val="22"/>
          <w:rtl/>
          <w:lang w:val="en-GB" w:bidi="ar-EG"/>
        </w:rPr>
        <w:t xml:space="preserve">باتباع </w:t>
      </w:r>
      <w:r w:rsidR="007C0D14">
        <w:rPr>
          <w:rFonts w:hint="cs"/>
          <w:sz w:val="22"/>
          <w:rtl/>
          <w:lang w:val="en-GB" w:bidi="ar-EG"/>
        </w:rPr>
        <w:t>تدابير إضافية.</w:t>
      </w:r>
      <w:r w:rsidR="007C0D14">
        <w:rPr>
          <w:rStyle w:val="FootnoteReference"/>
          <w:sz w:val="22"/>
          <w:lang w:val="en-GB" w:bidi="ar-EG"/>
        </w:rPr>
        <w:footnoteReference w:id="84"/>
      </w:r>
    </w:p>
    <w:p w:rsidR="00E406EC" w:rsidRDefault="009845AB" w:rsidP="007665C5">
      <w:pPr>
        <w:numPr>
          <w:ilvl w:val="0"/>
          <w:numId w:val="27"/>
        </w:numPr>
        <w:spacing w:after="100" w:line="204" w:lineRule="auto"/>
        <w:ind w:left="0" w:firstLine="0"/>
        <w:jc w:val="both"/>
        <w:rPr>
          <w:sz w:val="22"/>
          <w:lang w:val="en-GB" w:bidi="ar-EG"/>
        </w:rPr>
      </w:pPr>
      <w:r>
        <w:rPr>
          <w:rFonts w:hint="cs"/>
          <w:sz w:val="22"/>
          <w:rtl/>
          <w:lang w:val="en-GB" w:bidi="ar-EG"/>
        </w:rPr>
        <w:t>و</w:t>
      </w:r>
      <w:r w:rsidR="00EF1937">
        <w:rPr>
          <w:rFonts w:hint="cs"/>
          <w:sz w:val="22"/>
          <w:rtl/>
          <w:lang w:val="en-GB" w:bidi="ar-EG"/>
        </w:rPr>
        <w:t xml:space="preserve">تحقيقا </w:t>
      </w:r>
      <w:r>
        <w:rPr>
          <w:rFonts w:hint="cs"/>
          <w:sz w:val="22"/>
          <w:rtl/>
          <w:lang w:val="en-GB" w:bidi="ar-EG"/>
        </w:rPr>
        <w:t>لهذا ال</w:t>
      </w:r>
      <w:r w:rsidR="00A862E8">
        <w:rPr>
          <w:rFonts w:hint="cs"/>
          <w:sz w:val="22"/>
          <w:rtl/>
          <w:lang w:val="en-GB" w:bidi="ar-EG"/>
        </w:rPr>
        <w:t>غرض</w:t>
      </w:r>
      <w:r>
        <w:rPr>
          <w:rFonts w:hint="cs"/>
          <w:sz w:val="22"/>
          <w:rtl/>
          <w:lang w:val="en-GB" w:bidi="ar-EG"/>
        </w:rPr>
        <w:t>، نظر</w:t>
      </w:r>
      <w:r w:rsidR="00391B79">
        <w:rPr>
          <w:rFonts w:hint="cs"/>
          <w:sz w:val="22"/>
          <w:rtl/>
          <w:lang w:val="en-GB" w:bidi="ar-EG"/>
        </w:rPr>
        <w:t>ت</w:t>
      </w:r>
      <w:r>
        <w:rPr>
          <w:rFonts w:hint="cs"/>
          <w:sz w:val="22"/>
          <w:rtl/>
          <w:lang w:val="en-GB" w:bidi="ar-EG"/>
        </w:rPr>
        <w:t xml:space="preserve"> </w:t>
      </w:r>
      <w:r w:rsidR="00391B79">
        <w:rPr>
          <w:rFonts w:hint="cs"/>
          <w:sz w:val="22"/>
          <w:rtl/>
          <w:lang w:val="en-GB" w:bidi="ar-EG"/>
        </w:rPr>
        <w:t>مجموعة العمل</w:t>
      </w:r>
      <w:r>
        <w:rPr>
          <w:rFonts w:hint="cs"/>
          <w:sz w:val="22"/>
          <w:rtl/>
          <w:lang w:val="en-GB" w:bidi="ar-EG"/>
        </w:rPr>
        <w:t xml:space="preserve"> في مراجعات الاتفاق الموحد لنقل المواد فضلا عن التغييرات الممكنة لنطاق النظام المتعدد الأطراف.</w:t>
      </w:r>
    </w:p>
    <w:p w:rsidR="00E406EC" w:rsidRDefault="00B35596" w:rsidP="007665C5">
      <w:pPr>
        <w:numPr>
          <w:ilvl w:val="0"/>
          <w:numId w:val="27"/>
        </w:numPr>
        <w:spacing w:after="100" w:line="204" w:lineRule="auto"/>
        <w:ind w:left="0" w:firstLine="0"/>
        <w:jc w:val="both"/>
        <w:rPr>
          <w:sz w:val="22"/>
          <w:lang w:val="en-GB" w:bidi="ar-EG"/>
        </w:rPr>
      </w:pPr>
      <w:r>
        <w:rPr>
          <w:rFonts w:hint="cs"/>
          <w:sz w:val="22"/>
          <w:rtl/>
          <w:lang w:val="en-GB" w:bidi="ar-EG"/>
        </w:rPr>
        <w:t xml:space="preserve">وفي </w:t>
      </w:r>
      <w:r w:rsidR="00363D8A">
        <w:rPr>
          <w:rFonts w:hint="cs"/>
          <w:sz w:val="22"/>
          <w:rtl/>
          <w:lang w:val="en-GB" w:bidi="ar-EG"/>
        </w:rPr>
        <w:t>دورته</w:t>
      </w:r>
      <w:r>
        <w:rPr>
          <w:rFonts w:hint="cs"/>
          <w:sz w:val="22"/>
          <w:rtl/>
          <w:lang w:val="en-GB" w:bidi="ar-EG"/>
        </w:rPr>
        <w:t xml:space="preserve"> السابعة، جدد الجهاز الرئاسي للمعاهدة ولاية </w:t>
      </w:r>
      <w:r w:rsidR="00363D8A">
        <w:rPr>
          <w:rFonts w:hint="cs"/>
          <w:sz w:val="22"/>
          <w:rtl/>
          <w:lang w:val="en-GB" w:bidi="ar-EG"/>
        </w:rPr>
        <w:t>مجموعة العمل</w:t>
      </w:r>
      <w:r>
        <w:rPr>
          <w:rFonts w:hint="cs"/>
          <w:sz w:val="22"/>
          <w:rtl/>
          <w:lang w:val="en-GB" w:bidi="ar-EG"/>
        </w:rPr>
        <w:t xml:space="preserve"> (القرار 2/</w:t>
      </w:r>
      <w:r w:rsidR="004D0813">
        <w:rPr>
          <w:rFonts w:hint="cs"/>
          <w:sz w:val="22"/>
          <w:rtl/>
          <w:lang w:val="en-GB" w:bidi="ar-EG"/>
        </w:rPr>
        <w:t>20</w:t>
      </w:r>
      <w:r>
        <w:rPr>
          <w:rFonts w:hint="cs"/>
          <w:sz w:val="22"/>
          <w:rtl/>
          <w:lang w:val="en-GB" w:bidi="ar-EG"/>
        </w:rPr>
        <w:t xml:space="preserve">17). ومن المتوقع أن يعقد اجتماعان </w:t>
      </w:r>
      <w:r w:rsidR="00363D8A">
        <w:rPr>
          <w:rFonts w:hint="cs"/>
          <w:sz w:val="22"/>
          <w:rtl/>
          <w:lang w:val="en-GB" w:bidi="ar-EG"/>
        </w:rPr>
        <w:t>لمجموعة العمل</w:t>
      </w:r>
      <w:r>
        <w:rPr>
          <w:rFonts w:hint="cs"/>
          <w:sz w:val="22"/>
          <w:rtl/>
          <w:lang w:val="en-GB" w:bidi="ar-EG"/>
        </w:rPr>
        <w:t xml:space="preserve"> في الفترة بين الدورات: واحد في أكتوبر/تشرين الأول 2018 وواحد في الربع الأول م</w:t>
      </w:r>
      <w:r w:rsidR="00237533">
        <w:rPr>
          <w:rFonts w:hint="cs"/>
          <w:sz w:val="22"/>
          <w:rtl/>
          <w:lang w:val="en-GB" w:bidi="ar-EG"/>
        </w:rPr>
        <w:t>ن</w:t>
      </w:r>
      <w:r>
        <w:rPr>
          <w:rFonts w:hint="cs"/>
          <w:sz w:val="22"/>
          <w:rtl/>
          <w:lang w:val="en-GB" w:bidi="ar-EG"/>
        </w:rPr>
        <w:t xml:space="preserve"> عام 2019.</w:t>
      </w:r>
    </w:p>
    <w:p w:rsidR="00E406EC" w:rsidRPr="00E406EC" w:rsidRDefault="00E406EC" w:rsidP="007665C5">
      <w:pPr>
        <w:spacing w:after="100" w:line="204" w:lineRule="auto"/>
        <w:ind w:left="1440" w:right="1080" w:hanging="720"/>
        <w:jc w:val="both"/>
        <w:rPr>
          <w:b/>
          <w:bCs/>
          <w:sz w:val="22"/>
          <w:lang w:val="en-GB"/>
        </w:rPr>
      </w:pPr>
      <w:r w:rsidRPr="00E406EC">
        <w:rPr>
          <w:rFonts w:hint="cs"/>
          <w:b/>
          <w:bCs/>
          <w:sz w:val="22"/>
          <w:rtl/>
          <w:lang w:val="en-GB" w:bidi="ar-EG"/>
        </w:rPr>
        <w:t>باء -</w:t>
      </w:r>
      <w:r w:rsidRPr="00E406EC">
        <w:rPr>
          <w:rFonts w:hint="cs"/>
          <w:b/>
          <w:bCs/>
          <w:sz w:val="22"/>
          <w:rtl/>
          <w:lang w:val="en-GB" w:bidi="ar-EG"/>
        </w:rPr>
        <w:tab/>
        <w:t xml:space="preserve">الجمعية العامة للأمم المتحدة </w:t>
      </w:r>
      <w:r w:rsidRPr="00E406EC">
        <w:rPr>
          <w:b/>
          <w:bCs/>
          <w:sz w:val="22"/>
          <w:rtl/>
          <w:lang w:val="en-GB" w:bidi="ar-EG"/>
        </w:rPr>
        <w:t>–</w:t>
      </w:r>
      <w:r w:rsidRPr="00E406EC">
        <w:rPr>
          <w:rFonts w:hint="cs"/>
          <w:b/>
          <w:bCs/>
          <w:sz w:val="22"/>
          <w:rtl/>
          <w:lang w:val="en-GB" w:bidi="ar-EG"/>
        </w:rPr>
        <w:t xml:space="preserve"> </w:t>
      </w:r>
      <w:r w:rsidR="00B533DF" w:rsidRPr="00000CF3">
        <w:rPr>
          <w:rFonts w:ascii="Simplified Arabic" w:hAnsi="Simplified Arabic"/>
          <w:b/>
          <w:bCs/>
          <w:sz w:val="24"/>
          <w:rtl/>
        </w:rPr>
        <w:t>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w:t>
      </w:r>
    </w:p>
    <w:p w:rsidR="00E406EC" w:rsidRPr="00B533DF" w:rsidRDefault="00B533DF" w:rsidP="007665C5">
      <w:pPr>
        <w:numPr>
          <w:ilvl w:val="0"/>
          <w:numId w:val="27"/>
        </w:numPr>
        <w:spacing w:after="100" w:line="204" w:lineRule="auto"/>
        <w:ind w:left="0" w:firstLine="0"/>
        <w:jc w:val="both"/>
        <w:rPr>
          <w:sz w:val="22"/>
          <w:lang w:val="en-GB" w:bidi="ar-EG"/>
        </w:rPr>
      </w:pPr>
      <w:r>
        <w:rPr>
          <w:rFonts w:hint="cs"/>
          <w:sz w:val="22"/>
          <w:rtl/>
          <w:lang w:val="en-GB" w:bidi="ar-EG"/>
        </w:rPr>
        <w:t xml:space="preserve">في قرارها 69/292، قررت الجمعية العامة إعداد </w:t>
      </w:r>
      <w:r w:rsidRPr="00B533DF">
        <w:rPr>
          <w:rFonts w:ascii="Simplified Arabic" w:hAnsi="Simplified Arabic"/>
          <w:sz w:val="24"/>
          <w:rtl/>
        </w:rPr>
        <w:t>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w:t>
      </w:r>
      <w:r>
        <w:rPr>
          <w:rFonts w:hint="cs"/>
          <w:sz w:val="22"/>
          <w:rtl/>
          <w:lang w:val="en-GB" w:bidi="ar-EG"/>
        </w:rPr>
        <w:t>. وتحقيقا لهذا الغرض، قررت الجمعية العامة أيضا إنشاء لجنة تحضيرية لإعداد توصيات جوهرية للجمعية العامة بشأن عناصر مشروع نص للصك الدولي الملزم قانونا في إطار اتفاقية الأمم المتحدة لقانون البحار.</w:t>
      </w:r>
    </w:p>
    <w:p w:rsidR="00E406EC" w:rsidRDefault="00B533DF" w:rsidP="007665C5">
      <w:pPr>
        <w:numPr>
          <w:ilvl w:val="0"/>
          <w:numId w:val="27"/>
        </w:numPr>
        <w:spacing w:after="100" w:line="204" w:lineRule="auto"/>
        <w:ind w:left="0" w:firstLine="0"/>
        <w:jc w:val="both"/>
        <w:rPr>
          <w:sz w:val="22"/>
          <w:lang w:val="en-GB" w:bidi="ar-EG"/>
        </w:rPr>
      </w:pPr>
      <w:r>
        <w:rPr>
          <w:rFonts w:hint="cs"/>
          <w:sz w:val="22"/>
          <w:rtl/>
          <w:lang w:val="en-GB" w:bidi="ar-EG"/>
        </w:rPr>
        <w:t>وأ</w:t>
      </w:r>
      <w:r w:rsidR="00581385">
        <w:rPr>
          <w:rFonts w:hint="cs"/>
          <w:sz w:val="22"/>
          <w:rtl/>
          <w:lang w:val="en-GB" w:bidi="ar-EG"/>
        </w:rPr>
        <w:t>كمل</w:t>
      </w:r>
      <w:r>
        <w:rPr>
          <w:rFonts w:hint="cs"/>
          <w:sz w:val="22"/>
          <w:rtl/>
          <w:lang w:val="en-GB" w:bidi="ar-EG"/>
        </w:rPr>
        <w:t xml:space="preserve">ت اللجنة التحضيرية عملها في 21 يوليه/تموز 2017 مع اعتماد تقريرها، بما في ذلك توصيات إلى الجمعية العامة بشأن عناصر مشروع نص في إطار اتفاقية الأمم المتحدة لقانون البحار </w:t>
      </w:r>
      <w:r w:rsidRPr="00010166">
        <w:rPr>
          <w:kern w:val="22"/>
          <w:sz w:val="22"/>
          <w:szCs w:val="22"/>
        </w:rPr>
        <w:t>(</w:t>
      </w:r>
      <w:hyperlink r:id="rId12" w:history="1">
        <w:r w:rsidRPr="00010166">
          <w:rPr>
            <w:rStyle w:val="Hyperlink"/>
            <w:kern w:val="22"/>
            <w:sz w:val="22"/>
            <w:szCs w:val="22"/>
          </w:rPr>
          <w:t>A/AC.287/2017/PC.4/2</w:t>
        </w:r>
      </w:hyperlink>
      <w:r w:rsidRPr="00010166">
        <w:rPr>
          <w:kern w:val="22"/>
          <w:sz w:val="22"/>
          <w:szCs w:val="22"/>
        </w:rPr>
        <w:t>)</w:t>
      </w:r>
      <w:r>
        <w:rPr>
          <w:rFonts w:hint="cs"/>
          <w:sz w:val="22"/>
          <w:rtl/>
          <w:lang w:val="en-GB" w:bidi="ar-EG"/>
        </w:rPr>
        <w:t>.</w:t>
      </w:r>
      <w:r w:rsidR="00581385">
        <w:rPr>
          <w:rFonts w:hint="cs"/>
          <w:sz w:val="22"/>
          <w:rtl/>
          <w:lang w:val="en-GB" w:bidi="ar-EG"/>
        </w:rPr>
        <w:t xml:space="preserve"> ويتم النظر من جانب الدول الأعضاء في المسائل المتعلقة بالحصول على الموارد ا</w:t>
      </w:r>
      <w:r w:rsidR="001F4A49">
        <w:rPr>
          <w:rFonts w:hint="cs"/>
          <w:sz w:val="22"/>
          <w:rtl/>
          <w:lang w:val="en-GB" w:bidi="ar-EG"/>
        </w:rPr>
        <w:t>ل</w:t>
      </w:r>
      <w:r w:rsidR="00581385">
        <w:rPr>
          <w:rFonts w:hint="cs"/>
          <w:sz w:val="22"/>
          <w:rtl/>
          <w:lang w:val="en-GB" w:bidi="ar-EG"/>
        </w:rPr>
        <w:t>بحرية الجينية وتقاسم المنافع الناشئة عن استخدامها في المناطق الواقعة خارج نطاق الولاية الوطنية، على النحو المبين في توصيات اللجنة التحضيرية (القسم الثالث من التقرير المشار إليه أعلاه) وفي مختلف العروض العامة للرئيس والأوراق غير الرسمية التي أعدت في سياق اللجنة التحضيرية.</w:t>
      </w:r>
    </w:p>
    <w:p w:rsidR="00E406EC" w:rsidRDefault="00AB1B93" w:rsidP="007665C5">
      <w:pPr>
        <w:numPr>
          <w:ilvl w:val="0"/>
          <w:numId w:val="27"/>
        </w:numPr>
        <w:spacing w:after="100" w:line="204" w:lineRule="auto"/>
        <w:ind w:left="0" w:firstLine="0"/>
        <w:jc w:val="both"/>
        <w:rPr>
          <w:sz w:val="22"/>
          <w:lang w:val="en-GB" w:bidi="ar-EG"/>
        </w:rPr>
      </w:pPr>
      <w:r>
        <w:rPr>
          <w:rFonts w:hint="cs"/>
          <w:sz w:val="22"/>
          <w:rtl/>
          <w:lang w:val="en-GB" w:bidi="ar-EG"/>
        </w:rPr>
        <w:t xml:space="preserve">وفي دورتها الثانية والسبعين، اعتمدت الجمعية العامة القرار </w:t>
      </w:r>
      <w:hyperlink r:id="rId13" w:history="1">
        <w:r w:rsidRPr="002251FC">
          <w:rPr>
            <w:rStyle w:val="Hyperlink"/>
            <w:rFonts w:hint="cs"/>
            <w:sz w:val="22"/>
            <w:rtl/>
            <w:lang w:val="en-GB" w:bidi="ar-EG"/>
          </w:rPr>
          <w:t>72/249</w:t>
        </w:r>
      </w:hyperlink>
      <w:r>
        <w:rPr>
          <w:rFonts w:hint="cs"/>
          <w:sz w:val="22"/>
          <w:rtl/>
          <w:lang w:val="en-GB" w:bidi="ar-EG"/>
        </w:rPr>
        <w:t xml:space="preserve"> بشأن </w:t>
      </w:r>
      <w:r w:rsidRPr="00B533DF">
        <w:rPr>
          <w:rFonts w:ascii="Simplified Arabic" w:hAnsi="Simplified Arabic"/>
          <w:sz w:val="24"/>
          <w:rtl/>
        </w:rPr>
        <w:t>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w:t>
      </w:r>
      <w:r>
        <w:rPr>
          <w:rFonts w:hint="cs"/>
          <w:sz w:val="22"/>
          <w:rtl/>
          <w:lang w:val="en-GB" w:bidi="ar-EG"/>
        </w:rPr>
        <w:t>.</w:t>
      </w:r>
      <w:r w:rsidR="002251FC">
        <w:rPr>
          <w:rFonts w:hint="cs"/>
          <w:sz w:val="22"/>
          <w:rtl/>
          <w:lang w:val="en-GB" w:bidi="ar-EG"/>
        </w:rPr>
        <w:t xml:space="preserve"> </w:t>
      </w:r>
      <w:r w:rsidR="001F4A49">
        <w:rPr>
          <w:rFonts w:hint="cs"/>
          <w:sz w:val="22"/>
          <w:rtl/>
          <w:lang w:val="en-GB" w:bidi="ar-EG"/>
        </w:rPr>
        <w:t>و</w:t>
      </w:r>
      <w:r w:rsidR="002251FC">
        <w:rPr>
          <w:rFonts w:hint="cs"/>
          <w:sz w:val="22"/>
          <w:rtl/>
          <w:lang w:val="en-GB" w:bidi="ar-EG"/>
        </w:rPr>
        <w:t>في القرار، قررت الجمعية العامة أن تعق</w:t>
      </w:r>
      <w:r w:rsidR="001F4A49">
        <w:rPr>
          <w:rFonts w:hint="cs"/>
          <w:sz w:val="22"/>
          <w:rtl/>
          <w:lang w:val="en-GB" w:bidi="ar-EG"/>
        </w:rPr>
        <w:t>د مؤتمرا لصياغة نص مثل هذا الصك</w:t>
      </w:r>
      <w:r w:rsidR="002251FC">
        <w:rPr>
          <w:rFonts w:hint="cs"/>
          <w:sz w:val="22"/>
          <w:rtl/>
          <w:lang w:val="en-GB" w:bidi="ar-EG"/>
        </w:rPr>
        <w:t>، بهدف إعداد ذلك الإطار في أقرب وقت ممكن. وستتناول المفاوضات المواضيع المحددة</w:t>
      </w:r>
      <w:r w:rsidR="002251FC">
        <w:rPr>
          <w:rFonts w:hint="cs"/>
          <w:rtl/>
        </w:rPr>
        <w:t xml:space="preserve"> </w:t>
      </w:r>
      <w:r w:rsidR="002251FC" w:rsidRPr="00733A36">
        <w:rPr>
          <w:rtl/>
        </w:rPr>
        <w:t xml:space="preserve">في المجموعة التي تمت الموافقة عليها في عام 2011، وتشمل الموارد </w:t>
      </w:r>
      <w:r w:rsidR="001F4A49">
        <w:rPr>
          <w:rFonts w:hint="cs"/>
          <w:rtl/>
        </w:rPr>
        <w:t xml:space="preserve">البحرية </w:t>
      </w:r>
      <w:r w:rsidR="001F4A49">
        <w:rPr>
          <w:rtl/>
        </w:rPr>
        <w:t>الجينية</w:t>
      </w:r>
      <w:r w:rsidR="002251FC" w:rsidRPr="00733A36">
        <w:rPr>
          <w:rtl/>
        </w:rPr>
        <w:t>، بما في ذلك ا</w:t>
      </w:r>
      <w:r w:rsidR="002251FC">
        <w:rPr>
          <w:rtl/>
        </w:rPr>
        <w:t>لمسائل المتعلقة بتقاسم المنافع</w:t>
      </w:r>
      <w:r w:rsidR="002251FC">
        <w:rPr>
          <w:rFonts w:hint="cs"/>
          <w:rtl/>
        </w:rPr>
        <w:t>.</w:t>
      </w:r>
      <w:r w:rsidR="002251FC">
        <w:rPr>
          <w:rStyle w:val="FootnoteReference"/>
          <w:rtl/>
        </w:rPr>
        <w:footnoteReference w:id="85"/>
      </w:r>
      <w:r w:rsidR="000542FA">
        <w:rPr>
          <w:rFonts w:hint="cs"/>
          <w:sz w:val="22"/>
          <w:rtl/>
          <w:lang w:val="en-GB" w:bidi="ar-EG"/>
        </w:rPr>
        <w:t xml:space="preserve"> وسيعقد المؤتمر </w:t>
      </w:r>
      <w:r w:rsidR="000542FA" w:rsidRPr="00733A36">
        <w:rPr>
          <w:rtl/>
        </w:rPr>
        <w:t xml:space="preserve">جلساته في أربع دورات تكون مدة كل منها </w:t>
      </w:r>
      <w:r w:rsidR="00B23FE5">
        <w:rPr>
          <w:rFonts w:hint="cs"/>
          <w:rtl/>
        </w:rPr>
        <w:t>10</w:t>
      </w:r>
      <w:r w:rsidR="000542FA" w:rsidRPr="00733A36">
        <w:rPr>
          <w:rtl/>
        </w:rPr>
        <w:t xml:space="preserve"> أيام عمل، على أن تُعقد الدورة الأولى في </w:t>
      </w:r>
      <w:r w:rsidR="000542FA">
        <w:rPr>
          <w:rFonts w:hint="cs"/>
          <w:rtl/>
        </w:rPr>
        <w:t>سبتمبر/أيلول</w:t>
      </w:r>
      <w:r w:rsidR="000542FA" w:rsidRPr="00733A36">
        <w:rPr>
          <w:rtl/>
        </w:rPr>
        <w:t xml:space="preserve"> </w:t>
      </w:r>
      <w:r w:rsidR="00AD4078">
        <w:rPr>
          <w:rFonts w:hint="cs"/>
          <w:rtl/>
        </w:rPr>
        <w:t>2018</w:t>
      </w:r>
      <w:r w:rsidR="000542FA">
        <w:rPr>
          <w:rFonts w:hint="cs"/>
          <w:rtl/>
        </w:rPr>
        <w:t>،</w:t>
      </w:r>
      <w:r w:rsidR="000542FA" w:rsidRPr="00733A36">
        <w:rPr>
          <w:rtl/>
        </w:rPr>
        <w:t xml:space="preserve"> وتُعقد الدورتان الثانية والثالثة في عام </w:t>
      </w:r>
      <w:r w:rsidR="00AD4078">
        <w:rPr>
          <w:rFonts w:hint="cs"/>
          <w:rtl/>
        </w:rPr>
        <w:t>2019</w:t>
      </w:r>
      <w:r w:rsidR="00EF1937">
        <w:rPr>
          <w:rFonts w:hint="cs"/>
          <w:rtl/>
        </w:rPr>
        <w:t>،</w:t>
      </w:r>
      <w:r w:rsidR="000542FA" w:rsidRPr="00733A36">
        <w:rPr>
          <w:rtl/>
        </w:rPr>
        <w:t xml:space="preserve"> وتُعقد الدورة الر</w:t>
      </w:r>
      <w:r w:rsidR="000542FA">
        <w:rPr>
          <w:rtl/>
        </w:rPr>
        <w:t xml:space="preserve">ابعة في النصف الأول من عام </w:t>
      </w:r>
      <w:r w:rsidR="00AD4078">
        <w:rPr>
          <w:rFonts w:hint="cs"/>
          <w:rtl/>
        </w:rPr>
        <w:t>2020</w:t>
      </w:r>
      <w:r w:rsidR="000542FA">
        <w:rPr>
          <w:rFonts w:hint="cs"/>
          <w:sz w:val="22"/>
          <w:rtl/>
          <w:lang w:val="en-GB" w:bidi="ar-EG"/>
        </w:rPr>
        <w:t>.</w:t>
      </w:r>
    </w:p>
    <w:p w:rsidR="00E406EC" w:rsidRPr="00E406EC" w:rsidRDefault="00E406EC" w:rsidP="00EF1937">
      <w:pPr>
        <w:keepNext/>
        <w:spacing w:after="100" w:line="204" w:lineRule="auto"/>
        <w:jc w:val="center"/>
        <w:rPr>
          <w:b/>
          <w:bCs/>
          <w:sz w:val="22"/>
          <w:lang w:val="en-GB" w:bidi="ar-EG"/>
        </w:rPr>
      </w:pPr>
      <w:r w:rsidRPr="00E406EC">
        <w:rPr>
          <w:rFonts w:hint="cs"/>
          <w:b/>
          <w:bCs/>
          <w:sz w:val="22"/>
          <w:rtl/>
          <w:lang w:val="en-GB" w:bidi="ar-EG"/>
        </w:rPr>
        <w:lastRenderedPageBreak/>
        <w:t>جيم -</w:t>
      </w:r>
      <w:r w:rsidRPr="00E406EC">
        <w:rPr>
          <w:rFonts w:hint="cs"/>
          <w:b/>
          <w:bCs/>
          <w:sz w:val="22"/>
          <w:rtl/>
          <w:lang w:val="en-GB" w:bidi="ar-EG"/>
        </w:rPr>
        <w:tab/>
        <w:t>منظمة الصحة العالمية</w:t>
      </w:r>
    </w:p>
    <w:p w:rsidR="0068077D" w:rsidRPr="0068077D" w:rsidRDefault="00E45EEC" w:rsidP="007665C5">
      <w:pPr>
        <w:numPr>
          <w:ilvl w:val="0"/>
          <w:numId w:val="27"/>
        </w:numPr>
        <w:shd w:val="clear" w:color="auto" w:fill="FFFFFF"/>
        <w:spacing w:after="100" w:line="204" w:lineRule="auto"/>
        <w:ind w:left="0" w:firstLine="0"/>
        <w:jc w:val="both"/>
        <w:textAlignment w:val="baseline"/>
        <w:rPr>
          <w:sz w:val="22"/>
          <w:lang w:bidi="ar-EG"/>
        </w:rPr>
      </w:pPr>
      <w:r w:rsidRPr="0068077D">
        <w:rPr>
          <w:rFonts w:hint="cs"/>
          <w:sz w:val="22"/>
          <w:rtl/>
          <w:lang w:val="en-GB" w:bidi="ar-EG"/>
        </w:rPr>
        <w:t xml:space="preserve">اعتمدت </w:t>
      </w:r>
      <w:r w:rsidR="0068077D" w:rsidRPr="0068077D">
        <w:rPr>
          <w:rFonts w:hint="cs"/>
          <w:sz w:val="22"/>
          <w:rtl/>
          <w:lang w:val="en-GB" w:bidi="ar-EG"/>
        </w:rPr>
        <w:t>جمعية الصحة العالمية في عام 2011</w:t>
      </w:r>
      <w:r w:rsidR="0068077D" w:rsidRPr="0068077D">
        <w:rPr>
          <w:rFonts w:ascii="Simplified Arabic" w:hAnsi="Simplified Arabic" w:hint="cs"/>
          <w:color w:val="333333"/>
          <w:sz w:val="24"/>
          <w:rtl/>
        </w:rPr>
        <w:t xml:space="preserve"> الإطار الخاص بالتأهب للأنفلونزا الجائحة لتبادل ف</w:t>
      </w:r>
      <w:r w:rsidR="006274D2">
        <w:rPr>
          <w:rFonts w:ascii="Simplified Arabic" w:hAnsi="Simplified Arabic" w:hint="cs"/>
          <w:color w:val="333333"/>
          <w:sz w:val="24"/>
          <w:rtl/>
        </w:rPr>
        <w:t>ي</w:t>
      </w:r>
      <w:r w:rsidR="0068077D" w:rsidRPr="0068077D">
        <w:rPr>
          <w:rFonts w:ascii="Simplified Arabic" w:hAnsi="Simplified Arabic" w:hint="cs"/>
          <w:color w:val="333333"/>
          <w:sz w:val="24"/>
          <w:rtl/>
        </w:rPr>
        <w:t xml:space="preserve">روسات الأنفلونزا والتوصل إلى اللقاحات والفوائد الأخرى </w:t>
      </w:r>
      <w:r w:rsidR="0068077D">
        <w:rPr>
          <w:rFonts w:ascii="Simplified Arabic" w:hAnsi="Simplified Arabic" w:hint="cs"/>
          <w:color w:val="333333"/>
          <w:sz w:val="24"/>
          <w:rtl/>
        </w:rPr>
        <w:t xml:space="preserve">("إطار </w:t>
      </w:r>
      <w:r w:rsidR="0068077D" w:rsidRPr="0068077D">
        <w:rPr>
          <w:rFonts w:cs="Times New Roman"/>
          <w:color w:val="333333"/>
          <w:sz w:val="22"/>
          <w:szCs w:val="22"/>
        </w:rPr>
        <w:t>PIP</w:t>
      </w:r>
      <w:r w:rsidR="0068077D">
        <w:rPr>
          <w:rFonts w:ascii="Simplified Arabic" w:hAnsi="Simplified Arabic" w:hint="cs"/>
          <w:color w:val="333333"/>
          <w:sz w:val="24"/>
          <w:rtl/>
        </w:rPr>
        <w:t>").</w:t>
      </w:r>
    </w:p>
    <w:p w:rsidR="00E406EC" w:rsidRDefault="006274D2" w:rsidP="002303B0">
      <w:pPr>
        <w:numPr>
          <w:ilvl w:val="0"/>
          <w:numId w:val="27"/>
        </w:numPr>
        <w:spacing w:after="100" w:line="204" w:lineRule="auto"/>
        <w:ind w:left="0" w:firstLine="0"/>
        <w:jc w:val="both"/>
        <w:rPr>
          <w:sz w:val="22"/>
          <w:lang w:val="en-GB" w:bidi="ar-EG"/>
        </w:rPr>
      </w:pPr>
      <w:r>
        <w:rPr>
          <w:rFonts w:hint="cs"/>
          <w:sz w:val="22"/>
          <w:rtl/>
          <w:lang w:val="en-GB" w:bidi="ar-EG"/>
        </w:rPr>
        <w:t>ويتناول القسم 7-4 من الإطار رصد واستعراض الإطار، وينص، ضمن جملة أمور على أن يعرض الإطار وملاحقه للمراجعة بحلول عام 2016 بهدف موافاة جمعية الصحة العالمية في عام 2017 بالتنقيحات التي تقتضيها التطورات، حسب الاقتضاء (القسم 7-4-2). و</w:t>
      </w:r>
      <w:r w:rsidR="00EF1937">
        <w:rPr>
          <w:rFonts w:hint="cs"/>
          <w:sz w:val="22"/>
          <w:rtl/>
          <w:lang w:val="en-GB" w:bidi="ar-EG"/>
        </w:rPr>
        <w:t xml:space="preserve">قدم </w:t>
      </w:r>
      <w:r>
        <w:rPr>
          <w:rFonts w:hint="cs"/>
          <w:sz w:val="22"/>
          <w:rtl/>
          <w:lang w:val="en-GB" w:bidi="ar-EG"/>
        </w:rPr>
        <w:t>فريق ا</w:t>
      </w:r>
      <w:r w:rsidR="00EF1937">
        <w:rPr>
          <w:rFonts w:hint="cs"/>
          <w:sz w:val="22"/>
          <w:rtl/>
          <w:lang w:val="en-GB" w:bidi="ar-EG"/>
        </w:rPr>
        <w:t>لا</w:t>
      </w:r>
      <w:r>
        <w:rPr>
          <w:rFonts w:hint="cs"/>
          <w:sz w:val="22"/>
          <w:rtl/>
          <w:lang w:val="en-GB" w:bidi="ar-EG"/>
        </w:rPr>
        <w:t xml:space="preserve">ستعراض </w:t>
      </w:r>
      <w:r w:rsidR="00EF1937">
        <w:rPr>
          <w:rFonts w:hint="cs"/>
          <w:sz w:val="22"/>
          <w:rtl/>
          <w:lang w:val="en-GB" w:bidi="ar-EG"/>
        </w:rPr>
        <w:t xml:space="preserve">أنشئ </w:t>
      </w:r>
      <w:r>
        <w:rPr>
          <w:rFonts w:hint="cs"/>
          <w:sz w:val="22"/>
          <w:rtl/>
          <w:lang w:val="en-GB" w:bidi="ar-EG"/>
        </w:rPr>
        <w:t xml:space="preserve">للاضطلاع بهذا العمل تقريره النهائي إلى المدير العام لمنظمة الصحة العالمية في أكتوبر/تشرين الأول 2016 لكي تنظر فيه الدورة المائة والأربعون </w:t>
      </w:r>
      <w:r w:rsidR="00B23FE5">
        <w:rPr>
          <w:rFonts w:hint="cs"/>
          <w:sz w:val="22"/>
          <w:rtl/>
          <w:lang w:val="en-GB" w:bidi="ar-EG"/>
        </w:rPr>
        <w:t xml:space="preserve">للمجلس التنفيذي لمنظمة الصحة العالمية وجمعية الصحة العالمية السبعون (المعقودة في </w:t>
      </w:r>
      <w:r w:rsidR="002303B0">
        <w:rPr>
          <w:rFonts w:hint="cs"/>
          <w:sz w:val="22"/>
          <w:rtl/>
          <w:lang w:val="en-GB" w:bidi="ar-EG"/>
        </w:rPr>
        <w:t>مايو/أيار</w:t>
      </w:r>
      <w:r w:rsidR="00B23FE5">
        <w:rPr>
          <w:rFonts w:hint="cs"/>
          <w:sz w:val="22"/>
          <w:rtl/>
          <w:lang w:val="en-GB" w:bidi="ar-EG"/>
        </w:rPr>
        <w:t xml:space="preserve"> 2017).</w:t>
      </w:r>
    </w:p>
    <w:p w:rsidR="00E406EC" w:rsidRDefault="00B23FE5" w:rsidP="007665C5">
      <w:pPr>
        <w:numPr>
          <w:ilvl w:val="0"/>
          <w:numId w:val="27"/>
        </w:numPr>
        <w:spacing w:after="100" w:line="204" w:lineRule="auto"/>
        <w:ind w:left="0" w:firstLine="0"/>
        <w:jc w:val="both"/>
        <w:rPr>
          <w:sz w:val="22"/>
          <w:lang w:val="en-GB" w:bidi="ar-EG"/>
        </w:rPr>
      </w:pPr>
      <w:r>
        <w:rPr>
          <w:rFonts w:hint="cs"/>
          <w:sz w:val="22"/>
          <w:rtl/>
          <w:lang w:val="en-GB" w:bidi="ar-EG"/>
        </w:rPr>
        <w:t xml:space="preserve">وتناولت مراجعة </w:t>
      </w:r>
      <w:r>
        <w:rPr>
          <w:rFonts w:ascii="Simplified Arabic" w:hAnsi="Simplified Arabic" w:hint="cs"/>
          <w:color w:val="333333"/>
          <w:sz w:val="24"/>
          <w:rtl/>
        </w:rPr>
        <w:t xml:space="preserve">"إطار </w:t>
      </w:r>
      <w:r w:rsidRPr="0068077D">
        <w:rPr>
          <w:rFonts w:cs="Times New Roman"/>
          <w:color w:val="333333"/>
          <w:sz w:val="22"/>
          <w:szCs w:val="22"/>
        </w:rPr>
        <w:t>PIP</w:t>
      </w:r>
      <w:r>
        <w:rPr>
          <w:rFonts w:ascii="Simplified Arabic" w:hAnsi="Simplified Arabic" w:hint="cs"/>
          <w:color w:val="333333"/>
          <w:sz w:val="24"/>
          <w:rtl/>
        </w:rPr>
        <w:t>" مسائل من ضمنها توسيع مدى نطاق</w:t>
      </w:r>
      <w:r w:rsidR="006F764B">
        <w:rPr>
          <w:rFonts w:ascii="Simplified Arabic" w:hAnsi="Simplified Arabic" w:hint="cs"/>
          <w:color w:val="333333"/>
          <w:sz w:val="24"/>
          <w:rtl/>
        </w:rPr>
        <w:t xml:space="preserve"> الإطار</w:t>
      </w:r>
      <w:r>
        <w:rPr>
          <w:rFonts w:ascii="Simplified Arabic" w:hAnsi="Simplified Arabic" w:hint="cs"/>
          <w:color w:val="333333"/>
          <w:sz w:val="24"/>
          <w:rtl/>
        </w:rPr>
        <w:t xml:space="preserve"> ليشمل الأنفلونزا الموسمية وبيانات </w:t>
      </w:r>
      <w:r w:rsidR="006F764B">
        <w:rPr>
          <w:rFonts w:ascii="Simplified Arabic" w:hAnsi="Simplified Arabic" w:hint="cs"/>
          <w:color w:val="333333"/>
          <w:sz w:val="24"/>
          <w:rtl/>
        </w:rPr>
        <w:t>المتواليات</w:t>
      </w:r>
      <w:r>
        <w:rPr>
          <w:rFonts w:ascii="Simplified Arabic" w:hAnsi="Simplified Arabic" w:hint="cs"/>
          <w:color w:val="333333"/>
          <w:sz w:val="24"/>
          <w:rtl/>
        </w:rPr>
        <w:t xml:space="preserve"> الجيني</w:t>
      </w:r>
      <w:r w:rsidR="006F764B">
        <w:rPr>
          <w:rFonts w:ascii="Simplified Arabic" w:hAnsi="Simplified Arabic" w:hint="cs"/>
          <w:color w:val="333333"/>
          <w:sz w:val="24"/>
          <w:rtl/>
        </w:rPr>
        <w:t>ة</w:t>
      </w:r>
      <w:r>
        <w:rPr>
          <w:rFonts w:ascii="Simplified Arabic" w:hAnsi="Simplified Arabic" w:hint="cs"/>
          <w:color w:val="333333"/>
          <w:sz w:val="24"/>
          <w:rtl/>
        </w:rPr>
        <w:t>.</w:t>
      </w:r>
    </w:p>
    <w:p w:rsidR="009A4A5D" w:rsidRPr="002C38B2" w:rsidRDefault="006F764B" w:rsidP="002303B0">
      <w:pPr>
        <w:numPr>
          <w:ilvl w:val="0"/>
          <w:numId w:val="27"/>
        </w:numPr>
        <w:spacing w:after="100" w:line="204" w:lineRule="auto"/>
        <w:ind w:left="0" w:firstLine="0"/>
        <w:jc w:val="both"/>
        <w:rPr>
          <w:sz w:val="22"/>
          <w:lang w:val="en-GB" w:bidi="ar-EG"/>
        </w:rPr>
      </w:pPr>
      <w:r>
        <w:rPr>
          <w:rFonts w:hint="cs"/>
          <w:sz w:val="22"/>
          <w:rtl/>
          <w:lang w:val="en-GB" w:bidi="ar-EG"/>
        </w:rPr>
        <w:t>وعقب ا</w:t>
      </w:r>
      <w:r w:rsidR="00BE44DF" w:rsidRPr="002C38B2">
        <w:rPr>
          <w:rFonts w:hint="cs"/>
          <w:sz w:val="22"/>
          <w:rtl/>
          <w:lang w:val="en-GB" w:bidi="ar-EG"/>
        </w:rPr>
        <w:t>لتقرير، اعتمدت جمعية الصحة العالمية السبعون ال</w:t>
      </w:r>
      <w:r w:rsidR="002C38B2" w:rsidRPr="002C38B2">
        <w:rPr>
          <w:rFonts w:hint="cs"/>
          <w:sz w:val="22"/>
          <w:rtl/>
          <w:lang w:val="en-GB" w:bidi="ar-EG"/>
        </w:rPr>
        <w:t>مقر</w:t>
      </w:r>
      <w:r w:rsidR="00BE44DF" w:rsidRPr="002C38B2">
        <w:rPr>
          <w:rFonts w:hint="cs"/>
          <w:sz w:val="22"/>
          <w:rtl/>
          <w:lang w:val="en-GB" w:bidi="ar-EG"/>
        </w:rPr>
        <w:t>ر</w:t>
      </w:r>
      <w:r w:rsidR="002C38B2" w:rsidRPr="002C38B2">
        <w:rPr>
          <w:rFonts w:hint="cs"/>
          <w:sz w:val="22"/>
          <w:rtl/>
          <w:lang w:val="en-GB" w:bidi="ar-EG"/>
        </w:rPr>
        <w:t xml:space="preserve"> الإجرائي</w:t>
      </w:r>
      <w:r w:rsidR="00BE44DF" w:rsidRPr="002C38B2">
        <w:rPr>
          <w:rFonts w:hint="cs"/>
          <w:sz w:val="22"/>
          <w:rtl/>
          <w:lang w:val="en-GB" w:bidi="ar-EG"/>
        </w:rPr>
        <w:t xml:space="preserve"> </w:t>
      </w:r>
      <w:r w:rsidR="009A4A5D" w:rsidRPr="002C38B2">
        <w:rPr>
          <w:sz w:val="22"/>
          <w:lang w:bidi="ar-EG"/>
        </w:rPr>
        <w:t>WHA70(10)</w:t>
      </w:r>
      <w:r w:rsidR="009A4A5D" w:rsidRPr="002C38B2">
        <w:rPr>
          <w:rFonts w:hint="cs"/>
          <w:sz w:val="22"/>
          <w:rtl/>
          <w:lang w:val="en-GB" w:bidi="ar-EG"/>
        </w:rPr>
        <w:t xml:space="preserve">. واشتمل </w:t>
      </w:r>
      <w:r>
        <w:rPr>
          <w:rFonts w:hint="cs"/>
          <w:sz w:val="22"/>
          <w:rtl/>
          <w:lang w:val="en-GB" w:bidi="ar-EG"/>
        </w:rPr>
        <w:t xml:space="preserve">المقرر </w:t>
      </w:r>
      <w:r w:rsidR="002C38B2" w:rsidRPr="002C38B2">
        <w:rPr>
          <w:rFonts w:hint="cs"/>
          <w:sz w:val="22"/>
          <w:rtl/>
          <w:lang w:val="en-GB" w:bidi="ar-EG"/>
        </w:rPr>
        <w:t>على طلب</w:t>
      </w:r>
      <w:r w:rsidR="009A4A5D" w:rsidRPr="002C38B2">
        <w:rPr>
          <w:rFonts w:hint="cs"/>
          <w:sz w:val="22"/>
          <w:rtl/>
          <w:lang w:val="en-GB" w:bidi="ar-EG"/>
        </w:rPr>
        <w:t xml:space="preserve"> إلى المدير ال</w:t>
      </w:r>
      <w:r w:rsidR="002303B0">
        <w:rPr>
          <w:rFonts w:hint="cs"/>
          <w:sz w:val="22"/>
          <w:rtl/>
          <w:lang w:val="en-GB" w:bidi="ar-EG"/>
        </w:rPr>
        <w:t>عام</w:t>
      </w:r>
      <w:r w:rsidR="009A4A5D" w:rsidRPr="002C38B2">
        <w:rPr>
          <w:rFonts w:hint="cs"/>
          <w:sz w:val="22"/>
          <w:rtl/>
          <w:lang w:val="en-GB" w:bidi="ar-EG"/>
        </w:rPr>
        <w:t xml:space="preserve">، </w:t>
      </w:r>
      <w:r w:rsidR="009A4A5D">
        <w:rPr>
          <w:rtl/>
        </w:rPr>
        <w:t>أن يجري، بخصوص توصيات الفري</w:t>
      </w:r>
      <w:r w:rsidR="001F4A49">
        <w:rPr>
          <w:rtl/>
        </w:rPr>
        <w:t>ق المعني باستعراض الإطار</w:t>
      </w:r>
      <w:r w:rsidR="002C38B2">
        <w:rPr>
          <w:rFonts w:hint="cs"/>
          <w:rtl/>
        </w:rPr>
        <w:t xml:space="preserve"> </w:t>
      </w:r>
      <w:r w:rsidR="009A4A5D">
        <w:rPr>
          <w:rtl/>
        </w:rPr>
        <w:t xml:space="preserve">المتعلقة بالأنفلونزا الموسمية وبيانات المتواليات </w:t>
      </w:r>
      <w:r w:rsidR="002C38B2">
        <w:rPr>
          <w:rtl/>
        </w:rPr>
        <w:t>الجينية</w:t>
      </w:r>
      <w:r w:rsidR="009A4A5D">
        <w:rPr>
          <w:rtl/>
        </w:rPr>
        <w:t xml:space="preserve">، تحليلا </w:t>
      </w:r>
      <w:r w:rsidR="002C38B2">
        <w:rPr>
          <w:rFonts w:hint="cs"/>
          <w:rtl/>
        </w:rPr>
        <w:t xml:space="preserve">دقيقا وتداوليا </w:t>
      </w:r>
      <w:r w:rsidR="009A4A5D">
        <w:rPr>
          <w:rtl/>
        </w:rPr>
        <w:t>للمسائل المطروحة</w:t>
      </w:r>
      <w:r w:rsidR="002C38B2">
        <w:rPr>
          <w:rFonts w:hint="cs"/>
          <w:rtl/>
        </w:rPr>
        <w:t>،</w:t>
      </w:r>
      <w:r w:rsidR="009A4A5D">
        <w:rPr>
          <w:rtl/>
        </w:rPr>
        <w:t xml:space="preserve"> يشمل الآثار المترتبة على اتباع الن</w:t>
      </w:r>
      <w:r w:rsidR="002C38B2">
        <w:rPr>
          <w:rFonts w:hint="cs"/>
          <w:rtl/>
        </w:rPr>
        <w:t>ُهج</w:t>
      </w:r>
      <w:r w:rsidR="009A4A5D">
        <w:rPr>
          <w:rtl/>
        </w:rPr>
        <w:t xml:space="preserve"> المحتملة أو عدم اتباعها </w:t>
      </w:r>
      <w:r w:rsidR="002C38B2">
        <w:rPr>
          <w:rFonts w:hint="cs"/>
          <w:rtl/>
        </w:rPr>
        <w:t>(الفقرة 8(ب)).</w:t>
      </w:r>
      <w:r w:rsidR="002C38B2">
        <w:rPr>
          <w:rFonts w:hint="cs"/>
          <w:sz w:val="22"/>
          <w:rtl/>
          <w:lang w:val="en-GB"/>
        </w:rPr>
        <w:t xml:space="preserve"> </w:t>
      </w:r>
      <w:r w:rsidR="002C38B2">
        <w:rPr>
          <w:rFonts w:hint="cs"/>
          <w:sz w:val="22"/>
          <w:rtl/>
          <w:lang w:val="en-GB" w:bidi="ar-EG"/>
        </w:rPr>
        <w:t>وطلبت جمعية الصحة العالمية أيضا إلى المدير ال</w:t>
      </w:r>
      <w:r w:rsidR="001F4A49">
        <w:rPr>
          <w:rFonts w:hint="cs"/>
          <w:sz w:val="22"/>
          <w:rtl/>
          <w:lang w:val="en-GB" w:bidi="ar-EG"/>
        </w:rPr>
        <w:t>عام</w:t>
      </w:r>
      <w:r w:rsidR="002C38B2">
        <w:rPr>
          <w:rFonts w:hint="cs"/>
          <w:sz w:val="22"/>
          <w:rtl/>
          <w:lang w:val="en-GB" w:bidi="ar-EG"/>
        </w:rPr>
        <w:t xml:space="preserve"> أن يواصل المشاورات مع أمانة اتفاقية التنوع البيولوجي (الفقرة 8(و)).</w:t>
      </w:r>
    </w:p>
    <w:p w:rsidR="00E406EC" w:rsidRDefault="002C38B2" w:rsidP="007665C5">
      <w:pPr>
        <w:numPr>
          <w:ilvl w:val="0"/>
          <w:numId w:val="27"/>
        </w:numPr>
        <w:spacing w:after="100" w:line="204" w:lineRule="auto"/>
        <w:ind w:left="0" w:firstLine="0"/>
        <w:jc w:val="both"/>
        <w:rPr>
          <w:sz w:val="22"/>
          <w:lang w:val="en-GB" w:bidi="ar-EG"/>
        </w:rPr>
      </w:pPr>
      <w:r>
        <w:rPr>
          <w:rFonts w:hint="cs"/>
          <w:sz w:val="22"/>
          <w:rtl/>
          <w:lang w:val="en-GB" w:bidi="ar-EG"/>
        </w:rPr>
        <w:t xml:space="preserve">ولتنفيذ الطلب في الفقرة 8(ب)، </w:t>
      </w:r>
      <w:r w:rsidR="001F4A49">
        <w:rPr>
          <w:rFonts w:hint="cs"/>
          <w:sz w:val="22"/>
          <w:rtl/>
          <w:lang w:val="en-GB" w:bidi="ar-EG"/>
        </w:rPr>
        <w:t>شرع</w:t>
      </w:r>
      <w:r>
        <w:rPr>
          <w:rFonts w:hint="cs"/>
          <w:sz w:val="22"/>
          <w:rtl/>
          <w:lang w:val="en-GB" w:bidi="ar-EG"/>
        </w:rPr>
        <w:t xml:space="preserve"> المدير العام </w:t>
      </w:r>
      <w:r w:rsidR="001F4A49">
        <w:rPr>
          <w:rFonts w:hint="cs"/>
          <w:sz w:val="22"/>
          <w:rtl/>
          <w:lang w:val="en-GB" w:bidi="ar-EG"/>
        </w:rPr>
        <w:t>في تحليل</w:t>
      </w:r>
      <w:r>
        <w:rPr>
          <w:rFonts w:hint="cs"/>
          <w:sz w:val="22"/>
          <w:rtl/>
          <w:lang w:val="en-GB" w:bidi="ar-EG"/>
        </w:rPr>
        <w:t xml:space="preserve"> لمعالجة الآثار المترتبة على اتباع النُهج المحتملة أو عدم اتباعها من أجل: إدراج فيروسات الأنفلونزا الموسمية </w:t>
      </w:r>
      <w:r w:rsidR="00CA639B">
        <w:rPr>
          <w:rFonts w:hint="cs"/>
          <w:sz w:val="22"/>
          <w:rtl/>
          <w:lang w:val="en-GB" w:bidi="ar-EG"/>
        </w:rPr>
        <w:t xml:space="preserve">في </w:t>
      </w:r>
      <w:r w:rsidR="00CA639B">
        <w:rPr>
          <w:rFonts w:ascii="Simplified Arabic" w:hAnsi="Simplified Arabic" w:hint="cs"/>
          <w:color w:val="333333"/>
          <w:sz w:val="24"/>
          <w:rtl/>
        </w:rPr>
        <w:t xml:space="preserve">"إطار </w:t>
      </w:r>
      <w:r w:rsidR="00CA639B" w:rsidRPr="0068077D">
        <w:rPr>
          <w:rFonts w:cs="Times New Roman"/>
          <w:color w:val="333333"/>
          <w:sz w:val="22"/>
          <w:szCs w:val="22"/>
        </w:rPr>
        <w:t>PIP</w:t>
      </w:r>
      <w:r w:rsidR="00CA639B">
        <w:rPr>
          <w:rFonts w:ascii="Simplified Arabic" w:hAnsi="Simplified Arabic" w:hint="cs"/>
          <w:color w:val="333333"/>
          <w:sz w:val="24"/>
          <w:rtl/>
        </w:rPr>
        <w:t>"</w:t>
      </w:r>
      <w:r w:rsidR="00CA639B">
        <w:rPr>
          <w:rFonts w:hint="cs"/>
          <w:sz w:val="22"/>
          <w:rtl/>
          <w:lang w:val="en-GB" w:bidi="ar-EG"/>
        </w:rPr>
        <w:t xml:space="preserve">؛ (ب) </w:t>
      </w:r>
      <w:r w:rsidR="001F4A49">
        <w:rPr>
          <w:rFonts w:hint="cs"/>
          <w:sz w:val="22"/>
          <w:rtl/>
          <w:lang w:val="en-GB" w:bidi="ar-EG"/>
        </w:rPr>
        <w:t>و</w:t>
      </w:r>
      <w:r w:rsidR="00CA639B">
        <w:rPr>
          <w:rFonts w:hint="cs"/>
          <w:sz w:val="22"/>
          <w:rtl/>
          <w:lang w:val="en-GB" w:bidi="ar-EG"/>
        </w:rPr>
        <w:t xml:space="preserve">بيانات المتواليات الجينية </w:t>
      </w:r>
      <w:r w:rsidR="006F764B">
        <w:rPr>
          <w:rFonts w:hint="cs"/>
          <w:sz w:val="22"/>
          <w:rtl/>
          <w:lang w:val="en-GB" w:bidi="ar-EG"/>
        </w:rPr>
        <w:t>في</w:t>
      </w:r>
      <w:r w:rsidR="00CA639B">
        <w:rPr>
          <w:rFonts w:hint="cs"/>
          <w:sz w:val="22"/>
          <w:rtl/>
          <w:lang w:val="en-GB" w:bidi="ar-EG"/>
        </w:rPr>
        <w:t xml:space="preserve"> </w:t>
      </w:r>
      <w:r w:rsidR="00CA639B">
        <w:rPr>
          <w:rFonts w:ascii="Simplified Arabic" w:hAnsi="Simplified Arabic" w:hint="cs"/>
          <w:color w:val="333333"/>
          <w:sz w:val="24"/>
          <w:rtl/>
        </w:rPr>
        <w:t xml:space="preserve">"إطار </w:t>
      </w:r>
      <w:r w:rsidR="00CA639B" w:rsidRPr="0068077D">
        <w:rPr>
          <w:rFonts w:cs="Times New Roman"/>
          <w:color w:val="333333"/>
          <w:sz w:val="22"/>
          <w:szCs w:val="22"/>
        </w:rPr>
        <w:t>PIP</w:t>
      </w:r>
      <w:r w:rsidR="00CA639B">
        <w:rPr>
          <w:rFonts w:ascii="Simplified Arabic" w:hAnsi="Simplified Arabic" w:hint="cs"/>
          <w:color w:val="333333"/>
          <w:sz w:val="24"/>
          <w:rtl/>
        </w:rPr>
        <w:t>"</w:t>
      </w:r>
      <w:r w:rsidR="00CA639B">
        <w:rPr>
          <w:rFonts w:hint="cs"/>
          <w:sz w:val="22"/>
          <w:rtl/>
          <w:lang w:val="en-GB" w:bidi="ar-EG"/>
        </w:rPr>
        <w:t xml:space="preserve">. ويجري العمل بشأن التحليل </w:t>
      </w:r>
      <w:r w:rsidR="00FB0144">
        <w:rPr>
          <w:rFonts w:hint="cs"/>
          <w:sz w:val="22"/>
          <w:rtl/>
          <w:lang w:val="en-GB" w:bidi="ar-EG"/>
        </w:rPr>
        <w:t>الذي تقرر مبدئيا</w:t>
      </w:r>
      <w:r w:rsidR="00CA639B">
        <w:rPr>
          <w:rFonts w:hint="cs"/>
          <w:sz w:val="22"/>
          <w:rtl/>
          <w:lang w:val="en-GB" w:bidi="ar-EG"/>
        </w:rPr>
        <w:t xml:space="preserve"> نشر </w:t>
      </w:r>
      <w:r w:rsidR="00236175">
        <w:rPr>
          <w:rFonts w:hint="cs"/>
          <w:sz w:val="22"/>
          <w:rtl/>
          <w:lang w:val="en-GB" w:bidi="ar-EG"/>
        </w:rPr>
        <w:t>مشروع منه</w:t>
      </w:r>
      <w:r w:rsidR="00CA639B">
        <w:rPr>
          <w:rFonts w:hint="cs"/>
          <w:sz w:val="22"/>
          <w:rtl/>
          <w:lang w:val="en-GB" w:bidi="ar-EG"/>
        </w:rPr>
        <w:t xml:space="preserve"> في سبتمبر/أيلول-أكتوبر/تشرين الأول 2018</w:t>
      </w:r>
      <w:r w:rsidR="00F25350">
        <w:rPr>
          <w:rFonts w:hint="cs"/>
          <w:sz w:val="22"/>
          <w:rtl/>
          <w:lang w:val="en-GB" w:bidi="ar-EG"/>
        </w:rPr>
        <w:t>.</w:t>
      </w:r>
      <w:r w:rsidR="00F25350">
        <w:rPr>
          <w:rStyle w:val="FootnoteReference"/>
          <w:sz w:val="22"/>
          <w:rtl/>
          <w:lang w:val="en-GB" w:bidi="ar-EG"/>
        </w:rPr>
        <w:footnoteReference w:id="86"/>
      </w:r>
    </w:p>
    <w:p w:rsidR="00E406EC" w:rsidRDefault="00DE6226" w:rsidP="007665C5">
      <w:pPr>
        <w:numPr>
          <w:ilvl w:val="0"/>
          <w:numId w:val="27"/>
        </w:numPr>
        <w:spacing w:after="100" w:line="204" w:lineRule="auto"/>
        <w:ind w:left="0" w:firstLine="0"/>
        <w:jc w:val="both"/>
        <w:rPr>
          <w:sz w:val="22"/>
          <w:lang w:val="en-GB" w:bidi="ar-EG"/>
        </w:rPr>
      </w:pPr>
      <w:r>
        <w:rPr>
          <w:rFonts w:hint="cs"/>
          <w:sz w:val="22"/>
          <w:rtl/>
          <w:lang w:val="en-GB" w:bidi="ar-EG"/>
        </w:rPr>
        <w:t xml:space="preserve">وبالإضافة إلى ذلك، أعد المدير العام تقريرا عن التقدم المحرز في تنفيذ </w:t>
      </w:r>
      <w:r w:rsidR="00BE44DF">
        <w:rPr>
          <w:rFonts w:hint="cs"/>
          <w:sz w:val="22"/>
          <w:rtl/>
          <w:lang w:val="en-GB" w:bidi="ar-EG"/>
        </w:rPr>
        <w:t>ال</w:t>
      </w:r>
      <w:r w:rsidR="00FB0144">
        <w:rPr>
          <w:rFonts w:hint="cs"/>
          <w:sz w:val="22"/>
          <w:rtl/>
          <w:lang w:val="en-GB" w:bidi="ar-EG"/>
        </w:rPr>
        <w:t>مقر</w:t>
      </w:r>
      <w:r w:rsidR="00BE44DF">
        <w:rPr>
          <w:rFonts w:hint="cs"/>
          <w:sz w:val="22"/>
          <w:rtl/>
          <w:lang w:val="en-GB" w:bidi="ar-EG"/>
        </w:rPr>
        <w:t xml:space="preserve">ر الإجرائي </w:t>
      </w:r>
      <w:r w:rsidR="00BE44DF">
        <w:rPr>
          <w:sz w:val="22"/>
          <w:lang w:bidi="ar-EG"/>
        </w:rPr>
        <w:t>WHA70(10)</w:t>
      </w:r>
      <w:r w:rsidR="00BE44DF">
        <w:rPr>
          <w:rFonts w:hint="cs"/>
          <w:sz w:val="22"/>
          <w:rtl/>
          <w:lang w:val="en-GB" w:bidi="ar-EG"/>
        </w:rPr>
        <w:t xml:space="preserve"> لكي تنظر فيه جمعية الصحة العالمية الحادية والسبع</w:t>
      </w:r>
      <w:r w:rsidR="00FB0144">
        <w:rPr>
          <w:rFonts w:hint="cs"/>
          <w:sz w:val="22"/>
          <w:rtl/>
          <w:lang w:val="en-GB" w:bidi="ar-EG"/>
        </w:rPr>
        <w:t>و</w:t>
      </w:r>
      <w:r w:rsidR="00BE44DF">
        <w:rPr>
          <w:rFonts w:hint="cs"/>
          <w:sz w:val="22"/>
          <w:rtl/>
          <w:lang w:val="en-GB" w:bidi="ar-EG"/>
        </w:rPr>
        <w:t>ن (المعقودة من 21 إلى 26 مايو/أيار 2018)</w:t>
      </w:r>
      <w:r w:rsidR="00F25350">
        <w:rPr>
          <w:rFonts w:hint="cs"/>
          <w:sz w:val="22"/>
          <w:rtl/>
          <w:lang w:val="en-GB" w:bidi="ar-EG"/>
        </w:rPr>
        <w:t>.</w:t>
      </w:r>
      <w:r w:rsidR="00F25350">
        <w:rPr>
          <w:rStyle w:val="FootnoteReference"/>
          <w:sz w:val="22"/>
          <w:rtl/>
          <w:lang w:val="en-GB" w:bidi="ar-EG"/>
        </w:rPr>
        <w:footnoteReference w:id="87"/>
      </w:r>
    </w:p>
    <w:p w:rsidR="00E406EC" w:rsidRPr="00E406EC" w:rsidRDefault="00E406EC" w:rsidP="007665C5">
      <w:pPr>
        <w:spacing w:after="100" w:line="204" w:lineRule="auto"/>
        <w:jc w:val="center"/>
        <w:rPr>
          <w:b/>
          <w:bCs/>
          <w:sz w:val="28"/>
          <w:szCs w:val="28"/>
          <w:lang w:val="en-GB" w:bidi="ar-EG"/>
        </w:rPr>
      </w:pPr>
      <w:r w:rsidRPr="00E406EC">
        <w:rPr>
          <w:rFonts w:hint="cs"/>
          <w:b/>
          <w:bCs/>
          <w:sz w:val="28"/>
          <w:szCs w:val="28"/>
          <w:rtl/>
          <w:lang w:val="en-GB" w:bidi="ar-EG"/>
        </w:rPr>
        <w:t>رابعا -</w:t>
      </w:r>
      <w:r w:rsidRPr="00E406EC">
        <w:rPr>
          <w:rFonts w:hint="cs"/>
          <w:b/>
          <w:bCs/>
          <w:sz w:val="28"/>
          <w:szCs w:val="28"/>
          <w:rtl/>
          <w:lang w:val="en-GB" w:bidi="ar-EG"/>
        </w:rPr>
        <w:tab/>
        <w:t xml:space="preserve">الآراء </w:t>
      </w:r>
      <w:r w:rsidR="00D46EAB" w:rsidRPr="00D46EAB">
        <w:rPr>
          <w:rFonts w:hint="cs"/>
          <w:b/>
          <w:bCs/>
          <w:sz w:val="28"/>
          <w:szCs w:val="28"/>
          <w:rtl/>
          <w:lang w:val="en-GB" w:bidi="ar-EG"/>
        </w:rPr>
        <w:t xml:space="preserve">المقدمة بشأن </w:t>
      </w:r>
      <w:r w:rsidR="00D46EAB" w:rsidRPr="00D46EAB">
        <w:rPr>
          <w:rFonts w:hint="cs"/>
          <w:b/>
          <w:bCs/>
          <w:i/>
          <w:sz w:val="28"/>
          <w:szCs w:val="28"/>
          <w:rtl/>
          <w:lang w:bidi="ar-EG"/>
        </w:rPr>
        <w:t>سُبل تحقيق تقدم فيما يتعلق بالمادة 10</w:t>
      </w:r>
    </w:p>
    <w:p w:rsidR="00E406EC" w:rsidRDefault="00DE6226" w:rsidP="007665C5">
      <w:pPr>
        <w:numPr>
          <w:ilvl w:val="0"/>
          <w:numId w:val="27"/>
        </w:numPr>
        <w:spacing w:after="100" w:line="204" w:lineRule="auto"/>
        <w:ind w:left="0" w:firstLine="0"/>
        <w:jc w:val="both"/>
        <w:rPr>
          <w:sz w:val="22"/>
          <w:lang w:val="en-GB" w:bidi="ar-EG"/>
        </w:rPr>
      </w:pPr>
      <w:r>
        <w:rPr>
          <w:rFonts w:hint="cs"/>
          <w:sz w:val="22"/>
          <w:rtl/>
          <w:lang w:val="en-GB" w:bidi="ar-EG"/>
        </w:rPr>
        <w:t>أوردت التقديمات اقتراحات مختلفة بشأن طريقة السير قدما بالعلاقة إلى المادة 10</w:t>
      </w:r>
      <w:r w:rsidR="00F25350">
        <w:rPr>
          <w:rFonts w:hint="cs"/>
          <w:sz w:val="22"/>
          <w:rtl/>
          <w:lang w:val="en-GB" w:bidi="ar-EG"/>
        </w:rPr>
        <w:t xml:space="preserve">. ويتاح </w:t>
      </w:r>
      <w:r>
        <w:rPr>
          <w:rFonts w:hint="cs"/>
          <w:sz w:val="22"/>
          <w:rtl/>
          <w:lang w:val="en-GB" w:bidi="ar-EG"/>
        </w:rPr>
        <w:t>التجميع الكامل للآراء على شبكة الإنترنت</w:t>
      </w:r>
      <w:r>
        <w:rPr>
          <w:rStyle w:val="FootnoteReference"/>
          <w:sz w:val="22"/>
          <w:rtl/>
          <w:lang w:val="en-GB" w:bidi="ar-EG"/>
        </w:rPr>
        <w:footnoteReference w:id="88"/>
      </w:r>
      <w:r>
        <w:rPr>
          <w:rFonts w:hint="cs"/>
          <w:sz w:val="22"/>
          <w:rtl/>
          <w:lang w:val="en-GB" w:bidi="ar-EG"/>
        </w:rPr>
        <w:t xml:space="preserve"> ويرد أدناه موجز للنقاط الرئيسية.</w:t>
      </w:r>
    </w:p>
    <w:p w:rsidR="00E406EC" w:rsidRDefault="00DE6226" w:rsidP="00EA1922">
      <w:pPr>
        <w:numPr>
          <w:ilvl w:val="0"/>
          <w:numId w:val="27"/>
        </w:numPr>
        <w:spacing w:after="100" w:line="204" w:lineRule="auto"/>
        <w:ind w:left="0" w:firstLine="0"/>
        <w:jc w:val="both"/>
        <w:rPr>
          <w:sz w:val="22"/>
          <w:lang w:val="en-GB" w:bidi="ar-EG"/>
        </w:rPr>
      </w:pPr>
      <w:r>
        <w:rPr>
          <w:rFonts w:hint="cs"/>
          <w:sz w:val="22"/>
          <w:rtl/>
          <w:lang w:val="en-GB" w:bidi="ar-EG"/>
        </w:rPr>
        <w:t>واقترحت بعض التقديمات</w:t>
      </w:r>
      <w:r>
        <w:rPr>
          <w:rStyle w:val="FootnoteReference"/>
          <w:sz w:val="22"/>
          <w:rtl/>
          <w:lang w:val="en-GB" w:bidi="ar-EG"/>
        </w:rPr>
        <w:footnoteReference w:id="89"/>
      </w:r>
      <w:r w:rsidR="00C96ED3">
        <w:rPr>
          <w:rFonts w:hint="cs"/>
          <w:sz w:val="22"/>
          <w:rtl/>
          <w:lang w:val="en-GB" w:bidi="ar-EG"/>
        </w:rPr>
        <w:t xml:space="preserve"> أن تواجد الموارد الجينية والمعارف التقليدية المرتبطة بها في الأوضاع ع</w:t>
      </w:r>
      <w:r w:rsidR="00236175">
        <w:rPr>
          <w:rFonts w:hint="cs"/>
          <w:sz w:val="22"/>
          <w:rtl/>
          <w:lang w:val="en-GB" w:bidi="ar-EG"/>
        </w:rPr>
        <w:t>ب</w:t>
      </w:r>
      <w:r w:rsidR="00C96ED3">
        <w:rPr>
          <w:rFonts w:hint="cs"/>
          <w:sz w:val="22"/>
          <w:rtl/>
          <w:lang w:val="en-GB" w:bidi="ar-EG"/>
        </w:rPr>
        <w:t xml:space="preserve">ر الحدود </w:t>
      </w:r>
      <w:r w:rsidR="00C96ED3">
        <w:rPr>
          <w:sz w:val="22"/>
          <w:rtl/>
          <w:lang w:val="en-GB" w:bidi="ar-EG"/>
        </w:rPr>
        <w:t>–</w:t>
      </w:r>
      <w:r w:rsidR="00C96ED3">
        <w:rPr>
          <w:rFonts w:hint="cs"/>
          <w:sz w:val="22"/>
          <w:rtl/>
          <w:lang w:val="en-GB" w:bidi="ar-EG"/>
        </w:rPr>
        <w:t xml:space="preserve"> موجودة في إقليم بلدين أو أكثر </w:t>
      </w:r>
      <w:r w:rsidR="00C96ED3">
        <w:rPr>
          <w:sz w:val="22"/>
          <w:rtl/>
          <w:lang w:val="en-GB" w:bidi="ar-EG"/>
        </w:rPr>
        <w:t>–</w:t>
      </w:r>
      <w:r w:rsidR="00C96ED3">
        <w:rPr>
          <w:rFonts w:hint="cs"/>
          <w:sz w:val="22"/>
          <w:rtl/>
          <w:lang w:val="en-GB" w:bidi="ar-EG"/>
        </w:rPr>
        <w:t xml:space="preserve"> لن يدعم الحاجة إلى آلية عالمية متعددة الأطراف لتقاسم المنافع. ولاحظوا أن النهج الثنائي للحصول وتقاسم المنافع ينبغي </w:t>
      </w:r>
      <w:r w:rsidR="00236175">
        <w:rPr>
          <w:rFonts w:hint="cs"/>
          <w:sz w:val="22"/>
          <w:rtl/>
          <w:lang w:val="en-GB" w:bidi="ar-EG"/>
        </w:rPr>
        <w:t>اتباعه</w:t>
      </w:r>
      <w:r w:rsidR="00C96ED3">
        <w:rPr>
          <w:rFonts w:hint="cs"/>
          <w:sz w:val="22"/>
          <w:rtl/>
          <w:lang w:val="en-GB" w:bidi="ar-EG"/>
        </w:rPr>
        <w:t xml:space="preserve"> حيثما أمكن وأنه النهج الافتراضي للحصول وتقاسم المنافع بموجب بروتوكول ناغويا على النحو المعترف به في المقرر </w:t>
      </w:r>
      <w:r w:rsidR="00C96ED3" w:rsidRPr="00B23FE5">
        <w:rPr>
          <w:sz w:val="22"/>
          <w:lang w:bidi="ar-EG"/>
        </w:rPr>
        <w:t>NP-2/10</w:t>
      </w:r>
      <w:r w:rsidR="00C96ED3">
        <w:rPr>
          <w:rFonts w:hint="cs"/>
          <w:sz w:val="22"/>
          <w:rtl/>
          <w:lang w:val="en-GB" w:bidi="ar-EG"/>
        </w:rPr>
        <w:t>.</w:t>
      </w:r>
      <w:r w:rsidR="00236175">
        <w:rPr>
          <w:rFonts w:hint="cs"/>
          <w:sz w:val="22"/>
          <w:rtl/>
          <w:lang w:val="en-GB" w:bidi="ar-EG"/>
        </w:rPr>
        <w:t xml:space="preserve"> وأشار طرف واحد</w:t>
      </w:r>
      <w:r w:rsidR="00236175">
        <w:rPr>
          <w:rStyle w:val="FootnoteReference"/>
          <w:sz w:val="22"/>
          <w:rtl/>
          <w:lang w:val="en-GB" w:bidi="ar-EG"/>
        </w:rPr>
        <w:footnoteReference w:id="90"/>
      </w:r>
      <w:r w:rsidR="00EA1922">
        <w:rPr>
          <w:rFonts w:hint="cs"/>
          <w:sz w:val="22"/>
          <w:rtl/>
          <w:lang w:val="en-GB" w:bidi="ar-EG"/>
        </w:rPr>
        <w:t xml:space="preserve"> إلى أن</w:t>
      </w:r>
      <w:r w:rsidR="00236175">
        <w:rPr>
          <w:rFonts w:hint="cs"/>
          <w:sz w:val="22"/>
          <w:rtl/>
          <w:lang w:val="en-GB" w:bidi="ar-EG"/>
        </w:rPr>
        <w:t xml:space="preserve"> </w:t>
      </w:r>
      <w:r w:rsidR="00EA1922">
        <w:rPr>
          <w:rFonts w:hint="cs"/>
          <w:sz w:val="22"/>
          <w:rtl/>
          <w:lang w:val="en-GB" w:bidi="ar-EG"/>
        </w:rPr>
        <w:t xml:space="preserve">الحاجة إلى </w:t>
      </w:r>
      <w:r w:rsidR="00236175">
        <w:rPr>
          <w:rFonts w:hint="cs"/>
          <w:sz w:val="22"/>
          <w:rtl/>
          <w:lang w:val="en-GB" w:bidi="ar-EG"/>
        </w:rPr>
        <w:t xml:space="preserve">آلية عالمية متعددة الأطراف </w:t>
      </w:r>
      <w:r w:rsidR="00EA1922">
        <w:rPr>
          <w:rFonts w:hint="cs"/>
          <w:sz w:val="22"/>
          <w:rtl/>
          <w:lang w:val="en-GB" w:bidi="ar-EG"/>
        </w:rPr>
        <w:t xml:space="preserve">لتقاسم المنافع يمكن دعمها </w:t>
      </w:r>
      <w:r w:rsidR="00236175">
        <w:rPr>
          <w:rFonts w:hint="cs"/>
          <w:sz w:val="22"/>
          <w:rtl/>
          <w:lang w:val="en-GB" w:bidi="ar-EG"/>
        </w:rPr>
        <w:t xml:space="preserve">فحسب في الحالات التي لا يمكن تحديد </w:t>
      </w:r>
      <w:r w:rsidR="00EA1922">
        <w:rPr>
          <w:rFonts w:hint="cs"/>
          <w:sz w:val="22"/>
          <w:rtl/>
          <w:lang w:val="en-GB" w:bidi="ar-EG"/>
        </w:rPr>
        <w:t>بلدان</w:t>
      </w:r>
      <w:r w:rsidR="00236175">
        <w:rPr>
          <w:rFonts w:hint="cs"/>
          <w:sz w:val="22"/>
          <w:rtl/>
          <w:lang w:val="en-GB" w:bidi="ar-EG"/>
        </w:rPr>
        <w:t xml:space="preserve"> المنشأ فيها بعد بذل جهود معقولة، وفي ال</w:t>
      </w:r>
      <w:r w:rsidR="00EA1922">
        <w:rPr>
          <w:rFonts w:hint="cs"/>
          <w:sz w:val="22"/>
          <w:rtl/>
          <w:lang w:val="en-GB" w:bidi="ar-EG"/>
        </w:rPr>
        <w:t>حالات</w:t>
      </w:r>
      <w:r w:rsidR="00236175">
        <w:rPr>
          <w:rFonts w:hint="cs"/>
          <w:sz w:val="22"/>
          <w:rtl/>
          <w:lang w:val="en-GB" w:bidi="ar-EG"/>
        </w:rPr>
        <w:t xml:space="preserve"> التي يستحيل فيها منح أو الحصول على الموافقة المسبقة عن علم.</w:t>
      </w:r>
    </w:p>
    <w:p w:rsidR="00E406EC" w:rsidRDefault="00C96ED3" w:rsidP="00EA1922">
      <w:pPr>
        <w:numPr>
          <w:ilvl w:val="0"/>
          <w:numId w:val="27"/>
        </w:numPr>
        <w:spacing w:after="100" w:line="204" w:lineRule="auto"/>
        <w:ind w:left="0" w:firstLine="0"/>
        <w:jc w:val="both"/>
        <w:rPr>
          <w:sz w:val="22"/>
          <w:lang w:val="en-GB" w:bidi="ar-EG"/>
        </w:rPr>
      </w:pPr>
      <w:r>
        <w:rPr>
          <w:rFonts w:hint="cs"/>
          <w:sz w:val="22"/>
          <w:rtl/>
          <w:lang w:val="en-GB" w:bidi="ar-EG"/>
        </w:rPr>
        <w:t>وأعرب طرف واحد</w:t>
      </w:r>
      <w:r>
        <w:rPr>
          <w:rStyle w:val="FootnoteReference"/>
          <w:sz w:val="22"/>
          <w:rtl/>
          <w:lang w:val="en-GB" w:bidi="ar-EG"/>
        </w:rPr>
        <w:footnoteReference w:id="91"/>
      </w:r>
      <w:r w:rsidR="00236175">
        <w:rPr>
          <w:rFonts w:hint="cs"/>
          <w:sz w:val="22"/>
          <w:rtl/>
          <w:lang w:val="en-GB" w:bidi="ar-EG"/>
        </w:rPr>
        <w:t xml:space="preserve"> عن رأي </w:t>
      </w:r>
      <w:r w:rsidR="00EA1922">
        <w:rPr>
          <w:rFonts w:hint="cs"/>
          <w:sz w:val="22"/>
          <w:rtl/>
          <w:lang w:val="en-GB" w:bidi="ar-EG"/>
        </w:rPr>
        <w:t xml:space="preserve">مفاده </w:t>
      </w:r>
      <w:r w:rsidR="00236175">
        <w:rPr>
          <w:rFonts w:hint="cs"/>
          <w:sz w:val="22"/>
          <w:rtl/>
          <w:lang w:val="en-GB" w:bidi="ar-EG"/>
        </w:rPr>
        <w:t>أن الحقوق السيادية للبلدان في مواردها الجينية ينبغي ألا تتأثر ب</w:t>
      </w:r>
      <w:r w:rsidR="00EA1922">
        <w:rPr>
          <w:rFonts w:hint="cs"/>
          <w:sz w:val="22"/>
          <w:rtl/>
          <w:lang w:val="en-GB" w:bidi="ar-EG"/>
        </w:rPr>
        <w:t>إ</w:t>
      </w:r>
      <w:r w:rsidR="00236175">
        <w:rPr>
          <w:rFonts w:hint="cs"/>
          <w:sz w:val="22"/>
          <w:rtl/>
          <w:lang w:val="en-GB" w:bidi="ar-EG"/>
        </w:rPr>
        <w:t>نشاء آلية عالمية متعددة الأطراف لتقاسم المنافع. وبالمثل، أثار طرف آخر</w:t>
      </w:r>
      <w:r w:rsidR="00236175">
        <w:rPr>
          <w:rStyle w:val="FootnoteReference"/>
          <w:sz w:val="22"/>
          <w:rtl/>
          <w:lang w:val="en-GB" w:bidi="ar-EG"/>
        </w:rPr>
        <w:footnoteReference w:id="92"/>
      </w:r>
      <w:r w:rsidR="00236175">
        <w:rPr>
          <w:rFonts w:hint="cs"/>
          <w:sz w:val="22"/>
          <w:rtl/>
          <w:lang w:val="en-GB" w:bidi="ar-EG"/>
        </w:rPr>
        <w:t xml:space="preserve"> مسألة العلاقة بين القانون الوطني وآلية عالمية متعددة </w:t>
      </w:r>
      <w:r w:rsidR="00236175">
        <w:rPr>
          <w:rFonts w:hint="cs"/>
          <w:sz w:val="22"/>
          <w:rtl/>
          <w:lang w:val="en-GB" w:bidi="ar-EG"/>
        </w:rPr>
        <w:lastRenderedPageBreak/>
        <w:t>الأطراف لتقاسم المنافع، حيث أنه وفقا للحقو</w:t>
      </w:r>
      <w:r w:rsidR="00EA1922">
        <w:rPr>
          <w:rFonts w:hint="cs"/>
          <w:sz w:val="22"/>
          <w:rtl/>
          <w:lang w:val="en-GB" w:bidi="ar-EG"/>
        </w:rPr>
        <w:t>ق</w:t>
      </w:r>
      <w:r w:rsidR="00236175">
        <w:rPr>
          <w:rFonts w:hint="cs"/>
          <w:sz w:val="22"/>
          <w:rtl/>
          <w:lang w:val="en-GB" w:bidi="ar-EG"/>
        </w:rPr>
        <w:t xml:space="preserve"> السيادية للبلدان في مواردها الجينية، ينبغي أن تتمكن من اختيار الموارد الجينية التي ستدرج في آلية متعددة الأطراف وفي أي الحالات. وذكر الطرف أيضا أن آلية عالمية متعددة الأطراف لتقاسم المنافع لن تطبق في مناطق جغرافية تقوم بتنظيمها تحديدا </w:t>
      </w:r>
      <w:r w:rsidR="00EA1922" w:rsidRPr="004E7644">
        <w:rPr>
          <w:rFonts w:hint="cs"/>
          <w:spacing w:val="-8"/>
          <w:sz w:val="22"/>
          <w:rtl/>
          <w:lang w:val="en-GB" w:bidi="ar-EG"/>
        </w:rPr>
        <w:t>صكوك</w:t>
      </w:r>
      <w:r w:rsidR="00236175" w:rsidRPr="004E7644">
        <w:rPr>
          <w:rFonts w:hint="cs"/>
          <w:spacing w:val="-8"/>
          <w:sz w:val="22"/>
          <w:rtl/>
          <w:lang w:val="en-GB" w:bidi="ar-EG"/>
        </w:rPr>
        <w:t xml:space="preserve"> دولية أخرى أو تخضع لمفاوضات متعددة الأطراف جارية.</w:t>
      </w:r>
    </w:p>
    <w:p w:rsidR="00E406EC" w:rsidRDefault="00971296" w:rsidP="007665C5">
      <w:pPr>
        <w:numPr>
          <w:ilvl w:val="0"/>
          <w:numId w:val="27"/>
        </w:numPr>
        <w:spacing w:after="100" w:line="204" w:lineRule="auto"/>
        <w:ind w:left="0" w:firstLine="0"/>
        <w:jc w:val="both"/>
        <w:rPr>
          <w:sz w:val="22"/>
          <w:lang w:val="en-GB" w:bidi="ar-EG"/>
        </w:rPr>
      </w:pPr>
      <w:r>
        <w:rPr>
          <w:rFonts w:hint="cs"/>
          <w:sz w:val="22"/>
          <w:rtl/>
          <w:lang w:val="en-GB" w:bidi="ar-EG"/>
        </w:rPr>
        <w:t>وأعرب البعض</w:t>
      </w:r>
      <w:r>
        <w:rPr>
          <w:rStyle w:val="FootnoteReference"/>
          <w:sz w:val="22"/>
          <w:rtl/>
          <w:lang w:val="en-GB" w:bidi="ar-EG"/>
        </w:rPr>
        <w:footnoteReference w:id="93"/>
      </w:r>
      <w:r>
        <w:rPr>
          <w:rFonts w:hint="cs"/>
          <w:sz w:val="22"/>
          <w:rtl/>
          <w:lang w:val="en-GB" w:bidi="ar-EG"/>
        </w:rPr>
        <w:t xml:space="preserve"> عن رأي مفاده أن الحاجة إلى آلية عالمية متعددة الأطراف </w:t>
      </w:r>
      <w:r w:rsidR="00EA1922">
        <w:rPr>
          <w:rFonts w:hint="cs"/>
          <w:sz w:val="22"/>
          <w:rtl/>
          <w:lang w:val="en-GB" w:bidi="ar-EG"/>
        </w:rPr>
        <w:t xml:space="preserve">لتقاسم المنافع </w:t>
      </w:r>
      <w:r>
        <w:rPr>
          <w:rFonts w:hint="cs"/>
          <w:sz w:val="22"/>
          <w:rtl/>
          <w:lang w:val="en-GB" w:bidi="ar-EG"/>
        </w:rPr>
        <w:t>يجب تحديدها أولا واقترح</w:t>
      </w:r>
      <w:r>
        <w:rPr>
          <w:rStyle w:val="FootnoteReference"/>
          <w:sz w:val="22"/>
          <w:lang w:val="en-GB" w:bidi="ar-EG"/>
        </w:rPr>
        <w:footnoteReference w:id="94"/>
      </w:r>
      <w:r>
        <w:rPr>
          <w:rFonts w:hint="cs"/>
          <w:sz w:val="22"/>
          <w:rtl/>
          <w:lang w:val="en-GB" w:bidi="ar-EG"/>
        </w:rPr>
        <w:t xml:space="preserve"> أن المزيد من المناقشات لازمة في الأوضاع التي لم يكن من الممكن في ظلها منح أو الحصول على الموافقة المسبقة عن علم من أجل تحديد ما إذا كانت هناك حاجة أم لا إلى آلية عالمية متعددة الأطراف لتقاسم المنافع.</w:t>
      </w:r>
    </w:p>
    <w:p w:rsidR="00E406EC" w:rsidRDefault="00971296" w:rsidP="00EA1922">
      <w:pPr>
        <w:numPr>
          <w:ilvl w:val="0"/>
          <w:numId w:val="27"/>
        </w:numPr>
        <w:spacing w:after="100" w:line="204" w:lineRule="auto"/>
        <w:ind w:left="0" w:firstLine="0"/>
        <w:jc w:val="both"/>
        <w:rPr>
          <w:sz w:val="22"/>
          <w:lang w:val="en-GB" w:bidi="ar-EG"/>
        </w:rPr>
      </w:pPr>
      <w:r>
        <w:rPr>
          <w:rFonts w:hint="cs"/>
          <w:sz w:val="22"/>
          <w:rtl/>
          <w:lang w:val="en-GB" w:bidi="ar-EG"/>
        </w:rPr>
        <w:t>وأعرب عن رأي</w:t>
      </w:r>
      <w:r>
        <w:rPr>
          <w:rStyle w:val="FootnoteReference"/>
          <w:sz w:val="22"/>
          <w:rtl/>
          <w:lang w:val="en-GB" w:bidi="ar-EG"/>
        </w:rPr>
        <w:footnoteReference w:id="95"/>
      </w:r>
      <w:r>
        <w:rPr>
          <w:rFonts w:hint="cs"/>
          <w:sz w:val="22"/>
          <w:rtl/>
          <w:lang w:val="en-GB" w:bidi="ar-EG"/>
        </w:rPr>
        <w:t xml:space="preserve"> مفاد</w:t>
      </w:r>
      <w:r w:rsidR="00EA1922">
        <w:rPr>
          <w:rFonts w:hint="cs"/>
          <w:sz w:val="22"/>
          <w:rtl/>
          <w:lang w:val="en-GB" w:bidi="ar-EG"/>
        </w:rPr>
        <w:t>ه</w:t>
      </w:r>
      <w:r>
        <w:rPr>
          <w:rFonts w:hint="cs"/>
          <w:sz w:val="22"/>
          <w:rtl/>
          <w:lang w:val="en-GB" w:bidi="ar-EG"/>
        </w:rPr>
        <w:t xml:space="preserve"> أنه من الضروري بحث ما إذا كان من الممكن أن تكون آلية عالمية متعددة الأطراف لتقاسم المنافع خيارا للبلدان التي لم ت</w:t>
      </w:r>
      <w:r w:rsidR="00EA1922">
        <w:rPr>
          <w:rFonts w:hint="cs"/>
          <w:sz w:val="22"/>
          <w:rtl/>
          <w:lang w:val="en-GB" w:bidi="ar-EG"/>
        </w:rPr>
        <w:t>ضع</w:t>
      </w:r>
      <w:r>
        <w:rPr>
          <w:rFonts w:hint="cs"/>
          <w:sz w:val="22"/>
          <w:rtl/>
          <w:lang w:val="en-GB" w:bidi="ar-EG"/>
        </w:rPr>
        <w:t xml:space="preserve"> بعد تدابيرها الوطنية الخاصة بالحصول وتقاسم المنافع بينما اعتبر رأي آخر أن هذه الآلية العالمية لن تسري في مثل هذه الحالة وأن مثل هذه الحالة ينبغي معالجتها بدلا من ذلك من خلال أنشطة بناء القدرات.</w:t>
      </w:r>
      <w:r>
        <w:rPr>
          <w:rStyle w:val="FootnoteReference"/>
          <w:sz w:val="22"/>
          <w:lang w:val="en-GB" w:bidi="ar-EG"/>
        </w:rPr>
        <w:footnoteReference w:id="96"/>
      </w:r>
      <w:r w:rsidR="00514929">
        <w:rPr>
          <w:rFonts w:hint="cs"/>
          <w:sz w:val="22"/>
          <w:rtl/>
          <w:lang w:val="en-GB" w:bidi="ar-EG"/>
        </w:rPr>
        <w:t xml:space="preserve"> وبناء على منوال مشابه، اقترح</w:t>
      </w:r>
      <w:r w:rsidR="00514929">
        <w:rPr>
          <w:rStyle w:val="FootnoteReference"/>
          <w:sz w:val="22"/>
          <w:rtl/>
          <w:lang w:val="en-GB" w:bidi="ar-EG"/>
        </w:rPr>
        <w:footnoteReference w:id="97"/>
      </w:r>
      <w:r w:rsidR="00514929">
        <w:rPr>
          <w:rFonts w:hint="cs"/>
          <w:sz w:val="22"/>
          <w:rtl/>
          <w:lang w:val="en-GB" w:bidi="ar-EG"/>
        </w:rPr>
        <w:t xml:space="preserve"> أن التركيز الحالي ينبغي أن ينصب على تنفيذ النهج الثنائي للبروتوكول وأن الحاجة إلى آلية عالمية متعددة الأطراف لتقاسم المنافع لا يمكن، بل لا ينبغي، أن يتم معالجتها إلى حين تفعيل النظام الثنائي.</w:t>
      </w:r>
    </w:p>
    <w:p w:rsidR="00E406EC" w:rsidRDefault="00514929" w:rsidP="007665C5">
      <w:pPr>
        <w:numPr>
          <w:ilvl w:val="0"/>
          <w:numId w:val="27"/>
        </w:numPr>
        <w:spacing w:after="100" w:line="204" w:lineRule="auto"/>
        <w:ind w:left="0" w:firstLine="0"/>
        <w:jc w:val="both"/>
        <w:rPr>
          <w:sz w:val="22"/>
          <w:lang w:val="en-GB" w:bidi="ar-EG"/>
        </w:rPr>
      </w:pPr>
      <w:r>
        <w:rPr>
          <w:rFonts w:hint="cs"/>
          <w:sz w:val="22"/>
          <w:rtl/>
          <w:lang w:val="en-GB" w:bidi="ar-EG"/>
        </w:rPr>
        <w:t>واقترح تقديمان</w:t>
      </w:r>
      <w:r>
        <w:rPr>
          <w:rStyle w:val="FootnoteReference"/>
          <w:sz w:val="22"/>
          <w:rtl/>
          <w:lang w:val="en-GB" w:bidi="ar-EG"/>
        </w:rPr>
        <w:footnoteReference w:id="98"/>
      </w:r>
      <w:r>
        <w:rPr>
          <w:rFonts w:hint="cs"/>
          <w:sz w:val="22"/>
          <w:rtl/>
          <w:lang w:val="en-GB" w:bidi="ar-EG"/>
        </w:rPr>
        <w:t xml:space="preserve"> أنه قد يكون من المفيد النظر في المعلومات والدروس المستفادة من نظم متعددة الأطراف أخرى مثل المعاهدة الدولية بشأن الموارد الوراثية النباتية للأغذية والزراعة (المعاهدة) أو </w:t>
      </w:r>
      <w:r w:rsidRPr="0068077D">
        <w:rPr>
          <w:rFonts w:ascii="Simplified Arabic" w:hAnsi="Simplified Arabic" w:hint="cs"/>
          <w:color w:val="333333"/>
          <w:sz w:val="24"/>
          <w:rtl/>
        </w:rPr>
        <w:t>الإطار الخاص بالتأهب للأنفلونزا الجائحة لتبادل ف</w:t>
      </w:r>
      <w:r>
        <w:rPr>
          <w:rFonts w:ascii="Simplified Arabic" w:hAnsi="Simplified Arabic" w:hint="cs"/>
          <w:color w:val="333333"/>
          <w:sz w:val="24"/>
          <w:rtl/>
        </w:rPr>
        <w:t>ي</w:t>
      </w:r>
      <w:r w:rsidRPr="0068077D">
        <w:rPr>
          <w:rFonts w:ascii="Simplified Arabic" w:hAnsi="Simplified Arabic" w:hint="cs"/>
          <w:color w:val="333333"/>
          <w:sz w:val="24"/>
          <w:rtl/>
        </w:rPr>
        <w:t xml:space="preserve">روسات الأنفلونزا والتوصل إلى اللقاحات والفوائد الأخرى </w:t>
      </w:r>
      <w:r>
        <w:rPr>
          <w:rFonts w:ascii="Simplified Arabic" w:hAnsi="Simplified Arabic" w:hint="cs"/>
          <w:color w:val="333333"/>
          <w:sz w:val="24"/>
          <w:rtl/>
        </w:rPr>
        <w:t xml:space="preserve">("إطار </w:t>
      </w:r>
      <w:r w:rsidRPr="0068077D">
        <w:rPr>
          <w:rFonts w:cs="Times New Roman"/>
          <w:color w:val="333333"/>
          <w:sz w:val="22"/>
          <w:szCs w:val="22"/>
        </w:rPr>
        <w:t>PIP</w:t>
      </w:r>
      <w:r>
        <w:rPr>
          <w:rFonts w:ascii="Simplified Arabic" w:hAnsi="Simplified Arabic" w:hint="cs"/>
          <w:color w:val="333333"/>
          <w:sz w:val="24"/>
          <w:rtl/>
        </w:rPr>
        <w:t>")</w:t>
      </w:r>
      <w:r>
        <w:rPr>
          <w:rFonts w:hint="cs"/>
          <w:sz w:val="22"/>
          <w:rtl/>
          <w:lang w:val="en-GB"/>
        </w:rPr>
        <w:t xml:space="preserve">. ويمكن ملاحظة أن دراسة عن أمور من ضمنها الخبرات مع الآليات المتعددة الأطراف الأخرى بما في ذلك المعاهدة وإطار </w:t>
      </w:r>
      <w:r>
        <w:rPr>
          <w:sz w:val="22"/>
        </w:rPr>
        <w:t>PIP</w:t>
      </w:r>
      <w:r>
        <w:rPr>
          <w:rFonts w:hint="cs"/>
          <w:sz w:val="22"/>
          <w:rtl/>
          <w:lang w:val="en-GB"/>
        </w:rPr>
        <w:t xml:space="preserve">، أعدت متابعة للمقرر </w:t>
      </w:r>
      <w:r w:rsidR="004E7644">
        <w:rPr>
          <w:sz w:val="22"/>
          <w:lang w:val="en-CA"/>
        </w:rPr>
        <w:t>NP-1/10</w:t>
      </w:r>
      <w:r>
        <w:rPr>
          <w:rFonts w:hint="cs"/>
          <w:sz w:val="22"/>
          <w:rtl/>
          <w:lang w:val="en-GB"/>
        </w:rPr>
        <w:t xml:space="preserve"> على النحو المشار إليه في الفقرة 65 أعلاه.</w:t>
      </w:r>
    </w:p>
    <w:p w:rsidR="00E406EC" w:rsidRDefault="00514929" w:rsidP="007665C5">
      <w:pPr>
        <w:numPr>
          <w:ilvl w:val="0"/>
          <w:numId w:val="27"/>
        </w:numPr>
        <w:spacing w:after="100" w:line="204" w:lineRule="auto"/>
        <w:ind w:left="0" w:firstLine="0"/>
        <w:jc w:val="both"/>
        <w:rPr>
          <w:sz w:val="22"/>
          <w:lang w:val="en-GB" w:bidi="ar-EG"/>
        </w:rPr>
      </w:pPr>
      <w:r>
        <w:rPr>
          <w:rFonts w:hint="cs"/>
          <w:sz w:val="22"/>
          <w:rtl/>
          <w:lang w:val="en-GB" w:bidi="ar-EG"/>
        </w:rPr>
        <w:t>واستكشف تقديم واحد</w:t>
      </w:r>
      <w:r>
        <w:rPr>
          <w:rStyle w:val="FootnoteReference"/>
          <w:sz w:val="22"/>
          <w:rtl/>
          <w:lang w:val="en-GB" w:bidi="ar-EG"/>
        </w:rPr>
        <w:footnoteReference w:id="99"/>
      </w:r>
      <w:r>
        <w:rPr>
          <w:rFonts w:hint="cs"/>
          <w:sz w:val="22"/>
          <w:rtl/>
          <w:lang w:val="en-GB" w:bidi="ar-EG"/>
        </w:rPr>
        <w:t xml:space="preserve"> مفهوم "</w:t>
      </w:r>
      <w:r w:rsidR="009275C2">
        <w:rPr>
          <w:rFonts w:hint="cs"/>
          <w:sz w:val="22"/>
          <w:rtl/>
          <w:lang w:val="en-GB" w:bidi="ar-EG"/>
        </w:rPr>
        <w:t>الانفتاح المحدود" إذ أنه يمكن تطبيقه على المعارف التقليدية المرتبطة بالموارد الجينيه واقترح ذلك كطريقة لإحداث التقدم في المادة 10.</w:t>
      </w:r>
    </w:p>
    <w:p w:rsidR="00E406EC" w:rsidRDefault="009275C2" w:rsidP="007665C5">
      <w:pPr>
        <w:numPr>
          <w:ilvl w:val="0"/>
          <w:numId w:val="27"/>
        </w:numPr>
        <w:spacing w:after="100" w:line="204" w:lineRule="auto"/>
        <w:ind w:left="0" w:firstLine="0"/>
        <w:jc w:val="both"/>
        <w:rPr>
          <w:sz w:val="22"/>
          <w:lang w:val="en-GB" w:bidi="ar-EG"/>
        </w:rPr>
      </w:pPr>
      <w:r>
        <w:rPr>
          <w:rFonts w:hint="cs"/>
          <w:sz w:val="22"/>
          <w:rtl/>
          <w:lang w:val="en-GB" w:bidi="ar-EG"/>
        </w:rPr>
        <w:t>واقترح بعض الأطراف</w:t>
      </w:r>
      <w:r>
        <w:rPr>
          <w:rStyle w:val="FootnoteReference"/>
          <w:sz w:val="22"/>
          <w:rtl/>
          <w:lang w:val="en-GB" w:bidi="ar-EG"/>
        </w:rPr>
        <w:footnoteReference w:id="100"/>
      </w:r>
      <w:r>
        <w:rPr>
          <w:rFonts w:hint="cs"/>
          <w:sz w:val="22"/>
          <w:rtl/>
          <w:lang w:val="en-GB" w:bidi="ar-EG"/>
        </w:rPr>
        <w:t xml:space="preserve"> </w:t>
      </w:r>
      <w:r w:rsidR="00D23D0A">
        <w:rPr>
          <w:rFonts w:hint="cs"/>
          <w:sz w:val="22"/>
          <w:rtl/>
          <w:lang w:val="en-GB" w:bidi="ar-EG"/>
        </w:rPr>
        <w:t>أنه سيكون من المجدي النظر في ما إذا كان من الممكن أن تدعم آلية عالمية متعددة الأطراف لتقاسم المنافع وكيفية ذلك، لدعم حفظ التنوع البيولوجي واستخدامه المستدام. واقترحت جوانب مختلفة مثل النظم للمساعدة التقنية، والتعاون الدولي، وتبادل المعلومات، ونقل التكنولوجيا وبناء القدرات.</w:t>
      </w:r>
    </w:p>
    <w:p w:rsidR="00E406EC" w:rsidRDefault="00D23D0A" w:rsidP="007665C5">
      <w:pPr>
        <w:numPr>
          <w:ilvl w:val="0"/>
          <w:numId w:val="27"/>
        </w:numPr>
        <w:spacing w:after="100" w:line="204" w:lineRule="auto"/>
        <w:ind w:left="0" w:firstLine="0"/>
        <w:jc w:val="both"/>
        <w:rPr>
          <w:sz w:val="22"/>
          <w:lang w:val="en-GB" w:bidi="ar-EG"/>
        </w:rPr>
      </w:pPr>
      <w:r>
        <w:rPr>
          <w:rFonts w:hint="cs"/>
          <w:sz w:val="22"/>
          <w:rtl/>
          <w:lang w:val="en-GB" w:bidi="ar-EG"/>
        </w:rPr>
        <w:t>وحدد طرف واحد</w:t>
      </w:r>
      <w:r>
        <w:rPr>
          <w:rStyle w:val="FootnoteReference"/>
          <w:sz w:val="22"/>
          <w:rtl/>
          <w:lang w:val="en-GB" w:bidi="ar-EG"/>
        </w:rPr>
        <w:footnoteReference w:id="101"/>
      </w:r>
      <w:r>
        <w:rPr>
          <w:rFonts w:hint="cs"/>
          <w:sz w:val="22"/>
          <w:rtl/>
          <w:lang w:val="en-GB" w:bidi="ar-EG"/>
        </w:rPr>
        <w:t xml:space="preserve"> مجالات أخرى ينبغي النظر فيها في مدى فائدة آلية عالمية متعددة الأطراف لتقاسم المنافع، بما في ذلك استخدام معلومات التسلسل الرقمي في الحالات التي لا توجد فيها معلومات عن بلد المنشأ أو في حالة تعدد بلدان المنشأ، وكأدوات لإنفاذ التشريع الوطني وتجنب مسائل معينة تخضع لولايات يكون التشريع </w:t>
      </w:r>
      <w:r w:rsidR="004E7644">
        <w:rPr>
          <w:rFonts w:hint="cs"/>
          <w:sz w:val="22"/>
          <w:rtl/>
          <w:lang w:val="en-GB" w:bidi="ar-EG"/>
        </w:rPr>
        <w:t xml:space="preserve">فيها </w:t>
      </w:r>
      <w:r>
        <w:rPr>
          <w:rFonts w:hint="cs"/>
          <w:sz w:val="22"/>
          <w:rtl/>
          <w:lang w:val="en-GB" w:bidi="ar-EG"/>
        </w:rPr>
        <w:t>أكثر ملاءمة.</w:t>
      </w:r>
    </w:p>
    <w:p w:rsidR="00E406EC" w:rsidRDefault="00D23D0A" w:rsidP="007665C5">
      <w:pPr>
        <w:numPr>
          <w:ilvl w:val="0"/>
          <w:numId w:val="27"/>
        </w:numPr>
        <w:spacing w:after="100" w:line="204" w:lineRule="auto"/>
        <w:ind w:left="0" w:firstLine="0"/>
        <w:jc w:val="both"/>
        <w:rPr>
          <w:sz w:val="22"/>
          <w:lang w:val="en-GB" w:bidi="ar-EG"/>
        </w:rPr>
      </w:pPr>
      <w:r>
        <w:rPr>
          <w:rFonts w:hint="cs"/>
          <w:sz w:val="22"/>
          <w:rtl/>
          <w:lang w:val="en-GB" w:bidi="ar-EG"/>
        </w:rPr>
        <w:t>ولاحظ طرف</w:t>
      </w:r>
      <w:r>
        <w:rPr>
          <w:rStyle w:val="FootnoteReference"/>
          <w:sz w:val="22"/>
          <w:rtl/>
          <w:lang w:val="en-GB" w:bidi="ar-EG"/>
        </w:rPr>
        <w:footnoteReference w:id="102"/>
      </w:r>
      <w:r>
        <w:rPr>
          <w:rFonts w:hint="cs"/>
          <w:sz w:val="22"/>
          <w:rtl/>
          <w:lang w:val="en-GB" w:bidi="ar-EG"/>
        </w:rPr>
        <w:t xml:space="preserve"> أن تنفيذ بروتوكول ناغويا والتعلم من هذه الخبرة، وهي عملية جارية، يمكن أن يكون </w:t>
      </w:r>
      <w:r w:rsidR="007665C5">
        <w:rPr>
          <w:rFonts w:hint="cs"/>
          <w:sz w:val="22"/>
          <w:rtl/>
          <w:lang w:val="en-GB" w:bidi="ar-EG"/>
        </w:rPr>
        <w:t xml:space="preserve">مقترنا بالمناقشات بشأن الحالات المحتملة التي يمكن أن تدعم إنشاء آلية عالمية متعددة الأطراف لتقاسم المنافع، والطرائق الممكنة </w:t>
      </w:r>
      <w:r w:rsidR="007665C5">
        <w:rPr>
          <w:rFonts w:hint="cs"/>
          <w:sz w:val="22"/>
          <w:rtl/>
          <w:lang w:val="en-GB" w:bidi="ar-EG"/>
        </w:rPr>
        <w:lastRenderedPageBreak/>
        <w:t>لمث</w:t>
      </w:r>
      <w:r w:rsidR="004E7644">
        <w:rPr>
          <w:rFonts w:hint="cs"/>
          <w:sz w:val="22"/>
          <w:rtl/>
          <w:lang w:val="en-GB" w:bidi="ar-EG"/>
        </w:rPr>
        <w:t>ل</w:t>
      </w:r>
      <w:r w:rsidR="007665C5">
        <w:rPr>
          <w:rFonts w:hint="cs"/>
          <w:sz w:val="22"/>
          <w:rtl/>
          <w:lang w:val="en-GB" w:bidi="ar-EG"/>
        </w:rPr>
        <w:t xml:space="preserve"> هذه الآلية. ورأى طرف آخر</w:t>
      </w:r>
      <w:r w:rsidR="007665C5">
        <w:rPr>
          <w:rStyle w:val="FootnoteReference"/>
          <w:sz w:val="22"/>
          <w:rtl/>
          <w:lang w:val="en-GB" w:bidi="ar-EG"/>
        </w:rPr>
        <w:footnoteReference w:id="103"/>
      </w:r>
      <w:r w:rsidR="007665C5">
        <w:rPr>
          <w:rFonts w:hint="cs"/>
          <w:sz w:val="22"/>
          <w:rtl/>
          <w:lang w:val="en-GB" w:bidi="ar-EG"/>
        </w:rPr>
        <w:t xml:space="preserve"> أنه سيكون من المناسب تحديد الحالات والسيناريوهات للموارد الجينية أو المعارف التقليدية المرتبطة بها التي يمكن أن تكون موضوع مثل هذه الآلية وتأثيراتها في التشريع الوطني.</w:t>
      </w:r>
    </w:p>
    <w:p w:rsidR="00E406EC" w:rsidRDefault="007665C5" w:rsidP="007665C5">
      <w:pPr>
        <w:numPr>
          <w:ilvl w:val="0"/>
          <w:numId w:val="27"/>
        </w:numPr>
        <w:spacing w:after="100" w:line="204" w:lineRule="auto"/>
        <w:ind w:left="0" w:firstLine="0"/>
        <w:jc w:val="both"/>
        <w:rPr>
          <w:sz w:val="22"/>
          <w:lang w:val="en-GB" w:bidi="ar-EG"/>
        </w:rPr>
      </w:pPr>
      <w:r>
        <w:rPr>
          <w:rFonts w:hint="cs"/>
          <w:sz w:val="22"/>
          <w:rtl/>
          <w:lang w:val="en-GB" w:bidi="ar-EG"/>
        </w:rPr>
        <w:t>وللمساعدة في ذلك، أيد طرف واحد</w:t>
      </w:r>
      <w:r>
        <w:rPr>
          <w:rStyle w:val="FootnoteReference"/>
          <w:sz w:val="22"/>
          <w:rtl/>
          <w:lang w:val="en-GB" w:bidi="ar-EG"/>
        </w:rPr>
        <w:footnoteReference w:id="104"/>
      </w:r>
      <w:r>
        <w:rPr>
          <w:rFonts w:hint="cs"/>
          <w:sz w:val="22"/>
          <w:rtl/>
          <w:lang w:val="en-GB" w:bidi="ar-EG"/>
        </w:rPr>
        <w:t xml:space="preserve"> العودة إلى المناقشات التقنية على أساس قوائم الأسئلة ذات الصلة بالمسائل التي تحتاج إلى تحليلها.</w:t>
      </w:r>
      <w:r>
        <w:rPr>
          <w:rStyle w:val="FootnoteReference"/>
          <w:sz w:val="22"/>
          <w:rtl/>
          <w:lang w:val="en-GB" w:bidi="ar-EG"/>
        </w:rPr>
        <w:footnoteReference w:id="105"/>
      </w:r>
    </w:p>
    <w:p w:rsidR="00E70C07" w:rsidRPr="00E406EC" w:rsidRDefault="007665C5" w:rsidP="007665C5">
      <w:pPr>
        <w:numPr>
          <w:ilvl w:val="0"/>
          <w:numId w:val="27"/>
        </w:numPr>
        <w:spacing w:after="100" w:line="204" w:lineRule="auto"/>
        <w:ind w:left="0" w:firstLine="0"/>
        <w:jc w:val="both"/>
        <w:rPr>
          <w:sz w:val="22"/>
          <w:lang w:val="en-GB" w:bidi="ar-EG"/>
        </w:rPr>
      </w:pPr>
      <w:r>
        <w:rPr>
          <w:rFonts w:hint="cs"/>
          <w:sz w:val="22"/>
          <w:rtl/>
          <w:lang w:val="en-GB" w:bidi="ar-EG"/>
        </w:rPr>
        <w:t>واقترحت إحدى المنظمات</w:t>
      </w:r>
      <w:r w:rsidR="00C62688">
        <w:rPr>
          <w:rStyle w:val="FootnoteReference"/>
          <w:sz w:val="22"/>
          <w:rtl/>
          <w:lang w:val="en-GB" w:bidi="ar-EG"/>
        </w:rPr>
        <w:footnoteReference w:id="106"/>
      </w:r>
      <w:r>
        <w:rPr>
          <w:rFonts w:hint="cs"/>
          <w:sz w:val="22"/>
          <w:rtl/>
          <w:lang w:val="en-GB" w:bidi="ar-EG"/>
        </w:rPr>
        <w:t xml:space="preserve"> أن بلد المنشأ لكائن ميكروبي لا يمكن تحديده بغموض وبالتالي ربما كانت آلية عالمية متعددة الأطراف لتقاسم المنافع مفيدة طالما كانت مجدية من حيث التكلفة</w:t>
      </w:r>
      <w:r w:rsidR="00E70C07" w:rsidRPr="00E406EC">
        <w:rPr>
          <w:rFonts w:hint="cs"/>
          <w:sz w:val="22"/>
          <w:rtl/>
          <w:lang w:val="en-GB" w:bidi="ar-EG"/>
        </w:rPr>
        <w:t>.</w:t>
      </w:r>
    </w:p>
    <w:p w:rsidR="00B95C9F" w:rsidRPr="00E60FA0" w:rsidRDefault="00E406EC" w:rsidP="007665C5">
      <w:pPr>
        <w:tabs>
          <w:tab w:val="left" w:pos="1080"/>
        </w:tabs>
        <w:spacing w:after="100" w:line="204" w:lineRule="auto"/>
        <w:jc w:val="center"/>
        <w:rPr>
          <w:b/>
          <w:bCs/>
          <w:sz w:val="28"/>
          <w:szCs w:val="28"/>
          <w:lang w:val="en-GB" w:bidi="ar-EG"/>
        </w:rPr>
      </w:pPr>
      <w:r>
        <w:rPr>
          <w:rFonts w:hint="cs"/>
          <w:b/>
          <w:bCs/>
          <w:sz w:val="28"/>
          <w:szCs w:val="28"/>
          <w:rtl/>
          <w:lang w:val="en-GB" w:bidi="ar-EG"/>
        </w:rPr>
        <w:t>خامس</w:t>
      </w:r>
      <w:r w:rsidR="00B95C9F" w:rsidRPr="00E60FA0">
        <w:rPr>
          <w:rFonts w:hint="cs"/>
          <w:b/>
          <w:bCs/>
          <w:sz w:val="28"/>
          <w:szCs w:val="28"/>
          <w:rtl/>
          <w:lang w:val="en-GB" w:bidi="ar-EG"/>
        </w:rPr>
        <w:t>ا -</w:t>
      </w:r>
      <w:r w:rsidR="00B95C9F" w:rsidRPr="00E60FA0">
        <w:rPr>
          <w:rFonts w:hint="cs"/>
          <w:b/>
          <w:bCs/>
          <w:sz w:val="28"/>
          <w:szCs w:val="28"/>
          <w:rtl/>
          <w:lang w:val="en-GB" w:bidi="ar-EG"/>
        </w:rPr>
        <w:tab/>
        <w:t>التوصيات المقترحة</w:t>
      </w:r>
    </w:p>
    <w:p w:rsidR="00B95C9F" w:rsidRPr="00306427" w:rsidRDefault="00937FCA" w:rsidP="001E3771">
      <w:pPr>
        <w:numPr>
          <w:ilvl w:val="0"/>
          <w:numId w:val="27"/>
        </w:numPr>
        <w:spacing w:after="100" w:line="204" w:lineRule="auto"/>
        <w:ind w:left="0" w:firstLine="0"/>
        <w:jc w:val="both"/>
        <w:rPr>
          <w:sz w:val="22"/>
          <w:lang w:val="en-GB" w:bidi="ar-EG"/>
        </w:rPr>
      </w:pPr>
      <w:r w:rsidRPr="00306427">
        <w:rPr>
          <w:rFonts w:hint="cs"/>
          <w:sz w:val="22"/>
          <w:rtl/>
          <w:lang w:val="en-GB" w:bidi="ar-EG"/>
        </w:rPr>
        <w:t xml:space="preserve">قد ترغب الهيئة الفرعية للتنفيذ في </w:t>
      </w:r>
      <w:r w:rsidR="00E406EC">
        <w:rPr>
          <w:rFonts w:hint="cs"/>
          <w:sz w:val="22"/>
          <w:rtl/>
          <w:lang w:val="en-GB" w:bidi="ar-EG"/>
        </w:rPr>
        <w:t xml:space="preserve">النظر في المعلومات المذكورة أعلاه، </w:t>
      </w:r>
      <w:r w:rsidR="001E3771">
        <w:rPr>
          <w:rFonts w:hint="cs"/>
          <w:sz w:val="22"/>
          <w:rtl/>
          <w:lang w:val="en-GB" w:bidi="ar-EG"/>
        </w:rPr>
        <w:t>و</w:t>
      </w:r>
      <w:r w:rsidR="004E7644">
        <w:rPr>
          <w:rFonts w:hint="cs"/>
          <w:sz w:val="22"/>
          <w:rtl/>
          <w:lang w:val="en-GB" w:bidi="ar-EG"/>
        </w:rPr>
        <w:t>عملا ل</w:t>
      </w:r>
      <w:r w:rsidR="00E406EC">
        <w:rPr>
          <w:rFonts w:hint="cs"/>
          <w:sz w:val="22"/>
          <w:rtl/>
          <w:lang w:val="en-GB" w:bidi="ar-EG"/>
        </w:rPr>
        <w:t xml:space="preserve">لمقرر </w:t>
      </w:r>
      <w:r w:rsidR="00D46EAB">
        <w:rPr>
          <w:sz w:val="22"/>
          <w:lang w:bidi="ar-EG"/>
        </w:rPr>
        <w:t>NP-2/10</w:t>
      </w:r>
      <w:r w:rsidR="00E406EC">
        <w:rPr>
          <w:rFonts w:hint="cs"/>
          <w:sz w:val="22"/>
          <w:rtl/>
          <w:lang w:val="en-GB" w:bidi="ar-EG"/>
        </w:rPr>
        <w:t xml:space="preserve">، الفقرة 7، استكشاف الحاجة إلى آلية عالمية </w:t>
      </w:r>
      <w:r w:rsidR="001E3771">
        <w:rPr>
          <w:rFonts w:hint="cs"/>
          <w:sz w:val="22"/>
          <w:rtl/>
          <w:lang w:val="en-GB" w:bidi="ar-EG"/>
        </w:rPr>
        <w:t xml:space="preserve">متعددة الأطراف </w:t>
      </w:r>
      <w:r w:rsidR="00E406EC">
        <w:rPr>
          <w:rFonts w:hint="cs"/>
          <w:sz w:val="22"/>
          <w:rtl/>
          <w:lang w:val="en-GB" w:bidi="ar-EG"/>
        </w:rPr>
        <w:t>لتقاسم المنافع</w:t>
      </w:r>
      <w:r w:rsidR="00D46EAB">
        <w:rPr>
          <w:rFonts w:hint="cs"/>
          <w:sz w:val="22"/>
          <w:rtl/>
          <w:lang w:val="en-GB" w:bidi="ar-EG"/>
        </w:rPr>
        <w:t xml:space="preserve"> و</w:t>
      </w:r>
      <w:r w:rsidRPr="00306427">
        <w:rPr>
          <w:rFonts w:hint="cs"/>
          <w:sz w:val="22"/>
          <w:rtl/>
          <w:lang w:val="en-GB" w:bidi="ar-EG"/>
        </w:rPr>
        <w:t xml:space="preserve">أن </w:t>
      </w:r>
      <w:r w:rsidR="00D46EAB">
        <w:rPr>
          <w:rFonts w:hint="cs"/>
          <w:sz w:val="22"/>
          <w:rtl/>
          <w:lang w:val="en-GB" w:bidi="ar-EG"/>
        </w:rPr>
        <w:t xml:space="preserve">تقدم توصية إلى </w:t>
      </w:r>
      <w:r w:rsidRPr="00306427">
        <w:rPr>
          <w:rFonts w:hint="cs"/>
          <w:sz w:val="22"/>
          <w:rtl/>
          <w:lang w:val="en-GB" w:bidi="ar-EG"/>
        </w:rPr>
        <w:t xml:space="preserve">مؤتمر الأطراف </w:t>
      </w:r>
      <w:r w:rsidR="00D46EAB">
        <w:rPr>
          <w:rFonts w:hint="cs"/>
          <w:sz w:val="22"/>
          <w:rtl/>
          <w:lang w:val="en-GB" w:bidi="ar-EG"/>
        </w:rPr>
        <w:t>العامل كاجتماع للأطراف في بروتوكول ناغويا</w:t>
      </w:r>
      <w:r w:rsidR="001E3771">
        <w:rPr>
          <w:rFonts w:hint="cs"/>
          <w:sz w:val="22"/>
          <w:rtl/>
          <w:lang w:val="en-GB" w:bidi="ar-EG"/>
        </w:rPr>
        <w:t xml:space="preserve"> في اجتماعه الثالث</w:t>
      </w:r>
      <w:r w:rsidR="00D46EAB">
        <w:rPr>
          <w:rFonts w:hint="cs"/>
          <w:sz w:val="22"/>
          <w:rtl/>
          <w:lang w:val="en-GB" w:bidi="ar-EG"/>
        </w:rPr>
        <w:t>.</w:t>
      </w:r>
    </w:p>
    <w:p w:rsidR="00982FD9" w:rsidRDefault="00982FD9" w:rsidP="009213DD">
      <w:pPr>
        <w:spacing w:after="120" w:line="204" w:lineRule="auto"/>
        <w:jc w:val="both"/>
        <w:rPr>
          <w:sz w:val="22"/>
          <w:lang w:val="en-GB" w:bidi="ar-EG"/>
        </w:rPr>
      </w:pPr>
    </w:p>
    <w:p w:rsidR="00C60D3A" w:rsidRPr="00C60D3A" w:rsidRDefault="00084C03" w:rsidP="00E11A18">
      <w:pPr>
        <w:spacing w:after="120"/>
        <w:jc w:val="center"/>
        <w:rPr>
          <w:sz w:val="22"/>
          <w:szCs w:val="26"/>
          <w:rtl/>
          <w:lang w:val="en-GB" w:bidi="ar-EG"/>
        </w:rPr>
      </w:pPr>
      <w:r>
        <w:rPr>
          <w:rFonts w:hint="cs"/>
          <w:sz w:val="22"/>
          <w:szCs w:val="26"/>
          <w:rtl/>
          <w:lang w:val="en-GB" w:bidi="ar-EG"/>
        </w:rPr>
        <w:t>________</w:t>
      </w:r>
    </w:p>
    <w:sectPr w:rsidR="00C60D3A" w:rsidRPr="00C60D3A" w:rsidSect="00B32D2D">
      <w:headerReference w:type="even" r:id="rId14"/>
      <w:headerReference w:type="default" r:id="rId15"/>
      <w:type w:val="continuous"/>
      <w:pgSz w:w="12240" w:h="15840" w:code="1"/>
      <w:pgMar w:top="1022" w:right="1440" w:bottom="1138"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66F" w:rsidRDefault="0079566F">
      <w:r>
        <w:separator/>
      </w:r>
    </w:p>
  </w:endnote>
  <w:endnote w:type="continuationSeparator" w:id="0">
    <w:p w:rsidR="0079566F" w:rsidRDefault="00795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YouYuan">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66F" w:rsidRDefault="0079566F">
      <w:r>
        <w:separator/>
      </w:r>
    </w:p>
  </w:footnote>
  <w:footnote w:type="continuationSeparator" w:id="0">
    <w:p w:rsidR="0079566F" w:rsidRDefault="0079566F">
      <w:r>
        <w:continuationSeparator/>
      </w:r>
    </w:p>
  </w:footnote>
  <w:footnote w:id="1">
    <w:p w:rsidR="006036A7" w:rsidRDefault="006036A7">
      <w:pPr>
        <w:pStyle w:val="FootnoteText"/>
        <w:rPr>
          <w:rtl/>
          <w:lang w:bidi="ar-EG"/>
        </w:rPr>
      </w:pPr>
      <w:r>
        <w:rPr>
          <w:rStyle w:val="FootnoteReference"/>
          <w:rtl/>
        </w:rPr>
        <w:t>*</w:t>
      </w:r>
      <w:r>
        <w:rPr>
          <w:rtl/>
        </w:rPr>
        <w:t xml:space="preserve"> </w:t>
      </w:r>
      <w:hyperlink r:id="rId1" w:history="1">
        <w:r w:rsidRPr="001838BA">
          <w:rPr>
            <w:rStyle w:val="Hyperlink"/>
            <w:snapToGrid w:val="0"/>
            <w:kern w:val="18"/>
            <w:szCs w:val="18"/>
            <w:lang w:val="en-GB"/>
          </w:rPr>
          <w:t>CBD/SBI/2/1</w:t>
        </w:r>
      </w:hyperlink>
    </w:p>
  </w:footnote>
  <w:footnote w:id="2">
    <w:p w:rsidR="006036A7" w:rsidRPr="006036A7" w:rsidRDefault="006036A7">
      <w:pPr>
        <w:pStyle w:val="FootnoteText"/>
        <w:rPr>
          <w:lang w:bidi="ar-EG"/>
        </w:rPr>
      </w:pPr>
      <w:r>
        <w:rPr>
          <w:rStyle w:val="FootnoteReference"/>
        </w:rPr>
        <w:footnoteRef/>
      </w:r>
      <w:r>
        <w:rPr>
          <w:rtl/>
        </w:rPr>
        <w:t xml:space="preserve"> </w:t>
      </w:r>
      <w:hyperlink r:id="rId2" w:history="1">
        <w:r w:rsidRPr="006036A7">
          <w:rPr>
            <w:rStyle w:val="Hyperlink"/>
          </w:rPr>
          <w:t>https://www.cbd.int/doc/notifications/2017/ntf-2017-017-absch-en.pdf</w:t>
        </w:r>
      </w:hyperlink>
    </w:p>
  </w:footnote>
  <w:footnote w:id="3">
    <w:p w:rsidR="006036A7" w:rsidRPr="006036A7" w:rsidRDefault="006036A7">
      <w:pPr>
        <w:pStyle w:val="FootnoteText"/>
        <w:rPr>
          <w:szCs w:val="18"/>
          <w:rtl/>
          <w:lang w:bidi="ar-EG"/>
        </w:rPr>
      </w:pPr>
      <w:r>
        <w:rPr>
          <w:rStyle w:val="FootnoteReference"/>
        </w:rPr>
        <w:footnoteRef/>
      </w:r>
      <w:r>
        <w:rPr>
          <w:rtl/>
        </w:rPr>
        <w:t xml:space="preserve"> </w:t>
      </w:r>
      <w:hyperlink r:id="rId3" w:history="1">
        <w:r w:rsidRPr="006036A7">
          <w:rPr>
            <w:rStyle w:val="Hyperlink"/>
            <w:szCs w:val="18"/>
          </w:rPr>
          <w:t>https://www.cbd.int/doc/notifications/2017/ntf-2017-094-abs-en.pdf</w:t>
        </w:r>
      </w:hyperlink>
    </w:p>
  </w:footnote>
  <w:footnote w:id="4">
    <w:p w:rsidR="006036A7" w:rsidRDefault="006036A7">
      <w:pPr>
        <w:pStyle w:val="FootnoteText"/>
        <w:rPr>
          <w:lang w:bidi="ar-EG"/>
        </w:rPr>
      </w:pPr>
      <w:r>
        <w:rPr>
          <w:rStyle w:val="FootnoteReference"/>
        </w:rPr>
        <w:footnoteRef/>
      </w:r>
      <w:r>
        <w:rPr>
          <w:rtl/>
        </w:rPr>
        <w:t xml:space="preserve"> </w:t>
      </w:r>
      <w:hyperlink r:id="rId4" w:history="1">
        <w:r w:rsidR="0096210A" w:rsidRPr="001B0687">
          <w:rPr>
            <w:rStyle w:val="Hyperlink"/>
          </w:rPr>
          <w:t>https://www.cbd.int/abs/submissions-np-2-10/default.shtml</w:t>
        </w:r>
      </w:hyperlink>
    </w:p>
  </w:footnote>
  <w:footnote w:id="5">
    <w:p w:rsidR="001156E2" w:rsidRPr="009213DD" w:rsidRDefault="001156E2" w:rsidP="00EC6864">
      <w:pPr>
        <w:pStyle w:val="FootnoteText"/>
        <w:rPr>
          <w:rFonts w:ascii="Simplified Arabic" w:hAnsi="Simplified Arabic" w:cs="Simplified Arabic"/>
          <w:sz w:val="20"/>
          <w:lang w:bidi="ar-EG"/>
        </w:rPr>
      </w:pPr>
      <w:r>
        <w:rPr>
          <w:rStyle w:val="FootnoteReference"/>
        </w:rPr>
        <w:footnoteRef/>
      </w:r>
      <w:r>
        <w:rPr>
          <w:rtl/>
        </w:rPr>
        <w:t xml:space="preserve"> </w:t>
      </w:r>
      <w:r w:rsidR="009213DD" w:rsidRPr="009213DD">
        <w:rPr>
          <w:rFonts w:ascii="Simplified Arabic" w:hAnsi="Simplified Arabic" w:cs="Simplified Arabic"/>
          <w:sz w:val="20"/>
          <w:rtl/>
          <w:lang w:bidi="ar-EG"/>
        </w:rPr>
        <w:t>ألبانيا، وأنتيغوا وباربودا، وبنن، وبوتان، وبوركينا فاسو، وبوروندي، وجمهورية الكونغو الديمقراطية، وإثيوبيا، وفنل</w:t>
      </w:r>
      <w:r w:rsidR="009213DD">
        <w:rPr>
          <w:rFonts w:ascii="Simplified Arabic" w:hAnsi="Simplified Arabic" w:cs="Simplified Arabic" w:hint="cs"/>
          <w:sz w:val="20"/>
          <w:rtl/>
          <w:lang w:bidi="ar-EG"/>
        </w:rPr>
        <w:t>ن</w:t>
      </w:r>
      <w:r w:rsidR="009213DD">
        <w:rPr>
          <w:rFonts w:ascii="Simplified Arabic" w:hAnsi="Simplified Arabic" w:cs="Simplified Arabic"/>
          <w:sz w:val="20"/>
          <w:rtl/>
          <w:lang w:bidi="ar-EG"/>
        </w:rPr>
        <w:t>د</w:t>
      </w:r>
      <w:r w:rsidR="009213DD" w:rsidRPr="009213DD">
        <w:rPr>
          <w:rFonts w:ascii="Simplified Arabic" w:hAnsi="Simplified Arabic" w:cs="Simplified Arabic"/>
          <w:sz w:val="20"/>
          <w:rtl/>
          <w:lang w:bidi="ar-EG"/>
        </w:rPr>
        <w:t>ا، وهندوراس، والهند، وإندونيسيا، واليابان، وكينيا، وقيرغيزستان، وجمهورية لاو الشعبية الديمقراطية، ومدغشقر، وملاوي، ومالطة، وهولندا، والنرويج، وبنما، وبيرو، وجنوب أفريقيا، وسوازيلند، وسويسرا.</w:t>
      </w:r>
    </w:p>
  </w:footnote>
  <w:footnote w:id="6">
    <w:p w:rsidR="001156E2" w:rsidRPr="009213DD" w:rsidRDefault="001156E2" w:rsidP="001156E2">
      <w:pPr>
        <w:pStyle w:val="FootnoteText"/>
        <w:rPr>
          <w:rFonts w:ascii="Simplified Arabic" w:hAnsi="Simplified Arabic" w:cs="Simplified Arabic"/>
          <w:sz w:val="20"/>
          <w:lang w:bidi="ar-EG"/>
        </w:rPr>
      </w:pPr>
      <w:r w:rsidRPr="009213DD">
        <w:rPr>
          <w:rStyle w:val="FootnoteReference"/>
          <w:rFonts w:ascii="Simplified Arabic" w:hAnsi="Simplified Arabic" w:cs="Simplified Arabic"/>
          <w:sz w:val="20"/>
        </w:rPr>
        <w:footnoteRef/>
      </w:r>
      <w:r w:rsidRPr="009213DD">
        <w:rPr>
          <w:rFonts w:ascii="Simplified Arabic" w:hAnsi="Simplified Arabic" w:cs="Simplified Arabic"/>
          <w:sz w:val="20"/>
          <w:rtl/>
        </w:rPr>
        <w:t xml:space="preserve"> </w:t>
      </w:r>
      <w:r w:rsidR="009213DD" w:rsidRPr="009213DD">
        <w:rPr>
          <w:rFonts w:ascii="Simplified Arabic" w:hAnsi="Simplified Arabic" w:cs="Simplified Arabic"/>
          <w:sz w:val="20"/>
          <w:rtl/>
          <w:lang w:bidi="ar-EG"/>
        </w:rPr>
        <w:t>كينيا، وقيرغيزستان، وجمهورية لاو الشعبية الديمقراطية، ومدغشقر، والنرويج، وبيرو.</w:t>
      </w:r>
    </w:p>
  </w:footnote>
  <w:footnote w:id="7">
    <w:p w:rsidR="001156E2" w:rsidRPr="009213DD" w:rsidRDefault="001156E2" w:rsidP="001156E2">
      <w:pPr>
        <w:pStyle w:val="FootnoteText"/>
        <w:rPr>
          <w:rFonts w:ascii="Simplified Arabic" w:hAnsi="Simplified Arabic" w:cs="Simplified Arabic"/>
          <w:sz w:val="20"/>
          <w:lang w:bidi="ar-EG"/>
        </w:rPr>
      </w:pPr>
      <w:r w:rsidRPr="009213DD">
        <w:rPr>
          <w:rStyle w:val="FootnoteReference"/>
          <w:rFonts w:ascii="Simplified Arabic" w:hAnsi="Simplified Arabic" w:cs="Simplified Arabic"/>
          <w:sz w:val="20"/>
        </w:rPr>
        <w:footnoteRef/>
      </w:r>
      <w:r w:rsidRPr="009213DD">
        <w:rPr>
          <w:rFonts w:ascii="Simplified Arabic" w:hAnsi="Simplified Arabic" w:cs="Simplified Arabic"/>
          <w:sz w:val="20"/>
          <w:rtl/>
        </w:rPr>
        <w:t xml:space="preserve"> </w:t>
      </w:r>
      <w:r w:rsidR="009213DD" w:rsidRPr="009213DD">
        <w:rPr>
          <w:rFonts w:ascii="Simplified Arabic" w:hAnsi="Simplified Arabic" w:cs="Simplified Arabic"/>
          <w:sz w:val="20"/>
          <w:rtl/>
          <w:lang w:bidi="ar-EG"/>
        </w:rPr>
        <w:t>ألبانيا، وبوروندي، والمغرب.</w:t>
      </w:r>
    </w:p>
  </w:footnote>
  <w:footnote w:id="8">
    <w:p w:rsidR="001156E2" w:rsidRPr="009213DD" w:rsidRDefault="001156E2" w:rsidP="001156E2">
      <w:pPr>
        <w:pStyle w:val="FootnoteText"/>
        <w:rPr>
          <w:rFonts w:ascii="Simplified Arabic" w:hAnsi="Simplified Arabic" w:cs="Simplified Arabic"/>
          <w:sz w:val="20"/>
          <w:lang w:bidi="ar-EG"/>
        </w:rPr>
      </w:pPr>
      <w:r w:rsidRPr="009213DD">
        <w:rPr>
          <w:rStyle w:val="FootnoteReference"/>
          <w:rFonts w:ascii="Simplified Arabic" w:hAnsi="Simplified Arabic" w:cs="Simplified Arabic"/>
          <w:sz w:val="20"/>
        </w:rPr>
        <w:footnoteRef/>
      </w:r>
      <w:r w:rsidRPr="009213DD">
        <w:rPr>
          <w:rFonts w:ascii="Simplified Arabic" w:hAnsi="Simplified Arabic" w:cs="Simplified Arabic"/>
          <w:sz w:val="20"/>
          <w:rtl/>
        </w:rPr>
        <w:t xml:space="preserve"> </w:t>
      </w:r>
      <w:r w:rsidR="009213DD" w:rsidRPr="009213DD">
        <w:rPr>
          <w:rFonts w:ascii="Simplified Arabic" w:hAnsi="Simplified Arabic" w:cs="Simplified Arabic"/>
          <w:sz w:val="20"/>
          <w:rtl/>
          <w:lang w:bidi="ar-EG"/>
        </w:rPr>
        <w:t>بلغاريا ورواندا.</w:t>
      </w:r>
    </w:p>
  </w:footnote>
  <w:footnote w:id="9">
    <w:p w:rsidR="001156E2" w:rsidRPr="009213DD" w:rsidRDefault="001156E2" w:rsidP="001156E2">
      <w:pPr>
        <w:pStyle w:val="FootnoteText"/>
        <w:rPr>
          <w:rFonts w:ascii="Simplified Arabic" w:hAnsi="Simplified Arabic" w:cs="Simplified Arabic"/>
          <w:sz w:val="20"/>
          <w:lang w:bidi="ar-EG"/>
        </w:rPr>
      </w:pPr>
      <w:r w:rsidRPr="009213DD">
        <w:rPr>
          <w:rStyle w:val="FootnoteReference"/>
          <w:rFonts w:ascii="Simplified Arabic" w:hAnsi="Simplified Arabic" w:cs="Simplified Arabic"/>
          <w:sz w:val="20"/>
        </w:rPr>
        <w:footnoteRef/>
      </w:r>
      <w:r w:rsidRPr="009213DD">
        <w:rPr>
          <w:rFonts w:ascii="Simplified Arabic" w:hAnsi="Simplified Arabic" w:cs="Simplified Arabic"/>
          <w:sz w:val="20"/>
          <w:rtl/>
        </w:rPr>
        <w:t xml:space="preserve"> </w:t>
      </w:r>
      <w:r w:rsidR="009213DD" w:rsidRPr="009213DD">
        <w:rPr>
          <w:rFonts w:ascii="Simplified Arabic" w:hAnsi="Simplified Arabic" w:cs="Simplified Arabic"/>
          <w:sz w:val="20"/>
          <w:rtl/>
          <w:lang w:bidi="ar-EG"/>
        </w:rPr>
        <w:t>الصين.</w:t>
      </w:r>
    </w:p>
  </w:footnote>
  <w:footnote w:id="10">
    <w:p w:rsidR="009213DD" w:rsidRDefault="009213DD" w:rsidP="009213DD">
      <w:pPr>
        <w:pStyle w:val="FootnoteText"/>
        <w:rPr>
          <w:lang w:bidi="ar-EG"/>
        </w:rPr>
      </w:pPr>
      <w:r w:rsidRPr="009213DD">
        <w:rPr>
          <w:rStyle w:val="FootnoteReference"/>
          <w:rFonts w:ascii="Simplified Arabic" w:hAnsi="Simplified Arabic" w:cs="Simplified Arabic"/>
          <w:sz w:val="20"/>
        </w:rPr>
        <w:footnoteRef/>
      </w:r>
      <w:r w:rsidRPr="009213DD">
        <w:rPr>
          <w:rFonts w:ascii="Simplified Arabic" w:hAnsi="Simplified Arabic" w:cs="Simplified Arabic"/>
          <w:sz w:val="20"/>
          <w:rtl/>
        </w:rPr>
        <w:t xml:space="preserve"> </w:t>
      </w:r>
      <w:r w:rsidRPr="009213DD">
        <w:rPr>
          <w:rFonts w:ascii="Simplified Arabic" w:hAnsi="Simplified Arabic" w:cs="Simplified Arabic"/>
          <w:sz w:val="20"/>
          <w:rtl/>
          <w:lang w:bidi="ar-EG"/>
        </w:rPr>
        <w:t>كوبا.</w:t>
      </w:r>
    </w:p>
  </w:footnote>
  <w:footnote w:id="11">
    <w:p w:rsidR="00701379" w:rsidRPr="00701379" w:rsidRDefault="00701379">
      <w:pPr>
        <w:pStyle w:val="FootnoteText"/>
        <w:rPr>
          <w:rFonts w:ascii="Simplified Arabic" w:hAnsi="Simplified Arabic" w:cs="Simplified Arabic"/>
          <w:rtl/>
        </w:rPr>
      </w:pPr>
      <w:r>
        <w:rPr>
          <w:rStyle w:val="FootnoteReference"/>
        </w:rPr>
        <w:footnoteRef/>
      </w:r>
      <w:r>
        <w:rPr>
          <w:rtl/>
        </w:rPr>
        <w:t xml:space="preserve"> </w:t>
      </w:r>
      <w:r>
        <w:rPr>
          <w:rFonts w:ascii="Simplified Arabic" w:hAnsi="Simplified Arabic" w:cs="Simplified Arabic" w:hint="cs"/>
          <w:rtl/>
        </w:rPr>
        <w:t>بيلاروس، وبوتسوانا، والكاميرون، والصين، وجزر القمر، وغينيا</w:t>
      </w:r>
      <w:r w:rsidR="00750BBC">
        <w:rPr>
          <w:rFonts w:ascii="Simplified Arabic" w:hAnsi="Simplified Arabic" w:cs="Simplified Arabic" w:hint="cs"/>
          <w:rtl/>
        </w:rPr>
        <w:t>-</w:t>
      </w:r>
      <w:r>
        <w:rPr>
          <w:rFonts w:ascii="Simplified Arabic" w:hAnsi="Simplified Arabic" w:cs="Simplified Arabic" w:hint="cs"/>
          <w:rtl/>
        </w:rPr>
        <w:t xml:space="preserve"> بيساو، وكازاخستان، والمكسيك، ومنغوليا، والنيجر، وباكستان، وساو تومي وبرنسيبي، والسنغال، والسودان، وأوروغواي.</w:t>
      </w:r>
    </w:p>
  </w:footnote>
  <w:footnote w:id="12">
    <w:p w:rsidR="00C96E21" w:rsidRPr="00D076F3" w:rsidRDefault="00C96E21">
      <w:pPr>
        <w:pStyle w:val="FootnoteText"/>
        <w:rPr>
          <w:rFonts w:cs="Simplified Arabic"/>
        </w:rPr>
      </w:pPr>
      <w:r w:rsidRPr="00D076F3">
        <w:rPr>
          <w:rStyle w:val="FootnoteReference"/>
          <w:rFonts w:cs="Simplified Arabic"/>
        </w:rPr>
        <w:footnoteRef/>
      </w:r>
      <w:r w:rsidRPr="00D076F3">
        <w:rPr>
          <w:rFonts w:cs="Simplified Arabic"/>
          <w:rtl/>
        </w:rPr>
        <w:t xml:space="preserve"> </w:t>
      </w:r>
      <w:r w:rsidRPr="00D076F3">
        <w:rPr>
          <w:rFonts w:cs="Simplified Arabic" w:hint="cs"/>
          <w:rtl/>
        </w:rPr>
        <w:t>بيرو.</w:t>
      </w:r>
    </w:p>
  </w:footnote>
  <w:footnote w:id="13">
    <w:p w:rsidR="003014B0" w:rsidRPr="00D076F3" w:rsidRDefault="003014B0">
      <w:pPr>
        <w:pStyle w:val="FootnoteText"/>
        <w:rPr>
          <w:rFonts w:cs="Simplified Arabic"/>
        </w:rPr>
      </w:pPr>
      <w:r w:rsidRPr="00D076F3">
        <w:rPr>
          <w:rStyle w:val="FootnoteReference"/>
          <w:rFonts w:cs="Simplified Arabic"/>
        </w:rPr>
        <w:footnoteRef/>
      </w:r>
      <w:r w:rsidRPr="00D076F3">
        <w:rPr>
          <w:rFonts w:cs="Simplified Arabic"/>
          <w:rtl/>
        </w:rPr>
        <w:t xml:space="preserve"> </w:t>
      </w:r>
      <w:r w:rsidRPr="00D076F3">
        <w:rPr>
          <w:rFonts w:cs="Simplified Arabic" w:hint="cs"/>
          <w:rtl/>
        </w:rPr>
        <w:t>بنن، وبوتان، وجمهورية لاو الشعبية الديمقراطية، وموريتانيا، وساو تومي وبرنسيبي.</w:t>
      </w:r>
    </w:p>
  </w:footnote>
  <w:footnote w:id="14">
    <w:p w:rsidR="00AB70FD" w:rsidRPr="00D076F3" w:rsidRDefault="00AB70FD" w:rsidP="00AB70FD">
      <w:pPr>
        <w:pStyle w:val="FootnoteText"/>
        <w:rPr>
          <w:rFonts w:cs="Simplified Arabic"/>
        </w:rPr>
      </w:pPr>
      <w:r w:rsidRPr="00D076F3">
        <w:rPr>
          <w:rStyle w:val="FootnoteReference"/>
          <w:rFonts w:cs="Simplified Arabic"/>
        </w:rPr>
        <w:footnoteRef/>
      </w:r>
      <w:r w:rsidRPr="00D076F3">
        <w:rPr>
          <w:rFonts w:cs="Simplified Arabic"/>
          <w:rtl/>
        </w:rPr>
        <w:t xml:space="preserve"> </w:t>
      </w:r>
      <w:r w:rsidRPr="00D076F3">
        <w:rPr>
          <w:rFonts w:cs="Simplified Arabic" w:hint="cs"/>
          <w:rtl/>
        </w:rPr>
        <w:t>ألبانيا وبنن.</w:t>
      </w:r>
    </w:p>
  </w:footnote>
  <w:footnote w:id="15">
    <w:p w:rsidR="00AB70FD" w:rsidRPr="00D076F3" w:rsidRDefault="00AB70FD" w:rsidP="00AB70FD">
      <w:pPr>
        <w:pStyle w:val="FootnoteText"/>
        <w:rPr>
          <w:rFonts w:cs="Simplified Arabic"/>
        </w:rPr>
      </w:pPr>
      <w:r w:rsidRPr="00D076F3">
        <w:rPr>
          <w:rStyle w:val="FootnoteReference"/>
          <w:rFonts w:cs="Simplified Arabic"/>
        </w:rPr>
        <w:footnoteRef/>
      </w:r>
      <w:r w:rsidRPr="00D076F3">
        <w:rPr>
          <w:rFonts w:cs="Simplified Arabic"/>
          <w:rtl/>
        </w:rPr>
        <w:t xml:space="preserve"> </w:t>
      </w:r>
      <w:r w:rsidRPr="00D076F3">
        <w:rPr>
          <w:rFonts w:cs="Simplified Arabic" w:hint="cs"/>
          <w:rtl/>
        </w:rPr>
        <w:t>جمهورية لاو الشعبية الديمقراطية.</w:t>
      </w:r>
    </w:p>
  </w:footnote>
  <w:footnote w:id="16">
    <w:p w:rsidR="00AB70FD" w:rsidRPr="00D076F3" w:rsidRDefault="00AB70FD" w:rsidP="00AB70FD">
      <w:pPr>
        <w:pStyle w:val="FootnoteText"/>
        <w:rPr>
          <w:rFonts w:cs="Simplified Arabic"/>
        </w:rPr>
      </w:pPr>
      <w:r w:rsidRPr="00D076F3">
        <w:rPr>
          <w:rStyle w:val="FootnoteReference"/>
          <w:rFonts w:cs="Simplified Arabic"/>
        </w:rPr>
        <w:footnoteRef/>
      </w:r>
      <w:r w:rsidRPr="00D076F3">
        <w:rPr>
          <w:rFonts w:cs="Simplified Arabic"/>
          <w:rtl/>
        </w:rPr>
        <w:t xml:space="preserve"> </w:t>
      </w:r>
      <w:r w:rsidRPr="00D076F3">
        <w:rPr>
          <w:rFonts w:cs="Simplified Arabic" w:hint="cs"/>
          <w:rtl/>
        </w:rPr>
        <w:t>بنن.</w:t>
      </w:r>
    </w:p>
  </w:footnote>
  <w:footnote w:id="17">
    <w:p w:rsidR="00AB70FD" w:rsidRPr="00D076F3" w:rsidRDefault="00AB70FD" w:rsidP="00AB70FD">
      <w:pPr>
        <w:pStyle w:val="FootnoteText"/>
        <w:rPr>
          <w:rFonts w:cs="Simplified Arabic"/>
        </w:rPr>
      </w:pPr>
      <w:r w:rsidRPr="00D076F3">
        <w:rPr>
          <w:rStyle w:val="FootnoteReference"/>
          <w:rFonts w:cs="Simplified Arabic"/>
        </w:rPr>
        <w:footnoteRef/>
      </w:r>
      <w:r w:rsidRPr="00D076F3">
        <w:rPr>
          <w:rFonts w:cs="Simplified Arabic"/>
          <w:rtl/>
        </w:rPr>
        <w:t xml:space="preserve"> </w:t>
      </w:r>
      <w:r w:rsidRPr="00D076F3">
        <w:rPr>
          <w:rFonts w:cs="Simplified Arabic" w:hint="cs"/>
          <w:rtl/>
        </w:rPr>
        <w:t>غينيا</w:t>
      </w:r>
      <w:r w:rsidR="007F0F64">
        <w:rPr>
          <w:rFonts w:cs="Simplified Arabic" w:hint="cs"/>
          <w:rtl/>
        </w:rPr>
        <w:t>-</w:t>
      </w:r>
      <w:r w:rsidRPr="00D076F3">
        <w:rPr>
          <w:rFonts w:cs="Simplified Arabic" w:hint="cs"/>
          <w:rtl/>
        </w:rPr>
        <w:t xml:space="preserve"> بيساو.</w:t>
      </w:r>
    </w:p>
  </w:footnote>
  <w:footnote w:id="18">
    <w:p w:rsidR="00940997" w:rsidRPr="00D076F3" w:rsidRDefault="00940997" w:rsidP="00940997">
      <w:pPr>
        <w:pStyle w:val="FootnoteText"/>
        <w:rPr>
          <w:rFonts w:cs="Simplified Arabic"/>
        </w:rPr>
      </w:pPr>
      <w:r w:rsidRPr="00D076F3">
        <w:rPr>
          <w:rStyle w:val="FootnoteReference"/>
          <w:rFonts w:cs="Simplified Arabic"/>
        </w:rPr>
        <w:footnoteRef/>
      </w:r>
      <w:r w:rsidRPr="00D076F3">
        <w:rPr>
          <w:rFonts w:cs="Simplified Arabic"/>
          <w:rtl/>
        </w:rPr>
        <w:t xml:space="preserve"> </w:t>
      </w:r>
      <w:r w:rsidRPr="00D076F3">
        <w:rPr>
          <w:rFonts w:cs="Simplified Arabic" w:hint="cs"/>
          <w:rtl/>
        </w:rPr>
        <w:t>بنن.</w:t>
      </w:r>
    </w:p>
  </w:footnote>
  <w:footnote w:id="19">
    <w:p w:rsidR="00AB70FD" w:rsidRPr="00D076F3" w:rsidRDefault="00AB70FD" w:rsidP="00940997">
      <w:pPr>
        <w:pStyle w:val="FootnoteText"/>
        <w:rPr>
          <w:rFonts w:cs="Simplified Arabic"/>
        </w:rPr>
      </w:pPr>
      <w:r w:rsidRPr="00D076F3">
        <w:rPr>
          <w:rStyle w:val="FootnoteReference"/>
          <w:rFonts w:cs="Simplified Arabic"/>
        </w:rPr>
        <w:footnoteRef/>
      </w:r>
      <w:r w:rsidRPr="00D076F3">
        <w:rPr>
          <w:rFonts w:cs="Simplified Arabic"/>
          <w:rtl/>
        </w:rPr>
        <w:t xml:space="preserve"> </w:t>
      </w:r>
      <w:r w:rsidR="00940997" w:rsidRPr="00D076F3">
        <w:rPr>
          <w:rFonts w:cs="Simplified Arabic" w:hint="cs"/>
          <w:rtl/>
        </w:rPr>
        <w:t>جنوب أفريقيا وكوبا.</w:t>
      </w:r>
    </w:p>
  </w:footnote>
  <w:footnote w:id="20">
    <w:p w:rsidR="00AB70FD" w:rsidRPr="00D076F3" w:rsidRDefault="00AB70FD" w:rsidP="00940997">
      <w:pPr>
        <w:pStyle w:val="FootnoteText"/>
        <w:rPr>
          <w:rFonts w:cs="Simplified Arabic"/>
        </w:rPr>
      </w:pPr>
      <w:r w:rsidRPr="00D076F3">
        <w:rPr>
          <w:rStyle w:val="FootnoteReference"/>
          <w:rFonts w:cs="Simplified Arabic"/>
        </w:rPr>
        <w:footnoteRef/>
      </w:r>
      <w:r w:rsidRPr="00D076F3">
        <w:rPr>
          <w:rFonts w:cs="Simplified Arabic"/>
          <w:rtl/>
        </w:rPr>
        <w:t xml:space="preserve"> </w:t>
      </w:r>
      <w:r w:rsidR="00940997" w:rsidRPr="00D076F3">
        <w:rPr>
          <w:rFonts w:cs="Simplified Arabic" w:hint="cs"/>
          <w:rtl/>
        </w:rPr>
        <w:t>كوبا</w:t>
      </w:r>
      <w:r w:rsidR="00014A9D">
        <w:rPr>
          <w:rFonts w:cs="Simplified Arabic" w:hint="cs"/>
          <w:rtl/>
        </w:rPr>
        <w:t>.</w:t>
      </w:r>
    </w:p>
  </w:footnote>
  <w:footnote w:id="21">
    <w:p w:rsidR="00AB70FD" w:rsidRDefault="00AB70FD" w:rsidP="00940997">
      <w:pPr>
        <w:pStyle w:val="FootnoteText"/>
      </w:pPr>
      <w:r w:rsidRPr="00D076F3">
        <w:rPr>
          <w:rStyle w:val="FootnoteReference"/>
          <w:rFonts w:cs="Simplified Arabic"/>
        </w:rPr>
        <w:footnoteRef/>
      </w:r>
      <w:r w:rsidRPr="00D076F3">
        <w:rPr>
          <w:rFonts w:cs="Simplified Arabic"/>
          <w:rtl/>
        </w:rPr>
        <w:t xml:space="preserve"> </w:t>
      </w:r>
      <w:r w:rsidR="00940997" w:rsidRPr="00D076F3">
        <w:rPr>
          <w:rFonts w:cs="Simplified Arabic" w:hint="cs"/>
          <w:rtl/>
        </w:rPr>
        <w:t xml:space="preserve">فنزويلا (جمهورية </w:t>
      </w:r>
      <w:r w:rsidR="00940997" w:rsidRPr="00D076F3">
        <w:rPr>
          <w:rFonts w:cs="Simplified Arabic"/>
          <w:rtl/>
        </w:rPr>
        <w:t>–</w:t>
      </w:r>
      <w:r w:rsidR="00940997" w:rsidRPr="00D076F3">
        <w:rPr>
          <w:rFonts w:cs="Simplified Arabic" w:hint="cs"/>
          <w:rtl/>
        </w:rPr>
        <w:t xml:space="preserve"> البوليفارية)</w:t>
      </w:r>
      <w:r w:rsidRPr="00D076F3">
        <w:rPr>
          <w:rFonts w:cs="Simplified Arabic" w:hint="cs"/>
          <w:rtl/>
        </w:rPr>
        <w:t>.</w:t>
      </w:r>
    </w:p>
  </w:footnote>
  <w:footnote w:id="22">
    <w:p w:rsidR="00940997" w:rsidRPr="00D076F3" w:rsidRDefault="00940997" w:rsidP="00940997">
      <w:pPr>
        <w:pStyle w:val="FootnoteText"/>
        <w:rPr>
          <w:rFonts w:cs="Simplified Arabic"/>
        </w:rPr>
      </w:pPr>
      <w:r w:rsidRPr="00D076F3">
        <w:rPr>
          <w:rStyle w:val="FootnoteReference"/>
          <w:rFonts w:cs="Simplified Arabic"/>
        </w:rPr>
        <w:footnoteRef/>
      </w:r>
      <w:r w:rsidRPr="00D076F3">
        <w:rPr>
          <w:rFonts w:cs="Simplified Arabic" w:hint="cs"/>
          <w:rtl/>
        </w:rPr>
        <w:t xml:space="preserve"> </w:t>
      </w:r>
      <w:r w:rsidR="006B6E30" w:rsidRPr="00D076F3">
        <w:rPr>
          <w:rFonts w:cs="Simplified Arabic" w:hint="cs"/>
          <w:rtl/>
        </w:rPr>
        <w:t>أنتيغوا وباربودا، وبلجيكا، وبلغاريا، والجمهورية التشيكية، والدان</w:t>
      </w:r>
      <w:r w:rsidR="003E0AF1">
        <w:rPr>
          <w:rFonts w:cs="Simplified Arabic" w:hint="cs"/>
          <w:rtl/>
        </w:rPr>
        <w:t>م</w:t>
      </w:r>
      <w:r w:rsidR="006B6E30" w:rsidRPr="00D076F3">
        <w:rPr>
          <w:rFonts w:cs="Simplified Arabic" w:hint="cs"/>
          <w:rtl/>
        </w:rPr>
        <w:t xml:space="preserve">رك، وإستونيا، وفنلندا، وفرنسا، وألمانيا، وهنغاريا، ومالطة، وهولندا، وبيرو، وبولندا، </w:t>
      </w:r>
      <w:r w:rsidR="003E0AF1">
        <w:rPr>
          <w:rFonts w:cs="Simplified Arabic" w:hint="cs"/>
          <w:rtl/>
        </w:rPr>
        <w:t xml:space="preserve">والبرتغال، </w:t>
      </w:r>
      <w:r w:rsidR="006B6E30" w:rsidRPr="00D076F3">
        <w:rPr>
          <w:rFonts w:cs="Simplified Arabic" w:hint="cs"/>
          <w:rtl/>
        </w:rPr>
        <w:t>وسلوفاكيا، وإسبانيا، والسويد، والمملكة المتحدة لبريطانيا العظمى وأيرلندا الشمالية، وفييت نام</w:t>
      </w:r>
      <w:r w:rsidRPr="00D076F3">
        <w:rPr>
          <w:rFonts w:cs="Simplified Arabic" w:hint="cs"/>
          <w:rtl/>
        </w:rPr>
        <w:t>.</w:t>
      </w:r>
    </w:p>
  </w:footnote>
  <w:footnote w:id="23">
    <w:p w:rsidR="00940997" w:rsidRPr="00D076F3" w:rsidRDefault="00940997" w:rsidP="00D076F3">
      <w:pPr>
        <w:pStyle w:val="FootnoteText"/>
        <w:rPr>
          <w:rFonts w:cs="Simplified Arabic"/>
        </w:rPr>
      </w:pPr>
      <w:r w:rsidRPr="00D076F3">
        <w:rPr>
          <w:rStyle w:val="FootnoteReference"/>
          <w:rFonts w:cs="Simplified Arabic"/>
        </w:rPr>
        <w:footnoteRef/>
      </w:r>
      <w:r w:rsidR="00D076F3" w:rsidRPr="00D076F3">
        <w:rPr>
          <w:rFonts w:cs="Simplified Arabic" w:hint="cs"/>
          <w:rtl/>
        </w:rPr>
        <w:t xml:space="preserve"> ألبانيا.</w:t>
      </w:r>
    </w:p>
  </w:footnote>
  <w:footnote w:id="24">
    <w:p w:rsidR="00940997" w:rsidRPr="00D076F3" w:rsidRDefault="00940997" w:rsidP="006B6E30">
      <w:pPr>
        <w:pStyle w:val="FootnoteText"/>
        <w:rPr>
          <w:rFonts w:cs="Simplified Arabic"/>
        </w:rPr>
      </w:pPr>
      <w:r w:rsidRPr="00D076F3">
        <w:rPr>
          <w:rStyle w:val="FootnoteReference"/>
          <w:rFonts w:cs="Simplified Arabic"/>
        </w:rPr>
        <w:footnoteRef/>
      </w:r>
      <w:r w:rsidR="00D076F3" w:rsidRPr="00D076F3">
        <w:rPr>
          <w:rFonts w:cs="Simplified Arabic" w:hint="cs"/>
          <w:rtl/>
          <w:lang w:bidi="ar-EG"/>
        </w:rPr>
        <w:t xml:space="preserve"> بوركينا فاسو، وبنن، وبوتسوانا، وجمهورية الكونغو الديمقراطية، وكوت ديفوار، والكاميرون، وإثيوبيا، وغينيا، وغينيا</w:t>
      </w:r>
      <w:r w:rsidR="003E0AF1">
        <w:rPr>
          <w:rFonts w:cs="Simplified Arabic" w:hint="cs"/>
          <w:rtl/>
          <w:lang w:bidi="ar-EG"/>
        </w:rPr>
        <w:t>-</w:t>
      </w:r>
      <w:r w:rsidR="00D076F3" w:rsidRPr="00D076F3">
        <w:rPr>
          <w:rFonts w:cs="Simplified Arabic" w:hint="cs"/>
          <w:rtl/>
          <w:lang w:bidi="ar-EG"/>
        </w:rPr>
        <w:t xml:space="preserve"> بيساو، والهند، وجمهورية لاو الشعبية الديمقراطية، وباك</w:t>
      </w:r>
      <w:r w:rsidR="003E0AF1">
        <w:rPr>
          <w:rFonts w:cs="Simplified Arabic" w:hint="cs"/>
          <w:rtl/>
          <w:lang w:bidi="ar-EG"/>
        </w:rPr>
        <w:t>س</w:t>
      </w:r>
      <w:r w:rsidR="00D076F3" w:rsidRPr="00D076F3">
        <w:rPr>
          <w:rFonts w:cs="Simplified Arabic" w:hint="cs"/>
          <w:rtl/>
          <w:lang w:bidi="ar-EG"/>
        </w:rPr>
        <w:t>تان، وجنوب أفريقيا</w:t>
      </w:r>
      <w:r w:rsidRPr="00D076F3">
        <w:rPr>
          <w:rFonts w:cs="Simplified Arabic" w:hint="cs"/>
          <w:rtl/>
        </w:rPr>
        <w:t>.</w:t>
      </w:r>
    </w:p>
  </w:footnote>
  <w:footnote w:id="25">
    <w:p w:rsidR="00940997" w:rsidRPr="00D076F3" w:rsidRDefault="00940997" w:rsidP="006B6E30">
      <w:pPr>
        <w:pStyle w:val="FootnoteText"/>
        <w:rPr>
          <w:rFonts w:cs="Simplified Arabic"/>
        </w:rPr>
      </w:pPr>
      <w:r w:rsidRPr="00D076F3">
        <w:rPr>
          <w:rStyle w:val="FootnoteReference"/>
          <w:rFonts w:cs="Simplified Arabic"/>
        </w:rPr>
        <w:footnoteRef/>
      </w:r>
      <w:r w:rsidR="00D076F3" w:rsidRPr="00D076F3">
        <w:rPr>
          <w:rFonts w:cs="Simplified Arabic" w:hint="cs"/>
          <w:rtl/>
        </w:rPr>
        <w:t xml:space="preserve"> رواندا.</w:t>
      </w:r>
    </w:p>
  </w:footnote>
  <w:footnote w:id="26">
    <w:p w:rsidR="00940997" w:rsidRPr="00D076F3" w:rsidRDefault="00940997" w:rsidP="00D076F3">
      <w:pPr>
        <w:pStyle w:val="FootnoteText"/>
        <w:rPr>
          <w:rFonts w:cs="Simplified Arabic"/>
        </w:rPr>
      </w:pPr>
      <w:r w:rsidRPr="00D076F3">
        <w:rPr>
          <w:rStyle w:val="FootnoteReference"/>
          <w:rFonts w:cs="Simplified Arabic"/>
        </w:rPr>
        <w:footnoteRef/>
      </w:r>
      <w:r w:rsidR="00D076F3" w:rsidRPr="00D076F3">
        <w:rPr>
          <w:rFonts w:cs="Simplified Arabic" w:hint="cs"/>
          <w:rtl/>
        </w:rPr>
        <w:t xml:space="preserve"> توغو.</w:t>
      </w:r>
    </w:p>
  </w:footnote>
  <w:footnote w:id="27">
    <w:p w:rsidR="006B6E30" w:rsidRPr="00D076F3" w:rsidRDefault="006B6E30" w:rsidP="00D076F3">
      <w:pPr>
        <w:pStyle w:val="FootnoteText"/>
        <w:rPr>
          <w:rFonts w:cs="Simplified Arabic"/>
          <w:lang w:bidi="ar-EG"/>
        </w:rPr>
      </w:pPr>
      <w:r w:rsidRPr="00D076F3">
        <w:rPr>
          <w:rStyle w:val="FootnoteReference"/>
          <w:rFonts w:cs="Simplified Arabic"/>
        </w:rPr>
        <w:footnoteRef/>
      </w:r>
      <w:r w:rsidR="00D076F3" w:rsidRPr="00D076F3">
        <w:rPr>
          <w:rFonts w:cs="Simplified Arabic" w:hint="cs"/>
          <w:rtl/>
        </w:rPr>
        <w:t xml:space="preserve"> بوتان، وبوروندي، وفنلندا، واليابان، وكينيا، ومدغشقر، ومالطة، والسويد، وسويسرا، وأوغندا.</w:t>
      </w:r>
    </w:p>
  </w:footnote>
  <w:footnote w:id="28">
    <w:p w:rsidR="006B6E30" w:rsidRDefault="006B6E30" w:rsidP="00D076F3">
      <w:pPr>
        <w:pStyle w:val="FootnoteText"/>
      </w:pPr>
      <w:r w:rsidRPr="00D076F3">
        <w:rPr>
          <w:rStyle w:val="FootnoteReference"/>
          <w:rFonts w:cs="Simplified Arabic"/>
        </w:rPr>
        <w:footnoteRef/>
      </w:r>
      <w:r w:rsidR="00D076F3" w:rsidRPr="00D076F3">
        <w:rPr>
          <w:rFonts w:cs="Simplified Arabic" w:hint="cs"/>
          <w:rtl/>
        </w:rPr>
        <w:t xml:space="preserve"> اليابان، والمغرب، وه</w:t>
      </w:r>
      <w:r w:rsidR="003E0AF1">
        <w:rPr>
          <w:rFonts w:cs="Simplified Arabic" w:hint="cs"/>
          <w:rtl/>
        </w:rPr>
        <w:t>و</w:t>
      </w:r>
      <w:r w:rsidR="00D076F3" w:rsidRPr="00D076F3">
        <w:rPr>
          <w:rFonts w:cs="Simplified Arabic" w:hint="cs"/>
          <w:rtl/>
        </w:rPr>
        <w:t>لندا، والنرويج، والبرتغال، وإسبانيا.</w:t>
      </w:r>
    </w:p>
  </w:footnote>
  <w:footnote w:id="29">
    <w:p w:rsidR="00014A9D" w:rsidRPr="00822CCF" w:rsidRDefault="00014A9D">
      <w:pPr>
        <w:pStyle w:val="FootnoteText"/>
        <w:rPr>
          <w:rFonts w:ascii="Simplified Arabic" w:hAnsi="Simplified Arabic" w:cs="Simplified Arabic"/>
          <w:sz w:val="20"/>
        </w:rPr>
      </w:pPr>
      <w:r w:rsidRPr="00822CCF">
        <w:rPr>
          <w:rStyle w:val="FootnoteReference"/>
          <w:rFonts w:ascii="Simplified Arabic" w:hAnsi="Simplified Arabic" w:cs="Simplified Arabic"/>
          <w:sz w:val="20"/>
        </w:rPr>
        <w:footnoteRef/>
      </w:r>
      <w:r w:rsidRPr="00822CCF">
        <w:rPr>
          <w:rFonts w:ascii="Simplified Arabic" w:hAnsi="Simplified Arabic" w:cs="Simplified Arabic"/>
          <w:sz w:val="20"/>
          <w:rtl/>
        </w:rPr>
        <w:t xml:space="preserve"> </w:t>
      </w:r>
      <w:r w:rsidR="000869FB" w:rsidRPr="00822CCF">
        <w:rPr>
          <w:rFonts w:ascii="Simplified Arabic" w:hAnsi="Simplified Arabic" w:cs="Simplified Arabic"/>
          <w:sz w:val="20"/>
          <w:rtl/>
        </w:rPr>
        <w:t>أنتيغوا وباربودا، وبنن، وبوتان، وبوركينا فاسو، وجمهورية الكونغو الديمقراطية، وإثيوبيا، وفنلندا، وفرنسا، والهند، وكينيا، ومدغشقر، والمكسيك، والمغرب، والنرويج، وبنما، وبيرو، وسوازيلند.</w:t>
      </w:r>
    </w:p>
  </w:footnote>
  <w:footnote w:id="30">
    <w:p w:rsidR="00014A9D" w:rsidRPr="00822CCF" w:rsidRDefault="00014A9D">
      <w:pPr>
        <w:pStyle w:val="FootnoteText"/>
        <w:rPr>
          <w:rFonts w:ascii="Simplified Arabic" w:hAnsi="Simplified Arabic" w:cs="Simplified Arabic"/>
          <w:sz w:val="20"/>
        </w:rPr>
      </w:pPr>
      <w:r w:rsidRPr="00822CCF">
        <w:rPr>
          <w:rStyle w:val="FootnoteReference"/>
          <w:rFonts w:ascii="Simplified Arabic" w:hAnsi="Simplified Arabic" w:cs="Simplified Arabic"/>
          <w:sz w:val="20"/>
        </w:rPr>
        <w:footnoteRef/>
      </w:r>
      <w:r w:rsidRPr="00822CCF">
        <w:rPr>
          <w:rFonts w:ascii="Simplified Arabic" w:hAnsi="Simplified Arabic" w:cs="Simplified Arabic"/>
          <w:sz w:val="20"/>
          <w:rtl/>
        </w:rPr>
        <w:t xml:space="preserve"> </w:t>
      </w:r>
      <w:r w:rsidR="000869FB" w:rsidRPr="00822CCF">
        <w:rPr>
          <w:rFonts w:ascii="Simplified Arabic" w:hAnsi="Simplified Arabic" w:cs="Simplified Arabic"/>
          <w:sz w:val="20"/>
          <w:rtl/>
        </w:rPr>
        <w:t>المكسيك.</w:t>
      </w:r>
    </w:p>
  </w:footnote>
  <w:footnote w:id="31">
    <w:p w:rsidR="005E4349" w:rsidRPr="00822CCF" w:rsidRDefault="005E4349">
      <w:pPr>
        <w:pStyle w:val="FootnoteText"/>
        <w:rPr>
          <w:rFonts w:ascii="Simplified Arabic" w:hAnsi="Simplified Arabic" w:cs="Simplified Arabic"/>
          <w:sz w:val="20"/>
        </w:rPr>
      </w:pPr>
      <w:r w:rsidRPr="00822CCF">
        <w:rPr>
          <w:rStyle w:val="FootnoteReference"/>
          <w:rFonts w:ascii="Simplified Arabic" w:hAnsi="Simplified Arabic" w:cs="Simplified Arabic"/>
          <w:sz w:val="20"/>
        </w:rPr>
        <w:footnoteRef/>
      </w:r>
      <w:r w:rsidRPr="00822CCF">
        <w:rPr>
          <w:rFonts w:ascii="Simplified Arabic" w:hAnsi="Simplified Arabic" w:cs="Simplified Arabic"/>
          <w:sz w:val="20"/>
          <w:rtl/>
        </w:rPr>
        <w:t xml:space="preserve"> </w:t>
      </w:r>
      <w:r w:rsidR="000869FB" w:rsidRPr="00822CCF">
        <w:rPr>
          <w:rFonts w:ascii="Simplified Arabic" w:hAnsi="Simplified Arabic" w:cs="Simplified Arabic"/>
          <w:sz w:val="20"/>
          <w:rtl/>
        </w:rPr>
        <w:t>بنن، والصين، وفنلندا، والهند، والنرويج، وبيرو.</w:t>
      </w:r>
    </w:p>
  </w:footnote>
  <w:footnote w:id="32">
    <w:p w:rsidR="005E4349" w:rsidRPr="00822CCF" w:rsidRDefault="005E4349" w:rsidP="007F0F64">
      <w:pPr>
        <w:pStyle w:val="FootnoteText"/>
        <w:rPr>
          <w:rFonts w:ascii="Simplified Arabic" w:hAnsi="Simplified Arabic" w:cs="Simplified Arabic"/>
          <w:sz w:val="20"/>
        </w:rPr>
      </w:pPr>
      <w:r w:rsidRPr="00822CCF">
        <w:rPr>
          <w:rStyle w:val="FootnoteReference"/>
          <w:rFonts w:ascii="Simplified Arabic" w:hAnsi="Simplified Arabic" w:cs="Simplified Arabic"/>
          <w:sz w:val="20"/>
        </w:rPr>
        <w:footnoteRef/>
      </w:r>
      <w:r w:rsidRPr="00822CCF">
        <w:rPr>
          <w:rFonts w:ascii="Simplified Arabic" w:hAnsi="Simplified Arabic" w:cs="Simplified Arabic"/>
          <w:sz w:val="20"/>
          <w:rtl/>
        </w:rPr>
        <w:t xml:space="preserve"> </w:t>
      </w:r>
      <w:r w:rsidR="000869FB" w:rsidRPr="00822CCF">
        <w:rPr>
          <w:rFonts w:ascii="Simplified Arabic" w:hAnsi="Simplified Arabic" w:cs="Simplified Arabic"/>
          <w:sz w:val="20"/>
          <w:rtl/>
        </w:rPr>
        <w:t xml:space="preserve">بوروندي، </w:t>
      </w:r>
      <w:r w:rsidR="007F0F64">
        <w:rPr>
          <w:rFonts w:ascii="Simplified Arabic" w:hAnsi="Simplified Arabic" w:cs="Simplified Arabic" w:hint="cs"/>
          <w:sz w:val="20"/>
          <w:rtl/>
        </w:rPr>
        <w:t>و</w:t>
      </w:r>
      <w:r w:rsidR="000869FB" w:rsidRPr="00822CCF">
        <w:rPr>
          <w:rFonts w:ascii="Simplified Arabic" w:hAnsi="Simplified Arabic" w:cs="Simplified Arabic"/>
          <w:sz w:val="20"/>
          <w:rtl/>
        </w:rPr>
        <w:t>الكاميرون، وكوت ديفوار، والجمهورية الدومينيكية، وغينيا، وغينيا</w:t>
      </w:r>
      <w:r w:rsidR="007F0F64">
        <w:rPr>
          <w:rFonts w:ascii="Simplified Arabic" w:hAnsi="Simplified Arabic" w:cs="Simplified Arabic" w:hint="cs"/>
          <w:sz w:val="20"/>
          <w:rtl/>
        </w:rPr>
        <w:t>-</w:t>
      </w:r>
      <w:r w:rsidR="000869FB" w:rsidRPr="00822CCF">
        <w:rPr>
          <w:rFonts w:ascii="Simplified Arabic" w:hAnsi="Simplified Arabic" w:cs="Simplified Arabic"/>
          <w:sz w:val="20"/>
          <w:rtl/>
        </w:rPr>
        <w:t>بيساو، ومنغوليا، والنيجر، وباكستان، والسنغال، والسودان، وتوغو.</w:t>
      </w:r>
    </w:p>
  </w:footnote>
  <w:footnote w:id="33">
    <w:p w:rsidR="005E4349" w:rsidRPr="00822CCF" w:rsidRDefault="005E4349">
      <w:pPr>
        <w:pStyle w:val="FootnoteText"/>
        <w:rPr>
          <w:rFonts w:ascii="Simplified Arabic" w:hAnsi="Simplified Arabic" w:cs="Simplified Arabic"/>
          <w:sz w:val="20"/>
        </w:rPr>
      </w:pPr>
      <w:r w:rsidRPr="00822CCF">
        <w:rPr>
          <w:rStyle w:val="FootnoteReference"/>
          <w:rFonts w:ascii="Simplified Arabic" w:hAnsi="Simplified Arabic" w:cs="Simplified Arabic"/>
          <w:sz w:val="20"/>
        </w:rPr>
        <w:footnoteRef/>
      </w:r>
      <w:r w:rsidRPr="00822CCF">
        <w:rPr>
          <w:rFonts w:ascii="Simplified Arabic" w:hAnsi="Simplified Arabic" w:cs="Simplified Arabic"/>
          <w:sz w:val="20"/>
          <w:rtl/>
        </w:rPr>
        <w:t xml:space="preserve"> </w:t>
      </w:r>
      <w:r w:rsidR="009435DE" w:rsidRPr="00822CCF">
        <w:rPr>
          <w:rFonts w:ascii="Simplified Arabic" w:hAnsi="Simplified Arabic" w:cs="Simplified Arabic"/>
          <w:sz w:val="20"/>
          <w:rtl/>
        </w:rPr>
        <w:t>بنن، والكاميرون، وجمهورية الكونغو الديمقراطية، وكينيا.</w:t>
      </w:r>
    </w:p>
  </w:footnote>
  <w:footnote w:id="34">
    <w:p w:rsidR="005E4349" w:rsidRPr="00822CCF" w:rsidRDefault="005E4349">
      <w:pPr>
        <w:pStyle w:val="FootnoteText"/>
        <w:rPr>
          <w:rFonts w:ascii="Simplified Arabic" w:hAnsi="Simplified Arabic" w:cs="Simplified Arabic"/>
          <w:sz w:val="20"/>
        </w:rPr>
      </w:pPr>
      <w:r w:rsidRPr="00822CCF">
        <w:rPr>
          <w:rStyle w:val="FootnoteReference"/>
          <w:rFonts w:ascii="Simplified Arabic" w:hAnsi="Simplified Arabic" w:cs="Simplified Arabic"/>
          <w:sz w:val="20"/>
        </w:rPr>
        <w:footnoteRef/>
      </w:r>
      <w:r w:rsidRPr="00822CCF">
        <w:rPr>
          <w:rFonts w:ascii="Simplified Arabic" w:hAnsi="Simplified Arabic" w:cs="Simplified Arabic"/>
          <w:sz w:val="20"/>
          <w:rtl/>
        </w:rPr>
        <w:t xml:space="preserve"> </w:t>
      </w:r>
      <w:r w:rsidR="009435DE" w:rsidRPr="00822CCF">
        <w:rPr>
          <w:rFonts w:ascii="Simplified Arabic" w:hAnsi="Simplified Arabic" w:cs="Simplified Arabic"/>
          <w:sz w:val="20"/>
          <w:rtl/>
        </w:rPr>
        <w:t>بوتان، وإثيوبيا، والهند، وسوازيلند، وبيرو.</w:t>
      </w:r>
    </w:p>
  </w:footnote>
  <w:footnote w:id="35">
    <w:p w:rsidR="005E4349" w:rsidRPr="00822CCF" w:rsidRDefault="005E4349">
      <w:pPr>
        <w:pStyle w:val="FootnoteText"/>
        <w:rPr>
          <w:rFonts w:ascii="Simplified Arabic" w:hAnsi="Simplified Arabic" w:cs="Simplified Arabic"/>
          <w:sz w:val="20"/>
        </w:rPr>
      </w:pPr>
      <w:r w:rsidRPr="00822CCF">
        <w:rPr>
          <w:rStyle w:val="FootnoteReference"/>
          <w:rFonts w:ascii="Simplified Arabic" w:hAnsi="Simplified Arabic" w:cs="Simplified Arabic"/>
          <w:sz w:val="20"/>
        </w:rPr>
        <w:footnoteRef/>
      </w:r>
      <w:r w:rsidRPr="00822CCF">
        <w:rPr>
          <w:rFonts w:ascii="Simplified Arabic" w:hAnsi="Simplified Arabic" w:cs="Simplified Arabic"/>
          <w:sz w:val="20"/>
          <w:rtl/>
        </w:rPr>
        <w:t xml:space="preserve"> </w:t>
      </w:r>
      <w:r w:rsidR="009435DE" w:rsidRPr="00822CCF">
        <w:rPr>
          <w:rFonts w:ascii="Simplified Arabic" w:hAnsi="Simplified Arabic" w:cs="Simplified Arabic"/>
          <w:sz w:val="20"/>
          <w:rtl/>
        </w:rPr>
        <w:t>بنن.</w:t>
      </w:r>
    </w:p>
  </w:footnote>
  <w:footnote w:id="36">
    <w:p w:rsidR="005E4349" w:rsidRPr="00822CCF" w:rsidRDefault="005E4349">
      <w:pPr>
        <w:pStyle w:val="FootnoteText"/>
        <w:rPr>
          <w:rFonts w:ascii="Simplified Arabic" w:hAnsi="Simplified Arabic" w:cs="Simplified Arabic"/>
          <w:sz w:val="20"/>
        </w:rPr>
      </w:pPr>
      <w:r w:rsidRPr="00822CCF">
        <w:rPr>
          <w:rStyle w:val="FootnoteReference"/>
          <w:rFonts w:ascii="Simplified Arabic" w:hAnsi="Simplified Arabic" w:cs="Simplified Arabic"/>
          <w:sz w:val="20"/>
        </w:rPr>
        <w:footnoteRef/>
      </w:r>
      <w:r w:rsidRPr="00822CCF">
        <w:rPr>
          <w:rFonts w:ascii="Simplified Arabic" w:hAnsi="Simplified Arabic" w:cs="Simplified Arabic"/>
          <w:sz w:val="20"/>
          <w:rtl/>
        </w:rPr>
        <w:t xml:space="preserve"> </w:t>
      </w:r>
      <w:r w:rsidR="009435DE" w:rsidRPr="00822CCF">
        <w:rPr>
          <w:rFonts w:ascii="Simplified Arabic" w:hAnsi="Simplified Arabic" w:cs="Simplified Arabic"/>
          <w:sz w:val="20"/>
          <w:rtl/>
        </w:rPr>
        <w:t>بوركينا فاسو، وبوروندي، وجمهورية الكونغو الديمقراطية، وملاوي، والمكسيك، والسويد، وأوغندا.</w:t>
      </w:r>
    </w:p>
  </w:footnote>
  <w:footnote w:id="37">
    <w:p w:rsidR="009435DE" w:rsidRDefault="009435DE" w:rsidP="007F0F64">
      <w:pPr>
        <w:pStyle w:val="FootnoteText"/>
        <w:rPr>
          <w:lang w:bidi="ar-EG"/>
        </w:rPr>
      </w:pPr>
      <w:r w:rsidRPr="00822CCF">
        <w:rPr>
          <w:rStyle w:val="FootnoteReference"/>
          <w:rFonts w:ascii="Simplified Arabic" w:hAnsi="Simplified Arabic" w:cs="Simplified Arabic"/>
          <w:sz w:val="20"/>
        </w:rPr>
        <w:footnoteRef/>
      </w:r>
      <w:r w:rsidRPr="00822CCF">
        <w:rPr>
          <w:rFonts w:ascii="Simplified Arabic" w:hAnsi="Simplified Arabic" w:cs="Simplified Arabic"/>
          <w:sz w:val="20"/>
          <w:rtl/>
        </w:rPr>
        <w:t xml:space="preserve"> </w:t>
      </w:r>
      <w:r w:rsidRPr="00822CCF">
        <w:rPr>
          <w:rFonts w:ascii="Simplified Arabic" w:hAnsi="Simplified Arabic" w:cs="Simplified Arabic"/>
          <w:sz w:val="20"/>
          <w:rtl/>
          <w:lang w:bidi="ar-EG"/>
        </w:rPr>
        <w:t>بوتسوانا، وكوت ديفوار، وغينيا، وغينيا</w:t>
      </w:r>
      <w:r w:rsidR="007F0F64">
        <w:rPr>
          <w:rFonts w:ascii="Simplified Arabic" w:hAnsi="Simplified Arabic" w:cs="Simplified Arabic" w:hint="cs"/>
          <w:sz w:val="20"/>
          <w:rtl/>
          <w:lang w:bidi="ar-EG"/>
        </w:rPr>
        <w:t>-</w:t>
      </w:r>
      <w:r w:rsidRPr="00822CCF">
        <w:rPr>
          <w:rFonts w:ascii="Simplified Arabic" w:hAnsi="Simplified Arabic" w:cs="Simplified Arabic"/>
          <w:sz w:val="20"/>
          <w:rtl/>
          <w:lang w:bidi="ar-EG"/>
        </w:rPr>
        <w:t>بيساو، وموريتانيا، ومنغوليا، والنيجر، وباكستان، والسودان، وأوروغواي.</w:t>
      </w:r>
    </w:p>
  </w:footnote>
  <w:footnote w:id="38">
    <w:p w:rsidR="009435DE" w:rsidRPr="00CC6917" w:rsidRDefault="009435DE">
      <w:pPr>
        <w:pStyle w:val="FootnoteText"/>
        <w:rPr>
          <w:rFonts w:ascii="Simplified Arabic" w:hAnsi="Simplified Arabic" w:cs="Simplified Arabic"/>
          <w:sz w:val="20"/>
        </w:rPr>
      </w:pPr>
      <w:r w:rsidRPr="00CC6917">
        <w:rPr>
          <w:rStyle w:val="FootnoteReference"/>
          <w:rFonts w:ascii="Simplified Arabic" w:hAnsi="Simplified Arabic" w:cs="Simplified Arabic"/>
          <w:sz w:val="20"/>
        </w:rPr>
        <w:footnoteRef/>
      </w:r>
      <w:r w:rsidRPr="00CC6917">
        <w:rPr>
          <w:rFonts w:ascii="Simplified Arabic" w:hAnsi="Simplified Arabic" w:cs="Simplified Arabic"/>
          <w:sz w:val="20"/>
          <w:rtl/>
        </w:rPr>
        <w:t xml:space="preserve"> </w:t>
      </w:r>
      <w:r w:rsidR="00822CCF" w:rsidRPr="00CC6917">
        <w:rPr>
          <w:rFonts w:ascii="Simplified Arabic" w:hAnsi="Simplified Arabic" w:cs="Simplified Arabic"/>
          <w:sz w:val="20"/>
          <w:rtl/>
        </w:rPr>
        <w:t>بنن</w:t>
      </w:r>
      <w:r w:rsidR="00751DC2" w:rsidRPr="00CC6917">
        <w:rPr>
          <w:rFonts w:ascii="Simplified Arabic" w:hAnsi="Simplified Arabic" w:cs="Simplified Arabic"/>
          <w:sz w:val="20"/>
          <w:rtl/>
        </w:rPr>
        <w:t>، وبوركينا فاسو، والكاميرون، وإثيوبيا، والهند، وملاوي، والمغرب، وجنوب أفريقيا</w:t>
      </w:r>
      <w:r w:rsidR="00822CCF" w:rsidRPr="00CC6917">
        <w:rPr>
          <w:rFonts w:ascii="Simplified Arabic" w:hAnsi="Simplified Arabic" w:cs="Simplified Arabic"/>
          <w:sz w:val="20"/>
          <w:rtl/>
        </w:rPr>
        <w:t>.</w:t>
      </w:r>
    </w:p>
  </w:footnote>
  <w:footnote w:id="39">
    <w:p w:rsidR="009435DE" w:rsidRPr="00CC6917" w:rsidRDefault="009435DE" w:rsidP="007F0F64">
      <w:pPr>
        <w:pStyle w:val="FootnoteText"/>
        <w:rPr>
          <w:rFonts w:ascii="Simplified Arabic" w:hAnsi="Simplified Arabic" w:cs="Simplified Arabic"/>
          <w:sz w:val="20"/>
          <w:rtl/>
        </w:rPr>
      </w:pPr>
      <w:r w:rsidRPr="00CC6917">
        <w:rPr>
          <w:rStyle w:val="FootnoteReference"/>
          <w:rFonts w:ascii="Simplified Arabic" w:hAnsi="Simplified Arabic" w:cs="Simplified Arabic"/>
          <w:sz w:val="20"/>
        </w:rPr>
        <w:footnoteRef/>
      </w:r>
      <w:r w:rsidRPr="00CC6917">
        <w:rPr>
          <w:rFonts w:ascii="Simplified Arabic" w:hAnsi="Simplified Arabic" w:cs="Simplified Arabic"/>
          <w:sz w:val="20"/>
          <w:rtl/>
        </w:rPr>
        <w:t xml:space="preserve"> </w:t>
      </w:r>
      <w:r w:rsidR="00751DC2" w:rsidRPr="00CC6917">
        <w:rPr>
          <w:rFonts w:ascii="Simplified Arabic" w:hAnsi="Simplified Arabic" w:cs="Simplified Arabic"/>
          <w:sz w:val="20"/>
          <w:rtl/>
        </w:rPr>
        <w:t>أنتيغوا وباربودا، وبنن، وبوتان، وإثيوبيا، والهند، وبيرو.</w:t>
      </w:r>
    </w:p>
  </w:footnote>
  <w:footnote w:id="40">
    <w:p w:rsidR="00751DC2" w:rsidRPr="00CC6917" w:rsidRDefault="00751DC2">
      <w:pPr>
        <w:pStyle w:val="FootnoteText"/>
        <w:rPr>
          <w:rFonts w:ascii="Simplified Arabic" w:hAnsi="Simplified Arabic" w:cs="Simplified Arabic"/>
          <w:sz w:val="20"/>
        </w:rPr>
      </w:pPr>
      <w:r w:rsidRPr="00CC6917">
        <w:rPr>
          <w:rStyle w:val="FootnoteReference"/>
          <w:rFonts w:ascii="Simplified Arabic" w:hAnsi="Simplified Arabic" w:cs="Simplified Arabic"/>
          <w:sz w:val="20"/>
        </w:rPr>
        <w:footnoteRef/>
      </w:r>
      <w:r w:rsidRPr="00CC6917">
        <w:rPr>
          <w:rFonts w:ascii="Simplified Arabic" w:hAnsi="Simplified Arabic" w:cs="Simplified Arabic"/>
          <w:sz w:val="20"/>
          <w:rtl/>
        </w:rPr>
        <w:t xml:space="preserve"> بنن.</w:t>
      </w:r>
    </w:p>
  </w:footnote>
  <w:footnote w:id="41">
    <w:p w:rsidR="00751DC2" w:rsidRPr="00CC6917" w:rsidRDefault="00751DC2">
      <w:pPr>
        <w:pStyle w:val="FootnoteText"/>
        <w:rPr>
          <w:rFonts w:ascii="Simplified Arabic" w:hAnsi="Simplified Arabic" w:cs="Simplified Arabic"/>
          <w:sz w:val="20"/>
        </w:rPr>
      </w:pPr>
      <w:r w:rsidRPr="00CC6917">
        <w:rPr>
          <w:rStyle w:val="FootnoteReference"/>
          <w:rFonts w:ascii="Simplified Arabic" w:hAnsi="Simplified Arabic" w:cs="Simplified Arabic"/>
          <w:sz w:val="20"/>
        </w:rPr>
        <w:footnoteRef/>
      </w:r>
      <w:r w:rsidRPr="00CC6917">
        <w:rPr>
          <w:rFonts w:ascii="Simplified Arabic" w:hAnsi="Simplified Arabic" w:cs="Simplified Arabic"/>
          <w:sz w:val="20"/>
          <w:rtl/>
        </w:rPr>
        <w:t xml:space="preserve"> بوروندي، والكاميرون، والصين، والهند، وكينيا.</w:t>
      </w:r>
    </w:p>
  </w:footnote>
  <w:footnote w:id="42">
    <w:p w:rsidR="00751DC2" w:rsidRPr="00CC6917" w:rsidRDefault="00751DC2" w:rsidP="007F0F64">
      <w:pPr>
        <w:pStyle w:val="FootnoteText"/>
        <w:rPr>
          <w:rFonts w:ascii="Simplified Arabic" w:hAnsi="Simplified Arabic" w:cs="Simplified Arabic"/>
          <w:sz w:val="20"/>
        </w:rPr>
      </w:pPr>
      <w:r w:rsidRPr="00CC6917">
        <w:rPr>
          <w:rStyle w:val="FootnoteReference"/>
          <w:rFonts w:ascii="Simplified Arabic" w:hAnsi="Simplified Arabic" w:cs="Simplified Arabic"/>
          <w:sz w:val="20"/>
        </w:rPr>
        <w:footnoteRef/>
      </w:r>
      <w:r w:rsidRPr="00CC6917">
        <w:rPr>
          <w:rFonts w:ascii="Simplified Arabic" w:hAnsi="Simplified Arabic" w:cs="Simplified Arabic"/>
          <w:sz w:val="20"/>
          <w:rtl/>
        </w:rPr>
        <w:t xml:space="preserve"> </w:t>
      </w:r>
      <w:r w:rsidR="007F0F64" w:rsidRPr="00CC6917">
        <w:rPr>
          <w:rFonts w:ascii="Simplified Arabic" w:hAnsi="Simplified Arabic" w:cs="Simplified Arabic"/>
          <w:sz w:val="20"/>
          <w:rtl/>
        </w:rPr>
        <w:t>جزر القمر، وإثيوبيا، والهند، والنرويج.</w:t>
      </w:r>
    </w:p>
  </w:footnote>
  <w:footnote w:id="43">
    <w:p w:rsidR="00751DC2" w:rsidRPr="00CC6917" w:rsidRDefault="00751DC2">
      <w:pPr>
        <w:pStyle w:val="FootnoteText"/>
        <w:rPr>
          <w:rFonts w:ascii="Simplified Arabic" w:hAnsi="Simplified Arabic" w:cs="Simplified Arabic"/>
          <w:sz w:val="20"/>
        </w:rPr>
      </w:pPr>
      <w:r w:rsidRPr="00CC6917">
        <w:rPr>
          <w:rStyle w:val="FootnoteReference"/>
          <w:rFonts w:ascii="Simplified Arabic" w:hAnsi="Simplified Arabic" w:cs="Simplified Arabic"/>
          <w:sz w:val="20"/>
        </w:rPr>
        <w:footnoteRef/>
      </w:r>
      <w:r w:rsidRPr="00CC6917">
        <w:rPr>
          <w:rFonts w:ascii="Simplified Arabic" w:hAnsi="Simplified Arabic" w:cs="Simplified Arabic"/>
          <w:sz w:val="20"/>
          <w:rtl/>
        </w:rPr>
        <w:t xml:space="preserve"> </w:t>
      </w:r>
      <w:r w:rsidR="007F0F64" w:rsidRPr="00CC6917">
        <w:rPr>
          <w:rFonts w:ascii="Simplified Arabic" w:hAnsi="Simplified Arabic" w:cs="Simplified Arabic"/>
          <w:sz w:val="20"/>
          <w:rtl/>
        </w:rPr>
        <w:t>فنلندا.</w:t>
      </w:r>
    </w:p>
  </w:footnote>
  <w:footnote w:id="44">
    <w:p w:rsidR="00CC6917" w:rsidRPr="00CC6917" w:rsidRDefault="00CC6917">
      <w:pPr>
        <w:pStyle w:val="FootnoteText"/>
        <w:rPr>
          <w:rFonts w:ascii="Simplified Arabic" w:hAnsi="Simplified Arabic" w:cs="Simplified Arabic"/>
          <w:sz w:val="20"/>
        </w:rPr>
      </w:pPr>
      <w:r w:rsidRPr="00CC6917">
        <w:rPr>
          <w:rStyle w:val="FootnoteReference"/>
          <w:rFonts w:ascii="Simplified Arabic" w:hAnsi="Simplified Arabic" w:cs="Simplified Arabic"/>
          <w:sz w:val="20"/>
        </w:rPr>
        <w:footnoteRef/>
      </w:r>
      <w:r w:rsidR="00225432">
        <w:rPr>
          <w:rFonts w:ascii="Simplified Arabic" w:hAnsi="Simplified Arabic" w:cs="Simplified Arabic"/>
          <w:sz w:val="20"/>
          <w:rtl/>
        </w:rPr>
        <w:t xml:space="preserve"> بوتسوانا</w:t>
      </w:r>
      <w:r w:rsidR="00225432">
        <w:rPr>
          <w:rFonts w:ascii="Simplified Arabic" w:hAnsi="Simplified Arabic" w:cs="Simplified Arabic" w:hint="cs"/>
          <w:sz w:val="20"/>
          <w:rtl/>
        </w:rPr>
        <w:t>،</w:t>
      </w:r>
      <w:r w:rsidRPr="00CC6917">
        <w:rPr>
          <w:rFonts w:ascii="Simplified Arabic" w:hAnsi="Simplified Arabic" w:cs="Simplified Arabic"/>
          <w:sz w:val="20"/>
          <w:rtl/>
        </w:rPr>
        <w:t xml:space="preserve"> والصين، وجزر القمر، وكوت ديفوار، والجمهورية الدومينيكية، وجمهورية لاو الشعبية الديمقراطية، والمكسيك، والسنغال، وتوغو، وأوروغواي.</w:t>
      </w:r>
    </w:p>
  </w:footnote>
  <w:footnote w:id="45">
    <w:p w:rsidR="00CC6917" w:rsidRDefault="00CC6917">
      <w:pPr>
        <w:pStyle w:val="FootnoteText"/>
        <w:rPr>
          <w:rtl/>
        </w:rPr>
      </w:pPr>
      <w:r w:rsidRPr="00CC6917">
        <w:rPr>
          <w:rStyle w:val="FootnoteReference"/>
          <w:rFonts w:ascii="Simplified Arabic" w:hAnsi="Simplified Arabic" w:cs="Simplified Arabic"/>
          <w:sz w:val="20"/>
        </w:rPr>
        <w:footnoteRef/>
      </w:r>
      <w:r w:rsidRPr="00CC6917">
        <w:rPr>
          <w:rFonts w:ascii="Simplified Arabic" w:hAnsi="Simplified Arabic" w:cs="Simplified Arabic"/>
          <w:sz w:val="20"/>
          <w:rtl/>
        </w:rPr>
        <w:t xml:space="preserve"> المكسيك والنيجر.</w:t>
      </w:r>
    </w:p>
  </w:footnote>
  <w:footnote w:id="46">
    <w:p w:rsidR="00CC6917" w:rsidRPr="00CC6917" w:rsidRDefault="00CC6917">
      <w:pPr>
        <w:pStyle w:val="FootnoteText"/>
        <w:rPr>
          <w:rFonts w:ascii="Simplified Arabic" w:hAnsi="Simplified Arabic" w:cs="Simplified Arabic"/>
          <w:rtl/>
        </w:rPr>
      </w:pPr>
      <w:r>
        <w:rPr>
          <w:rStyle w:val="FootnoteReference"/>
        </w:rPr>
        <w:footnoteRef/>
      </w:r>
      <w:r>
        <w:rPr>
          <w:rtl/>
        </w:rPr>
        <w:t xml:space="preserve"> </w:t>
      </w:r>
      <w:r>
        <w:rPr>
          <w:rFonts w:ascii="Simplified Arabic" w:hAnsi="Simplified Arabic" w:cs="Simplified Arabic" w:hint="cs"/>
          <w:rtl/>
        </w:rPr>
        <w:t>الصين، وجزر القمر.</w:t>
      </w:r>
    </w:p>
  </w:footnote>
  <w:footnote w:id="47">
    <w:p w:rsidR="004C5919" w:rsidRDefault="004C5919" w:rsidP="00E05515">
      <w:pPr>
        <w:pStyle w:val="FootnoteText"/>
        <w:rPr>
          <w:rtl/>
          <w:lang w:bidi="ar-EG"/>
        </w:rPr>
      </w:pPr>
      <w:r w:rsidRPr="0044682F">
        <w:rPr>
          <w:rStyle w:val="FootnoteReference"/>
          <w:rFonts w:ascii="Simplified Arabic" w:hAnsi="Simplified Arabic" w:cs="Simplified Arabic"/>
          <w:sz w:val="20"/>
        </w:rPr>
        <w:footnoteRef/>
      </w:r>
      <w:r w:rsidRPr="0044682F">
        <w:rPr>
          <w:rFonts w:ascii="Simplified Arabic" w:hAnsi="Simplified Arabic" w:cs="Simplified Arabic"/>
          <w:sz w:val="20"/>
          <w:rtl/>
        </w:rPr>
        <w:t xml:space="preserve"> </w:t>
      </w:r>
      <w:r w:rsidR="0044682F" w:rsidRPr="0044682F">
        <w:rPr>
          <w:rFonts w:ascii="Simplified Arabic" w:hAnsi="Simplified Arabic" w:cs="Simplified Arabic"/>
          <w:sz w:val="20"/>
          <w:rtl/>
        </w:rPr>
        <w:t xml:space="preserve">انظر </w:t>
      </w:r>
      <w:r w:rsidR="0044682F">
        <w:rPr>
          <w:rFonts w:ascii="Simplified Arabic" w:hAnsi="Simplified Arabic" w:cs="Simplified Arabic"/>
          <w:sz w:val="20"/>
          <w:rtl/>
        </w:rPr>
        <w:t>مث</w:t>
      </w:r>
      <w:r w:rsidR="0044682F" w:rsidRPr="0044682F">
        <w:rPr>
          <w:rFonts w:ascii="Simplified Arabic" w:hAnsi="Simplified Arabic" w:cs="Simplified Arabic"/>
          <w:sz w:val="20"/>
          <w:rtl/>
        </w:rPr>
        <w:t>ل</w:t>
      </w:r>
      <w:r w:rsidR="0044682F">
        <w:rPr>
          <w:rFonts w:ascii="Simplified Arabic" w:hAnsi="Simplified Arabic" w:cs="Simplified Arabic" w:hint="cs"/>
          <w:sz w:val="20"/>
          <w:rtl/>
        </w:rPr>
        <w:t>ا</w:t>
      </w:r>
      <w:r w:rsidR="0044682F" w:rsidRPr="0044682F">
        <w:rPr>
          <w:rFonts w:ascii="Simplified Arabic" w:hAnsi="Simplified Arabic" w:cs="Simplified Arabic"/>
          <w:sz w:val="20"/>
          <w:rtl/>
        </w:rPr>
        <w:t xml:space="preserve"> </w:t>
      </w:r>
      <w:r w:rsidR="0044682F">
        <w:rPr>
          <w:rFonts w:ascii="Simplified Arabic" w:hAnsi="Simplified Arabic" w:cs="Simplified Arabic" w:hint="cs"/>
          <w:sz w:val="20"/>
          <w:rtl/>
        </w:rPr>
        <w:t>ال</w:t>
      </w:r>
      <w:r w:rsidR="0044682F" w:rsidRPr="0044682F">
        <w:rPr>
          <w:rFonts w:ascii="Simplified Arabic" w:hAnsi="Simplified Arabic" w:cs="Simplified Arabic"/>
          <w:sz w:val="20"/>
          <w:rtl/>
        </w:rPr>
        <w:t>تقديم من المكسيك، و"تقرير اجتماع فريق الخبراء بشأن المادة 10 من بروتوكول ناغويا بشأن الحصول وتقاسم المنافع".</w:t>
      </w:r>
      <w:r w:rsidR="0044682F">
        <w:rPr>
          <w:rFonts w:hint="cs"/>
          <w:rtl/>
        </w:rPr>
        <w:t xml:space="preserve"> </w:t>
      </w:r>
      <w:r w:rsidR="0044682F" w:rsidRPr="00702CCA">
        <w:rPr>
          <w:snapToGrid w:val="0"/>
          <w:kern w:val="18"/>
          <w:szCs w:val="18"/>
        </w:rPr>
        <w:t>(</w:t>
      </w:r>
      <w:hyperlink r:id="rId5" w:history="1">
        <w:r w:rsidR="0044682F" w:rsidRPr="00702CCA">
          <w:rPr>
            <w:rStyle w:val="Hyperlink"/>
            <w:snapToGrid w:val="0"/>
            <w:kern w:val="18"/>
            <w:szCs w:val="18"/>
            <w:lang w:val="en-GB"/>
          </w:rPr>
          <w:t>UNEP/CBD/NP/COP-MOP/2/10</w:t>
        </w:r>
      </w:hyperlink>
      <w:r w:rsidR="0044682F">
        <w:rPr>
          <w:rStyle w:val="Hyperlink"/>
          <w:snapToGrid w:val="0"/>
          <w:kern w:val="18"/>
          <w:szCs w:val="18"/>
        </w:rPr>
        <w:t>)</w:t>
      </w:r>
      <w:r w:rsidR="0044682F">
        <w:rPr>
          <w:rFonts w:hint="cs"/>
          <w:rtl/>
        </w:rPr>
        <w:t xml:space="preserve">، </w:t>
      </w:r>
      <w:r w:rsidR="0044682F" w:rsidRPr="0044682F">
        <w:rPr>
          <w:rFonts w:ascii="Simplified Arabic" w:hAnsi="Simplified Arabic" w:cs="Simplified Arabic"/>
          <w:rtl/>
        </w:rPr>
        <w:t>ال</w:t>
      </w:r>
      <w:r w:rsidR="00E05515">
        <w:rPr>
          <w:rFonts w:ascii="Simplified Arabic" w:hAnsi="Simplified Arabic" w:cs="Simplified Arabic" w:hint="cs"/>
          <w:rtl/>
        </w:rPr>
        <w:t>فقر</w:t>
      </w:r>
      <w:r w:rsidR="0044682F" w:rsidRPr="0044682F">
        <w:rPr>
          <w:rFonts w:ascii="Simplified Arabic" w:hAnsi="Simplified Arabic" w:cs="Simplified Arabic"/>
          <w:rtl/>
        </w:rPr>
        <w:t>ات 32 إلى 34.</w:t>
      </w:r>
    </w:p>
  </w:footnote>
  <w:footnote w:id="48">
    <w:p w:rsidR="005A185C" w:rsidRPr="003076EF" w:rsidRDefault="005A185C">
      <w:pPr>
        <w:pStyle w:val="FootnoteText"/>
        <w:rPr>
          <w:rFonts w:ascii="Simplified Arabic" w:hAnsi="Simplified Arabic" w:cs="Simplified Arabic"/>
          <w:sz w:val="20"/>
          <w:lang w:bidi="ar-EG"/>
        </w:rPr>
      </w:pPr>
      <w:r w:rsidRPr="003076EF">
        <w:rPr>
          <w:rStyle w:val="FootnoteReference"/>
          <w:rFonts w:ascii="Simplified Arabic" w:hAnsi="Simplified Arabic" w:cs="Simplified Arabic"/>
          <w:sz w:val="20"/>
        </w:rPr>
        <w:footnoteRef/>
      </w:r>
      <w:r w:rsidRPr="003076EF">
        <w:rPr>
          <w:rFonts w:ascii="Simplified Arabic" w:hAnsi="Simplified Arabic" w:cs="Simplified Arabic"/>
          <w:sz w:val="20"/>
          <w:rtl/>
        </w:rPr>
        <w:t xml:space="preserve"> </w:t>
      </w:r>
      <w:r w:rsidR="003076EF" w:rsidRPr="003076EF">
        <w:rPr>
          <w:rFonts w:ascii="Simplified Arabic" w:hAnsi="Simplified Arabic" w:cs="Simplified Arabic"/>
          <w:sz w:val="20"/>
          <w:rtl/>
          <w:lang w:bidi="ar-EG"/>
        </w:rPr>
        <w:t>بيلاروس، وفرنسا، ومالطة، والنرويج، وفييت نام.</w:t>
      </w:r>
    </w:p>
  </w:footnote>
  <w:footnote w:id="49">
    <w:p w:rsidR="0044682F" w:rsidRPr="003076EF" w:rsidRDefault="0044682F">
      <w:pPr>
        <w:pStyle w:val="FootnoteText"/>
        <w:rPr>
          <w:rFonts w:ascii="Simplified Arabic" w:hAnsi="Simplified Arabic" w:cs="Simplified Arabic"/>
          <w:sz w:val="20"/>
        </w:rPr>
      </w:pPr>
      <w:r w:rsidRPr="003076EF">
        <w:rPr>
          <w:rStyle w:val="FootnoteReference"/>
          <w:rFonts w:ascii="Simplified Arabic" w:hAnsi="Simplified Arabic" w:cs="Simplified Arabic"/>
          <w:sz w:val="20"/>
        </w:rPr>
        <w:footnoteRef/>
      </w:r>
      <w:r w:rsidRPr="003076EF">
        <w:rPr>
          <w:rFonts w:ascii="Simplified Arabic" w:hAnsi="Simplified Arabic" w:cs="Simplified Arabic"/>
          <w:sz w:val="20"/>
          <w:rtl/>
        </w:rPr>
        <w:t xml:space="preserve"> </w:t>
      </w:r>
      <w:r w:rsidR="003076EF" w:rsidRPr="003076EF">
        <w:rPr>
          <w:rFonts w:ascii="Simplified Arabic" w:hAnsi="Simplified Arabic" w:cs="Simplified Arabic"/>
          <w:sz w:val="20"/>
          <w:rtl/>
        </w:rPr>
        <w:t>فرنسا، ومالطة.</w:t>
      </w:r>
    </w:p>
  </w:footnote>
  <w:footnote w:id="50">
    <w:p w:rsidR="0044682F" w:rsidRPr="003076EF" w:rsidRDefault="0044682F">
      <w:pPr>
        <w:pStyle w:val="FootnoteText"/>
        <w:rPr>
          <w:rFonts w:ascii="Simplified Arabic" w:hAnsi="Simplified Arabic" w:cs="Simplified Arabic"/>
          <w:sz w:val="20"/>
        </w:rPr>
      </w:pPr>
      <w:r w:rsidRPr="003076EF">
        <w:rPr>
          <w:rStyle w:val="FootnoteReference"/>
          <w:rFonts w:ascii="Simplified Arabic" w:hAnsi="Simplified Arabic" w:cs="Simplified Arabic"/>
          <w:sz w:val="20"/>
        </w:rPr>
        <w:footnoteRef/>
      </w:r>
      <w:r w:rsidRPr="003076EF">
        <w:rPr>
          <w:rFonts w:ascii="Simplified Arabic" w:hAnsi="Simplified Arabic" w:cs="Simplified Arabic"/>
          <w:sz w:val="20"/>
          <w:rtl/>
        </w:rPr>
        <w:t xml:space="preserve"> </w:t>
      </w:r>
      <w:r w:rsidR="003076EF" w:rsidRPr="003076EF">
        <w:rPr>
          <w:rFonts w:ascii="Simplified Arabic" w:hAnsi="Simplified Arabic" w:cs="Simplified Arabic"/>
          <w:sz w:val="20"/>
          <w:rtl/>
        </w:rPr>
        <w:t>بوركينا فاسو، ومنغوليا، وباكستان، وجنوب أفريقيا.</w:t>
      </w:r>
    </w:p>
  </w:footnote>
  <w:footnote w:id="51">
    <w:p w:rsidR="005A185C" w:rsidRPr="003076EF" w:rsidRDefault="005A185C">
      <w:pPr>
        <w:pStyle w:val="FootnoteText"/>
        <w:rPr>
          <w:rFonts w:ascii="Simplified Arabic" w:hAnsi="Simplified Arabic" w:cs="Simplified Arabic"/>
          <w:sz w:val="20"/>
          <w:rtl/>
        </w:rPr>
      </w:pPr>
      <w:r w:rsidRPr="003076EF">
        <w:rPr>
          <w:rStyle w:val="FootnoteReference"/>
          <w:rFonts w:ascii="Simplified Arabic" w:hAnsi="Simplified Arabic" w:cs="Simplified Arabic"/>
          <w:sz w:val="20"/>
        </w:rPr>
        <w:footnoteRef/>
      </w:r>
      <w:r w:rsidRPr="003076EF">
        <w:rPr>
          <w:rFonts w:ascii="Simplified Arabic" w:hAnsi="Simplified Arabic" w:cs="Simplified Arabic"/>
          <w:sz w:val="20"/>
          <w:rtl/>
        </w:rPr>
        <w:t xml:space="preserve"> </w:t>
      </w:r>
      <w:r w:rsidR="003076EF" w:rsidRPr="003076EF">
        <w:rPr>
          <w:rFonts w:ascii="Simplified Arabic" w:hAnsi="Simplified Arabic" w:cs="Simplified Arabic"/>
          <w:sz w:val="20"/>
          <w:rtl/>
        </w:rPr>
        <w:t>ملاوي.</w:t>
      </w:r>
    </w:p>
  </w:footnote>
  <w:footnote w:id="52">
    <w:p w:rsidR="009808BE" w:rsidRPr="003076EF" w:rsidRDefault="009808BE">
      <w:pPr>
        <w:pStyle w:val="FootnoteText"/>
        <w:rPr>
          <w:rFonts w:ascii="Simplified Arabic" w:hAnsi="Simplified Arabic" w:cs="Simplified Arabic"/>
          <w:sz w:val="20"/>
        </w:rPr>
      </w:pPr>
      <w:r w:rsidRPr="003076EF">
        <w:rPr>
          <w:rStyle w:val="FootnoteReference"/>
          <w:rFonts w:ascii="Simplified Arabic" w:hAnsi="Simplified Arabic" w:cs="Simplified Arabic"/>
          <w:sz w:val="20"/>
        </w:rPr>
        <w:footnoteRef/>
      </w:r>
      <w:r w:rsidRPr="003076EF">
        <w:rPr>
          <w:rFonts w:ascii="Simplified Arabic" w:hAnsi="Simplified Arabic" w:cs="Simplified Arabic"/>
          <w:sz w:val="20"/>
          <w:rtl/>
        </w:rPr>
        <w:t xml:space="preserve"> </w:t>
      </w:r>
      <w:r w:rsidR="003076EF" w:rsidRPr="003076EF">
        <w:rPr>
          <w:rFonts w:ascii="Simplified Arabic" w:hAnsi="Simplified Arabic" w:cs="Simplified Arabic"/>
          <w:sz w:val="20"/>
          <w:rtl/>
        </w:rPr>
        <w:t>أنتيغوا وباربودا.</w:t>
      </w:r>
    </w:p>
  </w:footnote>
  <w:footnote w:id="53">
    <w:p w:rsidR="009808BE" w:rsidRPr="003076EF" w:rsidRDefault="009808BE">
      <w:pPr>
        <w:pStyle w:val="FootnoteText"/>
        <w:rPr>
          <w:rFonts w:ascii="Simplified Arabic" w:hAnsi="Simplified Arabic" w:cs="Simplified Arabic"/>
          <w:sz w:val="20"/>
        </w:rPr>
      </w:pPr>
      <w:r w:rsidRPr="003076EF">
        <w:rPr>
          <w:rStyle w:val="FootnoteReference"/>
          <w:rFonts w:ascii="Simplified Arabic" w:hAnsi="Simplified Arabic" w:cs="Simplified Arabic"/>
          <w:sz w:val="20"/>
        </w:rPr>
        <w:footnoteRef/>
      </w:r>
      <w:r w:rsidRPr="003076EF">
        <w:rPr>
          <w:rFonts w:ascii="Simplified Arabic" w:hAnsi="Simplified Arabic" w:cs="Simplified Arabic"/>
          <w:sz w:val="20"/>
          <w:rtl/>
        </w:rPr>
        <w:t xml:space="preserve"> </w:t>
      </w:r>
      <w:r w:rsidR="003076EF" w:rsidRPr="003076EF">
        <w:rPr>
          <w:rFonts w:ascii="Simplified Arabic" w:hAnsi="Simplified Arabic" w:cs="Simplified Arabic"/>
          <w:sz w:val="20"/>
          <w:rtl/>
        </w:rPr>
        <w:t>الكاميرون، وجزر القمر، وكينيا، وموريتانيا، والسنغال، والمكسيك، وأوغندا.</w:t>
      </w:r>
    </w:p>
  </w:footnote>
  <w:footnote w:id="54">
    <w:p w:rsidR="009808BE" w:rsidRPr="003076EF" w:rsidRDefault="009808BE">
      <w:pPr>
        <w:pStyle w:val="FootnoteText"/>
        <w:rPr>
          <w:rFonts w:ascii="Simplified Arabic" w:hAnsi="Simplified Arabic" w:cs="Simplified Arabic"/>
          <w:sz w:val="20"/>
        </w:rPr>
      </w:pPr>
      <w:r w:rsidRPr="003076EF">
        <w:rPr>
          <w:rStyle w:val="FootnoteReference"/>
          <w:rFonts w:ascii="Simplified Arabic" w:hAnsi="Simplified Arabic" w:cs="Simplified Arabic"/>
          <w:sz w:val="20"/>
        </w:rPr>
        <w:footnoteRef/>
      </w:r>
      <w:r w:rsidRPr="003076EF">
        <w:rPr>
          <w:rFonts w:ascii="Simplified Arabic" w:hAnsi="Simplified Arabic" w:cs="Simplified Arabic"/>
          <w:sz w:val="20"/>
          <w:rtl/>
        </w:rPr>
        <w:t xml:space="preserve"> </w:t>
      </w:r>
      <w:r w:rsidR="003076EF" w:rsidRPr="003076EF">
        <w:rPr>
          <w:rFonts w:ascii="Simplified Arabic" w:hAnsi="Simplified Arabic" w:cs="Simplified Arabic"/>
          <w:sz w:val="20"/>
          <w:rtl/>
        </w:rPr>
        <w:t>المكسيك.</w:t>
      </w:r>
    </w:p>
  </w:footnote>
  <w:footnote w:id="55">
    <w:p w:rsidR="009808BE" w:rsidRPr="0043639C" w:rsidRDefault="009808BE" w:rsidP="003076EF">
      <w:pPr>
        <w:pStyle w:val="FootnoteText"/>
        <w:rPr>
          <w:rFonts w:cs="Simplified Arabic"/>
          <w:lang w:bidi="ar-EG"/>
        </w:rPr>
      </w:pPr>
      <w:r w:rsidRPr="0043639C">
        <w:rPr>
          <w:rStyle w:val="FootnoteReference"/>
          <w:rFonts w:cs="Simplified Arabic"/>
        </w:rPr>
        <w:footnoteRef/>
      </w:r>
      <w:r w:rsidRPr="0043639C">
        <w:rPr>
          <w:rFonts w:cs="Simplified Arabic"/>
          <w:rtl/>
        </w:rPr>
        <w:t xml:space="preserve"> </w:t>
      </w:r>
      <w:r w:rsidR="003076EF" w:rsidRPr="0043639C">
        <w:rPr>
          <w:rFonts w:cs="Simplified Arabic"/>
          <w:rtl/>
          <w:lang w:bidi="ar-EG"/>
        </w:rPr>
        <w:t>تم التوقيع على البروتوكول بشأن إدارة البيئة والموارد الطبيعية من كينيا، وأوغندا، وجمهورية تنزانيا المتحدة في 3 أبريل/نيسان 2006.</w:t>
      </w:r>
    </w:p>
  </w:footnote>
  <w:footnote w:id="56">
    <w:p w:rsidR="009808BE" w:rsidRDefault="009808BE" w:rsidP="00225432">
      <w:pPr>
        <w:pStyle w:val="FootnoteText"/>
      </w:pPr>
      <w:r w:rsidRPr="0043639C">
        <w:rPr>
          <w:rStyle w:val="FootnoteReference"/>
          <w:rFonts w:cs="Simplified Arabic"/>
        </w:rPr>
        <w:footnoteRef/>
      </w:r>
      <w:r w:rsidRPr="0043639C">
        <w:rPr>
          <w:rFonts w:cs="Simplified Arabic"/>
          <w:rtl/>
        </w:rPr>
        <w:t xml:space="preserve"> </w:t>
      </w:r>
      <w:r w:rsidR="003076EF" w:rsidRPr="0043639C">
        <w:rPr>
          <w:rFonts w:cs="Simplified Arabic"/>
          <w:rtl/>
        </w:rPr>
        <w:t xml:space="preserve">مثلا، مشروع الإدارة البيئية لبحيرة فيكتوريا (أوغندا، وكينيا، وجمهورية تنزانيا المتحدة)؛ ومنظمة مصايد أسماك بحيرة فيكتوريا (أوغندا، وكينيا، وجمهورية تنزانيا المتحدة)؛ </w:t>
      </w:r>
      <w:r w:rsidR="000F1238">
        <w:rPr>
          <w:rFonts w:cs="Simplified Arabic" w:hint="cs"/>
          <w:rtl/>
        </w:rPr>
        <w:t xml:space="preserve">ومشروع فيرونغا للتعاون عبر الحدود (أوغندا، وجمهورية الكونغو الديمقراطية، ورواندا وجمهورية تنزانيا المتحدة)؛ </w:t>
      </w:r>
      <w:r w:rsidR="003076EF" w:rsidRPr="0043639C">
        <w:rPr>
          <w:rFonts w:cs="Simplified Arabic"/>
          <w:rtl/>
        </w:rPr>
        <w:t>والإنسان والمحيط الحيوي (</w:t>
      </w:r>
      <w:r w:rsidR="00225432">
        <w:rPr>
          <w:rFonts w:cs="Simplified Arabic" w:hint="cs"/>
          <w:rtl/>
        </w:rPr>
        <w:t>ماونت إ</w:t>
      </w:r>
      <w:r w:rsidR="003076EF" w:rsidRPr="0043639C">
        <w:rPr>
          <w:rFonts w:cs="Simplified Arabic"/>
          <w:rtl/>
        </w:rPr>
        <w:t>لغون – أوغندا وكينيا)؛ والإدارة التعاونية للأحياء البرية عبر الحدود (أوغندا وجنوب السودان).</w:t>
      </w:r>
    </w:p>
  </w:footnote>
  <w:footnote w:id="57">
    <w:p w:rsidR="0043639C" w:rsidRPr="0043639C" w:rsidRDefault="0043639C">
      <w:pPr>
        <w:pStyle w:val="FootnoteText"/>
        <w:rPr>
          <w:rFonts w:cs="Simplified Arabic"/>
        </w:rPr>
      </w:pPr>
      <w:r>
        <w:rPr>
          <w:rStyle w:val="FootnoteReference"/>
        </w:rPr>
        <w:footnoteRef/>
      </w:r>
      <w:r>
        <w:rPr>
          <w:rtl/>
        </w:rPr>
        <w:t xml:space="preserve"> </w:t>
      </w:r>
      <w:r w:rsidRPr="0043639C">
        <w:rPr>
          <w:rFonts w:cs="Simplified Arabic"/>
          <w:rtl/>
        </w:rPr>
        <w:t>بلغاريا، والاتحاد الأوروبي، وفنلندا، وألمانيا، وهولندا، وبولندا، وجمهورية مولدوفا، وسلوفاكيا، والمملكة المتحدة لبريطانيا العظمى وأيرلندا الشمالية.</w:t>
      </w:r>
    </w:p>
  </w:footnote>
  <w:footnote w:id="58">
    <w:p w:rsidR="0043639C" w:rsidRPr="0043639C" w:rsidRDefault="0043639C">
      <w:pPr>
        <w:pStyle w:val="FootnoteText"/>
        <w:rPr>
          <w:rFonts w:cs="Simplified Arabic"/>
        </w:rPr>
      </w:pPr>
      <w:r w:rsidRPr="0043639C">
        <w:rPr>
          <w:rStyle w:val="FootnoteReference"/>
          <w:rFonts w:cs="Simplified Arabic"/>
        </w:rPr>
        <w:footnoteRef/>
      </w:r>
      <w:r w:rsidRPr="0043639C">
        <w:rPr>
          <w:rFonts w:cs="Simplified Arabic"/>
          <w:rtl/>
        </w:rPr>
        <w:t xml:space="preserve"> بوروندي، والسويد.</w:t>
      </w:r>
    </w:p>
  </w:footnote>
  <w:footnote w:id="59">
    <w:p w:rsidR="0043639C" w:rsidRPr="0043639C" w:rsidRDefault="0043639C">
      <w:pPr>
        <w:pStyle w:val="FootnoteText"/>
        <w:rPr>
          <w:rFonts w:cs="Simplified Arabic"/>
          <w:rtl/>
        </w:rPr>
      </w:pPr>
      <w:r w:rsidRPr="0043639C">
        <w:rPr>
          <w:rStyle w:val="FootnoteReference"/>
          <w:rFonts w:cs="Simplified Arabic"/>
        </w:rPr>
        <w:footnoteRef/>
      </w:r>
      <w:r w:rsidRPr="0043639C">
        <w:rPr>
          <w:rFonts w:cs="Simplified Arabic"/>
          <w:rtl/>
        </w:rPr>
        <w:t xml:space="preserve"> بوتسوانا، وإثيوبيا، وغينيا-</w:t>
      </w:r>
      <w:r w:rsidR="00225432">
        <w:rPr>
          <w:rFonts w:cs="Simplified Arabic" w:hint="cs"/>
          <w:rtl/>
        </w:rPr>
        <w:t xml:space="preserve"> </w:t>
      </w:r>
      <w:r w:rsidRPr="0043639C">
        <w:rPr>
          <w:rFonts w:cs="Simplified Arabic"/>
          <w:rtl/>
        </w:rPr>
        <w:t>بيساو، ومدغشقر، والمكسيك، والنيجر، وبنما، وأوروغواي.</w:t>
      </w:r>
    </w:p>
  </w:footnote>
  <w:footnote w:id="60">
    <w:p w:rsidR="0043639C" w:rsidRDefault="0043639C" w:rsidP="00225432">
      <w:pPr>
        <w:pStyle w:val="FootnoteText"/>
        <w:rPr>
          <w:rtl/>
        </w:rPr>
      </w:pPr>
      <w:r w:rsidRPr="0043639C">
        <w:rPr>
          <w:rStyle w:val="FootnoteReference"/>
          <w:rFonts w:cs="Simplified Arabic"/>
        </w:rPr>
        <w:footnoteRef/>
      </w:r>
      <w:r w:rsidRPr="0043639C">
        <w:rPr>
          <w:rFonts w:cs="Simplified Arabic"/>
          <w:rtl/>
        </w:rPr>
        <w:t xml:space="preserve"> بوروندي، وكو</w:t>
      </w:r>
      <w:r w:rsidR="00225432">
        <w:rPr>
          <w:rFonts w:cs="Simplified Arabic" w:hint="cs"/>
          <w:rtl/>
        </w:rPr>
        <w:t>ت</w:t>
      </w:r>
      <w:r w:rsidRPr="0043639C">
        <w:rPr>
          <w:rFonts w:cs="Simplified Arabic"/>
          <w:rtl/>
        </w:rPr>
        <w:t xml:space="preserve"> ديفوار، وغينيا، وتوغو، والسودان.</w:t>
      </w:r>
    </w:p>
  </w:footnote>
  <w:footnote w:id="61">
    <w:p w:rsidR="00EB1427" w:rsidRPr="00EB1427" w:rsidRDefault="00EB1427">
      <w:pPr>
        <w:pStyle w:val="FootnoteText"/>
        <w:rPr>
          <w:rFonts w:ascii="Simplified Arabic" w:hAnsi="Simplified Arabic" w:cs="Simplified Arabic"/>
          <w:sz w:val="20"/>
        </w:rPr>
      </w:pPr>
      <w:r>
        <w:rPr>
          <w:rStyle w:val="FootnoteReference"/>
        </w:rPr>
        <w:footnoteRef/>
      </w:r>
      <w:r>
        <w:rPr>
          <w:rtl/>
        </w:rPr>
        <w:t xml:space="preserve"> </w:t>
      </w:r>
      <w:r>
        <w:rPr>
          <w:rFonts w:ascii="Simplified Arabic" w:hAnsi="Simplified Arabic" w:cs="Simplified Arabic" w:hint="cs"/>
          <w:sz w:val="20"/>
          <w:rtl/>
        </w:rPr>
        <w:t>بنن.</w:t>
      </w:r>
    </w:p>
  </w:footnote>
  <w:footnote w:id="62">
    <w:p w:rsidR="006519BC" w:rsidRPr="000F1238" w:rsidRDefault="006519BC">
      <w:pPr>
        <w:pStyle w:val="FootnoteText"/>
        <w:rPr>
          <w:rFonts w:cs="Simplified Arabic"/>
          <w:rtl/>
          <w:lang w:bidi="ar-EG"/>
        </w:rPr>
      </w:pPr>
      <w:r w:rsidRPr="000F1238">
        <w:rPr>
          <w:rStyle w:val="FootnoteReference"/>
          <w:rFonts w:cs="Simplified Arabic"/>
        </w:rPr>
        <w:footnoteRef/>
      </w:r>
      <w:r w:rsidRPr="000F1238">
        <w:rPr>
          <w:rFonts w:cs="Simplified Arabic"/>
          <w:rtl/>
        </w:rPr>
        <w:t xml:space="preserve"> </w:t>
      </w:r>
      <w:r w:rsidRPr="000F1238">
        <w:rPr>
          <w:rFonts w:cs="Simplified Arabic" w:hint="cs"/>
          <w:rtl/>
          <w:lang w:bidi="ar-EG"/>
        </w:rPr>
        <w:t xml:space="preserve">بوتان، </w:t>
      </w:r>
      <w:r w:rsidR="00225432" w:rsidRPr="000F1238">
        <w:rPr>
          <w:rFonts w:cs="Simplified Arabic" w:hint="cs"/>
          <w:rtl/>
          <w:lang w:bidi="ar-EG"/>
        </w:rPr>
        <w:t>و</w:t>
      </w:r>
      <w:r w:rsidRPr="000F1238">
        <w:rPr>
          <w:rFonts w:cs="Simplified Arabic" w:hint="cs"/>
          <w:rtl/>
          <w:lang w:bidi="ar-EG"/>
        </w:rPr>
        <w:t xml:space="preserve">فرنسا، </w:t>
      </w:r>
      <w:r w:rsidR="00225432" w:rsidRPr="000F1238">
        <w:rPr>
          <w:rFonts w:cs="Simplified Arabic" w:hint="cs"/>
          <w:rtl/>
          <w:lang w:bidi="ar-EG"/>
        </w:rPr>
        <w:t>و</w:t>
      </w:r>
      <w:r w:rsidRPr="000F1238">
        <w:rPr>
          <w:rFonts w:cs="Simplified Arabic" w:hint="cs"/>
          <w:rtl/>
          <w:lang w:bidi="ar-EG"/>
        </w:rPr>
        <w:t>ملاوي، والنرويج، وباكستان.</w:t>
      </w:r>
    </w:p>
  </w:footnote>
  <w:footnote w:id="63">
    <w:p w:rsidR="006519BC" w:rsidRPr="000F1238" w:rsidRDefault="006519BC">
      <w:pPr>
        <w:pStyle w:val="FootnoteText"/>
        <w:rPr>
          <w:rFonts w:cs="Simplified Arabic"/>
          <w:rtl/>
        </w:rPr>
      </w:pPr>
      <w:r w:rsidRPr="000F1238">
        <w:rPr>
          <w:rStyle w:val="FootnoteReference"/>
          <w:rFonts w:cs="Simplified Arabic"/>
        </w:rPr>
        <w:footnoteRef/>
      </w:r>
      <w:r w:rsidRPr="000F1238">
        <w:rPr>
          <w:rFonts w:cs="Simplified Arabic"/>
          <w:rtl/>
        </w:rPr>
        <w:t xml:space="preserve"> </w:t>
      </w:r>
      <w:r w:rsidRPr="000F1238">
        <w:rPr>
          <w:rFonts w:cs="Simplified Arabic" w:hint="cs"/>
          <w:rtl/>
        </w:rPr>
        <w:t>بوتسوانا، وبوركينا فاسو، وغينيا-</w:t>
      </w:r>
      <w:r w:rsidR="00225432" w:rsidRPr="000F1238">
        <w:rPr>
          <w:rFonts w:cs="Simplified Arabic" w:hint="cs"/>
          <w:rtl/>
        </w:rPr>
        <w:t xml:space="preserve"> </w:t>
      </w:r>
      <w:r w:rsidRPr="000F1238">
        <w:rPr>
          <w:rFonts w:cs="Simplified Arabic" w:hint="cs"/>
          <w:rtl/>
        </w:rPr>
        <w:t>بيساو، ومنغوليا، وجنوب أفريقيا، والسودان.</w:t>
      </w:r>
    </w:p>
  </w:footnote>
  <w:footnote w:id="64">
    <w:p w:rsidR="006519BC" w:rsidRDefault="006519BC">
      <w:pPr>
        <w:pStyle w:val="FootnoteText"/>
        <w:rPr>
          <w:lang w:bidi="ar-EG"/>
        </w:rPr>
      </w:pPr>
      <w:r w:rsidRPr="000F1238">
        <w:rPr>
          <w:rStyle w:val="FootnoteReference"/>
          <w:rFonts w:cs="Simplified Arabic"/>
        </w:rPr>
        <w:footnoteRef/>
      </w:r>
      <w:r w:rsidRPr="000F1238">
        <w:rPr>
          <w:rFonts w:cs="Simplified Arabic"/>
          <w:rtl/>
        </w:rPr>
        <w:t xml:space="preserve"> </w:t>
      </w:r>
      <w:r w:rsidR="00FA2A72" w:rsidRPr="000F1238">
        <w:rPr>
          <w:rFonts w:cs="Simplified Arabic" w:hint="cs"/>
          <w:rtl/>
          <w:lang w:bidi="ar-EG"/>
        </w:rPr>
        <w:t>بوركينا فاسو، والكاميرون، وجزر القمر، والهند، وكينيا، وموريشيوس.</w:t>
      </w:r>
    </w:p>
  </w:footnote>
  <w:footnote w:id="65">
    <w:p w:rsidR="00F25838" w:rsidRPr="00D62D9B" w:rsidRDefault="00F25838" w:rsidP="006519BC">
      <w:pPr>
        <w:pStyle w:val="FootnoteText"/>
        <w:rPr>
          <w:rFonts w:ascii="Simplified Arabic" w:hAnsi="Simplified Arabic" w:cs="Simplified Arabic"/>
          <w:sz w:val="20"/>
        </w:rPr>
      </w:pPr>
      <w:r w:rsidRPr="00D62D9B">
        <w:rPr>
          <w:rStyle w:val="FootnoteReference"/>
          <w:rFonts w:ascii="Simplified Arabic" w:hAnsi="Simplified Arabic" w:cs="Simplified Arabic"/>
          <w:sz w:val="20"/>
        </w:rPr>
        <w:footnoteRef/>
      </w:r>
      <w:r w:rsidRPr="00D62D9B">
        <w:rPr>
          <w:rFonts w:ascii="Simplified Arabic" w:hAnsi="Simplified Arabic" w:cs="Simplified Arabic"/>
          <w:sz w:val="20"/>
          <w:rtl/>
        </w:rPr>
        <w:t xml:space="preserve"> </w:t>
      </w:r>
      <w:r w:rsidR="00FA2A72" w:rsidRPr="00D62D9B">
        <w:rPr>
          <w:rFonts w:ascii="Simplified Arabic" w:hAnsi="Simplified Arabic" w:cs="Simplified Arabic"/>
          <w:sz w:val="20"/>
          <w:rtl/>
        </w:rPr>
        <w:t>السويد.</w:t>
      </w:r>
    </w:p>
  </w:footnote>
  <w:footnote w:id="66">
    <w:p w:rsidR="00F25838" w:rsidRPr="00D62D9B" w:rsidRDefault="00F25838" w:rsidP="00F25838">
      <w:pPr>
        <w:pStyle w:val="FootnoteText"/>
        <w:rPr>
          <w:rFonts w:ascii="Simplified Arabic" w:hAnsi="Simplified Arabic" w:cs="Simplified Arabic"/>
          <w:sz w:val="20"/>
          <w:rtl/>
        </w:rPr>
      </w:pPr>
      <w:r w:rsidRPr="00D62D9B">
        <w:rPr>
          <w:rStyle w:val="FootnoteReference"/>
          <w:rFonts w:ascii="Simplified Arabic" w:hAnsi="Simplified Arabic" w:cs="Simplified Arabic"/>
          <w:sz w:val="20"/>
        </w:rPr>
        <w:footnoteRef/>
      </w:r>
      <w:r w:rsidRPr="00D62D9B">
        <w:rPr>
          <w:rFonts w:ascii="Simplified Arabic" w:hAnsi="Simplified Arabic" w:cs="Simplified Arabic"/>
          <w:sz w:val="20"/>
          <w:rtl/>
        </w:rPr>
        <w:t xml:space="preserve"> </w:t>
      </w:r>
      <w:r w:rsidR="00FA2A72" w:rsidRPr="00D62D9B">
        <w:rPr>
          <w:rFonts w:ascii="Simplified Arabic" w:hAnsi="Simplified Arabic" w:cs="Simplified Arabic"/>
          <w:sz w:val="20"/>
          <w:rtl/>
        </w:rPr>
        <w:t>إثيوبيا، ومدغشقر، والنيجر، وبنما، وأوروغواي.</w:t>
      </w:r>
    </w:p>
  </w:footnote>
  <w:footnote w:id="67">
    <w:p w:rsidR="00FA2A72" w:rsidRPr="00D62D9B" w:rsidRDefault="00FA2A72">
      <w:pPr>
        <w:pStyle w:val="FootnoteText"/>
        <w:rPr>
          <w:rFonts w:ascii="Simplified Arabic" w:hAnsi="Simplified Arabic" w:cs="Simplified Arabic"/>
          <w:sz w:val="20"/>
        </w:rPr>
      </w:pPr>
      <w:r w:rsidRPr="00D62D9B">
        <w:rPr>
          <w:rStyle w:val="FootnoteReference"/>
          <w:rFonts w:ascii="Simplified Arabic" w:hAnsi="Simplified Arabic" w:cs="Simplified Arabic"/>
          <w:sz w:val="20"/>
        </w:rPr>
        <w:footnoteRef/>
      </w:r>
      <w:r w:rsidRPr="00D62D9B">
        <w:rPr>
          <w:rFonts w:ascii="Simplified Arabic" w:hAnsi="Simplified Arabic" w:cs="Simplified Arabic"/>
          <w:sz w:val="20"/>
          <w:rtl/>
        </w:rPr>
        <w:t xml:space="preserve"> النيجر.</w:t>
      </w:r>
    </w:p>
  </w:footnote>
  <w:footnote w:id="68">
    <w:p w:rsidR="00FA2A72" w:rsidRPr="00D62D9B" w:rsidRDefault="00FA2A72">
      <w:pPr>
        <w:pStyle w:val="FootnoteText"/>
        <w:rPr>
          <w:rFonts w:ascii="Simplified Arabic" w:hAnsi="Simplified Arabic" w:cs="Simplified Arabic"/>
          <w:sz w:val="20"/>
        </w:rPr>
      </w:pPr>
      <w:r w:rsidRPr="00D62D9B">
        <w:rPr>
          <w:rStyle w:val="FootnoteReference"/>
          <w:rFonts w:ascii="Simplified Arabic" w:hAnsi="Simplified Arabic" w:cs="Simplified Arabic"/>
          <w:sz w:val="20"/>
        </w:rPr>
        <w:footnoteRef/>
      </w:r>
      <w:r w:rsidRPr="00D62D9B">
        <w:rPr>
          <w:rFonts w:ascii="Simplified Arabic" w:hAnsi="Simplified Arabic" w:cs="Simplified Arabic"/>
          <w:sz w:val="20"/>
          <w:rtl/>
        </w:rPr>
        <w:t xml:space="preserve"> بوروندي,</w:t>
      </w:r>
    </w:p>
  </w:footnote>
  <w:footnote w:id="69">
    <w:p w:rsidR="00FA2A72" w:rsidRPr="00D62D9B" w:rsidRDefault="00FA2A72">
      <w:pPr>
        <w:pStyle w:val="FootnoteText"/>
        <w:rPr>
          <w:rFonts w:ascii="Simplified Arabic" w:hAnsi="Simplified Arabic" w:cs="Simplified Arabic"/>
          <w:sz w:val="20"/>
          <w:rtl/>
        </w:rPr>
      </w:pPr>
      <w:r w:rsidRPr="00D62D9B">
        <w:rPr>
          <w:rStyle w:val="FootnoteReference"/>
          <w:rFonts w:ascii="Simplified Arabic" w:hAnsi="Simplified Arabic" w:cs="Simplified Arabic"/>
          <w:sz w:val="20"/>
        </w:rPr>
        <w:footnoteRef/>
      </w:r>
      <w:r w:rsidRPr="00D62D9B">
        <w:rPr>
          <w:rFonts w:ascii="Simplified Arabic" w:hAnsi="Simplified Arabic" w:cs="Simplified Arabic"/>
          <w:sz w:val="20"/>
          <w:rtl/>
        </w:rPr>
        <w:t xml:space="preserve"> إندونيسيا، والمغرب.</w:t>
      </w:r>
    </w:p>
  </w:footnote>
  <w:footnote w:id="70">
    <w:p w:rsidR="00FA2A72" w:rsidRPr="00D62D9B" w:rsidRDefault="00FA2A72">
      <w:pPr>
        <w:pStyle w:val="FootnoteText"/>
        <w:rPr>
          <w:rFonts w:ascii="Simplified Arabic" w:hAnsi="Simplified Arabic" w:cs="Simplified Arabic"/>
          <w:sz w:val="20"/>
        </w:rPr>
      </w:pPr>
      <w:r w:rsidRPr="00D62D9B">
        <w:rPr>
          <w:rStyle w:val="FootnoteReference"/>
          <w:rFonts w:ascii="Simplified Arabic" w:hAnsi="Simplified Arabic" w:cs="Simplified Arabic"/>
          <w:sz w:val="20"/>
        </w:rPr>
        <w:footnoteRef/>
      </w:r>
      <w:r w:rsidRPr="00D62D9B">
        <w:rPr>
          <w:rFonts w:ascii="Simplified Arabic" w:hAnsi="Simplified Arabic" w:cs="Simplified Arabic"/>
          <w:sz w:val="20"/>
          <w:rtl/>
        </w:rPr>
        <w:t xml:space="preserve"> كوت ديفوار، وغينيا.</w:t>
      </w:r>
    </w:p>
  </w:footnote>
  <w:footnote w:id="71">
    <w:p w:rsidR="00D62D9B" w:rsidRPr="00D62D9B" w:rsidRDefault="00D62D9B">
      <w:pPr>
        <w:pStyle w:val="FootnoteText"/>
        <w:rPr>
          <w:rFonts w:ascii="Simplified Arabic" w:hAnsi="Simplified Arabic" w:cs="Simplified Arabic"/>
          <w:sz w:val="20"/>
          <w:lang w:bidi="ar-EG"/>
        </w:rPr>
      </w:pPr>
      <w:r w:rsidRPr="00D62D9B">
        <w:rPr>
          <w:rStyle w:val="FootnoteReference"/>
          <w:rFonts w:ascii="Simplified Arabic" w:hAnsi="Simplified Arabic" w:cs="Simplified Arabic"/>
          <w:sz w:val="20"/>
        </w:rPr>
        <w:footnoteRef/>
      </w:r>
      <w:r w:rsidRPr="00D62D9B">
        <w:rPr>
          <w:rFonts w:ascii="Simplified Arabic" w:hAnsi="Simplified Arabic" w:cs="Simplified Arabic"/>
          <w:sz w:val="20"/>
          <w:rtl/>
        </w:rPr>
        <w:t xml:space="preserve"> </w:t>
      </w:r>
      <w:r w:rsidRPr="00D62D9B">
        <w:rPr>
          <w:rFonts w:ascii="Simplified Arabic" w:hAnsi="Simplified Arabic" w:cs="Simplified Arabic"/>
          <w:sz w:val="20"/>
          <w:rtl/>
          <w:lang w:bidi="ar-EG"/>
        </w:rPr>
        <w:t>الهند، والمكسيك، وغرفة ال</w:t>
      </w:r>
      <w:r w:rsidR="00225432">
        <w:rPr>
          <w:rFonts w:ascii="Simplified Arabic" w:hAnsi="Simplified Arabic" w:cs="Simplified Arabic" w:hint="cs"/>
          <w:sz w:val="20"/>
          <w:rtl/>
          <w:lang w:bidi="ar-EG"/>
        </w:rPr>
        <w:t>ت</w:t>
      </w:r>
      <w:r w:rsidRPr="00D62D9B">
        <w:rPr>
          <w:rFonts w:ascii="Simplified Arabic" w:hAnsi="Simplified Arabic" w:cs="Simplified Arabic"/>
          <w:sz w:val="20"/>
          <w:rtl/>
          <w:lang w:bidi="ar-EG"/>
        </w:rPr>
        <w:t>جارة الدولية، واتحاد الصناعة الحيوية في اليابان.</w:t>
      </w:r>
    </w:p>
  </w:footnote>
  <w:footnote w:id="72">
    <w:p w:rsidR="00D62D9B" w:rsidRDefault="00D62D9B">
      <w:pPr>
        <w:pStyle w:val="FootnoteText"/>
      </w:pPr>
      <w:r w:rsidRPr="00D62D9B">
        <w:rPr>
          <w:rStyle w:val="FootnoteReference"/>
          <w:rFonts w:ascii="Simplified Arabic" w:hAnsi="Simplified Arabic" w:cs="Simplified Arabic"/>
          <w:sz w:val="20"/>
        </w:rPr>
        <w:footnoteRef/>
      </w:r>
      <w:r w:rsidRPr="00D62D9B">
        <w:rPr>
          <w:rFonts w:ascii="Simplified Arabic" w:hAnsi="Simplified Arabic" w:cs="Simplified Arabic"/>
          <w:sz w:val="20"/>
          <w:rtl/>
        </w:rPr>
        <w:t xml:space="preserve"> غرفة التجارة الدولية.</w:t>
      </w:r>
    </w:p>
  </w:footnote>
  <w:footnote w:id="73">
    <w:p w:rsidR="00EA0035" w:rsidRPr="00237533" w:rsidRDefault="00EA0035">
      <w:pPr>
        <w:pStyle w:val="FootnoteText"/>
        <w:rPr>
          <w:rFonts w:ascii="Simplified Arabic" w:hAnsi="Simplified Arabic" w:cs="Simplified Arabic"/>
          <w:sz w:val="20"/>
        </w:rPr>
      </w:pPr>
      <w:r>
        <w:rPr>
          <w:rStyle w:val="FootnoteReference"/>
        </w:rPr>
        <w:footnoteRef/>
      </w:r>
      <w:r>
        <w:rPr>
          <w:rtl/>
        </w:rPr>
        <w:t xml:space="preserve"> </w:t>
      </w:r>
      <w:r w:rsidRPr="00237533">
        <w:rPr>
          <w:rFonts w:ascii="Simplified Arabic" w:hAnsi="Simplified Arabic" w:cs="Simplified Arabic"/>
          <w:sz w:val="20"/>
          <w:rtl/>
        </w:rPr>
        <w:t>الهند.</w:t>
      </w:r>
    </w:p>
  </w:footnote>
  <w:footnote w:id="74">
    <w:p w:rsidR="00EA0035" w:rsidRPr="00237533" w:rsidRDefault="00EA0035">
      <w:pPr>
        <w:pStyle w:val="FootnoteText"/>
        <w:rPr>
          <w:rFonts w:ascii="Simplified Arabic" w:hAnsi="Simplified Arabic" w:cs="Simplified Arabic"/>
          <w:sz w:val="20"/>
        </w:rPr>
      </w:pPr>
      <w:r w:rsidRPr="00237533">
        <w:rPr>
          <w:rStyle w:val="FootnoteReference"/>
          <w:rFonts w:ascii="Simplified Arabic" w:hAnsi="Simplified Arabic" w:cs="Simplified Arabic"/>
          <w:sz w:val="20"/>
        </w:rPr>
        <w:footnoteRef/>
      </w:r>
      <w:r w:rsidRPr="00237533">
        <w:rPr>
          <w:rFonts w:ascii="Simplified Arabic" w:hAnsi="Simplified Arabic" w:cs="Simplified Arabic"/>
          <w:sz w:val="20"/>
          <w:rtl/>
        </w:rPr>
        <w:t xml:space="preserve"> المكسيك.</w:t>
      </w:r>
    </w:p>
  </w:footnote>
  <w:footnote w:id="75">
    <w:p w:rsidR="001C666F" w:rsidRPr="00237533" w:rsidRDefault="001C666F" w:rsidP="00237533">
      <w:pPr>
        <w:pStyle w:val="FootnoteText"/>
        <w:rPr>
          <w:rFonts w:ascii="Simplified Arabic" w:hAnsi="Simplified Arabic" w:cs="Simplified Arabic"/>
          <w:sz w:val="20"/>
          <w:rtl/>
          <w:lang w:bidi="ar-EG"/>
        </w:rPr>
      </w:pPr>
      <w:r w:rsidRPr="00237533">
        <w:rPr>
          <w:rStyle w:val="FootnoteReference"/>
          <w:rFonts w:ascii="Simplified Arabic" w:hAnsi="Simplified Arabic" w:cs="Simplified Arabic"/>
          <w:sz w:val="20"/>
        </w:rPr>
        <w:footnoteRef/>
      </w:r>
      <w:r w:rsidRPr="00237533">
        <w:rPr>
          <w:rFonts w:ascii="Simplified Arabic" w:hAnsi="Simplified Arabic" w:cs="Simplified Arabic"/>
          <w:sz w:val="20"/>
          <w:rtl/>
        </w:rPr>
        <w:t xml:space="preserve"> </w:t>
      </w:r>
      <w:r w:rsidR="00237533" w:rsidRPr="00237533">
        <w:rPr>
          <w:rFonts w:ascii="Simplified Arabic" w:hAnsi="Simplified Arabic" w:cs="Simplified Arabic"/>
          <w:sz w:val="20"/>
          <w:rtl/>
        </w:rPr>
        <w:t>ح</w:t>
      </w:r>
      <w:r w:rsidRPr="00237533">
        <w:rPr>
          <w:rFonts w:ascii="Simplified Arabic" w:hAnsi="Simplified Arabic" w:cs="Simplified Arabic"/>
          <w:sz w:val="20"/>
          <w:rtl/>
        </w:rPr>
        <w:t>دي</w:t>
      </w:r>
      <w:r w:rsidR="00237533" w:rsidRPr="00237533">
        <w:rPr>
          <w:rFonts w:ascii="Simplified Arabic" w:hAnsi="Simplified Arabic" w:cs="Simplified Arabic"/>
          <w:sz w:val="20"/>
          <w:rtl/>
        </w:rPr>
        <w:t>ق</w:t>
      </w:r>
      <w:r w:rsidRPr="00237533">
        <w:rPr>
          <w:rFonts w:ascii="Simplified Arabic" w:hAnsi="Simplified Arabic" w:cs="Simplified Arabic"/>
          <w:sz w:val="20"/>
          <w:rtl/>
        </w:rPr>
        <w:t xml:space="preserve">ة النباتات غوتنبرغ، </w:t>
      </w:r>
      <w:r w:rsidR="00BF63E0">
        <w:rPr>
          <w:rFonts w:ascii="Simplified Arabic" w:hAnsi="Simplified Arabic" w:cs="Simplified Arabic" w:hint="cs"/>
          <w:sz w:val="20"/>
          <w:rtl/>
        </w:rPr>
        <w:t>و</w:t>
      </w:r>
      <w:r w:rsidRPr="00237533">
        <w:rPr>
          <w:rFonts w:ascii="Simplified Arabic" w:hAnsi="Simplified Arabic" w:cs="Simplified Arabic"/>
          <w:sz w:val="20"/>
          <w:rtl/>
        </w:rPr>
        <w:t xml:space="preserve">الشبكة الدولية لتبادل النباتات، ومعهد ليبنيز </w:t>
      </w:r>
      <w:r w:rsidRPr="00237533">
        <w:rPr>
          <w:szCs w:val="18"/>
        </w:rPr>
        <w:t>DSMZ</w:t>
      </w:r>
      <w:r w:rsidRPr="00237533">
        <w:rPr>
          <w:szCs w:val="18"/>
          <w:rtl/>
        </w:rPr>
        <w:t>.</w:t>
      </w:r>
      <w:r w:rsidRPr="00237533">
        <w:rPr>
          <w:szCs w:val="18"/>
          <w:rtl/>
          <w:lang w:bidi="ar-EG"/>
        </w:rPr>
        <w:t xml:space="preserve"> </w:t>
      </w:r>
      <w:r w:rsidRPr="00237533">
        <w:rPr>
          <w:szCs w:val="18"/>
          <w:lang w:bidi="ar-EG"/>
        </w:rPr>
        <w:t>Gm</w:t>
      </w:r>
      <w:r w:rsidR="00237533" w:rsidRPr="00237533">
        <w:rPr>
          <w:szCs w:val="18"/>
          <w:lang w:bidi="ar-EG"/>
        </w:rPr>
        <w:t>bH</w:t>
      </w:r>
      <w:r w:rsidRPr="00237533">
        <w:rPr>
          <w:rFonts w:ascii="Simplified Arabic" w:hAnsi="Simplified Arabic" w:cs="Simplified Arabic"/>
          <w:sz w:val="20"/>
          <w:rtl/>
        </w:rPr>
        <w:t>؛</w:t>
      </w:r>
      <w:r w:rsidR="00237533" w:rsidRPr="00237533">
        <w:rPr>
          <w:rFonts w:ascii="Simplified Arabic" w:hAnsi="Simplified Arabic" w:cs="Simplified Arabic"/>
          <w:sz w:val="20"/>
          <w:rtl/>
          <w:lang w:bidi="ar-EG"/>
        </w:rPr>
        <w:t xml:space="preserve"> ومتحف بحوث الحيوان في بون.</w:t>
      </w:r>
    </w:p>
  </w:footnote>
  <w:footnote w:id="76">
    <w:p w:rsidR="00237533" w:rsidRDefault="00237533">
      <w:pPr>
        <w:pStyle w:val="FootnoteText"/>
      </w:pPr>
      <w:r w:rsidRPr="00237533">
        <w:rPr>
          <w:rStyle w:val="FootnoteReference"/>
          <w:rFonts w:ascii="Simplified Arabic" w:hAnsi="Simplified Arabic" w:cs="Simplified Arabic"/>
          <w:sz w:val="20"/>
        </w:rPr>
        <w:footnoteRef/>
      </w:r>
      <w:r w:rsidRPr="00237533">
        <w:rPr>
          <w:rFonts w:ascii="Simplified Arabic" w:hAnsi="Simplified Arabic" w:cs="Simplified Arabic"/>
          <w:sz w:val="20"/>
          <w:rtl/>
        </w:rPr>
        <w:t xml:space="preserve"> حديقة النباتات غوتنبرغ.</w:t>
      </w:r>
    </w:p>
  </w:footnote>
  <w:footnote w:id="77">
    <w:p w:rsidR="005A55AE" w:rsidRDefault="00237533" w:rsidP="005A55AE">
      <w:pPr>
        <w:pStyle w:val="FootnoteText"/>
        <w:rPr>
          <w:lang w:bidi="ar-EG"/>
        </w:rPr>
      </w:pPr>
      <w:r>
        <w:rPr>
          <w:rStyle w:val="FootnoteReference"/>
        </w:rPr>
        <w:footnoteRef/>
      </w:r>
      <w:r>
        <w:rPr>
          <w:rtl/>
        </w:rPr>
        <w:t xml:space="preserve"> </w:t>
      </w:r>
      <w:r w:rsidR="005A55AE" w:rsidRPr="00237533">
        <w:rPr>
          <w:rFonts w:ascii="Simplified Arabic" w:hAnsi="Simplified Arabic" w:cs="Simplified Arabic"/>
          <w:sz w:val="20"/>
          <w:rtl/>
          <w:lang w:bidi="ar-EG"/>
        </w:rPr>
        <w:t>متحف بحوث الحيوان في بون.</w:t>
      </w:r>
    </w:p>
  </w:footnote>
  <w:footnote w:id="78">
    <w:p w:rsidR="00237533" w:rsidRDefault="00237533" w:rsidP="005A55AE">
      <w:pPr>
        <w:pStyle w:val="FootnoteText"/>
      </w:pPr>
      <w:r>
        <w:rPr>
          <w:rStyle w:val="FootnoteReference"/>
        </w:rPr>
        <w:footnoteRef/>
      </w:r>
      <w:r>
        <w:rPr>
          <w:rtl/>
        </w:rPr>
        <w:t xml:space="preserve"> </w:t>
      </w:r>
      <w:r w:rsidR="005A55AE" w:rsidRPr="00237533">
        <w:rPr>
          <w:rFonts w:ascii="Simplified Arabic" w:hAnsi="Simplified Arabic" w:cs="Simplified Arabic"/>
          <w:sz w:val="20"/>
          <w:rtl/>
        </w:rPr>
        <w:t>حديقة النباتات غوتنبرغ.</w:t>
      </w:r>
    </w:p>
  </w:footnote>
  <w:footnote w:id="79">
    <w:p w:rsidR="00C31233" w:rsidRDefault="00C31233">
      <w:pPr>
        <w:pStyle w:val="FootnoteText"/>
        <w:rPr>
          <w:lang w:bidi="ar-EG"/>
        </w:rPr>
      </w:pPr>
      <w:r>
        <w:rPr>
          <w:rStyle w:val="FootnoteReference"/>
        </w:rPr>
        <w:footnoteRef/>
      </w:r>
      <w:r>
        <w:rPr>
          <w:rtl/>
        </w:rPr>
        <w:t xml:space="preserve"> </w:t>
      </w:r>
      <w:r w:rsidR="005A55AE" w:rsidRPr="00237533">
        <w:rPr>
          <w:rFonts w:ascii="Simplified Arabic" w:hAnsi="Simplified Arabic" w:cs="Simplified Arabic"/>
          <w:sz w:val="20"/>
          <w:rtl/>
        </w:rPr>
        <w:t xml:space="preserve">معهد ليبنيز </w:t>
      </w:r>
      <w:r w:rsidR="005A55AE" w:rsidRPr="00237533">
        <w:rPr>
          <w:szCs w:val="18"/>
        </w:rPr>
        <w:t>DSMZ</w:t>
      </w:r>
      <w:r w:rsidR="005A55AE" w:rsidRPr="00237533">
        <w:rPr>
          <w:szCs w:val="18"/>
          <w:rtl/>
        </w:rPr>
        <w:t>.</w:t>
      </w:r>
      <w:r w:rsidR="005A55AE" w:rsidRPr="00237533">
        <w:rPr>
          <w:szCs w:val="18"/>
          <w:rtl/>
          <w:lang w:bidi="ar-EG"/>
        </w:rPr>
        <w:t xml:space="preserve"> </w:t>
      </w:r>
      <w:r w:rsidR="005A55AE" w:rsidRPr="00237533">
        <w:rPr>
          <w:szCs w:val="18"/>
          <w:lang w:bidi="ar-EG"/>
        </w:rPr>
        <w:t>GmbH</w:t>
      </w:r>
      <w:r w:rsidR="005A55AE" w:rsidRPr="00237533">
        <w:rPr>
          <w:rtl/>
        </w:rPr>
        <w:t>.</w:t>
      </w:r>
    </w:p>
  </w:footnote>
  <w:footnote w:id="80">
    <w:p w:rsidR="00C31233" w:rsidRDefault="00C31233" w:rsidP="00C31233">
      <w:pPr>
        <w:pStyle w:val="FootnoteText"/>
        <w:rPr>
          <w:lang w:bidi="ar-EG"/>
        </w:rPr>
      </w:pPr>
      <w:r>
        <w:rPr>
          <w:rStyle w:val="FootnoteReference"/>
        </w:rPr>
        <w:footnoteRef/>
      </w:r>
      <w:r>
        <w:rPr>
          <w:rtl/>
        </w:rPr>
        <w:t xml:space="preserve"> </w:t>
      </w:r>
      <w:r w:rsidRPr="00237533">
        <w:rPr>
          <w:rFonts w:ascii="Simplified Arabic" w:hAnsi="Simplified Arabic" w:cs="Simplified Arabic"/>
          <w:sz w:val="20"/>
          <w:rtl/>
          <w:lang w:bidi="ar-EG"/>
        </w:rPr>
        <w:t>متحف بحوث الحيوان في بون.</w:t>
      </w:r>
    </w:p>
  </w:footnote>
  <w:footnote w:id="81">
    <w:p w:rsidR="00237533" w:rsidRDefault="00237533">
      <w:pPr>
        <w:pStyle w:val="FootnoteText"/>
        <w:rPr>
          <w:rtl/>
        </w:rPr>
      </w:pPr>
      <w:r>
        <w:rPr>
          <w:rStyle w:val="FootnoteReference"/>
        </w:rPr>
        <w:footnoteRef/>
      </w:r>
      <w:r>
        <w:rPr>
          <w:rtl/>
        </w:rPr>
        <w:t xml:space="preserve"> </w:t>
      </w:r>
      <w:r w:rsidRPr="005A55AE">
        <w:rPr>
          <w:rFonts w:ascii="Simplified Arabic" w:hAnsi="Simplified Arabic" w:cs="Simplified Arabic"/>
          <w:rtl/>
        </w:rPr>
        <w:t>الاتحاد العالمي للمجموعات الاستنباتية.</w:t>
      </w:r>
    </w:p>
  </w:footnote>
  <w:footnote w:id="82">
    <w:p w:rsidR="007C0D14" w:rsidRPr="00501AC2" w:rsidRDefault="007C0D14" w:rsidP="00AD4078">
      <w:pPr>
        <w:pStyle w:val="FootnoteText"/>
        <w:rPr>
          <w:rtl/>
          <w:lang w:bidi="ar-EG"/>
        </w:rPr>
      </w:pPr>
      <w:r>
        <w:rPr>
          <w:rStyle w:val="FootnoteReference"/>
        </w:rPr>
        <w:footnoteRef/>
      </w:r>
      <w:r>
        <w:rPr>
          <w:rtl/>
        </w:rPr>
        <w:t xml:space="preserve"> </w:t>
      </w:r>
      <w:hyperlink r:id="rId6" w:history="1">
        <w:r w:rsidR="00AD4078" w:rsidRPr="005B41AC">
          <w:rPr>
            <w:rStyle w:val="Hyperlink"/>
            <w:snapToGrid w:val="0"/>
            <w:kern w:val="18"/>
            <w:szCs w:val="18"/>
          </w:rPr>
          <w:t>https://www.cbd.int/doc/meetings/abs/abs-a10em-2016-01/official/abs-a10em-2016-01-02-en.pdf</w:t>
        </w:r>
      </w:hyperlink>
    </w:p>
  </w:footnote>
  <w:footnote w:id="83">
    <w:p w:rsidR="004B1E94" w:rsidRPr="004B1E94" w:rsidRDefault="004B1E94">
      <w:pPr>
        <w:pStyle w:val="FootnoteText"/>
        <w:rPr>
          <w:rtl/>
          <w:lang w:bidi="ar-EG"/>
        </w:rPr>
      </w:pPr>
      <w:r>
        <w:rPr>
          <w:rStyle w:val="FootnoteReference"/>
        </w:rPr>
        <w:footnoteRef/>
      </w:r>
      <w:r>
        <w:rPr>
          <w:rtl/>
        </w:rPr>
        <w:t xml:space="preserve"> </w:t>
      </w:r>
      <w:hyperlink r:id="rId7" w:history="1">
        <w:r w:rsidRPr="006D4704">
          <w:rPr>
            <w:rStyle w:val="Hyperlink"/>
            <w:snapToGrid w:val="0"/>
            <w:kern w:val="18"/>
            <w:szCs w:val="18"/>
          </w:rPr>
          <w:t>http://www.fao.org/fileadmin/user_upload/faoweb/plant-treaty/cfp4/cfp_4_2017_0_en.pdf</w:t>
        </w:r>
      </w:hyperlink>
    </w:p>
  </w:footnote>
  <w:footnote w:id="84">
    <w:p w:rsidR="007C0D14" w:rsidRPr="00A55C81" w:rsidRDefault="007C0D14" w:rsidP="00A55C81">
      <w:pPr>
        <w:pStyle w:val="FootnoteText"/>
        <w:rPr>
          <w:rFonts w:hint="cs"/>
          <w:rtl/>
          <w:lang w:bidi="ar-EG"/>
        </w:rPr>
      </w:pPr>
      <w:r>
        <w:rPr>
          <w:rStyle w:val="FootnoteReference"/>
        </w:rPr>
        <w:footnoteRef/>
      </w:r>
      <w:r>
        <w:rPr>
          <w:rtl/>
        </w:rPr>
        <w:t xml:space="preserve"> </w:t>
      </w:r>
      <w:r w:rsidRPr="007C0D14">
        <w:rPr>
          <w:rFonts w:ascii="Simplified Arabic" w:hAnsi="Simplified Arabic" w:cs="Simplified Arabic"/>
          <w:rtl/>
          <w:lang w:bidi="ar-EG"/>
        </w:rPr>
        <w:t>القرار 2/2013،</w:t>
      </w:r>
      <w:r>
        <w:rPr>
          <w:rFonts w:hint="cs"/>
          <w:rtl/>
          <w:lang w:bidi="ar-EG"/>
        </w:rPr>
        <w:t xml:space="preserve"> </w:t>
      </w:r>
      <w:hyperlink r:id="rId8" w:history="1">
        <w:r w:rsidR="00A55C81" w:rsidRPr="00B96C0B">
          <w:rPr>
            <w:rStyle w:val="Hyperlink"/>
            <w:snapToGrid w:val="0"/>
            <w:kern w:val="18"/>
            <w:szCs w:val="18"/>
          </w:rPr>
          <w:t>http://www.fao.org/3/a-be595a.pdf</w:t>
        </w:r>
      </w:hyperlink>
    </w:p>
  </w:footnote>
  <w:footnote w:id="85">
    <w:p w:rsidR="002251FC" w:rsidRPr="000542FA" w:rsidRDefault="002251FC" w:rsidP="004E7644">
      <w:pPr>
        <w:pStyle w:val="FootnoteText"/>
        <w:jc w:val="both"/>
        <w:rPr>
          <w:rFonts w:ascii="Simplified Arabic" w:hAnsi="Simplified Arabic" w:cs="Simplified Arabic"/>
        </w:rPr>
      </w:pPr>
      <w:r>
        <w:rPr>
          <w:rStyle w:val="FootnoteReference"/>
        </w:rPr>
        <w:footnoteRef/>
      </w:r>
      <w:r>
        <w:rPr>
          <w:rtl/>
        </w:rPr>
        <w:t xml:space="preserve"> </w:t>
      </w:r>
      <w:r w:rsidRPr="000542FA">
        <w:rPr>
          <w:rFonts w:ascii="Simplified Arabic" w:hAnsi="Simplified Arabic" w:cs="Simplified Arabic"/>
          <w:rtl/>
          <w:lang w:bidi="ar-EG"/>
        </w:rPr>
        <w:t xml:space="preserve">المواضيع المحددة </w:t>
      </w:r>
      <w:r w:rsidRPr="000542FA">
        <w:rPr>
          <w:rFonts w:ascii="Simplified Arabic" w:hAnsi="Simplified Arabic" w:cs="Simplified Arabic"/>
          <w:rtl/>
        </w:rPr>
        <w:t>في المجموعة التي تمت الموافقة عليها في عام 2011</w:t>
      </w:r>
      <w:r w:rsidR="000542FA">
        <w:rPr>
          <w:rFonts w:ascii="Simplified Arabic" w:hAnsi="Simplified Arabic" w:cs="Simplified Arabic" w:hint="cs"/>
          <w:rtl/>
        </w:rPr>
        <w:t xml:space="preserve"> هي</w:t>
      </w:r>
      <w:r w:rsidRPr="000542FA">
        <w:rPr>
          <w:rFonts w:ascii="Simplified Arabic" w:hAnsi="Simplified Arabic" w:cs="Simplified Arabic"/>
          <w:rtl/>
        </w:rPr>
        <w:t xml:space="preserve">: </w:t>
      </w:r>
      <w:r w:rsidR="000542FA">
        <w:rPr>
          <w:rFonts w:ascii="Simplified Arabic" w:hAnsi="Simplified Arabic" w:cs="Simplified Arabic" w:hint="cs"/>
          <w:rtl/>
        </w:rPr>
        <w:t>"</w:t>
      </w:r>
      <w:r w:rsidRPr="000542FA">
        <w:rPr>
          <w:rFonts w:ascii="Simplified Arabic" w:hAnsi="Simplified Arabic" w:cs="Simplified Arabic"/>
          <w:rtl/>
        </w:rPr>
        <w:t xml:space="preserve">حفظ التنوع البيولوجي البحري في المناطق الواقعة خارج نطاق الولاية الوطنية واستغلاله على نحو مستدام، ولا سيما الموارد </w:t>
      </w:r>
      <w:r w:rsidR="001F4A49">
        <w:rPr>
          <w:rFonts w:ascii="Simplified Arabic" w:hAnsi="Simplified Arabic" w:cs="Simplified Arabic" w:hint="cs"/>
          <w:rtl/>
        </w:rPr>
        <w:t xml:space="preserve">البحرية </w:t>
      </w:r>
      <w:r w:rsidR="001F4A49">
        <w:rPr>
          <w:rFonts w:ascii="Simplified Arabic" w:hAnsi="Simplified Arabic" w:cs="Simplified Arabic"/>
          <w:rtl/>
        </w:rPr>
        <w:t>الجينية</w:t>
      </w:r>
      <w:r w:rsidRPr="000542FA">
        <w:rPr>
          <w:rFonts w:ascii="Simplified Arabic" w:hAnsi="Simplified Arabic" w:cs="Simplified Arabic"/>
          <w:rtl/>
        </w:rPr>
        <w:t xml:space="preserve">، في مجملها وككل واحد، بما في ذلك المسائل المتعلقة بتقاسم المنافع، والتدابير من قبيل أدوات الإدارة الملائمة لكل منطقة على حدة، بما فيها المناطق البحرية المحمية، وتقييمات الأثر البيئي، وبناء </w:t>
      </w:r>
      <w:r w:rsidR="004E7644">
        <w:rPr>
          <w:rFonts w:ascii="Simplified Arabic" w:hAnsi="Simplified Arabic" w:cs="Simplified Arabic"/>
          <w:rtl/>
        </w:rPr>
        <w:t>القدرات ونقل التكنولوجيا البحري</w:t>
      </w:r>
      <w:r w:rsidRPr="000542FA">
        <w:rPr>
          <w:rFonts w:ascii="Simplified Arabic" w:hAnsi="Simplified Arabic" w:cs="Simplified Arabic"/>
          <w:rtl/>
        </w:rPr>
        <w:t>ة</w:t>
      </w:r>
      <w:r w:rsidR="000542FA">
        <w:rPr>
          <w:rFonts w:ascii="Simplified Arabic" w:hAnsi="Simplified Arabic" w:cs="Simplified Arabic" w:hint="cs"/>
          <w:rtl/>
        </w:rPr>
        <w:t>". انظر التقديم من شعبة الأمم الم</w:t>
      </w:r>
      <w:r w:rsidR="00EF1937">
        <w:rPr>
          <w:rFonts w:ascii="Simplified Arabic" w:hAnsi="Simplified Arabic" w:cs="Simplified Arabic" w:hint="cs"/>
          <w:rtl/>
        </w:rPr>
        <w:t>ت</w:t>
      </w:r>
      <w:r w:rsidR="000542FA">
        <w:rPr>
          <w:rFonts w:ascii="Simplified Arabic" w:hAnsi="Simplified Arabic" w:cs="Simplified Arabic" w:hint="cs"/>
          <w:rtl/>
        </w:rPr>
        <w:t>حدة لشؤون المحيطات وقانون البحار.</w:t>
      </w:r>
    </w:p>
  </w:footnote>
  <w:footnote w:id="86">
    <w:p w:rsidR="00F25350" w:rsidRDefault="00F25350">
      <w:pPr>
        <w:pStyle w:val="FootnoteText"/>
        <w:rPr>
          <w:lang w:bidi="ar-EG"/>
        </w:rPr>
      </w:pPr>
      <w:r>
        <w:rPr>
          <w:rStyle w:val="FootnoteReference"/>
        </w:rPr>
        <w:footnoteRef/>
      </w:r>
      <w:r>
        <w:rPr>
          <w:rtl/>
        </w:rPr>
        <w:t xml:space="preserve"> </w:t>
      </w:r>
      <w:r w:rsidR="00CA639B" w:rsidRPr="00CA639B">
        <w:rPr>
          <w:rFonts w:ascii="Simplified Arabic" w:hAnsi="Simplified Arabic" w:cs="Simplified Arabic"/>
          <w:rtl/>
          <w:lang w:bidi="ar-EG"/>
        </w:rPr>
        <w:t>لمزيد من المعلومات عن العملية، انظر</w:t>
      </w:r>
      <w:r w:rsidR="00CA639B">
        <w:rPr>
          <w:rFonts w:hint="cs"/>
          <w:rtl/>
          <w:lang w:bidi="ar-EG"/>
        </w:rPr>
        <w:t xml:space="preserve"> </w:t>
      </w:r>
      <w:hyperlink r:id="rId9" w:history="1">
        <w:r w:rsidR="00CA639B" w:rsidRPr="001635EA">
          <w:rPr>
            <w:rStyle w:val="Hyperlink"/>
            <w:snapToGrid w:val="0"/>
            <w:kern w:val="18"/>
            <w:szCs w:val="18"/>
            <w:lang w:val="en-GB"/>
          </w:rPr>
          <w:t>http://www.who.int/influenza/pip/Documents_WHA70108b/en/</w:t>
        </w:r>
      </w:hyperlink>
      <w:r w:rsidR="00CA639B">
        <w:rPr>
          <w:rFonts w:hint="cs"/>
          <w:rtl/>
          <w:lang w:bidi="ar-EG"/>
        </w:rPr>
        <w:t>.</w:t>
      </w:r>
    </w:p>
  </w:footnote>
  <w:footnote w:id="87">
    <w:p w:rsidR="00F25350" w:rsidRDefault="00F25350">
      <w:pPr>
        <w:pStyle w:val="FootnoteText"/>
        <w:rPr>
          <w:lang w:bidi="ar-EG"/>
        </w:rPr>
      </w:pPr>
      <w:r>
        <w:rPr>
          <w:rStyle w:val="FootnoteReference"/>
        </w:rPr>
        <w:footnoteRef/>
      </w:r>
      <w:r>
        <w:rPr>
          <w:rtl/>
        </w:rPr>
        <w:t xml:space="preserve"> </w:t>
      </w:r>
      <w:r w:rsidR="00DE6226" w:rsidRPr="00EA1922">
        <w:rPr>
          <w:rFonts w:cs="Simplified Arabic" w:hint="cs"/>
          <w:rtl/>
          <w:lang w:bidi="ar-EG"/>
        </w:rPr>
        <w:t>انظر</w:t>
      </w:r>
      <w:r w:rsidR="00DE6226">
        <w:rPr>
          <w:rFonts w:hint="cs"/>
          <w:rtl/>
          <w:lang w:bidi="ar-EG"/>
        </w:rPr>
        <w:t xml:space="preserve">: </w:t>
      </w:r>
      <w:hyperlink r:id="rId10" w:history="1">
        <w:r w:rsidR="00DE6226" w:rsidRPr="001635EA">
          <w:rPr>
            <w:rStyle w:val="Hyperlink"/>
            <w:snapToGrid w:val="0"/>
            <w:kern w:val="18"/>
            <w:szCs w:val="18"/>
            <w:lang w:val="en-GB"/>
          </w:rPr>
          <w:t>http://apps.who.int/gb/ebwha/pdf_files/WHA71/A71_24-en.pdf</w:t>
        </w:r>
      </w:hyperlink>
    </w:p>
  </w:footnote>
  <w:footnote w:id="88">
    <w:p w:rsidR="00DE6226" w:rsidRPr="00CA639B" w:rsidRDefault="00DE6226">
      <w:pPr>
        <w:pStyle w:val="FootnoteText"/>
        <w:rPr>
          <w:rtl/>
          <w:lang w:val="en-GB" w:bidi="ar-EG"/>
        </w:rPr>
      </w:pPr>
      <w:r>
        <w:rPr>
          <w:rStyle w:val="FootnoteReference"/>
        </w:rPr>
        <w:footnoteRef/>
      </w:r>
      <w:r>
        <w:rPr>
          <w:rtl/>
        </w:rPr>
        <w:t xml:space="preserve"> </w:t>
      </w:r>
      <w:hyperlink r:id="rId11" w:history="1">
        <w:r w:rsidR="00CA639B" w:rsidRPr="001635EA">
          <w:rPr>
            <w:rStyle w:val="Hyperlink"/>
            <w:snapToGrid w:val="0"/>
            <w:kern w:val="18"/>
            <w:szCs w:val="18"/>
            <w:lang w:val="en-GB"/>
          </w:rPr>
          <w:t>https://www.cbd.int/abs/submissions-np-2-10/default.shtml</w:t>
        </w:r>
      </w:hyperlink>
    </w:p>
  </w:footnote>
  <w:footnote w:id="89">
    <w:p w:rsidR="00DE6226" w:rsidRPr="00971296" w:rsidRDefault="00DE6226">
      <w:pPr>
        <w:pStyle w:val="FootnoteText"/>
        <w:rPr>
          <w:rFonts w:ascii="Simplified Arabic" w:hAnsi="Simplified Arabic" w:cs="Simplified Arabic"/>
          <w:sz w:val="20"/>
          <w:lang w:bidi="ar-EG"/>
        </w:rPr>
      </w:pPr>
      <w:r w:rsidRPr="00971296">
        <w:rPr>
          <w:rStyle w:val="FootnoteReference"/>
          <w:rFonts w:ascii="Simplified Arabic" w:hAnsi="Simplified Arabic" w:cs="Simplified Arabic"/>
          <w:sz w:val="20"/>
        </w:rPr>
        <w:footnoteRef/>
      </w:r>
      <w:r w:rsidRPr="00971296">
        <w:rPr>
          <w:rFonts w:ascii="Simplified Arabic" w:hAnsi="Simplified Arabic" w:cs="Simplified Arabic"/>
          <w:sz w:val="20"/>
          <w:rtl/>
        </w:rPr>
        <w:t xml:space="preserve"> </w:t>
      </w:r>
      <w:r w:rsidR="00CA639B" w:rsidRPr="00971296">
        <w:rPr>
          <w:rFonts w:ascii="Simplified Arabic" w:hAnsi="Simplified Arabic" w:cs="Simplified Arabic"/>
          <w:sz w:val="20"/>
          <w:rtl/>
          <w:lang w:bidi="ar-EG"/>
        </w:rPr>
        <w:t>الهند، واليابان.</w:t>
      </w:r>
    </w:p>
  </w:footnote>
  <w:footnote w:id="90">
    <w:p w:rsidR="00236175" w:rsidRPr="00971296" w:rsidRDefault="00236175">
      <w:pPr>
        <w:pStyle w:val="FootnoteText"/>
        <w:rPr>
          <w:rFonts w:ascii="Simplified Arabic" w:hAnsi="Simplified Arabic" w:cs="Simplified Arabic"/>
          <w:sz w:val="20"/>
          <w:rtl/>
          <w:lang w:bidi="ar-EG"/>
        </w:rPr>
      </w:pPr>
      <w:r w:rsidRPr="00971296">
        <w:rPr>
          <w:rStyle w:val="FootnoteReference"/>
          <w:rFonts w:ascii="Simplified Arabic" w:hAnsi="Simplified Arabic" w:cs="Simplified Arabic"/>
          <w:sz w:val="20"/>
        </w:rPr>
        <w:footnoteRef/>
      </w:r>
      <w:r w:rsidRPr="00971296">
        <w:rPr>
          <w:rFonts w:ascii="Simplified Arabic" w:hAnsi="Simplified Arabic" w:cs="Simplified Arabic"/>
          <w:sz w:val="20"/>
          <w:rtl/>
        </w:rPr>
        <w:t xml:space="preserve"> </w:t>
      </w:r>
      <w:r w:rsidRPr="00971296">
        <w:rPr>
          <w:rFonts w:ascii="Simplified Arabic" w:hAnsi="Simplified Arabic" w:cs="Simplified Arabic"/>
          <w:sz w:val="20"/>
          <w:rtl/>
          <w:lang w:bidi="ar-EG"/>
        </w:rPr>
        <w:t>الهند.</w:t>
      </w:r>
    </w:p>
  </w:footnote>
  <w:footnote w:id="91">
    <w:p w:rsidR="00C96ED3" w:rsidRPr="00971296" w:rsidRDefault="00C96ED3">
      <w:pPr>
        <w:pStyle w:val="FootnoteText"/>
        <w:rPr>
          <w:rFonts w:ascii="Simplified Arabic" w:hAnsi="Simplified Arabic" w:cs="Simplified Arabic"/>
          <w:sz w:val="20"/>
          <w:lang w:bidi="ar-EG"/>
        </w:rPr>
      </w:pPr>
      <w:r w:rsidRPr="00971296">
        <w:rPr>
          <w:rStyle w:val="FootnoteReference"/>
          <w:rFonts w:ascii="Simplified Arabic" w:hAnsi="Simplified Arabic" w:cs="Simplified Arabic"/>
          <w:sz w:val="20"/>
        </w:rPr>
        <w:footnoteRef/>
      </w:r>
      <w:r w:rsidRPr="00971296">
        <w:rPr>
          <w:rFonts w:ascii="Simplified Arabic" w:hAnsi="Simplified Arabic" w:cs="Simplified Arabic"/>
          <w:sz w:val="20"/>
          <w:rtl/>
        </w:rPr>
        <w:t xml:space="preserve"> </w:t>
      </w:r>
      <w:r w:rsidR="00236175" w:rsidRPr="00971296">
        <w:rPr>
          <w:rFonts w:ascii="Simplified Arabic" w:hAnsi="Simplified Arabic" w:cs="Simplified Arabic"/>
          <w:sz w:val="20"/>
          <w:rtl/>
          <w:lang w:bidi="ar-EG"/>
        </w:rPr>
        <w:t>المكسيك.</w:t>
      </w:r>
    </w:p>
  </w:footnote>
  <w:footnote w:id="92">
    <w:p w:rsidR="00236175" w:rsidRPr="00971296" w:rsidRDefault="00236175">
      <w:pPr>
        <w:pStyle w:val="FootnoteText"/>
        <w:rPr>
          <w:rFonts w:ascii="Simplified Arabic" w:hAnsi="Simplified Arabic" w:cs="Simplified Arabic"/>
          <w:sz w:val="20"/>
          <w:lang w:bidi="ar-EG"/>
        </w:rPr>
      </w:pPr>
      <w:r w:rsidRPr="00971296">
        <w:rPr>
          <w:rStyle w:val="FootnoteReference"/>
          <w:rFonts w:ascii="Simplified Arabic" w:hAnsi="Simplified Arabic" w:cs="Simplified Arabic"/>
          <w:sz w:val="20"/>
        </w:rPr>
        <w:footnoteRef/>
      </w:r>
      <w:r w:rsidRPr="00971296">
        <w:rPr>
          <w:rFonts w:ascii="Simplified Arabic" w:hAnsi="Simplified Arabic" w:cs="Simplified Arabic"/>
          <w:sz w:val="20"/>
          <w:rtl/>
        </w:rPr>
        <w:t xml:space="preserve"> </w:t>
      </w:r>
      <w:r w:rsidRPr="00971296">
        <w:rPr>
          <w:rFonts w:ascii="Simplified Arabic" w:hAnsi="Simplified Arabic" w:cs="Simplified Arabic"/>
          <w:sz w:val="20"/>
          <w:rtl/>
          <w:lang w:bidi="ar-EG"/>
        </w:rPr>
        <w:t>الأرجنتين.</w:t>
      </w:r>
    </w:p>
  </w:footnote>
  <w:footnote w:id="93">
    <w:p w:rsidR="00971296" w:rsidRPr="00971296" w:rsidRDefault="00971296">
      <w:pPr>
        <w:pStyle w:val="FootnoteText"/>
        <w:rPr>
          <w:rFonts w:ascii="Simplified Arabic" w:hAnsi="Simplified Arabic" w:cs="Simplified Arabic"/>
          <w:sz w:val="20"/>
          <w:lang w:bidi="ar-EG"/>
        </w:rPr>
      </w:pPr>
      <w:r w:rsidRPr="00971296">
        <w:rPr>
          <w:rStyle w:val="FootnoteReference"/>
          <w:rFonts w:ascii="Simplified Arabic" w:hAnsi="Simplified Arabic" w:cs="Simplified Arabic"/>
          <w:sz w:val="20"/>
        </w:rPr>
        <w:footnoteRef/>
      </w:r>
      <w:r w:rsidRPr="00971296">
        <w:rPr>
          <w:rFonts w:ascii="Simplified Arabic" w:hAnsi="Simplified Arabic" w:cs="Simplified Arabic"/>
          <w:sz w:val="20"/>
          <w:rtl/>
        </w:rPr>
        <w:t xml:space="preserve"> </w:t>
      </w:r>
      <w:r w:rsidRPr="00971296">
        <w:rPr>
          <w:rFonts w:ascii="Simplified Arabic" w:hAnsi="Simplified Arabic" w:cs="Simplified Arabic"/>
          <w:sz w:val="20"/>
          <w:rtl/>
          <w:lang w:bidi="ar-EG"/>
        </w:rPr>
        <w:t>الهند، واتحاد الصناعة الحيوية في اليابان.</w:t>
      </w:r>
    </w:p>
  </w:footnote>
  <w:footnote w:id="94">
    <w:p w:rsidR="00971296" w:rsidRDefault="00971296" w:rsidP="00971296">
      <w:pPr>
        <w:pStyle w:val="FootnoteText"/>
        <w:rPr>
          <w:rtl/>
          <w:lang w:bidi="ar-EG"/>
        </w:rPr>
      </w:pPr>
      <w:r w:rsidRPr="00971296">
        <w:rPr>
          <w:rStyle w:val="FootnoteReference"/>
          <w:rFonts w:ascii="Simplified Arabic" w:hAnsi="Simplified Arabic" w:cs="Simplified Arabic"/>
          <w:sz w:val="20"/>
        </w:rPr>
        <w:footnoteRef/>
      </w:r>
      <w:r w:rsidRPr="00971296">
        <w:rPr>
          <w:rFonts w:ascii="Simplified Arabic" w:hAnsi="Simplified Arabic" w:cs="Simplified Arabic"/>
          <w:sz w:val="20"/>
          <w:rtl/>
        </w:rPr>
        <w:t xml:space="preserve"> </w:t>
      </w:r>
      <w:r w:rsidR="00514929" w:rsidRPr="00971296">
        <w:rPr>
          <w:rFonts w:ascii="Simplified Arabic" w:hAnsi="Simplified Arabic" w:cs="Simplified Arabic"/>
          <w:sz w:val="20"/>
          <w:rtl/>
          <w:lang w:bidi="ar-EG"/>
        </w:rPr>
        <w:t>اتحاد الصناعة الحيوية في اليابان.</w:t>
      </w:r>
    </w:p>
  </w:footnote>
  <w:footnote w:id="95">
    <w:p w:rsidR="00971296" w:rsidRDefault="00971296">
      <w:pPr>
        <w:pStyle w:val="FootnoteText"/>
        <w:rPr>
          <w:lang w:bidi="ar-EG"/>
        </w:rPr>
      </w:pPr>
      <w:r>
        <w:rPr>
          <w:rStyle w:val="FootnoteReference"/>
        </w:rPr>
        <w:footnoteRef/>
      </w:r>
      <w:r>
        <w:rPr>
          <w:rtl/>
        </w:rPr>
        <w:t xml:space="preserve"> </w:t>
      </w:r>
      <w:r>
        <w:rPr>
          <w:rFonts w:hint="cs"/>
          <w:rtl/>
          <w:lang w:bidi="ar-EG"/>
        </w:rPr>
        <w:t>الأرجنتين.</w:t>
      </w:r>
    </w:p>
  </w:footnote>
  <w:footnote w:id="96">
    <w:p w:rsidR="00971296" w:rsidRDefault="00971296">
      <w:pPr>
        <w:pStyle w:val="FootnoteText"/>
        <w:rPr>
          <w:rtl/>
          <w:lang w:bidi="ar-EG"/>
        </w:rPr>
      </w:pPr>
      <w:r>
        <w:rPr>
          <w:rStyle w:val="FootnoteReference"/>
        </w:rPr>
        <w:footnoteRef/>
      </w:r>
      <w:r>
        <w:rPr>
          <w:rtl/>
        </w:rPr>
        <w:t xml:space="preserve"> </w:t>
      </w:r>
      <w:r w:rsidRPr="00971296">
        <w:rPr>
          <w:rFonts w:ascii="Simplified Arabic" w:hAnsi="Simplified Arabic" w:cs="Simplified Arabic"/>
          <w:sz w:val="20"/>
          <w:rtl/>
          <w:lang w:bidi="ar-EG"/>
        </w:rPr>
        <w:t>اليابان. انظر أيضا الفقرة 60 أعلاه.</w:t>
      </w:r>
    </w:p>
  </w:footnote>
  <w:footnote w:id="97">
    <w:p w:rsidR="00514929" w:rsidRPr="007665C5" w:rsidRDefault="00514929">
      <w:pPr>
        <w:pStyle w:val="FootnoteText"/>
        <w:rPr>
          <w:rFonts w:ascii="Simplified Arabic" w:hAnsi="Simplified Arabic" w:cs="Simplified Arabic"/>
          <w:sz w:val="20"/>
          <w:lang w:bidi="ar-EG"/>
        </w:rPr>
      </w:pPr>
      <w:r w:rsidRPr="007665C5">
        <w:rPr>
          <w:rStyle w:val="FootnoteReference"/>
          <w:rFonts w:ascii="Simplified Arabic" w:hAnsi="Simplified Arabic" w:cs="Simplified Arabic"/>
          <w:sz w:val="20"/>
        </w:rPr>
        <w:footnoteRef/>
      </w:r>
      <w:r w:rsidRPr="007665C5">
        <w:rPr>
          <w:rFonts w:ascii="Simplified Arabic" w:hAnsi="Simplified Arabic" w:cs="Simplified Arabic"/>
          <w:sz w:val="20"/>
          <w:rtl/>
        </w:rPr>
        <w:t xml:space="preserve"> </w:t>
      </w:r>
      <w:r w:rsidRPr="007665C5">
        <w:rPr>
          <w:rFonts w:ascii="Simplified Arabic" w:hAnsi="Simplified Arabic" w:cs="Simplified Arabic"/>
          <w:sz w:val="20"/>
          <w:rtl/>
          <w:lang w:bidi="ar-EG"/>
        </w:rPr>
        <w:t>غرفة التجارة الدولية.</w:t>
      </w:r>
    </w:p>
  </w:footnote>
  <w:footnote w:id="98">
    <w:p w:rsidR="00514929" w:rsidRPr="007665C5" w:rsidRDefault="00514929">
      <w:pPr>
        <w:pStyle w:val="FootnoteText"/>
        <w:rPr>
          <w:rFonts w:ascii="Simplified Arabic" w:hAnsi="Simplified Arabic" w:cs="Simplified Arabic"/>
          <w:sz w:val="20"/>
          <w:lang w:bidi="ar-EG"/>
        </w:rPr>
      </w:pPr>
      <w:r w:rsidRPr="007665C5">
        <w:rPr>
          <w:rStyle w:val="FootnoteReference"/>
          <w:rFonts w:ascii="Simplified Arabic" w:hAnsi="Simplified Arabic" w:cs="Simplified Arabic"/>
          <w:sz w:val="20"/>
        </w:rPr>
        <w:footnoteRef/>
      </w:r>
      <w:r w:rsidRPr="007665C5">
        <w:rPr>
          <w:rFonts w:ascii="Simplified Arabic" w:hAnsi="Simplified Arabic" w:cs="Simplified Arabic"/>
          <w:sz w:val="20"/>
          <w:rtl/>
        </w:rPr>
        <w:t xml:space="preserve"> </w:t>
      </w:r>
      <w:r w:rsidRPr="007665C5">
        <w:rPr>
          <w:rFonts w:ascii="Simplified Arabic" w:hAnsi="Simplified Arabic" w:cs="Simplified Arabic"/>
          <w:sz w:val="20"/>
          <w:rtl/>
          <w:lang w:bidi="ar-EG"/>
        </w:rPr>
        <w:t>الأرجنتين، والمكسيك.</w:t>
      </w:r>
    </w:p>
  </w:footnote>
  <w:footnote w:id="99">
    <w:p w:rsidR="00514929" w:rsidRPr="007665C5" w:rsidRDefault="00514929">
      <w:pPr>
        <w:pStyle w:val="FootnoteText"/>
        <w:rPr>
          <w:rFonts w:ascii="Simplified Arabic" w:hAnsi="Simplified Arabic" w:cs="Simplified Arabic"/>
          <w:sz w:val="20"/>
          <w:lang w:bidi="ar-EG"/>
        </w:rPr>
      </w:pPr>
      <w:r w:rsidRPr="007665C5">
        <w:rPr>
          <w:rStyle w:val="FootnoteReference"/>
          <w:rFonts w:ascii="Simplified Arabic" w:hAnsi="Simplified Arabic" w:cs="Simplified Arabic"/>
          <w:sz w:val="20"/>
        </w:rPr>
        <w:footnoteRef/>
      </w:r>
      <w:r w:rsidRPr="007665C5">
        <w:rPr>
          <w:rFonts w:ascii="Simplified Arabic" w:hAnsi="Simplified Arabic" w:cs="Simplified Arabic"/>
          <w:sz w:val="20"/>
          <w:rtl/>
        </w:rPr>
        <w:t xml:space="preserve"> </w:t>
      </w:r>
      <w:r w:rsidRPr="007665C5">
        <w:rPr>
          <w:rFonts w:ascii="Simplified Arabic" w:hAnsi="Simplified Arabic" w:cs="Simplified Arabic"/>
          <w:sz w:val="20"/>
          <w:rtl/>
          <w:lang w:bidi="ar-EG"/>
        </w:rPr>
        <w:t>جوزيف هنري فوغل.</w:t>
      </w:r>
    </w:p>
  </w:footnote>
  <w:footnote w:id="100">
    <w:p w:rsidR="009275C2" w:rsidRPr="007665C5" w:rsidRDefault="009275C2">
      <w:pPr>
        <w:pStyle w:val="FootnoteText"/>
        <w:rPr>
          <w:rFonts w:ascii="Simplified Arabic" w:hAnsi="Simplified Arabic" w:cs="Simplified Arabic"/>
          <w:sz w:val="20"/>
          <w:lang w:bidi="ar-EG"/>
        </w:rPr>
      </w:pPr>
      <w:r w:rsidRPr="007665C5">
        <w:rPr>
          <w:rStyle w:val="FootnoteReference"/>
          <w:rFonts w:ascii="Simplified Arabic" w:hAnsi="Simplified Arabic" w:cs="Simplified Arabic"/>
          <w:sz w:val="20"/>
        </w:rPr>
        <w:footnoteRef/>
      </w:r>
      <w:r w:rsidRPr="007665C5">
        <w:rPr>
          <w:rFonts w:ascii="Simplified Arabic" w:hAnsi="Simplified Arabic" w:cs="Simplified Arabic"/>
          <w:sz w:val="20"/>
          <w:rtl/>
        </w:rPr>
        <w:t xml:space="preserve"> </w:t>
      </w:r>
      <w:r w:rsidRPr="007665C5">
        <w:rPr>
          <w:rFonts w:ascii="Simplified Arabic" w:hAnsi="Simplified Arabic" w:cs="Simplified Arabic"/>
          <w:sz w:val="20"/>
          <w:rtl/>
          <w:lang w:bidi="ar-EG"/>
        </w:rPr>
        <w:t>الأرجنتين، والهند، والمكسيك.</w:t>
      </w:r>
    </w:p>
  </w:footnote>
  <w:footnote w:id="101">
    <w:p w:rsidR="00D23D0A" w:rsidRPr="007665C5" w:rsidRDefault="00D23D0A">
      <w:pPr>
        <w:pStyle w:val="FootnoteText"/>
        <w:rPr>
          <w:rFonts w:ascii="Simplified Arabic" w:hAnsi="Simplified Arabic" w:cs="Simplified Arabic"/>
          <w:sz w:val="20"/>
          <w:lang w:bidi="ar-EG"/>
        </w:rPr>
      </w:pPr>
      <w:r w:rsidRPr="007665C5">
        <w:rPr>
          <w:rStyle w:val="FootnoteReference"/>
          <w:rFonts w:ascii="Simplified Arabic" w:hAnsi="Simplified Arabic" w:cs="Simplified Arabic"/>
          <w:sz w:val="20"/>
        </w:rPr>
        <w:footnoteRef/>
      </w:r>
      <w:r w:rsidRPr="007665C5">
        <w:rPr>
          <w:rFonts w:ascii="Simplified Arabic" w:hAnsi="Simplified Arabic" w:cs="Simplified Arabic"/>
          <w:sz w:val="20"/>
          <w:rtl/>
        </w:rPr>
        <w:t xml:space="preserve"> </w:t>
      </w:r>
      <w:r w:rsidRPr="007665C5">
        <w:rPr>
          <w:rFonts w:ascii="Simplified Arabic" w:hAnsi="Simplified Arabic" w:cs="Simplified Arabic"/>
          <w:sz w:val="20"/>
          <w:rtl/>
          <w:lang w:bidi="ar-EG"/>
        </w:rPr>
        <w:t>الأرجنتين.</w:t>
      </w:r>
    </w:p>
  </w:footnote>
  <w:footnote w:id="102">
    <w:p w:rsidR="00D23D0A" w:rsidRPr="007665C5" w:rsidRDefault="00D23D0A">
      <w:pPr>
        <w:pStyle w:val="FootnoteText"/>
        <w:rPr>
          <w:rFonts w:ascii="Simplified Arabic" w:hAnsi="Simplified Arabic" w:cs="Simplified Arabic"/>
          <w:sz w:val="20"/>
          <w:lang w:bidi="ar-EG"/>
        </w:rPr>
      </w:pPr>
      <w:r w:rsidRPr="007665C5">
        <w:rPr>
          <w:rStyle w:val="FootnoteReference"/>
          <w:rFonts w:ascii="Simplified Arabic" w:hAnsi="Simplified Arabic" w:cs="Simplified Arabic"/>
          <w:sz w:val="20"/>
        </w:rPr>
        <w:footnoteRef/>
      </w:r>
      <w:r w:rsidRPr="007665C5">
        <w:rPr>
          <w:rFonts w:ascii="Simplified Arabic" w:hAnsi="Simplified Arabic" w:cs="Simplified Arabic"/>
          <w:sz w:val="20"/>
          <w:rtl/>
        </w:rPr>
        <w:t xml:space="preserve"> </w:t>
      </w:r>
      <w:r w:rsidRPr="007665C5">
        <w:rPr>
          <w:rFonts w:ascii="Simplified Arabic" w:hAnsi="Simplified Arabic" w:cs="Simplified Arabic"/>
          <w:sz w:val="20"/>
          <w:rtl/>
          <w:lang w:bidi="ar-EG"/>
        </w:rPr>
        <w:t>الهند.</w:t>
      </w:r>
    </w:p>
  </w:footnote>
  <w:footnote w:id="103">
    <w:p w:rsidR="007665C5" w:rsidRPr="007665C5" w:rsidRDefault="007665C5">
      <w:pPr>
        <w:pStyle w:val="FootnoteText"/>
        <w:rPr>
          <w:rFonts w:ascii="Simplified Arabic" w:hAnsi="Simplified Arabic" w:cs="Simplified Arabic"/>
          <w:sz w:val="20"/>
          <w:lang w:bidi="ar-EG"/>
        </w:rPr>
      </w:pPr>
      <w:r w:rsidRPr="007665C5">
        <w:rPr>
          <w:rStyle w:val="FootnoteReference"/>
          <w:rFonts w:ascii="Simplified Arabic" w:hAnsi="Simplified Arabic" w:cs="Simplified Arabic"/>
          <w:sz w:val="20"/>
        </w:rPr>
        <w:footnoteRef/>
      </w:r>
      <w:r w:rsidRPr="007665C5">
        <w:rPr>
          <w:rFonts w:ascii="Simplified Arabic" w:hAnsi="Simplified Arabic" w:cs="Simplified Arabic"/>
          <w:sz w:val="20"/>
          <w:rtl/>
        </w:rPr>
        <w:t xml:space="preserve"> </w:t>
      </w:r>
      <w:r w:rsidRPr="007665C5">
        <w:rPr>
          <w:rFonts w:ascii="Simplified Arabic" w:hAnsi="Simplified Arabic" w:cs="Simplified Arabic"/>
          <w:sz w:val="20"/>
          <w:rtl/>
          <w:lang w:bidi="ar-EG"/>
        </w:rPr>
        <w:t>الأرجنتين.</w:t>
      </w:r>
    </w:p>
  </w:footnote>
  <w:footnote w:id="104">
    <w:p w:rsidR="007665C5" w:rsidRPr="007665C5" w:rsidRDefault="007665C5">
      <w:pPr>
        <w:pStyle w:val="FootnoteText"/>
        <w:rPr>
          <w:rFonts w:ascii="Simplified Arabic" w:hAnsi="Simplified Arabic" w:cs="Simplified Arabic"/>
          <w:sz w:val="20"/>
          <w:lang w:bidi="ar-EG"/>
        </w:rPr>
      </w:pPr>
      <w:r w:rsidRPr="007665C5">
        <w:rPr>
          <w:rStyle w:val="FootnoteReference"/>
          <w:rFonts w:ascii="Simplified Arabic" w:hAnsi="Simplified Arabic" w:cs="Simplified Arabic"/>
          <w:sz w:val="20"/>
        </w:rPr>
        <w:footnoteRef/>
      </w:r>
      <w:r w:rsidRPr="007665C5">
        <w:rPr>
          <w:rFonts w:ascii="Simplified Arabic" w:hAnsi="Simplified Arabic" w:cs="Simplified Arabic"/>
          <w:sz w:val="20"/>
          <w:rtl/>
        </w:rPr>
        <w:t xml:space="preserve"> </w:t>
      </w:r>
      <w:r w:rsidRPr="007665C5">
        <w:rPr>
          <w:rFonts w:ascii="Simplified Arabic" w:hAnsi="Simplified Arabic" w:cs="Simplified Arabic"/>
          <w:sz w:val="20"/>
          <w:rtl/>
          <w:lang w:bidi="ar-EG"/>
        </w:rPr>
        <w:t>المكسيك.</w:t>
      </w:r>
    </w:p>
  </w:footnote>
  <w:footnote w:id="105">
    <w:p w:rsidR="007665C5" w:rsidRDefault="007665C5">
      <w:pPr>
        <w:pStyle w:val="FootnoteText"/>
        <w:rPr>
          <w:lang w:bidi="ar-EG"/>
        </w:rPr>
      </w:pPr>
      <w:r w:rsidRPr="007665C5">
        <w:rPr>
          <w:rStyle w:val="FootnoteReference"/>
          <w:rFonts w:ascii="Simplified Arabic" w:hAnsi="Simplified Arabic" w:cs="Simplified Arabic"/>
          <w:sz w:val="20"/>
        </w:rPr>
        <w:footnoteRef/>
      </w:r>
      <w:r w:rsidRPr="007665C5">
        <w:rPr>
          <w:rFonts w:ascii="Simplified Arabic" w:hAnsi="Simplified Arabic" w:cs="Simplified Arabic"/>
          <w:sz w:val="20"/>
          <w:rtl/>
        </w:rPr>
        <w:t xml:space="preserve"> </w:t>
      </w:r>
      <w:r w:rsidRPr="007665C5">
        <w:rPr>
          <w:rFonts w:ascii="Simplified Arabic" w:hAnsi="Simplified Arabic" w:cs="Simplified Arabic"/>
          <w:sz w:val="20"/>
          <w:rtl/>
          <w:lang w:bidi="ar-EG"/>
        </w:rPr>
        <w:t>انظر المقرر 11/1 باء ومرفقه الأول.</w:t>
      </w:r>
    </w:p>
  </w:footnote>
  <w:footnote w:id="106">
    <w:p w:rsidR="00C62688" w:rsidRDefault="00C62688" w:rsidP="00C62688">
      <w:pPr>
        <w:pStyle w:val="FootnoteText"/>
        <w:rPr>
          <w:rFonts w:hint="cs"/>
          <w:rtl/>
          <w:lang w:bidi="ar-EG"/>
        </w:rPr>
      </w:pPr>
      <w:r>
        <w:rPr>
          <w:rStyle w:val="FootnoteReference"/>
        </w:rPr>
        <w:footnoteRef/>
      </w:r>
      <w:r>
        <w:rPr>
          <w:rtl/>
        </w:rPr>
        <w:t xml:space="preserve"> </w:t>
      </w:r>
      <w:r w:rsidRPr="00C62688">
        <w:rPr>
          <w:rFonts w:cs="Simplified Arabic"/>
          <w:rtl/>
        </w:rPr>
        <w:t>الاتحاد العالمي للمجموعات الاستنباتية</w:t>
      </w:r>
      <w:r w:rsidRPr="00C62688">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A7" w:rsidRPr="006B57BC" w:rsidRDefault="006036A7" w:rsidP="00D46EAB">
    <w:pPr>
      <w:tabs>
        <w:tab w:val="left" w:pos="6379"/>
      </w:tabs>
      <w:bidi w:val="0"/>
      <w:ind w:left="6804"/>
      <w:jc w:val="right"/>
      <w:rPr>
        <w:sz w:val="22"/>
        <w:szCs w:val="22"/>
      </w:rPr>
    </w:pPr>
    <w:r w:rsidRPr="00BF5722">
      <w:rPr>
        <w:sz w:val="22"/>
        <w:szCs w:val="22"/>
      </w:rPr>
      <w:t>CBD/</w:t>
    </w:r>
    <w:r>
      <w:rPr>
        <w:sz w:val="22"/>
        <w:szCs w:val="22"/>
      </w:rPr>
      <w:t>SBI</w:t>
    </w:r>
    <w:r w:rsidRPr="00BF5722">
      <w:rPr>
        <w:sz w:val="22"/>
        <w:szCs w:val="22"/>
      </w:rPr>
      <w:t>/</w:t>
    </w:r>
    <w:r>
      <w:rPr>
        <w:sz w:val="22"/>
        <w:szCs w:val="22"/>
      </w:rPr>
      <w:t>2/</w:t>
    </w:r>
    <w:r w:rsidR="00D46EAB">
      <w:rPr>
        <w:rFonts w:hint="cs"/>
        <w:sz w:val="22"/>
        <w:szCs w:val="22"/>
        <w:rtl/>
      </w:rPr>
      <w:t>5</w:t>
    </w:r>
  </w:p>
  <w:p w:rsidR="006036A7" w:rsidRPr="00084BB4" w:rsidRDefault="006036A7" w:rsidP="00E1191B">
    <w:pPr>
      <w:tabs>
        <w:tab w:val="left" w:pos="6379"/>
      </w:tabs>
      <w:bidi w:val="0"/>
      <w:ind w:left="6804"/>
      <w:jc w:val="right"/>
      <w:rPr>
        <w:sz w:val="22"/>
        <w:szCs w:val="22"/>
      </w:rPr>
    </w:pPr>
    <w:r w:rsidRPr="00BF5722">
      <w:rPr>
        <w:sz w:val="22"/>
        <w:szCs w:val="22"/>
      </w:rPr>
      <w:t xml:space="preserve">Page </w:t>
    </w:r>
    <w:r w:rsidR="001F0F60" w:rsidRPr="00BF5722">
      <w:rPr>
        <w:sz w:val="22"/>
        <w:szCs w:val="22"/>
      </w:rPr>
      <w:fldChar w:fldCharType="begin"/>
    </w:r>
    <w:r w:rsidRPr="00BF5722">
      <w:rPr>
        <w:sz w:val="22"/>
        <w:szCs w:val="22"/>
      </w:rPr>
      <w:instrText xml:space="preserve">PAGE  </w:instrText>
    </w:r>
    <w:r w:rsidR="001F0F60" w:rsidRPr="00BF5722">
      <w:rPr>
        <w:sz w:val="22"/>
        <w:szCs w:val="22"/>
      </w:rPr>
      <w:fldChar w:fldCharType="separate"/>
    </w:r>
    <w:r w:rsidR="00C62688">
      <w:rPr>
        <w:noProof/>
        <w:sz w:val="22"/>
        <w:szCs w:val="22"/>
      </w:rPr>
      <w:t>16</w:t>
    </w:r>
    <w:r w:rsidR="001F0F60" w:rsidRPr="00BF5722">
      <w:rPr>
        <w:sz w:val="22"/>
        <w:szCs w:val="22"/>
      </w:rPr>
      <w:fldChar w:fldCharType="end"/>
    </w:r>
  </w:p>
  <w:p w:rsidR="006036A7" w:rsidRPr="00FF65D5" w:rsidRDefault="006036A7" w:rsidP="00E1191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A7" w:rsidRPr="006B57BC" w:rsidRDefault="006036A7" w:rsidP="00D46EAB">
    <w:pPr>
      <w:tabs>
        <w:tab w:val="left" w:pos="6379"/>
      </w:tabs>
      <w:bidi w:val="0"/>
      <w:jc w:val="left"/>
      <w:rPr>
        <w:sz w:val="22"/>
        <w:szCs w:val="22"/>
      </w:rPr>
    </w:pPr>
    <w:r>
      <w:rPr>
        <w:sz w:val="22"/>
        <w:szCs w:val="22"/>
      </w:rPr>
      <w:t>CBD/SBI</w:t>
    </w:r>
    <w:r w:rsidRPr="00BF5722">
      <w:rPr>
        <w:sz w:val="22"/>
        <w:szCs w:val="22"/>
      </w:rPr>
      <w:t>/</w:t>
    </w:r>
    <w:r>
      <w:rPr>
        <w:sz w:val="22"/>
        <w:szCs w:val="22"/>
      </w:rPr>
      <w:t>2/</w:t>
    </w:r>
    <w:r w:rsidR="00D46EAB">
      <w:rPr>
        <w:sz w:val="22"/>
        <w:szCs w:val="22"/>
      </w:rPr>
      <w:t>5</w:t>
    </w:r>
  </w:p>
  <w:p w:rsidR="006036A7" w:rsidRPr="00084BB4" w:rsidRDefault="006036A7" w:rsidP="00E1191B">
    <w:pPr>
      <w:tabs>
        <w:tab w:val="left" w:pos="6379"/>
      </w:tabs>
      <w:bidi w:val="0"/>
      <w:jc w:val="left"/>
      <w:rPr>
        <w:sz w:val="22"/>
        <w:szCs w:val="22"/>
      </w:rPr>
    </w:pPr>
    <w:r w:rsidRPr="00BF5722">
      <w:rPr>
        <w:sz w:val="22"/>
        <w:szCs w:val="22"/>
      </w:rPr>
      <w:t xml:space="preserve">Page </w:t>
    </w:r>
    <w:r w:rsidR="001F0F60" w:rsidRPr="00BF5722">
      <w:rPr>
        <w:sz w:val="22"/>
        <w:szCs w:val="22"/>
      </w:rPr>
      <w:fldChar w:fldCharType="begin"/>
    </w:r>
    <w:r w:rsidRPr="00BF5722">
      <w:rPr>
        <w:sz w:val="22"/>
        <w:szCs w:val="22"/>
      </w:rPr>
      <w:instrText xml:space="preserve">PAGE  </w:instrText>
    </w:r>
    <w:r w:rsidR="001F0F60" w:rsidRPr="00BF5722">
      <w:rPr>
        <w:sz w:val="22"/>
        <w:szCs w:val="22"/>
      </w:rPr>
      <w:fldChar w:fldCharType="separate"/>
    </w:r>
    <w:r w:rsidR="00C62688">
      <w:rPr>
        <w:noProof/>
        <w:sz w:val="22"/>
        <w:szCs w:val="22"/>
      </w:rPr>
      <w:t>15</w:t>
    </w:r>
    <w:r w:rsidR="001F0F60" w:rsidRPr="00BF5722">
      <w:rPr>
        <w:sz w:val="22"/>
        <w:szCs w:val="22"/>
      </w:rPr>
      <w:fldChar w:fldCharType="end"/>
    </w:r>
  </w:p>
  <w:p w:rsidR="006036A7" w:rsidRPr="00FF65D5" w:rsidRDefault="006036A7" w:rsidP="00E11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nsid w:val="0FB12CD1"/>
    <w:multiLevelType w:val="hybridMultilevel"/>
    <w:tmpl w:val="F154D626"/>
    <w:lvl w:ilvl="0" w:tplc="FB3E25DE">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171113A7"/>
    <w:multiLevelType w:val="multilevel"/>
    <w:tmpl w:val="48241D10"/>
    <w:numStyleLink w:val="Normallist"/>
  </w:abstractNum>
  <w:abstractNum w:abstractNumId="6">
    <w:nsid w:val="20CA2B6B"/>
    <w:multiLevelType w:val="hybridMultilevel"/>
    <w:tmpl w:val="A0426D2E"/>
    <w:lvl w:ilvl="0" w:tplc="2868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2">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4">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5">
    <w:nsid w:val="47C773C6"/>
    <w:multiLevelType w:val="hybridMultilevel"/>
    <w:tmpl w:val="9D987204"/>
    <w:lvl w:ilvl="0" w:tplc="19F6719A">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31E7C"/>
    <w:multiLevelType w:val="hybridMultilevel"/>
    <w:tmpl w:val="65C8044E"/>
    <w:lvl w:ilvl="0" w:tplc="187CB5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8C16912"/>
    <w:multiLevelType w:val="hybridMultilevel"/>
    <w:tmpl w:val="2A881142"/>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1">
    <w:nsid w:val="4BF37F68"/>
    <w:multiLevelType w:val="hybridMultilevel"/>
    <w:tmpl w:val="C7D00CD0"/>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27">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nsid w:val="5E3F67C7"/>
    <w:multiLevelType w:val="hybridMultilevel"/>
    <w:tmpl w:val="FCCE27BA"/>
    <w:lvl w:ilvl="0" w:tplc="187CB5E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0CA5398"/>
    <w:multiLevelType w:val="hybridMultilevel"/>
    <w:tmpl w:val="6B64640A"/>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3">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4">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num>
  <w:num w:numId="2">
    <w:abstractNumId w:val="8"/>
  </w:num>
  <w:num w:numId="3">
    <w:abstractNumId w:val="27"/>
  </w:num>
  <w:num w:numId="4">
    <w:abstractNumId w:val="7"/>
  </w:num>
  <w:num w:numId="5">
    <w:abstractNumId w:val="10"/>
  </w:num>
  <w:num w:numId="6">
    <w:abstractNumId w:val="33"/>
  </w:num>
  <w:num w:numId="7">
    <w:abstractNumId w:val="19"/>
  </w:num>
  <w:num w:numId="8">
    <w:abstractNumId w:val="23"/>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8"/>
  </w:num>
  <w:num w:numId="13">
    <w:abstractNumId w:val="13"/>
  </w:num>
  <w:num w:numId="1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
  </w:num>
  <w:num w:numId="17">
    <w:abstractNumId w:val="29"/>
  </w:num>
  <w:num w:numId="18">
    <w:abstractNumId w:val="24"/>
  </w:num>
  <w:num w:numId="19">
    <w:abstractNumId w:val="5"/>
  </w:num>
  <w:num w:numId="20">
    <w:abstractNumId w:val="0"/>
  </w:num>
  <w:num w:numId="21">
    <w:abstractNumId w:val="4"/>
  </w:num>
  <w:num w:numId="22">
    <w:abstractNumId w:val="26"/>
  </w:num>
  <w:num w:numId="23">
    <w:abstractNumId w:val="14"/>
  </w:num>
  <w:num w:numId="24">
    <w:abstractNumId w:val="11"/>
  </w:num>
  <w:num w:numId="25">
    <w:abstractNumId w:val="32"/>
  </w:num>
  <w:num w:numId="26">
    <w:abstractNumId w:val="20"/>
  </w:num>
  <w:num w:numId="27">
    <w:abstractNumId w:val="17"/>
  </w:num>
  <w:num w:numId="28">
    <w:abstractNumId w:val="6"/>
  </w:num>
  <w:num w:numId="29">
    <w:abstractNumId w:val="21"/>
  </w:num>
  <w:num w:numId="30">
    <w:abstractNumId w:val="28"/>
  </w:num>
  <w:num w:numId="31">
    <w:abstractNumId w:val="3"/>
  </w:num>
  <w:num w:numId="32">
    <w:abstractNumId w:val="16"/>
  </w:num>
  <w:num w:numId="33">
    <w:abstractNumId w:val="31"/>
  </w:num>
  <w:num w:numId="34">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stylePaneFormatFilter w:val="3F01"/>
  <w:defaultTabStop w:val="706"/>
  <w:hyphenationZone w:val="425"/>
  <w:evenAndOddHeaders/>
  <w:characterSpacingControl w:val="doNotCompress"/>
  <w:hdrShapeDefaults>
    <o:shapedefaults v:ext="edit" spidmax="54274"/>
  </w:hdrShapeDefaults>
  <w:footnotePr>
    <w:footnote w:id="-1"/>
    <w:footnote w:id="0"/>
  </w:footnotePr>
  <w:endnotePr>
    <w:endnote w:id="-1"/>
    <w:endnote w:id="0"/>
  </w:endnotePr>
  <w:compat/>
  <w:rsids>
    <w:rsidRoot w:val="00092864"/>
    <w:rsid w:val="00000A97"/>
    <w:rsid w:val="00001273"/>
    <w:rsid w:val="000015BF"/>
    <w:rsid w:val="00002BD2"/>
    <w:rsid w:val="0000493C"/>
    <w:rsid w:val="00004C2F"/>
    <w:rsid w:val="0000581C"/>
    <w:rsid w:val="00006E31"/>
    <w:rsid w:val="000100EF"/>
    <w:rsid w:val="0001018A"/>
    <w:rsid w:val="00010F34"/>
    <w:rsid w:val="000111FC"/>
    <w:rsid w:val="00014298"/>
    <w:rsid w:val="00014A9D"/>
    <w:rsid w:val="0001586A"/>
    <w:rsid w:val="00015A4B"/>
    <w:rsid w:val="00017BED"/>
    <w:rsid w:val="000203E0"/>
    <w:rsid w:val="00021D05"/>
    <w:rsid w:val="000228E8"/>
    <w:rsid w:val="00022E1F"/>
    <w:rsid w:val="00023110"/>
    <w:rsid w:val="00023300"/>
    <w:rsid w:val="00023BE7"/>
    <w:rsid w:val="00024A1F"/>
    <w:rsid w:val="00024EBC"/>
    <w:rsid w:val="00027951"/>
    <w:rsid w:val="000317C1"/>
    <w:rsid w:val="00031BF2"/>
    <w:rsid w:val="00032026"/>
    <w:rsid w:val="00032167"/>
    <w:rsid w:val="0003235D"/>
    <w:rsid w:val="000327B4"/>
    <w:rsid w:val="00033090"/>
    <w:rsid w:val="00033D44"/>
    <w:rsid w:val="00036B10"/>
    <w:rsid w:val="0003714D"/>
    <w:rsid w:val="000374AC"/>
    <w:rsid w:val="00037C7F"/>
    <w:rsid w:val="00044B3F"/>
    <w:rsid w:val="00044CB3"/>
    <w:rsid w:val="0004509E"/>
    <w:rsid w:val="0004562C"/>
    <w:rsid w:val="00046188"/>
    <w:rsid w:val="000508D3"/>
    <w:rsid w:val="00050C2C"/>
    <w:rsid w:val="0005194D"/>
    <w:rsid w:val="00051ED9"/>
    <w:rsid w:val="000542FA"/>
    <w:rsid w:val="0005437B"/>
    <w:rsid w:val="00054E76"/>
    <w:rsid w:val="00054FFA"/>
    <w:rsid w:val="00055863"/>
    <w:rsid w:val="000565BC"/>
    <w:rsid w:val="00056AC5"/>
    <w:rsid w:val="0006103F"/>
    <w:rsid w:val="000632A0"/>
    <w:rsid w:val="0006367D"/>
    <w:rsid w:val="0006570A"/>
    <w:rsid w:val="00066AE0"/>
    <w:rsid w:val="00067C18"/>
    <w:rsid w:val="00072045"/>
    <w:rsid w:val="00072057"/>
    <w:rsid w:val="00074C59"/>
    <w:rsid w:val="00074EA3"/>
    <w:rsid w:val="00075B40"/>
    <w:rsid w:val="00076D39"/>
    <w:rsid w:val="00077768"/>
    <w:rsid w:val="00080DE7"/>
    <w:rsid w:val="000812CF"/>
    <w:rsid w:val="000823B3"/>
    <w:rsid w:val="0008262D"/>
    <w:rsid w:val="00083307"/>
    <w:rsid w:val="00084C03"/>
    <w:rsid w:val="000857E1"/>
    <w:rsid w:val="00086381"/>
    <w:rsid w:val="000869FB"/>
    <w:rsid w:val="00086CC6"/>
    <w:rsid w:val="000917DC"/>
    <w:rsid w:val="00091C26"/>
    <w:rsid w:val="000920D9"/>
    <w:rsid w:val="00092864"/>
    <w:rsid w:val="000936E2"/>
    <w:rsid w:val="00095B7A"/>
    <w:rsid w:val="00095C14"/>
    <w:rsid w:val="00097E2B"/>
    <w:rsid w:val="000A1676"/>
    <w:rsid w:val="000A1BE6"/>
    <w:rsid w:val="000A24E3"/>
    <w:rsid w:val="000A26C7"/>
    <w:rsid w:val="000A26D3"/>
    <w:rsid w:val="000A2D07"/>
    <w:rsid w:val="000A3FAE"/>
    <w:rsid w:val="000A4D5C"/>
    <w:rsid w:val="000A5728"/>
    <w:rsid w:val="000A58A9"/>
    <w:rsid w:val="000B0D94"/>
    <w:rsid w:val="000B25AB"/>
    <w:rsid w:val="000B2EDB"/>
    <w:rsid w:val="000B39DE"/>
    <w:rsid w:val="000B3FA8"/>
    <w:rsid w:val="000B5383"/>
    <w:rsid w:val="000B7904"/>
    <w:rsid w:val="000B7B22"/>
    <w:rsid w:val="000C1191"/>
    <w:rsid w:val="000C15F2"/>
    <w:rsid w:val="000C29B1"/>
    <w:rsid w:val="000C2A0E"/>
    <w:rsid w:val="000C2C14"/>
    <w:rsid w:val="000C391E"/>
    <w:rsid w:val="000C3C59"/>
    <w:rsid w:val="000C4100"/>
    <w:rsid w:val="000C5480"/>
    <w:rsid w:val="000C5E3C"/>
    <w:rsid w:val="000C622C"/>
    <w:rsid w:val="000C6E01"/>
    <w:rsid w:val="000C77EA"/>
    <w:rsid w:val="000D0C34"/>
    <w:rsid w:val="000D10A7"/>
    <w:rsid w:val="000D1E09"/>
    <w:rsid w:val="000D38CC"/>
    <w:rsid w:val="000D5D80"/>
    <w:rsid w:val="000D785E"/>
    <w:rsid w:val="000E063B"/>
    <w:rsid w:val="000E1A60"/>
    <w:rsid w:val="000E1C05"/>
    <w:rsid w:val="000E2576"/>
    <w:rsid w:val="000E460D"/>
    <w:rsid w:val="000E4B77"/>
    <w:rsid w:val="000E5A6F"/>
    <w:rsid w:val="000E5FB3"/>
    <w:rsid w:val="000E7601"/>
    <w:rsid w:val="000F1238"/>
    <w:rsid w:val="000F3520"/>
    <w:rsid w:val="000F3895"/>
    <w:rsid w:val="000F520C"/>
    <w:rsid w:val="000F5E08"/>
    <w:rsid w:val="000F6B8A"/>
    <w:rsid w:val="0010037F"/>
    <w:rsid w:val="00100548"/>
    <w:rsid w:val="00102417"/>
    <w:rsid w:val="00104203"/>
    <w:rsid w:val="00104E3E"/>
    <w:rsid w:val="00105294"/>
    <w:rsid w:val="00105C4A"/>
    <w:rsid w:val="00105DA1"/>
    <w:rsid w:val="00106A17"/>
    <w:rsid w:val="00106B6C"/>
    <w:rsid w:val="0010763F"/>
    <w:rsid w:val="00107755"/>
    <w:rsid w:val="00107C6B"/>
    <w:rsid w:val="00110D01"/>
    <w:rsid w:val="00110D1E"/>
    <w:rsid w:val="0011157B"/>
    <w:rsid w:val="001116CD"/>
    <w:rsid w:val="0011172D"/>
    <w:rsid w:val="00111C36"/>
    <w:rsid w:val="001124C5"/>
    <w:rsid w:val="001124D2"/>
    <w:rsid w:val="001156E2"/>
    <w:rsid w:val="00116AB8"/>
    <w:rsid w:val="001173E0"/>
    <w:rsid w:val="00117F57"/>
    <w:rsid w:val="00121C36"/>
    <w:rsid w:val="00122288"/>
    <w:rsid w:val="00123686"/>
    <w:rsid w:val="001238D4"/>
    <w:rsid w:val="001242C0"/>
    <w:rsid w:val="0012479F"/>
    <w:rsid w:val="001264EE"/>
    <w:rsid w:val="00126C15"/>
    <w:rsid w:val="0012732A"/>
    <w:rsid w:val="001312EA"/>
    <w:rsid w:val="001316F4"/>
    <w:rsid w:val="00133BC5"/>
    <w:rsid w:val="0013454B"/>
    <w:rsid w:val="00135290"/>
    <w:rsid w:val="00135633"/>
    <w:rsid w:val="00135906"/>
    <w:rsid w:val="00135B9F"/>
    <w:rsid w:val="00135CE5"/>
    <w:rsid w:val="00136C56"/>
    <w:rsid w:val="00137DD4"/>
    <w:rsid w:val="00141AAC"/>
    <w:rsid w:val="001421FA"/>
    <w:rsid w:val="00145C84"/>
    <w:rsid w:val="00146921"/>
    <w:rsid w:val="00146AC1"/>
    <w:rsid w:val="00150343"/>
    <w:rsid w:val="00150797"/>
    <w:rsid w:val="001513B5"/>
    <w:rsid w:val="00151CC4"/>
    <w:rsid w:val="00152081"/>
    <w:rsid w:val="001521A7"/>
    <w:rsid w:val="00152BBD"/>
    <w:rsid w:val="00153696"/>
    <w:rsid w:val="00154ACA"/>
    <w:rsid w:val="00154FBE"/>
    <w:rsid w:val="00156303"/>
    <w:rsid w:val="00161A1F"/>
    <w:rsid w:val="0016357C"/>
    <w:rsid w:val="00164BDE"/>
    <w:rsid w:val="0016548E"/>
    <w:rsid w:val="00165BD7"/>
    <w:rsid w:val="00167381"/>
    <w:rsid w:val="00172851"/>
    <w:rsid w:val="00172D40"/>
    <w:rsid w:val="0017467A"/>
    <w:rsid w:val="00174CD2"/>
    <w:rsid w:val="00175593"/>
    <w:rsid w:val="00175594"/>
    <w:rsid w:val="00175957"/>
    <w:rsid w:val="00175D13"/>
    <w:rsid w:val="001767C3"/>
    <w:rsid w:val="00177DA1"/>
    <w:rsid w:val="00180144"/>
    <w:rsid w:val="0018056B"/>
    <w:rsid w:val="00182966"/>
    <w:rsid w:val="001830F1"/>
    <w:rsid w:val="001830FF"/>
    <w:rsid w:val="00183E53"/>
    <w:rsid w:val="00184B8C"/>
    <w:rsid w:val="0018650B"/>
    <w:rsid w:val="00186E73"/>
    <w:rsid w:val="00187831"/>
    <w:rsid w:val="001900C8"/>
    <w:rsid w:val="00191692"/>
    <w:rsid w:val="0019245F"/>
    <w:rsid w:val="001954C2"/>
    <w:rsid w:val="0019590A"/>
    <w:rsid w:val="00197DB8"/>
    <w:rsid w:val="00197FA1"/>
    <w:rsid w:val="001A15BC"/>
    <w:rsid w:val="001A187B"/>
    <w:rsid w:val="001A1ABD"/>
    <w:rsid w:val="001A1F5A"/>
    <w:rsid w:val="001A281C"/>
    <w:rsid w:val="001A37EB"/>
    <w:rsid w:val="001A5708"/>
    <w:rsid w:val="001A6020"/>
    <w:rsid w:val="001A618C"/>
    <w:rsid w:val="001A73A6"/>
    <w:rsid w:val="001B61C8"/>
    <w:rsid w:val="001C4DB0"/>
    <w:rsid w:val="001C5181"/>
    <w:rsid w:val="001C5F42"/>
    <w:rsid w:val="001C666F"/>
    <w:rsid w:val="001C7096"/>
    <w:rsid w:val="001C7836"/>
    <w:rsid w:val="001D0D34"/>
    <w:rsid w:val="001D103D"/>
    <w:rsid w:val="001D10F3"/>
    <w:rsid w:val="001D3072"/>
    <w:rsid w:val="001D7375"/>
    <w:rsid w:val="001E1121"/>
    <w:rsid w:val="001E223E"/>
    <w:rsid w:val="001E3771"/>
    <w:rsid w:val="001E44B2"/>
    <w:rsid w:val="001E48D2"/>
    <w:rsid w:val="001E5E8B"/>
    <w:rsid w:val="001F0F60"/>
    <w:rsid w:val="001F1772"/>
    <w:rsid w:val="001F362D"/>
    <w:rsid w:val="001F3952"/>
    <w:rsid w:val="001F44AE"/>
    <w:rsid w:val="001F455E"/>
    <w:rsid w:val="001F4A49"/>
    <w:rsid w:val="001F51E6"/>
    <w:rsid w:val="001F557B"/>
    <w:rsid w:val="002008C9"/>
    <w:rsid w:val="00200DBA"/>
    <w:rsid w:val="00201904"/>
    <w:rsid w:val="0020392E"/>
    <w:rsid w:val="0020657A"/>
    <w:rsid w:val="00207F98"/>
    <w:rsid w:val="002112AE"/>
    <w:rsid w:val="002123C2"/>
    <w:rsid w:val="00212657"/>
    <w:rsid w:val="00212D4D"/>
    <w:rsid w:val="002138AD"/>
    <w:rsid w:val="00213ED5"/>
    <w:rsid w:val="00215F0A"/>
    <w:rsid w:val="00216B87"/>
    <w:rsid w:val="00216D51"/>
    <w:rsid w:val="00217E47"/>
    <w:rsid w:val="002205A7"/>
    <w:rsid w:val="00220777"/>
    <w:rsid w:val="0022202F"/>
    <w:rsid w:val="002249F2"/>
    <w:rsid w:val="002251FC"/>
    <w:rsid w:val="00225432"/>
    <w:rsid w:val="0022594E"/>
    <w:rsid w:val="00225E3F"/>
    <w:rsid w:val="002303B0"/>
    <w:rsid w:val="002310C1"/>
    <w:rsid w:val="00233D6A"/>
    <w:rsid w:val="00235B46"/>
    <w:rsid w:val="00236175"/>
    <w:rsid w:val="00237249"/>
    <w:rsid w:val="0023742F"/>
    <w:rsid w:val="00237533"/>
    <w:rsid w:val="00237D5A"/>
    <w:rsid w:val="00240AF7"/>
    <w:rsid w:val="00241D02"/>
    <w:rsid w:val="0024219B"/>
    <w:rsid w:val="002431B6"/>
    <w:rsid w:val="002450BE"/>
    <w:rsid w:val="00245108"/>
    <w:rsid w:val="0024654D"/>
    <w:rsid w:val="00250D17"/>
    <w:rsid w:val="00251435"/>
    <w:rsid w:val="00251A8F"/>
    <w:rsid w:val="00251D63"/>
    <w:rsid w:val="0025331C"/>
    <w:rsid w:val="002540E5"/>
    <w:rsid w:val="002549EA"/>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2C71"/>
    <w:rsid w:val="0027332B"/>
    <w:rsid w:val="002750B8"/>
    <w:rsid w:val="00276DAB"/>
    <w:rsid w:val="00277960"/>
    <w:rsid w:val="002825FC"/>
    <w:rsid w:val="00282D12"/>
    <w:rsid w:val="00282F7D"/>
    <w:rsid w:val="00283AEA"/>
    <w:rsid w:val="002845A8"/>
    <w:rsid w:val="00285BB6"/>
    <w:rsid w:val="00286194"/>
    <w:rsid w:val="00287DA8"/>
    <w:rsid w:val="00290AB1"/>
    <w:rsid w:val="00291B47"/>
    <w:rsid w:val="002930DB"/>
    <w:rsid w:val="00295DF6"/>
    <w:rsid w:val="00297989"/>
    <w:rsid w:val="00297BA3"/>
    <w:rsid w:val="002A089D"/>
    <w:rsid w:val="002A09AD"/>
    <w:rsid w:val="002A0D6A"/>
    <w:rsid w:val="002A54E6"/>
    <w:rsid w:val="002A58BF"/>
    <w:rsid w:val="002A68C7"/>
    <w:rsid w:val="002B01CA"/>
    <w:rsid w:val="002B0221"/>
    <w:rsid w:val="002B024C"/>
    <w:rsid w:val="002B0590"/>
    <w:rsid w:val="002B25C5"/>
    <w:rsid w:val="002B4607"/>
    <w:rsid w:val="002B492B"/>
    <w:rsid w:val="002B4E32"/>
    <w:rsid w:val="002B726A"/>
    <w:rsid w:val="002C06F6"/>
    <w:rsid w:val="002C06F8"/>
    <w:rsid w:val="002C17E5"/>
    <w:rsid w:val="002C38B2"/>
    <w:rsid w:val="002C3FB1"/>
    <w:rsid w:val="002C49E7"/>
    <w:rsid w:val="002C56E0"/>
    <w:rsid w:val="002C654B"/>
    <w:rsid w:val="002C66F6"/>
    <w:rsid w:val="002D408E"/>
    <w:rsid w:val="002D47C0"/>
    <w:rsid w:val="002D4BCF"/>
    <w:rsid w:val="002D4FC1"/>
    <w:rsid w:val="002D57E0"/>
    <w:rsid w:val="002D5B6B"/>
    <w:rsid w:val="002D621D"/>
    <w:rsid w:val="002E293B"/>
    <w:rsid w:val="002E3AA0"/>
    <w:rsid w:val="002E42E8"/>
    <w:rsid w:val="002E492F"/>
    <w:rsid w:val="002E5681"/>
    <w:rsid w:val="002E5DCE"/>
    <w:rsid w:val="002E5EB1"/>
    <w:rsid w:val="002E78E3"/>
    <w:rsid w:val="002E7E04"/>
    <w:rsid w:val="002F01E3"/>
    <w:rsid w:val="002F0261"/>
    <w:rsid w:val="002F14B0"/>
    <w:rsid w:val="002F2134"/>
    <w:rsid w:val="002F4386"/>
    <w:rsid w:val="002F495E"/>
    <w:rsid w:val="002F4A7B"/>
    <w:rsid w:val="002F5BD9"/>
    <w:rsid w:val="002F6431"/>
    <w:rsid w:val="002F652C"/>
    <w:rsid w:val="002F70A5"/>
    <w:rsid w:val="0030013F"/>
    <w:rsid w:val="00300E24"/>
    <w:rsid w:val="003014B0"/>
    <w:rsid w:val="00302C69"/>
    <w:rsid w:val="0030333C"/>
    <w:rsid w:val="00304EF7"/>
    <w:rsid w:val="00306427"/>
    <w:rsid w:val="00306B9B"/>
    <w:rsid w:val="003076EF"/>
    <w:rsid w:val="00310C4F"/>
    <w:rsid w:val="00311440"/>
    <w:rsid w:val="0031331A"/>
    <w:rsid w:val="0031476C"/>
    <w:rsid w:val="003147AF"/>
    <w:rsid w:val="00314D22"/>
    <w:rsid w:val="00315FBD"/>
    <w:rsid w:val="003163C1"/>
    <w:rsid w:val="003168A4"/>
    <w:rsid w:val="00321EA9"/>
    <w:rsid w:val="00322E85"/>
    <w:rsid w:val="00325DE0"/>
    <w:rsid w:val="003278C3"/>
    <w:rsid w:val="00327F33"/>
    <w:rsid w:val="003302C6"/>
    <w:rsid w:val="00330A33"/>
    <w:rsid w:val="00331F5C"/>
    <w:rsid w:val="003322D6"/>
    <w:rsid w:val="00332513"/>
    <w:rsid w:val="00336605"/>
    <w:rsid w:val="00337028"/>
    <w:rsid w:val="003377CF"/>
    <w:rsid w:val="00340106"/>
    <w:rsid w:val="003431D6"/>
    <w:rsid w:val="003451E2"/>
    <w:rsid w:val="00347C8A"/>
    <w:rsid w:val="0035042C"/>
    <w:rsid w:val="00350A1D"/>
    <w:rsid w:val="0035114B"/>
    <w:rsid w:val="003513DC"/>
    <w:rsid w:val="0035242A"/>
    <w:rsid w:val="00352CE8"/>
    <w:rsid w:val="00352FA6"/>
    <w:rsid w:val="00355E5E"/>
    <w:rsid w:val="003562E1"/>
    <w:rsid w:val="0035632E"/>
    <w:rsid w:val="0036288B"/>
    <w:rsid w:val="00363689"/>
    <w:rsid w:val="00363840"/>
    <w:rsid w:val="003638B4"/>
    <w:rsid w:val="0036399C"/>
    <w:rsid w:val="00363D8A"/>
    <w:rsid w:val="00364FEF"/>
    <w:rsid w:val="00365E95"/>
    <w:rsid w:val="00367A96"/>
    <w:rsid w:val="003733FB"/>
    <w:rsid w:val="003744A2"/>
    <w:rsid w:val="00377523"/>
    <w:rsid w:val="003779F9"/>
    <w:rsid w:val="00377B48"/>
    <w:rsid w:val="00380900"/>
    <w:rsid w:val="00381B96"/>
    <w:rsid w:val="0038450D"/>
    <w:rsid w:val="003870E8"/>
    <w:rsid w:val="0038732D"/>
    <w:rsid w:val="00391B79"/>
    <w:rsid w:val="003921AD"/>
    <w:rsid w:val="003927E4"/>
    <w:rsid w:val="00393217"/>
    <w:rsid w:val="00393C49"/>
    <w:rsid w:val="00394430"/>
    <w:rsid w:val="00397013"/>
    <w:rsid w:val="003A003F"/>
    <w:rsid w:val="003A0AD7"/>
    <w:rsid w:val="003A1DC2"/>
    <w:rsid w:val="003A2169"/>
    <w:rsid w:val="003A464B"/>
    <w:rsid w:val="003A63B4"/>
    <w:rsid w:val="003B073C"/>
    <w:rsid w:val="003B0898"/>
    <w:rsid w:val="003B1BCA"/>
    <w:rsid w:val="003B1D9C"/>
    <w:rsid w:val="003B21A0"/>
    <w:rsid w:val="003B42D2"/>
    <w:rsid w:val="003B5B35"/>
    <w:rsid w:val="003B5EA2"/>
    <w:rsid w:val="003B5FAE"/>
    <w:rsid w:val="003B6F38"/>
    <w:rsid w:val="003C09CE"/>
    <w:rsid w:val="003C21A9"/>
    <w:rsid w:val="003C2F72"/>
    <w:rsid w:val="003C380D"/>
    <w:rsid w:val="003C3939"/>
    <w:rsid w:val="003C3C88"/>
    <w:rsid w:val="003C4588"/>
    <w:rsid w:val="003C57C3"/>
    <w:rsid w:val="003C71FF"/>
    <w:rsid w:val="003D3F7F"/>
    <w:rsid w:val="003D4950"/>
    <w:rsid w:val="003D4E8F"/>
    <w:rsid w:val="003D6B1A"/>
    <w:rsid w:val="003D7FD8"/>
    <w:rsid w:val="003E0AF1"/>
    <w:rsid w:val="003E2391"/>
    <w:rsid w:val="003E267E"/>
    <w:rsid w:val="003E2696"/>
    <w:rsid w:val="003E338A"/>
    <w:rsid w:val="003E3820"/>
    <w:rsid w:val="003E5E6C"/>
    <w:rsid w:val="003F23E8"/>
    <w:rsid w:val="003F2F62"/>
    <w:rsid w:val="003F411E"/>
    <w:rsid w:val="003F469C"/>
    <w:rsid w:val="003F5152"/>
    <w:rsid w:val="003F7789"/>
    <w:rsid w:val="003F7BA5"/>
    <w:rsid w:val="00401294"/>
    <w:rsid w:val="00401DA7"/>
    <w:rsid w:val="0040204B"/>
    <w:rsid w:val="00402D33"/>
    <w:rsid w:val="00403633"/>
    <w:rsid w:val="00405794"/>
    <w:rsid w:val="00406643"/>
    <w:rsid w:val="00410B08"/>
    <w:rsid w:val="00411465"/>
    <w:rsid w:val="00411766"/>
    <w:rsid w:val="00411E1B"/>
    <w:rsid w:val="00412D53"/>
    <w:rsid w:val="00413421"/>
    <w:rsid w:val="00413625"/>
    <w:rsid w:val="00413E94"/>
    <w:rsid w:val="00414DE9"/>
    <w:rsid w:val="00420093"/>
    <w:rsid w:val="00422CDC"/>
    <w:rsid w:val="00424081"/>
    <w:rsid w:val="00424476"/>
    <w:rsid w:val="004247B4"/>
    <w:rsid w:val="0042506F"/>
    <w:rsid w:val="00425180"/>
    <w:rsid w:val="00425722"/>
    <w:rsid w:val="0042574E"/>
    <w:rsid w:val="00425F8C"/>
    <w:rsid w:val="004332BF"/>
    <w:rsid w:val="00434959"/>
    <w:rsid w:val="00434B44"/>
    <w:rsid w:val="0043639C"/>
    <w:rsid w:val="00437030"/>
    <w:rsid w:val="004403DA"/>
    <w:rsid w:val="00441D75"/>
    <w:rsid w:val="00442344"/>
    <w:rsid w:val="00442FBE"/>
    <w:rsid w:val="0044368C"/>
    <w:rsid w:val="00444DC6"/>
    <w:rsid w:val="0044540E"/>
    <w:rsid w:val="00445A7E"/>
    <w:rsid w:val="00445B91"/>
    <w:rsid w:val="00445FFB"/>
    <w:rsid w:val="0044682F"/>
    <w:rsid w:val="0044795B"/>
    <w:rsid w:val="0045040B"/>
    <w:rsid w:val="004519F7"/>
    <w:rsid w:val="004521B7"/>
    <w:rsid w:val="00452E33"/>
    <w:rsid w:val="00453428"/>
    <w:rsid w:val="00453CB5"/>
    <w:rsid w:val="00453DC7"/>
    <w:rsid w:val="004546D9"/>
    <w:rsid w:val="00454DD8"/>
    <w:rsid w:val="00457130"/>
    <w:rsid w:val="00457553"/>
    <w:rsid w:val="004575C2"/>
    <w:rsid w:val="00457EE6"/>
    <w:rsid w:val="00462546"/>
    <w:rsid w:val="00462F30"/>
    <w:rsid w:val="00463922"/>
    <w:rsid w:val="00463FBC"/>
    <w:rsid w:val="004669CD"/>
    <w:rsid w:val="00472D92"/>
    <w:rsid w:val="00473ED7"/>
    <w:rsid w:val="004765DD"/>
    <w:rsid w:val="004767AE"/>
    <w:rsid w:val="004770AC"/>
    <w:rsid w:val="00480100"/>
    <w:rsid w:val="00484276"/>
    <w:rsid w:val="00485B3A"/>
    <w:rsid w:val="004864FC"/>
    <w:rsid w:val="00486A37"/>
    <w:rsid w:val="0049035F"/>
    <w:rsid w:val="004A112E"/>
    <w:rsid w:val="004A1C64"/>
    <w:rsid w:val="004A2C8F"/>
    <w:rsid w:val="004A3406"/>
    <w:rsid w:val="004A642E"/>
    <w:rsid w:val="004A7830"/>
    <w:rsid w:val="004B1E94"/>
    <w:rsid w:val="004B32C8"/>
    <w:rsid w:val="004B3B85"/>
    <w:rsid w:val="004B6606"/>
    <w:rsid w:val="004B700B"/>
    <w:rsid w:val="004C0364"/>
    <w:rsid w:val="004C04BB"/>
    <w:rsid w:val="004C2E9E"/>
    <w:rsid w:val="004C3219"/>
    <w:rsid w:val="004C3FC4"/>
    <w:rsid w:val="004C4CEB"/>
    <w:rsid w:val="004C5114"/>
    <w:rsid w:val="004C5919"/>
    <w:rsid w:val="004C6642"/>
    <w:rsid w:val="004D0430"/>
    <w:rsid w:val="004D0813"/>
    <w:rsid w:val="004D0A97"/>
    <w:rsid w:val="004D0BBD"/>
    <w:rsid w:val="004D1905"/>
    <w:rsid w:val="004D5446"/>
    <w:rsid w:val="004E0344"/>
    <w:rsid w:val="004E0D8C"/>
    <w:rsid w:val="004E1E8E"/>
    <w:rsid w:val="004E24BA"/>
    <w:rsid w:val="004E3065"/>
    <w:rsid w:val="004E3528"/>
    <w:rsid w:val="004E6403"/>
    <w:rsid w:val="004E6423"/>
    <w:rsid w:val="004E7644"/>
    <w:rsid w:val="004E795F"/>
    <w:rsid w:val="004E7BF8"/>
    <w:rsid w:val="004F05D4"/>
    <w:rsid w:val="004F386D"/>
    <w:rsid w:val="004F3C6F"/>
    <w:rsid w:val="004F3D41"/>
    <w:rsid w:val="004F5392"/>
    <w:rsid w:val="004F6049"/>
    <w:rsid w:val="004F654C"/>
    <w:rsid w:val="004F7662"/>
    <w:rsid w:val="00500B61"/>
    <w:rsid w:val="0050194C"/>
    <w:rsid w:val="005019CC"/>
    <w:rsid w:val="00501AC2"/>
    <w:rsid w:val="005027B5"/>
    <w:rsid w:val="00504A96"/>
    <w:rsid w:val="00504CA6"/>
    <w:rsid w:val="00505DD0"/>
    <w:rsid w:val="00505E62"/>
    <w:rsid w:val="0050756A"/>
    <w:rsid w:val="00511E11"/>
    <w:rsid w:val="00512B2F"/>
    <w:rsid w:val="005146CD"/>
    <w:rsid w:val="00514929"/>
    <w:rsid w:val="0051737F"/>
    <w:rsid w:val="00520187"/>
    <w:rsid w:val="00520398"/>
    <w:rsid w:val="00522287"/>
    <w:rsid w:val="005226E0"/>
    <w:rsid w:val="00523F53"/>
    <w:rsid w:val="005240F4"/>
    <w:rsid w:val="0052417C"/>
    <w:rsid w:val="00524E14"/>
    <w:rsid w:val="00525088"/>
    <w:rsid w:val="0052557F"/>
    <w:rsid w:val="00527E34"/>
    <w:rsid w:val="00531DA4"/>
    <w:rsid w:val="00533EAC"/>
    <w:rsid w:val="00534BC8"/>
    <w:rsid w:val="00534F18"/>
    <w:rsid w:val="00535148"/>
    <w:rsid w:val="00535DA7"/>
    <w:rsid w:val="00536DB4"/>
    <w:rsid w:val="00536DDD"/>
    <w:rsid w:val="0053745B"/>
    <w:rsid w:val="00540733"/>
    <w:rsid w:val="00543294"/>
    <w:rsid w:val="00543CE2"/>
    <w:rsid w:val="00544025"/>
    <w:rsid w:val="0054504C"/>
    <w:rsid w:val="00546485"/>
    <w:rsid w:val="00546AE4"/>
    <w:rsid w:val="00551040"/>
    <w:rsid w:val="00551B71"/>
    <w:rsid w:val="0055264C"/>
    <w:rsid w:val="005531F2"/>
    <w:rsid w:val="00553562"/>
    <w:rsid w:val="00553EA0"/>
    <w:rsid w:val="0055460C"/>
    <w:rsid w:val="00556B1C"/>
    <w:rsid w:val="00556F6F"/>
    <w:rsid w:val="00557A68"/>
    <w:rsid w:val="00561608"/>
    <w:rsid w:val="005624DB"/>
    <w:rsid w:val="00562722"/>
    <w:rsid w:val="00563D8A"/>
    <w:rsid w:val="005661E9"/>
    <w:rsid w:val="00567E13"/>
    <w:rsid w:val="005701AA"/>
    <w:rsid w:val="00570517"/>
    <w:rsid w:val="00570EE3"/>
    <w:rsid w:val="005715EF"/>
    <w:rsid w:val="00571FC8"/>
    <w:rsid w:val="00573AF6"/>
    <w:rsid w:val="00573BF3"/>
    <w:rsid w:val="00574F4B"/>
    <w:rsid w:val="005758B1"/>
    <w:rsid w:val="00576695"/>
    <w:rsid w:val="00576A72"/>
    <w:rsid w:val="00577CED"/>
    <w:rsid w:val="00581385"/>
    <w:rsid w:val="00582A03"/>
    <w:rsid w:val="00583AAD"/>
    <w:rsid w:val="0058489A"/>
    <w:rsid w:val="00584D56"/>
    <w:rsid w:val="0058632F"/>
    <w:rsid w:val="0058639A"/>
    <w:rsid w:val="00586C00"/>
    <w:rsid w:val="00586E97"/>
    <w:rsid w:val="00587B99"/>
    <w:rsid w:val="00591261"/>
    <w:rsid w:val="00591580"/>
    <w:rsid w:val="0059160B"/>
    <w:rsid w:val="0059210D"/>
    <w:rsid w:val="00592159"/>
    <w:rsid w:val="00593D20"/>
    <w:rsid w:val="005949D3"/>
    <w:rsid w:val="00594FF6"/>
    <w:rsid w:val="005961FD"/>
    <w:rsid w:val="00596AA0"/>
    <w:rsid w:val="0059783C"/>
    <w:rsid w:val="00597EF8"/>
    <w:rsid w:val="005A185C"/>
    <w:rsid w:val="005A2ACA"/>
    <w:rsid w:val="005A4A3A"/>
    <w:rsid w:val="005A4E4D"/>
    <w:rsid w:val="005A55AE"/>
    <w:rsid w:val="005A58BB"/>
    <w:rsid w:val="005A6E32"/>
    <w:rsid w:val="005A70A4"/>
    <w:rsid w:val="005A7103"/>
    <w:rsid w:val="005A755A"/>
    <w:rsid w:val="005A7B30"/>
    <w:rsid w:val="005B0CBD"/>
    <w:rsid w:val="005B19D5"/>
    <w:rsid w:val="005B2094"/>
    <w:rsid w:val="005B26B2"/>
    <w:rsid w:val="005B3C76"/>
    <w:rsid w:val="005B3DC9"/>
    <w:rsid w:val="005B4147"/>
    <w:rsid w:val="005B5A73"/>
    <w:rsid w:val="005B643A"/>
    <w:rsid w:val="005B77B2"/>
    <w:rsid w:val="005C638C"/>
    <w:rsid w:val="005C68A2"/>
    <w:rsid w:val="005D4C25"/>
    <w:rsid w:val="005E02B0"/>
    <w:rsid w:val="005E02F3"/>
    <w:rsid w:val="005E1878"/>
    <w:rsid w:val="005E1D11"/>
    <w:rsid w:val="005E1DC1"/>
    <w:rsid w:val="005E2628"/>
    <w:rsid w:val="005E2DC1"/>
    <w:rsid w:val="005E32D7"/>
    <w:rsid w:val="005E396F"/>
    <w:rsid w:val="005E4349"/>
    <w:rsid w:val="005F0152"/>
    <w:rsid w:val="005F04E6"/>
    <w:rsid w:val="005F10FD"/>
    <w:rsid w:val="005F152E"/>
    <w:rsid w:val="005F17D5"/>
    <w:rsid w:val="005F3C95"/>
    <w:rsid w:val="005F5044"/>
    <w:rsid w:val="005F62EE"/>
    <w:rsid w:val="006006A1"/>
    <w:rsid w:val="0060123E"/>
    <w:rsid w:val="00601AEA"/>
    <w:rsid w:val="00601D8F"/>
    <w:rsid w:val="00601F69"/>
    <w:rsid w:val="00602212"/>
    <w:rsid w:val="00602B3C"/>
    <w:rsid w:val="006036A7"/>
    <w:rsid w:val="00604D4F"/>
    <w:rsid w:val="00604F55"/>
    <w:rsid w:val="0060541A"/>
    <w:rsid w:val="00607E69"/>
    <w:rsid w:val="00610EA4"/>
    <w:rsid w:val="00615756"/>
    <w:rsid w:val="006167A8"/>
    <w:rsid w:val="006209FF"/>
    <w:rsid w:val="00620EB7"/>
    <w:rsid w:val="00621671"/>
    <w:rsid w:val="00625E69"/>
    <w:rsid w:val="006264C9"/>
    <w:rsid w:val="006274D2"/>
    <w:rsid w:val="00627F2A"/>
    <w:rsid w:val="00630C95"/>
    <w:rsid w:val="00631517"/>
    <w:rsid w:val="00632CB2"/>
    <w:rsid w:val="006331BE"/>
    <w:rsid w:val="00633D29"/>
    <w:rsid w:val="0063569E"/>
    <w:rsid w:val="00636815"/>
    <w:rsid w:val="0063741F"/>
    <w:rsid w:val="00637587"/>
    <w:rsid w:val="006375CF"/>
    <w:rsid w:val="00637CB4"/>
    <w:rsid w:val="00644A64"/>
    <w:rsid w:val="00646E00"/>
    <w:rsid w:val="006503BA"/>
    <w:rsid w:val="00650A42"/>
    <w:rsid w:val="00651604"/>
    <w:rsid w:val="006519BC"/>
    <w:rsid w:val="00654C5F"/>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4B59"/>
    <w:rsid w:val="00675BCA"/>
    <w:rsid w:val="00675E37"/>
    <w:rsid w:val="006773B3"/>
    <w:rsid w:val="006774D6"/>
    <w:rsid w:val="0068077D"/>
    <w:rsid w:val="00680DF6"/>
    <w:rsid w:val="00682889"/>
    <w:rsid w:val="00682949"/>
    <w:rsid w:val="00683823"/>
    <w:rsid w:val="0068461E"/>
    <w:rsid w:val="00684914"/>
    <w:rsid w:val="00684DEE"/>
    <w:rsid w:val="00684FC2"/>
    <w:rsid w:val="00685F33"/>
    <w:rsid w:val="006863C2"/>
    <w:rsid w:val="00687997"/>
    <w:rsid w:val="0069169C"/>
    <w:rsid w:val="006936D4"/>
    <w:rsid w:val="00694B3E"/>
    <w:rsid w:val="00694DEF"/>
    <w:rsid w:val="0069688A"/>
    <w:rsid w:val="00697304"/>
    <w:rsid w:val="0069787E"/>
    <w:rsid w:val="006A0CAF"/>
    <w:rsid w:val="006A0F83"/>
    <w:rsid w:val="006A3054"/>
    <w:rsid w:val="006A3521"/>
    <w:rsid w:val="006A3BF4"/>
    <w:rsid w:val="006A490C"/>
    <w:rsid w:val="006A4B12"/>
    <w:rsid w:val="006A4D29"/>
    <w:rsid w:val="006A528C"/>
    <w:rsid w:val="006A674B"/>
    <w:rsid w:val="006A6B6A"/>
    <w:rsid w:val="006B4809"/>
    <w:rsid w:val="006B4D58"/>
    <w:rsid w:val="006B4EF1"/>
    <w:rsid w:val="006B531B"/>
    <w:rsid w:val="006B60CD"/>
    <w:rsid w:val="006B63AE"/>
    <w:rsid w:val="006B6E30"/>
    <w:rsid w:val="006B7417"/>
    <w:rsid w:val="006C02EB"/>
    <w:rsid w:val="006C0C54"/>
    <w:rsid w:val="006C2A4C"/>
    <w:rsid w:val="006C2A96"/>
    <w:rsid w:val="006C362F"/>
    <w:rsid w:val="006C4045"/>
    <w:rsid w:val="006C44D0"/>
    <w:rsid w:val="006C6251"/>
    <w:rsid w:val="006C67F3"/>
    <w:rsid w:val="006C6AB9"/>
    <w:rsid w:val="006D2E24"/>
    <w:rsid w:val="006D3659"/>
    <w:rsid w:val="006D3F58"/>
    <w:rsid w:val="006D6264"/>
    <w:rsid w:val="006D7F81"/>
    <w:rsid w:val="006E13ED"/>
    <w:rsid w:val="006E1491"/>
    <w:rsid w:val="006E25B0"/>
    <w:rsid w:val="006E3F8F"/>
    <w:rsid w:val="006E48D6"/>
    <w:rsid w:val="006E5377"/>
    <w:rsid w:val="006E565A"/>
    <w:rsid w:val="006E7AE7"/>
    <w:rsid w:val="006F0A46"/>
    <w:rsid w:val="006F1430"/>
    <w:rsid w:val="006F1E4A"/>
    <w:rsid w:val="006F4819"/>
    <w:rsid w:val="006F6013"/>
    <w:rsid w:val="006F6A75"/>
    <w:rsid w:val="006F72A6"/>
    <w:rsid w:val="006F764B"/>
    <w:rsid w:val="007004CC"/>
    <w:rsid w:val="00701088"/>
    <w:rsid w:val="00701379"/>
    <w:rsid w:val="00701862"/>
    <w:rsid w:val="0070220A"/>
    <w:rsid w:val="00703915"/>
    <w:rsid w:val="00703E8B"/>
    <w:rsid w:val="007043EF"/>
    <w:rsid w:val="00705EDC"/>
    <w:rsid w:val="00705FCA"/>
    <w:rsid w:val="00706F77"/>
    <w:rsid w:val="00706FEF"/>
    <w:rsid w:val="0070777E"/>
    <w:rsid w:val="00715F2E"/>
    <w:rsid w:val="00716DC3"/>
    <w:rsid w:val="00717032"/>
    <w:rsid w:val="0071736D"/>
    <w:rsid w:val="0072272D"/>
    <w:rsid w:val="00722893"/>
    <w:rsid w:val="00724219"/>
    <w:rsid w:val="00724699"/>
    <w:rsid w:val="007261E6"/>
    <w:rsid w:val="00726341"/>
    <w:rsid w:val="007269A1"/>
    <w:rsid w:val="00730312"/>
    <w:rsid w:val="007307B8"/>
    <w:rsid w:val="0073087F"/>
    <w:rsid w:val="00734016"/>
    <w:rsid w:val="0073433A"/>
    <w:rsid w:val="00734F45"/>
    <w:rsid w:val="00735CCB"/>
    <w:rsid w:val="00736A29"/>
    <w:rsid w:val="007420ED"/>
    <w:rsid w:val="00743112"/>
    <w:rsid w:val="007506F8"/>
    <w:rsid w:val="00750A92"/>
    <w:rsid w:val="00750BBC"/>
    <w:rsid w:val="0075104C"/>
    <w:rsid w:val="0075127F"/>
    <w:rsid w:val="00751DC2"/>
    <w:rsid w:val="00754784"/>
    <w:rsid w:val="007548A3"/>
    <w:rsid w:val="0075530E"/>
    <w:rsid w:val="00756F57"/>
    <w:rsid w:val="0076046E"/>
    <w:rsid w:val="007609DD"/>
    <w:rsid w:val="007612FA"/>
    <w:rsid w:val="00761773"/>
    <w:rsid w:val="007635F2"/>
    <w:rsid w:val="007646EA"/>
    <w:rsid w:val="007647B0"/>
    <w:rsid w:val="00765D80"/>
    <w:rsid w:val="007665C5"/>
    <w:rsid w:val="00766C1C"/>
    <w:rsid w:val="00767B30"/>
    <w:rsid w:val="007704FE"/>
    <w:rsid w:val="00771613"/>
    <w:rsid w:val="00775ECB"/>
    <w:rsid w:val="00777425"/>
    <w:rsid w:val="00781042"/>
    <w:rsid w:val="007812FB"/>
    <w:rsid w:val="0078226D"/>
    <w:rsid w:val="00783EE7"/>
    <w:rsid w:val="00783F0C"/>
    <w:rsid w:val="00785078"/>
    <w:rsid w:val="007854ED"/>
    <w:rsid w:val="00786321"/>
    <w:rsid w:val="00786B2B"/>
    <w:rsid w:val="00790BC1"/>
    <w:rsid w:val="00790E59"/>
    <w:rsid w:val="00791D80"/>
    <w:rsid w:val="007928D2"/>
    <w:rsid w:val="00794579"/>
    <w:rsid w:val="00794BFC"/>
    <w:rsid w:val="0079566F"/>
    <w:rsid w:val="007956AF"/>
    <w:rsid w:val="00796168"/>
    <w:rsid w:val="00797049"/>
    <w:rsid w:val="007A2315"/>
    <w:rsid w:val="007A34E8"/>
    <w:rsid w:val="007A3EA3"/>
    <w:rsid w:val="007A5403"/>
    <w:rsid w:val="007B02C6"/>
    <w:rsid w:val="007B0AE5"/>
    <w:rsid w:val="007B29BF"/>
    <w:rsid w:val="007B34D8"/>
    <w:rsid w:val="007B405B"/>
    <w:rsid w:val="007B4951"/>
    <w:rsid w:val="007B51F9"/>
    <w:rsid w:val="007B5FDD"/>
    <w:rsid w:val="007B67A0"/>
    <w:rsid w:val="007B7156"/>
    <w:rsid w:val="007C0D14"/>
    <w:rsid w:val="007C128B"/>
    <w:rsid w:val="007C1449"/>
    <w:rsid w:val="007C14DA"/>
    <w:rsid w:val="007C16A8"/>
    <w:rsid w:val="007C28A2"/>
    <w:rsid w:val="007C29FC"/>
    <w:rsid w:val="007C2BD2"/>
    <w:rsid w:val="007C3CD3"/>
    <w:rsid w:val="007C40F9"/>
    <w:rsid w:val="007C45F7"/>
    <w:rsid w:val="007C48D6"/>
    <w:rsid w:val="007C7D42"/>
    <w:rsid w:val="007D03A5"/>
    <w:rsid w:val="007D03F7"/>
    <w:rsid w:val="007D1CEC"/>
    <w:rsid w:val="007D3115"/>
    <w:rsid w:val="007D43C1"/>
    <w:rsid w:val="007D48D6"/>
    <w:rsid w:val="007D4A7A"/>
    <w:rsid w:val="007D54F7"/>
    <w:rsid w:val="007E1637"/>
    <w:rsid w:val="007E1C82"/>
    <w:rsid w:val="007E4410"/>
    <w:rsid w:val="007E503B"/>
    <w:rsid w:val="007E5FB8"/>
    <w:rsid w:val="007E762C"/>
    <w:rsid w:val="007E7FAE"/>
    <w:rsid w:val="007F00FE"/>
    <w:rsid w:val="007F0F64"/>
    <w:rsid w:val="007F14CC"/>
    <w:rsid w:val="007F3C57"/>
    <w:rsid w:val="007F4A39"/>
    <w:rsid w:val="007F4E6A"/>
    <w:rsid w:val="007F4F8F"/>
    <w:rsid w:val="007F545F"/>
    <w:rsid w:val="007F61E8"/>
    <w:rsid w:val="007F656C"/>
    <w:rsid w:val="007F69C1"/>
    <w:rsid w:val="007F6C0C"/>
    <w:rsid w:val="007F7956"/>
    <w:rsid w:val="00800B43"/>
    <w:rsid w:val="00801FF9"/>
    <w:rsid w:val="008024D8"/>
    <w:rsid w:val="00802E20"/>
    <w:rsid w:val="00803FA1"/>
    <w:rsid w:val="00804792"/>
    <w:rsid w:val="008063F7"/>
    <w:rsid w:val="00806787"/>
    <w:rsid w:val="00806F39"/>
    <w:rsid w:val="00807CC3"/>
    <w:rsid w:val="00811274"/>
    <w:rsid w:val="00811BEA"/>
    <w:rsid w:val="00812EC9"/>
    <w:rsid w:val="008147A9"/>
    <w:rsid w:val="00816CFA"/>
    <w:rsid w:val="00816F46"/>
    <w:rsid w:val="00820AE9"/>
    <w:rsid w:val="00822CCF"/>
    <w:rsid w:val="00823C18"/>
    <w:rsid w:val="00824552"/>
    <w:rsid w:val="00825653"/>
    <w:rsid w:val="00826113"/>
    <w:rsid w:val="008274A7"/>
    <w:rsid w:val="00827E07"/>
    <w:rsid w:val="008310BC"/>
    <w:rsid w:val="008311FA"/>
    <w:rsid w:val="008325AE"/>
    <w:rsid w:val="00833627"/>
    <w:rsid w:val="00833A68"/>
    <w:rsid w:val="00833B5D"/>
    <w:rsid w:val="00834494"/>
    <w:rsid w:val="0083586E"/>
    <w:rsid w:val="008363D7"/>
    <w:rsid w:val="00840767"/>
    <w:rsid w:val="00841540"/>
    <w:rsid w:val="00842BAB"/>
    <w:rsid w:val="00843219"/>
    <w:rsid w:val="00843C0C"/>
    <w:rsid w:val="00844174"/>
    <w:rsid w:val="00845061"/>
    <w:rsid w:val="00846DBE"/>
    <w:rsid w:val="00846F14"/>
    <w:rsid w:val="00847D89"/>
    <w:rsid w:val="008503DF"/>
    <w:rsid w:val="00851283"/>
    <w:rsid w:val="00853F62"/>
    <w:rsid w:val="0085459D"/>
    <w:rsid w:val="00854A0C"/>
    <w:rsid w:val="008553D6"/>
    <w:rsid w:val="00855731"/>
    <w:rsid w:val="008564F1"/>
    <w:rsid w:val="0086053D"/>
    <w:rsid w:val="00860832"/>
    <w:rsid w:val="008619A2"/>
    <w:rsid w:val="00861CF4"/>
    <w:rsid w:val="00861D0A"/>
    <w:rsid w:val="008628EF"/>
    <w:rsid w:val="00862E74"/>
    <w:rsid w:val="008630F6"/>
    <w:rsid w:val="00863296"/>
    <w:rsid w:val="00863A53"/>
    <w:rsid w:val="008647A6"/>
    <w:rsid w:val="00864A15"/>
    <w:rsid w:val="00865EBC"/>
    <w:rsid w:val="00866898"/>
    <w:rsid w:val="00870D65"/>
    <w:rsid w:val="00871EBF"/>
    <w:rsid w:val="00872653"/>
    <w:rsid w:val="0087330C"/>
    <w:rsid w:val="008745CF"/>
    <w:rsid w:val="0087550F"/>
    <w:rsid w:val="00875AAE"/>
    <w:rsid w:val="008770AC"/>
    <w:rsid w:val="00881D4E"/>
    <w:rsid w:val="00882942"/>
    <w:rsid w:val="008848B3"/>
    <w:rsid w:val="008852C8"/>
    <w:rsid w:val="00886BE0"/>
    <w:rsid w:val="00886EA3"/>
    <w:rsid w:val="008875E3"/>
    <w:rsid w:val="00887879"/>
    <w:rsid w:val="0089056A"/>
    <w:rsid w:val="00891359"/>
    <w:rsid w:val="00893150"/>
    <w:rsid w:val="00895567"/>
    <w:rsid w:val="008959AD"/>
    <w:rsid w:val="00896411"/>
    <w:rsid w:val="008966DB"/>
    <w:rsid w:val="0089786E"/>
    <w:rsid w:val="00897931"/>
    <w:rsid w:val="008A1C96"/>
    <w:rsid w:val="008A48E4"/>
    <w:rsid w:val="008A659E"/>
    <w:rsid w:val="008A7CCE"/>
    <w:rsid w:val="008B082B"/>
    <w:rsid w:val="008B2359"/>
    <w:rsid w:val="008B2EF2"/>
    <w:rsid w:val="008B448E"/>
    <w:rsid w:val="008B4E66"/>
    <w:rsid w:val="008C14F7"/>
    <w:rsid w:val="008C2C77"/>
    <w:rsid w:val="008C2CD9"/>
    <w:rsid w:val="008C32C9"/>
    <w:rsid w:val="008C3A17"/>
    <w:rsid w:val="008C6C9B"/>
    <w:rsid w:val="008D022D"/>
    <w:rsid w:val="008D24F7"/>
    <w:rsid w:val="008D33EB"/>
    <w:rsid w:val="008D4C6F"/>
    <w:rsid w:val="008D5004"/>
    <w:rsid w:val="008D508C"/>
    <w:rsid w:val="008D6AA7"/>
    <w:rsid w:val="008D7091"/>
    <w:rsid w:val="008E07C8"/>
    <w:rsid w:val="008E3097"/>
    <w:rsid w:val="008E30A7"/>
    <w:rsid w:val="008E3157"/>
    <w:rsid w:val="008E42EB"/>
    <w:rsid w:val="008E61A9"/>
    <w:rsid w:val="008F2B56"/>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9E1"/>
    <w:rsid w:val="00910C1C"/>
    <w:rsid w:val="00912945"/>
    <w:rsid w:val="009140CE"/>
    <w:rsid w:val="00920D0E"/>
    <w:rsid w:val="009213DD"/>
    <w:rsid w:val="00922880"/>
    <w:rsid w:val="00922CC3"/>
    <w:rsid w:val="00923216"/>
    <w:rsid w:val="009237D3"/>
    <w:rsid w:val="00924089"/>
    <w:rsid w:val="009246B2"/>
    <w:rsid w:val="0092582D"/>
    <w:rsid w:val="009268D8"/>
    <w:rsid w:val="009275C2"/>
    <w:rsid w:val="00930332"/>
    <w:rsid w:val="0093084C"/>
    <w:rsid w:val="00930D88"/>
    <w:rsid w:val="00931659"/>
    <w:rsid w:val="00932558"/>
    <w:rsid w:val="00933A1F"/>
    <w:rsid w:val="00933FC4"/>
    <w:rsid w:val="00934E13"/>
    <w:rsid w:val="00934F77"/>
    <w:rsid w:val="00935C7D"/>
    <w:rsid w:val="00937FCA"/>
    <w:rsid w:val="0094062C"/>
    <w:rsid w:val="00940997"/>
    <w:rsid w:val="00941043"/>
    <w:rsid w:val="009413BC"/>
    <w:rsid w:val="009435DE"/>
    <w:rsid w:val="00943DFC"/>
    <w:rsid w:val="00945558"/>
    <w:rsid w:val="00945996"/>
    <w:rsid w:val="00945AE3"/>
    <w:rsid w:val="009461BB"/>
    <w:rsid w:val="00947847"/>
    <w:rsid w:val="00947C3E"/>
    <w:rsid w:val="0095072C"/>
    <w:rsid w:val="00950830"/>
    <w:rsid w:val="0095086F"/>
    <w:rsid w:val="0095170C"/>
    <w:rsid w:val="00952FD0"/>
    <w:rsid w:val="00953688"/>
    <w:rsid w:val="009541DB"/>
    <w:rsid w:val="009577FC"/>
    <w:rsid w:val="00957FB3"/>
    <w:rsid w:val="00961375"/>
    <w:rsid w:val="0096210A"/>
    <w:rsid w:val="00962C2E"/>
    <w:rsid w:val="00963279"/>
    <w:rsid w:val="009658B3"/>
    <w:rsid w:val="00967C8D"/>
    <w:rsid w:val="00970279"/>
    <w:rsid w:val="0097072A"/>
    <w:rsid w:val="00971296"/>
    <w:rsid w:val="009715CE"/>
    <w:rsid w:val="00971EE0"/>
    <w:rsid w:val="00971F53"/>
    <w:rsid w:val="00973245"/>
    <w:rsid w:val="009746B9"/>
    <w:rsid w:val="009747A0"/>
    <w:rsid w:val="009747DA"/>
    <w:rsid w:val="00975A09"/>
    <w:rsid w:val="00975DF8"/>
    <w:rsid w:val="00975FF9"/>
    <w:rsid w:val="00976AFF"/>
    <w:rsid w:val="00977122"/>
    <w:rsid w:val="00977C81"/>
    <w:rsid w:val="009808BE"/>
    <w:rsid w:val="00982FD9"/>
    <w:rsid w:val="009845AB"/>
    <w:rsid w:val="00985DAD"/>
    <w:rsid w:val="00990FF7"/>
    <w:rsid w:val="0099171E"/>
    <w:rsid w:val="00991F39"/>
    <w:rsid w:val="00992837"/>
    <w:rsid w:val="009935E8"/>
    <w:rsid w:val="00994794"/>
    <w:rsid w:val="009963F6"/>
    <w:rsid w:val="00997DAC"/>
    <w:rsid w:val="009A190F"/>
    <w:rsid w:val="009A2496"/>
    <w:rsid w:val="009A4A5D"/>
    <w:rsid w:val="009A6202"/>
    <w:rsid w:val="009A72C9"/>
    <w:rsid w:val="009B11DE"/>
    <w:rsid w:val="009B1640"/>
    <w:rsid w:val="009B16EA"/>
    <w:rsid w:val="009B1B11"/>
    <w:rsid w:val="009B1EA9"/>
    <w:rsid w:val="009B444C"/>
    <w:rsid w:val="009B4A6D"/>
    <w:rsid w:val="009B5381"/>
    <w:rsid w:val="009B754F"/>
    <w:rsid w:val="009C0C2D"/>
    <w:rsid w:val="009C16CC"/>
    <w:rsid w:val="009C332A"/>
    <w:rsid w:val="009C379F"/>
    <w:rsid w:val="009C584C"/>
    <w:rsid w:val="009C5A84"/>
    <w:rsid w:val="009D0542"/>
    <w:rsid w:val="009D30DF"/>
    <w:rsid w:val="009D3103"/>
    <w:rsid w:val="009D65B9"/>
    <w:rsid w:val="009D6E9B"/>
    <w:rsid w:val="009E3ECB"/>
    <w:rsid w:val="009E4519"/>
    <w:rsid w:val="009E488F"/>
    <w:rsid w:val="009E6090"/>
    <w:rsid w:val="009F0CED"/>
    <w:rsid w:val="009F113F"/>
    <w:rsid w:val="009F1F1A"/>
    <w:rsid w:val="009F2CB2"/>
    <w:rsid w:val="009F36C5"/>
    <w:rsid w:val="009F4AE1"/>
    <w:rsid w:val="00A0119F"/>
    <w:rsid w:val="00A014E0"/>
    <w:rsid w:val="00A02627"/>
    <w:rsid w:val="00A02E23"/>
    <w:rsid w:val="00A032BC"/>
    <w:rsid w:val="00A0340D"/>
    <w:rsid w:val="00A03F84"/>
    <w:rsid w:val="00A05680"/>
    <w:rsid w:val="00A058D9"/>
    <w:rsid w:val="00A06442"/>
    <w:rsid w:val="00A06CF6"/>
    <w:rsid w:val="00A1019B"/>
    <w:rsid w:val="00A10E53"/>
    <w:rsid w:val="00A1113E"/>
    <w:rsid w:val="00A11745"/>
    <w:rsid w:val="00A14A8C"/>
    <w:rsid w:val="00A15213"/>
    <w:rsid w:val="00A1549A"/>
    <w:rsid w:val="00A15EB2"/>
    <w:rsid w:val="00A16187"/>
    <w:rsid w:val="00A167CF"/>
    <w:rsid w:val="00A167DE"/>
    <w:rsid w:val="00A16CCA"/>
    <w:rsid w:val="00A20249"/>
    <w:rsid w:val="00A216C4"/>
    <w:rsid w:val="00A21A6C"/>
    <w:rsid w:val="00A226E1"/>
    <w:rsid w:val="00A22717"/>
    <w:rsid w:val="00A22E9D"/>
    <w:rsid w:val="00A2327D"/>
    <w:rsid w:val="00A27E82"/>
    <w:rsid w:val="00A30805"/>
    <w:rsid w:val="00A32C85"/>
    <w:rsid w:val="00A34360"/>
    <w:rsid w:val="00A345F6"/>
    <w:rsid w:val="00A3494C"/>
    <w:rsid w:val="00A34D13"/>
    <w:rsid w:val="00A364F8"/>
    <w:rsid w:val="00A3661C"/>
    <w:rsid w:val="00A3728A"/>
    <w:rsid w:val="00A42193"/>
    <w:rsid w:val="00A421C2"/>
    <w:rsid w:val="00A4311F"/>
    <w:rsid w:val="00A43307"/>
    <w:rsid w:val="00A449A8"/>
    <w:rsid w:val="00A44D26"/>
    <w:rsid w:val="00A46385"/>
    <w:rsid w:val="00A52683"/>
    <w:rsid w:val="00A53814"/>
    <w:rsid w:val="00A53981"/>
    <w:rsid w:val="00A55C81"/>
    <w:rsid w:val="00A56BE3"/>
    <w:rsid w:val="00A56F32"/>
    <w:rsid w:val="00A571B7"/>
    <w:rsid w:val="00A6022D"/>
    <w:rsid w:val="00A60C44"/>
    <w:rsid w:val="00A60D46"/>
    <w:rsid w:val="00A65431"/>
    <w:rsid w:val="00A66F2A"/>
    <w:rsid w:val="00A67DA0"/>
    <w:rsid w:val="00A711ED"/>
    <w:rsid w:val="00A71CF4"/>
    <w:rsid w:val="00A733B2"/>
    <w:rsid w:val="00A74EF5"/>
    <w:rsid w:val="00A75D6B"/>
    <w:rsid w:val="00A84B7B"/>
    <w:rsid w:val="00A85416"/>
    <w:rsid w:val="00A862E8"/>
    <w:rsid w:val="00A91722"/>
    <w:rsid w:val="00A93659"/>
    <w:rsid w:val="00A94955"/>
    <w:rsid w:val="00A959D6"/>
    <w:rsid w:val="00A968DD"/>
    <w:rsid w:val="00A96FDD"/>
    <w:rsid w:val="00A97234"/>
    <w:rsid w:val="00A976F4"/>
    <w:rsid w:val="00AA1A6E"/>
    <w:rsid w:val="00AA1CEE"/>
    <w:rsid w:val="00AA3648"/>
    <w:rsid w:val="00AA5A7B"/>
    <w:rsid w:val="00AA5D23"/>
    <w:rsid w:val="00AA689D"/>
    <w:rsid w:val="00AA79D7"/>
    <w:rsid w:val="00AA7DAD"/>
    <w:rsid w:val="00AB0F57"/>
    <w:rsid w:val="00AB1A7E"/>
    <w:rsid w:val="00AB1B93"/>
    <w:rsid w:val="00AB2056"/>
    <w:rsid w:val="00AB225D"/>
    <w:rsid w:val="00AB3474"/>
    <w:rsid w:val="00AB3697"/>
    <w:rsid w:val="00AB70FD"/>
    <w:rsid w:val="00AB74DB"/>
    <w:rsid w:val="00AC15D5"/>
    <w:rsid w:val="00AC1B4C"/>
    <w:rsid w:val="00AC2E51"/>
    <w:rsid w:val="00AC334E"/>
    <w:rsid w:val="00AC385B"/>
    <w:rsid w:val="00AC5B0D"/>
    <w:rsid w:val="00AD0565"/>
    <w:rsid w:val="00AD0710"/>
    <w:rsid w:val="00AD0D52"/>
    <w:rsid w:val="00AD1186"/>
    <w:rsid w:val="00AD2AC0"/>
    <w:rsid w:val="00AD2FA8"/>
    <w:rsid w:val="00AD4078"/>
    <w:rsid w:val="00AD4807"/>
    <w:rsid w:val="00AD5166"/>
    <w:rsid w:val="00AD5D89"/>
    <w:rsid w:val="00AE022C"/>
    <w:rsid w:val="00AE16C7"/>
    <w:rsid w:val="00AE18CB"/>
    <w:rsid w:val="00AE1B5D"/>
    <w:rsid w:val="00AE3504"/>
    <w:rsid w:val="00AE3970"/>
    <w:rsid w:val="00AE3AA0"/>
    <w:rsid w:val="00AE553B"/>
    <w:rsid w:val="00AE655F"/>
    <w:rsid w:val="00AE662A"/>
    <w:rsid w:val="00AF01FF"/>
    <w:rsid w:val="00AF0E2A"/>
    <w:rsid w:val="00AF1675"/>
    <w:rsid w:val="00AF197E"/>
    <w:rsid w:val="00AF1F42"/>
    <w:rsid w:val="00AF3783"/>
    <w:rsid w:val="00AF432D"/>
    <w:rsid w:val="00AF6DED"/>
    <w:rsid w:val="00AF7AEB"/>
    <w:rsid w:val="00AF7C61"/>
    <w:rsid w:val="00B00CB1"/>
    <w:rsid w:val="00B01210"/>
    <w:rsid w:val="00B03823"/>
    <w:rsid w:val="00B0485E"/>
    <w:rsid w:val="00B05198"/>
    <w:rsid w:val="00B052FA"/>
    <w:rsid w:val="00B0576A"/>
    <w:rsid w:val="00B10ADF"/>
    <w:rsid w:val="00B10F66"/>
    <w:rsid w:val="00B1518F"/>
    <w:rsid w:val="00B16AF0"/>
    <w:rsid w:val="00B16DC6"/>
    <w:rsid w:val="00B17FA1"/>
    <w:rsid w:val="00B2164C"/>
    <w:rsid w:val="00B21CB0"/>
    <w:rsid w:val="00B2264E"/>
    <w:rsid w:val="00B22667"/>
    <w:rsid w:val="00B238A4"/>
    <w:rsid w:val="00B23FE5"/>
    <w:rsid w:val="00B2414B"/>
    <w:rsid w:val="00B25E0C"/>
    <w:rsid w:val="00B26035"/>
    <w:rsid w:val="00B26155"/>
    <w:rsid w:val="00B32D2D"/>
    <w:rsid w:val="00B32FE6"/>
    <w:rsid w:val="00B345B4"/>
    <w:rsid w:val="00B34A26"/>
    <w:rsid w:val="00B35596"/>
    <w:rsid w:val="00B3765E"/>
    <w:rsid w:val="00B4027C"/>
    <w:rsid w:val="00B4208A"/>
    <w:rsid w:val="00B44589"/>
    <w:rsid w:val="00B46C2E"/>
    <w:rsid w:val="00B4750D"/>
    <w:rsid w:val="00B5099A"/>
    <w:rsid w:val="00B51DD0"/>
    <w:rsid w:val="00B5262A"/>
    <w:rsid w:val="00B533DF"/>
    <w:rsid w:val="00B5440C"/>
    <w:rsid w:val="00B555BB"/>
    <w:rsid w:val="00B60FB3"/>
    <w:rsid w:val="00B6143B"/>
    <w:rsid w:val="00B623BB"/>
    <w:rsid w:val="00B625F4"/>
    <w:rsid w:val="00B627BF"/>
    <w:rsid w:val="00B6409F"/>
    <w:rsid w:val="00B646D8"/>
    <w:rsid w:val="00B65412"/>
    <w:rsid w:val="00B674EA"/>
    <w:rsid w:val="00B67957"/>
    <w:rsid w:val="00B67CD2"/>
    <w:rsid w:val="00B67E65"/>
    <w:rsid w:val="00B7029F"/>
    <w:rsid w:val="00B704F2"/>
    <w:rsid w:val="00B710EC"/>
    <w:rsid w:val="00B711FF"/>
    <w:rsid w:val="00B7167F"/>
    <w:rsid w:val="00B71872"/>
    <w:rsid w:val="00B7408E"/>
    <w:rsid w:val="00B74A63"/>
    <w:rsid w:val="00B75326"/>
    <w:rsid w:val="00B75D08"/>
    <w:rsid w:val="00B7622E"/>
    <w:rsid w:val="00B76B45"/>
    <w:rsid w:val="00B7761A"/>
    <w:rsid w:val="00B80113"/>
    <w:rsid w:val="00B81160"/>
    <w:rsid w:val="00B8289C"/>
    <w:rsid w:val="00B82D2B"/>
    <w:rsid w:val="00B836DC"/>
    <w:rsid w:val="00B83803"/>
    <w:rsid w:val="00B85360"/>
    <w:rsid w:val="00B86011"/>
    <w:rsid w:val="00B8689B"/>
    <w:rsid w:val="00B86C11"/>
    <w:rsid w:val="00B86D15"/>
    <w:rsid w:val="00B86EEE"/>
    <w:rsid w:val="00B9439C"/>
    <w:rsid w:val="00B9577D"/>
    <w:rsid w:val="00B95C9F"/>
    <w:rsid w:val="00B97806"/>
    <w:rsid w:val="00BA01F8"/>
    <w:rsid w:val="00BA04A7"/>
    <w:rsid w:val="00BA1D44"/>
    <w:rsid w:val="00BA3139"/>
    <w:rsid w:val="00BA33F8"/>
    <w:rsid w:val="00BA45CF"/>
    <w:rsid w:val="00BA5347"/>
    <w:rsid w:val="00BA6510"/>
    <w:rsid w:val="00BA6C0A"/>
    <w:rsid w:val="00BA7AC0"/>
    <w:rsid w:val="00BB05E4"/>
    <w:rsid w:val="00BB1EA1"/>
    <w:rsid w:val="00BB213E"/>
    <w:rsid w:val="00BB2F81"/>
    <w:rsid w:val="00BB3A91"/>
    <w:rsid w:val="00BB5209"/>
    <w:rsid w:val="00BB548D"/>
    <w:rsid w:val="00BB5797"/>
    <w:rsid w:val="00BB5FFA"/>
    <w:rsid w:val="00BB698D"/>
    <w:rsid w:val="00BB7A86"/>
    <w:rsid w:val="00BC22AA"/>
    <w:rsid w:val="00BC2968"/>
    <w:rsid w:val="00BC3575"/>
    <w:rsid w:val="00BC3E35"/>
    <w:rsid w:val="00BC6519"/>
    <w:rsid w:val="00BC66EE"/>
    <w:rsid w:val="00BC6C12"/>
    <w:rsid w:val="00BC77DD"/>
    <w:rsid w:val="00BD057A"/>
    <w:rsid w:val="00BD14D1"/>
    <w:rsid w:val="00BD153F"/>
    <w:rsid w:val="00BD183D"/>
    <w:rsid w:val="00BD250E"/>
    <w:rsid w:val="00BD2AD6"/>
    <w:rsid w:val="00BD2F46"/>
    <w:rsid w:val="00BD3878"/>
    <w:rsid w:val="00BD419F"/>
    <w:rsid w:val="00BD4BAC"/>
    <w:rsid w:val="00BD6B33"/>
    <w:rsid w:val="00BD6FF7"/>
    <w:rsid w:val="00BD7883"/>
    <w:rsid w:val="00BD7C38"/>
    <w:rsid w:val="00BD7F04"/>
    <w:rsid w:val="00BE04E8"/>
    <w:rsid w:val="00BE0BF8"/>
    <w:rsid w:val="00BE0D70"/>
    <w:rsid w:val="00BE1CCD"/>
    <w:rsid w:val="00BE4163"/>
    <w:rsid w:val="00BE44DF"/>
    <w:rsid w:val="00BE4EB9"/>
    <w:rsid w:val="00BE5999"/>
    <w:rsid w:val="00BF08F5"/>
    <w:rsid w:val="00BF0A5B"/>
    <w:rsid w:val="00BF16CD"/>
    <w:rsid w:val="00BF193E"/>
    <w:rsid w:val="00BF27A3"/>
    <w:rsid w:val="00BF2C0A"/>
    <w:rsid w:val="00BF33DD"/>
    <w:rsid w:val="00BF585A"/>
    <w:rsid w:val="00BF63E0"/>
    <w:rsid w:val="00BF6BEB"/>
    <w:rsid w:val="00BF70AB"/>
    <w:rsid w:val="00C00369"/>
    <w:rsid w:val="00C017B7"/>
    <w:rsid w:val="00C01EA8"/>
    <w:rsid w:val="00C02824"/>
    <w:rsid w:val="00C02F77"/>
    <w:rsid w:val="00C03D14"/>
    <w:rsid w:val="00C05487"/>
    <w:rsid w:val="00C10F64"/>
    <w:rsid w:val="00C12245"/>
    <w:rsid w:val="00C12CCA"/>
    <w:rsid w:val="00C1329C"/>
    <w:rsid w:val="00C137DC"/>
    <w:rsid w:val="00C13A53"/>
    <w:rsid w:val="00C16C60"/>
    <w:rsid w:val="00C16EC3"/>
    <w:rsid w:val="00C17721"/>
    <w:rsid w:val="00C20B89"/>
    <w:rsid w:val="00C226D8"/>
    <w:rsid w:val="00C24367"/>
    <w:rsid w:val="00C2563E"/>
    <w:rsid w:val="00C26F95"/>
    <w:rsid w:val="00C272BA"/>
    <w:rsid w:val="00C274B7"/>
    <w:rsid w:val="00C27755"/>
    <w:rsid w:val="00C30001"/>
    <w:rsid w:val="00C30908"/>
    <w:rsid w:val="00C31233"/>
    <w:rsid w:val="00C31ADA"/>
    <w:rsid w:val="00C332DA"/>
    <w:rsid w:val="00C35D35"/>
    <w:rsid w:val="00C37B94"/>
    <w:rsid w:val="00C37F81"/>
    <w:rsid w:val="00C4072E"/>
    <w:rsid w:val="00C413B0"/>
    <w:rsid w:val="00C4441D"/>
    <w:rsid w:val="00C45664"/>
    <w:rsid w:val="00C46BE7"/>
    <w:rsid w:val="00C46E82"/>
    <w:rsid w:val="00C46F0A"/>
    <w:rsid w:val="00C46F27"/>
    <w:rsid w:val="00C475B3"/>
    <w:rsid w:val="00C546E9"/>
    <w:rsid w:val="00C558A3"/>
    <w:rsid w:val="00C5764C"/>
    <w:rsid w:val="00C600D6"/>
    <w:rsid w:val="00C60D3A"/>
    <w:rsid w:val="00C61351"/>
    <w:rsid w:val="00C6146D"/>
    <w:rsid w:val="00C62688"/>
    <w:rsid w:val="00C630AA"/>
    <w:rsid w:val="00C64112"/>
    <w:rsid w:val="00C645C2"/>
    <w:rsid w:val="00C646B7"/>
    <w:rsid w:val="00C64759"/>
    <w:rsid w:val="00C65776"/>
    <w:rsid w:val="00C71230"/>
    <w:rsid w:val="00C71358"/>
    <w:rsid w:val="00C75C2C"/>
    <w:rsid w:val="00C75E2D"/>
    <w:rsid w:val="00C77890"/>
    <w:rsid w:val="00C80451"/>
    <w:rsid w:val="00C826D7"/>
    <w:rsid w:val="00C83936"/>
    <w:rsid w:val="00C84984"/>
    <w:rsid w:val="00C86D9C"/>
    <w:rsid w:val="00C87A2B"/>
    <w:rsid w:val="00C901B1"/>
    <w:rsid w:val="00C94AD0"/>
    <w:rsid w:val="00C94FC9"/>
    <w:rsid w:val="00C95461"/>
    <w:rsid w:val="00C96802"/>
    <w:rsid w:val="00C96E21"/>
    <w:rsid w:val="00C96ED3"/>
    <w:rsid w:val="00CA06EE"/>
    <w:rsid w:val="00CA090D"/>
    <w:rsid w:val="00CA0EE9"/>
    <w:rsid w:val="00CA2891"/>
    <w:rsid w:val="00CA3BE2"/>
    <w:rsid w:val="00CA4615"/>
    <w:rsid w:val="00CA558F"/>
    <w:rsid w:val="00CA5830"/>
    <w:rsid w:val="00CA5BAE"/>
    <w:rsid w:val="00CA60E5"/>
    <w:rsid w:val="00CA639B"/>
    <w:rsid w:val="00CA6F17"/>
    <w:rsid w:val="00CB032D"/>
    <w:rsid w:val="00CB14A2"/>
    <w:rsid w:val="00CB3790"/>
    <w:rsid w:val="00CB3B56"/>
    <w:rsid w:val="00CB4276"/>
    <w:rsid w:val="00CB44AD"/>
    <w:rsid w:val="00CB48CF"/>
    <w:rsid w:val="00CB6981"/>
    <w:rsid w:val="00CB6AAC"/>
    <w:rsid w:val="00CB6BF1"/>
    <w:rsid w:val="00CB7179"/>
    <w:rsid w:val="00CC01CE"/>
    <w:rsid w:val="00CC0E2C"/>
    <w:rsid w:val="00CC196E"/>
    <w:rsid w:val="00CC2820"/>
    <w:rsid w:val="00CC4CFA"/>
    <w:rsid w:val="00CC5528"/>
    <w:rsid w:val="00CC610D"/>
    <w:rsid w:val="00CC6917"/>
    <w:rsid w:val="00CC6AF0"/>
    <w:rsid w:val="00CC6DB7"/>
    <w:rsid w:val="00CC7716"/>
    <w:rsid w:val="00CC7AD0"/>
    <w:rsid w:val="00CD0CFB"/>
    <w:rsid w:val="00CD1089"/>
    <w:rsid w:val="00CD1743"/>
    <w:rsid w:val="00CD1ACF"/>
    <w:rsid w:val="00CD2EBD"/>
    <w:rsid w:val="00CD507C"/>
    <w:rsid w:val="00CE1617"/>
    <w:rsid w:val="00CE3700"/>
    <w:rsid w:val="00CE5345"/>
    <w:rsid w:val="00CE790D"/>
    <w:rsid w:val="00CE7966"/>
    <w:rsid w:val="00CE7B0D"/>
    <w:rsid w:val="00CF133F"/>
    <w:rsid w:val="00CF13D6"/>
    <w:rsid w:val="00CF2C24"/>
    <w:rsid w:val="00CF6BBF"/>
    <w:rsid w:val="00D005BB"/>
    <w:rsid w:val="00D027FA"/>
    <w:rsid w:val="00D02C17"/>
    <w:rsid w:val="00D02EA6"/>
    <w:rsid w:val="00D04C23"/>
    <w:rsid w:val="00D04EDD"/>
    <w:rsid w:val="00D053BB"/>
    <w:rsid w:val="00D0596C"/>
    <w:rsid w:val="00D076F3"/>
    <w:rsid w:val="00D109BF"/>
    <w:rsid w:val="00D10D3F"/>
    <w:rsid w:val="00D11911"/>
    <w:rsid w:val="00D12176"/>
    <w:rsid w:val="00D13623"/>
    <w:rsid w:val="00D1374B"/>
    <w:rsid w:val="00D13F5C"/>
    <w:rsid w:val="00D13FBE"/>
    <w:rsid w:val="00D15C01"/>
    <w:rsid w:val="00D15FDD"/>
    <w:rsid w:val="00D1637F"/>
    <w:rsid w:val="00D16894"/>
    <w:rsid w:val="00D17070"/>
    <w:rsid w:val="00D17117"/>
    <w:rsid w:val="00D21007"/>
    <w:rsid w:val="00D2122C"/>
    <w:rsid w:val="00D21B4B"/>
    <w:rsid w:val="00D231D6"/>
    <w:rsid w:val="00D2385A"/>
    <w:rsid w:val="00D23B3F"/>
    <w:rsid w:val="00D23D0A"/>
    <w:rsid w:val="00D252A6"/>
    <w:rsid w:val="00D26019"/>
    <w:rsid w:val="00D300CE"/>
    <w:rsid w:val="00D30133"/>
    <w:rsid w:val="00D3126F"/>
    <w:rsid w:val="00D313C9"/>
    <w:rsid w:val="00D31B30"/>
    <w:rsid w:val="00D33460"/>
    <w:rsid w:val="00D34D51"/>
    <w:rsid w:val="00D353DA"/>
    <w:rsid w:val="00D354FB"/>
    <w:rsid w:val="00D35780"/>
    <w:rsid w:val="00D3684C"/>
    <w:rsid w:val="00D36FEC"/>
    <w:rsid w:val="00D3718C"/>
    <w:rsid w:val="00D43E04"/>
    <w:rsid w:val="00D46EAB"/>
    <w:rsid w:val="00D502DE"/>
    <w:rsid w:val="00D50451"/>
    <w:rsid w:val="00D50C0D"/>
    <w:rsid w:val="00D50C3B"/>
    <w:rsid w:val="00D50EC5"/>
    <w:rsid w:val="00D53618"/>
    <w:rsid w:val="00D54242"/>
    <w:rsid w:val="00D5540F"/>
    <w:rsid w:val="00D5551B"/>
    <w:rsid w:val="00D5605D"/>
    <w:rsid w:val="00D579E5"/>
    <w:rsid w:val="00D57A39"/>
    <w:rsid w:val="00D61408"/>
    <w:rsid w:val="00D62D9B"/>
    <w:rsid w:val="00D63351"/>
    <w:rsid w:val="00D634E3"/>
    <w:rsid w:val="00D652EB"/>
    <w:rsid w:val="00D65995"/>
    <w:rsid w:val="00D712E5"/>
    <w:rsid w:val="00D713F9"/>
    <w:rsid w:val="00D71B4C"/>
    <w:rsid w:val="00D742DD"/>
    <w:rsid w:val="00D74537"/>
    <w:rsid w:val="00D7479C"/>
    <w:rsid w:val="00D74D91"/>
    <w:rsid w:val="00D74FFB"/>
    <w:rsid w:val="00D75D19"/>
    <w:rsid w:val="00D7666E"/>
    <w:rsid w:val="00D76C6A"/>
    <w:rsid w:val="00D76EF4"/>
    <w:rsid w:val="00D80484"/>
    <w:rsid w:val="00D81F59"/>
    <w:rsid w:val="00D8322F"/>
    <w:rsid w:val="00D842A1"/>
    <w:rsid w:val="00D844BA"/>
    <w:rsid w:val="00D844F1"/>
    <w:rsid w:val="00D8535A"/>
    <w:rsid w:val="00D856CA"/>
    <w:rsid w:val="00D859D5"/>
    <w:rsid w:val="00D87DAF"/>
    <w:rsid w:val="00D87E7A"/>
    <w:rsid w:val="00D9125D"/>
    <w:rsid w:val="00D9210C"/>
    <w:rsid w:val="00D92C8C"/>
    <w:rsid w:val="00D92F85"/>
    <w:rsid w:val="00D937E3"/>
    <w:rsid w:val="00D945E2"/>
    <w:rsid w:val="00D95EC5"/>
    <w:rsid w:val="00D967C1"/>
    <w:rsid w:val="00D978B6"/>
    <w:rsid w:val="00DA0B97"/>
    <w:rsid w:val="00DA342B"/>
    <w:rsid w:val="00DA36D5"/>
    <w:rsid w:val="00DA3872"/>
    <w:rsid w:val="00DA5E63"/>
    <w:rsid w:val="00DB20EC"/>
    <w:rsid w:val="00DB3759"/>
    <w:rsid w:val="00DB451A"/>
    <w:rsid w:val="00DB6075"/>
    <w:rsid w:val="00DB6869"/>
    <w:rsid w:val="00DC08D4"/>
    <w:rsid w:val="00DC0AD6"/>
    <w:rsid w:val="00DC1E21"/>
    <w:rsid w:val="00DC245D"/>
    <w:rsid w:val="00DC3965"/>
    <w:rsid w:val="00DC4763"/>
    <w:rsid w:val="00DC61BE"/>
    <w:rsid w:val="00DC76A8"/>
    <w:rsid w:val="00DD0783"/>
    <w:rsid w:val="00DD1E99"/>
    <w:rsid w:val="00DD2A2F"/>
    <w:rsid w:val="00DD3150"/>
    <w:rsid w:val="00DD3657"/>
    <w:rsid w:val="00DD38FC"/>
    <w:rsid w:val="00DD3CE2"/>
    <w:rsid w:val="00DD4265"/>
    <w:rsid w:val="00DD443E"/>
    <w:rsid w:val="00DD5A9A"/>
    <w:rsid w:val="00DD6D95"/>
    <w:rsid w:val="00DD721E"/>
    <w:rsid w:val="00DD7293"/>
    <w:rsid w:val="00DE4FCD"/>
    <w:rsid w:val="00DE5CF7"/>
    <w:rsid w:val="00DE6226"/>
    <w:rsid w:val="00DE6A3B"/>
    <w:rsid w:val="00DF1164"/>
    <w:rsid w:val="00DF16EA"/>
    <w:rsid w:val="00DF1BF2"/>
    <w:rsid w:val="00DF2CCF"/>
    <w:rsid w:val="00DF35A4"/>
    <w:rsid w:val="00DF3FB4"/>
    <w:rsid w:val="00DF4A4F"/>
    <w:rsid w:val="00E00BBA"/>
    <w:rsid w:val="00E012B5"/>
    <w:rsid w:val="00E01632"/>
    <w:rsid w:val="00E026F0"/>
    <w:rsid w:val="00E03BEC"/>
    <w:rsid w:val="00E03EA4"/>
    <w:rsid w:val="00E05515"/>
    <w:rsid w:val="00E07F64"/>
    <w:rsid w:val="00E10110"/>
    <w:rsid w:val="00E11579"/>
    <w:rsid w:val="00E1191B"/>
    <w:rsid w:val="00E11A18"/>
    <w:rsid w:val="00E11CA6"/>
    <w:rsid w:val="00E13078"/>
    <w:rsid w:val="00E13ACC"/>
    <w:rsid w:val="00E14857"/>
    <w:rsid w:val="00E16774"/>
    <w:rsid w:val="00E20F0B"/>
    <w:rsid w:val="00E222D4"/>
    <w:rsid w:val="00E23704"/>
    <w:rsid w:val="00E24A92"/>
    <w:rsid w:val="00E24BEA"/>
    <w:rsid w:val="00E25E4E"/>
    <w:rsid w:val="00E27F3C"/>
    <w:rsid w:val="00E3069C"/>
    <w:rsid w:val="00E306A9"/>
    <w:rsid w:val="00E3096E"/>
    <w:rsid w:val="00E34120"/>
    <w:rsid w:val="00E37FFB"/>
    <w:rsid w:val="00E406EC"/>
    <w:rsid w:val="00E41D19"/>
    <w:rsid w:val="00E42783"/>
    <w:rsid w:val="00E42EAE"/>
    <w:rsid w:val="00E43397"/>
    <w:rsid w:val="00E452AE"/>
    <w:rsid w:val="00E452EF"/>
    <w:rsid w:val="00E45EEC"/>
    <w:rsid w:val="00E45F16"/>
    <w:rsid w:val="00E4617E"/>
    <w:rsid w:val="00E46964"/>
    <w:rsid w:val="00E51923"/>
    <w:rsid w:val="00E51AD1"/>
    <w:rsid w:val="00E51CD3"/>
    <w:rsid w:val="00E52064"/>
    <w:rsid w:val="00E530A0"/>
    <w:rsid w:val="00E55A57"/>
    <w:rsid w:val="00E60135"/>
    <w:rsid w:val="00E60597"/>
    <w:rsid w:val="00E60C6D"/>
    <w:rsid w:val="00E60FA0"/>
    <w:rsid w:val="00E612BD"/>
    <w:rsid w:val="00E63995"/>
    <w:rsid w:val="00E64796"/>
    <w:rsid w:val="00E66DBD"/>
    <w:rsid w:val="00E67CCD"/>
    <w:rsid w:val="00E701AB"/>
    <w:rsid w:val="00E70C07"/>
    <w:rsid w:val="00E7271B"/>
    <w:rsid w:val="00E7336F"/>
    <w:rsid w:val="00E76382"/>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1B7"/>
    <w:rsid w:val="00E97F39"/>
    <w:rsid w:val="00EA0035"/>
    <w:rsid w:val="00EA00D5"/>
    <w:rsid w:val="00EA0D8C"/>
    <w:rsid w:val="00EA14CE"/>
    <w:rsid w:val="00EA1869"/>
    <w:rsid w:val="00EA1922"/>
    <w:rsid w:val="00EA2541"/>
    <w:rsid w:val="00EA2EA9"/>
    <w:rsid w:val="00EA38BD"/>
    <w:rsid w:val="00EA3A24"/>
    <w:rsid w:val="00EA3C7F"/>
    <w:rsid w:val="00EA7E06"/>
    <w:rsid w:val="00EB0017"/>
    <w:rsid w:val="00EB029E"/>
    <w:rsid w:val="00EB1427"/>
    <w:rsid w:val="00EB311A"/>
    <w:rsid w:val="00EB3D12"/>
    <w:rsid w:val="00EB586B"/>
    <w:rsid w:val="00EB5E4B"/>
    <w:rsid w:val="00EB7F5C"/>
    <w:rsid w:val="00EC1199"/>
    <w:rsid w:val="00EC1693"/>
    <w:rsid w:val="00EC198A"/>
    <w:rsid w:val="00EC1E73"/>
    <w:rsid w:val="00EC5F1B"/>
    <w:rsid w:val="00EC65B7"/>
    <w:rsid w:val="00EC666F"/>
    <w:rsid w:val="00EC6828"/>
    <w:rsid w:val="00EC6864"/>
    <w:rsid w:val="00EC759F"/>
    <w:rsid w:val="00ED1103"/>
    <w:rsid w:val="00ED291F"/>
    <w:rsid w:val="00ED292B"/>
    <w:rsid w:val="00ED2BA7"/>
    <w:rsid w:val="00ED34F8"/>
    <w:rsid w:val="00ED411B"/>
    <w:rsid w:val="00ED6296"/>
    <w:rsid w:val="00ED7D1D"/>
    <w:rsid w:val="00ED7D6E"/>
    <w:rsid w:val="00EE12EC"/>
    <w:rsid w:val="00EE27AA"/>
    <w:rsid w:val="00EE2BA5"/>
    <w:rsid w:val="00EE3264"/>
    <w:rsid w:val="00EE482F"/>
    <w:rsid w:val="00EE4DF0"/>
    <w:rsid w:val="00EE4F5C"/>
    <w:rsid w:val="00EE639C"/>
    <w:rsid w:val="00EE6A05"/>
    <w:rsid w:val="00EE6AB7"/>
    <w:rsid w:val="00EE6B10"/>
    <w:rsid w:val="00EE7CC1"/>
    <w:rsid w:val="00EF1937"/>
    <w:rsid w:val="00EF33A8"/>
    <w:rsid w:val="00EF4B50"/>
    <w:rsid w:val="00EF502E"/>
    <w:rsid w:val="00EF7806"/>
    <w:rsid w:val="00F01022"/>
    <w:rsid w:val="00F01A0E"/>
    <w:rsid w:val="00F01DA1"/>
    <w:rsid w:val="00F04D51"/>
    <w:rsid w:val="00F04F4D"/>
    <w:rsid w:val="00F059A4"/>
    <w:rsid w:val="00F068EE"/>
    <w:rsid w:val="00F07373"/>
    <w:rsid w:val="00F07ED0"/>
    <w:rsid w:val="00F10036"/>
    <w:rsid w:val="00F105D5"/>
    <w:rsid w:val="00F1256E"/>
    <w:rsid w:val="00F12AAE"/>
    <w:rsid w:val="00F143B7"/>
    <w:rsid w:val="00F15E29"/>
    <w:rsid w:val="00F17AA2"/>
    <w:rsid w:val="00F20EBD"/>
    <w:rsid w:val="00F2220F"/>
    <w:rsid w:val="00F232F2"/>
    <w:rsid w:val="00F25350"/>
    <w:rsid w:val="00F25838"/>
    <w:rsid w:val="00F260AE"/>
    <w:rsid w:val="00F269BB"/>
    <w:rsid w:val="00F26EC0"/>
    <w:rsid w:val="00F273FD"/>
    <w:rsid w:val="00F30355"/>
    <w:rsid w:val="00F318AA"/>
    <w:rsid w:val="00F331C3"/>
    <w:rsid w:val="00F3408A"/>
    <w:rsid w:val="00F35079"/>
    <w:rsid w:val="00F40B4B"/>
    <w:rsid w:val="00F41AB4"/>
    <w:rsid w:val="00F41BC1"/>
    <w:rsid w:val="00F421B3"/>
    <w:rsid w:val="00F423BC"/>
    <w:rsid w:val="00F4468A"/>
    <w:rsid w:val="00F44A71"/>
    <w:rsid w:val="00F45FC4"/>
    <w:rsid w:val="00F523F3"/>
    <w:rsid w:val="00F53B55"/>
    <w:rsid w:val="00F54876"/>
    <w:rsid w:val="00F54895"/>
    <w:rsid w:val="00F6126B"/>
    <w:rsid w:val="00F636B7"/>
    <w:rsid w:val="00F66091"/>
    <w:rsid w:val="00F6703C"/>
    <w:rsid w:val="00F70039"/>
    <w:rsid w:val="00F7114C"/>
    <w:rsid w:val="00F714EE"/>
    <w:rsid w:val="00F71594"/>
    <w:rsid w:val="00F733C0"/>
    <w:rsid w:val="00F73BBA"/>
    <w:rsid w:val="00F7400F"/>
    <w:rsid w:val="00F74228"/>
    <w:rsid w:val="00F76407"/>
    <w:rsid w:val="00F76E70"/>
    <w:rsid w:val="00F823FF"/>
    <w:rsid w:val="00F827A3"/>
    <w:rsid w:val="00F851E0"/>
    <w:rsid w:val="00F86779"/>
    <w:rsid w:val="00F879E5"/>
    <w:rsid w:val="00F87AC9"/>
    <w:rsid w:val="00F90D46"/>
    <w:rsid w:val="00F9241F"/>
    <w:rsid w:val="00F93319"/>
    <w:rsid w:val="00F93E46"/>
    <w:rsid w:val="00F94EEC"/>
    <w:rsid w:val="00F95243"/>
    <w:rsid w:val="00FA0839"/>
    <w:rsid w:val="00FA2A72"/>
    <w:rsid w:val="00FA383C"/>
    <w:rsid w:val="00FA75E8"/>
    <w:rsid w:val="00FB0144"/>
    <w:rsid w:val="00FB1C3A"/>
    <w:rsid w:val="00FB2BBD"/>
    <w:rsid w:val="00FB2DB6"/>
    <w:rsid w:val="00FB2EBA"/>
    <w:rsid w:val="00FB3397"/>
    <w:rsid w:val="00FB3AA6"/>
    <w:rsid w:val="00FB737B"/>
    <w:rsid w:val="00FC1794"/>
    <w:rsid w:val="00FC1990"/>
    <w:rsid w:val="00FC1CC3"/>
    <w:rsid w:val="00FC2EAC"/>
    <w:rsid w:val="00FC2F33"/>
    <w:rsid w:val="00FC3006"/>
    <w:rsid w:val="00FC5810"/>
    <w:rsid w:val="00FD06BD"/>
    <w:rsid w:val="00FD1B8D"/>
    <w:rsid w:val="00FD2226"/>
    <w:rsid w:val="00FD61CE"/>
    <w:rsid w:val="00FD6636"/>
    <w:rsid w:val="00FD6F9C"/>
    <w:rsid w:val="00FD78B4"/>
    <w:rsid w:val="00FE1E00"/>
    <w:rsid w:val="00FE2B7C"/>
    <w:rsid w:val="00FE2E68"/>
    <w:rsid w:val="00FE2FC1"/>
    <w:rsid w:val="00FE441A"/>
    <w:rsid w:val="00FE6AEB"/>
    <w:rsid w:val="00FE6CD6"/>
    <w:rsid w:val="00FF0F55"/>
    <w:rsid w:val="00FF1127"/>
    <w:rsid w:val="00FF18B3"/>
    <w:rsid w:val="00FF1C24"/>
    <w:rsid w:val="00FF221D"/>
    <w:rsid w:val="00FF41F3"/>
    <w:rsid w:val="00FF4ED8"/>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semiHidden="0" w:uiPriority="0" w:unhideWhenUsed="0" w:qFormat="1"/>
    <w:lsdException w:name="footnote reference"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6036A7"/>
    <w:rPr>
      <w:rFonts w:cs="Times New Roman"/>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6036A7"/>
    <w:rPr>
      <w:rFonts w:eastAsia="YouYuan"/>
      <w:kern w:val="2"/>
      <w:sz w:val="18"/>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uiPriority w:val="99"/>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0">
    <w:name w:val="hyperlink"/>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uiPriority w:val="99"/>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1">
    <w:name w:val="Char Char21"/>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s>
</file>

<file path=word/webSettings.xml><?xml version="1.0" encoding="utf-8"?>
<w:webSettings xmlns:r="http://schemas.openxmlformats.org/officeDocument/2006/relationships" xmlns:w="http://schemas.openxmlformats.org/wordprocessingml/2006/main">
  <w:divs>
    <w:div w:id="253510850">
      <w:bodyDiv w:val="1"/>
      <w:marLeft w:val="0"/>
      <w:marRight w:val="0"/>
      <w:marTop w:val="0"/>
      <w:marBottom w:val="0"/>
      <w:divBdr>
        <w:top w:val="none" w:sz="0" w:space="0" w:color="auto"/>
        <w:left w:val="none" w:sz="0" w:space="0" w:color="auto"/>
        <w:bottom w:val="none" w:sz="0" w:space="0" w:color="auto"/>
        <w:right w:val="none" w:sz="0" w:space="0" w:color="auto"/>
      </w:divBdr>
    </w:div>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670196">
      <w:bodyDiv w:val="1"/>
      <w:marLeft w:val="0"/>
      <w:marRight w:val="0"/>
      <w:marTop w:val="0"/>
      <w:marBottom w:val="0"/>
      <w:divBdr>
        <w:top w:val="none" w:sz="0" w:space="0" w:color="auto"/>
        <w:left w:val="none" w:sz="0" w:space="0" w:color="auto"/>
        <w:bottom w:val="none" w:sz="0" w:space="0" w:color="auto"/>
        <w:right w:val="none" w:sz="0" w:space="0" w:color="auto"/>
      </w:divBdr>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n.org/ar/documents/viewdoc.asp?docnumber=A/RES/72/2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A/AC.287/2017/PC.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2/np-mop-02-dec-10-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be595a.pdf" TargetMode="External"/><Relationship Id="rId3" Type="http://schemas.openxmlformats.org/officeDocument/2006/relationships/hyperlink" Target="https://www.cbd.int/doc/notifications/2017/ntf-2017-094-abs-en.pdf" TargetMode="External"/><Relationship Id="rId7" Type="http://schemas.openxmlformats.org/officeDocument/2006/relationships/hyperlink" Target="http://www.fao.org/fileadmin/user_upload/faoweb/plant-treaty/cfp4/cfp_4_2017_0_en.pdf" TargetMode="External"/><Relationship Id="rId2" Type="http://schemas.openxmlformats.org/officeDocument/2006/relationships/hyperlink" Target="https://www.cbd.int/doc/notifications/2017/ntf-2017-017-absch-en.pdf" TargetMode="External"/><Relationship Id="rId1" Type="http://schemas.openxmlformats.org/officeDocument/2006/relationships/hyperlink" Target="https://www.cbd.int/doc/c/6ce5/878e/5ffa49887c20c19961fe040a/sbi-02-01-ar.pdf" TargetMode="External"/><Relationship Id="rId6" Type="http://schemas.openxmlformats.org/officeDocument/2006/relationships/hyperlink" Target="https://www.cbd.int/doc/meetings/abs/abs-a10em-2016-01/official/abs-a10em-2016-01-02-en.pdf" TargetMode="External"/><Relationship Id="rId11" Type="http://schemas.openxmlformats.org/officeDocument/2006/relationships/hyperlink" Target="https://www.cbd.int/abs/submissions-np-2-10/default.shtml" TargetMode="External"/><Relationship Id="rId5" Type="http://schemas.openxmlformats.org/officeDocument/2006/relationships/hyperlink" Target="https://www.cbd.int/doc/meetings/abs/np-mop-02/official/np-mop-02-10-en.pdf" TargetMode="External"/><Relationship Id="rId10" Type="http://schemas.openxmlformats.org/officeDocument/2006/relationships/hyperlink" Target="http://apps.who.int/gb/ebwha/pdf_files/WHA71/A71_24-en.pdf" TargetMode="External"/><Relationship Id="rId4" Type="http://schemas.openxmlformats.org/officeDocument/2006/relationships/hyperlink" Target="https://www.cbd.int/abs/submissions-np-2-10/default.shtml" TargetMode="External"/><Relationship Id="rId9" Type="http://schemas.openxmlformats.org/officeDocument/2006/relationships/hyperlink" Target="http://www.who.int/influenza/pip/Documents_WHA70108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AF50E-151C-47D7-9C12-F1FC692B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Pages>
  <Words>5463</Words>
  <Characters>31142</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sbi-02-05-ar</vt:lpstr>
      <vt:lpstr>Provisional agenda</vt:lpstr>
    </vt:vector>
  </TitlesOfParts>
  <Company>SCBD</Company>
  <LinksUpToDate>false</LinksUpToDate>
  <CharactersWithSpaces>36532</CharactersWithSpaces>
  <SharedDoc>false</SharedDoc>
  <HLinks>
    <vt:vector size="156" baseType="variant">
      <vt:variant>
        <vt:i4>6160473</vt:i4>
      </vt:variant>
      <vt:variant>
        <vt:i4>57</vt:i4>
      </vt:variant>
      <vt:variant>
        <vt:i4>0</vt:i4>
      </vt:variant>
      <vt:variant>
        <vt:i4>5</vt:i4>
      </vt:variant>
      <vt:variant>
        <vt:lpwstr>https://www.cbd.int/post2020/</vt:lpwstr>
      </vt:variant>
      <vt:variant>
        <vt:lpwstr/>
      </vt:variant>
      <vt:variant>
        <vt:i4>655440</vt:i4>
      </vt:variant>
      <vt:variant>
        <vt:i4>54</vt:i4>
      </vt:variant>
      <vt:variant>
        <vt:i4>0</vt:i4>
      </vt:variant>
      <vt:variant>
        <vt:i4>5</vt:i4>
      </vt:variant>
      <vt:variant>
        <vt:lpwstr>https://www.cbd.int/doc/decisions/cop-12/cop-12-dec-07-ar.pdf</vt:lpwstr>
      </vt:variant>
      <vt:variant>
        <vt:lpwstr/>
      </vt:variant>
      <vt:variant>
        <vt:i4>14</vt:i4>
      </vt:variant>
      <vt:variant>
        <vt:i4>51</vt:i4>
      </vt:variant>
      <vt:variant>
        <vt:i4>0</vt:i4>
      </vt:variant>
      <vt:variant>
        <vt:i4>5</vt:i4>
      </vt:variant>
      <vt:variant>
        <vt:lpwstr>https://www.cbd.int/doc/meetings/cop/cop-13/official/cop-13-19-ar.pdf</vt:lpwstr>
      </vt:variant>
      <vt:variant>
        <vt:lpwstr/>
      </vt:variant>
      <vt:variant>
        <vt:i4>3342368</vt:i4>
      </vt:variant>
      <vt:variant>
        <vt:i4>48</vt:i4>
      </vt:variant>
      <vt:variant>
        <vt:i4>0</vt:i4>
      </vt:variant>
      <vt:variant>
        <vt:i4>5</vt:i4>
      </vt:variant>
      <vt:variant>
        <vt:lpwstr>https://absch.cbd.int/</vt:lpwstr>
      </vt:variant>
      <vt:variant>
        <vt:lpwstr/>
      </vt:variant>
      <vt:variant>
        <vt:i4>917586</vt:i4>
      </vt:variant>
      <vt:variant>
        <vt:i4>45</vt:i4>
      </vt:variant>
      <vt:variant>
        <vt:i4>0</vt:i4>
      </vt:variant>
      <vt:variant>
        <vt:i4>5</vt:i4>
      </vt:variant>
      <vt:variant>
        <vt:lpwstr>https://www.cbd.int/doc/decisions/cop-12/cop-12-dec-23-ar.pdf</vt:lpwstr>
      </vt:variant>
      <vt:variant>
        <vt:lpwstr/>
      </vt:variant>
      <vt:variant>
        <vt:i4>983123</vt:i4>
      </vt:variant>
      <vt:variant>
        <vt:i4>42</vt:i4>
      </vt:variant>
      <vt:variant>
        <vt:i4>0</vt:i4>
      </vt:variant>
      <vt:variant>
        <vt:i4>5</vt:i4>
      </vt:variant>
      <vt:variant>
        <vt:lpwstr>https://www.cbd.int/doc/decisions/cop-10/cop-10-dec-10-ar.pdf</vt:lpwstr>
      </vt:variant>
      <vt:variant>
        <vt:lpwstr/>
      </vt:variant>
      <vt:variant>
        <vt:i4>983130</vt:i4>
      </vt:variant>
      <vt:variant>
        <vt:i4>39</vt:i4>
      </vt:variant>
      <vt:variant>
        <vt:i4>0</vt:i4>
      </vt:variant>
      <vt:variant>
        <vt:i4>5</vt:i4>
      </vt:variant>
      <vt:variant>
        <vt:lpwstr>https://www.cbd.int/doc/decisions/cop-09/cop-09-dec-08-ar.pdf</vt:lpwstr>
      </vt:variant>
      <vt:variant>
        <vt:lpwstr/>
      </vt:variant>
      <vt:variant>
        <vt:i4>5832726</vt:i4>
      </vt:variant>
      <vt:variant>
        <vt:i4>36</vt:i4>
      </vt:variant>
      <vt:variant>
        <vt:i4>0</vt:i4>
      </vt:variant>
      <vt:variant>
        <vt:i4>5</vt:i4>
      </vt:variant>
      <vt:variant>
        <vt:lpwstr>https://www.cbd.int/doc/c/c75f/06b1/6fc465496044698feacc47ba/sbstta-22-05-en.pdf</vt:lpwstr>
      </vt:variant>
      <vt:variant>
        <vt:lpwstr/>
      </vt:variant>
      <vt:variant>
        <vt:i4>524360</vt:i4>
      </vt:variant>
      <vt:variant>
        <vt:i4>33</vt:i4>
      </vt:variant>
      <vt:variant>
        <vt:i4>0</vt:i4>
      </vt:variant>
      <vt:variant>
        <vt:i4>5</vt:i4>
      </vt:variant>
      <vt:variant>
        <vt:lpwstr>https://www.cbd.int/abs/</vt:lpwstr>
      </vt:variant>
      <vt:variant>
        <vt:lpwstr/>
      </vt:variant>
      <vt:variant>
        <vt:i4>1048646</vt:i4>
      </vt:variant>
      <vt:variant>
        <vt:i4>30</vt:i4>
      </vt:variant>
      <vt:variant>
        <vt:i4>0</vt:i4>
      </vt:variant>
      <vt:variant>
        <vt:i4>5</vt:i4>
      </vt:variant>
      <vt:variant>
        <vt:lpwstr>https://www.cbd.int/doc/recommendations/wg8j-10/wg8j-10-rec-04-ar.pdf</vt:lpwstr>
      </vt:variant>
      <vt:variant>
        <vt:lpwstr/>
      </vt:variant>
      <vt:variant>
        <vt:i4>4587600</vt:i4>
      </vt:variant>
      <vt:variant>
        <vt:i4>27</vt:i4>
      </vt:variant>
      <vt:variant>
        <vt:i4>0</vt:i4>
      </vt:variant>
      <vt:variant>
        <vt:i4>5</vt:i4>
      </vt:variant>
      <vt:variant>
        <vt:lpwstr>https://www.cbd.int/doc/c/6b12/6da9/e96c8a0d0993cb60ac790653/sbi-02-20-ar.pdf</vt:lpwstr>
      </vt:variant>
      <vt:variant>
        <vt:lpwstr/>
      </vt:variant>
      <vt:variant>
        <vt:i4>1376340</vt:i4>
      </vt:variant>
      <vt:variant>
        <vt:i4>24</vt:i4>
      </vt:variant>
      <vt:variant>
        <vt:i4>0</vt:i4>
      </vt:variant>
      <vt:variant>
        <vt:i4>5</vt:i4>
      </vt:variant>
      <vt:variant>
        <vt:lpwstr>https://www.cbd.int/doc/c/3918/cd75/314abbf6deefd40b372e9a42/sbi-02-19-ar.pdf</vt:lpwstr>
      </vt:variant>
      <vt:variant>
        <vt:lpwstr/>
      </vt:variant>
      <vt:variant>
        <vt:i4>7536681</vt:i4>
      </vt:variant>
      <vt:variant>
        <vt:i4>21</vt:i4>
      </vt:variant>
      <vt:variant>
        <vt:i4>0</vt:i4>
      </vt:variant>
      <vt:variant>
        <vt:i4>5</vt:i4>
      </vt:variant>
      <vt:variant>
        <vt:lpwstr>https://www.cbd.int/doc/c/9f63/8ad3/2aab7f3f33590decf1a320e0/sbi-02-08-add1-ar.pdf</vt:lpwstr>
      </vt:variant>
      <vt:variant>
        <vt:lpwstr/>
      </vt:variant>
      <vt:variant>
        <vt:i4>524371</vt:i4>
      </vt:variant>
      <vt:variant>
        <vt:i4>18</vt:i4>
      </vt:variant>
      <vt:variant>
        <vt:i4>0</vt:i4>
      </vt:variant>
      <vt:variant>
        <vt:i4>5</vt:i4>
      </vt:variant>
      <vt:variant>
        <vt:lpwstr>https://www.cbd.int/doc/decisions/cop-10/cop-10-dec-17-ar.pdf</vt:lpwstr>
      </vt:variant>
      <vt:variant>
        <vt:lpwstr/>
      </vt:variant>
      <vt:variant>
        <vt:i4>852049</vt:i4>
      </vt:variant>
      <vt:variant>
        <vt:i4>15</vt:i4>
      </vt:variant>
      <vt:variant>
        <vt:i4>0</vt:i4>
      </vt:variant>
      <vt:variant>
        <vt:i4>5</vt:i4>
      </vt:variant>
      <vt:variant>
        <vt:lpwstr>https://www.cbd.int/doc/decisions/cop-13/cop-13-dec-01-ar.pdf</vt:lpwstr>
      </vt:variant>
      <vt:variant>
        <vt:lpwstr/>
      </vt:variant>
      <vt:variant>
        <vt:i4>786515</vt:i4>
      </vt:variant>
      <vt:variant>
        <vt:i4>12</vt:i4>
      </vt:variant>
      <vt:variant>
        <vt:i4>0</vt:i4>
      </vt:variant>
      <vt:variant>
        <vt:i4>5</vt:i4>
      </vt:variant>
      <vt:variant>
        <vt:lpwstr>https://www.cbd.int/doc/decisions/cop-12/cop-12-dec-31-ar.pdf</vt:lpwstr>
      </vt:variant>
      <vt:variant>
        <vt:lpwstr/>
      </vt:variant>
      <vt:variant>
        <vt:i4>983120</vt:i4>
      </vt:variant>
      <vt:variant>
        <vt:i4>9</vt:i4>
      </vt:variant>
      <vt:variant>
        <vt:i4>0</vt:i4>
      </vt:variant>
      <vt:variant>
        <vt:i4>5</vt:i4>
      </vt:variant>
      <vt:variant>
        <vt:lpwstr>https://www.cbd.int/doc/decisions/cop-12/cop-12-dec-02-ar.pdf</vt:lpwstr>
      </vt:variant>
      <vt:variant>
        <vt:lpwstr/>
      </vt:variant>
      <vt:variant>
        <vt:i4>917594</vt:i4>
      </vt:variant>
      <vt:variant>
        <vt:i4>6</vt:i4>
      </vt:variant>
      <vt:variant>
        <vt:i4>0</vt:i4>
      </vt:variant>
      <vt:variant>
        <vt:i4>5</vt:i4>
      </vt:variant>
      <vt:variant>
        <vt:lpwstr>https://www.cbd.int/doc/decisions/cop-09/cop-09-dec-09-ar.pdf</vt:lpwstr>
      </vt:variant>
      <vt:variant>
        <vt:lpwstr/>
      </vt:variant>
      <vt:variant>
        <vt:i4>852050</vt:i4>
      </vt:variant>
      <vt:variant>
        <vt:i4>3</vt:i4>
      </vt:variant>
      <vt:variant>
        <vt:i4>0</vt:i4>
      </vt:variant>
      <vt:variant>
        <vt:i4>5</vt:i4>
      </vt:variant>
      <vt:variant>
        <vt:lpwstr>https://www.cbd.int/doc/decisions/cop-10/cop-10-dec-02-ar.pdf</vt:lpwstr>
      </vt:variant>
      <vt:variant>
        <vt:lpwstr/>
      </vt:variant>
      <vt:variant>
        <vt:i4>852050</vt:i4>
      </vt:variant>
      <vt:variant>
        <vt:i4>0</vt:i4>
      </vt:variant>
      <vt:variant>
        <vt:i4>0</vt:i4>
      </vt:variant>
      <vt:variant>
        <vt:i4>5</vt:i4>
      </vt:variant>
      <vt:variant>
        <vt:lpwstr>https://www.cbd.int/doc/decisions/cop-10/cop-10-dec-02-ar.pdf</vt:lpwstr>
      </vt:variant>
      <vt:variant>
        <vt:lpwstr/>
      </vt:variant>
      <vt:variant>
        <vt:i4>3801170</vt:i4>
      </vt:variant>
      <vt:variant>
        <vt:i4>15</vt:i4>
      </vt:variant>
      <vt:variant>
        <vt:i4>0</vt:i4>
      </vt:variant>
      <vt:variant>
        <vt:i4>5</vt:i4>
      </vt:variant>
      <vt:variant>
        <vt:lpwstr>http://www.un.org/en/ga/search/view_doc.asp?symbol=A/RES/70/1</vt:lpwstr>
      </vt:variant>
      <vt:variant>
        <vt:lpwstr/>
      </vt:variant>
      <vt:variant>
        <vt:i4>1245198</vt:i4>
      </vt:variant>
      <vt:variant>
        <vt:i4>12</vt:i4>
      </vt:variant>
      <vt:variant>
        <vt:i4>0</vt:i4>
      </vt:variant>
      <vt:variant>
        <vt:i4>5</vt:i4>
      </vt:variant>
      <vt:variant>
        <vt:lpwstr>https://unfccc.int/sites/default/files/resource/docs/2015/cop21/ar/10a01.pdf</vt:lpwstr>
      </vt:variant>
      <vt:variant>
        <vt:lpwstr/>
      </vt:variant>
      <vt:variant>
        <vt:i4>3735556</vt:i4>
      </vt:variant>
      <vt:variant>
        <vt:i4>9</vt:i4>
      </vt:variant>
      <vt:variant>
        <vt:i4>0</vt:i4>
      </vt:variant>
      <vt:variant>
        <vt:i4>5</vt:i4>
      </vt:variant>
      <vt:variant>
        <vt:lpwstr>http://archive.ias.unu.edu/resource_centre/UNU-IAS_Biodiversity_Planning_NBSAPs_Assessment_final_web_Oct_2010.pdf</vt:lpwstr>
      </vt:variant>
      <vt:variant>
        <vt:lpwstr/>
      </vt:variant>
      <vt:variant>
        <vt:i4>655440</vt:i4>
      </vt:variant>
      <vt:variant>
        <vt:i4>6</vt:i4>
      </vt:variant>
      <vt:variant>
        <vt:i4>0</vt:i4>
      </vt:variant>
      <vt:variant>
        <vt:i4>5</vt:i4>
      </vt:variant>
      <vt:variant>
        <vt:lpwstr>https://www.cbd.int/doc/decisions/cop-12/cop-12-dec-07-ar.pdf</vt:lpwstr>
      </vt:variant>
      <vt:variant>
        <vt:lpwstr/>
      </vt:variant>
      <vt:variant>
        <vt:i4>3801170</vt:i4>
      </vt:variant>
      <vt:variant>
        <vt:i4>3</vt:i4>
      </vt:variant>
      <vt:variant>
        <vt:i4>0</vt:i4>
      </vt:variant>
      <vt:variant>
        <vt:i4>5</vt:i4>
      </vt:variant>
      <vt:variant>
        <vt:lpwstr>http://www.un.org/en/ga/search/view_doc.asp?symbol=A/RES/70/1</vt:lpwstr>
      </vt:variant>
      <vt:variant>
        <vt:lpwstr/>
      </vt:variant>
      <vt:variant>
        <vt:i4>1179661</vt:i4>
      </vt:variant>
      <vt:variant>
        <vt:i4>0</vt:i4>
      </vt:variant>
      <vt:variant>
        <vt:i4>0</vt:i4>
      </vt:variant>
      <vt:variant>
        <vt:i4>5</vt:i4>
      </vt:variant>
      <vt:variant>
        <vt:lpwstr>https://www.cbd.int/doc/c/6ce5/878e/5ffa49887c20c19961fe040a/sbi-02-01-ar.pdf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sbi-02-05-ar</dc:title>
  <dc:creator>SCBD</dc:creator>
  <cp:lastModifiedBy>Shawki Mostafa/Maha Labib</cp:lastModifiedBy>
  <cp:revision>5</cp:revision>
  <cp:lastPrinted>2014-07-25T14:50:00Z</cp:lastPrinted>
  <dcterms:created xsi:type="dcterms:W3CDTF">2018-06-11T11:03:00Z</dcterms:created>
  <dcterms:modified xsi:type="dcterms:W3CDTF">2018-06-11T16:01:00Z</dcterms:modified>
</cp:coreProperties>
</file>