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EB0301" w14:paraId="73582288" w14:textId="77777777" w:rsidTr="00CF1848">
        <w:trPr>
          <w:trHeight w:val="709"/>
        </w:trPr>
        <w:tc>
          <w:tcPr>
            <w:tcW w:w="976" w:type="dxa"/>
            <w:tcBorders>
              <w:bottom w:val="single" w:sz="12" w:space="0" w:color="auto"/>
            </w:tcBorders>
          </w:tcPr>
          <w:p w14:paraId="15433024" w14:textId="77777777" w:rsidR="00C9161D" w:rsidRPr="00EB0301" w:rsidRDefault="00C9161D">
            <w:pPr>
              <w:rPr>
                <w:lang w:val="en-CA"/>
              </w:rPr>
            </w:pPr>
            <w:r w:rsidRPr="00EB0301">
              <w:rPr>
                <w:noProof/>
                <w:lang w:val="en-CA"/>
              </w:rPr>
              <w:drawing>
                <wp:inline distT="0" distB="0" distL="0" distR="0" wp14:anchorId="7ACC5348" wp14:editId="0BA3FC74">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D9A8196" w14:textId="77777777" w:rsidR="00C9161D" w:rsidRPr="00EB0301" w:rsidRDefault="00C9161D">
            <w:pPr>
              <w:rPr>
                <w:lang w:val="en-CA"/>
              </w:rPr>
            </w:pPr>
            <w:r w:rsidRPr="00EB0301">
              <w:rPr>
                <w:noProof/>
                <w:lang w:val="en-CA"/>
              </w:rPr>
              <w:drawing>
                <wp:inline distT="0" distB="0" distL="0" distR="0" wp14:anchorId="2D189508" wp14:editId="231A11CD">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3B6A2D49" w14:textId="77777777" w:rsidR="00C9161D" w:rsidRPr="00EB0301" w:rsidRDefault="00C9161D" w:rsidP="00C9161D">
            <w:pPr>
              <w:jc w:val="right"/>
              <w:rPr>
                <w:rFonts w:ascii="Arial" w:hAnsi="Arial" w:cs="Arial"/>
                <w:b/>
                <w:sz w:val="32"/>
                <w:szCs w:val="32"/>
                <w:lang w:val="en-CA"/>
              </w:rPr>
            </w:pPr>
            <w:r w:rsidRPr="00EB0301">
              <w:rPr>
                <w:rFonts w:ascii="Arial" w:hAnsi="Arial" w:cs="Arial"/>
                <w:b/>
                <w:sz w:val="32"/>
                <w:szCs w:val="32"/>
                <w:lang w:val="en-CA"/>
              </w:rPr>
              <w:t>CBD</w:t>
            </w:r>
          </w:p>
        </w:tc>
      </w:tr>
      <w:tr w:rsidR="00C9161D" w:rsidRPr="00EB0301" w14:paraId="5DB1E5F4" w14:textId="77777777" w:rsidTr="00CF1848">
        <w:tc>
          <w:tcPr>
            <w:tcW w:w="6117" w:type="dxa"/>
            <w:gridSpan w:val="2"/>
            <w:tcBorders>
              <w:top w:val="single" w:sz="12" w:space="0" w:color="auto"/>
              <w:bottom w:val="single" w:sz="36" w:space="0" w:color="auto"/>
            </w:tcBorders>
            <w:vAlign w:val="center"/>
          </w:tcPr>
          <w:p w14:paraId="1731B385" w14:textId="77777777" w:rsidR="00C9161D" w:rsidRPr="00EB0301" w:rsidRDefault="00C9161D" w:rsidP="00C9161D">
            <w:pPr>
              <w:rPr>
                <w:lang w:val="en-CA"/>
              </w:rPr>
            </w:pPr>
            <w:r w:rsidRPr="00EB0301">
              <w:rPr>
                <w:noProof/>
                <w:lang w:val="en-CA"/>
              </w:rPr>
              <w:drawing>
                <wp:inline distT="0" distB="0" distL="0" distR="0" wp14:anchorId="3A299A4C" wp14:editId="6911319E">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68C0AF62" w14:textId="77777777" w:rsidR="00C9161D" w:rsidRPr="00EB0301" w:rsidRDefault="00C9161D" w:rsidP="00176CEE">
            <w:pPr>
              <w:ind w:left="1215"/>
              <w:rPr>
                <w:szCs w:val="22"/>
                <w:lang w:val="en-CA"/>
              </w:rPr>
            </w:pPr>
            <w:r w:rsidRPr="00EB0301">
              <w:rPr>
                <w:szCs w:val="22"/>
                <w:lang w:val="en-CA"/>
              </w:rPr>
              <w:t>Distr.</w:t>
            </w:r>
          </w:p>
          <w:p w14:paraId="43153A0A" w14:textId="77777777" w:rsidR="00C9161D" w:rsidRPr="00EB0301" w:rsidRDefault="008E5E10" w:rsidP="00176CEE">
            <w:pPr>
              <w:ind w:left="1215"/>
              <w:rPr>
                <w:szCs w:val="22"/>
                <w:lang w:val="en-CA"/>
              </w:rPr>
            </w:pPr>
            <w:sdt>
              <w:sdtPr>
                <w:rPr>
                  <w:caps/>
                  <w:szCs w:val="22"/>
                  <w:lang w:val="en-CA"/>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sidRPr="00EB0301">
                  <w:rPr>
                    <w:caps/>
                    <w:szCs w:val="22"/>
                    <w:lang w:val="en-CA"/>
                  </w:rPr>
                  <w:t>GENERAL</w:t>
                </w:r>
              </w:sdtContent>
            </w:sdt>
          </w:p>
          <w:p w14:paraId="206059A4" w14:textId="77777777" w:rsidR="00C9161D" w:rsidRPr="00EB0301" w:rsidRDefault="00C9161D" w:rsidP="00176CEE">
            <w:pPr>
              <w:ind w:left="1215"/>
              <w:rPr>
                <w:szCs w:val="22"/>
                <w:lang w:val="en-CA"/>
              </w:rPr>
            </w:pPr>
          </w:p>
          <w:p w14:paraId="2B5BB169" w14:textId="60184918" w:rsidR="00C9161D" w:rsidRPr="00EB0301" w:rsidRDefault="008E5E10" w:rsidP="00176CEE">
            <w:pPr>
              <w:ind w:left="1215"/>
              <w:rPr>
                <w:szCs w:val="22"/>
                <w:lang w:val="en-CA"/>
              </w:rPr>
            </w:pPr>
            <w:sdt>
              <w:sdtPr>
                <w:rPr>
                  <w:lang w:val="en-CA"/>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Pr>
                    <w:lang w:val="en-CA"/>
                  </w:rPr>
                  <w:t>CBD/COP/14/</w:t>
                </w:r>
                <w:r w:rsidR="003C68A0" w:rsidRPr="00EB0301">
                  <w:rPr>
                    <w:lang w:val="en-CA"/>
                  </w:rPr>
                  <w:t>INF/23</w:t>
                </w:r>
              </w:sdtContent>
            </w:sdt>
          </w:p>
          <w:p w14:paraId="77B1D1E6" w14:textId="06785D52" w:rsidR="00C9161D" w:rsidRPr="00EB0301" w:rsidRDefault="008E5E10" w:rsidP="00176CEE">
            <w:pPr>
              <w:ind w:left="1215"/>
              <w:rPr>
                <w:szCs w:val="22"/>
                <w:lang w:val="en-CA"/>
              </w:rPr>
            </w:pPr>
            <w:sdt>
              <w:sdtPr>
                <w:rPr>
                  <w:szCs w:val="22"/>
                  <w:lang w:val="en-CA"/>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11-02T00:00:00Z">
                  <w:dateFormat w:val="d MMMM yyyy"/>
                  <w:lid w:val="en-US"/>
                  <w:storeMappedDataAs w:val="dateTime"/>
                  <w:calendar w:val="gregorian"/>
                </w:date>
              </w:sdtPr>
              <w:sdtEndPr/>
              <w:sdtContent>
                <w:r w:rsidR="003C68A0" w:rsidRPr="00EB0301">
                  <w:rPr>
                    <w:szCs w:val="22"/>
                    <w:lang w:val="en-CA"/>
                  </w:rPr>
                  <w:t>2 November 2018</w:t>
                </w:r>
              </w:sdtContent>
            </w:sdt>
          </w:p>
          <w:p w14:paraId="7BCE4CB4" w14:textId="77777777" w:rsidR="00C9161D" w:rsidRPr="00EB0301" w:rsidRDefault="00C9161D" w:rsidP="00176CEE">
            <w:pPr>
              <w:ind w:left="1215"/>
              <w:rPr>
                <w:szCs w:val="22"/>
                <w:lang w:val="en-CA"/>
              </w:rPr>
            </w:pPr>
          </w:p>
          <w:p w14:paraId="346181D0" w14:textId="77777777" w:rsidR="00C9161D" w:rsidRPr="00EB0301" w:rsidRDefault="006B2290" w:rsidP="00176CEE">
            <w:pPr>
              <w:ind w:left="1215"/>
              <w:rPr>
                <w:szCs w:val="22"/>
                <w:lang w:val="en-CA"/>
              </w:rPr>
            </w:pPr>
            <w:r w:rsidRPr="00EB0301">
              <w:rPr>
                <w:szCs w:val="22"/>
                <w:lang w:val="en-CA"/>
              </w:rPr>
              <w:t xml:space="preserve">ORIGINAL: </w:t>
            </w:r>
            <w:r w:rsidR="00C9161D" w:rsidRPr="00EB0301">
              <w:rPr>
                <w:szCs w:val="22"/>
                <w:lang w:val="en-CA"/>
              </w:rPr>
              <w:t>ENGLISH</w:t>
            </w:r>
          </w:p>
          <w:p w14:paraId="1BBDDC1C" w14:textId="77777777" w:rsidR="00C9161D" w:rsidRPr="00EB0301" w:rsidRDefault="00C9161D">
            <w:pPr>
              <w:rPr>
                <w:lang w:val="en-CA"/>
              </w:rPr>
            </w:pPr>
          </w:p>
        </w:tc>
      </w:tr>
    </w:tbl>
    <w:p w14:paraId="0CCF9BEF" w14:textId="77777777" w:rsidR="00172AF6" w:rsidRPr="00EB0301" w:rsidRDefault="0018333A" w:rsidP="0018333A">
      <w:pPr>
        <w:pStyle w:val="Cornernotation"/>
        <w:ind w:right="3933"/>
        <w:rPr>
          <w:color w:val="000000"/>
          <w:shd w:val="clear" w:color="auto" w:fill="FFFFFF"/>
          <w:lang w:val="en-CA"/>
        </w:rPr>
      </w:pPr>
      <w:r w:rsidRPr="00EB0301">
        <w:rPr>
          <w:color w:val="000000"/>
          <w:shd w:val="clear" w:color="auto" w:fill="FFFFFF"/>
          <w:lang w:val="en-CA"/>
        </w:rPr>
        <w:t>CONFERENCE OF THE PARTIES TO THE CONVENTION ON BIOLOGICAL DIVERSITY</w:t>
      </w:r>
    </w:p>
    <w:p w14:paraId="139DCE95" w14:textId="77777777" w:rsidR="0018333A" w:rsidRPr="00EB0301" w:rsidRDefault="0018333A" w:rsidP="00172AF6">
      <w:pPr>
        <w:pStyle w:val="Cornernotation"/>
        <w:ind w:right="3973"/>
        <w:rPr>
          <w:color w:val="000000"/>
          <w:lang w:val="en-CA"/>
        </w:rPr>
      </w:pPr>
      <w:r w:rsidRPr="00EB0301">
        <w:rPr>
          <w:color w:val="000000"/>
          <w:lang w:val="en-CA"/>
        </w:rPr>
        <w:t>Fourteenth meeting</w:t>
      </w:r>
    </w:p>
    <w:p w14:paraId="280AEACB" w14:textId="77777777" w:rsidR="00172AF6" w:rsidRPr="00EB0301" w:rsidRDefault="0018333A" w:rsidP="00172AF6">
      <w:pPr>
        <w:pStyle w:val="Cornernotation"/>
        <w:ind w:right="3973"/>
        <w:rPr>
          <w:lang w:val="en-CA"/>
        </w:rPr>
      </w:pPr>
      <w:r w:rsidRPr="00EB0301">
        <w:rPr>
          <w:color w:val="000000"/>
          <w:lang w:val="en-CA"/>
        </w:rPr>
        <w:t>Sharm El-Sheikh, Egypt, 17-29 November 2018</w:t>
      </w:r>
    </w:p>
    <w:p w14:paraId="45DE3E38" w14:textId="77777777" w:rsidR="00C9161D" w:rsidRPr="00EB0301" w:rsidRDefault="00C9161D" w:rsidP="00C9161D">
      <w:pPr>
        <w:rPr>
          <w:lang w:val="en-CA"/>
        </w:rPr>
      </w:pPr>
    </w:p>
    <w:bookmarkStart w:id="0" w:name="_Hlk528931783"/>
    <w:p w14:paraId="7A05C754" w14:textId="75D4AA1C" w:rsidR="00C9161D" w:rsidRPr="00EB0301" w:rsidRDefault="008E5E10" w:rsidP="00172AF6">
      <w:pPr>
        <w:spacing w:before="120" w:after="240"/>
        <w:jc w:val="center"/>
        <w:rPr>
          <w:b/>
          <w:caps/>
          <w:lang w:val="en-CA"/>
        </w:rPr>
      </w:pPr>
      <w:sdt>
        <w:sdtPr>
          <w:rPr>
            <w:rStyle w:val="Heading2Char"/>
            <w:lang w:val="en-CA"/>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BB75B8" w:rsidRPr="00EB0301">
            <w:rPr>
              <w:rStyle w:val="Heading2Char"/>
              <w:lang w:val="en-CA"/>
            </w:rPr>
            <w:t>PROGRESS REPORT ON TECHNICAL AND SCIENTIFIC COOPERATION</w:t>
          </w:r>
        </w:sdtContent>
      </w:sdt>
      <w:r w:rsidR="00105372" w:rsidRPr="00EB0301">
        <w:rPr>
          <w:b/>
          <w:caps/>
          <w:lang w:val="en-CA"/>
        </w:rPr>
        <w:t xml:space="preserve"> </w:t>
      </w:r>
    </w:p>
    <w:p w14:paraId="4B838804" w14:textId="0F13DA15" w:rsidR="00611DEF" w:rsidRPr="00EB0301" w:rsidRDefault="00611DEF" w:rsidP="00611DEF">
      <w:pPr>
        <w:pStyle w:val="Heading2"/>
        <w:numPr>
          <w:ilvl w:val="0"/>
          <w:numId w:val="18"/>
        </w:numPr>
        <w:spacing w:after="240"/>
        <w:ind w:left="714" w:hanging="357"/>
        <w:rPr>
          <w:lang w:val="en-CA"/>
        </w:rPr>
      </w:pPr>
      <w:r w:rsidRPr="00EB0301">
        <w:rPr>
          <w:bCs w:val="0"/>
          <w:iCs w:val="0"/>
          <w:caps/>
          <w:lang w:val="en-CA"/>
        </w:rPr>
        <w:t xml:space="preserve">INTRODUCTION </w:t>
      </w:r>
    </w:p>
    <w:p w14:paraId="1005D0CE" w14:textId="73BCA249" w:rsidR="00611DEF" w:rsidRPr="00EB0301" w:rsidRDefault="00611DEF" w:rsidP="00611DEF">
      <w:pPr>
        <w:pStyle w:val="Para1"/>
        <w:numPr>
          <w:ilvl w:val="0"/>
          <w:numId w:val="19"/>
        </w:numPr>
        <w:suppressLineNumbers/>
        <w:tabs>
          <w:tab w:val="num" w:pos="720"/>
        </w:tabs>
        <w:suppressAutoHyphens/>
        <w:ind w:left="0" w:firstLine="0"/>
        <w:rPr>
          <w:kern w:val="22"/>
          <w:lang w:val="en-CA"/>
        </w:rPr>
      </w:pPr>
      <w:r w:rsidRPr="00EB0301">
        <w:rPr>
          <w:kern w:val="22"/>
          <w:lang w:val="en-CA"/>
        </w:rPr>
        <w:t>In paragraph 9 of decision XII/2 B, the Conference of the Parties requested the Executive Secretary to enhance technical and scientific cooperation and techn</w:t>
      </w:r>
      <w:bookmarkStart w:id="1" w:name="_GoBack"/>
      <w:bookmarkEnd w:id="1"/>
      <w:r w:rsidRPr="00EB0301">
        <w:rPr>
          <w:kern w:val="22"/>
          <w:lang w:val="en-CA"/>
        </w:rPr>
        <w:t>ology transfer under the Convention. The Conference of the Parties also welcomed the Bio-Bridge Initiative (BBI), established with initial support from the Government of the Republic of Korea, to promote and facilitate technical and scientific cooperation with a view to enhancing the implementation of the Strategic Plan for Biodiversity 2011-2020 and its Aichi Biodiversity Targets, as well as the updated national biodiversity strategies and action plans (decision XII/2 B, para. 13 and decision XII/3, para. 5).</w:t>
      </w:r>
    </w:p>
    <w:p w14:paraId="6D143205" w14:textId="17F9B2F6" w:rsidR="00611DEF" w:rsidRPr="00EB0301" w:rsidRDefault="001D7316" w:rsidP="000531D5">
      <w:pPr>
        <w:pStyle w:val="Para1"/>
        <w:numPr>
          <w:ilvl w:val="0"/>
          <w:numId w:val="19"/>
        </w:numPr>
        <w:suppressLineNumbers/>
        <w:tabs>
          <w:tab w:val="num" w:pos="720"/>
        </w:tabs>
        <w:suppressAutoHyphens/>
        <w:ind w:left="0" w:firstLine="0"/>
        <w:rPr>
          <w:rFonts w:eastAsia="MS Mincho"/>
          <w:kern w:val="22"/>
          <w:szCs w:val="22"/>
          <w:lang w:val="en-CA"/>
        </w:rPr>
      </w:pPr>
      <w:r w:rsidRPr="00EB0301">
        <w:rPr>
          <w:kern w:val="22"/>
          <w:szCs w:val="22"/>
          <w:lang w:val="en-CA"/>
        </w:rPr>
        <w:t xml:space="preserve">The present </w:t>
      </w:r>
      <w:r w:rsidRPr="00EB0301">
        <w:rPr>
          <w:bCs/>
          <w:kern w:val="22"/>
          <w:szCs w:val="22"/>
          <w:lang w:val="en-CA"/>
        </w:rPr>
        <w:t xml:space="preserve">document provides a progress report </w:t>
      </w:r>
      <w:r w:rsidR="000531D5" w:rsidRPr="00EB0301">
        <w:rPr>
          <w:bCs/>
          <w:kern w:val="22"/>
          <w:szCs w:val="22"/>
          <w:lang w:val="en-CA"/>
        </w:rPr>
        <w:t xml:space="preserve">on the activities undertaken since the thirteenth meeting of the Conference of the Parties </w:t>
      </w:r>
      <w:r w:rsidR="000531D5" w:rsidRPr="00EB0301">
        <w:rPr>
          <w:kern w:val="22"/>
          <w:lang w:val="en-CA"/>
        </w:rPr>
        <w:t>to promote and facilitate enhance</w:t>
      </w:r>
      <w:r w:rsidR="00730447" w:rsidRPr="00EB0301">
        <w:rPr>
          <w:kern w:val="22"/>
          <w:lang w:val="en-CA"/>
        </w:rPr>
        <w:t>d</w:t>
      </w:r>
      <w:r w:rsidR="000531D5" w:rsidRPr="00EB0301">
        <w:rPr>
          <w:kern w:val="22"/>
          <w:lang w:val="en-CA"/>
        </w:rPr>
        <w:t xml:space="preserve"> technical and scientific cooperation and technology transfer under the Convention. </w:t>
      </w:r>
      <w:r w:rsidR="000531D5" w:rsidRPr="00EB0301">
        <w:rPr>
          <w:bCs/>
          <w:kern w:val="22"/>
          <w:szCs w:val="22"/>
          <w:lang w:val="en-CA"/>
        </w:rPr>
        <w:t xml:space="preserve"> </w:t>
      </w:r>
      <w:r w:rsidRPr="00EB0301">
        <w:rPr>
          <w:bCs/>
          <w:kern w:val="22"/>
          <w:szCs w:val="22"/>
          <w:lang w:val="en-CA"/>
        </w:rPr>
        <w:t xml:space="preserve">Section II </w:t>
      </w:r>
      <w:r w:rsidR="000531D5" w:rsidRPr="00EB0301">
        <w:rPr>
          <w:bCs/>
          <w:kern w:val="22"/>
          <w:szCs w:val="22"/>
          <w:lang w:val="en-CA"/>
        </w:rPr>
        <w:t xml:space="preserve">provides an update on the activities and achievements </w:t>
      </w:r>
      <w:r w:rsidR="001074DE" w:rsidRPr="00EB0301">
        <w:rPr>
          <w:bCs/>
          <w:kern w:val="22"/>
          <w:szCs w:val="22"/>
          <w:lang w:val="en-CA"/>
        </w:rPr>
        <w:t>under</w:t>
      </w:r>
      <w:r w:rsidR="000531D5" w:rsidRPr="00EB0301">
        <w:rPr>
          <w:bCs/>
          <w:kern w:val="22"/>
          <w:szCs w:val="22"/>
          <w:lang w:val="en-CA"/>
        </w:rPr>
        <w:t xml:space="preserve"> the Bio-Bridge Initiative </w:t>
      </w:r>
      <w:r w:rsidR="001074DE" w:rsidRPr="00EB0301">
        <w:rPr>
          <w:bCs/>
          <w:kern w:val="22"/>
          <w:szCs w:val="22"/>
          <w:lang w:val="en-CA"/>
        </w:rPr>
        <w:t>while section</w:t>
      </w:r>
      <w:r w:rsidR="000531D5" w:rsidRPr="00EB0301">
        <w:rPr>
          <w:bCs/>
          <w:kern w:val="22"/>
          <w:szCs w:val="22"/>
          <w:lang w:val="en-CA"/>
        </w:rPr>
        <w:t xml:space="preserve"> III outlines other technical and scientific cooperation initiatives carried</w:t>
      </w:r>
      <w:r w:rsidR="001074DE" w:rsidRPr="00EB0301">
        <w:rPr>
          <w:bCs/>
          <w:kern w:val="22"/>
          <w:szCs w:val="22"/>
          <w:lang w:val="en-CA"/>
        </w:rPr>
        <w:t xml:space="preserve"> out</w:t>
      </w:r>
      <w:r w:rsidR="000531D5" w:rsidRPr="00EB0301">
        <w:rPr>
          <w:bCs/>
          <w:kern w:val="22"/>
          <w:szCs w:val="22"/>
          <w:lang w:val="en-CA"/>
        </w:rPr>
        <w:t xml:space="preserve"> or launched.</w:t>
      </w:r>
    </w:p>
    <w:bookmarkEnd w:id="0"/>
    <w:p w14:paraId="4ABCCB50" w14:textId="115AB97C" w:rsidR="004B05F2" w:rsidRPr="00EB0301" w:rsidRDefault="00FE487A" w:rsidP="000531D5">
      <w:pPr>
        <w:pStyle w:val="Heading2"/>
        <w:numPr>
          <w:ilvl w:val="0"/>
          <w:numId w:val="18"/>
        </w:numPr>
        <w:spacing w:before="240" w:after="240"/>
        <w:ind w:left="714" w:hanging="357"/>
        <w:rPr>
          <w:lang w:val="en-CA"/>
        </w:rPr>
      </w:pPr>
      <w:r w:rsidRPr="00EB0301">
        <w:rPr>
          <w:bCs w:val="0"/>
          <w:iCs w:val="0"/>
          <w:caps/>
          <w:lang w:val="en-CA"/>
        </w:rPr>
        <w:t xml:space="preserve">UPDATE </w:t>
      </w:r>
      <w:r w:rsidR="004B05F2" w:rsidRPr="00EB0301">
        <w:rPr>
          <w:bCs w:val="0"/>
          <w:iCs w:val="0"/>
          <w:caps/>
          <w:lang w:val="en-CA"/>
        </w:rPr>
        <w:t xml:space="preserve">on </w:t>
      </w:r>
      <w:r w:rsidR="00AF69EB" w:rsidRPr="00EB0301">
        <w:rPr>
          <w:bCs w:val="0"/>
          <w:iCs w:val="0"/>
          <w:caps/>
          <w:lang w:val="en-CA"/>
        </w:rPr>
        <w:t xml:space="preserve">PROGRESS WITH </w:t>
      </w:r>
      <w:r w:rsidR="004B05F2" w:rsidRPr="00EB0301">
        <w:rPr>
          <w:bCs w:val="0"/>
          <w:iCs w:val="0"/>
          <w:caps/>
          <w:lang w:val="en-CA"/>
        </w:rPr>
        <w:t xml:space="preserve">the Bio-Bridge Initiative </w:t>
      </w:r>
    </w:p>
    <w:p w14:paraId="2CBBB791" w14:textId="16556839" w:rsidR="004B05F2" w:rsidRPr="00EB0301" w:rsidRDefault="00526A4A" w:rsidP="006103E6">
      <w:pPr>
        <w:pStyle w:val="Para1"/>
        <w:numPr>
          <w:ilvl w:val="0"/>
          <w:numId w:val="19"/>
        </w:numPr>
        <w:suppressLineNumbers/>
        <w:tabs>
          <w:tab w:val="num" w:pos="720"/>
        </w:tabs>
        <w:suppressAutoHyphens/>
        <w:ind w:left="0" w:firstLine="0"/>
        <w:rPr>
          <w:kern w:val="22"/>
          <w:lang w:val="en-CA"/>
        </w:rPr>
      </w:pPr>
      <w:r w:rsidRPr="00EB0301">
        <w:rPr>
          <w:kern w:val="22"/>
          <w:lang w:val="en-CA"/>
        </w:rPr>
        <w:t>The Bio-Bridge Initiative</w:t>
      </w:r>
      <w:r w:rsidR="00FE622E" w:rsidRPr="00EB0301">
        <w:rPr>
          <w:rStyle w:val="FootnoteReference"/>
          <w:kern w:val="22"/>
          <w:szCs w:val="22"/>
          <w:lang w:val="en-CA"/>
        </w:rPr>
        <w:footnoteReference w:id="1"/>
      </w:r>
      <w:r w:rsidRPr="00EB0301">
        <w:rPr>
          <w:kern w:val="22"/>
          <w:lang w:val="en-CA"/>
        </w:rPr>
        <w:t xml:space="preserve"> </w:t>
      </w:r>
      <w:r w:rsidR="00FE622E" w:rsidRPr="00EB0301">
        <w:rPr>
          <w:kern w:val="22"/>
          <w:lang w:val="en-CA"/>
        </w:rPr>
        <w:t>has made significant progress since the last meeting of the Conference of the Parties.</w:t>
      </w:r>
      <w:r w:rsidRPr="00EB0301">
        <w:rPr>
          <w:kern w:val="22"/>
          <w:lang w:val="en-CA"/>
        </w:rPr>
        <w:t xml:space="preserve"> </w:t>
      </w:r>
      <w:r w:rsidR="006103E6" w:rsidRPr="00EB0301">
        <w:rPr>
          <w:kern w:val="22"/>
          <w:lang w:val="en-CA"/>
        </w:rPr>
        <w:t xml:space="preserve"> </w:t>
      </w:r>
      <w:r w:rsidR="004B05F2" w:rsidRPr="00EB0301">
        <w:rPr>
          <w:rFonts w:eastAsia="MS Mincho"/>
          <w:kern w:val="22"/>
          <w:szCs w:val="22"/>
          <w:lang w:val="en-CA"/>
        </w:rPr>
        <w:t xml:space="preserve">In January 2017, the Secretariat </w:t>
      </w:r>
      <w:r w:rsidR="00075C44" w:rsidRPr="00EB0301">
        <w:rPr>
          <w:rFonts w:eastAsia="MS Mincho"/>
          <w:kern w:val="22"/>
          <w:szCs w:val="22"/>
          <w:lang w:val="en-CA"/>
        </w:rPr>
        <w:t>commenced</w:t>
      </w:r>
      <w:r w:rsidR="004B05F2" w:rsidRPr="00EB0301">
        <w:rPr>
          <w:rFonts w:eastAsia="MS Mincho"/>
          <w:kern w:val="22"/>
          <w:szCs w:val="22"/>
          <w:lang w:val="en-CA"/>
        </w:rPr>
        <w:t xml:space="preserve"> the operational phase of the </w:t>
      </w:r>
      <w:r w:rsidR="00075C44" w:rsidRPr="00EB0301">
        <w:rPr>
          <w:rFonts w:eastAsia="MS Mincho"/>
          <w:kern w:val="22"/>
          <w:szCs w:val="22"/>
          <w:lang w:val="en-CA"/>
        </w:rPr>
        <w:t>programme</w:t>
      </w:r>
      <w:r w:rsidR="00D93C34" w:rsidRPr="00EB0301">
        <w:rPr>
          <w:kern w:val="22"/>
          <w:lang w:val="en-CA"/>
        </w:rPr>
        <w:t xml:space="preserve"> in line with the Bio-Bridge </w:t>
      </w:r>
      <w:r w:rsidR="00D93C34" w:rsidRPr="00EB0301">
        <w:rPr>
          <w:rFonts w:eastAsia="MS Mincho"/>
          <w:kern w:val="22"/>
          <w:szCs w:val="22"/>
          <w:lang w:val="en-CA"/>
        </w:rPr>
        <w:t>Initiative Action Plan</w:t>
      </w:r>
      <w:r w:rsidR="00D93C34" w:rsidRPr="00EB0301">
        <w:rPr>
          <w:rFonts w:eastAsia="MS Mincho"/>
          <w:szCs w:val="22"/>
          <w:vertAlign w:val="superscript"/>
          <w:lang w:val="en-CA"/>
        </w:rPr>
        <w:footnoteReference w:id="2"/>
      </w:r>
      <w:r w:rsidR="00D93C34" w:rsidRPr="00EB0301">
        <w:rPr>
          <w:rFonts w:eastAsia="MS Mincho"/>
          <w:kern w:val="22"/>
          <w:szCs w:val="22"/>
          <w:lang w:val="en-CA"/>
        </w:rPr>
        <w:t xml:space="preserve"> that was launched in December 2016 in the margins of COP 13 to guide operations and inform activities for the period 2017-2020</w:t>
      </w:r>
      <w:r w:rsidR="004B05F2" w:rsidRPr="00EB0301">
        <w:rPr>
          <w:rFonts w:eastAsia="MS Mincho"/>
          <w:kern w:val="22"/>
          <w:szCs w:val="22"/>
          <w:lang w:val="en-CA"/>
        </w:rPr>
        <w:t xml:space="preserve">. </w:t>
      </w:r>
      <w:r w:rsidR="00726629" w:rsidRPr="00EB0301">
        <w:rPr>
          <w:rFonts w:eastAsia="MS Mincho"/>
          <w:kern w:val="22"/>
          <w:szCs w:val="22"/>
          <w:lang w:val="en-CA"/>
        </w:rPr>
        <w:t xml:space="preserve"> </w:t>
      </w:r>
      <w:r w:rsidR="00D93C34" w:rsidRPr="00EB0301">
        <w:rPr>
          <w:rFonts w:eastAsia="MS Mincho"/>
          <w:kern w:val="22"/>
          <w:szCs w:val="22"/>
          <w:lang w:val="en-CA"/>
        </w:rPr>
        <w:t xml:space="preserve">Some of the </w:t>
      </w:r>
      <w:r w:rsidR="00726629" w:rsidRPr="00EB0301">
        <w:rPr>
          <w:rFonts w:eastAsia="MS Mincho"/>
          <w:kern w:val="22"/>
          <w:szCs w:val="22"/>
          <w:lang w:val="en-CA"/>
        </w:rPr>
        <w:t>major achievement</w:t>
      </w:r>
      <w:r w:rsidR="00D93C34" w:rsidRPr="00EB0301">
        <w:rPr>
          <w:rFonts w:eastAsia="MS Mincho"/>
          <w:kern w:val="22"/>
          <w:szCs w:val="22"/>
          <w:lang w:val="en-CA"/>
        </w:rPr>
        <w:t>s</w:t>
      </w:r>
      <w:r w:rsidR="00726629" w:rsidRPr="00EB0301">
        <w:rPr>
          <w:rFonts w:eastAsia="MS Mincho"/>
          <w:kern w:val="22"/>
          <w:szCs w:val="22"/>
          <w:lang w:val="en-CA"/>
        </w:rPr>
        <w:t xml:space="preserve"> </w:t>
      </w:r>
      <w:r w:rsidR="004B05F2" w:rsidRPr="00EB0301">
        <w:rPr>
          <w:rFonts w:eastAsia="MS Mincho"/>
          <w:kern w:val="22"/>
          <w:szCs w:val="22"/>
          <w:lang w:val="en-CA"/>
        </w:rPr>
        <w:t xml:space="preserve">to date include </w:t>
      </w:r>
      <w:r w:rsidR="004E7BCE" w:rsidRPr="00EB0301">
        <w:rPr>
          <w:rFonts w:eastAsia="MS Mincho"/>
          <w:kern w:val="22"/>
          <w:szCs w:val="22"/>
          <w:lang w:val="en-CA"/>
        </w:rPr>
        <w:t xml:space="preserve">the establishment of a help desk and </w:t>
      </w:r>
      <w:r w:rsidR="004B05F2" w:rsidRPr="00EB0301">
        <w:rPr>
          <w:rFonts w:eastAsia="MS Mincho"/>
          <w:kern w:val="22"/>
          <w:szCs w:val="22"/>
          <w:lang w:val="en-CA"/>
        </w:rPr>
        <w:t>the launch</w:t>
      </w:r>
      <w:r w:rsidR="00AF69EB" w:rsidRPr="00EB0301">
        <w:rPr>
          <w:rFonts w:eastAsia="MS Mincho"/>
          <w:kern w:val="22"/>
          <w:szCs w:val="22"/>
          <w:lang w:val="en-CA"/>
        </w:rPr>
        <w:t>,</w:t>
      </w:r>
      <w:r w:rsidR="00075C44" w:rsidRPr="00EB0301">
        <w:rPr>
          <w:rFonts w:eastAsia="MS Mincho"/>
          <w:kern w:val="22"/>
          <w:szCs w:val="22"/>
          <w:lang w:val="en-CA"/>
        </w:rPr>
        <w:t xml:space="preserve"> </w:t>
      </w:r>
      <w:r w:rsidR="004B05F2" w:rsidRPr="00EB0301">
        <w:rPr>
          <w:rFonts w:eastAsia="MS Mincho"/>
          <w:kern w:val="22"/>
          <w:szCs w:val="22"/>
          <w:lang w:val="en-CA"/>
        </w:rPr>
        <w:t>in March 2017</w:t>
      </w:r>
      <w:r w:rsidR="00AF69EB" w:rsidRPr="00EB0301">
        <w:rPr>
          <w:rFonts w:eastAsia="MS Mincho"/>
          <w:kern w:val="22"/>
          <w:szCs w:val="22"/>
          <w:lang w:val="en-CA"/>
        </w:rPr>
        <w:t xml:space="preserve">, </w:t>
      </w:r>
      <w:r w:rsidR="004B05F2" w:rsidRPr="00EB0301">
        <w:rPr>
          <w:rFonts w:eastAsia="MS Mincho"/>
          <w:kern w:val="22"/>
          <w:szCs w:val="22"/>
          <w:lang w:val="en-CA"/>
        </w:rPr>
        <w:t xml:space="preserve">of </w:t>
      </w:r>
      <w:r w:rsidR="00D93C34" w:rsidRPr="00EB0301">
        <w:rPr>
          <w:rFonts w:eastAsia="MS Mincho"/>
          <w:kern w:val="22"/>
          <w:szCs w:val="22"/>
          <w:lang w:val="en-CA"/>
        </w:rPr>
        <w:t xml:space="preserve">the BBI </w:t>
      </w:r>
      <w:r w:rsidR="00F72771" w:rsidRPr="00EB0301">
        <w:rPr>
          <w:rFonts w:eastAsia="MS Mincho"/>
          <w:kern w:val="22"/>
          <w:szCs w:val="22"/>
          <w:lang w:val="en-CA"/>
        </w:rPr>
        <w:t xml:space="preserve">website </w:t>
      </w:r>
      <w:r w:rsidR="00D93C34" w:rsidRPr="00EB0301">
        <w:rPr>
          <w:rFonts w:eastAsia="MS Mincho"/>
          <w:kern w:val="22"/>
          <w:szCs w:val="22"/>
          <w:lang w:val="en-CA"/>
        </w:rPr>
        <w:t>and</w:t>
      </w:r>
      <w:r w:rsidR="00F72771" w:rsidRPr="00EB0301">
        <w:rPr>
          <w:rFonts w:eastAsia="MS Mincho"/>
          <w:kern w:val="22"/>
          <w:szCs w:val="22"/>
          <w:lang w:val="en-CA"/>
        </w:rPr>
        <w:t xml:space="preserve"> a</w:t>
      </w:r>
      <w:r w:rsidR="00726629" w:rsidRPr="00EB0301">
        <w:rPr>
          <w:rFonts w:eastAsia="MS Mincho"/>
          <w:kern w:val="22"/>
          <w:szCs w:val="22"/>
          <w:lang w:val="en-CA"/>
        </w:rPr>
        <w:t xml:space="preserve"> </w:t>
      </w:r>
      <w:r w:rsidR="004B05F2" w:rsidRPr="00EB0301">
        <w:rPr>
          <w:rFonts w:eastAsia="MS Mincho"/>
          <w:kern w:val="22"/>
          <w:szCs w:val="22"/>
          <w:lang w:val="en-CA"/>
        </w:rPr>
        <w:t>web platform powered by the central clearing-house mechanism</w:t>
      </w:r>
      <w:r w:rsidR="004E7BCE" w:rsidRPr="00EB0301">
        <w:rPr>
          <w:rFonts w:eastAsia="MS Mincho"/>
          <w:kern w:val="22"/>
          <w:szCs w:val="22"/>
          <w:lang w:val="en-CA"/>
        </w:rPr>
        <w:t>,</w:t>
      </w:r>
      <w:r w:rsidR="004B05F2" w:rsidRPr="00EB0301">
        <w:rPr>
          <w:rFonts w:eastAsia="MS Mincho"/>
          <w:szCs w:val="22"/>
          <w:vertAlign w:val="superscript"/>
          <w:lang w:val="en-CA"/>
        </w:rPr>
        <w:footnoteReference w:id="3"/>
      </w:r>
      <w:r w:rsidR="004B05F2" w:rsidRPr="00EB0301">
        <w:rPr>
          <w:rFonts w:eastAsia="MS Mincho"/>
          <w:kern w:val="22"/>
          <w:szCs w:val="22"/>
          <w:lang w:val="en-CA"/>
        </w:rPr>
        <w:t xml:space="preserve"> </w:t>
      </w:r>
      <w:r w:rsidR="004E7BCE" w:rsidRPr="00EB0301">
        <w:rPr>
          <w:rFonts w:eastAsia="MS Mincho"/>
          <w:kern w:val="22"/>
          <w:szCs w:val="22"/>
          <w:lang w:val="en-CA"/>
        </w:rPr>
        <w:t xml:space="preserve">which together with </w:t>
      </w:r>
      <w:r w:rsidR="00D93C34" w:rsidRPr="00EB0301">
        <w:rPr>
          <w:rFonts w:eastAsia="MS Mincho"/>
          <w:kern w:val="22"/>
          <w:szCs w:val="22"/>
          <w:lang w:val="en-CA"/>
        </w:rPr>
        <w:t>the</w:t>
      </w:r>
      <w:r w:rsidR="004E7BCE" w:rsidRPr="00EB0301">
        <w:rPr>
          <w:rFonts w:eastAsia="MS Mincho"/>
          <w:kern w:val="22"/>
          <w:szCs w:val="22"/>
          <w:lang w:val="en-CA"/>
        </w:rPr>
        <w:t xml:space="preserve"> </w:t>
      </w:r>
      <w:r w:rsidR="00726629" w:rsidRPr="00EB0301">
        <w:rPr>
          <w:rFonts w:eastAsia="MS Mincho"/>
          <w:kern w:val="22"/>
          <w:szCs w:val="22"/>
          <w:lang w:val="en-CA"/>
        </w:rPr>
        <w:t xml:space="preserve">help desk, </w:t>
      </w:r>
      <w:r w:rsidR="00F72771" w:rsidRPr="00EB0301">
        <w:rPr>
          <w:rFonts w:eastAsia="MS Mincho"/>
          <w:kern w:val="22"/>
          <w:szCs w:val="22"/>
          <w:lang w:val="en-CA"/>
        </w:rPr>
        <w:t>underpin</w:t>
      </w:r>
      <w:r w:rsidR="004E7BCE" w:rsidRPr="00EB0301">
        <w:rPr>
          <w:rFonts w:eastAsia="MS Mincho"/>
          <w:kern w:val="22"/>
          <w:szCs w:val="22"/>
          <w:lang w:val="en-CA"/>
        </w:rPr>
        <w:t xml:space="preserve"> the </w:t>
      </w:r>
      <w:r w:rsidR="00726629" w:rsidRPr="00EB0301">
        <w:rPr>
          <w:rFonts w:eastAsia="MS Mincho"/>
          <w:kern w:val="22"/>
          <w:szCs w:val="22"/>
          <w:lang w:val="en-CA"/>
        </w:rPr>
        <w:t>matchmaking</w:t>
      </w:r>
      <w:r w:rsidR="004E7BCE" w:rsidRPr="00EB0301">
        <w:rPr>
          <w:rFonts w:eastAsia="MS Mincho"/>
          <w:kern w:val="22"/>
          <w:szCs w:val="22"/>
          <w:lang w:val="en-CA"/>
        </w:rPr>
        <w:t xml:space="preserve"> process. The </w:t>
      </w:r>
      <w:r w:rsidR="00AF69EB" w:rsidRPr="00EB0301">
        <w:rPr>
          <w:rFonts w:eastAsia="MS Mincho"/>
          <w:kern w:val="22"/>
          <w:szCs w:val="22"/>
          <w:lang w:val="en-CA"/>
        </w:rPr>
        <w:t xml:space="preserve">matchmaking </w:t>
      </w:r>
      <w:r w:rsidR="004E7BCE" w:rsidRPr="00EB0301">
        <w:rPr>
          <w:rFonts w:eastAsia="MS Mincho"/>
          <w:kern w:val="22"/>
          <w:szCs w:val="22"/>
          <w:lang w:val="en-CA"/>
        </w:rPr>
        <w:t>web platform</w:t>
      </w:r>
      <w:r w:rsidR="00726629" w:rsidRPr="00EB0301">
        <w:rPr>
          <w:rFonts w:eastAsia="MS Mincho"/>
          <w:kern w:val="22"/>
          <w:szCs w:val="22"/>
          <w:lang w:val="en-CA"/>
        </w:rPr>
        <w:t xml:space="preserve"> </w:t>
      </w:r>
      <w:r w:rsidR="004E7BCE" w:rsidRPr="00EB0301">
        <w:rPr>
          <w:rFonts w:eastAsia="MS Mincho"/>
          <w:kern w:val="22"/>
          <w:szCs w:val="22"/>
          <w:lang w:val="en-CA"/>
        </w:rPr>
        <w:t xml:space="preserve">allows </w:t>
      </w:r>
      <w:r w:rsidR="004B05F2" w:rsidRPr="00EB0301">
        <w:rPr>
          <w:rFonts w:eastAsia="MS Mincho"/>
          <w:kern w:val="22"/>
          <w:szCs w:val="22"/>
          <w:lang w:val="en-CA"/>
        </w:rPr>
        <w:t>countries and relevant stakeholders to submit requests for assistance, post offers of technical assistance, announce available opportunities and access a range of knowledge assets and curated resources.</w:t>
      </w:r>
    </w:p>
    <w:p w14:paraId="387E1296" w14:textId="28F410A2" w:rsidR="00726629" w:rsidRPr="00EB0301" w:rsidRDefault="00584C4D" w:rsidP="00FB5CAF">
      <w:pPr>
        <w:pStyle w:val="Para1"/>
        <w:numPr>
          <w:ilvl w:val="0"/>
          <w:numId w:val="19"/>
        </w:numPr>
        <w:suppressLineNumbers/>
        <w:tabs>
          <w:tab w:val="num" w:pos="720"/>
        </w:tabs>
        <w:suppressAutoHyphens/>
        <w:ind w:left="0" w:firstLine="0"/>
        <w:rPr>
          <w:kern w:val="22"/>
          <w:lang w:val="en-CA"/>
        </w:rPr>
      </w:pPr>
      <w:r w:rsidRPr="00EB0301">
        <w:rPr>
          <w:rFonts w:eastAsia="MS Mincho"/>
          <w:kern w:val="22"/>
          <w:szCs w:val="22"/>
          <w:lang w:val="en-CA"/>
        </w:rPr>
        <w:t>Following</w:t>
      </w:r>
      <w:r w:rsidR="00FB5CAF" w:rsidRPr="00EB0301">
        <w:rPr>
          <w:rFonts w:eastAsia="MS Mincho"/>
          <w:kern w:val="22"/>
          <w:szCs w:val="22"/>
          <w:lang w:val="en-CA"/>
        </w:rPr>
        <w:t xml:space="preserve"> the onboarding of</w:t>
      </w:r>
      <w:r w:rsidR="009072F6" w:rsidRPr="00EB0301">
        <w:rPr>
          <w:rFonts w:eastAsia="MS Mincho"/>
          <w:kern w:val="22"/>
          <w:szCs w:val="22"/>
          <w:lang w:val="en-CA"/>
        </w:rPr>
        <w:t xml:space="preserve"> two core staff </w:t>
      </w:r>
      <w:r w:rsidRPr="00EB0301">
        <w:rPr>
          <w:rFonts w:eastAsia="MS Mincho"/>
          <w:kern w:val="22"/>
          <w:szCs w:val="22"/>
          <w:lang w:val="en-CA"/>
        </w:rPr>
        <w:t>– the Programme Management</w:t>
      </w:r>
      <w:r w:rsidRPr="00EB0301">
        <w:rPr>
          <w:kern w:val="22"/>
          <w:lang w:val="en-CA"/>
        </w:rPr>
        <w:t xml:space="preserve"> Assistant and Programme Management Officer </w:t>
      </w:r>
      <w:r w:rsidR="00537424" w:rsidRPr="00EB0301">
        <w:rPr>
          <w:kern w:val="22"/>
          <w:lang w:val="en-CA"/>
        </w:rPr>
        <w:t xml:space="preserve">– </w:t>
      </w:r>
      <w:r w:rsidR="009072F6" w:rsidRPr="00EB0301">
        <w:rPr>
          <w:rFonts w:eastAsia="MS Mincho"/>
          <w:kern w:val="22"/>
          <w:szCs w:val="22"/>
          <w:lang w:val="en-CA"/>
        </w:rPr>
        <w:t>in January and February of</w:t>
      </w:r>
      <w:r w:rsidR="00FB5CAF" w:rsidRPr="00EB0301">
        <w:rPr>
          <w:rFonts w:eastAsia="MS Mincho"/>
          <w:kern w:val="22"/>
          <w:szCs w:val="22"/>
          <w:lang w:val="en-CA"/>
        </w:rPr>
        <w:t xml:space="preserve"> 2018 </w:t>
      </w:r>
      <w:r w:rsidR="009072F6" w:rsidRPr="00EB0301">
        <w:rPr>
          <w:rFonts w:eastAsia="MS Mincho"/>
          <w:kern w:val="22"/>
          <w:szCs w:val="22"/>
          <w:lang w:val="en-CA"/>
        </w:rPr>
        <w:t>respectively</w:t>
      </w:r>
      <w:r w:rsidR="00FB5CAF" w:rsidRPr="00EB0301">
        <w:rPr>
          <w:kern w:val="22"/>
          <w:lang w:val="en-CA"/>
        </w:rPr>
        <w:t>, the</w:t>
      </w:r>
      <w:r w:rsidR="00A13EF1" w:rsidRPr="00EB0301">
        <w:rPr>
          <w:kern w:val="22"/>
          <w:lang w:val="en-CA"/>
        </w:rPr>
        <w:t xml:space="preserve"> programme</w:t>
      </w:r>
      <w:r w:rsidR="00726629" w:rsidRPr="00EB0301">
        <w:rPr>
          <w:kern w:val="22"/>
          <w:lang w:val="en-CA"/>
        </w:rPr>
        <w:t xml:space="preserve"> has</w:t>
      </w:r>
      <w:r w:rsidR="00537424" w:rsidRPr="00EB0301">
        <w:rPr>
          <w:kern w:val="22"/>
          <w:lang w:val="en-CA"/>
        </w:rPr>
        <w:t xml:space="preserve"> grown </w:t>
      </w:r>
      <w:r w:rsidR="009072F6" w:rsidRPr="00EB0301">
        <w:rPr>
          <w:kern w:val="22"/>
          <w:lang w:val="en-CA"/>
        </w:rPr>
        <w:t>from strength to strength</w:t>
      </w:r>
      <w:r w:rsidR="00FB5CAF" w:rsidRPr="00EB0301">
        <w:rPr>
          <w:kern w:val="22"/>
          <w:lang w:val="en-CA"/>
        </w:rPr>
        <w:t xml:space="preserve">. </w:t>
      </w:r>
      <w:r w:rsidR="00730447" w:rsidRPr="00EB0301">
        <w:rPr>
          <w:kern w:val="22"/>
          <w:lang w:val="en-CA"/>
        </w:rPr>
        <w:t>Since</w:t>
      </w:r>
      <w:r w:rsidR="00C04FA1" w:rsidRPr="00EB0301">
        <w:rPr>
          <w:kern w:val="22"/>
          <w:lang w:val="en-CA"/>
        </w:rPr>
        <w:t xml:space="preserve"> inception, t</w:t>
      </w:r>
      <w:r w:rsidR="00FB5CAF" w:rsidRPr="00EB0301">
        <w:rPr>
          <w:kern w:val="22"/>
          <w:lang w:val="en-CA"/>
        </w:rPr>
        <w:t xml:space="preserve">he Bio-Bridge Initiative </w:t>
      </w:r>
      <w:r w:rsidR="003979F7" w:rsidRPr="00EB0301">
        <w:rPr>
          <w:kern w:val="22"/>
          <w:lang w:val="en-CA"/>
        </w:rPr>
        <w:t xml:space="preserve">has </w:t>
      </w:r>
      <w:r w:rsidR="00726629" w:rsidRPr="00EB0301">
        <w:rPr>
          <w:kern w:val="22"/>
          <w:lang w:val="en-CA"/>
        </w:rPr>
        <w:t xml:space="preserve">incubated several </w:t>
      </w:r>
      <w:r w:rsidR="003979F7" w:rsidRPr="00EB0301">
        <w:rPr>
          <w:kern w:val="22"/>
          <w:lang w:val="en-CA"/>
        </w:rPr>
        <w:t xml:space="preserve">successful </w:t>
      </w:r>
      <w:r w:rsidR="00726629" w:rsidRPr="00EB0301">
        <w:rPr>
          <w:kern w:val="22"/>
          <w:lang w:val="en-CA"/>
        </w:rPr>
        <w:t xml:space="preserve">technical and </w:t>
      </w:r>
      <w:r w:rsidR="00726629" w:rsidRPr="00EB0301">
        <w:rPr>
          <w:kern w:val="22"/>
          <w:lang w:val="en-CA"/>
        </w:rPr>
        <w:lastRenderedPageBreak/>
        <w:t>scientific coopera</w:t>
      </w:r>
      <w:r w:rsidR="00A13EF1" w:rsidRPr="00EB0301">
        <w:rPr>
          <w:kern w:val="22"/>
          <w:lang w:val="en-CA"/>
        </w:rPr>
        <w:t>tion projects and partnerships</w:t>
      </w:r>
      <w:r w:rsidR="00FB5CAF" w:rsidRPr="00EB0301">
        <w:rPr>
          <w:kern w:val="22"/>
          <w:lang w:val="en-CA"/>
        </w:rPr>
        <w:t xml:space="preserve"> through a </w:t>
      </w:r>
      <w:r w:rsidR="00FC774C" w:rsidRPr="00EB0301">
        <w:rPr>
          <w:kern w:val="22"/>
          <w:lang w:val="en-CA"/>
        </w:rPr>
        <w:t xml:space="preserve">combination </w:t>
      </w:r>
      <w:r w:rsidR="00FB5CAF" w:rsidRPr="00EB0301">
        <w:rPr>
          <w:kern w:val="22"/>
          <w:lang w:val="en-CA"/>
        </w:rPr>
        <w:t>of catalytic</w:t>
      </w:r>
      <w:r w:rsidR="00FC774C" w:rsidRPr="00EB0301">
        <w:rPr>
          <w:kern w:val="22"/>
          <w:lang w:val="en-CA"/>
        </w:rPr>
        <w:t xml:space="preserve"> early-stage </w:t>
      </w:r>
      <w:r w:rsidR="00C04FA1" w:rsidRPr="00EB0301">
        <w:rPr>
          <w:kern w:val="22"/>
          <w:lang w:val="en-CA"/>
        </w:rPr>
        <w:t xml:space="preserve">seed funding </w:t>
      </w:r>
      <w:r w:rsidR="00FB5CAF" w:rsidRPr="00EB0301">
        <w:rPr>
          <w:kern w:val="22"/>
          <w:lang w:val="en-CA"/>
        </w:rPr>
        <w:t xml:space="preserve">and </w:t>
      </w:r>
      <w:r w:rsidR="00D70D27" w:rsidRPr="00EB0301">
        <w:rPr>
          <w:kern w:val="22"/>
          <w:lang w:val="en-CA"/>
        </w:rPr>
        <w:t>institutional pro-bono support.</w:t>
      </w:r>
      <w:r w:rsidR="00FB5CAF" w:rsidRPr="00EB0301">
        <w:rPr>
          <w:kern w:val="22"/>
          <w:lang w:val="en-CA"/>
        </w:rPr>
        <w:t xml:space="preserve"> Some partnerships supported through the programme have </w:t>
      </w:r>
      <w:r w:rsidR="00FC774C" w:rsidRPr="00EB0301">
        <w:rPr>
          <w:kern w:val="22"/>
          <w:lang w:val="en-CA"/>
        </w:rPr>
        <w:t xml:space="preserve">been successful in leveraging other </w:t>
      </w:r>
      <w:r w:rsidR="002D00A4" w:rsidRPr="00EB0301">
        <w:rPr>
          <w:kern w:val="22"/>
          <w:lang w:val="en-CA"/>
        </w:rPr>
        <w:t xml:space="preserve">sources </w:t>
      </w:r>
      <w:r w:rsidR="00FC774C" w:rsidRPr="00EB0301">
        <w:rPr>
          <w:kern w:val="22"/>
          <w:lang w:val="en-CA"/>
        </w:rPr>
        <w:t xml:space="preserve">of financial support and have </w:t>
      </w:r>
      <w:r w:rsidR="00FB5CAF" w:rsidRPr="00EB0301">
        <w:rPr>
          <w:kern w:val="22"/>
          <w:lang w:val="en-CA"/>
        </w:rPr>
        <w:t xml:space="preserve">subsequently </w:t>
      </w:r>
      <w:r w:rsidR="003979F7" w:rsidRPr="00EB0301">
        <w:rPr>
          <w:kern w:val="22"/>
          <w:lang w:val="en-CA"/>
        </w:rPr>
        <w:t>gone on to</w:t>
      </w:r>
      <w:r w:rsidR="00FB5CAF" w:rsidRPr="00EB0301">
        <w:rPr>
          <w:kern w:val="22"/>
          <w:lang w:val="en-CA"/>
        </w:rPr>
        <w:t xml:space="preserve"> </w:t>
      </w:r>
      <w:r w:rsidR="003979F7" w:rsidRPr="00EB0301">
        <w:rPr>
          <w:kern w:val="22"/>
          <w:lang w:val="en-CA"/>
        </w:rPr>
        <w:t xml:space="preserve">implement </w:t>
      </w:r>
      <w:r w:rsidR="00FB5CAF" w:rsidRPr="00EB0301">
        <w:rPr>
          <w:kern w:val="22"/>
          <w:lang w:val="en-CA"/>
        </w:rPr>
        <w:t xml:space="preserve">follow-up </w:t>
      </w:r>
      <w:r w:rsidR="003979F7" w:rsidRPr="00EB0301">
        <w:rPr>
          <w:kern w:val="22"/>
          <w:lang w:val="en-CA"/>
        </w:rPr>
        <w:t>activities</w:t>
      </w:r>
      <w:r w:rsidR="002D00A4" w:rsidRPr="00EB0301">
        <w:rPr>
          <w:kern w:val="22"/>
          <w:lang w:val="en-CA"/>
        </w:rPr>
        <w:t xml:space="preserve"> and generate momentum post-project to address their technical and scientific cooperation needs</w:t>
      </w:r>
      <w:r w:rsidR="001E57BD" w:rsidRPr="00EB0301">
        <w:rPr>
          <w:kern w:val="22"/>
          <w:lang w:val="en-CA"/>
        </w:rPr>
        <w:t>.</w:t>
      </w:r>
      <w:r w:rsidR="00A13EF1" w:rsidRPr="00EB0301">
        <w:rPr>
          <w:kern w:val="22"/>
          <w:lang w:val="en-CA"/>
        </w:rPr>
        <w:t xml:space="preserve"> </w:t>
      </w:r>
      <w:r w:rsidR="00726629" w:rsidRPr="00EB0301">
        <w:rPr>
          <w:kern w:val="22"/>
          <w:lang w:val="en-CA"/>
        </w:rPr>
        <w:t>BBI has also helped to strengthen the</w:t>
      </w:r>
      <w:r w:rsidR="00A13EF1" w:rsidRPr="00EB0301">
        <w:rPr>
          <w:kern w:val="22"/>
          <w:lang w:val="en-CA"/>
        </w:rPr>
        <w:t xml:space="preserve"> </w:t>
      </w:r>
      <w:r w:rsidR="00726629" w:rsidRPr="00EB0301">
        <w:rPr>
          <w:kern w:val="22"/>
          <w:lang w:val="en-CA"/>
        </w:rPr>
        <w:t>institutional capacities of b</w:t>
      </w:r>
      <w:r w:rsidR="00A13EF1" w:rsidRPr="00EB0301">
        <w:rPr>
          <w:kern w:val="22"/>
          <w:lang w:val="en-CA"/>
        </w:rPr>
        <w:t xml:space="preserve">oth countries and institutions </w:t>
      </w:r>
      <w:r w:rsidR="003979F7" w:rsidRPr="00EB0301">
        <w:rPr>
          <w:kern w:val="22"/>
          <w:lang w:val="en-CA"/>
        </w:rPr>
        <w:t xml:space="preserve">through leadership and matchmaking that </w:t>
      </w:r>
      <w:r w:rsidR="00A13EF1" w:rsidRPr="00EB0301">
        <w:rPr>
          <w:kern w:val="22"/>
          <w:lang w:val="en-CA"/>
        </w:rPr>
        <w:t xml:space="preserve">has led to stronger </w:t>
      </w:r>
      <w:r w:rsidR="00726629" w:rsidRPr="00EB0301">
        <w:rPr>
          <w:kern w:val="22"/>
          <w:lang w:val="en-CA"/>
        </w:rPr>
        <w:t>conservation outcomes.</w:t>
      </w:r>
    </w:p>
    <w:p w14:paraId="579BE752" w14:textId="19F22330" w:rsidR="003979F7" w:rsidRPr="00EB0301" w:rsidRDefault="003979F7" w:rsidP="006103E6">
      <w:pPr>
        <w:pStyle w:val="Heading2"/>
        <w:numPr>
          <w:ilvl w:val="0"/>
          <w:numId w:val="24"/>
        </w:numPr>
        <w:spacing w:before="240" w:after="240"/>
        <w:rPr>
          <w:lang w:val="en-CA"/>
        </w:rPr>
      </w:pPr>
      <w:r w:rsidRPr="00EB0301">
        <w:rPr>
          <w:bCs w:val="0"/>
          <w:iCs w:val="0"/>
          <w:caps/>
          <w:lang w:val="en-CA"/>
        </w:rPr>
        <w:t>Pilot and Demonstration Bio-Bridge Initiative Projects</w:t>
      </w:r>
    </w:p>
    <w:p w14:paraId="1F956B88" w14:textId="2BF97689" w:rsidR="005C162B" w:rsidRPr="00EB0301" w:rsidRDefault="008D7C33" w:rsidP="00BB75B8">
      <w:pPr>
        <w:pStyle w:val="Para1"/>
        <w:numPr>
          <w:ilvl w:val="0"/>
          <w:numId w:val="19"/>
        </w:numPr>
        <w:suppressLineNumbers/>
        <w:tabs>
          <w:tab w:val="num" w:pos="720"/>
        </w:tabs>
        <w:suppressAutoHyphens/>
        <w:ind w:left="0" w:firstLine="0"/>
        <w:rPr>
          <w:rFonts w:eastAsia="MS Mincho"/>
          <w:kern w:val="22"/>
          <w:szCs w:val="22"/>
          <w:lang w:val="en-CA"/>
        </w:rPr>
      </w:pPr>
      <w:r w:rsidRPr="00EB0301">
        <w:rPr>
          <w:kern w:val="22"/>
          <w:lang w:val="en-CA"/>
        </w:rPr>
        <w:t>The Bio-Bridge Initiative</w:t>
      </w:r>
      <w:r w:rsidR="00A743D6" w:rsidRPr="00EB0301">
        <w:rPr>
          <w:kern w:val="22"/>
          <w:lang w:val="en-CA"/>
        </w:rPr>
        <w:t xml:space="preserve">, through its </w:t>
      </w:r>
      <w:r w:rsidR="00B02CBC" w:rsidRPr="00EB0301">
        <w:rPr>
          <w:kern w:val="22"/>
          <w:lang w:val="en-CA"/>
        </w:rPr>
        <w:t>seed</w:t>
      </w:r>
      <w:r w:rsidRPr="00EB0301">
        <w:rPr>
          <w:kern w:val="22"/>
          <w:lang w:val="en-CA"/>
        </w:rPr>
        <w:t xml:space="preserve"> grant facility, provided </w:t>
      </w:r>
      <w:r w:rsidR="00A743D6" w:rsidRPr="00EB0301">
        <w:rPr>
          <w:kern w:val="22"/>
          <w:lang w:val="en-CA"/>
        </w:rPr>
        <w:t xml:space="preserve">catalytic </w:t>
      </w:r>
      <w:r w:rsidR="00FB5CAF" w:rsidRPr="00EB0301">
        <w:rPr>
          <w:kern w:val="22"/>
          <w:lang w:val="en-CA"/>
        </w:rPr>
        <w:t>support</w:t>
      </w:r>
      <w:r w:rsidRPr="00EB0301">
        <w:rPr>
          <w:kern w:val="22"/>
          <w:lang w:val="en-CA"/>
        </w:rPr>
        <w:t xml:space="preserve"> </w:t>
      </w:r>
      <w:r w:rsidR="00A743D6" w:rsidRPr="00EB0301">
        <w:rPr>
          <w:kern w:val="22"/>
          <w:lang w:val="en-CA"/>
        </w:rPr>
        <w:t xml:space="preserve">for the incubation of </w:t>
      </w:r>
      <w:r w:rsidR="00ED0A37" w:rsidRPr="00EB0301">
        <w:rPr>
          <w:kern w:val="22"/>
          <w:lang w:val="en-CA"/>
        </w:rPr>
        <w:t>nine</w:t>
      </w:r>
      <w:r w:rsidRPr="00EB0301">
        <w:rPr>
          <w:kern w:val="22"/>
          <w:lang w:val="en-CA"/>
        </w:rPr>
        <w:t xml:space="preserve"> </w:t>
      </w:r>
      <w:r w:rsidR="00B02CBC" w:rsidRPr="00EB0301">
        <w:rPr>
          <w:kern w:val="22"/>
          <w:lang w:val="en-CA"/>
        </w:rPr>
        <w:t xml:space="preserve">demonstration projects </w:t>
      </w:r>
      <w:r w:rsidRPr="00EB0301">
        <w:rPr>
          <w:kern w:val="22"/>
          <w:lang w:val="en-CA"/>
        </w:rPr>
        <w:t xml:space="preserve">from the following countries: Belarus, China, Colombia, </w:t>
      </w:r>
      <w:r w:rsidR="00F77178" w:rsidRPr="00EB0301">
        <w:rPr>
          <w:kern w:val="22"/>
          <w:lang w:val="en-CA"/>
        </w:rPr>
        <w:t xml:space="preserve">Costa Rica, </w:t>
      </w:r>
      <w:r w:rsidRPr="00EB0301">
        <w:rPr>
          <w:kern w:val="22"/>
          <w:lang w:val="en-CA"/>
        </w:rPr>
        <w:t>Ghana, India, Malawi, Morocco and Zimbabwe</w:t>
      </w:r>
      <w:r w:rsidRPr="00EB0301">
        <w:rPr>
          <w:rStyle w:val="FootnoteReference"/>
          <w:rFonts w:eastAsia="Arial Unicode MS"/>
          <w:kern w:val="22"/>
          <w:lang w:val="en-CA"/>
        </w:rPr>
        <w:footnoteReference w:id="4"/>
      </w:r>
      <w:r w:rsidR="006103E6" w:rsidRPr="00EB0301">
        <w:rPr>
          <w:kern w:val="22"/>
          <w:lang w:val="en-CA"/>
        </w:rPr>
        <w:t xml:space="preserve"> (see Annex 1)</w:t>
      </w:r>
      <w:r w:rsidRPr="00EB0301">
        <w:rPr>
          <w:kern w:val="22"/>
          <w:lang w:val="en-CA"/>
        </w:rPr>
        <w:t xml:space="preserve">. </w:t>
      </w:r>
      <w:r w:rsidR="005C162B" w:rsidRPr="00EB0301">
        <w:rPr>
          <w:kern w:val="22"/>
          <w:lang w:val="en-CA"/>
        </w:rPr>
        <w:t xml:space="preserve">This </w:t>
      </w:r>
      <w:r w:rsidR="00A743D6" w:rsidRPr="00EB0301">
        <w:rPr>
          <w:kern w:val="22"/>
          <w:lang w:val="en-CA"/>
        </w:rPr>
        <w:t xml:space="preserve">demonstration </w:t>
      </w:r>
      <w:r w:rsidR="005C162B" w:rsidRPr="00EB0301">
        <w:rPr>
          <w:kern w:val="22"/>
          <w:lang w:val="en-CA"/>
        </w:rPr>
        <w:t>project</w:t>
      </w:r>
      <w:r w:rsidR="00B97859" w:rsidRPr="00EB0301">
        <w:rPr>
          <w:kern w:val="22"/>
          <w:lang w:val="en-CA"/>
        </w:rPr>
        <w:t xml:space="preserve"> approach </w:t>
      </w:r>
      <w:r w:rsidR="00B02CBC" w:rsidRPr="00EB0301">
        <w:rPr>
          <w:kern w:val="22"/>
          <w:lang w:val="en-CA"/>
        </w:rPr>
        <w:t xml:space="preserve">is </w:t>
      </w:r>
      <w:r w:rsidR="005C162B" w:rsidRPr="00EB0301">
        <w:rPr>
          <w:kern w:val="22"/>
          <w:lang w:val="en-CA"/>
        </w:rPr>
        <w:t xml:space="preserve">a stopgap </w:t>
      </w:r>
      <w:r w:rsidR="005C162B" w:rsidRPr="00EB0301">
        <w:rPr>
          <w:rFonts w:eastAsia="MS Mincho"/>
          <w:kern w:val="22"/>
          <w:szCs w:val="22"/>
          <w:lang w:val="en-CA"/>
        </w:rPr>
        <w:t>measure to showcase exemplary case studies of technical and scientific cooperation and to support partnerships on a range of themes relevant to the</w:t>
      </w:r>
      <w:r w:rsidR="00110575" w:rsidRPr="00EB0301">
        <w:rPr>
          <w:rFonts w:eastAsia="MS Mincho"/>
          <w:kern w:val="22"/>
          <w:szCs w:val="22"/>
          <w:lang w:val="en-CA"/>
        </w:rPr>
        <w:t xml:space="preserve"> Convention and its Protocols. </w:t>
      </w:r>
      <w:r w:rsidR="005C162B" w:rsidRPr="00EB0301">
        <w:rPr>
          <w:rFonts w:eastAsia="MS Mincho"/>
          <w:kern w:val="22"/>
          <w:szCs w:val="22"/>
          <w:lang w:val="en-CA"/>
        </w:rPr>
        <w:t xml:space="preserve">This approach complements the pro-bono support model articulated in the Action Plan. </w:t>
      </w:r>
    </w:p>
    <w:p w14:paraId="63546D92" w14:textId="4C006A5C" w:rsidR="00BB75B8" w:rsidRPr="00EB0301" w:rsidRDefault="005C162B" w:rsidP="00537424">
      <w:pPr>
        <w:pStyle w:val="Para1"/>
        <w:numPr>
          <w:ilvl w:val="0"/>
          <w:numId w:val="19"/>
        </w:numPr>
        <w:suppressLineNumbers/>
        <w:tabs>
          <w:tab w:val="num" w:pos="720"/>
        </w:tabs>
        <w:suppressAutoHyphens/>
        <w:ind w:left="0" w:firstLine="0"/>
        <w:rPr>
          <w:lang w:val="en-CA"/>
        </w:rPr>
      </w:pPr>
      <w:r w:rsidRPr="00EB0301">
        <w:rPr>
          <w:rFonts w:eastAsia="MS Mincho"/>
          <w:kern w:val="22"/>
          <w:szCs w:val="22"/>
          <w:lang w:val="en-CA"/>
        </w:rPr>
        <w:t>Demonstration p</w:t>
      </w:r>
      <w:r w:rsidR="00B02CBC" w:rsidRPr="00EB0301">
        <w:rPr>
          <w:rFonts w:eastAsia="MS Mincho"/>
          <w:kern w:val="22"/>
          <w:szCs w:val="22"/>
          <w:lang w:val="en-CA"/>
        </w:rPr>
        <w:t xml:space="preserve">rojects </w:t>
      </w:r>
      <w:r w:rsidR="008D7C33" w:rsidRPr="00EB0301">
        <w:rPr>
          <w:rFonts w:eastAsia="MS Mincho"/>
          <w:kern w:val="22"/>
          <w:szCs w:val="22"/>
          <w:lang w:val="en-CA"/>
        </w:rPr>
        <w:t>were selected by an external Project</w:t>
      </w:r>
      <w:r w:rsidR="00FB5CAF" w:rsidRPr="00EB0301">
        <w:rPr>
          <w:rFonts w:eastAsia="MS Mincho"/>
          <w:kern w:val="22"/>
          <w:szCs w:val="22"/>
          <w:lang w:val="en-CA"/>
        </w:rPr>
        <w:t xml:space="preserve"> </w:t>
      </w:r>
      <w:r w:rsidR="00EB1161" w:rsidRPr="00EB0301">
        <w:rPr>
          <w:rFonts w:eastAsia="MS Mincho"/>
          <w:kern w:val="22"/>
          <w:szCs w:val="22"/>
          <w:lang w:val="en-CA"/>
        </w:rPr>
        <w:t>Review Panel</w:t>
      </w:r>
      <w:r w:rsidR="00896851" w:rsidRPr="00EB0301">
        <w:rPr>
          <w:rStyle w:val="FootnoteReference"/>
          <w:rFonts w:eastAsia="Arial Unicode MS"/>
          <w:kern w:val="22"/>
          <w:lang w:val="en-CA"/>
        </w:rPr>
        <w:footnoteReference w:id="5"/>
      </w:r>
      <w:r w:rsidR="00EB1161" w:rsidRPr="00EB0301">
        <w:rPr>
          <w:rStyle w:val="FootnoteReference"/>
          <w:rFonts w:eastAsia="Arial Unicode MS"/>
          <w:lang w:val="en-CA"/>
        </w:rPr>
        <w:t xml:space="preserve"> </w:t>
      </w:r>
      <w:r w:rsidR="00EB1161" w:rsidRPr="00EB0301">
        <w:rPr>
          <w:rFonts w:eastAsia="MS Mincho"/>
          <w:kern w:val="22"/>
          <w:szCs w:val="22"/>
          <w:lang w:val="en-CA"/>
        </w:rPr>
        <w:t>from a total of 31</w:t>
      </w:r>
      <w:r w:rsidR="008D7C33" w:rsidRPr="00EB0301">
        <w:rPr>
          <w:rFonts w:eastAsia="MS Mincho"/>
          <w:kern w:val="22"/>
          <w:szCs w:val="22"/>
          <w:lang w:val="en-CA"/>
        </w:rPr>
        <w:t xml:space="preserve"> requests for assistance that were submitted</w:t>
      </w:r>
      <w:r w:rsidR="008D7C33" w:rsidRPr="00EB0301">
        <w:rPr>
          <w:kern w:val="22"/>
          <w:szCs w:val="22"/>
          <w:lang w:val="en-CA"/>
        </w:rPr>
        <w:t xml:space="preserve"> by Parties in response to a </w:t>
      </w:r>
      <w:r w:rsidR="00BB28D8" w:rsidRPr="00EB0301">
        <w:rPr>
          <w:kern w:val="22"/>
          <w:szCs w:val="22"/>
          <w:lang w:val="en-CA"/>
        </w:rPr>
        <w:t xml:space="preserve">request for proposals </w:t>
      </w:r>
      <w:r w:rsidR="008D7C33" w:rsidRPr="00EB0301">
        <w:rPr>
          <w:kern w:val="22"/>
          <w:szCs w:val="22"/>
          <w:lang w:val="en-CA"/>
        </w:rPr>
        <w:t xml:space="preserve">issued through </w:t>
      </w:r>
      <w:hyperlink r:id="rId12" w:history="1">
        <w:r w:rsidR="00A417A2" w:rsidRPr="00EB0301">
          <w:rPr>
            <w:rStyle w:val="Hyperlink"/>
            <w:kern w:val="22"/>
            <w:sz w:val="22"/>
            <w:szCs w:val="22"/>
            <w:lang w:val="en-CA"/>
          </w:rPr>
          <w:t>n</w:t>
        </w:r>
        <w:r w:rsidR="008D7C33" w:rsidRPr="00EB0301">
          <w:rPr>
            <w:rStyle w:val="Hyperlink"/>
            <w:kern w:val="22"/>
            <w:sz w:val="22"/>
            <w:szCs w:val="22"/>
            <w:lang w:val="en-CA"/>
          </w:rPr>
          <w:t>otification 2016-126</w:t>
        </w:r>
      </w:hyperlink>
      <w:r w:rsidR="00896851" w:rsidRPr="00EB0301">
        <w:rPr>
          <w:kern w:val="22"/>
          <w:szCs w:val="22"/>
          <w:lang w:val="en-CA"/>
        </w:rPr>
        <w:t>.</w:t>
      </w:r>
      <w:r w:rsidR="005922A5" w:rsidRPr="00EB0301">
        <w:rPr>
          <w:kern w:val="22"/>
          <w:szCs w:val="22"/>
          <w:lang w:val="en-CA"/>
        </w:rPr>
        <w:t xml:space="preserve"> Th</w:t>
      </w:r>
      <w:r w:rsidR="00FB5CAF" w:rsidRPr="00EB0301">
        <w:rPr>
          <w:kern w:val="22"/>
          <w:szCs w:val="22"/>
          <w:lang w:val="en-CA"/>
        </w:rPr>
        <w:t>e</w:t>
      </w:r>
      <w:r w:rsidR="00FB5CAF" w:rsidRPr="00EB0301">
        <w:rPr>
          <w:kern w:val="22"/>
          <w:lang w:val="en-CA"/>
        </w:rPr>
        <w:t xml:space="preserve"> initial investment</w:t>
      </w:r>
      <w:r w:rsidR="00EB1161" w:rsidRPr="00EB0301">
        <w:rPr>
          <w:kern w:val="22"/>
          <w:lang w:val="en-CA"/>
        </w:rPr>
        <w:t xml:space="preserve"> in nine</w:t>
      </w:r>
      <w:r w:rsidR="005922A5" w:rsidRPr="00EB0301">
        <w:rPr>
          <w:kern w:val="22"/>
          <w:lang w:val="en-CA"/>
        </w:rPr>
        <w:t xml:space="preserve"> projects</w:t>
      </w:r>
      <w:r w:rsidR="00FC774C" w:rsidRPr="00EB0301">
        <w:rPr>
          <w:kern w:val="22"/>
          <w:lang w:val="en-CA"/>
        </w:rPr>
        <w:t xml:space="preserve"> resulted in</w:t>
      </w:r>
      <w:r w:rsidR="005922A5" w:rsidRPr="00EB0301">
        <w:rPr>
          <w:kern w:val="22"/>
          <w:lang w:val="en-CA"/>
        </w:rPr>
        <w:t xml:space="preserve"> BBI successfully </w:t>
      </w:r>
      <w:r w:rsidR="00FC774C" w:rsidRPr="00EB0301">
        <w:rPr>
          <w:kern w:val="22"/>
          <w:lang w:val="en-CA"/>
        </w:rPr>
        <w:t>catalyzing</w:t>
      </w:r>
      <w:r w:rsidR="005922A5" w:rsidRPr="00EB0301">
        <w:rPr>
          <w:kern w:val="22"/>
          <w:lang w:val="en-CA"/>
        </w:rPr>
        <w:t xml:space="preserve"> </w:t>
      </w:r>
      <w:r w:rsidR="00FC774C" w:rsidRPr="00EB0301">
        <w:rPr>
          <w:kern w:val="22"/>
          <w:lang w:val="en-CA"/>
        </w:rPr>
        <w:t xml:space="preserve">technical and scientific cooperation </w:t>
      </w:r>
      <w:r w:rsidR="005922A5" w:rsidRPr="00EB0301">
        <w:rPr>
          <w:kern w:val="22"/>
          <w:lang w:val="en-CA"/>
        </w:rPr>
        <w:t xml:space="preserve">partnerships across </w:t>
      </w:r>
      <w:r w:rsidR="00FC774C" w:rsidRPr="00EB0301">
        <w:rPr>
          <w:kern w:val="22"/>
          <w:lang w:val="en-CA"/>
        </w:rPr>
        <w:t xml:space="preserve">a total </w:t>
      </w:r>
      <w:r w:rsidR="00EB1161" w:rsidRPr="00EB0301">
        <w:rPr>
          <w:kern w:val="22"/>
          <w:lang w:val="en-CA"/>
        </w:rPr>
        <w:t>37</w:t>
      </w:r>
      <w:r w:rsidR="005922A5" w:rsidRPr="00EB0301">
        <w:rPr>
          <w:kern w:val="22"/>
          <w:lang w:val="en-CA"/>
        </w:rPr>
        <w:t xml:space="preserve"> </w:t>
      </w:r>
      <w:r w:rsidR="00FC774C" w:rsidRPr="00EB0301">
        <w:rPr>
          <w:kern w:val="22"/>
          <w:lang w:val="en-CA"/>
        </w:rPr>
        <w:t>countries</w:t>
      </w:r>
      <w:r w:rsidR="00BB28D8" w:rsidRPr="00EB0301">
        <w:rPr>
          <w:kern w:val="22"/>
          <w:lang w:val="en-CA"/>
        </w:rPr>
        <w:t>.  This</w:t>
      </w:r>
      <w:r w:rsidR="00FC774C" w:rsidRPr="00EB0301">
        <w:rPr>
          <w:kern w:val="22"/>
          <w:lang w:val="en-CA"/>
        </w:rPr>
        <w:t xml:space="preserve"> underscores the need for early-stage incubation support as part of </w:t>
      </w:r>
      <w:r w:rsidR="00BB28D8" w:rsidRPr="00EB0301">
        <w:rPr>
          <w:kern w:val="22"/>
          <w:lang w:val="en-CA"/>
        </w:rPr>
        <w:t>an effective</w:t>
      </w:r>
      <w:r w:rsidR="00FC774C" w:rsidRPr="00EB0301">
        <w:rPr>
          <w:kern w:val="22"/>
          <w:lang w:val="en-CA"/>
        </w:rPr>
        <w:t xml:space="preserve"> matchmaking model</w:t>
      </w:r>
      <w:r w:rsidR="009072F6" w:rsidRPr="00EB0301">
        <w:rPr>
          <w:kern w:val="22"/>
          <w:lang w:val="en-CA"/>
        </w:rPr>
        <w:t xml:space="preserve"> to enable those institutions responding to needs, to </w:t>
      </w:r>
      <w:r w:rsidR="002B6840" w:rsidRPr="00EB0301">
        <w:rPr>
          <w:kern w:val="22"/>
          <w:lang w:val="en-CA"/>
        </w:rPr>
        <w:t xml:space="preserve">assist </w:t>
      </w:r>
      <w:r w:rsidR="009072F6" w:rsidRPr="00EB0301">
        <w:rPr>
          <w:kern w:val="22"/>
          <w:lang w:val="en-CA"/>
        </w:rPr>
        <w:t xml:space="preserve">Parties </w:t>
      </w:r>
      <w:r w:rsidR="00BB28D8" w:rsidRPr="00EB0301">
        <w:rPr>
          <w:kern w:val="22"/>
          <w:lang w:val="en-CA"/>
        </w:rPr>
        <w:t xml:space="preserve">viably </w:t>
      </w:r>
      <w:r w:rsidRPr="00EB0301">
        <w:rPr>
          <w:kern w:val="22"/>
          <w:lang w:val="en-CA"/>
        </w:rPr>
        <w:t>pursue their individual or collec</w:t>
      </w:r>
      <w:r w:rsidR="00BB28D8" w:rsidRPr="00EB0301">
        <w:rPr>
          <w:kern w:val="22"/>
          <w:lang w:val="en-CA"/>
        </w:rPr>
        <w:t xml:space="preserve">tive biodiversity-related goals through </w:t>
      </w:r>
      <w:proofErr w:type="gramStart"/>
      <w:r w:rsidR="00BB28D8" w:rsidRPr="00EB0301">
        <w:rPr>
          <w:kern w:val="22"/>
          <w:lang w:val="en-CA"/>
        </w:rPr>
        <w:t>joint cooperation</w:t>
      </w:r>
      <w:proofErr w:type="gramEnd"/>
      <w:r w:rsidR="002B6840" w:rsidRPr="00EB0301">
        <w:rPr>
          <w:kern w:val="22"/>
          <w:lang w:val="en-CA"/>
        </w:rPr>
        <w:t xml:space="preserve"> programmes</w:t>
      </w:r>
      <w:r w:rsidR="00BB28D8" w:rsidRPr="00EB0301">
        <w:rPr>
          <w:kern w:val="22"/>
          <w:lang w:val="en-CA"/>
        </w:rPr>
        <w:t>.</w:t>
      </w:r>
    </w:p>
    <w:p w14:paraId="6C22D40C" w14:textId="7A3D0F72" w:rsidR="00BB28D8" w:rsidRPr="00EB0301" w:rsidRDefault="005851B5" w:rsidP="00537424">
      <w:pPr>
        <w:pStyle w:val="Para1"/>
        <w:numPr>
          <w:ilvl w:val="0"/>
          <w:numId w:val="19"/>
        </w:numPr>
        <w:suppressLineNumbers/>
        <w:tabs>
          <w:tab w:val="num" w:pos="720"/>
        </w:tabs>
        <w:suppressAutoHyphens/>
        <w:ind w:left="0" w:firstLine="0"/>
        <w:rPr>
          <w:rFonts w:eastAsia="MS Mincho"/>
          <w:kern w:val="22"/>
          <w:szCs w:val="22"/>
          <w:lang w:val="en-CA"/>
        </w:rPr>
      </w:pPr>
      <w:r w:rsidRPr="00EB0301">
        <w:rPr>
          <w:kern w:val="22"/>
          <w:szCs w:val="22"/>
          <w:lang w:val="en-CA"/>
        </w:rPr>
        <w:t>These demonstration projects buil</w:t>
      </w:r>
      <w:r w:rsidR="00DE2EEC" w:rsidRPr="00EB0301">
        <w:rPr>
          <w:kern w:val="22"/>
          <w:szCs w:val="22"/>
          <w:lang w:val="en-CA"/>
        </w:rPr>
        <w:t>t</w:t>
      </w:r>
      <w:r w:rsidRPr="00EB0301">
        <w:rPr>
          <w:kern w:val="22"/>
          <w:szCs w:val="22"/>
          <w:lang w:val="en-CA"/>
        </w:rPr>
        <w:t xml:space="preserve"> on an initial four pilot projects implemented in 2016</w:t>
      </w:r>
      <w:r w:rsidR="007C26A9" w:rsidRPr="00EB0301">
        <w:rPr>
          <w:kern w:val="22"/>
          <w:szCs w:val="22"/>
          <w:lang w:val="en-CA"/>
        </w:rPr>
        <w:t xml:space="preserve"> and in early 2017</w:t>
      </w:r>
      <w:r w:rsidRPr="00EB0301">
        <w:rPr>
          <w:kern w:val="22"/>
          <w:szCs w:val="22"/>
          <w:lang w:val="en-CA"/>
        </w:rPr>
        <w:t xml:space="preserve"> </w:t>
      </w:r>
      <w:r w:rsidRPr="00EB0301">
        <w:rPr>
          <w:kern w:val="22"/>
          <w:lang w:val="en-CA"/>
        </w:rPr>
        <w:t>to test various technical and scientific cooperation approaches and generate some lessons to</w:t>
      </w:r>
      <w:r w:rsidR="00A068E8" w:rsidRPr="00EB0301">
        <w:rPr>
          <w:kern w:val="22"/>
          <w:lang w:val="en-CA"/>
        </w:rPr>
        <w:t xml:space="preserve"> inform the further development </w:t>
      </w:r>
      <w:r w:rsidRPr="00EB0301">
        <w:rPr>
          <w:kern w:val="22"/>
          <w:lang w:val="en-CA"/>
        </w:rPr>
        <w:t xml:space="preserve">and implementation of BBI. The pilot projects were also intended to draw attention to ongoing and potential TSC initiatives, engage key stakeholders and generate interest in TSC. They were </w:t>
      </w:r>
      <w:r w:rsidRPr="00EB0301">
        <w:rPr>
          <w:rFonts w:eastAsia="MS Mincho"/>
          <w:kern w:val="22"/>
          <w:szCs w:val="22"/>
          <w:lang w:val="en-CA"/>
        </w:rPr>
        <w:t>selected and recommended for to receive seed funding by a Project Selection Committee (PSC) from a total of 17 proposals.</w:t>
      </w:r>
      <w:r w:rsidRPr="00EB0301">
        <w:rPr>
          <w:rStyle w:val="FootnoteReference"/>
          <w:rFonts w:eastAsia="Arial Unicode MS"/>
          <w:kern w:val="22"/>
          <w:lang w:val="en-CA"/>
        </w:rPr>
        <w:footnoteReference w:id="6"/>
      </w:r>
    </w:p>
    <w:p w14:paraId="2DF45FA1" w14:textId="77777777" w:rsidR="00B02CBC" w:rsidRPr="00EB0301" w:rsidRDefault="00A068E8" w:rsidP="00537424">
      <w:pPr>
        <w:pStyle w:val="Para1"/>
        <w:numPr>
          <w:ilvl w:val="0"/>
          <w:numId w:val="19"/>
        </w:numPr>
        <w:suppressLineNumbers/>
        <w:tabs>
          <w:tab w:val="num" w:pos="720"/>
        </w:tabs>
        <w:suppressAutoHyphens/>
        <w:ind w:left="0" w:firstLine="0"/>
        <w:rPr>
          <w:kern w:val="22"/>
          <w:lang w:val="en-CA"/>
        </w:rPr>
      </w:pPr>
      <w:r w:rsidRPr="00EB0301">
        <w:rPr>
          <w:rFonts w:eastAsia="MS Mincho"/>
          <w:kern w:val="22"/>
          <w:szCs w:val="22"/>
          <w:lang w:val="en-CA"/>
        </w:rPr>
        <w:t>The 4 pilot projects</w:t>
      </w:r>
      <w:r w:rsidRPr="00EB0301">
        <w:rPr>
          <w:kern w:val="22"/>
          <w:lang w:val="en-CA"/>
        </w:rPr>
        <w:t xml:space="preserve"> were the following:</w:t>
      </w:r>
    </w:p>
    <w:p w14:paraId="130563C8" w14:textId="77777777" w:rsidR="00A068E8" w:rsidRPr="00EB0301" w:rsidRDefault="00A068E8" w:rsidP="00A068E8">
      <w:pPr>
        <w:pStyle w:val="Para1"/>
        <w:numPr>
          <w:ilvl w:val="1"/>
          <w:numId w:val="19"/>
        </w:numPr>
        <w:rPr>
          <w:kern w:val="22"/>
          <w:lang w:val="en-CA"/>
        </w:rPr>
      </w:pPr>
      <w:r w:rsidRPr="00EB0301">
        <w:rPr>
          <w:kern w:val="22"/>
          <w:lang w:val="en-CA"/>
        </w:rPr>
        <w:t xml:space="preserve">“Cooperation for the Development of Ecosystem - Natural Capital Accounts in Francophone African Developing Countries”, facilitated by Centre de </w:t>
      </w:r>
      <w:proofErr w:type="spellStart"/>
      <w:r w:rsidRPr="00EB0301">
        <w:rPr>
          <w:kern w:val="22"/>
          <w:lang w:val="en-CA" w:eastAsia="ko-KR"/>
        </w:rPr>
        <w:t>C</w:t>
      </w:r>
      <w:r w:rsidRPr="00EB0301">
        <w:rPr>
          <w:kern w:val="22"/>
          <w:lang w:val="en-CA"/>
        </w:rPr>
        <w:t>oopération</w:t>
      </w:r>
      <w:proofErr w:type="spellEnd"/>
      <w:r w:rsidRPr="00EB0301">
        <w:rPr>
          <w:kern w:val="22"/>
          <w:lang w:val="en-CA"/>
        </w:rPr>
        <w:t xml:space="preserve"> </w:t>
      </w:r>
      <w:proofErr w:type="spellStart"/>
      <w:r w:rsidRPr="00EB0301">
        <w:rPr>
          <w:kern w:val="22"/>
          <w:lang w:val="en-CA" w:eastAsia="ko-KR"/>
        </w:rPr>
        <w:t>I</w:t>
      </w:r>
      <w:r w:rsidRPr="00EB0301">
        <w:rPr>
          <w:kern w:val="22"/>
          <w:lang w:val="en-CA"/>
        </w:rPr>
        <w:t>nternationale</w:t>
      </w:r>
      <w:proofErr w:type="spellEnd"/>
      <w:r w:rsidRPr="00EB0301">
        <w:rPr>
          <w:kern w:val="22"/>
          <w:lang w:val="en-CA"/>
        </w:rPr>
        <w:t xml:space="preserve"> </w:t>
      </w:r>
      <w:proofErr w:type="spellStart"/>
      <w:r w:rsidRPr="00EB0301">
        <w:rPr>
          <w:kern w:val="22"/>
          <w:lang w:val="en-CA"/>
        </w:rPr>
        <w:t>en</w:t>
      </w:r>
      <w:proofErr w:type="spellEnd"/>
      <w:r w:rsidRPr="00EB0301">
        <w:rPr>
          <w:kern w:val="22"/>
          <w:lang w:val="en-CA"/>
        </w:rPr>
        <w:t xml:space="preserve"> </w:t>
      </w:r>
      <w:r w:rsidRPr="00EB0301">
        <w:rPr>
          <w:kern w:val="22"/>
          <w:lang w:val="en-CA" w:eastAsia="ko-KR"/>
        </w:rPr>
        <w:t>R</w:t>
      </w:r>
      <w:r w:rsidRPr="00EB0301">
        <w:rPr>
          <w:kern w:val="22"/>
          <w:lang w:val="en-CA"/>
        </w:rPr>
        <w:t xml:space="preserve">echerche </w:t>
      </w:r>
      <w:proofErr w:type="spellStart"/>
      <w:r w:rsidRPr="00EB0301">
        <w:rPr>
          <w:kern w:val="22"/>
          <w:lang w:val="en-CA" w:eastAsia="ko-KR"/>
        </w:rPr>
        <w:t>A</w:t>
      </w:r>
      <w:r w:rsidRPr="00EB0301">
        <w:rPr>
          <w:kern w:val="22"/>
          <w:lang w:val="en-CA"/>
        </w:rPr>
        <w:t>gronomique</w:t>
      </w:r>
      <w:proofErr w:type="spellEnd"/>
      <w:r w:rsidRPr="00EB0301">
        <w:rPr>
          <w:kern w:val="22"/>
          <w:lang w:val="en-CA"/>
        </w:rPr>
        <w:t xml:space="preserve"> pour le </w:t>
      </w:r>
      <w:proofErr w:type="spellStart"/>
      <w:r w:rsidRPr="00EB0301">
        <w:rPr>
          <w:kern w:val="22"/>
          <w:lang w:val="en-CA"/>
        </w:rPr>
        <w:t>Développement</w:t>
      </w:r>
      <w:proofErr w:type="spellEnd"/>
      <w:r w:rsidRPr="00EB0301">
        <w:rPr>
          <w:kern w:val="22"/>
          <w:lang w:val="en-CA"/>
        </w:rPr>
        <w:t xml:space="preserve"> (CIRAD) and </w:t>
      </w:r>
      <w:proofErr w:type="spellStart"/>
      <w:r w:rsidRPr="00EB0301">
        <w:rPr>
          <w:kern w:val="22"/>
          <w:lang w:val="en-CA"/>
        </w:rPr>
        <w:t>Université</w:t>
      </w:r>
      <w:proofErr w:type="spellEnd"/>
      <w:r w:rsidRPr="00EB0301">
        <w:rPr>
          <w:kern w:val="22"/>
          <w:lang w:val="en-CA"/>
        </w:rPr>
        <w:t xml:space="preserve"> du Québec à Montréal (UQAM). The project aims to develop a cooperation project on the development of economic valuation tools for biodiversity and national ecosystem-based accounting systems involving Burkina-Faso, Guinea-Conakry, Morocco, Niger, Senegal and Tunisia.</w:t>
      </w:r>
    </w:p>
    <w:p w14:paraId="50D19D49" w14:textId="77777777" w:rsidR="00A068E8" w:rsidRPr="00EB0301" w:rsidRDefault="00A068E8" w:rsidP="00A068E8">
      <w:pPr>
        <w:pStyle w:val="Para1"/>
        <w:numPr>
          <w:ilvl w:val="1"/>
          <w:numId w:val="19"/>
        </w:numPr>
        <w:rPr>
          <w:kern w:val="22"/>
          <w:lang w:val="en-CA"/>
        </w:rPr>
      </w:pPr>
      <w:r w:rsidRPr="00EB0301">
        <w:rPr>
          <w:kern w:val="22"/>
          <w:lang w:val="en-CA"/>
        </w:rPr>
        <w:lastRenderedPageBreak/>
        <w:t xml:space="preserve">“Sustainable management of ASEAN Heritage Parks through valuing and improving eco-tourism”, facilitated by Korea Environment Institute (KEI). The project aims to promote an innovative modeling approach using social big-data to examine the current status of </w:t>
      </w:r>
      <w:proofErr w:type="gramStart"/>
      <w:r w:rsidRPr="00EB0301">
        <w:rPr>
          <w:kern w:val="22"/>
          <w:lang w:val="en-CA"/>
        </w:rPr>
        <w:t>management, and</w:t>
      </w:r>
      <w:proofErr w:type="gramEnd"/>
      <w:r w:rsidRPr="00EB0301">
        <w:rPr>
          <w:kern w:val="22"/>
          <w:lang w:val="en-CA"/>
        </w:rPr>
        <w:t xml:space="preserve"> support the development of related management strategies encouraging eco-tourism that enhances cultural services.</w:t>
      </w:r>
    </w:p>
    <w:p w14:paraId="148BEB1D" w14:textId="77777777" w:rsidR="00A068E8" w:rsidRPr="00EB0301" w:rsidRDefault="00A068E8" w:rsidP="00A068E8">
      <w:pPr>
        <w:pStyle w:val="Para1"/>
        <w:numPr>
          <w:ilvl w:val="1"/>
          <w:numId w:val="19"/>
        </w:numPr>
        <w:rPr>
          <w:kern w:val="22"/>
          <w:lang w:val="en-CA"/>
        </w:rPr>
      </w:pPr>
      <w:r w:rsidRPr="00EB0301">
        <w:rPr>
          <w:kern w:val="22"/>
          <w:lang w:val="en-CA"/>
        </w:rPr>
        <w:t>“Transfer of DNA bar-coding analysis technology for biodiversity monitoring”, facilitated by National Institute of Biological Resources of Korea (NIBR). The project aims to facilitate transfer of the DNA bar-coding analysis technology for biodiversity monitoring to a few Asian countries.</w:t>
      </w:r>
    </w:p>
    <w:p w14:paraId="56C77919" w14:textId="77777777" w:rsidR="00A068E8" w:rsidRPr="00EB0301" w:rsidRDefault="00A068E8" w:rsidP="00A068E8">
      <w:pPr>
        <w:pStyle w:val="Para1"/>
        <w:numPr>
          <w:ilvl w:val="1"/>
          <w:numId w:val="19"/>
        </w:numPr>
        <w:rPr>
          <w:kern w:val="22"/>
          <w:szCs w:val="22"/>
          <w:lang w:val="en-CA"/>
        </w:rPr>
      </w:pPr>
      <w:r w:rsidRPr="00EB0301">
        <w:rPr>
          <w:kern w:val="22"/>
          <w:lang w:val="en-CA"/>
        </w:rPr>
        <w:t xml:space="preserve">“Development of policies for tourist concessions within Southern African national parks systems”, facilitated by the Tourism and Parks Specialist Group (TAPAS) of International Union for Conservation of Nature (IUCN). The project aims to facilitate cooperation among the participating countries to undertake feasibility studies and pilot cases and develop their policies </w:t>
      </w:r>
      <w:r w:rsidRPr="00EB0301">
        <w:rPr>
          <w:kern w:val="22"/>
          <w:szCs w:val="22"/>
          <w:lang w:val="en-CA"/>
        </w:rPr>
        <w:t>and systems for tourism concessions in protected areas.</w:t>
      </w:r>
    </w:p>
    <w:p w14:paraId="2CA60CC6" w14:textId="487A00BA" w:rsidR="00D31D5A" w:rsidRPr="00EB0301" w:rsidRDefault="00B02CBC" w:rsidP="00537424">
      <w:pPr>
        <w:pStyle w:val="Para1"/>
        <w:numPr>
          <w:ilvl w:val="0"/>
          <w:numId w:val="19"/>
        </w:numPr>
        <w:suppressLineNumbers/>
        <w:tabs>
          <w:tab w:val="num" w:pos="720"/>
        </w:tabs>
        <w:suppressAutoHyphens/>
        <w:ind w:left="0" w:firstLine="0"/>
        <w:rPr>
          <w:szCs w:val="22"/>
          <w:lang w:val="en-CA"/>
        </w:rPr>
      </w:pPr>
      <w:r w:rsidRPr="00EB0301">
        <w:rPr>
          <w:kern w:val="22"/>
          <w:szCs w:val="22"/>
          <w:lang w:val="en-CA"/>
        </w:rPr>
        <w:t xml:space="preserve">Through </w:t>
      </w:r>
      <w:hyperlink r:id="rId13" w:history="1">
        <w:r w:rsidR="007C26A9" w:rsidRPr="00EB0301">
          <w:rPr>
            <w:rStyle w:val="Hyperlink"/>
            <w:kern w:val="22"/>
            <w:sz w:val="22"/>
            <w:szCs w:val="22"/>
            <w:lang w:val="en-CA"/>
          </w:rPr>
          <w:t>n</w:t>
        </w:r>
        <w:r w:rsidR="005D1444" w:rsidRPr="00EB0301">
          <w:rPr>
            <w:rStyle w:val="Hyperlink"/>
            <w:kern w:val="22"/>
            <w:sz w:val="22"/>
            <w:szCs w:val="22"/>
            <w:lang w:val="en-CA"/>
          </w:rPr>
          <w:t>otification 2018-049</w:t>
        </w:r>
      </w:hyperlink>
      <w:r w:rsidR="00BB28D8" w:rsidRPr="00EB0301">
        <w:rPr>
          <w:kern w:val="22"/>
          <w:szCs w:val="22"/>
          <w:lang w:val="en-CA"/>
        </w:rPr>
        <w:t xml:space="preserve"> in May 2018</w:t>
      </w:r>
      <w:r w:rsidR="00542011" w:rsidRPr="00EB0301">
        <w:rPr>
          <w:kern w:val="22"/>
          <w:szCs w:val="22"/>
          <w:lang w:val="en-CA"/>
        </w:rPr>
        <w:t xml:space="preserve">, the Secretariat received </w:t>
      </w:r>
      <w:r w:rsidR="00A417A2" w:rsidRPr="00EB0301">
        <w:rPr>
          <w:kern w:val="22"/>
          <w:szCs w:val="22"/>
          <w:lang w:val="en-CA"/>
        </w:rPr>
        <w:t>63 submissions</w:t>
      </w:r>
      <w:r w:rsidR="00542011" w:rsidRPr="00EB0301">
        <w:rPr>
          <w:szCs w:val="22"/>
          <w:lang w:val="en-CA"/>
        </w:rPr>
        <w:t xml:space="preserve">, 28 of which </w:t>
      </w:r>
      <w:r w:rsidR="005D1444" w:rsidRPr="00EB0301">
        <w:rPr>
          <w:szCs w:val="22"/>
          <w:lang w:val="en-CA"/>
        </w:rPr>
        <w:t xml:space="preserve">successfully passed Stages 1 </w:t>
      </w:r>
      <w:r w:rsidR="005D1444" w:rsidRPr="00EB0301">
        <w:rPr>
          <w:kern w:val="22"/>
          <w:szCs w:val="22"/>
          <w:lang w:val="en-CA"/>
        </w:rPr>
        <w:t>and</w:t>
      </w:r>
      <w:r w:rsidR="005D1444" w:rsidRPr="00EB0301">
        <w:rPr>
          <w:szCs w:val="22"/>
          <w:lang w:val="en-CA"/>
        </w:rPr>
        <w:t xml:space="preserve"> 2 of the </w:t>
      </w:r>
      <w:hyperlink r:id="rId14" w:tgtFrame="_blank" w:history="1">
        <w:r w:rsidR="005D1444" w:rsidRPr="00EB0301">
          <w:rPr>
            <w:rStyle w:val="Hyperlink"/>
            <w:sz w:val="22"/>
            <w:szCs w:val="22"/>
            <w:lang w:val="en-CA"/>
          </w:rPr>
          <w:t>selection process</w:t>
        </w:r>
      </w:hyperlink>
      <w:r w:rsidR="005D1444" w:rsidRPr="00EB0301">
        <w:rPr>
          <w:szCs w:val="22"/>
          <w:lang w:val="en-CA"/>
        </w:rPr>
        <w:t xml:space="preserve">. </w:t>
      </w:r>
      <w:r w:rsidR="00542011" w:rsidRPr="00EB0301">
        <w:rPr>
          <w:szCs w:val="22"/>
          <w:lang w:val="en-CA"/>
        </w:rPr>
        <w:t xml:space="preserve">A Project Review Panel </w:t>
      </w:r>
      <w:r w:rsidR="00DE2EEC" w:rsidRPr="00EB0301">
        <w:rPr>
          <w:szCs w:val="22"/>
          <w:lang w:val="en-CA"/>
        </w:rPr>
        <w:t xml:space="preserve">evaluated </w:t>
      </w:r>
      <w:r w:rsidR="00542011" w:rsidRPr="00EB0301">
        <w:rPr>
          <w:szCs w:val="22"/>
          <w:lang w:val="en-CA"/>
        </w:rPr>
        <w:t>the 28 pre-selected proposals</w:t>
      </w:r>
      <w:r w:rsidR="00BB28D8" w:rsidRPr="00EB0301">
        <w:rPr>
          <w:szCs w:val="22"/>
          <w:lang w:val="en-CA"/>
        </w:rPr>
        <w:t xml:space="preserve"> for their technical merit according to set criteria</w:t>
      </w:r>
      <w:r w:rsidR="00542011" w:rsidRPr="00EB0301">
        <w:rPr>
          <w:szCs w:val="22"/>
          <w:lang w:val="en-CA"/>
        </w:rPr>
        <w:t xml:space="preserve">.  </w:t>
      </w:r>
      <w:r w:rsidR="002D00A4" w:rsidRPr="00EB0301">
        <w:rPr>
          <w:szCs w:val="22"/>
          <w:lang w:val="en-CA"/>
        </w:rPr>
        <w:t xml:space="preserve">The programme is currently </w:t>
      </w:r>
      <w:r w:rsidR="003773DF" w:rsidRPr="00EB0301">
        <w:rPr>
          <w:szCs w:val="22"/>
          <w:lang w:val="en-CA"/>
        </w:rPr>
        <w:t>able</w:t>
      </w:r>
      <w:r w:rsidR="005D1444" w:rsidRPr="00EB0301">
        <w:rPr>
          <w:szCs w:val="22"/>
          <w:lang w:val="en-CA"/>
        </w:rPr>
        <w:t xml:space="preserve"> to provide </w:t>
      </w:r>
      <w:r w:rsidR="00542011" w:rsidRPr="00EB0301">
        <w:rPr>
          <w:szCs w:val="22"/>
          <w:lang w:val="en-CA"/>
        </w:rPr>
        <w:t>10</w:t>
      </w:r>
      <w:r w:rsidR="002D00A4" w:rsidRPr="00EB0301">
        <w:rPr>
          <w:szCs w:val="22"/>
          <w:lang w:val="en-CA"/>
        </w:rPr>
        <w:t xml:space="preserve"> proponents (15</w:t>
      </w:r>
      <w:r w:rsidR="00E94326" w:rsidRPr="00EB0301">
        <w:rPr>
          <w:szCs w:val="22"/>
          <w:lang w:val="en-CA"/>
        </w:rPr>
        <w:t>.8</w:t>
      </w:r>
      <w:r w:rsidR="002D00A4" w:rsidRPr="00EB0301">
        <w:rPr>
          <w:szCs w:val="22"/>
          <w:lang w:val="en-CA"/>
        </w:rPr>
        <w:t xml:space="preserve">% of all </w:t>
      </w:r>
      <w:r w:rsidR="00D31D5A" w:rsidRPr="00EB0301">
        <w:rPr>
          <w:szCs w:val="22"/>
          <w:lang w:val="en-CA"/>
        </w:rPr>
        <w:t>submissions</w:t>
      </w:r>
      <w:r w:rsidR="002D00A4" w:rsidRPr="00EB0301">
        <w:rPr>
          <w:szCs w:val="22"/>
          <w:lang w:val="en-CA"/>
        </w:rPr>
        <w:t xml:space="preserve">) with a maximum </w:t>
      </w:r>
      <w:r w:rsidR="00542011" w:rsidRPr="00EB0301">
        <w:rPr>
          <w:szCs w:val="22"/>
          <w:lang w:val="en-CA"/>
        </w:rPr>
        <w:t>of $20,000</w:t>
      </w:r>
      <w:r w:rsidR="002D00A4" w:rsidRPr="00EB0301">
        <w:rPr>
          <w:szCs w:val="22"/>
          <w:lang w:val="en-CA"/>
        </w:rPr>
        <w:t xml:space="preserve"> to catalyse partnership building activities to address their technical and scientific cooperation needs.  </w:t>
      </w:r>
      <w:r w:rsidR="00D31D5A" w:rsidRPr="00EB0301">
        <w:rPr>
          <w:szCs w:val="22"/>
          <w:lang w:val="en-CA"/>
        </w:rPr>
        <w:t xml:space="preserve">Historically, the programme has been </w:t>
      </w:r>
      <w:r w:rsidR="00E94326" w:rsidRPr="00EB0301">
        <w:rPr>
          <w:szCs w:val="22"/>
          <w:lang w:val="en-CA"/>
        </w:rPr>
        <w:t>able to support an average of 26</w:t>
      </w:r>
      <w:r w:rsidR="00D31D5A" w:rsidRPr="00EB0301">
        <w:rPr>
          <w:szCs w:val="22"/>
          <w:lang w:val="en-CA"/>
        </w:rPr>
        <w:t xml:space="preserve">% of all submissions; a 10% decrease in the ability of the Secretariat to effectively respond to technical and scientific cooperation requests from Parties </w:t>
      </w:r>
      <w:r w:rsidR="002D6FAF" w:rsidRPr="00EB0301">
        <w:rPr>
          <w:szCs w:val="22"/>
          <w:lang w:val="en-CA"/>
        </w:rPr>
        <w:t>and facilitate</w:t>
      </w:r>
      <w:r w:rsidR="00D31D5A" w:rsidRPr="00EB0301">
        <w:rPr>
          <w:szCs w:val="22"/>
          <w:lang w:val="en-CA"/>
        </w:rPr>
        <w:t xml:space="preserve"> matchmaking. </w:t>
      </w:r>
    </w:p>
    <w:p w14:paraId="418105BA" w14:textId="4D27F965" w:rsidR="0032042D" w:rsidRPr="00EB0301" w:rsidRDefault="0032042D" w:rsidP="00EB0301">
      <w:pPr>
        <w:pStyle w:val="Heading2"/>
        <w:numPr>
          <w:ilvl w:val="0"/>
          <w:numId w:val="24"/>
        </w:numPr>
        <w:spacing w:before="240" w:after="240"/>
        <w:rPr>
          <w:lang w:val="en-CA"/>
        </w:rPr>
      </w:pPr>
      <w:r w:rsidRPr="00EB0301">
        <w:rPr>
          <w:bCs w:val="0"/>
          <w:iCs w:val="0"/>
          <w:caps/>
          <w:lang w:val="en-CA"/>
        </w:rPr>
        <w:t>BBI TOOLS AND help Desk services</w:t>
      </w:r>
    </w:p>
    <w:p w14:paraId="0DC57F53" w14:textId="263E8EF8" w:rsidR="008E7BD3" w:rsidRPr="00EB0301" w:rsidRDefault="008E7BD3" w:rsidP="00537424">
      <w:pPr>
        <w:pStyle w:val="Para1"/>
        <w:numPr>
          <w:ilvl w:val="0"/>
          <w:numId w:val="19"/>
        </w:numPr>
        <w:suppressLineNumbers/>
        <w:tabs>
          <w:tab w:val="num" w:pos="720"/>
        </w:tabs>
        <w:suppressAutoHyphens/>
        <w:ind w:left="0" w:firstLine="0"/>
        <w:rPr>
          <w:kern w:val="22"/>
          <w:szCs w:val="22"/>
          <w:lang w:val="en-CA"/>
        </w:rPr>
      </w:pPr>
      <w:r w:rsidRPr="00EB0301">
        <w:rPr>
          <w:kern w:val="22"/>
          <w:szCs w:val="22"/>
          <w:lang w:val="en-CA"/>
        </w:rPr>
        <w:t>A BBI website (</w:t>
      </w:r>
      <w:hyperlink r:id="rId15" w:history="1">
        <w:r w:rsidRPr="00EB0301">
          <w:rPr>
            <w:rStyle w:val="Hyperlink"/>
            <w:kern w:val="22"/>
            <w:sz w:val="22"/>
            <w:szCs w:val="22"/>
            <w:lang w:val="en-CA"/>
          </w:rPr>
          <w:t>http://www.cbd.int/biobridge</w:t>
        </w:r>
      </w:hyperlink>
      <w:r w:rsidRPr="00EB0301">
        <w:rPr>
          <w:kern w:val="22"/>
          <w:szCs w:val="22"/>
          <w:lang w:val="en-CA"/>
        </w:rPr>
        <w:t>)</w:t>
      </w:r>
      <w:r w:rsidR="00C50542" w:rsidRPr="00EB0301">
        <w:rPr>
          <w:kern w:val="22"/>
          <w:szCs w:val="22"/>
          <w:lang w:val="en-CA"/>
        </w:rPr>
        <w:t>,</w:t>
      </w:r>
      <w:r w:rsidRPr="00EB0301">
        <w:rPr>
          <w:kern w:val="22"/>
          <w:szCs w:val="22"/>
          <w:lang w:val="en-CA"/>
        </w:rPr>
        <w:t xml:space="preserve"> </w:t>
      </w:r>
      <w:r w:rsidR="002D6FAF" w:rsidRPr="00EB0301">
        <w:rPr>
          <w:kern w:val="22"/>
          <w:szCs w:val="22"/>
          <w:lang w:val="en-CA"/>
        </w:rPr>
        <w:t xml:space="preserve">officially </w:t>
      </w:r>
      <w:r w:rsidRPr="00EB0301">
        <w:rPr>
          <w:kern w:val="22"/>
          <w:szCs w:val="22"/>
          <w:lang w:val="en-CA"/>
        </w:rPr>
        <w:t>launched in September 2016</w:t>
      </w:r>
      <w:r w:rsidR="00C50542" w:rsidRPr="00EB0301">
        <w:rPr>
          <w:kern w:val="22"/>
          <w:szCs w:val="22"/>
          <w:lang w:val="en-CA"/>
        </w:rPr>
        <w:t xml:space="preserve">, was </w:t>
      </w:r>
      <w:r w:rsidR="002D6FAF" w:rsidRPr="00EB0301">
        <w:rPr>
          <w:kern w:val="22"/>
          <w:szCs w:val="22"/>
          <w:lang w:val="en-CA"/>
        </w:rPr>
        <w:t>updated in March 2017.  A</w:t>
      </w:r>
      <w:r w:rsidRPr="00EB0301">
        <w:rPr>
          <w:kern w:val="22"/>
          <w:szCs w:val="22"/>
          <w:lang w:val="en-CA"/>
        </w:rPr>
        <w:t>n interactive web platform (</w:t>
      </w:r>
      <w:hyperlink r:id="rId16" w:history="1">
        <w:r w:rsidRPr="00EB0301">
          <w:rPr>
            <w:rStyle w:val="Hyperlink"/>
            <w:kern w:val="22"/>
            <w:sz w:val="22"/>
            <w:szCs w:val="22"/>
            <w:lang w:val="en-CA"/>
          </w:rPr>
          <w:t>http://www.cbd.int/biobridge/platform</w:t>
        </w:r>
      </w:hyperlink>
      <w:r w:rsidRPr="00EB0301">
        <w:rPr>
          <w:kern w:val="22"/>
          <w:szCs w:val="22"/>
          <w:lang w:val="en-CA"/>
        </w:rPr>
        <w:t xml:space="preserve">), which serves as the primary mechanism for matchmaking between requesters and providers of technical assistance, was launched in March 2017.  </w:t>
      </w:r>
      <w:r w:rsidRPr="00EB0301">
        <w:rPr>
          <w:szCs w:val="22"/>
          <w:lang w:val="en-CA"/>
        </w:rPr>
        <w:t>The platform offers three common forms</w:t>
      </w:r>
      <w:r w:rsidR="000B033A" w:rsidRPr="00EB0301">
        <w:rPr>
          <w:szCs w:val="22"/>
          <w:lang w:val="en-CA"/>
        </w:rPr>
        <w:t>, powered by the clearing-house mechanism,</w:t>
      </w:r>
      <w:r w:rsidRPr="00EB0301">
        <w:rPr>
          <w:szCs w:val="22"/>
          <w:lang w:val="en-CA"/>
        </w:rPr>
        <w:t xml:space="preserve"> to facilitate the submission of requests for assistance, the registration of providers of technical assistance, and the submission of information of available technical </w:t>
      </w:r>
      <w:r w:rsidRPr="00EB0301">
        <w:rPr>
          <w:kern w:val="22"/>
          <w:szCs w:val="22"/>
          <w:lang w:val="en-CA"/>
        </w:rPr>
        <w:t>assistance and capacity-building opportunities.</w:t>
      </w:r>
    </w:p>
    <w:p w14:paraId="6CB242F4" w14:textId="54241138" w:rsidR="0032042D" w:rsidRPr="00EB0301" w:rsidRDefault="0032042D" w:rsidP="00537424">
      <w:pPr>
        <w:pStyle w:val="Para1"/>
        <w:numPr>
          <w:ilvl w:val="0"/>
          <w:numId w:val="19"/>
        </w:numPr>
        <w:suppressLineNumbers/>
        <w:tabs>
          <w:tab w:val="num" w:pos="720"/>
        </w:tabs>
        <w:suppressAutoHyphens/>
        <w:ind w:left="0" w:firstLine="0"/>
        <w:rPr>
          <w:kern w:val="22"/>
          <w:szCs w:val="22"/>
          <w:lang w:val="en-CA"/>
        </w:rPr>
      </w:pPr>
      <w:r w:rsidRPr="00EB0301">
        <w:rPr>
          <w:kern w:val="22"/>
          <w:szCs w:val="22"/>
          <w:lang w:val="en-CA"/>
        </w:rPr>
        <w:t xml:space="preserve">The core team has reached out to and </w:t>
      </w:r>
      <w:r w:rsidR="002D6FAF" w:rsidRPr="00EB0301">
        <w:rPr>
          <w:kern w:val="22"/>
          <w:szCs w:val="22"/>
          <w:lang w:val="en-CA"/>
        </w:rPr>
        <w:t>is continuing to encourag</w:t>
      </w:r>
      <w:r w:rsidR="00A826B3" w:rsidRPr="00EB0301">
        <w:rPr>
          <w:kern w:val="22"/>
          <w:szCs w:val="22"/>
          <w:lang w:val="en-CA"/>
        </w:rPr>
        <w:t>e</w:t>
      </w:r>
      <w:r w:rsidRPr="00EB0301">
        <w:rPr>
          <w:kern w:val="22"/>
          <w:szCs w:val="22"/>
          <w:lang w:val="en-CA"/>
        </w:rPr>
        <w:t xml:space="preserve"> relevant organizations to register as providers of technical assistance on the </w:t>
      </w:r>
      <w:r w:rsidR="00FB0430" w:rsidRPr="00EB0301">
        <w:rPr>
          <w:kern w:val="22"/>
          <w:szCs w:val="22"/>
          <w:lang w:val="en-CA"/>
        </w:rPr>
        <w:t xml:space="preserve">matchmaking </w:t>
      </w:r>
      <w:r w:rsidRPr="00EB0301">
        <w:rPr>
          <w:kern w:val="22"/>
          <w:szCs w:val="22"/>
          <w:lang w:val="en-CA"/>
        </w:rPr>
        <w:t xml:space="preserve">web platform. The success of BBI hinges on establishing a critical mass of partners that BBI can rely on to respond to the requests for assistance received.  BBI will continue to engage additional providers of technical assistance on an ongoing basis and nurture new partnerships to expand the current partner base.  </w:t>
      </w:r>
    </w:p>
    <w:p w14:paraId="0DBF8680" w14:textId="43B20A6C" w:rsidR="0032042D" w:rsidRPr="00EB0301" w:rsidRDefault="00A826B3" w:rsidP="00537424">
      <w:pPr>
        <w:pStyle w:val="Para1"/>
        <w:numPr>
          <w:ilvl w:val="0"/>
          <w:numId w:val="19"/>
        </w:numPr>
        <w:suppressLineNumbers/>
        <w:tabs>
          <w:tab w:val="num" w:pos="720"/>
        </w:tabs>
        <w:suppressAutoHyphens/>
        <w:ind w:left="0" w:firstLine="0"/>
        <w:rPr>
          <w:kern w:val="22"/>
          <w:szCs w:val="22"/>
          <w:lang w:val="en-CA"/>
        </w:rPr>
      </w:pPr>
      <w:r w:rsidRPr="00EB0301">
        <w:rPr>
          <w:kern w:val="22"/>
          <w:szCs w:val="22"/>
          <w:lang w:val="en-CA"/>
        </w:rPr>
        <w:t>As part of this broader engagement strategy, the</w:t>
      </w:r>
      <w:r w:rsidR="0032042D" w:rsidRPr="00EB0301">
        <w:rPr>
          <w:kern w:val="22"/>
          <w:szCs w:val="22"/>
          <w:lang w:val="en-CA"/>
        </w:rPr>
        <w:t xml:space="preserve"> </w:t>
      </w:r>
      <w:r w:rsidRPr="00EB0301">
        <w:rPr>
          <w:kern w:val="22"/>
          <w:szCs w:val="22"/>
          <w:lang w:val="en-CA"/>
        </w:rPr>
        <w:t>programme</w:t>
      </w:r>
      <w:r w:rsidR="0032042D" w:rsidRPr="00EB0301">
        <w:rPr>
          <w:kern w:val="22"/>
          <w:szCs w:val="22"/>
          <w:lang w:val="en-CA"/>
        </w:rPr>
        <w:t xml:space="preserve"> is working towards establishing a stronger rapport and engagement with the wider scientific community, including academic and research institutions, </w:t>
      </w:r>
      <w:r w:rsidR="003773DF" w:rsidRPr="00EB0301">
        <w:rPr>
          <w:kern w:val="22"/>
          <w:szCs w:val="22"/>
          <w:lang w:val="en-CA"/>
        </w:rPr>
        <w:t>to</w:t>
      </w:r>
      <w:r w:rsidR="0032042D" w:rsidRPr="00EB0301">
        <w:rPr>
          <w:kern w:val="22"/>
          <w:szCs w:val="22"/>
          <w:lang w:val="en-CA"/>
        </w:rPr>
        <w:t xml:space="preserve"> create opportunities for South-South and triangular cooperation. It is actively engaging members of the Consortium of Scientific Partners on Biodiversity (CSP), as well as establish contact and closer working relationship with new entities that are position</w:t>
      </w:r>
      <w:r w:rsidRPr="00EB0301">
        <w:rPr>
          <w:kern w:val="22"/>
          <w:szCs w:val="22"/>
          <w:lang w:val="en-CA"/>
        </w:rPr>
        <w:t>ed</w:t>
      </w:r>
      <w:r w:rsidR="0032042D" w:rsidRPr="00EB0301">
        <w:rPr>
          <w:kern w:val="22"/>
          <w:szCs w:val="22"/>
          <w:lang w:val="en-CA"/>
        </w:rPr>
        <w:t xml:space="preserve"> to inject new knowledge, technical expertise, and solutions on a wide range of topics, and ensure that they are registered on the BBI database of providers of technical assistance.  </w:t>
      </w:r>
      <w:r w:rsidR="00E94326" w:rsidRPr="00EB0301">
        <w:rPr>
          <w:kern w:val="22"/>
          <w:szCs w:val="22"/>
          <w:lang w:val="en-CA"/>
        </w:rPr>
        <w:t xml:space="preserve">Moreover, </w:t>
      </w:r>
      <w:r w:rsidR="003773DF" w:rsidRPr="00EB0301">
        <w:rPr>
          <w:kern w:val="22"/>
          <w:szCs w:val="22"/>
          <w:lang w:val="en-CA"/>
        </w:rPr>
        <w:t>a</w:t>
      </w:r>
      <w:r w:rsidR="00E94326" w:rsidRPr="00EB0301">
        <w:rPr>
          <w:kern w:val="22"/>
          <w:szCs w:val="22"/>
          <w:lang w:val="en-CA"/>
        </w:rPr>
        <w:t xml:space="preserve"> total of 68 opp</w:t>
      </w:r>
      <w:r w:rsidR="003773DF" w:rsidRPr="00EB0301">
        <w:rPr>
          <w:kern w:val="22"/>
          <w:szCs w:val="22"/>
          <w:lang w:val="en-CA"/>
        </w:rPr>
        <w:t xml:space="preserve">ortunities have been published </w:t>
      </w:r>
      <w:r w:rsidR="00E94326" w:rsidRPr="00EB0301">
        <w:rPr>
          <w:kern w:val="22"/>
          <w:szCs w:val="22"/>
          <w:lang w:val="en-CA"/>
        </w:rPr>
        <w:t xml:space="preserve">and </w:t>
      </w:r>
      <w:r w:rsidR="003773DF" w:rsidRPr="00EB0301">
        <w:rPr>
          <w:kern w:val="22"/>
          <w:szCs w:val="22"/>
          <w:lang w:val="en-CA"/>
        </w:rPr>
        <w:t>have been</w:t>
      </w:r>
      <w:r w:rsidR="00E94326" w:rsidRPr="00EB0301">
        <w:rPr>
          <w:kern w:val="22"/>
          <w:szCs w:val="22"/>
          <w:lang w:val="en-CA"/>
        </w:rPr>
        <w:t xml:space="preserve"> made available to end users on the web platform.</w:t>
      </w:r>
    </w:p>
    <w:p w14:paraId="60B528BF" w14:textId="2218B0DE" w:rsidR="005D7949" w:rsidRPr="00EB0301" w:rsidRDefault="0032042D" w:rsidP="00EB0301">
      <w:pPr>
        <w:pStyle w:val="Para1"/>
        <w:numPr>
          <w:ilvl w:val="0"/>
          <w:numId w:val="19"/>
        </w:numPr>
        <w:suppressLineNumbers/>
        <w:tabs>
          <w:tab w:val="num" w:pos="720"/>
        </w:tabs>
        <w:suppressAutoHyphens/>
        <w:ind w:left="0" w:firstLine="0"/>
        <w:rPr>
          <w:kern w:val="22"/>
          <w:szCs w:val="22"/>
          <w:lang w:val="en-CA"/>
        </w:rPr>
      </w:pPr>
      <w:r w:rsidRPr="00EB0301">
        <w:rPr>
          <w:kern w:val="22"/>
          <w:szCs w:val="22"/>
          <w:lang w:val="en-CA"/>
        </w:rPr>
        <w:t>Further discussions and consultations have been held with various organizations, including the Intergovernmental</w:t>
      </w:r>
      <w:r w:rsidRPr="00EB0301">
        <w:rPr>
          <w:szCs w:val="22"/>
          <w:lang w:val="en-CA"/>
        </w:rPr>
        <w:t xml:space="preserve"> Science-Policy Platform on Biodiversity and Ecosystem Services (IPBES) the </w:t>
      </w:r>
      <w:r w:rsidRPr="00EB0301">
        <w:rPr>
          <w:kern w:val="22"/>
          <w:szCs w:val="22"/>
          <w:lang w:val="en-CA"/>
        </w:rPr>
        <w:t xml:space="preserve">UNDP Biodiversity and Ecosystem Services Network (BES-Net), the United Nations Framework Convention on Climate Change </w:t>
      </w:r>
      <w:r w:rsidRPr="00EB0301">
        <w:rPr>
          <w:szCs w:val="22"/>
          <w:lang w:val="en-CA"/>
        </w:rPr>
        <w:t xml:space="preserve">Climate Technology Centre and Network (CTCN), the </w:t>
      </w:r>
      <w:r w:rsidRPr="00EB0301">
        <w:rPr>
          <w:kern w:val="22"/>
          <w:szCs w:val="22"/>
          <w:lang w:val="en-CA"/>
        </w:rPr>
        <w:t xml:space="preserve">NBSAP Forum, </w:t>
      </w:r>
      <w:r w:rsidRPr="00EB0301">
        <w:rPr>
          <w:szCs w:val="22"/>
          <w:lang w:val="en-CA"/>
        </w:rPr>
        <w:t xml:space="preserve">the Sustainable </w:t>
      </w:r>
      <w:r w:rsidRPr="00EB0301">
        <w:rPr>
          <w:szCs w:val="22"/>
          <w:lang w:val="en-CA"/>
        </w:rPr>
        <w:lastRenderedPageBreak/>
        <w:t xml:space="preserve">Development Goals Technology Facilitation Mechanism (SDG TFM) </w:t>
      </w:r>
      <w:r w:rsidRPr="00EB0301">
        <w:rPr>
          <w:kern w:val="22"/>
          <w:szCs w:val="22"/>
          <w:lang w:val="en-CA"/>
        </w:rPr>
        <w:t xml:space="preserve">and the Standards and Trade Development Facility (STDF). </w:t>
      </w:r>
      <w:r w:rsidRPr="00EB0301">
        <w:rPr>
          <w:szCs w:val="22"/>
          <w:lang w:val="en-CA"/>
        </w:rPr>
        <w:t>These activities were aimed at exploring further opportunities for cooperation and partnerships with relevant initiatives and fostering synergies to avoid duplications of efforts</w:t>
      </w:r>
      <w:r w:rsidRPr="00EB0301">
        <w:rPr>
          <w:kern w:val="22"/>
          <w:szCs w:val="22"/>
          <w:lang w:val="en-CA"/>
        </w:rPr>
        <w:t>.</w:t>
      </w:r>
      <w:r w:rsidR="005D7949" w:rsidRPr="00EB0301">
        <w:rPr>
          <w:kern w:val="22"/>
          <w:szCs w:val="22"/>
          <w:lang w:val="en-CA"/>
        </w:rPr>
        <w:t xml:space="preserve">  Specifically, there is an opportunity to better align programmes, extend usage of key tools and make IT systems interoperable to be more effective and to reciprocally support each others</w:t>
      </w:r>
      <w:r w:rsidR="001A2825" w:rsidRPr="00EB0301">
        <w:rPr>
          <w:kern w:val="22"/>
          <w:szCs w:val="22"/>
          <w:lang w:val="en-CA"/>
        </w:rPr>
        <w:t>’</w:t>
      </w:r>
      <w:r w:rsidR="005D7949" w:rsidRPr="00EB0301">
        <w:rPr>
          <w:kern w:val="22"/>
          <w:szCs w:val="22"/>
          <w:lang w:val="en-CA"/>
        </w:rPr>
        <w:t xml:space="preserve"> operational models</w:t>
      </w:r>
      <w:r w:rsidR="001A2825" w:rsidRPr="00EB0301">
        <w:rPr>
          <w:kern w:val="22"/>
          <w:szCs w:val="22"/>
          <w:lang w:val="en-CA"/>
        </w:rPr>
        <w:t xml:space="preserve"> and the programme has had </w:t>
      </w:r>
      <w:proofErr w:type="gramStart"/>
      <w:r w:rsidR="001A2825" w:rsidRPr="00EB0301">
        <w:rPr>
          <w:kern w:val="22"/>
          <w:szCs w:val="22"/>
          <w:lang w:val="en-CA"/>
        </w:rPr>
        <w:t>a number of</w:t>
      </w:r>
      <w:proofErr w:type="gramEnd"/>
      <w:r w:rsidR="001A2825" w:rsidRPr="00EB0301">
        <w:rPr>
          <w:kern w:val="22"/>
          <w:szCs w:val="22"/>
          <w:lang w:val="en-CA"/>
        </w:rPr>
        <w:t xml:space="preserve"> discussions exploring such linkages with CTCN</w:t>
      </w:r>
      <w:r w:rsidR="005D7949" w:rsidRPr="00EB0301">
        <w:rPr>
          <w:kern w:val="22"/>
          <w:szCs w:val="22"/>
          <w:lang w:val="en-CA"/>
        </w:rPr>
        <w:t>.</w:t>
      </w:r>
    </w:p>
    <w:p w14:paraId="60359FCE" w14:textId="5B30DA38" w:rsidR="00BB28D8" w:rsidRPr="00EB0301" w:rsidRDefault="00BB28D8" w:rsidP="00EB0301">
      <w:pPr>
        <w:pStyle w:val="Caption"/>
        <w:spacing w:before="240" w:after="120"/>
        <w:ind w:left="360"/>
        <w:rPr>
          <w:color w:val="00B050"/>
          <w:szCs w:val="22"/>
          <w:lang w:val="en-CA"/>
        </w:rPr>
      </w:pPr>
      <w:r w:rsidRPr="00EB0301">
        <w:rPr>
          <w:color w:val="00B050"/>
          <w:szCs w:val="22"/>
          <w:lang w:val="en-CA"/>
        </w:rPr>
        <w:t>Figure 1 – BBI Tools and Services</w:t>
      </w:r>
    </w:p>
    <w:p w14:paraId="64C0BAD2" w14:textId="36219C24" w:rsidR="0099197D" w:rsidRPr="00EB0301" w:rsidRDefault="0099197D" w:rsidP="005D7949">
      <w:pPr>
        <w:pStyle w:val="Para1"/>
        <w:suppressLineNumbers/>
        <w:suppressAutoHyphens/>
        <w:ind w:left="360"/>
        <w:rPr>
          <w:kern w:val="22"/>
          <w:lang w:val="en-CA"/>
        </w:rPr>
      </w:pPr>
      <w:r w:rsidRPr="00EB0301">
        <w:rPr>
          <w:noProof/>
          <w:lang w:val="en-CA"/>
        </w:rPr>
        <w:drawing>
          <wp:inline distT="0" distB="0" distL="0" distR="0" wp14:anchorId="1B59D5B6" wp14:editId="677D80DA">
            <wp:extent cx="6007679" cy="42125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b="8383"/>
                    <a:stretch/>
                  </pic:blipFill>
                  <pic:spPr bwMode="auto">
                    <a:xfrm>
                      <a:off x="0" y="0"/>
                      <a:ext cx="6008370" cy="4213068"/>
                    </a:xfrm>
                    <a:prstGeom prst="rect">
                      <a:avLst/>
                    </a:prstGeom>
                    <a:noFill/>
                    <a:ln>
                      <a:noFill/>
                    </a:ln>
                    <a:extLst>
                      <a:ext uri="{53640926-AAD7-44D8-BBD7-CCE9431645EC}">
                        <a14:shadowObscured xmlns:a14="http://schemas.microsoft.com/office/drawing/2010/main"/>
                      </a:ext>
                    </a:extLst>
                  </pic:spPr>
                </pic:pic>
              </a:graphicData>
            </a:graphic>
          </wp:inline>
        </w:drawing>
      </w:r>
    </w:p>
    <w:p w14:paraId="3DA481FE" w14:textId="6B1BB068" w:rsidR="0099197D" w:rsidRPr="00EB0301" w:rsidRDefault="0099197D" w:rsidP="005D7949">
      <w:pPr>
        <w:pStyle w:val="Para1"/>
        <w:suppressLineNumbers/>
        <w:suppressAutoHyphens/>
        <w:ind w:left="360"/>
        <w:rPr>
          <w:kern w:val="22"/>
          <w:lang w:val="en-CA"/>
        </w:rPr>
      </w:pPr>
    </w:p>
    <w:p w14:paraId="5DF0EAAE" w14:textId="77777777" w:rsidR="0032042D" w:rsidRPr="00EB0301" w:rsidRDefault="0032042D" w:rsidP="00EB0301">
      <w:pPr>
        <w:pStyle w:val="Heading2"/>
        <w:numPr>
          <w:ilvl w:val="0"/>
          <w:numId w:val="24"/>
        </w:numPr>
        <w:spacing w:before="240" w:after="240"/>
        <w:rPr>
          <w:bCs w:val="0"/>
          <w:iCs w:val="0"/>
          <w:caps/>
          <w:lang w:val="en-CA"/>
        </w:rPr>
      </w:pPr>
      <w:r w:rsidRPr="00EB0301">
        <w:rPr>
          <w:bCs w:val="0"/>
          <w:iCs w:val="0"/>
          <w:caps/>
          <w:lang w:val="en-CA"/>
        </w:rPr>
        <w:t>Regional BIO-Bridge initiative Round Tables</w:t>
      </w:r>
    </w:p>
    <w:p w14:paraId="746D15D7" w14:textId="752626B4" w:rsidR="0032042D" w:rsidRPr="00EB0301" w:rsidRDefault="0032042D" w:rsidP="00537424">
      <w:pPr>
        <w:pStyle w:val="Para1"/>
        <w:numPr>
          <w:ilvl w:val="0"/>
          <w:numId w:val="19"/>
        </w:numPr>
        <w:suppressLineNumbers/>
        <w:tabs>
          <w:tab w:val="num" w:pos="720"/>
        </w:tabs>
        <w:suppressAutoHyphens/>
        <w:ind w:left="0" w:firstLine="0"/>
        <w:rPr>
          <w:kern w:val="22"/>
          <w:lang w:val="en-CA"/>
        </w:rPr>
      </w:pPr>
      <w:r w:rsidRPr="00EB0301">
        <w:rPr>
          <w:kern w:val="22"/>
          <w:lang w:val="en-CA"/>
        </w:rPr>
        <w:t>The Secretariat organised four regional Bio-Bridge Initiative round tables for</w:t>
      </w:r>
      <w:r w:rsidRPr="00EB0301">
        <w:rPr>
          <w:lang w:val="en-CA"/>
        </w:rPr>
        <w:t xml:space="preserve"> Asia-Pacific (15-19 October 2017 in Incheon, Republic of Korea), Africa (7-9 November 2017 in Entebbe, Uganda), Latin America and the Caribbean (27-29 November 2017 in Bogota Colombia) and </w:t>
      </w:r>
      <w:r w:rsidRPr="00EB0301">
        <w:rPr>
          <w:szCs w:val="22"/>
          <w:lang w:val="en-CA"/>
        </w:rPr>
        <w:t xml:space="preserve">Central and Eastern Europe and the Central Asian Republics (26-28 February 2018 in Minsk, Belarus).  </w:t>
      </w:r>
      <w:r w:rsidRPr="00EB0301">
        <w:rPr>
          <w:lang w:val="en-CA"/>
        </w:rPr>
        <w:t xml:space="preserve">The round tables aimed to promote awareness of the Initiative (including its action plan for 2017-2020, operational procedures, criteria and support tools) and share experiences and lessons learned with respect to technical and scientific cooperation for biodiversity. The round tables also provided an opportunity for countries requiring assistance to </w:t>
      </w:r>
      <w:r w:rsidRPr="00EB0301">
        <w:rPr>
          <w:kern w:val="22"/>
          <w:lang w:val="en-CA"/>
        </w:rPr>
        <w:t>highlight their priority technical and scientific needs and for potential providers of technical assistance, including Parties, regional and international organizations, donor agencies and private sector entities, to share information about their activities and the kind of support they could offer to countries requiring assistance.</w:t>
      </w:r>
    </w:p>
    <w:p w14:paraId="17EBCDEC" w14:textId="3B88639F" w:rsidR="0032042D" w:rsidRPr="00EB0301" w:rsidRDefault="0032042D" w:rsidP="00537424">
      <w:pPr>
        <w:pStyle w:val="Para1"/>
        <w:numPr>
          <w:ilvl w:val="0"/>
          <w:numId w:val="19"/>
        </w:numPr>
        <w:suppressLineNumbers/>
        <w:tabs>
          <w:tab w:val="num" w:pos="720"/>
        </w:tabs>
        <w:suppressAutoHyphens/>
        <w:ind w:left="0" w:firstLine="0"/>
        <w:rPr>
          <w:kern w:val="22"/>
          <w:lang w:val="en-CA"/>
        </w:rPr>
      </w:pPr>
      <w:r w:rsidRPr="00EB0301">
        <w:rPr>
          <w:kern w:val="22"/>
          <w:lang w:val="en-CA"/>
        </w:rPr>
        <w:t xml:space="preserve">During the </w:t>
      </w:r>
      <w:r w:rsidR="0027174F" w:rsidRPr="00EB0301">
        <w:rPr>
          <w:kern w:val="22"/>
          <w:lang w:val="en-CA"/>
        </w:rPr>
        <w:t xml:space="preserve">four </w:t>
      </w:r>
      <w:r w:rsidRPr="00EB0301">
        <w:rPr>
          <w:kern w:val="22"/>
          <w:lang w:val="en-CA"/>
        </w:rPr>
        <w:t>round tables</w:t>
      </w:r>
      <w:r w:rsidRPr="00EB0301">
        <w:rPr>
          <w:lang w:val="en-CA"/>
        </w:rPr>
        <w:t xml:space="preserve">, countries identified the following, in the order of priority,  as their key needs that could be addressed through technical and scientific cooperation: invasive alien species, protected </w:t>
      </w:r>
      <w:r w:rsidRPr="00EB0301">
        <w:rPr>
          <w:lang w:val="en-CA"/>
        </w:rPr>
        <w:lastRenderedPageBreak/>
        <w:t>area management and tourism, access and benefit sharing, biodiversity identification and monitoring (including species identification using</w:t>
      </w:r>
      <w:r w:rsidRPr="00EB0301">
        <w:rPr>
          <w:kern w:val="22"/>
          <w:lang w:val="en-CA"/>
        </w:rPr>
        <w:t xml:space="preserve"> DNA technologies), </w:t>
      </w:r>
      <w:r w:rsidRPr="00EB0301">
        <w:rPr>
          <w:lang w:val="en-CA"/>
        </w:rPr>
        <w:t xml:space="preserve">ecosystem restoration, ecosystem valuation and accounting, biodiversity information management, climate change and biodiversity, control of illegal wildlife trade, protection and recovery of threatened species, biosafety, agricultural biodiversity, traditional knowledge and community-based monitoring, and control of pollution. They also identified the following cross-cutting needs: communication, education and public awareness; project proposal development, resource mobilization and support for the development and implementation of national biodiversity strategies and action plans and policy frameworks (see summary table in Annex </w:t>
      </w:r>
      <w:r w:rsidR="00C50542" w:rsidRPr="00EB0301">
        <w:rPr>
          <w:lang w:val="en-CA"/>
        </w:rPr>
        <w:t>2</w:t>
      </w:r>
      <w:r w:rsidRPr="00EB0301">
        <w:rPr>
          <w:lang w:val="en-CA"/>
        </w:rPr>
        <w:t xml:space="preserve"> below) </w:t>
      </w:r>
    </w:p>
    <w:p w14:paraId="60F537F4" w14:textId="715FCFFD" w:rsidR="0027174F" w:rsidRPr="00EB0301" w:rsidRDefault="0027174F" w:rsidP="00537424">
      <w:pPr>
        <w:pStyle w:val="Para1"/>
        <w:numPr>
          <w:ilvl w:val="0"/>
          <w:numId w:val="19"/>
        </w:numPr>
        <w:suppressLineNumbers/>
        <w:tabs>
          <w:tab w:val="num" w:pos="720"/>
        </w:tabs>
        <w:suppressAutoHyphens/>
        <w:ind w:left="0" w:firstLine="0"/>
        <w:rPr>
          <w:kern w:val="22"/>
          <w:lang w:val="en-CA"/>
        </w:rPr>
      </w:pPr>
      <w:r w:rsidRPr="00EB0301">
        <w:rPr>
          <w:kern w:val="22"/>
          <w:lang w:val="en-CA"/>
        </w:rPr>
        <w:t xml:space="preserve">A Regional Bio-Bridge Round Table for Western Europe and Others Group was organized </w:t>
      </w:r>
      <w:r w:rsidRPr="00EB0301">
        <w:rPr>
          <w:szCs w:val="22"/>
          <w:lang w:val="en-CA"/>
        </w:rPr>
        <w:t xml:space="preserve">by the Secretariat, in collaboration with the Royal Belgian Institute of Natural Sciences on 21 September 2018 in Brussels, Belgium. </w:t>
      </w:r>
      <w:r w:rsidRPr="00EB0301">
        <w:rPr>
          <w:szCs w:val="23"/>
          <w:lang w:val="en-CA"/>
        </w:rPr>
        <w:t xml:space="preserve">This one-day examined technical and scientific cooperation </w:t>
      </w:r>
      <w:r w:rsidRPr="00EB0301">
        <w:rPr>
          <w:kern w:val="22"/>
          <w:szCs w:val="23"/>
          <w:lang w:val="en-CA"/>
        </w:rPr>
        <w:t xml:space="preserve">and technology transfer from a “supply” perspective to </w:t>
      </w:r>
      <w:r w:rsidRPr="00EB0301">
        <w:rPr>
          <w:szCs w:val="23"/>
          <w:lang w:val="en-CA"/>
        </w:rPr>
        <w:t xml:space="preserve">identify potential opportunities for leveraging additional support </w:t>
      </w:r>
      <w:r w:rsidRPr="00EB0301">
        <w:rPr>
          <w:kern w:val="22"/>
          <w:szCs w:val="23"/>
          <w:lang w:val="en-CA"/>
        </w:rPr>
        <w:t>to upscale and replicate projects supported by the programme through new partnerships</w:t>
      </w:r>
      <w:r w:rsidRPr="00EB0301">
        <w:rPr>
          <w:szCs w:val="22"/>
          <w:lang w:val="en-CA"/>
        </w:rPr>
        <w:t>.</w:t>
      </w:r>
      <w:r w:rsidRPr="00EB0301">
        <w:rPr>
          <w:szCs w:val="23"/>
          <w:lang w:val="en-CA"/>
        </w:rPr>
        <w:t xml:space="preserve"> </w:t>
      </w:r>
      <w:r w:rsidRPr="00EB0301">
        <w:rPr>
          <w:szCs w:val="22"/>
          <w:lang w:val="en-CA"/>
        </w:rPr>
        <w:t>The event also provide</w:t>
      </w:r>
      <w:r w:rsidR="0012539C" w:rsidRPr="00EB0301">
        <w:rPr>
          <w:szCs w:val="22"/>
          <w:lang w:val="en-CA"/>
        </w:rPr>
        <w:t>d</w:t>
      </w:r>
      <w:r w:rsidRPr="00EB0301">
        <w:rPr>
          <w:szCs w:val="22"/>
          <w:lang w:val="en-CA"/>
        </w:rPr>
        <w:t xml:space="preserve"> an opportunity for participants to share</w:t>
      </w:r>
      <w:r w:rsidRPr="00EB0301">
        <w:rPr>
          <w:kern w:val="22"/>
          <w:szCs w:val="22"/>
          <w:lang w:val="en-CA"/>
        </w:rPr>
        <w:t xml:space="preserve"> experiences and lessons learned with different matchmaking models,</w:t>
      </w:r>
      <w:r w:rsidRPr="00EB0301">
        <w:rPr>
          <w:szCs w:val="22"/>
          <w:lang w:val="en-CA"/>
        </w:rPr>
        <w:t xml:space="preserve"> as well as to explore ways to encourage Parties and organizations in the </w:t>
      </w:r>
      <w:r w:rsidRPr="00EB0301">
        <w:rPr>
          <w:kern w:val="22"/>
          <w:lang w:val="en-CA"/>
        </w:rPr>
        <w:t>region to respond effectively to the needs expressed by countries during the initial set of four round tables.</w:t>
      </w:r>
    </w:p>
    <w:p w14:paraId="4C47911A" w14:textId="0A48A238" w:rsidR="0032042D" w:rsidRPr="00EB0301" w:rsidRDefault="0027174F" w:rsidP="00537424">
      <w:pPr>
        <w:pStyle w:val="Para1"/>
        <w:numPr>
          <w:ilvl w:val="0"/>
          <w:numId w:val="19"/>
        </w:numPr>
        <w:suppressLineNumbers/>
        <w:tabs>
          <w:tab w:val="num" w:pos="720"/>
        </w:tabs>
        <w:suppressAutoHyphens/>
        <w:ind w:left="0" w:firstLine="0"/>
        <w:rPr>
          <w:kern w:val="22"/>
          <w:lang w:val="en-CA"/>
        </w:rPr>
      </w:pPr>
      <w:r w:rsidRPr="00EB0301">
        <w:rPr>
          <w:kern w:val="22"/>
          <w:lang w:val="en-CA"/>
        </w:rPr>
        <w:t xml:space="preserve">One of the </w:t>
      </w:r>
      <w:r w:rsidR="0032042D" w:rsidRPr="00EB0301">
        <w:rPr>
          <w:kern w:val="22"/>
          <w:lang w:val="en-CA"/>
        </w:rPr>
        <w:t xml:space="preserve">lessons </w:t>
      </w:r>
      <w:r w:rsidRPr="00EB0301">
        <w:rPr>
          <w:kern w:val="22"/>
          <w:lang w:val="en-CA"/>
        </w:rPr>
        <w:t xml:space="preserve">that </w:t>
      </w:r>
      <w:r w:rsidR="00AA79B8" w:rsidRPr="00EB0301">
        <w:rPr>
          <w:kern w:val="22"/>
          <w:lang w:val="en-CA"/>
        </w:rPr>
        <w:t>are</w:t>
      </w:r>
      <w:r w:rsidRPr="00EB0301">
        <w:rPr>
          <w:kern w:val="22"/>
          <w:lang w:val="en-CA"/>
        </w:rPr>
        <w:t xml:space="preserve"> being </w:t>
      </w:r>
      <w:r w:rsidR="0032042D" w:rsidRPr="00EB0301">
        <w:rPr>
          <w:kern w:val="22"/>
          <w:lang w:val="en-CA"/>
        </w:rPr>
        <w:t>learned during the operational phase of Bio-Bridge Initiative is the need to adopt more programmatic an</w:t>
      </w:r>
      <w:r w:rsidRPr="00EB0301">
        <w:rPr>
          <w:kern w:val="22"/>
          <w:lang w:val="en-CA"/>
        </w:rPr>
        <w:t xml:space="preserve">d multi-stakeholder approaches </w:t>
      </w:r>
      <w:r w:rsidR="0032042D" w:rsidRPr="00EB0301">
        <w:rPr>
          <w:kern w:val="22"/>
          <w:lang w:val="en-CA"/>
        </w:rPr>
        <w:t xml:space="preserve">to address the capacity gaps in achievement of the Aichi Biodiversity Targets. In line with past decisions of the Conference of the Parties relating to the private sector and the scientific community, this could include consultations with the Consortium of Scientific Partners, the Business and Biodiversity Platform and its </w:t>
      </w:r>
      <w:r w:rsidRPr="00EB0301">
        <w:rPr>
          <w:kern w:val="22"/>
          <w:lang w:val="en-CA"/>
        </w:rPr>
        <w:t>f</w:t>
      </w:r>
      <w:r w:rsidR="0032042D" w:rsidRPr="00EB0301">
        <w:rPr>
          <w:kern w:val="22"/>
          <w:lang w:val="en-CA"/>
        </w:rPr>
        <w:t>ora and the Parties’ agencies focused on green technological innovation.</w:t>
      </w:r>
    </w:p>
    <w:p w14:paraId="16A2CEAB" w14:textId="3F7235F4" w:rsidR="001A2825" w:rsidRPr="00EB0301" w:rsidRDefault="00DB20B1" w:rsidP="001A2825">
      <w:pPr>
        <w:pStyle w:val="Para1"/>
        <w:numPr>
          <w:ilvl w:val="0"/>
          <w:numId w:val="19"/>
        </w:numPr>
        <w:suppressLineNumbers/>
        <w:tabs>
          <w:tab w:val="num" w:pos="720"/>
        </w:tabs>
        <w:suppressAutoHyphens/>
        <w:ind w:left="0" w:firstLine="0"/>
        <w:rPr>
          <w:kern w:val="22"/>
          <w:lang w:val="en-CA"/>
        </w:rPr>
      </w:pPr>
      <w:r w:rsidRPr="00EB0301">
        <w:rPr>
          <w:kern w:val="22"/>
          <w:lang w:val="en-CA"/>
        </w:rPr>
        <w:t>The core team is reaching out to count</w:t>
      </w:r>
      <w:r w:rsidR="00AD5B81" w:rsidRPr="00EB0301">
        <w:rPr>
          <w:kern w:val="22"/>
          <w:lang w:val="en-CA"/>
        </w:rPr>
        <w:t>r</w:t>
      </w:r>
      <w:r w:rsidRPr="00EB0301">
        <w:rPr>
          <w:kern w:val="22"/>
          <w:lang w:val="en-CA"/>
        </w:rPr>
        <w:t xml:space="preserve">ies </w:t>
      </w:r>
      <w:r w:rsidR="00676752" w:rsidRPr="00EB0301">
        <w:rPr>
          <w:kern w:val="22"/>
          <w:lang w:val="en-CA"/>
        </w:rPr>
        <w:t>that</w:t>
      </w:r>
      <w:r w:rsidRPr="00EB0301">
        <w:rPr>
          <w:kern w:val="22"/>
          <w:lang w:val="en-CA"/>
        </w:rPr>
        <w:t xml:space="preserve"> have submitted requests for assistance </w:t>
      </w:r>
      <w:r w:rsidR="001A2825" w:rsidRPr="00EB0301">
        <w:rPr>
          <w:kern w:val="22"/>
          <w:lang w:val="en-CA"/>
        </w:rPr>
        <w:t xml:space="preserve">to clarify their requirements </w:t>
      </w:r>
      <w:r w:rsidRPr="00EB0301">
        <w:rPr>
          <w:kern w:val="22"/>
          <w:lang w:val="en-CA"/>
        </w:rPr>
        <w:t xml:space="preserve">and is exploring all avenues to actively search for Providers </w:t>
      </w:r>
      <w:r w:rsidR="001A2825" w:rsidRPr="00EB0301">
        <w:rPr>
          <w:kern w:val="22"/>
          <w:lang w:val="en-CA"/>
        </w:rPr>
        <w:t>who are able to respond to these</w:t>
      </w:r>
      <w:r w:rsidRPr="00EB0301">
        <w:rPr>
          <w:kern w:val="22"/>
          <w:lang w:val="en-CA"/>
        </w:rPr>
        <w:t xml:space="preserve"> needs and offer technical assistance</w:t>
      </w:r>
      <w:r w:rsidR="00676752" w:rsidRPr="00EB0301">
        <w:rPr>
          <w:kern w:val="22"/>
          <w:lang w:val="en-CA"/>
        </w:rPr>
        <w:t xml:space="preserve">. </w:t>
      </w:r>
      <w:r w:rsidRPr="00EB0301">
        <w:rPr>
          <w:kern w:val="22"/>
          <w:lang w:val="en-CA"/>
        </w:rPr>
        <w:t>Finding organizations</w:t>
      </w:r>
      <w:r w:rsidR="001A2825" w:rsidRPr="00EB0301">
        <w:rPr>
          <w:kern w:val="22"/>
          <w:lang w:val="en-CA"/>
        </w:rPr>
        <w:t xml:space="preserve"> however</w:t>
      </w:r>
      <w:r w:rsidRPr="00EB0301">
        <w:rPr>
          <w:kern w:val="22"/>
          <w:lang w:val="en-CA"/>
        </w:rPr>
        <w:t xml:space="preserve"> </w:t>
      </w:r>
      <w:r w:rsidR="00676752" w:rsidRPr="00EB0301">
        <w:rPr>
          <w:kern w:val="22"/>
          <w:lang w:val="en-CA"/>
        </w:rPr>
        <w:t>that</w:t>
      </w:r>
      <w:r w:rsidRPr="00EB0301">
        <w:rPr>
          <w:kern w:val="22"/>
          <w:lang w:val="en-CA"/>
        </w:rPr>
        <w:t xml:space="preserve"> are </w:t>
      </w:r>
      <w:proofErr w:type="gramStart"/>
      <w:r w:rsidRPr="00EB0301">
        <w:rPr>
          <w:kern w:val="22"/>
          <w:lang w:val="en-CA"/>
        </w:rPr>
        <w:t>in a position</w:t>
      </w:r>
      <w:proofErr w:type="gramEnd"/>
      <w:r w:rsidRPr="00EB0301">
        <w:rPr>
          <w:kern w:val="22"/>
          <w:lang w:val="en-CA"/>
        </w:rPr>
        <w:t xml:space="preserve"> to</w:t>
      </w:r>
      <w:r w:rsidRPr="00EB0301" w:rsidDel="00AD2DA8">
        <w:rPr>
          <w:lang w:val="en-CA"/>
        </w:rPr>
        <w:t xml:space="preserve"> </w:t>
      </w:r>
      <w:r w:rsidRPr="00EB0301">
        <w:rPr>
          <w:lang w:val="en-CA"/>
        </w:rPr>
        <w:t xml:space="preserve">and willing to start incubating projects and partnerships on a pro-bono basis has proved challenging </w:t>
      </w:r>
      <w:r w:rsidR="001A2825" w:rsidRPr="00EB0301">
        <w:rPr>
          <w:lang w:val="en-CA"/>
        </w:rPr>
        <w:t xml:space="preserve">for the programme </w:t>
      </w:r>
      <w:r w:rsidRPr="00EB0301">
        <w:rPr>
          <w:lang w:val="en-CA"/>
        </w:rPr>
        <w:t>to date.</w:t>
      </w:r>
      <w:r w:rsidR="001A2825" w:rsidRPr="00EB0301">
        <w:rPr>
          <w:lang w:val="en-CA"/>
        </w:rPr>
        <w:t xml:space="preserve"> Notable successes have </w:t>
      </w:r>
      <w:r w:rsidR="00E94326" w:rsidRPr="00EB0301">
        <w:rPr>
          <w:lang w:val="en-CA"/>
        </w:rPr>
        <w:t xml:space="preserve">been achieved </w:t>
      </w:r>
      <w:r w:rsidR="001A2825" w:rsidRPr="00EB0301">
        <w:rPr>
          <w:lang w:val="en-CA"/>
        </w:rPr>
        <w:t xml:space="preserve">where the programme </w:t>
      </w:r>
      <w:r w:rsidR="00E94326" w:rsidRPr="00EB0301">
        <w:rPr>
          <w:lang w:val="en-CA"/>
        </w:rPr>
        <w:t>has been able to inject</w:t>
      </w:r>
      <w:r w:rsidR="001A2825" w:rsidRPr="00EB0301">
        <w:rPr>
          <w:lang w:val="en-CA"/>
        </w:rPr>
        <w:t xml:space="preserve"> catalytic support and incubate a partnership.</w:t>
      </w:r>
    </w:p>
    <w:p w14:paraId="064B617D" w14:textId="4178C48A" w:rsidR="00DB20B1" w:rsidRPr="00EB0301" w:rsidRDefault="001A2825" w:rsidP="00EB0301">
      <w:pPr>
        <w:pStyle w:val="Caption"/>
        <w:spacing w:before="240" w:after="240"/>
        <w:rPr>
          <w:color w:val="00B050"/>
          <w:sz w:val="20"/>
          <w:lang w:val="en-CA"/>
        </w:rPr>
      </w:pPr>
      <w:r w:rsidRPr="00EB0301">
        <w:rPr>
          <w:color w:val="00B050"/>
          <w:sz w:val="20"/>
          <w:lang w:val="en-CA"/>
        </w:rPr>
        <w:t>Table 2 – Summary of Matchmaking to Date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43"/>
        <w:gridCol w:w="980"/>
        <w:gridCol w:w="3929"/>
      </w:tblGrid>
      <w:tr w:rsidR="00436290" w:rsidRPr="00EB0301" w14:paraId="5F1A3C1C" w14:textId="77777777" w:rsidTr="00D93C34">
        <w:tc>
          <w:tcPr>
            <w:tcW w:w="4608" w:type="dxa"/>
            <w:shd w:val="clear" w:color="auto" w:fill="EAF1DD" w:themeFill="accent3" w:themeFillTint="33"/>
          </w:tcPr>
          <w:p w14:paraId="47681B2B" w14:textId="77777777" w:rsidR="00436290" w:rsidRPr="00EB0301" w:rsidRDefault="00436290" w:rsidP="00D93C34">
            <w:pPr>
              <w:spacing w:before="60" w:after="60"/>
              <w:rPr>
                <w:sz w:val="20"/>
                <w:lang w:val="en-CA"/>
              </w:rPr>
            </w:pPr>
            <w:r w:rsidRPr="00EB0301">
              <w:rPr>
                <w:sz w:val="20"/>
                <w:lang w:val="en-CA"/>
              </w:rPr>
              <w:t>Requests for assistance/ Proposals received</w:t>
            </w:r>
          </w:p>
        </w:tc>
        <w:tc>
          <w:tcPr>
            <w:tcW w:w="4968" w:type="dxa"/>
            <w:gridSpan w:val="2"/>
            <w:shd w:val="clear" w:color="auto" w:fill="EAF1DD" w:themeFill="accent3" w:themeFillTint="33"/>
          </w:tcPr>
          <w:p w14:paraId="7FE714E9" w14:textId="77777777" w:rsidR="00436290" w:rsidRPr="00EB0301" w:rsidRDefault="00436290" w:rsidP="00D93C34">
            <w:pPr>
              <w:spacing w:before="60" w:after="60"/>
              <w:rPr>
                <w:sz w:val="20"/>
                <w:lang w:val="en-CA"/>
              </w:rPr>
            </w:pPr>
            <w:r w:rsidRPr="00EB0301">
              <w:rPr>
                <w:sz w:val="20"/>
                <w:lang w:val="en-CA"/>
              </w:rPr>
              <w:t>115</w:t>
            </w:r>
          </w:p>
        </w:tc>
      </w:tr>
      <w:tr w:rsidR="00436290" w:rsidRPr="00EB0301" w14:paraId="0262C52D" w14:textId="77777777" w:rsidTr="00D93C34">
        <w:trPr>
          <w:trHeight w:val="163"/>
        </w:trPr>
        <w:tc>
          <w:tcPr>
            <w:tcW w:w="4608" w:type="dxa"/>
            <w:vMerge w:val="restart"/>
          </w:tcPr>
          <w:p w14:paraId="0C80D59E" w14:textId="77777777" w:rsidR="00436290" w:rsidRPr="00EB0301" w:rsidRDefault="00436290" w:rsidP="00D93C34">
            <w:pPr>
              <w:spacing w:before="60" w:after="60"/>
              <w:rPr>
                <w:sz w:val="20"/>
                <w:lang w:val="en-CA"/>
              </w:rPr>
            </w:pPr>
            <w:r w:rsidRPr="00EB0301">
              <w:rPr>
                <w:sz w:val="20"/>
                <w:lang w:val="en-CA"/>
              </w:rPr>
              <w:t>Successful matches</w:t>
            </w:r>
          </w:p>
        </w:tc>
        <w:tc>
          <w:tcPr>
            <w:tcW w:w="990" w:type="dxa"/>
            <w:vMerge w:val="restart"/>
          </w:tcPr>
          <w:p w14:paraId="458FC0E6" w14:textId="77777777" w:rsidR="00436290" w:rsidRPr="00EB0301" w:rsidRDefault="00436290" w:rsidP="00D93C34">
            <w:pPr>
              <w:spacing w:before="60" w:after="60"/>
              <w:rPr>
                <w:sz w:val="20"/>
                <w:lang w:val="en-CA"/>
              </w:rPr>
            </w:pPr>
            <w:r w:rsidRPr="00EB0301">
              <w:rPr>
                <w:sz w:val="20"/>
                <w:lang w:val="en-CA"/>
              </w:rPr>
              <w:t>26</w:t>
            </w:r>
          </w:p>
        </w:tc>
        <w:tc>
          <w:tcPr>
            <w:tcW w:w="3978" w:type="dxa"/>
          </w:tcPr>
          <w:p w14:paraId="36E821BB" w14:textId="77777777" w:rsidR="00436290" w:rsidRPr="00EB0301" w:rsidRDefault="00436290" w:rsidP="00D93C34">
            <w:pPr>
              <w:spacing w:before="60" w:after="60"/>
              <w:rPr>
                <w:sz w:val="20"/>
                <w:lang w:val="en-CA"/>
              </w:rPr>
            </w:pPr>
            <w:r w:rsidRPr="00EB0301">
              <w:rPr>
                <w:sz w:val="20"/>
                <w:lang w:val="en-CA"/>
              </w:rPr>
              <w:t xml:space="preserve">25 with </w:t>
            </w:r>
            <w:r w:rsidRPr="00EB0301">
              <w:rPr>
                <w:kern w:val="22"/>
                <w:lang w:val="en-CA"/>
              </w:rPr>
              <w:t>catalytic early-stage incubation</w:t>
            </w:r>
          </w:p>
        </w:tc>
      </w:tr>
      <w:tr w:rsidR="00436290" w:rsidRPr="00EB0301" w14:paraId="4127AD69" w14:textId="77777777" w:rsidTr="00D93C34">
        <w:trPr>
          <w:trHeight w:val="163"/>
        </w:trPr>
        <w:tc>
          <w:tcPr>
            <w:tcW w:w="4608" w:type="dxa"/>
            <w:vMerge/>
          </w:tcPr>
          <w:p w14:paraId="2232F257" w14:textId="77777777" w:rsidR="00436290" w:rsidRPr="00EB0301" w:rsidRDefault="00436290" w:rsidP="00D93C34">
            <w:pPr>
              <w:spacing w:before="60" w:after="60"/>
              <w:rPr>
                <w:sz w:val="20"/>
                <w:lang w:val="en-CA"/>
              </w:rPr>
            </w:pPr>
          </w:p>
        </w:tc>
        <w:tc>
          <w:tcPr>
            <w:tcW w:w="990" w:type="dxa"/>
            <w:vMerge/>
          </w:tcPr>
          <w:p w14:paraId="1787C6C8" w14:textId="77777777" w:rsidR="00436290" w:rsidRPr="00EB0301" w:rsidRDefault="00436290" w:rsidP="00D93C34">
            <w:pPr>
              <w:spacing w:before="60" w:after="60"/>
              <w:rPr>
                <w:sz w:val="20"/>
                <w:lang w:val="en-CA"/>
              </w:rPr>
            </w:pPr>
          </w:p>
        </w:tc>
        <w:tc>
          <w:tcPr>
            <w:tcW w:w="3978" w:type="dxa"/>
          </w:tcPr>
          <w:p w14:paraId="4EE1A299" w14:textId="77777777" w:rsidR="00436290" w:rsidRPr="00EB0301" w:rsidRDefault="00436290" w:rsidP="00D93C34">
            <w:pPr>
              <w:spacing w:before="60" w:after="60"/>
              <w:rPr>
                <w:sz w:val="20"/>
                <w:lang w:val="en-CA"/>
              </w:rPr>
            </w:pPr>
            <w:r w:rsidRPr="00EB0301">
              <w:rPr>
                <w:sz w:val="20"/>
                <w:lang w:val="en-CA"/>
              </w:rPr>
              <w:t xml:space="preserve">1 with </w:t>
            </w:r>
            <w:r w:rsidRPr="00EB0301">
              <w:rPr>
                <w:kern w:val="22"/>
                <w:lang w:val="en-CA"/>
              </w:rPr>
              <w:t>institutional pro-bono support</w:t>
            </w:r>
          </w:p>
        </w:tc>
      </w:tr>
      <w:tr w:rsidR="00436290" w:rsidRPr="00EB0301" w14:paraId="3DC5E327" w14:textId="77777777" w:rsidTr="00D93C34">
        <w:tc>
          <w:tcPr>
            <w:tcW w:w="4608" w:type="dxa"/>
            <w:shd w:val="clear" w:color="auto" w:fill="EAF1DD" w:themeFill="accent3" w:themeFillTint="33"/>
          </w:tcPr>
          <w:p w14:paraId="2A346937" w14:textId="77777777" w:rsidR="00436290" w:rsidRPr="00EB0301" w:rsidRDefault="00436290" w:rsidP="00D93C34">
            <w:pPr>
              <w:spacing w:before="60" w:after="60"/>
              <w:rPr>
                <w:sz w:val="20"/>
                <w:lang w:val="en-CA"/>
              </w:rPr>
            </w:pPr>
            <w:r w:rsidRPr="00EB0301">
              <w:rPr>
                <w:sz w:val="20"/>
                <w:lang w:val="en-CA"/>
              </w:rPr>
              <w:t>Percentage of approved proposals – Round 1</w:t>
            </w:r>
          </w:p>
        </w:tc>
        <w:tc>
          <w:tcPr>
            <w:tcW w:w="4968" w:type="dxa"/>
            <w:gridSpan w:val="2"/>
            <w:shd w:val="clear" w:color="auto" w:fill="EAF1DD" w:themeFill="accent3" w:themeFillTint="33"/>
          </w:tcPr>
          <w:p w14:paraId="37B5352D" w14:textId="77777777" w:rsidR="00436290" w:rsidRPr="00EB0301" w:rsidRDefault="00436290" w:rsidP="00D93C34">
            <w:pPr>
              <w:spacing w:before="60" w:after="60"/>
              <w:rPr>
                <w:sz w:val="20"/>
                <w:lang w:val="en-CA"/>
              </w:rPr>
            </w:pPr>
            <w:r w:rsidRPr="00EB0301">
              <w:rPr>
                <w:sz w:val="20"/>
                <w:lang w:val="en-CA"/>
              </w:rPr>
              <w:t>23.5%</w:t>
            </w:r>
          </w:p>
        </w:tc>
      </w:tr>
      <w:tr w:rsidR="00436290" w:rsidRPr="00EB0301" w14:paraId="15EDA4A9" w14:textId="77777777" w:rsidTr="00D93C34">
        <w:tc>
          <w:tcPr>
            <w:tcW w:w="4608" w:type="dxa"/>
          </w:tcPr>
          <w:p w14:paraId="6BA826E8" w14:textId="77777777" w:rsidR="00436290" w:rsidRPr="00EB0301" w:rsidRDefault="00436290" w:rsidP="00D93C34">
            <w:pPr>
              <w:spacing w:before="60" w:after="60"/>
              <w:rPr>
                <w:sz w:val="20"/>
                <w:lang w:val="en-CA"/>
              </w:rPr>
            </w:pPr>
            <w:r w:rsidRPr="00EB0301">
              <w:rPr>
                <w:sz w:val="20"/>
                <w:lang w:val="en-CA"/>
              </w:rPr>
              <w:t>Percentage of approved proposals – Round 2</w:t>
            </w:r>
          </w:p>
        </w:tc>
        <w:tc>
          <w:tcPr>
            <w:tcW w:w="4968" w:type="dxa"/>
            <w:gridSpan w:val="2"/>
          </w:tcPr>
          <w:p w14:paraId="2CE98705" w14:textId="77777777" w:rsidR="00436290" w:rsidRPr="00EB0301" w:rsidRDefault="00436290" w:rsidP="00D93C34">
            <w:pPr>
              <w:spacing w:before="60" w:after="60"/>
              <w:rPr>
                <w:sz w:val="20"/>
                <w:lang w:val="en-CA"/>
              </w:rPr>
            </w:pPr>
            <w:r w:rsidRPr="00EB0301">
              <w:rPr>
                <w:sz w:val="20"/>
                <w:lang w:val="en-CA"/>
              </w:rPr>
              <w:t>29%</w:t>
            </w:r>
          </w:p>
        </w:tc>
      </w:tr>
      <w:tr w:rsidR="00436290" w:rsidRPr="00EB0301" w14:paraId="02ECB2E3" w14:textId="77777777" w:rsidTr="00D93C34">
        <w:tc>
          <w:tcPr>
            <w:tcW w:w="4608" w:type="dxa"/>
            <w:shd w:val="clear" w:color="auto" w:fill="EAF1DD" w:themeFill="accent3" w:themeFillTint="33"/>
          </w:tcPr>
          <w:p w14:paraId="58D292B4" w14:textId="77777777" w:rsidR="00436290" w:rsidRPr="00EB0301" w:rsidRDefault="00436290" w:rsidP="00D93C34">
            <w:pPr>
              <w:spacing w:before="60" w:after="60"/>
              <w:rPr>
                <w:sz w:val="20"/>
                <w:lang w:val="en-CA"/>
              </w:rPr>
            </w:pPr>
            <w:r w:rsidRPr="00EB0301">
              <w:rPr>
                <w:sz w:val="20"/>
                <w:lang w:val="en-CA"/>
              </w:rPr>
              <w:t>Percentage of approved proposals – Round 3</w:t>
            </w:r>
          </w:p>
        </w:tc>
        <w:tc>
          <w:tcPr>
            <w:tcW w:w="4968" w:type="dxa"/>
            <w:gridSpan w:val="2"/>
            <w:shd w:val="clear" w:color="auto" w:fill="EAF1DD" w:themeFill="accent3" w:themeFillTint="33"/>
          </w:tcPr>
          <w:p w14:paraId="2152DCC8" w14:textId="77777777" w:rsidR="00436290" w:rsidRPr="00EB0301" w:rsidRDefault="00436290" w:rsidP="00D93C34">
            <w:pPr>
              <w:spacing w:before="60" w:after="60"/>
              <w:rPr>
                <w:sz w:val="20"/>
                <w:lang w:val="en-CA"/>
              </w:rPr>
            </w:pPr>
            <w:r w:rsidRPr="00EB0301">
              <w:rPr>
                <w:sz w:val="20"/>
                <w:lang w:val="en-CA"/>
              </w:rPr>
              <w:t>15.8%</w:t>
            </w:r>
          </w:p>
        </w:tc>
      </w:tr>
    </w:tbl>
    <w:p w14:paraId="4BC32B69" w14:textId="028F13A8" w:rsidR="00A826B3" w:rsidRPr="00EB0301" w:rsidRDefault="00A826B3" w:rsidP="00596970">
      <w:pPr>
        <w:pStyle w:val="Heading2"/>
        <w:numPr>
          <w:ilvl w:val="0"/>
          <w:numId w:val="18"/>
        </w:numPr>
        <w:spacing w:before="240" w:after="240"/>
        <w:rPr>
          <w:bCs w:val="0"/>
          <w:iCs w:val="0"/>
          <w:caps/>
          <w:lang w:val="en-CA"/>
        </w:rPr>
      </w:pPr>
      <w:r w:rsidRPr="00EB0301">
        <w:rPr>
          <w:bCs w:val="0"/>
          <w:iCs w:val="0"/>
          <w:caps/>
          <w:lang w:val="en-CA"/>
        </w:rPr>
        <w:t xml:space="preserve">Other technical and Scientific </w:t>
      </w:r>
      <w:r w:rsidR="000531D5" w:rsidRPr="00EB0301">
        <w:rPr>
          <w:bCs w:val="0"/>
          <w:iCs w:val="0"/>
          <w:caps/>
          <w:lang w:val="en-CA"/>
        </w:rPr>
        <w:t xml:space="preserve">cooperation </w:t>
      </w:r>
      <w:r w:rsidRPr="00EB0301">
        <w:rPr>
          <w:bCs w:val="0"/>
          <w:iCs w:val="0"/>
          <w:caps/>
          <w:lang w:val="en-CA"/>
        </w:rPr>
        <w:t>Initiatives</w:t>
      </w:r>
    </w:p>
    <w:p w14:paraId="15F7D145" w14:textId="1C19F33D" w:rsidR="00107658" w:rsidRPr="00EB0301" w:rsidRDefault="00107658" w:rsidP="00107658">
      <w:pPr>
        <w:pStyle w:val="Para1"/>
        <w:numPr>
          <w:ilvl w:val="0"/>
          <w:numId w:val="19"/>
        </w:numPr>
        <w:suppressLineNumbers/>
        <w:tabs>
          <w:tab w:val="num" w:pos="720"/>
        </w:tabs>
        <w:suppressAutoHyphens/>
        <w:ind w:left="0" w:firstLine="0"/>
        <w:rPr>
          <w:kern w:val="22"/>
          <w:lang w:val="en-CA"/>
        </w:rPr>
      </w:pPr>
      <w:r w:rsidRPr="00EB0301">
        <w:rPr>
          <w:kern w:val="22"/>
          <w:lang w:val="en-CA"/>
        </w:rPr>
        <w:t>In addition to the facilitation of technical and scientific cooperation through the Bio-Bridge Initiative, the Secretariat is supporting the work of the Consortium of Scientific Partners on Biodiversity</w:t>
      </w:r>
      <w:r w:rsidR="00702BCD" w:rsidRPr="00EB0301">
        <w:rPr>
          <w:kern w:val="22"/>
          <w:lang w:val="en-CA"/>
        </w:rPr>
        <w:t>. During this biennium</w:t>
      </w:r>
      <w:r w:rsidRPr="00EB0301">
        <w:rPr>
          <w:kern w:val="22"/>
          <w:lang w:val="en-CA"/>
        </w:rPr>
        <w:t xml:space="preserve">, </w:t>
      </w:r>
      <w:r w:rsidR="00702BCD" w:rsidRPr="00EB0301">
        <w:rPr>
          <w:kern w:val="22"/>
          <w:lang w:val="en-CA"/>
        </w:rPr>
        <w:t xml:space="preserve">the Secretariat </w:t>
      </w:r>
      <w:r w:rsidRPr="00EB0301">
        <w:rPr>
          <w:kern w:val="22"/>
          <w:lang w:val="en-CA"/>
        </w:rPr>
        <w:t>update</w:t>
      </w:r>
      <w:r w:rsidR="00702BCD" w:rsidRPr="00EB0301">
        <w:rPr>
          <w:kern w:val="22"/>
          <w:lang w:val="en-CA"/>
        </w:rPr>
        <w:t>d</w:t>
      </w:r>
      <w:r w:rsidRPr="00EB0301">
        <w:rPr>
          <w:kern w:val="22"/>
          <w:lang w:val="en-CA"/>
        </w:rPr>
        <w:t xml:space="preserve"> the CSP website</w:t>
      </w:r>
      <w:r w:rsidRPr="00EB0301">
        <w:rPr>
          <w:rStyle w:val="FootnoteReference"/>
          <w:rFonts w:eastAsia="Arial Unicode MS"/>
          <w:kern w:val="22"/>
          <w:lang w:val="en-CA"/>
        </w:rPr>
        <w:footnoteReference w:id="7"/>
      </w:r>
      <w:r w:rsidR="00702BCD" w:rsidRPr="00EB0301">
        <w:rPr>
          <w:kern w:val="22"/>
          <w:lang w:val="en-CA"/>
        </w:rPr>
        <w:t xml:space="preserve"> and initiated</w:t>
      </w:r>
      <w:r w:rsidRPr="00EB0301">
        <w:rPr>
          <w:kern w:val="22"/>
          <w:lang w:val="en-CA"/>
        </w:rPr>
        <w:t xml:space="preserve"> a </w:t>
      </w:r>
      <w:r w:rsidR="00702BCD" w:rsidRPr="00EB0301">
        <w:rPr>
          <w:kern w:val="22"/>
          <w:lang w:val="en-CA"/>
        </w:rPr>
        <w:t>process to develop</w:t>
      </w:r>
      <w:r w:rsidRPr="00EB0301">
        <w:rPr>
          <w:kern w:val="22"/>
          <w:lang w:val="en-CA"/>
        </w:rPr>
        <w:t xml:space="preserve"> a CSP work plan </w:t>
      </w:r>
      <w:r w:rsidR="00702BCD" w:rsidRPr="00EB0301">
        <w:rPr>
          <w:kern w:val="22"/>
          <w:lang w:val="en-CA"/>
        </w:rPr>
        <w:t xml:space="preserve">for the period </w:t>
      </w:r>
      <w:r w:rsidRPr="00EB0301">
        <w:rPr>
          <w:kern w:val="22"/>
          <w:lang w:val="en-CA"/>
        </w:rPr>
        <w:t>201</w:t>
      </w:r>
      <w:r w:rsidR="00702BCD" w:rsidRPr="00EB0301">
        <w:rPr>
          <w:kern w:val="22"/>
          <w:lang w:val="en-CA"/>
        </w:rPr>
        <w:t>9</w:t>
      </w:r>
      <w:r w:rsidRPr="00EB0301">
        <w:rPr>
          <w:kern w:val="22"/>
          <w:lang w:val="en-CA"/>
        </w:rPr>
        <w:t>-2020</w:t>
      </w:r>
      <w:r w:rsidR="00702BCD" w:rsidRPr="00EB0301">
        <w:rPr>
          <w:kern w:val="22"/>
          <w:lang w:val="en-CA"/>
        </w:rPr>
        <w:t xml:space="preserve">. </w:t>
      </w:r>
      <w:r w:rsidRPr="00EB0301">
        <w:rPr>
          <w:kern w:val="22"/>
          <w:lang w:val="en-CA"/>
        </w:rPr>
        <w:t xml:space="preserve"> A meeting of the CSP was organized on the margins of SBSTTA22 in </w:t>
      </w:r>
      <w:r w:rsidRPr="00EB0301">
        <w:rPr>
          <w:kern w:val="22"/>
          <w:lang w:val="en-CA"/>
        </w:rPr>
        <w:lastRenderedPageBreak/>
        <w:t>Montreal, Canada on 4 July 2018 with a follow-up scheduled during COP14 in Egypt to</w:t>
      </w:r>
      <w:r w:rsidR="00702BCD" w:rsidRPr="00EB0301">
        <w:rPr>
          <w:kern w:val="22"/>
          <w:lang w:val="en-CA"/>
        </w:rPr>
        <w:t>, among other things,</w:t>
      </w:r>
      <w:r w:rsidRPr="00EB0301">
        <w:rPr>
          <w:kern w:val="22"/>
          <w:lang w:val="en-CA"/>
        </w:rPr>
        <w:t xml:space="preserve"> formally adopt a work plan.</w:t>
      </w:r>
    </w:p>
    <w:p w14:paraId="5F23FB83" w14:textId="1A904F34" w:rsidR="00107658" w:rsidRPr="00EB0301" w:rsidRDefault="00107658" w:rsidP="00107658">
      <w:pPr>
        <w:pStyle w:val="Para1"/>
        <w:numPr>
          <w:ilvl w:val="0"/>
          <w:numId w:val="19"/>
        </w:numPr>
        <w:suppressLineNumbers/>
        <w:tabs>
          <w:tab w:val="num" w:pos="720"/>
        </w:tabs>
        <w:suppressAutoHyphens/>
        <w:ind w:left="0" w:firstLine="0"/>
        <w:rPr>
          <w:kern w:val="22"/>
          <w:lang w:val="en-CA"/>
        </w:rPr>
      </w:pPr>
      <w:r w:rsidRPr="00EB0301">
        <w:rPr>
          <w:kern w:val="22"/>
          <w:szCs w:val="22"/>
          <w:lang w:val="en-CA"/>
        </w:rPr>
        <w:t xml:space="preserve">The </w:t>
      </w:r>
      <w:r w:rsidRPr="00EB0301">
        <w:rPr>
          <w:kern w:val="22"/>
          <w:lang w:val="en-CA"/>
        </w:rPr>
        <w:t>Secretariat</w:t>
      </w:r>
      <w:r w:rsidRPr="00EB0301">
        <w:rPr>
          <w:kern w:val="22"/>
          <w:szCs w:val="22"/>
          <w:lang w:val="en-CA"/>
        </w:rPr>
        <w:t xml:space="preserve"> also embarked on the following two projects which are expected to contribute to the promotion and facilitation of technical and scientific cooperation</w:t>
      </w:r>
      <w:r w:rsidR="00596970" w:rsidRPr="00EB0301">
        <w:rPr>
          <w:kern w:val="22"/>
          <w:szCs w:val="22"/>
          <w:lang w:val="en-CA"/>
        </w:rPr>
        <w:t>.</w:t>
      </w:r>
    </w:p>
    <w:p w14:paraId="5CFCE1E2" w14:textId="6CA6C217" w:rsidR="00596970" w:rsidRPr="00EB0301" w:rsidRDefault="00596970" w:rsidP="00596970">
      <w:pPr>
        <w:pStyle w:val="Para1"/>
        <w:numPr>
          <w:ilvl w:val="0"/>
          <w:numId w:val="25"/>
        </w:numPr>
        <w:suppressLineNumbers/>
        <w:suppressAutoHyphens/>
        <w:spacing w:before="240" w:after="240"/>
        <w:ind w:left="1066"/>
        <w:jc w:val="center"/>
        <w:rPr>
          <w:b/>
          <w:kern w:val="22"/>
          <w:lang w:val="en-CA"/>
        </w:rPr>
      </w:pPr>
      <w:r w:rsidRPr="00EB0301">
        <w:rPr>
          <w:b/>
          <w:kern w:val="22"/>
          <w:szCs w:val="22"/>
          <w:lang w:val="en-CA"/>
        </w:rPr>
        <w:t>Biodiversity Innovation and Solutions Fair</w:t>
      </w:r>
    </w:p>
    <w:p w14:paraId="438369D6" w14:textId="4684A3E8" w:rsidR="00D43166" w:rsidRPr="00EB0301" w:rsidRDefault="00596970" w:rsidP="00D43166">
      <w:pPr>
        <w:pStyle w:val="Para1"/>
        <w:numPr>
          <w:ilvl w:val="0"/>
          <w:numId w:val="19"/>
        </w:numPr>
        <w:suppressLineNumbers/>
        <w:tabs>
          <w:tab w:val="num" w:pos="720"/>
        </w:tabs>
        <w:suppressAutoHyphens/>
        <w:ind w:left="0" w:firstLine="0"/>
        <w:rPr>
          <w:kern w:val="22"/>
          <w:szCs w:val="22"/>
          <w:lang w:val="en-CA"/>
        </w:rPr>
      </w:pPr>
      <w:r w:rsidRPr="00EB0301">
        <w:rPr>
          <w:kern w:val="22"/>
          <w:lang w:val="en-CA"/>
        </w:rPr>
        <w:t>The Secretariat embarked on the or</w:t>
      </w:r>
      <w:r w:rsidR="00107658" w:rsidRPr="00EB0301">
        <w:rPr>
          <w:kern w:val="22"/>
          <w:lang w:val="en-CA"/>
        </w:rPr>
        <w:t>ganization</w:t>
      </w:r>
      <w:r w:rsidRPr="00EB0301">
        <w:rPr>
          <w:kern w:val="22"/>
          <w:szCs w:val="22"/>
          <w:lang w:val="en-CA"/>
        </w:rPr>
        <w:t xml:space="preserve"> of a</w:t>
      </w:r>
      <w:r w:rsidR="008B78EF" w:rsidRPr="00EB0301">
        <w:rPr>
          <w:kern w:val="22"/>
          <w:szCs w:val="22"/>
          <w:lang w:val="en-CA"/>
        </w:rPr>
        <w:t xml:space="preserve"> “</w:t>
      </w:r>
      <w:r w:rsidR="00107658" w:rsidRPr="00EB0301">
        <w:rPr>
          <w:kern w:val="22"/>
          <w:szCs w:val="22"/>
          <w:lang w:val="en-CA"/>
        </w:rPr>
        <w:t xml:space="preserve">Biodiversity </w:t>
      </w:r>
      <w:r w:rsidR="00702BCD" w:rsidRPr="00EB0301">
        <w:rPr>
          <w:kern w:val="22"/>
          <w:szCs w:val="22"/>
          <w:lang w:val="en-CA"/>
        </w:rPr>
        <w:t xml:space="preserve">Innovation </w:t>
      </w:r>
      <w:r w:rsidRPr="00EB0301">
        <w:rPr>
          <w:kern w:val="22"/>
          <w:szCs w:val="22"/>
          <w:lang w:val="en-CA"/>
        </w:rPr>
        <w:t xml:space="preserve">and Solutions </w:t>
      </w:r>
      <w:r w:rsidR="00107658" w:rsidRPr="00EB0301">
        <w:rPr>
          <w:kern w:val="22"/>
          <w:szCs w:val="22"/>
          <w:lang w:val="en-CA"/>
        </w:rPr>
        <w:t>Fair” at the fourteenth meeting of the Conference of the Parties, in Sharm El-S</w:t>
      </w:r>
      <w:r w:rsidRPr="00EB0301">
        <w:rPr>
          <w:kern w:val="22"/>
          <w:szCs w:val="22"/>
          <w:lang w:val="en-CA"/>
        </w:rPr>
        <w:t>heikh, Egypt, in November 2018</w:t>
      </w:r>
      <w:r w:rsidR="00107658" w:rsidRPr="00EB0301">
        <w:rPr>
          <w:kern w:val="22"/>
          <w:szCs w:val="22"/>
          <w:lang w:val="en-CA"/>
        </w:rPr>
        <w:t xml:space="preserve">. </w:t>
      </w:r>
      <w:r w:rsidRPr="00EB0301">
        <w:rPr>
          <w:kern w:val="22"/>
          <w:szCs w:val="22"/>
          <w:lang w:val="en-CA"/>
        </w:rPr>
        <w:t>The overall goal of the Fair is to inspire, facilitate access to, and promote the application of relevant technologies and innovative solutions that</w:t>
      </w:r>
      <w:r w:rsidR="00D43166" w:rsidRPr="00EB0301">
        <w:rPr>
          <w:kern w:val="22"/>
          <w:szCs w:val="22"/>
          <w:lang w:val="en-CA"/>
        </w:rPr>
        <w:t xml:space="preserve"> </w:t>
      </w:r>
      <w:r w:rsidRPr="00EB0301">
        <w:rPr>
          <w:kern w:val="22"/>
          <w:szCs w:val="22"/>
          <w:lang w:val="en-CA"/>
        </w:rPr>
        <w:t>could be leveraged to solve vexing biodiversity challenges to better achieve biodiversity conservation. The specific</w:t>
      </w:r>
      <w:r w:rsidR="00D43166" w:rsidRPr="00EB0301">
        <w:rPr>
          <w:kern w:val="22"/>
          <w:szCs w:val="22"/>
          <w:lang w:val="en-CA"/>
        </w:rPr>
        <w:t xml:space="preserve"> </w:t>
      </w:r>
      <w:r w:rsidRPr="00EB0301">
        <w:rPr>
          <w:kern w:val="22"/>
          <w:szCs w:val="22"/>
          <w:lang w:val="en-CA"/>
        </w:rPr>
        <w:t>objectives of the Fair are to:</w:t>
      </w:r>
    </w:p>
    <w:p w14:paraId="6CFAE7DC" w14:textId="77777777" w:rsidR="00596970" w:rsidRPr="00EB0301" w:rsidRDefault="00596970" w:rsidP="00596970">
      <w:pPr>
        <w:pStyle w:val="Para1"/>
        <w:numPr>
          <w:ilvl w:val="2"/>
          <w:numId w:val="2"/>
        </w:numPr>
        <w:rPr>
          <w:kern w:val="22"/>
          <w:szCs w:val="22"/>
          <w:lang w:val="en-CA"/>
        </w:rPr>
      </w:pPr>
      <w:r w:rsidRPr="00EB0301">
        <w:rPr>
          <w:kern w:val="22"/>
          <w:szCs w:val="22"/>
          <w:lang w:val="en-CA"/>
        </w:rPr>
        <w:t>Provide a platform to showcase state-of-the-art technologies, approaches and solutions relevant for the conservation and sustainable use of biological diversity;</w:t>
      </w:r>
    </w:p>
    <w:p w14:paraId="709DC1DA" w14:textId="7947F6D2" w:rsidR="00596970" w:rsidRPr="00EB0301" w:rsidRDefault="008B78EF" w:rsidP="00596970">
      <w:pPr>
        <w:pStyle w:val="Para1"/>
        <w:numPr>
          <w:ilvl w:val="2"/>
          <w:numId w:val="2"/>
        </w:numPr>
        <w:rPr>
          <w:kern w:val="22"/>
          <w:szCs w:val="22"/>
          <w:lang w:val="en-CA"/>
        </w:rPr>
      </w:pPr>
      <w:r w:rsidRPr="00EB0301">
        <w:rPr>
          <w:kern w:val="22"/>
          <w:szCs w:val="22"/>
          <w:lang w:val="en-CA"/>
        </w:rPr>
        <w:t>Provide a forum for innovators</w:t>
      </w:r>
      <w:r w:rsidR="00596970" w:rsidRPr="00EB0301">
        <w:rPr>
          <w:kern w:val="22"/>
          <w:szCs w:val="22"/>
          <w:lang w:val="en-CA"/>
        </w:rPr>
        <w:t xml:space="preserve"> and early adopters of relevant conservation technologies to share their experiences in an interactive setting;</w:t>
      </w:r>
    </w:p>
    <w:p w14:paraId="6F22CDCA" w14:textId="67E2D51B" w:rsidR="00596970" w:rsidRPr="00EB0301" w:rsidRDefault="00596970" w:rsidP="00596970">
      <w:pPr>
        <w:pStyle w:val="Para1"/>
        <w:numPr>
          <w:ilvl w:val="2"/>
          <w:numId w:val="2"/>
        </w:numPr>
        <w:rPr>
          <w:kern w:val="22"/>
          <w:szCs w:val="22"/>
          <w:lang w:val="en-CA"/>
        </w:rPr>
      </w:pPr>
      <w:r w:rsidRPr="00EB0301">
        <w:rPr>
          <w:kern w:val="22"/>
          <w:szCs w:val="22"/>
          <w:lang w:val="en-CA"/>
        </w:rPr>
        <w:t>Foster dialogue, inspire partnerships and facilitate matchmaking among Parties and relevant stakeholders, with special attention to the private sector</w:t>
      </w:r>
      <w:r w:rsidR="00D43166" w:rsidRPr="00EB0301">
        <w:rPr>
          <w:kern w:val="22"/>
          <w:szCs w:val="22"/>
          <w:lang w:val="en-CA"/>
        </w:rPr>
        <w:t>, public private partnerships</w:t>
      </w:r>
      <w:r w:rsidRPr="00EB0301">
        <w:rPr>
          <w:kern w:val="22"/>
          <w:szCs w:val="22"/>
          <w:lang w:val="en-CA"/>
        </w:rPr>
        <w:t xml:space="preserve"> and recognized centres of expertise cooperating with the Convention, to create stronger alliances for nature;</w:t>
      </w:r>
    </w:p>
    <w:p w14:paraId="253DB97E" w14:textId="77777777" w:rsidR="00596970" w:rsidRPr="00EB0301" w:rsidRDefault="00596970" w:rsidP="00596970">
      <w:pPr>
        <w:pStyle w:val="Para1"/>
        <w:numPr>
          <w:ilvl w:val="2"/>
          <w:numId w:val="2"/>
        </w:numPr>
        <w:rPr>
          <w:kern w:val="22"/>
          <w:szCs w:val="22"/>
          <w:lang w:val="en-CA"/>
        </w:rPr>
      </w:pPr>
      <w:r w:rsidRPr="00EB0301">
        <w:rPr>
          <w:kern w:val="22"/>
          <w:szCs w:val="22"/>
          <w:lang w:val="en-CA"/>
        </w:rPr>
        <w:t>Demonstrate new mediums such as video games, hand-held applications and other immersive technologies that can be leveraged to better educate, engage and rally the public around the need to safeguard biodiversity and live in harmony with nature;</w:t>
      </w:r>
    </w:p>
    <w:p w14:paraId="4C01DB08" w14:textId="166314BE" w:rsidR="00596970" w:rsidRPr="00EB0301" w:rsidRDefault="00596970" w:rsidP="00596970">
      <w:pPr>
        <w:pStyle w:val="Para1"/>
        <w:numPr>
          <w:ilvl w:val="2"/>
          <w:numId w:val="2"/>
        </w:numPr>
        <w:rPr>
          <w:kern w:val="22"/>
          <w:szCs w:val="22"/>
          <w:lang w:val="en-CA"/>
        </w:rPr>
      </w:pPr>
      <w:r w:rsidRPr="00EB0301">
        <w:rPr>
          <w:kern w:val="22"/>
          <w:szCs w:val="22"/>
          <w:lang w:val="en-CA"/>
        </w:rPr>
        <w:t xml:space="preserve">Inform and shape the preparation of the post-2020 biodiversity agenda by highlighting the opportunities offered </w:t>
      </w:r>
      <w:r w:rsidR="008B78EF" w:rsidRPr="00EB0301">
        <w:rPr>
          <w:kern w:val="22"/>
          <w:szCs w:val="22"/>
          <w:lang w:val="en-CA"/>
        </w:rPr>
        <w:t>by biodiversity innovations and solutions in supporting transformational change.</w:t>
      </w:r>
    </w:p>
    <w:p w14:paraId="58985B39" w14:textId="39AF7413" w:rsidR="00D43166" w:rsidRPr="00EB0301" w:rsidRDefault="00107658" w:rsidP="00596970">
      <w:pPr>
        <w:pStyle w:val="Para1"/>
        <w:numPr>
          <w:ilvl w:val="0"/>
          <w:numId w:val="19"/>
        </w:numPr>
        <w:suppressLineNumbers/>
        <w:tabs>
          <w:tab w:val="num" w:pos="720"/>
        </w:tabs>
        <w:suppressAutoHyphens/>
        <w:ind w:left="0" w:firstLine="0"/>
        <w:rPr>
          <w:kern w:val="22"/>
          <w:szCs w:val="22"/>
          <w:lang w:val="en-CA"/>
        </w:rPr>
      </w:pPr>
      <w:r w:rsidRPr="00EB0301">
        <w:rPr>
          <w:kern w:val="22"/>
          <w:szCs w:val="22"/>
          <w:lang w:val="en-CA"/>
        </w:rPr>
        <w:t xml:space="preserve">Over the course of 5 months, the Secretariat reached out to and </w:t>
      </w:r>
      <w:r w:rsidR="000900F8" w:rsidRPr="00EB0301">
        <w:rPr>
          <w:kern w:val="22"/>
          <w:szCs w:val="22"/>
          <w:lang w:val="en-CA"/>
        </w:rPr>
        <w:t xml:space="preserve">invited </w:t>
      </w:r>
      <w:r w:rsidRPr="00EB0301">
        <w:rPr>
          <w:kern w:val="22"/>
          <w:szCs w:val="22"/>
          <w:lang w:val="en-CA"/>
        </w:rPr>
        <w:t>well over 100 companies, start-ups, non-governmental organizations and academic institutions to participate</w:t>
      </w:r>
      <w:r w:rsidR="000900F8" w:rsidRPr="00EB0301">
        <w:rPr>
          <w:kern w:val="22"/>
          <w:szCs w:val="22"/>
          <w:lang w:val="en-CA"/>
        </w:rPr>
        <w:t xml:space="preserve"> in the fair.</w:t>
      </w:r>
      <w:r w:rsidRPr="00EB0301">
        <w:rPr>
          <w:kern w:val="22"/>
          <w:szCs w:val="22"/>
          <w:lang w:val="en-CA"/>
        </w:rPr>
        <w:t xml:space="preserve">  </w:t>
      </w:r>
      <w:r w:rsidR="000900F8" w:rsidRPr="00EB0301">
        <w:rPr>
          <w:kern w:val="22"/>
          <w:szCs w:val="22"/>
          <w:lang w:val="en-CA"/>
        </w:rPr>
        <w:t>The Government of Egypt offered 10 free spaces for the fair that will be used by 20</w:t>
      </w:r>
      <w:r w:rsidRPr="00EB0301">
        <w:rPr>
          <w:kern w:val="22"/>
          <w:szCs w:val="22"/>
          <w:lang w:val="en-CA"/>
        </w:rPr>
        <w:t xml:space="preserve"> exhibitors</w:t>
      </w:r>
      <w:r w:rsidR="000900F8" w:rsidRPr="00EB0301">
        <w:rPr>
          <w:kern w:val="22"/>
          <w:szCs w:val="22"/>
          <w:lang w:val="en-CA"/>
        </w:rPr>
        <w:t xml:space="preserve"> over a two-week period</w:t>
      </w:r>
      <w:r w:rsidRPr="00EB0301">
        <w:rPr>
          <w:kern w:val="22"/>
          <w:szCs w:val="22"/>
          <w:lang w:val="en-CA"/>
        </w:rPr>
        <w:t xml:space="preserve">.  </w:t>
      </w:r>
      <w:r w:rsidR="00C62D32" w:rsidRPr="00EB0301">
        <w:rPr>
          <w:kern w:val="22"/>
          <w:szCs w:val="22"/>
          <w:lang w:val="en-CA"/>
        </w:rPr>
        <w:t>In addition to the exhibition, t</w:t>
      </w:r>
      <w:r w:rsidRPr="00EB0301">
        <w:rPr>
          <w:kern w:val="22"/>
          <w:szCs w:val="22"/>
          <w:lang w:val="en-CA"/>
        </w:rPr>
        <w:t>wo side events have</w:t>
      </w:r>
      <w:r w:rsidR="00D43166" w:rsidRPr="00EB0301">
        <w:rPr>
          <w:kern w:val="22"/>
          <w:szCs w:val="22"/>
          <w:lang w:val="en-CA"/>
        </w:rPr>
        <w:t xml:space="preserve"> also</w:t>
      </w:r>
      <w:r w:rsidRPr="00EB0301">
        <w:rPr>
          <w:kern w:val="22"/>
          <w:szCs w:val="22"/>
          <w:lang w:val="en-CA"/>
        </w:rPr>
        <w:t xml:space="preserve"> been organized </w:t>
      </w:r>
      <w:r w:rsidR="00C62D32" w:rsidRPr="00EB0301">
        <w:rPr>
          <w:kern w:val="22"/>
          <w:szCs w:val="22"/>
          <w:lang w:val="en-CA"/>
        </w:rPr>
        <w:t xml:space="preserve">to allow a subset of </w:t>
      </w:r>
      <w:r w:rsidRPr="00EB0301">
        <w:rPr>
          <w:kern w:val="22"/>
          <w:szCs w:val="22"/>
          <w:lang w:val="en-CA"/>
        </w:rPr>
        <w:t xml:space="preserve">exhibitors </w:t>
      </w:r>
      <w:r w:rsidR="00C62D32" w:rsidRPr="00EB0301">
        <w:rPr>
          <w:kern w:val="22"/>
          <w:szCs w:val="22"/>
          <w:lang w:val="en-CA"/>
        </w:rPr>
        <w:t xml:space="preserve">to further engage in a dialogue </w:t>
      </w:r>
      <w:r w:rsidRPr="00EB0301">
        <w:rPr>
          <w:kern w:val="22"/>
          <w:szCs w:val="22"/>
          <w:lang w:val="en-CA"/>
        </w:rPr>
        <w:t>on the potential and benefits of technology in the context of the Conv</w:t>
      </w:r>
      <w:r w:rsidR="00C62D32" w:rsidRPr="00EB0301">
        <w:rPr>
          <w:kern w:val="22"/>
          <w:szCs w:val="22"/>
          <w:lang w:val="en-CA"/>
        </w:rPr>
        <w:t>ention (please refer to the</w:t>
      </w:r>
      <w:r w:rsidRPr="00EB0301">
        <w:rPr>
          <w:kern w:val="22"/>
          <w:szCs w:val="22"/>
          <w:lang w:val="en-CA"/>
        </w:rPr>
        <w:t xml:space="preserve"> footnote for further information on the events that have been organized as part of the fair).</w:t>
      </w:r>
      <w:r w:rsidRPr="00EB0301">
        <w:rPr>
          <w:rStyle w:val="FootnoteReference"/>
          <w:kern w:val="22"/>
          <w:szCs w:val="22"/>
          <w:lang w:val="en-CA"/>
        </w:rPr>
        <w:t xml:space="preserve"> </w:t>
      </w:r>
      <w:r w:rsidRPr="00EB0301">
        <w:rPr>
          <w:rStyle w:val="FootnoteReference"/>
          <w:kern w:val="22"/>
          <w:szCs w:val="22"/>
          <w:lang w:val="en-CA"/>
        </w:rPr>
        <w:footnoteReference w:id="8"/>
      </w:r>
      <w:r w:rsidRPr="00EB0301">
        <w:rPr>
          <w:kern w:val="22"/>
          <w:szCs w:val="22"/>
          <w:lang w:val="en-CA"/>
        </w:rPr>
        <w:t xml:space="preserve">  </w:t>
      </w:r>
      <w:r w:rsidR="00C62D32" w:rsidRPr="00EB0301">
        <w:rPr>
          <w:kern w:val="22"/>
          <w:szCs w:val="22"/>
          <w:lang w:val="en-CA"/>
        </w:rPr>
        <w:t>D</w:t>
      </w:r>
      <w:r w:rsidRPr="00EB0301">
        <w:rPr>
          <w:kern w:val="22"/>
          <w:szCs w:val="22"/>
          <w:lang w:val="en-CA"/>
        </w:rPr>
        <w:t xml:space="preserve">ue to the lack of funding for this event, the Secretariat was not able to support the participation of the more than 40 exhibitors that expressed interest.  </w:t>
      </w:r>
      <w:r w:rsidR="00765C64" w:rsidRPr="00EB0301">
        <w:rPr>
          <w:kern w:val="22"/>
          <w:szCs w:val="22"/>
          <w:lang w:val="en-CA"/>
        </w:rPr>
        <w:t xml:space="preserve">This fair will be used to test and refine the approach with the view of organizing </w:t>
      </w:r>
      <w:r w:rsidRPr="00EB0301">
        <w:rPr>
          <w:kern w:val="22"/>
          <w:szCs w:val="22"/>
          <w:lang w:val="en-CA"/>
        </w:rPr>
        <w:t xml:space="preserve">a much larger </w:t>
      </w:r>
      <w:r w:rsidR="00765C64" w:rsidRPr="00EB0301">
        <w:rPr>
          <w:kern w:val="22"/>
          <w:szCs w:val="22"/>
          <w:lang w:val="en-CA"/>
        </w:rPr>
        <w:t>expo</w:t>
      </w:r>
      <w:r w:rsidRPr="00EB0301">
        <w:rPr>
          <w:kern w:val="22"/>
          <w:szCs w:val="22"/>
          <w:lang w:val="en-CA"/>
        </w:rPr>
        <w:t xml:space="preserve"> at the fifteenth meeting</w:t>
      </w:r>
      <w:r w:rsidR="00B56623" w:rsidRPr="00EB0301">
        <w:rPr>
          <w:kern w:val="22"/>
          <w:szCs w:val="22"/>
          <w:lang w:val="en-CA"/>
        </w:rPr>
        <w:t xml:space="preserve"> of the Conference of the Parties in China, subject to the availability of funding</w:t>
      </w:r>
      <w:r w:rsidR="0045366C" w:rsidRPr="00EB0301">
        <w:rPr>
          <w:kern w:val="22"/>
          <w:szCs w:val="22"/>
          <w:lang w:val="en-CA"/>
        </w:rPr>
        <w:t>.</w:t>
      </w:r>
    </w:p>
    <w:p w14:paraId="0BE186AE" w14:textId="28913DEC" w:rsidR="00596970" w:rsidRPr="00EB0301" w:rsidRDefault="00596970" w:rsidP="006103E6">
      <w:pPr>
        <w:pStyle w:val="Para1"/>
        <w:numPr>
          <w:ilvl w:val="0"/>
          <w:numId w:val="25"/>
        </w:numPr>
        <w:suppressLineNumbers/>
        <w:suppressAutoHyphens/>
        <w:spacing w:before="240" w:after="240"/>
        <w:ind w:left="1066"/>
        <w:jc w:val="center"/>
        <w:rPr>
          <w:b/>
          <w:kern w:val="22"/>
          <w:lang w:val="en-CA"/>
        </w:rPr>
      </w:pPr>
      <w:proofErr w:type="spellStart"/>
      <w:r w:rsidRPr="00EB0301">
        <w:rPr>
          <w:b/>
          <w:kern w:val="22"/>
          <w:szCs w:val="22"/>
          <w:lang w:val="en-CA"/>
        </w:rPr>
        <w:t>BioStories</w:t>
      </w:r>
      <w:proofErr w:type="spellEnd"/>
      <w:r w:rsidRPr="00EB0301">
        <w:rPr>
          <w:b/>
          <w:kern w:val="22"/>
          <w:szCs w:val="22"/>
          <w:lang w:val="en-CA"/>
        </w:rPr>
        <w:t xml:space="preserve"> Video Game Project</w:t>
      </w:r>
    </w:p>
    <w:p w14:paraId="6E8EFA27" w14:textId="049DE868" w:rsidR="00B12A1A" w:rsidRPr="00EB0301" w:rsidRDefault="00C631B8" w:rsidP="00B12A1A">
      <w:pPr>
        <w:pStyle w:val="Para1"/>
        <w:numPr>
          <w:ilvl w:val="0"/>
          <w:numId w:val="19"/>
        </w:numPr>
        <w:suppressLineNumbers/>
        <w:tabs>
          <w:tab w:val="num" w:pos="720"/>
        </w:tabs>
        <w:suppressAutoHyphens/>
        <w:ind w:left="0" w:firstLine="0"/>
        <w:rPr>
          <w:kern w:val="22"/>
          <w:szCs w:val="22"/>
          <w:lang w:val="en-CA"/>
        </w:rPr>
      </w:pPr>
      <w:r w:rsidRPr="00EB0301">
        <w:rPr>
          <w:kern w:val="22"/>
          <w:szCs w:val="22"/>
          <w:lang w:val="en-CA"/>
        </w:rPr>
        <w:t>Over the past 5 months the Secretariat has been working on the d</w:t>
      </w:r>
      <w:r w:rsidR="00107658" w:rsidRPr="00EB0301">
        <w:rPr>
          <w:kern w:val="22"/>
          <w:szCs w:val="22"/>
          <w:lang w:val="en-CA"/>
        </w:rPr>
        <w:t xml:space="preserve">evelopment of video game to </w:t>
      </w:r>
      <w:r w:rsidR="00C20484" w:rsidRPr="00EB0301">
        <w:rPr>
          <w:kern w:val="22"/>
          <w:szCs w:val="22"/>
          <w:lang w:val="en-CA"/>
        </w:rPr>
        <w:t>demonstrate how technologies can be leveraged to support decision-making processes, demonstrate conservation best practices and promote a greater awareness of k</w:t>
      </w:r>
      <w:r w:rsidR="009744E2" w:rsidRPr="00EB0301">
        <w:rPr>
          <w:kern w:val="22"/>
          <w:szCs w:val="22"/>
          <w:lang w:val="en-CA"/>
        </w:rPr>
        <w:t xml:space="preserve">ey biodiversity issues. </w:t>
      </w:r>
      <w:r w:rsidR="00B12A1A" w:rsidRPr="00EB0301">
        <w:rPr>
          <w:lang w:val="en-CA"/>
        </w:rPr>
        <w:t>The specific objectives of the project are:</w:t>
      </w:r>
    </w:p>
    <w:p w14:paraId="2C8D0D5B" w14:textId="7D252288" w:rsidR="00B12A1A" w:rsidRPr="00EB0301" w:rsidRDefault="00B12A1A" w:rsidP="00B12A1A">
      <w:pPr>
        <w:pStyle w:val="Para1"/>
        <w:numPr>
          <w:ilvl w:val="1"/>
          <w:numId w:val="19"/>
        </w:numPr>
        <w:rPr>
          <w:kern w:val="22"/>
          <w:lang w:val="en-CA"/>
        </w:rPr>
      </w:pPr>
      <w:r w:rsidRPr="00EB0301">
        <w:rPr>
          <w:kern w:val="22"/>
          <w:lang w:val="en-CA"/>
        </w:rPr>
        <w:t>To test out the use of gaming as a means of showcasing some of the latest technologies that can be leveraged by the wider conservation community, including national parks, to help them do their work more effectively;</w:t>
      </w:r>
    </w:p>
    <w:p w14:paraId="14AAB924" w14:textId="5F98437F" w:rsidR="008B78EF" w:rsidRPr="00EB0301" w:rsidRDefault="008B78EF" w:rsidP="00B12A1A">
      <w:pPr>
        <w:pStyle w:val="Para1"/>
        <w:numPr>
          <w:ilvl w:val="1"/>
          <w:numId w:val="19"/>
        </w:numPr>
        <w:rPr>
          <w:kern w:val="22"/>
          <w:lang w:val="en-CA"/>
        </w:rPr>
      </w:pPr>
      <w:r w:rsidRPr="00EB0301">
        <w:rPr>
          <w:kern w:val="22"/>
          <w:lang w:val="en-CA"/>
        </w:rPr>
        <w:lastRenderedPageBreak/>
        <w:t>To use gaming to demonstrate good conservation practices and operating procedures;</w:t>
      </w:r>
    </w:p>
    <w:p w14:paraId="1D0C108A" w14:textId="7D52E5A3" w:rsidR="00B12A1A" w:rsidRPr="00EB0301" w:rsidRDefault="00B12A1A" w:rsidP="00B12A1A">
      <w:pPr>
        <w:pStyle w:val="Para1"/>
        <w:numPr>
          <w:ilvl w:val="1"/>
          <w:numId w:val="19"/>
        </w:numPr>
        <w:rPr>
          <w:kern w:val="22"/>
          <w:lang w:val="en-CA"/>
        </w:rPr>
      </w:pPr>
      <w:r w:rsidRPr="00EB0301">
        <w:rPr>
          <w:kern w:val="22"/>
          <w:lang w:val="en-CA"/>
        </w:rPr>
        <w:t>To explore the use of video games as an dynamic tool for communicating key biodiversity issues and targets to young adults (13 to 21 years of age);</w:t>
      </w:r>
      <w:r w:rsidR="008B78EF" w:rsidRPr="00EB0301">
        <w:rPr>
          <w:kern w:val="22"/>
          <w:lang w:val="en-CA"/>
        </w:rPr>
        <w:t xml:space="preserve"> and</w:t>
      </w:r>
    </w:p>
    <w:p w14:paraId="3A435030" w14:textId="130C25B1" w:rsidR="00B12A1A" w:rsidRPr="00EB0301" w:rsidRDefault="00B12A1A" w:rsidP="00B12A1A">
      <w:pPr>
        <w:pStyle w:val="Para1"/>
        <w:numPr>
          <w:ilvl w:val="1"/>
          <w:numId w:val="19"/>
        </w:numPr>
        <w:rPr>
          <w:kern w:val="22"/>
          <w:lang w:val="en-CA"/>
        </w:rPr>
      </w:pPr>
      <w:r w:rsidRPr="00EB0301">
        <w:rPr>
          <w:kern w:val="22"/>
          <w:lang w:val="en-CA"/>
        </w:rPr>
        <w:t>To provide an education tool that classrooms can leverage as part of their international curriculum and environmental education.</w:t>
      </w:r>
    </w:p>
    <w:p w14:paraId="050D2282" w14:textId="3BB4C54A" w:rsidR="00C20484" w:rsidRPr="00EB0301" w:rsidRDefault="009744E2" w:rsidP="00AB5241">
      <w:pPr>
        <w:pStyle w:val="Para1"/>
        <w:numPr>
          <w:ilvl w:val="0"/>
          <w:numId w:val="19"/>
        </w:numPr>
        <w:suppressLineNumbers/>
        <w:tabs>
          <w:tab w:val="num" w:pos="720"/>
        </w:tabs>
        <w:suppressAutoHyphens/>
        <w:ind w:left="0" w:firstLine="0"/>
        <w:rPr>
          <w:kern w:val="22"/>
          <w:szCs w:val="22"/>
          <w:lang w:val="en-CA"/>
        </w:rPr>
      </w:pPr>
      <w:r w:rsidRPr="00EB0301">
        <w:rPr>
          <w:kern w:val="22"/>
          <w:szCs w:val="22"/>
          <w:lang w:val="en-CA"/>
        </w:rPr>
        <w:t xml:space="preserve">With limited funding from the Bio-Bridge Initiative, the Secretariat engaged </w:t>
      </w:r>
      <w:r w:rsidR="00C20484" w:rsidRPr="00EB0301">
        <w:rPr>
          <w:kern w:val="22"/>
          <w:szCs w:val="22"/>
          <w:lang w:val="en-CA"/>
        </w:rPr>
        <w:t>two software d</w:t>
      </w:r>
      <w:r w:rsidR="00730447" w:rsidRPr="00EB0301">
        <w:rPr>
          <w:kern w:val="22"/>
          <w:szCs w:val="22"/>
          <w:lang w:val="en-CA"/>
        </w:rPr>
        <w:t>evelopers and a team of student</w:t>
      </w:r>
      <w:r w:rsidR="00C20484" w:rsidRPr="00EB0301">
        <w:rPr>
          <w:kern w:val="22"/>
          <w:szCs w:val="22"/>
          <w:lang w:val="en-CA"/>
        </w:rPr>
        <w:t xml:space="preserve"> volunteers from a leading video game school in Montreal, </w:t>
      </w:r>
      <w:r w:rsidR="00AB5241" w:rsidRPr="00EB0301">
        <w:rPr>
          <w:kern w:val="22"/>
          <w:szCs w:val="22"/>
          <w:lang w:val="en-CA"/>
        </w:rPr>
        <w:t>to embark</w:t>
      </w:r>
      <w:r w:rsidR="00C20484" w:rsidRPr="00EB0301">
        <w:rPr>
          <w:kern w:val="22"/>
          <w:szCs w:val="22"/>
          <w:lang w:val="en-CA"/>
        </w:rPr>
        <w:t xml:space="preserve"> on the development of the first</w:t>
      </w:r>
      <w:r w:rsidRPr="00EB0301">
        <w:rPr>
          <w:kern w:val="22"/>
          <w:szCs w:val="22"/>
          <w:lang w:val="en-CA"/>
        </w:rPr>
        <w:t xml:space="preserve"> chapter</w:t>
      </w:r>
      <w:r w:rsidR="00C20484" w:rsidRPr="00EB0301">
        <w:rPr>
          <w:kern w:val="22"/>
          <w:szCs w:val="22"/>
          <w:lang w:val="en-CA"/>
        </w:rPr>
        <w:t xml:space="preserve"> of a multi-</w:t>
      </w:r>
      <w:r w:rsidRPr="00EB0301">
        <w:rPr>
          <w:kern w:val="22"/>
          <w:szCs w:val="22"/>
          <w:lang w:val="en-CA"/>
        </w:rPr>
        <w:t>episode</w:t>
      </w:r>
      <w:r w:rsidR="00C20484" w:rsidRPr="00EB0301">
        <w:rPr>
          <w:kern w:val="22"/>
          <w:szCs w:val="22"/>
          <w:lang w:val="en-CA"/>
        </w:rPr>
        <w:t xml:space="preserve"> game</w:t>
      </w:r>
      <w:r w:rsidR="00AB5241" w:rsidRPr="00EB0301">
        <w:rPr>
          <w:kern w:val="22"/>
          <w:szCs w:val="22"/>
          <w:lang w:val="en-CA"/>
        </w:rPr>
        <w:t xml:space="preserve"> on key biodiversity issues and targets</w:t>
      </w:r>
      <w:r w:rsidR="00C20484" w:rsidRPr="00EB0301">
        <w:rPr>
          <w:kern w:val="22"/>
          <w:szCs w:val="22"/>
          <w:lang w:val="en-CA"/>
        </w:rPr>
        <w:t xml:space="preserve">.   </w:t>
      </w:r>
      <w:r w:rsidRPr="00EB0301">
        <w:rPr>
          <w:kern w:val="22"/>
          <w:szCs w:val="22"/>
          <w:lang w:val="en-CA"/>
        </w:rPr>
        <w:t xml:space="preserve">The </w:t>
      </w:r>
      <w:r w:rsidR="00C20484" w:rsidRPr="00EB0301">
        <w:rPr>
          <w:lang w:val="en-CA"/>
        </w:rPr>
        <w:t>first chapter</w:t>
      </w:r>
      <w:r w:rsidR="0058244C" w:rsidRPr="00EB0301">
        <w:rPr>
          <w:lang w:val="en-CA"/>
        </w:rPr>
        <w:t xml:space="preserve">, which is organized around a series of 7 missions </w:t>
      </w:r>
      <w:r w:rsidR="00C20484" w:rsidRPr="00EB0301">
        <w:rPr>
          <w:lang w:val="en-CA"/>
        </w:rPr>
        <w:t xml:space="preserve">centred around Aichi </w:t>
      </w:r>
      <w:r w:rsidR="00AB5241" w:rsidRPr="00EB0301">
        <w:rPr>
          <w:lang w:val="en-CA"/>
        </w:rPr>
        <w:t xml:space="preserve">Biodiversity </w:t>
      </w:r>
      <w:r w:rsidR="0058244C" w:rsidRPr="00EB0301">
        <w:rPr>
          <w:lang w:val="en-CA"/>
        </w:rPr>
        <w:t>Target 12,</w:t>
      </w:r>
      <w:r w:rsidR="0058244C" w:rsidRPr="00EB0301">
        <w:rPr>
          <w:kern w:val="22"/>
          <w:szCs w:val="22"/>
          <w:lang w:val="en-CA"/>
        </w:rPr>
        <w:t xml:space="preserve"> explores the key drivers of poaching</w:t>
      </w:r>
      <w:r w:rsidRPr="00EB0301">
        <w:rPr>
          <w:lang w:val="en-CA"/>
        </w:rPr>
        <w:t>.</w:t>
      </w:r>
      <w:r w:rsidR="0058244C" w:rsidRPr="00EB0301">
        <w:rPr>
          <w:color w:val="050505"/>
          <w:w w:val="110"/>
          <w:sz w:val="18"/>
          <w:lang w:val="en-CA"/>
        </w:rPr>
        <w:t xml:space="preserve"> </w:t>
      </w:r>
      <w:r w:rsidR="0058244C" w:rsidRPr="00EB0301">
        <w:rPr>
          <w:kern w:val="22"/>
          <w:szCs w:val="22"/>
          <w:lang w:val="en-CA"/>
        </w:rPr>
        <w:t xml:space="preserve">A </w:t>
      </w:r>
      <w:r w:rsidR="00B12A1A" w:rsidRPr="00EB0301">
        <w:rPr>
          <w:kern w:val="22"/>
          <w:szCs w:val="22"/>
          <w:lang w:val="en-CA"/>
        </w:rPr>
        <w:t xml:space="preserve">trailer of Chapter 1 and </w:t>
      </w:r>
      <w:r w:rsidR="0058244C" w:rsidRPr="00EB0301">
        <w:rPr>
          <w:kern w:val="22"/>
          <w:szCs w:val="22"/>
          <w:lang w:val="en-CA"/>
        </w:rPr>
        <w:t>draft version</w:t>
      </w:r>
      <w:r w:rsidR="00B12A1A" w:rsidRPr="00EB0301">
        <w:rPr>
          <w:kern w:val="22"/>
          <w:szCs w:val="22"/>
          <w:lang w:val="en-CA"/>
        </w:rPr>
        <w:t xml:space="preserve"> of the game</w:t>
      </w:r>
      <w:r w:rsidR="0058244C" w:rsidRPr="00EB0301">
        <w:rPr>
          <w:kern w:val="22"/>
          <w:szCs w:val="22"/>
          <w:lang w:val="en-CA"/>
        </w:rPr>
        <w:t xml:space="preserve">, comprising 3 missions and a tutorial, will be deployed during the </w:t>
      </w:r>
      <w:r w:rsidR="00B12A1A" w:rsidRPr="00EB0301">
        <w:rPr>
          <w:kern w:val="22"/>
          <w:szCs w:val="22"/>
          <w:lang w:val="en-CA"/>
        </w:rPr>
        <w:t>Biodiversity Innovation and Solutions Fair at the</w:t>
      </w:r>
      <w:r w:rsidR="0058244C" w:rsidRPr="00EB0301">
        <w:rPr>
          <w:kern w:val="22"/>
          <w:szCs w:val="22"/>
          <w:lang w:val="en-CA"/>
        </w:rPr>
        <w:t xml:space="preserve"> UN Biodiversity Conference</w:t>
      </w:r>
      <w:r w:rsidR="00B12A1A" w:rsidRPr="00EB0301">
        <w:rPr>
          <w:kern w:val="22"/>
          <w:szCs w:val="22"/>
          <w:lang w:val="en-CA"/>
        </w:rPr>
        <w:t>.</w:t>
      </w:r>
      <w:r w:rsidRPr="00EB0301">
        <w:rPr>
          <w:rStyle w:val="FootnoteReference"/>
          <w:kern w:val="22"/>
          <w:szCs w:val="22"/>
          <w:lang w:val="en-CA"/>
        </w:rPr>
        <w:footnoteReference w:id="9"/>
      </w:r>
      <w:r w:rsidR="00C20484" w:rsidRPr="00EB0301">
        <w:rPr>
          <w:lang w:val="en-CA"/>
        </w:rPr>
        <w:t xml:space="preserve"> </w:t>
      </w:r>
      <w:r w:rsidRPr="00EB0301">
        <w:rPr>
          <w:lang w:val="en-CA"/>
        </w:rPr>
        <w:t>Subject to the availability of funding</w:t>
      </w:r>
      <w:r w:rsidR="00AB5241" w:rsidRPr="00EB0301">
        <w:rPr>
          <w:lang w:val="en-CA"/>
        </w:rPr>
        <w:t>,</w:t>
      </w:r>
      <w:r w:rsidRPr="00EB0301">
        <w:rPr>
          <w:lang w:val="en-CA"/>
        </w:rPr>
        <w:t xml:space="preserve"> the Secretariat plans to </w:t>
      </w:r>
      <w:r w:rsidR="00C20484" w:rsidRPr="00EB0301">
        <w:rPr>
          <w:lang w:val="en-CA"/>
        </w:rPr>
        <w:t xml:space="preserve">complete Chapter 1 by the first quarter of 2019 and </w:t>
      </w:r>
      <w:r w:rsidR="00AB5241" w:rsidRPr="00EB0301">
        <w:rPr>
          <w:lang w:val="en-CA"/>
        </w:rPr>
        <w:t xml:space="preserve">subsequently work on the development of additional </w:t>
      </w:r>
      <w:r w:rsidR="00C20484" w:rsidRPr="00EB0301">
        <w:rPr>
          <w:lang w:val="en-CA"/>
        </w:rPr>
        <w:t xml:space="preserve">chapters </w:t>
      </w:r>
      <w:r w:rsidR="00AB5241" w:rsidRPr="00EB0301">
        <w:rPr>
          <w:lang w:val="en-CA"/>
        </w:rPr>
        <w:t>with a view of launching the entire video game by</w:t>
      </w:r>
      <w:r w:rsidR="00C20484" w:rsidRPr="00EB0301">
        <w:rPr>
          <w:lang w:val="en-CA"/>
        </w:rPr>
        <w:t xml:space="preserve"> COP15 in China in 2020.  </w:t>
      </w:r>
    </w:p>
    <w:p w14:paraId="1283AFF8" w14:textId="77777777" w:rsidR="00107658" w:rsidRPr="00EB0301" w:rsidRDefault="00107658" w:rsidP="00107658">
      <w:pPr>
        <w:jc w:val="left"/>
        <w:rPr>
          <w:lang w:val="en-CA"/>
        </w:rPr>
      </w:pPr>
    </w:p>
    <w:p w14:paraId="61026840" w14:textId="77777777" w:rsidR="00107658" w:rsidRPr="00EB0301" w:rsidRDefault="00107658" w:rsidP="00107658">
      <w:pPr>
        <w:jc w:val="left"/>
        <w:rPr>
          <w:lang w:val="en-CA"/>
        </w:rPr>
      </w:pPr>
    </w:p>
    <w:p w14:paraId="00788718" w14:textId="2188DDD8" w:rsidR="00DB20B1" w:rsidRPr="00EB0301" w:rsidRDefault="00DB20B1">
      <w:pPr>
        <w:jc w:val="left"/>
        <w:rPr>
          <w:lang w:val="en-CA"/>
        </w:rPr>
      </w:pPr>
    </w:p>
    <w:p w14:paraId="6CF41D96" w14:textId="77777777" w:rsidR="00DB20B1" w:rsidRPr="00EB0301" w:rsidRDefault="00DB20B1" w:rsidP="00DB20B1">
      <w:pPr>
        <w:pStyle w:val="CommentText"/>
        <w:ind w:left="360"/>
        <w:rPr>
          <w:kern w:val="22"/>
          <w:lang w:val="en-CA"/>
        </w:rPr>
        <w:sectPr w:rsidR="00DB20B1" w:rsidRPr="00EB0301" w:rsidSect="00E67F9F">
          <w:headerReference w:type="even" r:id="rId18"/>
          <w:headerReference w:type="default" r:id="rId19"/>
          <w:pgSz w:w="12240" w:h="15840"/>
          <w:pgMar w:top="567" w:right="1389" w:bottom="1134" w:left="1389" w:header="709" w:footer="709" w:gutter="0"/>
          <w:cols w:space="708"/>
          <w:titlePg/>
          <w:docGrid w:linePitch="360"/>
        </w:sectPr>
      </w:pPr>
    </w:p>
    <w:p w14:paraId="3F1D904A" w14:textId="77777777" w:rsidR="00160D42" w:rsidRPr="00EB0301" w:rsidRDefault="00160D42" w:rsidP="00160D42">
      <w:pPr>
        <w:jc w:val="center"/>
        <w:rPr>
          <w:b/>
          <w:lang w:val="en-CA"/>
        </w:rPr>
      </w:pPr>
    </w:p>
    <w:p w14:paraId="26F5B719" w14:textId="1A1E2D1D" w:rsidR="00BB75B8" w:rsidRPr="00EB0301" w:rsidRDefault="00160D42" w:rsidP="00BB75B8">
      <w:pPr>
        <w:jc w:val="center"/>
        <w:rPr>
          <w:b/>
          <w:lang w:val="en-CA"/>
        </w:rPr>
      </w:pPr>
      <w:r w:rsidRPr="00EB0301">
        <w:rPr>
          <w:b/>
          <w:lang w:val="en-CA"/>
        </w:rPr>
        <w:t xml:space="preserve">Annex 1 </w:t>
      </w:r>
    </w:p>
    <w:p w14:paraId="3B7E0948" w14:textId="2A947156" w:rsidR="00BB75B8" w:rsidRPr="00EB0301" w:rsidRDefault="00BB75B8" w:rsidP="00BB75B8">
      <w:pPr>
        <w:pStyle w:val="Caption"/>
        <w:spacing w:after="0"/>
        <w:ind w:left="360"/>
        <w:jc w:val="center"/>
        <w:rPr>
          <w:color w:val="00B050"/>
          <w:sz w:val="20"/>
          <w:lang w:val="en-CA"/>
        </w:rPr>
      </w:pPr>
      <w:r w:rsidRPr="00EB0301">
        <w:rPr>
          <w:color w:val="00B050"/>
          <w:sz w:val="20"/>
          <w:lang w:val="en-CA"/>
        </w:rPr>
        <w:t xml:space="preserve"> Bio-Bridge Initiative Demonstration Projects</w:t>
      </w:r>
    </w:p>
    <w:p w14:paraId="1BCCBBEC" w14:textId="77777777" w:rsidR="00BB75B8" w:rsidRPr="00EB0301" w:rsidRDefault="00BB75B8" w:rsidP="00BB75B8">
      <w:pPr>
        <w:rPr>
          <w:lang w:val="en-CA"/>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543"/>
        <w:gridCol w:w="5623"/>
        <w:gridCol w:w="2032"/>
      </w:tblGrid>
      <w:tr w:rsidR="00BB75B8" w:rsidRPr="00EB0301" w14:paraId="2663827E" w14:textId="77777777" w:rsidTr="00D533E1">
        <w:trPr>
          <w:jc w:val="center"/>
        </w:trPr>
        <w:tc>
          <w:tcPr>
            <w:tcW w:w="11855" w:type="dxa"/>
            <w:gridSpan w:val="3"/>
            <w:shd w:val="clear" w:color="auto" w:fill="C2D69B"/>
          </w:tcPr>
          <w:p w14:paraId="6D36E8C5" w14:textId="77777777" w:rsidR="00BB75B8" w:rsidRPr="00EB0301" w:rsidRDefault="00BB75B8" w:rsidP="00D93C34">
            <w:pPr>
              <w:spacing w:before="60" w:after="60"/>
              <w:jc w:val="left"/>
              <w:rPr>
                <w:rFonts w:eastAsia="Arial"/>
                <w:b/>
                <w:sz w:val="20"/>
                <w:lang w:val="en-CA"/>
              </w:rPr>
            </w:pPr>
            <w:r w:rsidRPr="00EB0301">
              <w:rPr>
                <w:rFonts w:eastAsia="Arial"/>
                <w:b/>
                <w:sz w:val="20"/>
                <w:lang w:val="en-CA"/>
              </w:rPr>
              <w:t>Second Round of Projects</w:t>
            </w:r>
          </w:p>
        </w:tc>
        <w:tc>
          <w:tcPr>
            <w:tcW w:w="2032" w:type="dxa"/>
            <w:shd w:val="clear" w:color="auto" w:fill="C2D69B"/>
          </w:tcPr>
          <w:p w14:paraId="6E8CB0B2" w14:textId="77777777" w:rsidR="00BB75B8" w:rsidRPr="00EB0301" w:rsidRDefault="00BB75B8" w:rsidP="00D93C34">
            <w:pPr>
              <w:spacing w:before="60" w:after="60"/>
              <w:jc w:val="left"/>
              <w:rPr>
                <w:rFonts w:eastAsia="Arial"/>
                <w:b/>
                <w:sz w:val="20"/>
                <w:lang w:val="en-CA"/>
              </w:rPr>
            </w:pPr>
          </w:p>
        </w:tc>
      </w:tr>
      <w:tr w:rsidR="00D533E1" w:rsidRPr="00EB0301" w14:paraId="05B00ED6" w14:textId="77777777" w:rsidTr="00D533E1">
        <w:trPr>
          <w:jc w:val="center"/>
        </w:trPr>
        <w:tc>
          <w:tcPr>
            <w:tcW w:w="2689" w:type="dxa"/>
            <w:shd w:val="clear" w:color="auto" w:fill="C2D69B"/>
          </w:tcPr>
          <w:p w14:paraId="5291EFEB" w14:textId="77777777" w:rsidR="00BB75B8" w:rsidRPr="00EB0301" w:rsidRDefault="00BB75B8" w:rsidP="00D93C34">
            <w:pPr>
              <w:spacing w:before="60" w:after="60"/>
              <w:rPr>
                <w:rFonts w:eastAsia="Arial"/>
                <w:b/>
                <w:sz w:val="20"/>
                <w:lang w:val="en-CA"/>
              </w:rPr>
            </w:pPr>
            <w:r w:rsidRPr="00EB0301">
              <w:rPr>
                <w:rFonts w:eastAsia="Arial"/>
                <w:b/>
                <w:sz w:val="20"/>
                <w:lang w:val="en-CA"/>
              </w:rPr>
              <w:t>Parties</w:t>
            </w:r>
          </w:p>
        </w:tc>
        <w:tc>
          <w:tcPr>
            <w:tcW w:w="3543" w:type="dxa"/>
            <w:shd w:val="clear" w:color="auto" w:fill="C2D69B"/>
          </w:tcPr>
          <w:p w14:paraId="43ADE389" w14:textId="77777777" w:rsidR="00BB75B8" w:rsidRPr="00EB0301" w:rsidRDefault="00BB75B8" w:rsidP="00D93C34">
            <w:pPr>
              <w:spacing w:before="60" w:after="60"/>
              <w:rPr>
                <w:rFonts w:eastAsia="Arial"/>
                <w:b/>
                <w:sz w:val="20"/>
                <w:lang w:val="en-CA"/>
              </w:rPr>
            </w:pPr>
            <w:r w:rsidRPr="00EB0301">
              <w:rPr>
                <w:rFonts w:eastAsia="Arial"/>
                <w:b/>
                <w:sz w:val="20"/>
                <w:lang w:val="en-CA"/>
              </w:rPr>
              <w:t>Project Title</w:t>
            </w:r>
          </w:p>
        </w:tc>
        <w:tc>
          <w:tcPr>
            <w:tcW w:w="5623" w:type="dxa"/>
            <w:shd w:val="clear" w:color="auto" w:fill="C2D69B"/>
          </w:tcPr>
          <w:p w14:paraId="00FEDE75" w14:textId="77777777" w:rsidR="00BB75B8" w:rsidRPr="00EB0301" w:rsidRDefault="00BB75B8" w:rsidP="00D93C34">
            <w:pPr>
              <w:spacing w:before="60" w:after="60"/>
              <w:rPr>
                <w:rFonts w:eastAsia="Arial"/>
                <w:b/>
                <w:sz w:val="20"/>
                <w:lang w:val="en-CA"/>
              </w:rPr>
            </w:pPr>
            <w:r w:rsidRPr="00EB0301">
              <w:rPr>
                <w:rFonts w:eastAsia="Arial"/>
                <w:b/>
                <w:sz w:val="20"/>
                <w:lang w:val="en-CA"/>
              </w:rPr>
              <w:t>Project Summary</w:t>
            </w:r>
          </w:p>
        </w:tc>
        <w:tc>
          <w:tcPr>
            <w:tcW w:w="2032" w:type="dxa"/>
            <w:shd w:val="clear" w:color="auto" w:fill="C2D69B"/>
          </w:tcPr>
          <w:p w14:paraId="4CA8E041" w14:textId="77777777" w:rsidR="00BB75B8" w:rsidRPr="00EB0301" w:rsidRDefault="00BB75B8" w:rsidP="00D93C34">
            <w:pPr>
              <w:spacing w:before="60" w:after="60"/>
              <w:rPr>
                <w:rFonts w:eastAsia="Arial"/>
                <w:b/>
                <w:sz w:val="20"/>
                <w:lang w:val="en-CA"/>
              </w:rPr>
            </w:pPr>
            <w:r w:rsidRPr="00EB0301">
              <w:rPr>
                <w:rFonts w:eastAsia="Arial"/>
                <w:b/>
                <w:sz w:val="20"/>
                <w:lang w:val="en-CA"/>
              </w:rPr>
              <w:t>Status</w:t>
            </w:r>
          </w:p>
        </w:tc>
      </w:tr>
      <w:tr w:rsidR="00D533E1" w:rsidRPr="00EB0301" w14:paraId="329794AA" w14:textId="77777777" w:rsidTr="00D533E1">
        <w:trPr>
          <w:jc w:val="center"/>
        </w:trPr>
        <w:tc>
          <w:tcPr>
            <w:tcW w:w="2689" w:type="dxa"/>
            <w:shd w:val="clear" w:color="auto" w:fill="EAF1DD"/>
          </w:tcPr>
          <w:p w14:paraId="4E35D1ED" w14:textId="77777777" w:rsidR="00BB75B8" w:rsidRPr="00EB0301" w:rsidRDefault="00BB75B8" w:rsidP="00D93C34">
            <w:pPr>
              <w:spacing w:before="60" w:after="60"/>
              <w:jc w:val="left"/>
              <w:rPr>
                <w:rFonts w:eastAsia="Arial"/>
                <w:sz w:val="20"/>
                <w:lang w:val="en-CA"/>
              </w:rPr>
            </w:pPr>
            <w:r w:rsidRPr="00EB0301">
              <w:rPr>
                <w:rFonts w:eastAsia="Arial"/>
                <w:b/>
                <w:sz w:val="20"/>
                <w:lang w:val="en-CA"/>
              </w:rPr>
              <w:t>Belarus</w:t>
            </w:r>
            <w:r w:rsidRPr="00EB0301">
              <w:rPr>
                <w:rFonts w:eastAsia="Arial"/>
                <w:sz w:val="20"/>
                <w:lang w:val="en-CA"/>
              </w:rPr>
              <w:t xml:space="preserve"> in collaboration with Armenia, Kazakhstan, Lithuania, Moldova, Tajikistan, and Ukraine</w:t>
            </w:r>
          </w:p>
        </w:tc>
        <w:tc>
          <w:tcPr>
            <w:tcW w:w="3543" w:type="dxa"/>
            <w:shd w:val="clear" w:color="auto" w:fill="EAF1DD"/>
          </w:tcPr>
          <w:p w14:paraId="01C3550E" w14:textId="77777777" w:rsidR="00BB75B8" w:rsidRPr="00EB0301" w:rsidRDefault="00BB75B8" w:rsidP="00D93C34">
            <w:pPr>
              <w:spacing w:before="60" w:after="60"/>
              <w:jc w:val="left"/>
              <w:rPr>
                <w:rFonts w:eastAsia="Arial"/>
                <w:sz w:val="20"/>
                <w:lang w:val="en-CA"/>
              </w:rPr>
            </w:pPr>
            <w:r w:rsidRPr="00EB0301">
              <w:rPr>
                <w:rFonts w:eastAsia="Arial"/>
                <w:sz w:val="20"/>
                <w:lang w:val="en-CA"/>
              </w:rPr>
              <w:t>Transfer of DNA Barcoding Technology for Genetic Inventory and Identification of Rare and Endangered Species</w:t>
            </w:r>
          </w:p>
        </w:tc>
        <w:tc>
          <w:tcPr>
            <w:tcW w:w="5623" w:type="dxa"/>
            <w:shd w:val="clear" w:color="auto" w:fill="EAF1DD"/>
          </w:tcPr>
          <w:p w14:paraId="3DA2B967" w14:textId="77777777" w:rsidR="00BB75B8" w:rsidRPr="00EB0301" w:rsidRDefault="00BB75B8" w:rsidP="00D93C34">
            <w:pPr>
              <w:spacing w:before="60" w:after="60"/>
              <w:jc w:val="left"/>
              <w:rPr>
                <w:rFonts w:eastAsia="Arial"/>
                <w:sz w:val="20"/>
                <w:lang w:val="en-CA"/>
              </w:rPr>
            </w:pPr>
            <w:r w:rsidRPr="00EB0301">
              <w:rPr>
                <w:rFonts w:eastAsia="Arial"/>
                <w:sz w:val="20"/>
                <w:lang w:val="en-CA"/>
              </w:rPr>
              <w:t>This project promoted cooperation between Belarus and other Central and Eastern European countries and Central Asian Republics (Armenia, Kazakhstan, Lithuania, Moldova, Tajikistan and Ukraine) on the use of modern molecular genetic technologies – such as DNA Barcoding - for the identification of species taxonomy and monitoring of biodiversity. Catalytic support through the Bio-Bridge Initiative contributed to increased institutional capacities of key stakeholders within the region on the use of this technology, the establishment of a Regional Reference Library of DNA Barcodes, and the strengthening of scientific networks that will be better equipped to promote the application of DNA Barcoding in the region.</w:t>
            </w:r>
          </w:p>
        </w:tc>
        <w:tc>
          <w:tcPr>
            <w:tcW w:w="2032" w:type="dxa"/>
            <w:shd w:val="clear" w:color="auto" w:fill="EAF1DD"/>
          </w:tcPr>
          <w:p w14:paraId="26AF6A8E" w14:textId="64E793C4" w:rsidR="00BB75B8" w:rsidRPr="00EB0301" w:rsidRDefault="00BB75B8" w:rsidP="00D93C34">
            <w:pPr>
              <w:spacing w:before="60" w:after="60"/>
              <w:jc w:val="left"/>
              <w:rPr>
                <w:rFonts w:eastAsia="Arial"/>
                <w:b/>
                <w:sz w:val="20"/>
                <w:lang w:val="en-CA"/>
              </w:rPr>
            </w:pPr>
            <w:r w:rsidRPr="00EB0301">
              <w:rPr>
                <w:rFonts w:eastAsia="Arial"/>
                <w:b/>
                <w:sz w:val="20"/>
                <w:lang w:val="en-CA"/>
              </w:rPr>
              <w:t>Complete</w:t>
            </w:r>
            <w:r w:rsidR="00D533E1" w:rsidRPr="00EB0301">
              <w:rPr>
                <w:rFonts w:eastAsia="Arial"/>
                <w:b/>
                <w:sz w:val="20"/>
                <w:lang w:val="en-CA"/>
              </w:rPr>
              <w:t>d</w:t>
            </w:r>
          </w:p>
        </w:tc>
      </w:tr>
      <w:tr w:rsidR="00BB75B8" w:rsidRPr="00EB0301" w14:paraId="1A26D059" w14:textId="77777777" w:rsidTr="00D533E1">
        <w:trPr>
          <w:cantSplit/>
          <w:jc w:val="center"/>
        </w:trPr>
        <w:tc>
          <w:tcPr>
            <w:tcW w:w="2689" w:type="dxa"/>
            <w:shd w:val="clear" w:color="auto" w:fill="auto"/>
          </w:tcPr>
          <w:p w14:paraId="7C2F17BE" w14:textId="77777777" w:rsidR="00BB75B8" w:rsidRPr="00EB0301" w:rsidRDefault="00BB75B8" w:rsidP="00D93C34">
            <w:pPr>
              <w:spacing w:before="60" w:after="60"/>
              <w:jc w:val="left"/>
              <w:rPr>
                <w:rFonts w:eastAsia="Arial"/>
                <w:sz w:val="20"/>
                <w:lang w:val="en-CA"/>
              </w:rPr>
            </w:pPr>
            <w:r w:rsidRPr="00EB0301">
              <w:rPr>
                <w:rFonts w:eastAsia="Arial"/>
                <w:b/>
                <w:sz w:val="20"/>
                <w:lang w:val="en-CA"/>
              </w:rPr>
              <w:t>China</w:t>
            </w:r>
            <w:r w:rsidRPr="00EB0301">
              <w:rPr>
                <w:rFonts w:eastAsia="Arial"/>
                <w:sz w:val="20"/>
                <w:lang w:val="en-CA"/>
              </w:rPr>
              <w:t xml:space="preserve"> in collaboration with Republic of Korea, Thailand, Vietnam, Malaysia, and Nepal</w:t>
            </w:r>
          </w:p>
        </w:tc>
        <w:tc>
          <w:tcPr>
            <w:tcW w:w="3543" w:type="dxa"/>
            <w:shd w:val="clear" w:color="auto" w:fill="auto"/>
          </w:tcPr>
          <w:p w14:paraId="35AED9FF" w14:textId="77777777" w:rsidR="00BB75B8" w:rsidRPr="00EB0301" w:rsidRDefault="008E5E10" w:rsidP="00D93C34">
            <w:pPr>
              <w:spacing w:before="60" w:after="60"/>
              <w:jc w:val="left"/>
              <w:rPr>
                <w:rFonts w:eastAsia="Arial"/>
                <w:sz w:val="20"/>
                <w:lang w:val="en-CA"/>
              </w:rPr>
            </w:pPr>
            <w:hyperlink r:id="rId20" w:history="1">
              <w:r w:rsidR="00BB75B8" w:rsidRPr="00EB0301">
                <w:rPr>
                  <w:rStyle w:val="Hyperlink"/>
                  <w:rFonts w:eastAsia="Arial"/>
                  <w:sz w:val="20"/>
                  <w:lang w:val="en-CA"/>
                </w:rPr>
                <w:t>Promoting Cooperation to Protect Traditional Knowledge</w:t>
              </w:r>
            </w:hyperlink>
            <w:r w:rsidR="00BB75B8" w:rsidRPr="00EB0301">
              <w:rPr>
                <w:rFonts w:eastAsia="Arial"/>
                <w:sz w:val="20"/>
                <w:lang w:val="en-CA"/>
              </w:rPr>
              <w:t xml:space="preserve"> through a Defensive Strategy in China and Other Countries in Asia</w:t>
            </w:r>
          </w:p>
        </w:tc>
        <w:tc>
          <w:tcPr>
            <w:tcW w:w="5623" w:type="dxa"/>
            <w:shd w:val="clear" w:color="auto" w:fill="auto"/>
          </w:tcPr>
          <w:p w14:paraId="0FEDDCCA" w14:textId="77777777" w:rsidR="00BB75B8" w:rsidRPr="00EB0301" w:rsidRDefault="00BB75B8" w:rsidP="00D93C34">
            <w:pPr>
              <w:spacing w:before="60" w:after="60"/>
              <w:jc w:val="left"/>
              <w:rPr>
                <w:rFonts w:eastAsia="Arial"/>
                <w:sz w:val="20"/>
                <w:lang w:val="en-CA"/>
              </w:rPr>
            </w:pPr>
            <w:r w:rsidRPr="00EB0301">
              <w:rPr>
                <w:rFonts w:eastAsia="Arial"/>
                <w:sz w:val="20"/>
                <w:lang w:val="en-CA"/>
              </w:rPr>
              <w:t>This project fostered cooperation between local communities in different regions of China and key institutions from Southeast Asia on the documentation and protection of traditional knowledge associated with genetic resources in the framework of the Nagoya Protocol. Local communities have cultivated a wide variety of traditional medicines, crops, livestock, and other plants over the centuries. Support from the Bio-Bridge Initiative led to (</w:t>
            </w:r>
            <w:proofErr w:type="spellStart"/>
            <w:r w:rsidRPr="00EB0301">
              <w:rPr>
                <w:rFonts w:eastAsia="Arial"/>
                <w:sz w:val="20"/>
                <w:lang w:val="en-CA"/>
              </w:rPr>
              <w:t>i</w:t>
            </w:r>
            <w:proofErr w:type="spellEnd"/>
            <w:r w:rsidRPr="00EB0301">
              <w:rPr>
                <w:rFonts w:eastAsia="Arial"/>
                <w:sz w:val="20"/>
                <w:lang w:val="en-CA"/>
              </w:rPr>
              <w:t xml:space="preserve">) better documentation of the traditional knowledge and a series of case studies associated with biological and genetic resources in </w:t>
            </w:r>
            <w:proofErr w:type="spellStart"/>
            <w:r w:rsidRPr="00EB0301">
              <w:rPr>
                <w:rFonts w:eastAsia="Arial"/>
                <w:sz w:val="20"/>
                <w:lang w:val="en-CA"/>
              </w:rPr>
              <w:t>Xiangxi</w:t>
            </w:r>
            <w:proofErr w:type="spellEnd"/>
            <w:r w:rsidRPr="00EB0301">
              <w:rPr>
                <w:rFonts w:eastAsia="Arial"/>
                <w:sz w:val="20"/>
                <w:lang w:val="en-CA"/>
              </w:rPr>
              <w:t xml:space="preserve"> Tujia and Miao Autonomous Prefecture, Hunan Province; and (ii) long-term cooperation on traditional knowledge within the region based on lessons learned and best practices with institutions doing similar work in Asia.</w:t>
            </w:r>
          </w:p>
        </w:tc>
        <w:tc>
          <w:tcPr>
            <w:tcW w:w="2032" w:type="dxa"/>
          </w:tcPr>
          <w:p w14:paraId="333BD9FF" w14:textId="231CA4C4" w:rsidR="00BB75B8" w:rsidRPr="00EB0301" w:rsidRDefault="00BB75B8" w:rsidP="00D93C34">
            <w:pPr>
              <w:spacing w:before="60" w:after="60"/>
              <w:jc w:val="left"/>
              <w:rPr>
                <w:rFonts w:eastAsia="Arial"/>
                <w:sz w:val="20"/>
                <w:lang w:val="en-CA"/>
              </w:rPr>
            </w:pPr>
            <w:r w:rsidRPr="00EB0301">
              <w:rPr>
                <w:rFonts w:eastAsia="Arial"/>
                <w:b/>
                <w:sz w:val="20"/>
                <w:lang w:val="en-CA"/>
              </w:rPr>
              <w:t>Complete</w:t>
            </w:r>
            <w:r w:rsidR="00D533E1" w:rsidRPr="00EB0301">
              <w:rPr>
                <w:rFonts w:eastAsia="Arial"/>
                <w:b/>
                <w:sz w:val="20"/>
                <w:lang w:val="en-CA"/>
              </w:rPr>
              <w:t>d</w:t>
            </w:r>
          </w:p>
        </w:tc>
      </w:tr>
      <w:tr w:rsidR="00D533E1" w:rsidRPr="00EB0301" w14:paraId="562A4B68" w14:textId="77777777" w:rsidTr="00D533E1">
        <w:trPr>
          <w:jc w:val="center"/>
        </w:trPr>
        <w:tc>
          <w:tcPr>
            <w:tcW w:w="2689" w:type="dxa"/>
            <w:shd w:val="clear" w:color="auto" w:fill="EAF1DD"/>
          </w:tcPr>
          <w:p w14:paraId="5E13AF76" w14:textId="77777777" w:rsidR="00BB75B8" w:rsidRPr="00EB0301" w:rsidRDefault="00BB75B8" w:rsidP="00D93C34">
            <w:pPr>
              <w:spacing w:before="60" w:after="60"/>
              <w:jc w:val="left"/>
              <w:rPr>
                <w:rFonts w:eastAsia="Arial"/>
                <w:sz w:val="20"/>
                <w:lang w:val="en-CA"/>
              </w:rPr>
            </w:pPr>
            <w:r w:rsidRPr="00EB0301">
              <w:rPr>
                <w:rFonts w:eastAsia="Arial"/>
                <w:b/>
                <w:sz w:val="20"/>
                <w:lang w:val="en-CA"/>
              </w:rPr>
              <w:t>Colombia</w:t>
            </w:r>
            <w:r w:rsidRPr="00EB0301">
              <w:rPr>
                <w:rFonts w:eastAsia="Arial"/>
                <w:sz w:val="20"/>
                <w:lang w:val="en-CA"/>
              </w:rPr>
              <w:t xml:space="preserve"> in collaboration with Brazil, Mexico, and South Africa</w:t>
            </w:r>
          </w:p>
        </w:tc>
        <w:tc>
          <w:tcPr>
            <w:tcW w:w="3543" w:type="dxa"/>
            <w:shd w:val="clear" w:color="auto" w:fill="EAF1DD"/>
          </w:tcPr>
          <w:p w14:paraId="343F267F" w14:textId="77777777" w:rsidR="00BB75B8" w:rsidRPr="00EB0301" w:rsidRDefault="00BB75B8" w:rsidP="00D93C34">
            <w:pPr>
              <w:spacing w:before="60" w:after="60"/>
              <w:jc w:val="left"/>
              <w:rPr>
                <w:rFonts w:eastAsia="Arial"/>
                <w:sz w:val="20"/>
                <w:lang w:val="en-CA"/>
              </w:rPr>
            </w:pPr>
            <w:r w:rsidRPr="00EB0301">
              <w:rPr>
                <w:rFonts w:eastAsia="Arial"/>
                <w:sz w:val="20"/>
                <w:lang w:val="en-CA"/>
              </w:rPr>
              <w:t>Cooperation on Biodiversity Data Management for Species and Ecosystem Assessments</w:t>
            </w:r>
          </w:p>
        </w:tc>
        <w:tc>
          <w:tcPr>
            <w:tcW w:w="5623" w:type="dxa"/>
            <w:shd w:val="clear" w:color="auto" w:fill="EAF1DD"/>
          </w:tcPr>
          <w:p w14:paraId="75B4ADCD" w14:textId="77777777" w:rsidR="00BB75B8" w:rsidRPr="00EB0301" w:rsidRDefault="00BB75B8" w:rsidP="00D93C34">
            <w:pPr>
              <w:spacing w:before="60" w:after="60"/>
              <w:jc w:val="left"/>
              <w:rPr>
                <w:rFonts w:eastAsia="Arial"/>
                <w:sz w:val="20"/>
                <w:lang w:val="en-CA"/>
              </w:rPr>
            </w:pPr>
            <w:r w:rsidRPr="00EB0301">
              <w:rPr>
                <w:rFonts w:eastAsia="Arial"/>
                <w:sz w:val="20"/>
                <w:lang w:val="en-CA"/>
              </w:rPr>
              <w:t xml:space="preserve">The project involved a technical exchange between biodiversity institutions of four megadiverse countries in the following subjects: management of threatened and invasive species, biodiversity informatics and ecosystem integrity assessment. Bio-Bridge Initiative resources were used to organize two workshops in Bogota addressing topics of interest that can be solved through informatics. One of the main results of the project is the </w:t>
            </w:r>
            <w:r w:rsidRPr="00EB0301">
              <w:rPr>
                <w:rFonts w:eastAsia="Arial"/>
                <w:sz w:val="20"/>
                <w:lang w:val="en-CA"/>
              </w:rPr>
              <w:lastRenderedPageBreak/>
              <w:t xml:space="preserve">establishment of “Coders4conservation” network. The investment of catalytic funds led to project specific products such as an Ecosystem Integrity methodology and the adaptation of the </w:t>
            </w:r>
            <w:proofErr w:type="spellStart"/>
            <w:r w:rsidRPr="00EB0301">
              <w:rPr>
                <w:rFonts w:eastAsia="Arial"/>
                <w:sz w:val="20"/>
                <w:lang w:val="en-CA"/>
              </w:rPr>
              <w:t>MadMex</w:t>
            </w:r>
            <w:proofErr w:type="spellEnd"/>
            <w:r w:rsidRPr="00EB0301">
              <w:rPr>
                <w:rFonts w:eastAsia="Arial"/>
                <w:sz w:val="20"/>
                <w:lang w:val="en-CA"/>
              </w:rPr>
              <w:t xml:space="preserve"> Antares3 system.</w:t>
            </w:r>
          </w:p>
        </w:tc>
        <w:tc>
          <w:tcPr>
            <w:tcW w:w="2032" w:type="dxa"/>
            <w:shd w:val="clear" w:color="auto" w:fill="EAF1DD"/>
          </w:tcPr>
          <w:p w14:paraId="2F7C7F3E" w14:textId="1CE9AF86" w:rsidR="00BB75B8" w:rsidRPr="00EB0301" w:rsidRDefault="00BB75B8" w:rsidP="00D93C34">
            <w:pPr>
              <w:spacing w:before="60" w:after="60"/>
              <w:jc w:val="left"/>
              <w:rPr>
                <w:rFonts w:eastAsia="Arial"/>
                <w:sz w:val="20"/>
                <w:lang w:val="en-CA"/>
              </w:rPr>
            </w:pPr>
            <w:r w:rsidRPr="00EB0301">
              <w:rPr>
                <w:rFonts w:eastAsia="Arial"/>
                <w:b/>
                <w:sz w:val="20"/>
                <w:lang w:val="en-CA"/>
              </w:rPr>
              <w:lastRenderedPageBreak/>
              <w:t>Complete</w:t>
            </w:r>
            <w:r w:rsidR="00D533E1" w:rsidRPr="00EB0301">
              <w:rPr>
                <w:rFonts w:eastAsia="Arial"/>
                <w:b/>
                <w:sz w:val="20"/>
                <w:lang w:val="en-CA"/>
              </w:rPr>
              <w:t>d</w:t>
            </w:r>
          </w:p>
        </w:tc>
      </w:tr>
      <w:tr w:rsidR="00BB75B8" w:rsidRPr="00EB0301" w14:paraId="12B06F21" w14:textId="77777777" w:rsidTr="00D533E1">
        <w:trPr>
          <w:jc w:val="center"/>
        </w:trPr>
        <w:tc>
          <w:tcPr>
            <w:tcW w:w="2689" w:type="dxa"/>
            <w:shd w:val="clear" w:color="auto" w:fill="auto"/>
          </w:tcPr>
          <w:p w14:paraId="2F9BC57A" w14:textId="77777777" w:rsidR="00BB75B8" w:rsidRPr="00EB0301" w:rsidRDefault="00BB75B8" w:rsidP="00D93C34">
            <w:pPr>
              <w:spacing w:before="60" w:after="60"/>
              <w:jc w:val="left"/>
              <w:rPr>
                <w:rFonts w:eastAsia="Arial"/>
                <w:sz w:val="20"/>
                <w:lang w:val="en-CA"/>
              </w:rPr>
            </w:pPr>
            <w:r w:rsidRPr="00EB0301">
              <w:rPr>
                <w:rFonts w:eastAsia="Arial"/>
                <w:b/>
                <w:sz w:val="20"/>
                <w:lang w:val="en-CA"/>
              </w:rPr>
              <w:t>Ghana</w:t>
            </w:r>
            <w:r w:rsidRPr="00EB0301">
              <w:rPr>
                <w:rFonts w:eastAsia="Arial"/>
                <w:sz w:val="20"/>
                <w:lang w:val="en-CA"/>
              </w:rPr>
              <w:t xml:space="preserve"> in collaboration with</w:t>
            </w:r>
            <w:r w:rsidRPr="00EB0301">
              <w:rPr>
                <w:rFonts w:eastAsia="Arial"/>
                <w:color w:val="333333"/>
                <w:sz w:val="21"/>
                <w:szCs w:val="21"/>
                <w:shd w:val="clear" w:color="auto" w:fill="FFFFFF"/>
                <w:lang w:val="en-CA"/>
              </w:rPr>
              <w:t xml:space="preserve"> </w:t>
            </w:r>
            <w:r w:rsidRPr="00EB0301">
              <w:rPr>
                <w:rFonts w:eastAsia="Arial"/>
                <w:sz w:val="20"/>
                <w:lang w:val="en-CA"/>
              </w:rPr>
              <w:t>Gambia, Liberia, Nigeria, and Sierra Leone</w:t>
            </w:r>
          </w:p>
        </w:tc>
        <w:tc>
          <w:tcPr>
            <w:tcW w:w="3543" w:type="dxa"/>
            <w:shd w:val="clear" w:color="auto" w:fill="auto"/>
          </w:tcPr>
          <w:p w14:paraId="05F393FE" w14:textId="77777777" w:rsidR="00BB75B8" w:rsidRPr="00EB0301" w:rsidRDefault="00BB75B8" w:rsidP="00D93C34">
            <w:pPr>
              <w:spacing w:before="60" w:after="60"/>
              <w:jc w:val="left"/>
              <w:rPr>
                <w:rFonts w:eastAsia="Arial"/>
                <w:sz w:val="20"/>
                <w:lang w:val="en-CA"/>
              </w:rPr>
            </w:pPr>
            <w:r w:rsidRPr="00EB0301">
              <w:rPr>
                <w:rFonts w:eastAsia="Arial"/>
                <w:sz w:val="20"/>
                <w:lang w:val="en-CA"/>
              </w:rPr>
              <w:t>Cooperation for Development of Ecosystem Natural Capital Accounts in Anglophone West African Countries</w:t>
            </w:r>
          </w:p>
        </w:tc>
        <w:tc>
          <w:tcPr>
            <w:tcW w:w="5623" w:type="dxa"/>
            <w:shd w:val="clear" w:color="auto" w:fill="auto"/>
          </w:tcPr>
          <w:p w14:paraId="6C81335D" w14:textId="77777777" w:rsidR="00BB75B8" w:rsidRPr="00EB0301" w:rsidRDefault="00BB75B8" w:rsidP="00D93C34">
            <w:pPr>
              <w:spacing w:before="60" w:after="60"/>
              <w:jc w:val="left"/>
              <w:rPr>
                <w:rFonts w:eastAsia="Arial"/>
                <w:sz w:val="20"/>
                <w:lang w:val="en-CA"/>
              </w:rPr>
            </w:pPr>
            <w:r w:rsidRPr="00EB0301">
              <w:rPr>
                <w:rFonts w:eastAsia="Arial"/>
                <w:sz w:val="20"/>
                <w:lang w:val="en-CA"/>
              </w:rPr>
              <w:t>This project fostered technical and scientific cooperation between Ghana and other Anglophone West African countries (Gambia, Liberia, Nigeria, and Sierra Leone) on natural resources valuation and Ecosystem-Natural Capital Accounting. The Bio-Bridge Initiative supported a workshop to develop national and regional capacities to take full account of the contribution of natural resources and ecosystem services in national accounting systems and to GDP. This project will give countries the necessary foundation to measure and value the environment to support sound macroeconomic policies for development. </w:t>
            </w:r>
          </w:p>
        </w:tc>
        <w:tc>
          <w:tcPr>
            <w:tcW w:w="2032" w:type="dxa"/>
          </w:tcPr>
          <w:p w14:paraId="339C6A8D" w14:textId="4BFF639F" w:rsidR="00BB75B8" w:rsidRPr="00EB0301" w:rsidRDefault="00BB75B8" w:rsidP="00D93C34">
            <w:pPr>
              <w:spacing w:before="60" w:after="60"/>
              <w:jc w:val="left"/>
              <w:rPr>
                <w:rFonts w:eastAsia="Arial"/>
                <w:sz w:val="20"/>
                <w:lang w:val="en-CA"/>
              </w:rPr>
            </w:pPr>
            <w:r w:rsidRPr="00EB0301">
              <w:rPr>
                <w:rFonts w:eastAsia="Arial"/>
                <w:b/>
                <w:sz w:val="20"/>
                <w:lang w:val="en-CA"/>
              </w:rPr>
              <w:t>Complete</w:t>
            </w:r>
            <w:r w:rsidR="00D533E1" w:rsidRPr="00EB0301">
              <w:rPr>
                <w:rFonts w:eastAsia="Arial"/>
                <w:b/>
                <w:sz w:val="20"/>
                <w:lang w:val="en-CA"/>
              </w:rPr>
              <w:t>d</w:t>
            </w:r>
          </w:p>
        </w:tc>
      </w:tr>
      <w:tr w:rsidR="00D533E1" w:rsidRPr="00EB0301" w14:paraId="3D2AE038" w14:textId="77777777" w:rsidTr="00D533E1">
        <w:trPr>
          <w:jc w:val="center"/>
        </w:trPr>
        <w:tc>
          <w:tcPr>
            <w:tcW w:w="2689" w:type="dxa"/>
            <w:shd w:val="clear" w:color="auto" w:fill="EAF1DD"/>
          </w:tcPr>
          <w:p w14:paraId="15A3F88B" w14:textId="77777777" w:rsidR="00BB75B8" w:rsidRPr="00EB0301" w:rsidRDefault="00BB75B8" w:rsidP="00D93C34">
            <w:pPr>
              <w:spacing w:before="60" w:after="60"/>
              <w:jc w:val="left"/>
              <w:rPr>
                <w:rFonts w:eastAsia="Arial"/>
                <w:sz w:val="20"/>
                <w:lang w:val="en-CA"/>
              </w:rPr>
            </w:pPr>
            <w:r w:rsidRPr="00EB0301">
              <w:rPr>
                <w:rFonts w:eastAsia="Arial"/>
                <w:b/>
                <w:sz w:val="20"/>
                <w:lang w:val="en-CA"/>
              </w:rPr>
              <w:t>India</w:t>
            </w:r>
            <w:r w:rsidRPr="00EB0301">
              <w:rPr>
                <w:rStyle w:val="FootnoteReference"/>
                <w:rFonts w:eastAsia="Arial"/>
                <w:sz w:val="20"/>
                <w:lang w:val="en-CA"/>
              </w:rPr>
              <w:footnoteReference w:id="10"/>
            </w:r>
            <w:r w:rsidRPr="00EB0301">
              <w:rPr>
                <w:rFonts w:eastAsia="Arial"/>
                <w:sz w:val="20"/>
                <w:lang w:val="en-CA"/>
              </w:rPr>
              <w:t xml:space="preserve"> in collaboration with Republic of Korea</w:t>
            </w:r>
          </w:p>
        </w:tc>
        <w:tc>
          <w:tcPr>
            <w:tcW w:w="3543" w:type="dxa"/>
            <w:shd w:val="clear" w:color="auto" w:fill="EAF1DD"/>
          </w:tcPr>
          <w:p w14:paraId="4E829EC6" w14:textId="77777777" w:rsidR="00BB75B8" w:rsidRPr="00EB0301" w:rsidRDefault="008E5E10" w:rsidP="00D93C34">
            <w:pPr>
              <w:spacing w:before="60" w:after="60"/>
              <w:jc w:val="left"/>
              <w:rPr>
                <w:rFonts w:eastAsia="Arial"/>
                <w:sz w:val="20"/>
                <w:lang w:val="en-CA"/>
              </w:rPr>
            </w:pPr>
            <w:hyperlink r:id="rId21" w:history="1">
              <w:r w:rsidR="00BB75B8" w:rsidRPr="00EB0301">
                <w:rPr>
                  <w:rStyle w:val="Hyperlink"/>
                  <w:rFonts w:eastAsia="Arial"/>
                  <w:sz w:val="20"/>
                  <w:lang w:val="en-CA"/>
                </w:rPr>
                <w:t>Asian Big Cats’ Conservation</w:t>
              </w:r>
            </w:hyperlink>
            <w:r w:rsidR="00BB75B8" w:rsidRPr="00EB0301">
              <w:rPr>
                <w:rFonts w:eastAsia="Arial"/>
                <w:sz w:val="20"/>
                <w:lang w:val="en-CA"/>
              </w:rPr>
              <w:t xml:space="preserve"> through Technology Sharing and the Use of Unified DNA Typing Methodology</w:t>
            </w:r>
          </w:p>
        </w:tc>
        <w:tc>
          <w:tcPr>
            <w:tcW w:w="5623" w:type="dxa"/>
            <w:shd w:val="clear" w:color="auto" w:fill="EAF1DD"/>
          </w:tcPr>
          <w:p w14:paraId="0411E734" w14:textId="77777777" w:rsidR="00BB75B8" w:rsidRPr="00EB0301" w:rsidRDefault="00BB75B8" w:rsidP="00D93C34">
            <w:pPr>
              <w:spacing w:before="60" w:after="60"/>
              <w:jc w:val="left"/>
              <w:rPr>
                <w:rFonts w:eastAsia="Arial"/>
                <w:sz w:val="20"/>
                <w:lang w:val="en-CA"/>
              </w:rPr>
            </w:pPr>
            <w:r w:rsidRPr="00EB0301">
              <w:rPr>
                <w:rFonts w:eastAsia="Arial"/>
                <w:sz w:val="20"/>
                <w:lang w:val="en-CA"/>
              </w:rPr>
              <w:t>The project strengthened cooperation between institutions in India and the Republic of Korea to develop technologies and standardized methods that are vital to the conservation and rehabilitation of big cats throughout Asia. It promoted the use of technologies (including DNA typing and microsatellite markers) to promote the conservation of the Asian Big Cats (tiger, lion, leopard, snow leopard, and clouded leopard) and combat poaching and illegal wildlife trade. The main outcomes included the training of scientific staff at regional wildlife institutions in India on different aspects of conservation genetics, the establishment of the regional wildlife genetic facilities in India and the cultivation of scientific cooperation and synergism among different stakeholders in India to establish standardized STR typing methodologies for Asian big cats.</w:t>
            </w:r>
          </w:p>
        </w:tc>
        <w:tc>
          <w:tcPr>
            <w:tcW w:w="2032" w:type="dxa"/>
            <w:shd w:val="clear" w:color="auto" w:fill="EAF1DD"/>
          </w:tcPr>
          <w:p w14:paraId="3DDF5E21" w14:textId="1F9DB097" w:rsidR="00BB75B8" w:rsidRPr="00EB0301" w:rsidRDefault="00BB75B8" w:rsidP="00D93C34">
            <w:pPr>
              <w:spacing w:before="60" w:after="60"/>
              <w:jc w:val="left"/>
              <w:rPr>
                <w:rFonts w:eastAsia="Arial"/>
                <w:sz w:val="20"/>
                <w:lang w:val="en-CA"/>
              </w:rPr>
            </w:pPr>
            <w:r w:rsidRPr="00EB0301">
              <w:rPr>
                <w:rFonts w:eastAsia="Arial"/>
                <w:b/>
                <w:sz w:val="20"/>
                <w:lang w:val="en-CA"/>
              </w:rPr>
              <w:t>Complete</w:t>
            </w:r>
            <w:r w:rsidR="00D533E1" w:rsidRPr="00EB0301">
              <w:rPr>
                <w:rFonts w:eastAsia="Arial"/>
                <w:b/>
                <w:sz w:val="20"/>
                <w:lang w:val="en-CA"/>
              </w:rPr>
              <w:t>d</w:t>
            </w:r>
          </w:p>
        </w:tc>
      </w:tr>
      <w:tr w:rsidR="00BB75B8" w:rsidRPr="00EB0301" w14:paraId="43EE1B42" w14:textId="77777777" w:rsidTr="00D533E1">
        <w:trPr>
          <w:jc w:val="center"/>
        </w:trPr>
        <w:tc>
          <w:tcPr>
            <w:tcW w:w="2689" w:type="dxa"/>
            <w:shd w:val="clear" w:color="auto" w:fill="auto"/>
          </w:tcPr>
          <w:p w14:paraId="30E8A215" w14:textId="77777777" w:rsidR="00BB75B8" w:rsidRPr="00EB0301" w:rsidRDefault="00BB75B8" w:rsidP="00D93C34">
            <w:pPr>
              <w:spacing w:before="60" w:after="60"/>
              <w:jc w:val="left"/>
              <w:rPr>
                <w:rFonts w:eastAsia="Arial"/>
                <w:sz w:val="20"/>
                <w:lang w:val="en-CA"/>
              </w:rPr>
            </w:pPr>
            <w:r w:rsidRPr="00EB0301">
              <w:rPr>
                <w:rFonts w:eastAsia="Arial"/>
                <w:b/>
                <w:sz w:val="20"/>
                <w:lang w:val="en-CA"/>
              </w:rPr>
              <w:t>Malawi</w:t>
            </w:r>
            <w:r w:rsidRPr="00EB0301">
              <w:rPr>
                <w:rFonts w:eastAsia="Arial"/>
                <w:sz w:val="20"/>
                <w:lang w:val="en-CA"/>
              </w:rPr>
              <w:t xml:space="preserve"> in collaboration with Uganda</w:t>
            </w:r>
          </w:p>
        </w:tc>
        <w:tc>
          <w:tcPr>
            <w:tcW w:w="3543" w:type="dxa"/>
            <w:shd w:val="clear" w:color="auto" w:fill="auto"/>
          </w:tcPr>
          <w:p w14:paraId="679EBC05" w14:textId="77777777" w:rsidR="00BB75B8" w:rsidRPr="00EB0301" w:rsidRDefault="00BB75B8" w:rsidP="00D93C34">
            <w:pPr>
              <w:spacing w:before="60" w:after="60"/>
              <w:jc w:val="left"/>
              <w:rPr>
                <w:rFonts w:eastAsia="Arial"/>
                <w:sz w:val="20"/>
                <w:lang w:val="en-CA"/>
              </w:rPr>
            </w:pPr>
            <w:r w:rsidRPr="00EB0301">
              <w:rPr>
                <w:rFonts w:eastAsia="Arial"/>
                <w:sz w:val="20"/>
                <w:lang w:val="en-CA"/>
              </w:rPr>
              <w:t>Integrating Biodiversity Values into National, Sectoral and Local Development Policies and Plans</w:t>
            </w:r>
          </w:p>
        </w:tc>
        <w:tc>
          <w:tcPr>
            <w:tcW w:w="5623" w:type="dxa"/>
            <w:shd w:val="clear" w:color="auto" w:fill="auto"/>
          </w:tcPr>
          <w:p w14:paraId="4F9FF517" w14:textId="77777777" w:rsidR="00BB75B8" w:rsidRPr="00EB0301" w:rsidRDefault="00BB75B8" w:rsidP="00D93C34">
            <w:pPr>
              <w:spacing w:before="60" w:after="60"/>
              <w:jc w:val="left"/>
              <w:rPr>
                <w:rFonts w:eastAsia="Arial"/>
                <w:sz w:val="20"/>
                <w:lang w:val="en-CA"/>
              </w:rPr>
            </w:pPr>
            <w:r w:rsidRPr="00EB0301">
              <w:rPr>
                <w:rFonts w:eastAsia="Arial"/>
                <w:sz w:val="20"/>
                <w:lang w:val="en-CA"/>
              </w:rPr>
              <w:t xml:space="preserve">The overall objective of this project is to foster long-term cooperation between Malawi and Uganda on the assessment and integration of biodiversity values into national, sectoral and local development policies, plans and accounting systems. Specifically, the Bio-Bridge Initiative will support the establishment of a national task force in each country, consultative meetings, technical training and experience-sharing between experts of the </w:t>
            </w:r>
            <w:r w:rsidRPr="00EB0301">
              <w:rPr>
                <w:rFonts w:eastAsia="Arial"/>
                <w:sz w:val="20"/>
                <w:lang w:val="en-CA"/>
              </w:rPr>
              <w:lastRenderedPageBreak/>
              <w:t>two countries with a view to create stronger partnerships and deeper cooperation on these issues in the project area. </w:t>
            </w:r>
          </w:p>
        </w:tc>
        <w:tc>
          <w:tcPr>
            <w:tcW w:w="2032" w:type="dxa"/>
          </w:tcPr>
          <w:p w14:paraId="468A5510" w14:textId="77777777" w:rsidR="00BB75B8" w:rsidRPr="00EB0301" w:rsidRDefault="00BB75B8" w:rsidP="00D93C34">
            <w:pPr>
              <w:spacing w:before="60" w:after="60"/>
              <w:jc w:val="left"/>
              <w:rPr>
                <w:rFonts w:eastAsia="Arial"/>
                <w:b/>
                <w:sz w:val="20"/>
                <w:lang w:val="en-CA"/>
              </w:rPr>
            </w:pPr>
            <w:r w:rsidRPr="00EB0301">
              <w:rPr>
                <w:rFonts w:eastAsia="Arial"/>
                <w:b/>
                <w:sz w:val="20"/>
                <w:lang w:val="en-CA"/>
              </w:rPr>
              <w:lastRenderedPageBreak/>
              <w:t>In Progress - scheduled to be brought to a successful closure by Q1 2019.</w:t>
            </w:r>
          </w:p>
        </w:tc>
      </w:tr>
      <w:tr w:rsidR="00D533E1" w:rsidRPr="00EB0301" w14:paraId="5C8A0258" w14:textId="77777777" w:rsidTr="00D533E1">
        <w:trPr>
          <w:jc w:val="center"/>
        </w:trPr>
        <w:tc>
          <w:tcPr>
            <w:tcW w:w="2689" w:type="dxa"/>
            <w:shd w:val="clear" w:color="auto" w:fill="EAF1DD"/>
          </w:tcPr>
          <w:p w14:paraId="209881A7" w14:textId="408E409B" w:rsidR="00BB75B8" w:rsidRPr="00EB0301" w:rsidRDefault="00BB75B8" w:rsidP="00D93C34">
            <w:pPr>
              <w:spacing w:before="60" w:after="60"/>
              <w:jc w:val="left"/>
              <w:rPr>
                <w:rFonts w:eastAsia="Arial"/>
                <w:sz w:val="20"/>
                <w:lang w:val="en-CA"/>
              </w:rPr>
            </w:pPr>
            <w:r w:rsidRPr="00EB0301">
              <w:rPr>
                <w:rFonts w:eastAsia="Arial"/>
                <w:b/>
                <w:sz w:val="20"/>
                <w:lang w:val="en-CA"/>
              </w:rPr>
              <w:t>Morocco</w:t>
            </w:r>
            <w:r w:rsidRPr="00EB0301">
              <w:rPr>
                <w:rFonts w:eastAsia="Arial"/>
                <w:sz w:val="20"/>
                <w:lang w:val="en-CA"/>
              </w:rPr>
              <w:t xml:space="preserve"> in collaboration with</w:t>
            </w:r>
            <w:r w:rsidRPr="00EB0301">
              <w:rPr>
                <w:rFonts w:eastAsia="Arial"/>
                <w:color w:val="333333"/>
                <w:sz w:val="21"/>
                <w:szCs w:val="21"/>
                <w:shd w:val="clear" w:color="auto" w:fill="FFFFFF"/>
                <w:lang w:val="en-CA"/>
              </w:rPr>
              <w:t xml:space="preserve"> </w:t>
            </w:r>
            <w:r w:rsidRPr="00EB0301">
              <w:rPr>
                <w:rFonts w:eastAsia="Arial"/>
                <w:sz w:val="20"/>
                <w:lang w:val="en-CA"/>
              </w:rPr>
              <w:t>Algeria,</w:t>
            </w:r>
            <w:r w:rsidR="00D533E1" w:rsidRPr="00EB0301">
              <w:rPr>
                <w:rFonts w:eastAsia="Arial"/>
                <w:sz w:val="20"/>
                <w:lang w:val="en-CA"/>
              </w:rPr>
              <w:t xml:space="preserve"> Benin, Cameroon, Comoros, Côte d’Ivoire, DR Congo Madagascar, Niger, </w:t>
            </w:r>
            <w:r w:rsidRPr="00EB0301">
              <w:rPr>
                <w:rFonts w:eastAsia="Arial"/>
                <w:sz w:val="20"/>
                <w:lang w:val="en-CA"/>
              </w:rPr>
              <w:t>and Rwanda</w:t>
            </w:r>
          </w:p>
        </w:tc>
        <w:tc>
          <w:tcPr>
            <w:tcW w:w="3543" w:type="dxa"/>
            <w:shd w:val="clear" w:color="auto" w:fill="EAF1DD"/>
          </w:tcPr>
          <w:p w14:paraId="15B2B2DF" w14:textId="77777777" w:rsidR="00BB75B8" w:rsidRPr="00EB0301" w:rsidRDefault="008E5E10" w:rsidP="00D93C34">
            <w:pPr>
              <w:spacing w:before="60" w:after="60"/>
              <w:jc w:val="left"/>
              <w:rPr>
                <w:rFonts w:eastAsia="Arial"/>
                <w:sz w:val="20"/>
                <w:lang w:val="en-CA"/>
              </w:rPr>
            </w:pPr>
            <w:hyperlink r:id="rId22" w:history="1">
              <w:r w:rsidR="00BB75B8" w:rsidRPr="00EB0301">
                <w:rPr>
                  <w:rStyle w:val="Hyperlink"/>
                  <w:rFonts w:eastAsia="Arial"/>
                  <w:sz w:val="20"/>
                  <w:lang w:val="en-CA"/>
                </w:rPr>
                <w:t>Establishment of an African Legal Network on Access and Benefit-Sharing (ABS) in Morocco</w:t>
              </w:r>
            </w:hyperlink>
            <w:r w:rsidR="00BB75B8" w:rsidRPr="00EB0301">
              <w:rPr>
                <w:rFonts w:eastAsia="Arial"/>
                <w:sz w:val="20"/>
                <w:lang w:val="en-CA"/>
              </w:rPr>
              <w:t xml:space="preserve"> and Participating French-Speaking African Countries</w:t>
            </w:r>
          </w:p>
        </w:tc>
        <w:tc>
          <w:tcPr>
            <w:tcW w:w="5623" w:type="dxa"/>
            <w:shd w:val="clear" w:color="auto" w:fill="EAF1DD"/>
          </w:tcPr>
          <w:p w14:paraId="0384C844" w14:textId="77777777" w:rsidR="00BB75B8" w:rsidRPr="00EB0301" w:rsidRDefault="00BB75B8" w:rsidP="00D93C34">
            <w:pPr>
              <w:spacing w:before="60" w:after="60"/>
              <w:jc w:val="left"/>
              <w:rPr>
                <w:rFonts w:eastAsia="Arial"/>
                <w:sz w:val="20"/>
                <w:lang w:val="en-CA"/>
              </w:rPr>
            </w:pPr>
            <w:r w:rsidRPr="00EB0301">
              <w:rPr>
                <w:rFonts w:eastAsia="Arial"/>
                <w:sz w:val="20"/>
                <w:lang w:val="en-CA"/>
              </w:rPr>
              <w:t>Through the leadership of Morocco, this project established a network among 10 French-speaking African countries (Algeria, Benin, Cameroon, Comoros, Côte d’Ivoire, Madagascar, Niger, Democratic Republic of Congo, Rwanda, and Morocco) with a view to promoting the design and implementation of ABS legislative, administrative and policy measures. The network will complement ongoing capacity development activities by facilitating exchange of knowledge and experiences of highly qualified ABS legal experts through South-South cooperation in the targeted countries.</w:t>
            </w:r>
          </w:p>
        </w:tc>
        <w:tc>
          <w:tcPr>
            <w:tcW w:w="2032" w:type="dxa"/>
            <w:shd w:val="clear" w:color="auto" w:fill="EAF1DD"/>
          </w:tcPr>
          <w:p w14:paraId="18039579" w14:textId="7F8C64EC" w:rsidR="00BB75B8" w:rsidRPr="00EB0301" w:rsidRDefault="00BB75B8" w:rsidP="00D93C34">
            <w:pPr>
              <w:spacing w:before="60" w:after="60"/>
              <w:jc w:val="left"/>
              <w:rPr>
                <w:rFonts w:eastAsia="Arial"/>
                <w:b/>
                <w:sz w:val="20"/>
                <w:lang w:val="en-CA"/>
              </w:rPr>
            </w:pPr>
            <w:r w:rsidRPr="00EB0301">
              <w:rPr>
                <w:rFonts w:eastAsia="Arial"/>
                <w:b/>
                <w:sz w:val="20"/>
                <w:lang w:val="en-CA"/>
              </w:rPr>
              <w:t>Complete</w:t>
            </w:r>
            <w:r w:rsidR="00D533E1" w:rsidRPr="00EB0301">
              <w:rPr>
                <w:rFonts w:eastAsia="Arial"/>
                <w:b/>
                <w:sz w:val="20"/>
                <w:lang w:val="en-CA"/>
              </w:rPr>
              <w:t>d</w:t>
            </w:r>
          </w:p>
        </w:tc>
      </w:tr>
      <w:tr w:rsidR="00BB75B8" w:rsidRPr="00EB0301" w14:paraId="00042BE5" w14:textId="77777777" w:rsidTr="00D533E1">
        <w:trPr>
          <w:jc w:val="center"/>
        </w:trPr>
        <w:tc>
          <w:tcPr>
            <w:tcW w:w="2689" w:type="dxa"/>
            <w:shd w:val="clear" w:color="auto" w:fill="auto"/>
          </w:tcPr>
          <w:p w14:paraId="3588DD6F" w14:textId="77777777" w:rsidR="00BB75B8" w:rsidRPr="00EB0301" w:rsidRDefault="00BB75B8" w:rsidP="00D93C34">
            <w:pPr>
              <w:spacing w:before="60" w:after="60"/>
              <w:jc w:val="left"/>
              <w:rPr>
                <w:rFonts w:eastAsia="Arial"/>
                <w:sz w:val="20"/>
                <w:lang w:val="en-CA"/>
              </w:rPr>
            </w:pPr>
            <w:r w:rsidRPr="00EB0301">
              <w:rPr>
                <w:rFonts w:eastAsia="Arial"/>
                <w:b/>
                <w:sz w:val="20"/>
                <w:lang w:val="en-CA"/>
              </w:rPr>
              <w:t>Zimbabwe</w:t>
            </w:r>
            <w:r w:rsidRPr="00EB0301">
              <w:rPr>
                <w:rFonts w:eastAsia="Arial"/>
                <w:sz w:val="20"/>
                <w:lang w:val="en-CA"/>
              </w:rPr>
              <w:t xml:space="preserve"> in collaboration with Botswana and South Africa</w:t>
            </w:r>
          </w:p>
        </w:tc>
        <w:tc>
          <w:tcPr>
            <w:tcW w:w="3543" w:type="dxa"/>
            <w:shd w:val="clear" w:color="auto" w:fill="auto"/>
          </w:tcPr>
          <w:p w14:paraId="5EA3C1A4" w14:textId="77777777" w:rsidR="00BB75B8" w:rsidRPr="00EB0301" w:rsidRDefault="00BB75B8" w:rsidP="00D93C34">
            <w:pPr>
              <w:spacing w:before="60" w:after="60"/>
              <w:jc w:val="left"/>
              <w:rPr>
                <w:rFonts w:eastAsia="Arial"/>
                <w:sz w:val="20"/>
                <w:lang w:val="en-CA"/>
              </w:rPr>
            </w:pPr>
            <w:r w:rsidRPr="00EB0301">
              <w:rPr>
                <w:rFonts w:eastAsia="Arial"/>
                <w:sz w:val="20"/>
                <w:lang w:val="en-CA"/>
              </w:rPr>
              <w:t>Development of a Biodiversity Genetic Database and Use of DNA Barcoding Technology for Identification of Alien and Endangered Species</w:t>
            </w:r>
          </w:p>
        </w:tc>
        <w:tc>
          <w:tcPr>
            <w:tcW w:w="5623" w:type="dxa"/>
            <w:shd w:val="clear" w:color="auto" w:fill="auto"/>
          </w:tcPr>
          <w:p w14:paraId="4B489402" w14:textId="77777777" w:rsidR="00BB75B8" w:rsidRPr="00EB0301" w:rsidRDefault="00BB75B8" w:rsidP="00D93C34">
            <w:pPr>
              <w:spacing w:before="60" w:after="60"/>
              <w:jc w:val="left"/>
              <w:rPr>
                <w:rFonts w:eastAsia="Arial"/>
                <w:sz w:val="20"/>
                <w:lang w:val="en-CA"/>
              </w:rPr>
            </w:pPr>
            <w:r w:rsidRPr="00EB0301">
              <w:rPr>
                <w:rFonts w:eastAsia="Arial"/>
                <w:sz w:val="20"/>
                <w:lang w:val="en-CA"/>
              </w:rPr>
              <w:t>The scope of the project is to strengthen regional collaboration on the establishment of a regional biobank of invasive alien species. Catalytic support through the Bio-Bridge Initiative will focus on the strengthening of institutional capacities in Zimbabwe through collaboration with subject matter experts from South Africa and Botswana, and the subsequent development of a detailed proposal for a follow-up long-term cooperation project on the establishment of a multilateral biobank of alien invasive species in the Southern African Development Community region. The Bio-Bridge Initiative will support collaboration among relevant stakeholders through training, on-the-job learning, mentorship, and sharing of available infrastructure and equipment. </w:t>
            </w:r>
          </w:p>
        </w:tc>
        <w:tc>
          <w:tcPr>
            <w:tcW w:w="2032" w:type="dxa"/>
          </w:tcPr>
          <w:p w14:paraId="3A62EBFD" w14:textId="4808AA4B" w:rsidR="00BB75B8" w:rsidRPr="00EB0301" w:rsidRDefault="00BB75B8" w:rsidP="00D93C34">
            <w:pPr>
              <w:spacing w:before="60" w:after="60"/>
              <w:jc w:val="left"/>
              <w:rPr>
                <w:rFonts w:eastAsia="Arial"/>
                <w:sz w:val="20"/>
                <w:lang w:val="en-CA"/>
              </w:rPr>
            </w:pPr>
            <w:r w:rsidRPr="00EB0301">
              <w:rPr>
                <w:rFonts w:eastAsia="Arial"/>
                <w:b/>
                <w:sz w:val="20"/>
                <w:lang w:val="en-CA"/>
              </w:rPr>
              <w:t>Complete</w:t>
            </w:r>
            <w:r w:rsidR="00D533E1" w:rsidRPr="00EB0301">
              <w:rPr>
                <w:rFonts w:eastAsia="Arial"/>
                <w:b/>
                <w:sz w:val="20"/>
                <w:lang w:val="en-CA"/>
              </w:rPr>
              <w:t>d</w:t>
            </w:r>
          </w:p>
        </w:tc>
      </w:tr>
    </w:tbl>
    <w:p w14:paraId="3B14A1A5" w14:textId="77777777" w:rsidR="00BB75B8" w:rsidRPr="00EB0301" w:rsidRDefault="00BB75B8" w:rsidP="00BB75B8">
      <w:pPr>
        <w:rPr>
          <w:lang w:val="en-CA"/>
        </w:rPr>
      </w:pPr>
    </w:p>
    <w:p w14:paraId="4177AB5C" w14:textId="77777777" w:rsidR="00BB75B8" w:rsidRPr="00EB0301" w:rsidRDefault="00BB75B8" w:rsidP="00160D42">
      <w:pPr>
        <w:jc w:val="center"/>
        <w:rPr>
          <w:b/>
          <w:lang w:val="en-CA"/>
        </w:rPr>
      </w:pPr>
    </w:p>
    <w:p w14:paraId="014E4A2C" w14:textId="33801C9A" w:rsidR="00BB75B8" w:rsidRPr="00EB0301" w:rsidRDefault="00BB75B8">
      <w:pPr>
        <w:jc w:val="left"/>
        <w:rPr>
          <w:b/>
          <w:lang w:val="en-CA"/>
        </w:rPr>
      </w:pPr>
      <w:r w:rsidRPr="00EB0301">
        <w:rPr>
          <w:b/>
          <w:lang w:val="en-CA"/>
        </w:rPr>
        <w:br w:type="page"/>
      </w:r>
    </w:p>
    <w:p w14:paraId="54D616A3" w14:textId="4F210961" w:rsidR="00BB75B8" w:rsidRPr="00EB0301" w:rsidRDefault="00BB75B8" w:rsidP="00160D42">
      <w:pPr>
        <w:jc w:val="center"/>
        <w:rPr>
          <w:b/>
          <w:lang w:val="en-CA"/>
        </w:rPr>
      </w:pPr>
      <w:r w:rsidRPr="00EB0301">
        <w:rPr>
          <w:b/>
          <w:lang w:val="en-CA"/>
        </w:rPr>
        <w:lastRenderedPageBreak/>
        <w:t>Annex 2</w:t>
      </w:r>
    </w:p>
    <w:p w14:paraId="4F630903" w14:textId="77777777" w:rsidR="00160D42" w:rsidRPr="00EB0301" w:rsidRDefault="00160D42" w:rsidP="00160D42">
      <w:pPr>
        <w:spacing w:after="240"/>
        <w:jc w:val="center"/>
        <w:rPr>
          <w:lang w:val="en-CA"/>
        </w:rPr>
      </w:pPr>
      <w:r w:rsidRPr="00EB0301">
        <w:rPr>
          <w:b/>
          <w:lang w:val="en-CA"/>
        </w:rPr>
        <w:t>Summary Analysis of the Priority Needs Identified During the Regional BBI Round Tables</w:t>
      </w:r>
    </w:p>
    <w:tbl>
      <w:tblPr>
        <w:tblW w:w="5000" w:type="pct"/>
        <w:tblBorders>
          <w:top w:val="single" w:sz="8" w:space="0" w:color="009242"/>
          <w:left w:val="single" w:sz="8" w:space="0" w:color="009242"/>
          <w:bottom w:val="single" w:sz="8" w:space="0" w:color="009242"/>
          <w:right w:val="single" w:sz="8" w:space="0" w:color="009242"/>
          <w:insideH w:val="single" w:sz="8" w:space="0" w:color="009242"/>
          <w:insideV w:val="single" w:sz="8" w:space="0" w:color="009242"/>
        </w:tblBorders>
        <w:tblLook w:val="04A0" w:firstRow="1" w:lastRow="0" w:firstColumn="1" w:lastColumn="0" w:noHBand="0" w:noVBand="1"/>
      </w:tblPr>
      <w:tblGrid>
        <w:gridCol w:w="458"/>
        <w:gridCol w:w="2623"/>
        <w:gridCol w:w="1525"/>
        <w:gridCol w:w="2378"/>
        <w:gridCol w:w="2378"/>
        <w:gridCol w:w="2378"/>
        <w:gridCol w:w="2379"/>
      </w:tblGrid>
      <w:tr w:rsidR="00160D42" w:rsidRPr="00EB0301" w14:paraId="50DA8984" w14:textId="77777777" w:rsidTr="00C915A6">
        <w:trPr>
          <w:cantSplit/>
        </w:trPr>
        <w:tc>
          <w:tcPr>
            <w:tcW w:w="1101" w:type="pct"/>
            <w:gridSpan w:val="2"/>
            <w:shd w:val="clear" w:color="auto" w:fill="D9D9D9" w:themeFill="background1" w:themeFillShade="D9"/>
          </w:tcPr>
          <w:p w14:paraId="255D92AE" w14:textId="77777777" w:rsidR="00160D42" w:rsidRPr="00EB0301" w:rsidRDefault="00160D42" w:rsidP="00D93C34">
            <w:pPr>
              <w:spacing w:before="40" w:after="40"/>
              <w:jc w:val="center"/>
              <w:rPr>
                <w:rFonts w:eastAsia="Arial"/>
                <w:b/>
                <w:color w:val="009242"/>
                <w:lang w:val="en-CA"/>
              </w:rPr>
            </w:pPr>
            <w:r w:rsidRPr="00EB0301">
              <w:rPr>
                <w:rFonts w:eastAsia="Arial"/>
                <w:b/>
                <w:color w:val="009242"/>
                <w:lang w:val="en-CA"/>
              </w:rPr>
              <w:t>IDENTIFIED NEEDS – TECHNICAL AND SCIENTIFIC COOPERATION</w:t>
            </w:r>
          </w:p>
        </w:tc>
        <w:tc>
          <w:tcPr>
            <w:tcW w:w="511" w:type="pct"/>
            <w:shd w:val="clear" w:color="auto" w:fill="D9D9D9" w:themeFill="background1" w:themeFillShade="D9"/>
            <w:vAlign w:val="center"/>
          </w:tcPr>
          <w:p w14:paraId="11D0E7D8" w14:textId="77777777" w:rsidR="00160D42" w:rsidRPr="00EB0301" w:rsidRDefault="00160D42" w:rsidP="00D93C34">
            <w:pPr>
              <w:spacing w:before="40" w:after="40"/>
              <w:jc w:val="center"/>
              <w:rPr>
                <w:rFonts w:eastAsia="Arial"/>
                <w:b/>
                <w:color w:val="009242"/>
                <w:lang w:val="en-CA"/>
              </w:rPr>
            </w:pPr>
            <w:r w:rsidRPr="00EB0301">
              <w:rPr>
                <w:rFonts w:eastAsia="Arial"/>
                <w:b/>
                <w:color w:val="009242"/>
                <w:lang w:val="en-CA"/>
              </w:rPr>
              <w:t>NUMBER OF COUNTRIES</w:t>
            </w:r>
          </w:p>
        </w:tc>
        <w:tc>
          <w:tcPr>
            <w:tcW w:w="847" w:type="pct"/>
            <w:shd w:val="clear" w:color="auto" w:fill="D9D9D9" w:themeFill="background1" w:themeFillShade="D9"/>
            <w:vAlign w:val="center"/>
          </w:tcPr>
          <w:p w14:paraId="165AF9A7" w14:textId="77777777" w:rsidR="00160D42" w:rsidRPr="00EB0301" w:rsidRDefault="00160D42" w:rsidP="00D93C34">
            <w:pPr>
              <w:spacing w:before="40" w:after="40"/>
              <w:jc w:val="center"/>
              <w:rPr>
                <w:rFonts w:eastAsia="Arial"/>
                <w:b/>
                <w:color w:val="009242"/>
                <w:lang w:val="en-CA"/>
              </w:rPr>
            </w:pPr>
            <w:r w:rsidRPr="00EB0301">
              <w:rPr>
                <w:rFonts w:eastAsia="Arial"/>
                <w:b/>
                <w:color w:val="009242"/>
                <w:lang w:val="en-CA"/>
              </w:rPr>
              <w:t>AFRICA</w:t>
            </w:r>
          </w:p>
          <w:p w14:paraId="3B282747" w14:textId="77777777" w:rsidR="00160D42" w:rsidRPr="00EB0301" w:rsidRDefault="00160D42" w:rsidP="00D93C34">
            <w:pPr>
              <w:spacing w:before="40" w:after="40"/>
              <w:jc w:val="center"/>
              <w:rPr>
                <w:rFonts w:eastAsia="Arial"/>
                <w:b/>
                <w:color w:val="009242"/>
                <w:lang w:val="en-CA"/>
              </w:rPr>
            </w:pPr>
            <w:r w:rsidRPr="00EB0301">
              <w:rPr>
                <w:rFonts w:eastAsia="Arial"/>
                <w:b/>
                <w:color w:val="009242"/>
                <w:sz w:val="18"/>
                <w:lang w:val="en-CA"/>
              </w:rPr>
              <w:t>29 countries + IPLCs</w:t>
            </w:r>
          </w:p>
        </w:tc>
        <w:tc>
          <w:tcPr>
            <w:tcW w:w="847" w:type="pct"/>
            <w:shd w:val="clear" w:color="auto" w:fill="D9D9D9" w:themeFill="background1" w:themeFillShade="D9"/>
            <w:vAlign w:val="center"/>
          </w:tcPr>
          <w:p w14:paraId="0E779DB2" w14:textId="77777777" w:rsidR="00160D42" w:rsidRPr="00EB0301" w:rsidRDefault="00160D42" w:rsidP="00D93C34">
            <w:pPr>
              <w:spacing w:before="40" w:after="40"/>
              <w:jc w:val="center"/>
              <w:rPr>
                <w:rFonts w:eastAsia="Arial"/>
                <w:b/>
                <w:color w:val="009242"/>
                <w:lang w:val="en-CA"/>
              </w:rPr>
            </w:pPr>
            <w:r w:rsidRPr="00EB0301">
              <w:rPr>
                <w:rFonts w:eastAsia="Arial"/>
                <w:b/>
                <w:color w:val="009242"/>
                <w:lang w:val="en-CA"/>
              </w:rPr>
              <w:t>ASIA</w:t>
            </w:r>
          </w:p>
          <w:p w14:paraId="1DE97368" w14:textId="77777777" w:rsidR="00160D42" w:rsidRPr="00EB0301" w:rsidRDefault="00160D42" w:rsidP="00D93C34">
            <w:pPr>
              <w:spacing w:before="40" w:after="40"/>
              <w:jc w:val="center"/>
              <w:rPr>
                <w:rFonts w:eastAsia="Arial"/>
                <w:b/>
                <w:color w:val="009242"/>
                <w:lang w:val="en-CA"/>
              </w:rPr>
            </w:pPr>
            <w:r w:rsidRPr="00EB0301">
              <w:rPr>
                <w:rFonts w:eastAsia="Arial"/>
                <w:b/>
                <w:color w:val="009242"/>
                <w:sz w:val="18"/>
                <w:lang w:val="en-CA"/>
              </w:rPr>
              <w:t>21 countries + IPLCs</w:t>
            </w:r>
          </w:p>
        </w:tc>
        <w:tc>
          <w:tcPr>
            <w:tcW w:w="847" w:type="pct"/>
            <w:shd w:val="clear" w:color="auto" w:fill="D9D9D9" w:themeFill="background1" w:themeFillShade="D9"/>
            <w:vAlign w:val="center"/>
          </w:tcPr>
          <w:p w14:paraId="1FFD2A09" w14:textId="77777777" w:rsidR="00160D42" w:rsidRPr="00EB0301" w:rsidRDefault="00160D42" w:rsidP="00D93C34">
            <w:pPr>
              <w:spacing w:before="40" w:after="40"/>
              <w:jc w:val="center"/>
              <w:rPr>
                <w:rFonts w:eastAsia="Arial"/>
                <w:b/>
                <w:color w:val="009242"/>
                <w:lang w:val="en-CA"/>
              </w:rPr>
            </w:pPr>
            <w:r w:rsidRPr="00EB0301">
              <w:rPr>
                <w:rFonts w:eastAsia="Arial"/>
                <w:b/>
                <w:color w:val="009242"/>
                <w:lang w:val="en-CA"/>
              </w:rPr>
              <w:t>CENTRAL EUROPE &amp; CENTRAL ASIA</w:t>
            </w:r>
          </w:p>
          <w:p w14:paraId="4E425929" w14:textId="77777777" w:rsidR="00160D42" w:rsidRPr="00EB0301" w:rsidRDefault="00160D42" w:rsidP="00D93C34">
            <w:pPr>
              <w:spacing w:before="40" w:after="40"/>
              <w:jc w:val="center"/>
              <w:rPr>
                <w:rFonts w:eastAsia="Arial"/>
                <w:b/>
                <w:color w:val="009242"/>
                <w:lang w:val="en-CA"/>
              </w:rPr>
            </w:pPr>
            <w:r w:rsidRPr="00EB0301">
              <w:rPr>
                <w:rFonts w:eastAsia="Arial"/>
                <w:b/>
                <w:color w:val="009242"/>
                <w:sz w:val="18"/>
                <w:lang w:val="en-CA"/>
              </w:rPr>
              <w:t>12 countries + IPLCs</w:t>
            </w:r>
          </w:p>
        </w:tc>
        <w:tc>
          <w:tcPr>
            <w:tcW w:w="847" w:type="pct"/>
            <w:shd w:val="clear" w:color="auto" w:fill="D9D9D9" w:themeFill="background1" w:themeFillShade="D9"/>
            <w:vAlign w:val="center"/>
          </w:tcPr>
          <w:p w14:paraId="62635515" w14:textId="77777777" w:rsidR="00160D42" w:rsidRPr="00EB0301" w:rsidRDefault="00160D42" w:rsidP="00D93C34">
            <w:pPr>
              <w:spacing w:before="40" w:after="40"/>
              <w:jc w:val="center"/>
              <w:rPr>
                <w:rFonts w:eastAsia="Arial"/>
                <w:b/>
                <w:color w:val="009242"/>
                <w:lang w:val="en-CA"/>
              </w:rPr>
            </w:pPr>
            <w:r w:rsidRPr="00EB0301">
              <w:rPr>
                <w:rFonts w:eastAsia="Arial"/>
                <w:b/>
                <w:color w:val="009242"/>
                <w:lang w:val="en-CA"/>
              </w:rPr>
              <w:t>LATIN AMERICA &amp; CARIBBEAN</w:t>
            </w:r>
          </w:p>
          <w:p w14:paraId="17C3E2A5" w14:textId="77777777" w:rsidR="00160D42" w:rsidRPr="00EB0301" w:rsidRDefault="00160D42" w:rsidP="00D93C34">
            <w:pPr>
              <w:spacing w:before="40" w:after="40"/>
              <w:jc w:val="center"/>
              <w:rPr>
                <w:rFonts w:eastAsia="Arial"/>
                <w:b/>
                <w:color w:val="009242"/>
                <w:lang w:val="en-CA"/>
              </w:rPr>
            </w:pPr>
            <w:r w:rsidRPr="00EB0301">
              <w:rPr>
                <w:rFonts w:eastAsia="Arial"/>
                <w:b/>
                <w:color w:val="009242"/>
                <w:sz w:val="18"/>
                <w:lang w:val="en-CA"/>
              </w:rPr>
              <w:t>20 countries + IPLCs</w:t>
            </w:r>
          </w:p>
        </w:tc>
      </w:tr>
      <w:tr w:rsidR="00160D42" w:rsidRPr="00EB0301" w14:paraId="5599D356" w14:textId="77777777" w:rsidTr="001A2825">
        <w:trPr>
          <w:cantSplit/>
        </w:trPr>
        <w:tc>
          <w:tcPr>
            <w:tcW w:w="167" w:type="pct"/>
            <w:tcBorders>
              <w:bottom w:val="single" w:sz="8" w:space="0" w:color="009242"/>
            </w:tcBorders>
            <w:shd w:val="clear" w:color="auto" w:fill="auto"/>
          </w:tcPr>
          <w:p w14:paraId="6ADA61EB" w14:textId="77777777" w:rsidR="00160D42" w:rsidRPr="00EB0301" w:rsidRDefault="00160D42" w:rsidP="001A2825">
            <w:pPr>
              <w:spacing w:before="40" w:after="40"/>
              <w:jc w:val="left"/>
              <w:rPr>
                <w:rFonts w:eastAsia="Arial"/>
                <w:b/>
                <w:iCs/>
                <w:snapToGrid w:val="0"/>
                <w:kern w:val="22"/>
                <w:lang w:val="en-CA" w:eastAsia="ko-KR"/>
              </w:rPr>
            </w:pPr>
            <w:r w:rsidRPr="00EB0301">
              <w:rPr>
                <w:rFonts w:eastAsia="Arial"/>
                <w:b/>
                <w:iCs/>
                <w:snapToGrid w:val="0"/>
                <w:kern w:val="22"/>
                <w:lang w:val="en-CA" w:eastAsia="ko-KR"/>
              </w:rPr>
              <w:t>1</w:t>
            </w:r>
          </w:p>
        </w:tc>
        <w:tc>
          <w:tcPr>
            <w:tcW w:w="934" w:type="pct"/>
            <w:tcBorders>
              <w:bottom w:val="single" w:sz="8" w:space="0" w:color="009242"/>
            </w:tcBorders>
            <w:shd w:val="clear" w:color="auto" w:fill="auto"/>
          </w:tcPr>
          <w:p w14:paraId="56EB73D3" w14:textId="77777777" w:rsidR="00160D42" w:rsidRPr="00EB0301" w:rsidRDefault="00160D42" w:rsidP="001A2825">
            <w:pPr>
              <w:spacing w:before="40" w:after="40"/>
              <w:jc w:val="left"/>
              <w:rPr>
                <w:rFonts w:eastAsia="Arial"/>
                <w:b/>
                <w:iCs/>
                <w:snapToGrid w:val="0"/>
                <w:kern w:val="22"/>
                <w:lang w:val="en-CA" w:eastAsia="ko-KR"/>
              </w:rPr>
            </w:pPr>
            <w:r w:rsidRPr="00EB0301">
              <w:rPr>
                <w:rFonts w:eastAsia="Arial"/>
                <w:b/>
                <w:iCs/>
                <w:snapToGrid w:val="0"/>
                <w:kern w:val="22"/>
                <w:lang w:val="en-CA" w:eastAsia="ko-KR"/>
              </w:rPr>
              <w:t xml:space="preserve">Invasive Alien Species </w:t>
            </w:r>
          </w:p>
          <w:p w14:paraId="21C73E72" w14:textId="77777777" w:rsidR="00160D42" w:rsidRPr="00EB0301" w:rsidRDefault="00160D42" w:rsidP="001A2825">
            <w:pPr>
              <w:spacing w:before="40" w:after="40"/>
              <w:jc w:val="left"/>
              <w:rPr>
                <w:rFonts w:eastAsia="Arial"/>
                <w:iCs/>
                <w:snapToGrid w:val="0"/>
                <w:kern w:val="22"/>
                <w:sz w:val="18"/>
                <w:lang w:val="en-CA" w:eastAsia="ko-KR"/>
              </w:rPr>
            </w:pPr>
            <w:r w:rsidRPr="00EB0301">
              <w:rPr>
                <w:rFonts w:eastAsia="Arial"/>
                <w:sz w:val="18"/>
                <w:lang w:val="en-CA"/>
              </w:rPr>
              <w:t>Distribution of invasive species</w:t>
            </w:r>
            <w:r w:rsidRPr="00EB0301">
              <w:rPr>
                <w:rFonts w:eastAsia="Arial"/>
                <w:iCs/>
                <w:snapToGrid w:val="0"/>
                <w:kern w:val="22"/>
                <w:sz w:val="18"/>
                <w:lang w:val="en-CA" w:eastAsia="ko-KR"/>
              </w:rPr>
              <w:t xml:space="preserve"> </w:t>
            </w:r>
          </w:p>
          <w:p w14:paraId="73B35841" w14:textId="77777777" w:rsidR="00160D42" w:rsidRPr="00EB0301" w:rsidRDefault="00160D42" w:rsidP="001A2825">
            <w:pPr>
              <w:spacing w:before="40" w:after="40"/>
              <w:jc w:val="left"/>
              <w:rPr>
                <w:rFonts w:eastAsia="Arial"/>
                <w:iCs/>
                <w:snapToGrid w:val="0"/>
                <w:kern w:val="22"/>
                <w:sz w:val="18"/>
                <w:lang w:val="en-CA" w:eastAsia="ko-KR"/>
              </w:rPr>
            </w:pPr>
            <w:r w:rsidRPr="00EB0301">
              <w:rPr>
                <w:rFonts w:eastAsia="Arial"/>
                <w:iCs/>
                <w:snapToGrid w:val="0"/>
                <w:kern w:val="22"/>
                <w:sz w:val="18"/>
                <w:lang w:val="en-CA" w:eastAsia="ko-KR"/>
              </w:rPr>
              <w:t>Management plans</w:t>
            </w:r>
          </w:p>
          <w:p w14:paraId="424DA256" w14:textId="77777777" w:rsidR="00160D42" w:rsidRPr="00EB0301" w:rsidRDefault="00160D42" w:rsidP="001A2825">
            <w:pPr>
              <w:spacing w:before="40" w:after="40"/>
              <w:jc w:val="left"/>
              <w:rPr>
                <w:rFonts w:eastAsia="Arial"/>
                <w:lang w:val="en-CA"/>
              </w:rPr>
            </w:pPr>
            <w:r w:rsidRPr="00EB0301">
              <w:rPr>
                <w:rFonts w:eastAsia="Arial"/>
                <w:sz w:val="18"/>
                <w:lang w:val="en-CA"/>
              </w:rPr>
              <w:t>Development of methodology for early detection and monitoring</w:t>
            </w:r>
          </w:p>
        </w:tc>
        <w:tc>
          <w:tcPr>
            <w:tcW w:w="511" w:type="pct"/>
            <w:tcBorders>
              <w:bottom w:val="single" w:sz="8" w:space="0" w:color="009242"/>
            </w:tcBorders>
            <w:shd w:val="clear" w:color="auto" w:fill="auto"/>
          </w:tcPr>
          <w:p w14:paraId="3759864C" w14:textId="69FFBC8D" w:rsidR="00160D42" w:rsidRPr="00EB0301" w:rsidRDefault="00160D42" w:rsidP="001A2825">
            <w:pPr>
              <w:spacing w:before="40" w:after="40"/>
              <w:jc w:val="left"/>
              <w:rPr>
                <w:rFonts w:eastAsia="Arial"/>
                <w:lang w:val="en-CA"/>
              </w:rPr>
            </w:pPr>
            <w:r w:rsidRPr="00EB0301">
              <w:rPr>
                <w:rFonts w:eastAsia="Arial"/>
                <w:lang w:val="en-CA"/>
              </w:rPr>
              <w:t>45 (52.3%)</w:t>
            </w:r>
            <w:r w:rsidR="001A2825" w:rsidRPr="00EB0301">
              <w:rPr>
                <w:rFonts w:eastAsia="Arial"/>
                <w:lang w:val="en-CA"/>
              </w:rPr>
              <w:t xml:space="preserve"> across all regions</w:t>
            </w:r>
          </w:p>
        </w:tc>
        <w:tc>
          <w:tcPr>
            <w:tcW w:w="847" w:type="pct"/>
            <w:tcBorders>
              <w:bottom w:val="single" w:sz="8" w:space="0" w:color="009242"/>
            </w:tcBorders>
            <w:shd w:val="clear" w:color="auto" w:fill="auto"/>
          </w:tcPr>
          <w:p w14:paraId="0081EF46" w14:textId="77777777" w:rsidR="00160D42" w:rsidRPr="00EB0301" w:rsidRDefault="00160D42" w:rsidP="001A2825">
            <w:pPr>
              <w:spacing w:before="40" w:after="40"/>
              <w:jc w:val="left"/>
              <w:rPr>
                <w:rFonts w:eastAsia="Arial"/>
                <w:lang w:val="en-CA"/>
              </w:rPr>
            </w:pPr>
            <w:r w:rsidRPr="00EB0301">
              <w:rPr>
                <w:rFonts w:eastAsia="Arial"/>
                <w:lang w:val="en-CA"/>
              </w:rPr>
              <w:t>15 countries (50%)</w:t>
            </w:r>
          </w:p>
          <w:p w14:paraId="13C505DB" w14:textId="77777777" w:rsidR="00160D42" w:rsidRPr="00EB0301" w:rsidRDefault="00160D42" w:rsidP="001A2825">
            <w:pPr>
              <w:tabs>
                <w:tab w:val="left" w:pos="6072"/>
              </w:tabs>
              <w:spacing w:before="40" w:after="40"/>
              <w:jc w:val="left"/>
              <w:rPr>
                <w:rFonts w:eastAsia="Arial"/>
                <w:iCs/>
                <w:snapToGrid w:val="0"/>
                <w:kern w:val="22"/>
                <w:sz w:val="18"/>
                <w:lang w:val="en-CA" w:eastAsia="ko-KR"/>
              </w:rPr>
            </w:pPr>
            <w:r w:rsidRPr="00EB0301">
              <w:rPr>
                <w:rFonts w:eastAsia="Arial"/>
                <w:iCs/>
                <w:snapToGrid w:val="0"/>
                <w:kern w:val="22"/>
                <w:sz w:val="18"/>
                <w:lang w:val="en-CA" w:eastAsia="ko-KR"/>
              </w:rPr>
              <w:t>Botswana, Burkina Faso, Burundi, Cameroon, Egypt, Ethiopia, Ghana, Liberia, Malawi, Senegal, Tunisia, Uganda, Zambia, Zimbabwe</w:t>
            </w:r>
          </w:p>
        </w:tc>
        <w:tc>
          <w:tcPr>
            <w:tcW w:w="847" w:type="pct"/>
            <w:tcBorders>
              <w:bottom w:val="single" w:sz="8" w:space="0" w:color="009242"/>
            </w:tcBorders>
            <w:shd w:val="clear" w:color="auto" w:fill="auto"/>
          </w:tcPr>
          <w:p w14:paraId="087E6998" w14:textId="77777777" w:rsidR="00160D42" w:rsidRPr="00EB0301" w:rsidRDefault="00160D42" w:rsidP="001A2825">
            <w:pPr>
              <w:spacing w:before="40" w:after="40"/>
              <w:jc w:val="left"/>
              <w:rPr>
                <w:rFonts w:eastAsia="Arial"/>
                <w:iCs/>
                <w:snapToGrid w:val="0"/>
                <w:kern w:val="22"/>
                <w:lang w:val="en-CA" w:eastAsia="ko-KR"/>
              </w:rPr>
            </w:pPr>
            <w:r w:rsidRPr="00EB0301">
              <w:rPr>
                <w:rFonts w:eastAsia="Arial"/>
                <w:iCs/>
                <w:snapToGrid w:val="0"/>
                <w:kern w:val="22"/>
                <w:lang w:val="en-CA" w:eastAsia="ko-KR"/>
              </w:rPr>
              <w:t>11 countries (50%)</w:t>
            </w:r>
          </w:p>
          <w:p w14:paraId="74A5B2B0" w14:textId="77777777" w:rsidR="00160D42" w:rsidRPr="00EB0301" w:rsidRDefault="00160D42" w:rsidP="001A2825">
            <w:pPr>
              <w:spacing w:before="40" w:after="40"/>
              <w:jc w:val="left"/>
              <w:rPr>
                <w:rFonts w:eastAsia="Arial"/>
                <w:lang w:val="en-CA"/>
              </w:rPr>
            </w:pPr>
            <w:r w:rsidRPr="00EB0301">
              <w:rPr>
                <w:rFonts w:eastAsia="Arial"/>
                <w:iCs/>
                <w:snapToGrid w:val="0"/>
                <w:kern w:val="22"/>
                <w:sz w:val="18"/>
                <w:lang w:val="en-CA" w:eastAsia="ko-KR"/>
              </w:rPr>
              <w:t>China, Jordan, Kuwait, Malaysia, Mongolia, Myanmar, Nauru, Pakistan, Palau, Solomon Islands, Tuvalu</w:t>
            </w:r>
          </w:p>
        </w:tc>
        <w:tc>
          <w:tcPr>
            <w:tcW w:w="847" w:type="pct"/>
            <w:tcBorders>
              <w:bottom w:val="single" w:sz="8" w:space="0" w:color="009242"/>
            </w:tcBorders>
            <w:shd w:val="clear" w:color="auto" w:fill="auto"/>
          </w:tcPr>
          <w:p w14:paraId="13C4F08E" w14:textId="77777777" w:rsidR="00160D42" w:rsidRPr="00EB0301" w:rsidRDefault="00160D42" w:rsidP="001A2825">
            <w:pPr>
              <w:tabs>
                <w:tab w:val="left" w:pos="1133"/>
              </w:tabs>
              <w:spacing w:before="40" w:after="40"/>
              <w:jc w:val="left"/>
              <w:rPr>
                <w:rFonts w:eastAsia="Arial"/>
                <w:szCs w:val="18"/>
                <w:lang w:val="en-CA"/>
              </w:rPr>
            </w:pPr>
            <w:r w:rsidRPr="00EB0301">
              <w:rPr>
                <w:rFonts w:eastAsia="Arial"/>
                <w:szCs w:val="18"/>
                <w:lang w:val="en-CA"/>
              </w:rPr>
              <w:t xml:space="preserve">3 countries </w:t>
            </w:r>
            <w:r w:rsidRPr="00EB0301">
              <w:rPr>
                <w:rFonts w:eastAsia="Arial"/>
                <w:lang w:val="en-CA"/>
              </w:rPr>
              <w:t>+ IPLCs (30.8%)</w:t>
            </w:r>
          </w:p>
          <w:p w14:paraId="054D34F5" w14:textId="77777777" w:rsidR="00160D42" w:rsidRPr="00EB0301" w:rsidRDefault="00160D42" w:rsidP="001A2825">
            <w:pPr>
              <w:tabs>
                <w:tab w:val="left" w:pos="1133"/>
              </w:tabs>
              <w:spacing w:before="40" w:after="40"/>
              <w:jc w:val="left"/>
              <w:rPr>
                <w:rFonts w:eastAsia="Arial"/>
                <w:sz w:val="18"/>
                <w:szCs w:val="18"/>
                <w:lang w:val="en-CA"/>
              </w:rPr>
            </w:pPr>
            <w:r w:rsidRPr="00EB0301">
              <w:rPr>
                <w:rFonts w:eastAsia="Arial"/>
                <w:sz w:val="18"/>
                <w:szCs w:val="18"/>
                <w:lang w:val="en-CA"/>
              </w:rPr>
              <w:t xml:space="preserve">Georgia, Moldova, Ukraine, </w:t>
            </w:r>
            <w:r w:rsidRPr="00EB0301">
              <w:rPr>
                <w:rFonts w:eastAsia="Arial"/>
                <w:iCs/>
                <w:snapToGrid w:val="0"/>
                <w:kern w:val="22"/>
                <w:sz w:val="18"/>
                <w:szCs w:val="18"/>
                <w:lang w:val="en-CA" w:eastAsia="ko-KR"/>
              </w:rPr>
              <w:t>IPLCs</w:t>
            </w:r>
          </w:p>
          <w:p w14:paraId="7DF54569" w14:textId="77777777" w:rsidR="00160D42" w:rsidRPr="00EB0301" w:rsidRDefault="00160D42" w:rsidP="001A2825">
            <w:pPr>
              <w:spacing w:before="40" w:after="40"/>
              <w:jc w:val="left"/>
              <w:rPr>
                <w:rFonts w:eastAsia="Arial"/>
                <w:lang w:val="en-CA"/>
              </w:rPr>
            </w:pPr>
          </w:p>
        </w:tc>
        <w:tc>
          <w:tcPr>
            <w:tcW w:w="847" w:type="pct"/>
            <w:tcBorders>
              <w:bottom w:val="single" w:sz="8" w:space="0" w:color="009242"/>
            </w:tcBorders>
            <w:shd w:val="clear" w:color="auto" w:fill="auto"/>
          </w:tcPr>
          <w:p w14:paraId="4574C601" w14:textId="77777777" w:rsidR="00160D42" w:rsidRPr="00EB0301" w:rsidRDefault="00160D42" w:rsidP="001A2825">
            <w:pPr>
              <w:tabs>
                <w:tab w:val="left" w:pos="6072"/>
              </w:tabs>
              <w:spacing w:before="40" w:after="40"/>
              <w:jc w:val="left"/>
              <w:rPr>
                <w:rFonts w:eastAsia="Arial"/>
                <w:iCs/>
                <w:snapToGrid w:val="0"/>
                <w:kern w:val="22"/>
                <w:lang w:val="en-CA" w:eastAsia="ko-KR"/>
              </w:rPr>
            </w:pPr>
            <w:r w:rsidRPr="00EB0301">
              <w:rPr>
                <w:rFonts w:eastAsia="Arial"/>
                <w:iCs/>
                <w:snapToGrid w:val="0"/>
                <w:kern w:val="22"/>
                <w:lang w:val="en-CA" w:eastAsia="ko-KR"/>
              </w:rPr>
              <w:t>15 countries (71.4%)</w:t>
            </w:r>
          </w:p>
          <w:p w14:paraId="2BDCEDC1" w14:textId="4AA77A39" w:rsidR="00160D42" w:rsidRPr="00EB0301" w:rsidRDefault="00160D42" w:rsidP="001A2825">
            <w:pPr>
              <w:tabs>
                <w:tab w:val="left" w:pos="6072"/>
              </w:tabs>
              <w:spacing w:before="40" w:after="40"/>
              <w:jc w:val="left"/>
              <w:rPr>
                <w:rFonts w:eastAsia="Arial"/>
                <w:iCs/>
                <w:snapToGrid w:val="0"/>
                <w:kern w:val="22"/>
                <w:sz w:val="18"/>
                <w:lang w:val="en-CA" w:eastAsia="ko-KR"/>
              </w:rPr>
            </w:pPr>
            <w:r w:rsidRPr="00EB0301">
              <w:rPr>
                <w:rFonts w:eastAsia="Arial"/>
                <w:iCs/>
                <w:snapToGrid w:val="0"/>
                <w:kern w:val="22"/>
                <w:sz w:val="18"/>
                <w:lang w:val="en-CA" w:eastAsia="ko-KR"/>
              </w:rPr>
              <w:t>Antigua and Barbuda, Barbados, Brazil, Colombia, Costa Rica, Cuba, Dominican Republic, Ecuador, Guatemala, Mexico, Paraguay, St. Kitts and Nevis, St. Lucia, Uruguay, Venezuela</w:t>
            </w:r>
          </w:p>
        </w:tc>
      </w:tr>
      <w:tr w:rsidR="00160D42" w:rsidRPr="00EB0301" w14:paraId="2FE6EFE4" w14:textId="77777777" w:rsidTr="00C915A6">
        <w:trPr>
          <w:cantSplit/>
        </w:trPr>
        <w:tc>
          <w:tcPr>
            <w:tcW w:w="167" w:type="pct"/>
            <w:tcBorders>
              <w:bottom w:val="single" w:sz="8" w:space="0" w:color="009242"/>
            </w:tcBorders>
            <w:shd w:val="clear" w:color="auto" w:fill="D9D9D9" w:themeFill="background1" w:themeFillShade="D9"/>
          </w:tcPr>
          <w:p w14:paraId="094D7C5D" w14:textId="77777777" w:rsidR="00160D42" w:rsidRPr="00EB0301" w:rsidRDefault="00160D42" w:rsidP="001A2825">
            <w:pPr>
              <w:spacing w:before="40" w:after="40"/>
              <w:jc w:val="left"/>
              <w:rPr>
                <w:rFonts w:eastAsia="Arial"/>
                <w:b/>
                <w:iCs/>
                <w:snapToGrid w:val="0"/>
                <w:kern w:val="22"/>
                <w:lang w:val="en-CA" w:eastAsia="ko-KR"/>
              </w:rPr>
            </w:pPr>
            <w:r w:rsidRPr="00EB0301">
              <w:rPr>
                <w:rFonts w:eastAsia="Arial"/>
                <w:b/>
                <w:iCs/>
                <w:snapToGrid w:val="0"/>
                <w:kern w:val="22"/>
                <w:lang w:val="en-CA" w:eastAsia="ko-KR"/>
              </w:rPr>
              <w:t>2</w:t>
            </w:r>
          </w:p>
        </w:tc>
        <w:tc>
          <w:tcPr>
            <w:tcW w:w="934" w:type="pct"/>
            <w:tcBorders>
              <w:bottom w:val="single" w:sz="8" w:space="0" w:color="009242"/>
            </w:tcBorders>
            <w:shd w:val="clear" w:color="auto" w:fill="D9D9D9" w:themeFill="background1" w:themeFillShade="D9"/>
          </w:tcPr>
          <w:p w14:paraId="7CA8A165" w14:textId="53F0FAAF" w:rsidR="00160D42" w:rsidRPr="00EB0301" w:rsidRDefault="001A2825" w:rsidP="001A2825">
            <w:pPr>
              <w:spacing w:before="40" w:after="40"/>
              <w:jc w:val="left"/>
              <w:rPr>
                <w:rFonts w:eastAsia="Arial"/>
                <w:b/>
                <w:iCs/>
                <w:snapToGrid w:val="0"/>
                <w:kern w:val="22"/>
                <w:lang w:val="en-CA" w:eastAsia="ko-KR"/>
              </w:rPr>
            </w:pPr>
            <w:r w:rsidRPr="00EB0301">
              <w:rPr>
                <w:rFonts w:eastAsia="Arial"/>
                <w:b/>
                <w:iCs/>
                <w:snapToGrid w:val="0"/>
                <w:kern w:val="22"/>
                <w:lang w:val="en-CA" w:eastAsia="ko-KR"/>
              </w:rPr>
              <w:t xml:space="preserve">Protected </w:t>
            </w:r>
            <w:r w:rsidR="00160D42" w:rsidRPr="00EB0301">
              <w:rPr>
                <w:rFonts w:eastAsia="Arial"/>
                <w:b/>
                <w:iCs/>
                <w:snapToGrid w:val="0"/>
                <w:kern w:val="22"/>
                <w:lang w:val="en-CA" w:eastAsia="ko-KR"/>
              </w:rPr>
              <w:t>Areas Management and Tourism</w:t>
            </w:r>
          </w:p>
        </w:tc>
        <w:tc>
          <w:tcPr>
            <w:tcW w:w="511" w:type="pct"/>
            <w:tcBorders>
              <w:bottom w:val="single" w:sz="8" w:space="0" w:color="009242"/>
            </w:tcBorders>
            <w:shd w:val="clear" w:color="auto" w:fill="D9D9D9" w:themeFill="background1" w:themeFillShade="D9"/>
          </w:tcPr>
          <w:p w14:paraId="6C44A6EF" w14:textId="4078D808" w:rsidR="00160D42" w:rsidRPr="00EB0301" w:rsidRDefault="00160D42" w:rsidP="001A2825">
            <w:pPr>
              <w:spacing w:before="40" w:after="40"/>
              <w:jc w:val="left"/>
              <w:rPr>
                <w:rFonts w:eastAsia="Arial"/>
                <w:lang w:val="en-CA"/>
              </w:rPr>
            </w:pPr>
            <w:r w:rsidRPr="00EB0301">
              <w:rPr>
                <w:rFonts w:eastAsia="Arial"/>
                <w:lang w:val="en-CA"/>
              </w:rPr>
              <w:t>38 (44.2%)</w:t>
            </w:r>
            <w:r w:rsidR="001A2825" w:rsidRPr="00EB0301">
              <w:rPr>
                <w:rFonts w:eastAsia="Arial"/>
                <w:lang w:val="en-CA"/>
              </w:rPr>
              <w:t xml:space="preserve"> across all regions</w:t>
            </w:r>
          </w:p>
        </w:tc>
        <w:tc>
          <w:tcPr>
            <w:tcW w:w="847" w:type="pct"/>
            <w:tcBorders>
              <w:bottom w:val="single" w:sz="8" w:space="0" w:color="009242"/>
            </w:tcBorders>
            <w:shd w:val="clear" w:color="auto" w:fill="D9D9D9" w:themeFill="background1" w:themeFillShade="D9"/>
          </w:tcPr>
          <w:p w14:paraId="20C519C9" w14:textId="77777777" w:rsidR="00160D42" w:rsidRPr="00EB0301" w:rsidRDefault="00160D42" w:rsidP="001A2825">
            <w:pPr>
              <w:spacing w:before="40" w:after="40"/>
              <w:jc w:val="left"/>
              <w:rPr>
                <w:rFonts w:eastAsia="Arial"/>
                <w:lang w:val="en-CA"/>
              </w:rPr>
            </w:pPr>
            <w:r w:rsidRPr="00EB0301">
              <w:rPr>
                <w:rFonts w:eastAsia="Arial"/>
                <w:lang w:val="en-CA"/>
              </w:rPr>
              <w:t>15 countries (50%)</w:t>
            </w:r>
          </w:p>
          <w:p w14:paraId="447AEA58" w14:textId="34A58E6D" w:rsidR="00160D42" w:rsidRPr="00EB0301" w:rsidRDefault="00160D42" w:rsidP="001A2825">
            <w:pPr>
              <w:tabs>
                <w:tab w:val="left" w:pos="6072"/>
              </w:tabs>
              <w:spacing w:before="40" w:after="40"/>
              <w:jc w:val="left"/>
              <w:rPr>
                <w:rFonts w:eastAsia="Arial"/>
                <w:iCs/>
                <w:snapToGrid w:val="0"/>
                <w:kern w:val="22"/>
                <w:sz w:val="18"/>
                <w:lang w:val="en-CA" w:eastAsia="ko-KR"/>
              </w:rPr>
            </w:pPr>
            <w:r w:rsidRPr="00EB0301">
              <w:rPr>
                <w:rFonts w:eastAsia="Arial"/>
                <w:iCs/>
                <w:snapToGrid w:val="0"/>
                <w:kern w:val="22"/>
                <w:sz w:val="18"/>
                <w:lang w:val="en-CA" w:eastAsia="ko-KR"/>
              </w:rPr>
              <w:t>Burkina Faso, Chad, Comoros, D</w:t>
            </w:r>
            <w:r w:rsidR="00C915A6" w:rsidRPr="00EB0301">
              <w:rPr>
                <w:rFonts w:eastAsia="Arial"/>
                <w:iCs/>
                <w:snapToGrid w:val="0"/>
                <w:kern w:val="22"/>
                <w:sz w:val="18"/>
                <w:lang w:val="en-CA" w:eastAsia="ko-KR"/>
              </w:rPr>
              <w:t>jibouti, Egypt, Ethiopia, Ghana</w:t>
            </w:r>
            <w:r w:rsidRPr="00EB0301">
              <w:rPr>
                <w:rFonts w:eastAsia="Arial"/>
                <w:iCs/>
                <w:snapToGrid w:val="0"/>
                <w:kern w:val="22"/>
                <w:sz w:val="18"/>
                <w:lang w:val="en-CA" w:eastAsia="ko-KR"/>
              </w:rPr>
              <w:t>, Liberia, Madagascar, Mali, Mozambique, Niger, Senegal, South Africa, Uganda</w:t>
            </w:r>
          </w:p>
        </w:tc>
        <w:tc>
          <w:tcPr>
            <w:tcW w:w="847" w:type="pct"/>
            <w:tcBorders>
              <w:bottom w:val="single" w:sz="8" w:space="0" w:color="009242"/>
            </w:tcBorders>
            <w:shd w:val="clear" w:color="auto" w:fill="D9D9D9" w:themeFill="background1" w:themeFillShade="D9"/>
          </w:tcPr>
          <w:p w14:paraId="3A7CFFE5" w14:textId="77777777" w:rsidR="00160D42" w:rsidRPr="00EB0301" w:rsidRDefault="00160D42" w:rsidP="001A2825">
            <w:pPr>
              <w:spacing w:before="40" w:after="40"/>
              <w:jc w:val="left"/>
              <w:rPr>
                <w:rFonts w:eastAsia="Arial"/>
                <w:iCs/>
                <w:snapToGrid w:val="0"/>
                <w:kern w:val="22"/>
                <w:lang w:val="en-CA" w:eastAsia="ko-KR"/>
              </w:rPr>
            </w:pPr>
            <w:r w:rsidRPr="00EB0301">
              <w:rPr>
                <w:rFonts w:eastAsia="Arial"/>
                <w:iCs/>
                <w:snapToGrid w:val="0"/>
                <w:kern w:val="22"/>
                <w:lang w:val="en-CA" w:eastAsia="ko-KR"/>
              </w:rPr>
              <w:t>7 countries (31.8%)</w:t>
            </w:r>
          </w:p>
          <w:p w14:paraId="6871CA6F" w14:textId="77777777" w:rsidR="00160D42" w:rsidRPr="00EB0301" w:rsidRDefault="00160D42" w:rsidP="001A2825">
            <w:pPr>
              <w:spacing w:before="40" w:after="40"/>
              <w:jc w:val="left"/>
              <w:rPr>
                <w:rFonts w:eastAsia="Arial"/>
                <w:iCs/>
                <w:snapToGrid w:val="0"/>
                <w:kern w:val="22"/>
                <w:lang w:val="en-CA" w:eastAsia="ko-KR"/>
              </w:rPr>
            </w:pPr>
            <w:r w:rsidRPr="00EB0301">
              <w:rPr>
                <w:rFonts w:eastAsia="Arial"/>
                <w:iCs/>
                <w:snapToGrid w:val="0"/>
                <w:kern w:val="22"/>
                <w:sz w:val="18"/>
                <w:lang w:val="en-CA" w:eastAsia="ko-KR"/>
              </w:rPr>
              <w:t xml:space="preserve">China, Jordan, Maldives, Mongolia, Myanmar, Palau, Solomon Islands   </w:t>
            </w:r>
          </w:p>
        </w:tc>
        <w:tc>
          <w:tcPr>
            <w:tcW w:w="847" w:type="pct"/>
            <w:tcBorders>
              <w:bottom w:val="single" w:sz="8" w:space="0" w:color="009242"/>
            </w:tcBorders>
            <w:shd w:val="clear" w:color="auto" w:fill="D9D9D9" w:themeFill="background1" w:themeFillShade="D9"/>
          </w:tcPr>
          <w:p w14:paraId="706FE0C8" w14:textId="77777777" w:rsidR="00160D42" w:rsidRPr="00EB0301" w:rsidRDefault="00160D42" w:rsidP="001A2825">
            <w:pPr>
              <w:tabs>
                <w:tab w:val="left" w:pos="1133"/>
              </w:tabs>
              <w:spacing w:before="40" w:after="40"/>
              <w:jc w:val="left"/>
              <w:rPr>
                <w:rFonts w:eastAsia="Arial"/>
                <w:lang w:val="en-CA"/>
              </w:rPr>
            </w:pPr>
            <w:r w:rsidRPr="00EB0301">
              <w:rPr>
                <w:rFonts w:eastAsia="Arial"/>
                <w:lang w:val="en-CA"/>
              </w:rPr>
              <w:t>3 countries (23.1%)</w:t>
            </w:r>
          </w:p>
          <w:p w14:paraId="0F0F5E68" w14:textId="77777777" w:rsidR="00160D42" w:rsidRPr="00EB0301" w:rsidRDefault="00160D42" w:rsidP="001A2825">
            <w:pPr>
              <w:tabs>
                <w:tab w:val="left" w:pos="1133"/>
              </w:tabs>
              <w:spacing w:before="40" w:after="40"/>
              <w:jc w:val="left"/>
              <w:rPr>
                <w:rFonts w:eastAsia="Arial"/>
                <w:sz w:val="18"/>
                <w:lang w:val="en-CA"/>
              </w:rPr>
            </w:pPr>
            <w:r w:rsidRPr="00EB0301">
              <w:rPr>
                <w:rFonts w:eastAsia="Arial"/>
                <w:sz w:val="18"/>
                <w:lang w:val="en-CA"/>
              </w:rPr>
              <w:t>Azerbaijan, Serbia,</w:t>
            </w:r>
          </w:p>
          <w:p w14:paraId="5BA57819" w14:textId="77777777" w:rsidR="00160D42" w:rsidRPr="00EB0301" w:rsidRDefault="00160D42" w:rsidP="001A2825">
            <w:pPr>
              <w:spacing w:before="40" w:after="40"/>
              <w:jc w:val="left"/>
              <w:rPr>
                <w:rFonts w:eastAsia="Arial"/>
                <w:lang w:val="en-CA"/>
              </w:rPr>
            </w:pPr>
            <w:r w:rsidRPr="00EB0301">
              <w:rPr>
                <w:rFonts w:eastAsia="Arial"/>
                <w:sz w:val="18"/>
                <w:lang w:val="en-CA"/>
              </w:rPr>
              <w:t>Tajikistan</w:t>
            </w:r>
          </w:p>
        </w:tc>
        <w:tc>
          <w:tcPr>
            <w:tcW w:w="847" w:type="pct"/>
            <w:tcBorders>
              <w:bottom w:val="single" w:sz="8" w:space="0" w:color="009242"/>
            </w:tcBorders>
            <w:shd w:val="clear" w:color="auto" w:fill="D9D9D9" w:themeFill="background1" w:themeFillShade="D9"/>
          </w:tcPr>
          <w:p w14:paraId="75FD3963" w14:textId="77777777" w:rsidR="00160D42" w:rsidRPr="00EB0301" w:rsidRDefault="00160D42" w:rsidP="001A2825">
            <w:pPr>
              <w:spacing w:before="40" w:after="40"/>
              <w:jc w:val="left"/>
              <w:rPr>
                <w:rFonts w:eastAsia="Arial"/>
                <w:lang w:val="en-CA"/>
              </w:rPr>
            </w:pPr>
            <w:r w:rsidRPr="00EB0301">
              <w:rPr>
                <w:rFonts w:eastAsia="Arial"/>
                <w:lang w:val="en-CA"/>
              </w:rPr>
              <w:t>12 countries + IPLCs (61.9%)</w:t>
            </w:r>
          </w:p>
          <w:p w14:paraId="0E8F70CC" w14:textId="6860FE3E" w:rsidR="00160D42" w:rsidRPr="00EB0301" w:rsidRDefault="00C915A6" w:rsidP="001A2825">
            <w:pPr>
              <w:spacing w:before="40" w:after="40"/>
              <w:jc w:val="left"/>
              <w:rPr>
                <w:rFonts w:eastAsia="Arial"/>
                <w:iCs/>
                <w:snapToGrid w:val="0"/>
                <w:kern w:val="22"/>
                <w:sz w:val="18"/>
                <w:lang w:val="en-CA" w:eastAsia="ko-KR"/>
              </w:rPr>
            </w:pPr>
            <w:r w:rsidRPr="00EB0301">
              <w:rPr>
                <w:rFonts w:eastAsia="Arial"/>
                <w:iCs/>
                <w:snapToGrid w:val="0"/>
                <w:kern w:val="22"/>
                <w:sz w:val="18"/>
                <w:lang w:val="en-CA" w:eastAsia="ko-KR"/>
              </w:rPr>
              <w:t>Antigua and Barbuda</w:t>
            </w:r>
            <w:r w:rsidR="00160D42" w:rsidRPr="00EB0301">
              <w:rPr>
                <w:rFonts w:eastAsia="Arial"/>
                <w:iCs/>
                <w:snapToGrid w:val="0"/>
                <w:kern w:val="22"/>
                <w:sz w:val="18"/>
                <w:lang w:val="en-CA" w:eastAsia="ko-KR"/>
              </w:rPr>
              <w:t>, Brazil, Colombia, Dominican Republic, Ecuador, Panama, Paraguay, St. Kitts and Nevis, St. Lucia, Suriname, Uruguay, Venezuela, IPLCs</w:t>
            </w:r>
          </w:p>
        </w:tc>
      </w:tr>
      <w:tr w:rsidR="00160D42" w:rsidRPr="00EB0301" w14:paraId="06CD58CA" w14:textId="77777777" w:rsidTr="001A2825">
        <w:trPr>
          <w:cantSplit/>
        </w:trPr>
        <w:tc>
          <w:tcPr>
            <w:tcW w:w="167" w:type="pct"/>
            <w:tcBorders>
              <w:bottom w:val="single" w:sz="8" w:space="0" w:color="009242"/>
            </w:tcBorders>
            <w:shd w:val="clear" w:color="auto" w:fill="auto"/>
          </w:tcPr>
          <w:p w14:paraId="498DD6FE" w14:textId="77777777" w:rsidR="00160D42" w:rsidRPr="00EB0301" w:rsidRDefault="00160D42" w:rsidP="00C915A6">
            <w:pPr>
              <w:spacing w:before="40" w:after="40"/>
              <w:jc w:val="left"/>
              <w:rPr>
                <w:rFonts w:eastAsia="Arial"/>
                <w:b/>
                <w:iCs/>
                <w:snapToGrid w:val="0"/>
                <w:kern w:val="22"/>
                <w:lang w:val="en-CA" w:eastAsia="ko-KR"/>
              </w:rPr>
            </w:pPr>
            <w:r w:rsidRPr="00EB0301">
              <w:rPr>
                <w:rFonts w:eastAsia="Arial"/>
                <w:b/>
                <w:iCs/>
                <w:snapToGrid w:val="0"/>
                <w:kern w:val="22"/>
                <w:lang w:val="en-CA" w:eastAsia="ko-KR"/>
              </w:rPr>
              <w:t>3</w:t>
            </w:r>
          </w:p>
        </w:tc>
        <w:tc>
          <w:tcPr>
            <w:tcW w:w="934" w:type="pct"/>
            <w:tcBorders>
              <w:bottom w:val="single" w:sz="8" w:space="0" w:color="009242"/>
            </w:tcBorders>
            <w:shd w:val="clear" w:color="auto" w:fill="auto"/>
          </w:tcPr>
          <w:p w14:paraId="617DADF5" w14:textId="77777777" w:rsidR="00160D42" w:rsidRPr="00EB0301" w:rsidRDefault="00160D42" w:rsidP="00C915A6">
            <w:pPr>
              <w:spacing w:before="40" w:after="40"/>
              <w:jc w:val="left"/>
              <w:rPr>
                <w:rFonts w:eastAsia="Arial"/>
                <w:b/>
                <w:iCs/>
                <w:snapToGrid w:val="0"/>
                <w:kern w:val="22"/>
                <w:lang w:val="en-CA" w:eastAsia="ko-KR"/>
              </w:rPr>
            </w:pPr>
            <w:r w:rsidRPr="00EB0301">
              <w:rPr>
                <w:rFonts w:eastAsia="Arial"/>
                <w:b/>
                <w:iCs/>
                <w:snapToGrid w:val="0"/>
                <w:kern w:val="22"/>
                <w:lang w:val="en-CA" w:eastAsia="ko-KR"/>
              </w:rPr>
              <w:t>Access and Benefit-Sharing</w:t>
            </w:r>
          </w:p>
          <w:p w14:paraId="2D87681F" w14:textId="77777777" w:rsidR="00160D42" w:rsidRPr="00EB0301" w:rsidRDefault="00160D42" w:rsidP="00C915A6">
            <w:pPr>
              <w:spacing w:before="40" w:after="40"/>
              <w:jc w:val="left"/>
              <w:rPr>
                <w:rFonts w:eastAsia="Arial"/>
                <w:iCs/>
                <w:snapToGrid w:val="0"/>
                <w:kern w:val="22"/>
                <w:sz w:val="18"/>
                <w:lang w:val="en-CA" w:eastAsia="ko-KR"/>
              </w:rPr>
            </w:pPr>
            <w:r w:rsidRPr="00EB0301">
              <w:rPr>
                <w:rFonts w:eastAsia="Arial"/>
                <w:iCs/>
                <w:snapToGrid w:val="0"/>
                <w:kern w:val="22"/>
                <w:sz w:val="18"/>
                <w:lang w:val="en-CA" w:eastAsia="ko-KR"/>
              </w:rPr>
              <w:t>Inventory of genetic resources</w:t>
            </w:r>
          </w:p>
          <w:p w14:paraId="3EB2381E" w14:textId="77777777" w:rsidR="00160D42" w:rsidRPr="00EB0301" w:rsidRDefault="00160D42" w:rsidP="00C915A6">
            <w:pPr>
              <w:spacing w:before="40" w:after="40"/>
              <w:jc w:val="left"/>
              <w:rPr>
                <w:rFonts w:eastAsia="Arial"/>
                <w:lang w:val="en-CA"/>
              </w:rPr>
            </w:pPr>
            <w:r w:rsidRPr="00EB0301">
              <w:rPr>
                <w:rFonts w:eastAsia="Arial"/>
                <w:iCs/>
                <w:snapToGrid w:val="0"/>
                <w:kern w:val="22"/>
                <w:sz w:val="18"/>
                <w:lang w:val="en-CA" w:eastAsia="ko-KR"/>
              </w:rPr>
              <w:t>Bioprospecting</w:t>
            </w:r>
          </w:p>
        </w:tc>
        <w:tc>
          <w:tcPr>
            <w:tcW w:w="511" w:type="pct"/>
            <w:tcBorders>
              <w:bottom w:val="single" w:sz="8" w:space="0" w:color="009242"/>
            </w:tcBorders>
            <w:shd w:val="clear" w:color="auto" w:fill="auto"/>
          </w:tcPr>
          <w:p w14:paraId="26997899" w14:textId="77777777" w:rsidR="00160D42" w:rsidRPr="00EB0301" w:rsidRDefault="00160D42" w:rsidP="00C915A6">
            <w:pPr>
              <w:spacing w:before="40" w:after="40"/>
              <w:jc w:val="left"/>
              <w:rPr>
                <w:rFonts w:eastAsia="Arial"/>
                <w:lang w:val="en-CA"/>
              </w:rPr>
            </w:pPr>
            <w:r w:rsidRPr="00EB0301">
              <w:rPr>
                <w:rFonts w:eastAsia="Arial"/>
                <w:lang w:val="en-CA"/>
              </w:rPr>
              <w:t>35 (40.7%)</w:t>
            </w:r>
          </w:p>
          <w:p w14:paraId="561F9BFB" w14:textId="68B4547B" w:rsidR="00C915A6" w:rsidRPr="00EB0301" w:rsidRDefault="00C915A6" w:rsidP="00C915A6">
            <w:pPr>
              <w:spacing w:before="40" w:after="40"/>
              <w:jc w:val="left"/>
              <w:rPr>
                <w:rFonts w:eastAsia="Arial"/>
                <w:lang w:val="en-CA"/>
              </w:rPr>
            </w:pPr>
            <w:r w:rsidRPr="00EB0301">
              <w:rPr>
                <w:rFonts w:eastAsia="Arial"/>
                <w:lang w:val="en-CA"/>
              </w:rPr>
              <w:t>across all regions</w:t>
            </w:r>
          </w:p>
        </w:tc>
        <w:tc>
          <w:tcPr>
            <w:tcW w:w="847" w:type="pct"/>
            <w:tcBorders>
              <w:bottom w:val="single" w:sz="8" w:space="0" w:color="009242"/>
            </w:tcBorders>
            <w:shd w:val="clear" w:color="auto" w:fill="auto"/>
          </w:tcPr>
          <w:p w14:paraId="15AFD828" w14:textId="77777777" w:rsidR="00160D42" w:rsidRPr="00EB0301" w:rsidRDefault="00160D42" w:rsidP="00C915A6">
            <w:pPr>
              <w:spacing w:before="40" w:after="40"/>
              <w:jc w:val="left"/>
              <w:rPr>
                <w:rFonts w:eastAsia="Arial"/>
                <w:lang w:val="en-CA"/>
              </w:rPr>
            </w:pPr>
            <w:r w:rsidRPr="00EB0301">
              <w:rPr>
                <w:rFonts w:eastAsia="Arial"/>
                <w:lang w:val="en-CA"/>
              </w:rPr>
              <w:t>18 countries (60%)</w:t>
            </w:r>
          </w:p>
          <w:p w14:paraId="1604468F" w14:textId="77777777" w:rsidR="00160D42" w:rsidRPr="00EB0301" w:rsidRDefault="00160D42" w:rsidP="00C915A6">
            <w:pPr>
              <w:tabs>
                <w:tab w:val="left" w:pos="6072"/>
              </w:tabs>
              <w:spacing w:before="40" w:after="40"/>
              <w:jc w:val="left"/>
              <w:rPr>
                <w:rFonts w:eastAsia="Arial"/>
                <w:iCs/>
                <w:snapToGrid w:val="0"/>
                <w:kern w:val="22"/>
                <w:sz w:val="18"/>
                <w:szCs w:val="18"/>
                <w:lang w:val="en-CA" w:eastAsia="ko-KR"/>
              </w:rPr>
            </w:pPr>
            <w:r w:rsidRPr="00EB0301">
              <w:rPr>
                <w:rFonts w:eastAsia="Arial"/>
                <w:iCs/>
                <w:snapToGrid w:val="0"/>
                <w:kern w:val="22"/>
                <w:sz w:val="18"/>
                <w:szCs w:val="18"/>
                <w:lang w:val="en-CA" w:eastAsia="ko-KR"/>
              </w:rPr>
              <w:t xml:space="preserve">Botswana, </w:t>
            </w:r>
            <w:r w:rsidRPr="00EB0301">
              <w:rPr>
                <w:rFonts w:eastAsia="Arial"/>
                <w:iCs/>
                <w:snapToGrid w:val="0"/>
                <w:kern w:val="22"/>
                <w:sz w:val="18"/>
                <w:lang w:val="en-CA" w:eastAsia="ko-KR"/>
              </w:rPr>
              <w:t>Burkina Faso</w:t>
            </w:r>
            <w:r w:rsidRPr="00EB0301">
              <w:rPr>
                <w:rFonts w:eastAsia="Arial"/>
                <w:iCs/>
                <w:snapToGrid w:val="0"/>
                <w:kern w:val="22"/>
                <w:sz w:val="18"/>
                <w:szCs w:val="18"/>
                <w:lang w:val="en-CA" w:eastAsia="ko-KR"/>
              </w:rPr>
              <w:t xml:space="preserve">, </w:t>
            </w:r>
            <w:r w:rsidRPr="00EB0301">
              <w:rPr>
                <w:rFonts w:eastAsia="Arial"/>
                <w:iCs/>
                <w:snapToGrid w:val="0"/>
                <w:kern w:val="22"/>
                <w:sz w:val="18"/>
                <w:lang w:val="en-CA" w:eastAsia="ko-KR"/>
              </w:rPr>
              <w:t>Burundi, Chad, Comoros, Djibouti,</w:t>
            </w:r>
            <w:r w:rsidRPr="00EB0301">
              <w:rPr>
                <w:rFonts w:eastAsia="Arial"/>
                <w:iCs/>
                <w:snapToGrid w:val="0"/>
                <w:kern w:val="22"/>
                <w:sz w:val="18"/>
                <w:szCs w:val="18"/>
                <w:lang w:val="en-CA" w:eastAsia="ko-KR"/>
              </w:rPr>
              <w:t xml:space="preserve"> </w:t>
            </w:r>
            <w:r w:rsidRPr="00EB0301">
              <w:rPr>
                <w:rFonts w:eastAsia="Arial"/>
                <w:iCs/>
                <w:snapToGrid w:val="0"/>
                <w:kern w:val="22"/>
                <w:sz w:val="18"/>
                <w:lang w:val="en-CA" w:eastAsia="ko-KR"/>
              </w:rPr>
              <w:t>Egypt</w:t>
            </w:r>
            <w:r w:rsidRPr="00EB0301">
              <w:rPr>
                <w:rFonts w:eastAsia="Arial"/>
                <w:iCs/>
                <w:snapToGrid w:val="0"/>
                <w:kern w:val="22"/>
                <w:sz w:val="18"/>
                <w:szCs w:val="18"/>
                <w:lang w:val="en-CA" w:eastAsia="ko-KR"/>
              </w:rPr>
              <w:t xml:space="preserve">, </w:t>
            </w:r>
            <w:r w:rsidRPr="00EB0301">
              <w:rPr>
                <w:rFonts w:eastAsia="Arial"/>
                <w:iCs/>
                <w:snapToGrid w:val="0"/>
                <w:kern w:val="22"/>
                <w:sz w:val="18"/>
                <w:lang w:val="en-CA" w:eastAsia="ko-KR"/>
              </w:rPr>
              <w:t>Madagascar</w:t>
            </w:r>
            <w:r w:rsidRPr="00EB0301">
              <w:rPr>
                <w:rFonts w:eastAsia="Arial"/>
                <w:iCs/>
                <w:snapToGrid w:val="0"/>
                <w:kern w:val="22"/>
                <w:sz w:val="18"/>
                <w:szCs w:val="18"/>
                <w:lang w:val="en-CA" w:eastAsia="ko-KR"/>
              </w:rPr>
              <w:t xml:space="preserve">, </w:t>
            </w:r>
            <w:r w:rsidRPr="00EB0301">
              <w:rPr>
                <w:rFonts w:eastAsia="Arial"/>
                <w:iCs/>
                <w:snapToGrid w:val="0"/>
                <w:kern w:val="22"/>
                <w:sz w:val="18"/>
                <w:lang w:val="en-CA" w:eastAsia="ko-KR"/>
              </w:rPr>
              <w:t>Malawi</w:t>
            </w:r>
            <w:r w:rsidRPr="00EB0301">
              <w:rPr>
                <w:rFonts w:eastAsia="Arial"/>
                <w:iCs/>
                <w:snapToGrid w:val="0"/>
                <w:kern w:val="22"/>
                <w:sz w:val="18"/>
                <w:szCs w:val="18"/>
                <w:lang w:val="en-CA" w:eastAsia="ko-KR"/>
              </w:rPr>
              <w:t xml:space="preserve">, </w:t>
            </w:r>
            <w:r w:rsidRPr="00EB0301">
              <w:rPr>
                <w:rFonts w:eastAsia="Arial"/>
                <w:iCs/>
                <w:snapToGrid w:val="0"/>
                <w:kern w:val="22"/>
                <w:sz w:val="18"/>
                <w:lang w:val="en-CA" w:eastAsia="ko-KR"/>
              </w:rPr>
              <w:t>Mali</w:t>
            </w:r>
            <w:r w:rsidRPr="00EB0301">
              <w:rPr>
                <w:rFonts w:eastAsia="Arial"/>
                <w:iCs/>
                <w:snapToGrid w:val="0"/>
                <w:kern w:val="22"/>
                <w:sz w:val="18"/>
                <w:szCs w:val="18"/>
                <w:lang w:val="en-CA" w:eastAsia="ko-KR"/>
              </w:rPr>
              <w:t xml:space="preserve">, </w:t>
            </w:r>
            <w:r w:rsidRPr="00EB0301">
              <w:rPr>
                <w:rFonts w:eastAsia="Arial"/>
                <w:iCs/>
                <w:snapToGrid w:val="0"/>
                <w:kern w:val="22"/>
                <w:sz w:val="18"/>
                <w:lang w:val="en-CA" w:eastAsia="ko-KR"/>
              </w:rPr>
              <w:t>Mozambique</w:t>
            </w:r>
            <w:r w:rsidRPr="00EB0301">
              <w:rPr>
                <w:rFonts w:eastAsia="Arial"/>
                <w:iCs/>
                <w:snapToGrid w:val="0"/>
                <w:kern w:val="22"/>
                <w:sz w:val="18"/>
                <w:szCs w:val="18"/>
                <w:lang w:val="en-CA" w:eastAsia="ko-KR"/>
              </w:rPr>
              <w:t xml:space="preserve">, </w:t>
            </w:r>
            <w:r w:rsidRPr="00EB0301">
              <w:rPr>
                <w:rFonts w:eastAsia="Arial"/>
                <w:iCs/>
                <w:snapToGrid w:val="0"/>
                <w:kern w:val="22"/>
                <w:sz w:val="18"/>
                <w:lang w:val="en-CA" w:eastAsia="ko-KR"/>
              </w:rPr>
              <w:t>Niger</w:t>
            </w:r>
            <w:r w:rsidRPr="00EB0301">
              <w:rPr>
                <w:rFonts w:eastAsia="Arial"/>
                <w:iCs/>
                <w:snapToGrid w:val="0"/>
                <w:kern w:val="22"/>
                <w:sz w:val="18"/>
                <w:szCs w:val="18"/>
                <w:lang w:val="en-CA" w:eastAsia="ko-KR"/>
              </w:rPr>
              <w:t xml:space="preserve">, </w:t>
            </w:r>
            <w:r w:rsidRPr="00EB0301">
              <w:rPr>
                <w:rFonts w:eastAsia="Arial"/>
                <w:iCs/>
                <w:snapToGrid w:val="0"/>
                <w:kern w:val="22"/>
                <w:sz w:val="18"/>
                <w:lang w:val="en-CA" w:eastAsia="ko-KR"/>
              </w:rPr>
              <w:t>Senegal</w:t>
            </w:r>
            <w:r w:rsidRPr="00EB0301">
              <w:rPr>
                <w:rFonts w:eastAsia="Arial"/>
                <w:iCs/>
                <w:snapToGrid w:val="0"/>
                <w:kern w:val="22"/>
                <w:sz w:val="18"/>
                <w:szCs w:val="18"/>
                <w:lang w:val="en-CA" w:eastAsia="ko-KR"/>
              </w:rPr>
              <w:t xml:space="preserve">, </w:t>
            </w:r>
            <w:r w:rsidRPr="00EB0301">
              <w:rPr>
                <w:rFonts w:eastAsia="Arial"/>
                <w:iCs/>
                <w:snapToGrid w:val="0"/>
                <w:kern w:val="22"/>
                <w:sz w:val="18"/>
                <w:lang w:val="en-CA" w:eastAsia="ko-KR"/>
              </w:rPr>
              <w:t>Sierra Leone, South Africa,</w:t>
            </w:r>
            <w:r w:rsidRPr="00EB0301">
              <w:rPr>
                <w:rFonts w:eastAsia="Arial"/>
                <w:iCs/>
                <w:snapToGrid w:val="0"/>
                <w:kern w:val="22"/>
                <w:sz w:val="18"/>
                <w:szCs w:val="18"/>
                <w:lang w:val="en-CA" w:eastAsia="ko-KR"/>
              </w:rPr>
              <w:t xml:space="preserve"> </w:t>
            </w:r>
            <w:r w:rsidRPr="00EB0301">
              <w:rPr>
                <w:rFonts w:eastAsia="Arial"/>
                <w:iCs/>
                <w:snapToGrid w:val="0"/>
                <w:kern w:val="22"/>
                <w:sz w:val="18"/>
                <w:lang w:val="en-CA" w:eastAsia="ko-KR"/>
              </w:rPr>
              <w:t>Tunisia, Uganda, Zambia</w:t>
            </w:r>
          </w:p>
        </w:tc>
        <w:tc>
          <w:tcPr>
            <w:tcW w:w="847" w:type="pct"/>
            <w:tcBorders>
              <w:bottom w:val="single" w:sz="8" w:space="0" w:color="009242"/>
            </w:tcBorders>
            <w:shd w:val="clear" w:color="auto" w:fill="auto"/>
          </w:tcPr>
          <w:p w14:paraId="3D138F20" w14:textId="77777777" w:rsidR="00160D42" w:rsidRPr="00EB0301" w:rsidRDefault="00160D42" w:rsidP="00C915A6">
            <w:pPr>
              <w:spacing w:before="40" w:after="40"/>
              <w:jc w:val="left"/>
              <w:rPr>
                <w:rFonts w:eastAsia="Arial"/>
                <w:iCs/>
                <w:snapToGrid w:val="0"/>
                <w:kern w:val="22"/>
                <w:lang w:val="en-CA" w:eastAsia="ko-KR"/>
              </w:rPr>
            </w:pPr>
            <w:r w:rsidRPr="00EB0301">
              <w:rPr>
                <w:rFonts w:eastAsia="Arial"/>
                <w:iCs/>
                <w:snapToGrid w:val="0"/>
                <w:kern w:val="22"/>
                <w:lang w:val="en-CA" w:eastAsia="ko-KR"/>
              </w:rPr>
              <w:t>8 countries (36.3%)</w:t>
            </w:r>
          </w:p>
          <w:p w14:paraId="32669ACA" w14:textId="77777777" w:rsidR="00160D42" w:rsidRPr="00EB0301" w:rsidRDefault="00160D42" w:rsidP="00C915A6">
            <w:pPr>
              <w:spacing w:before="40" w:after="40"/>
              <w:jc w:val="left"/>
              <w:rPr>
                <w:rFonts w:eastAsia="Arial"/>
                <w:lang w:val="en-CA"/>
              </w:rPr>
            </w:pPr>
            <w:r w:rsidRPr="00EB0301">
              <w:rPr>
                <w:rFonts w:eastAsia="Arial"/>
                <w:iCs/>
                <w:snapToGrid w:val="0"/>
                <w:kern w:val="22"/>
                <w:sz w:val="18"/>
                <w:lang w:val="en-CA" w:eastAsia="ko-KR"/>
              </w:rPr>
              <w:t>Bangladesh, Bhutan, India, Iraq, Jordan, Maldives, Mongolia, Pakistan</w:t>
            </w:r>
          </w:p>
        </w:tc>
        <w:tc>
          <w:tcPr>
            <w:tcW w:w="847" w:type="pct"/>
            <w:tcBorders>
              <w:bottom w:val="single" w:sz="8" w:space="0" w:color="009242"/>
            </w:tcBorders>
            <w:shd w:val="clear" w:color="auto" w:fill="auto"/>
          </w:tcPr>
          <w:p w14:paraId="254CFAE5" w14:textId="77777777" w:rsidR="00160D42" w:rsidRPr="00EB0301" w:rsidRDefault="00160D42" w:rsidP="00C915A6">
            <w:pPr>
              <w:tabs>
                <w:tab w:val="left" w:pos="1133"/>
              </w:tabs>
              <w:spacing w:before="40" w:after="40"/>
              <w:jc w:val="left"/>
              <w:rPr>
                <w:rFonts w:eastAsia="Arial"/>
                <w:lang w:val="en-CA"/>
              </w:rPr>
            </w:pPr>
            <w:r w:rsidRPr="00EB0301">
              <w:rPr>
                <w:rFonts w:eastAsia="Arial"/>
                <w:lang w:val="en-CA"/>
              </w:rPr>
              <w:t>1 country (7.7%)</w:t>
            </w:r>
          </w:p>
          <w:p w14:paraId="1541EFEC" w14:textId="77777777" w:rsidR="00160D42" w:rsidRPr="00EB0301" w:rsidRDefault="00160D42" w:rsidP="00C915A6">
            <w:pPr>
              <w:tabs>
                <w:tab w:val="left" w:pos="1133"/>
              </w:tabs>
              <w:spacing w:before="40" w:after="40"/>
              <w:jc w:val="left"/>
              <w:rPr>
                <w:rFonts w:eastAsia="Arial"/>
                <w:sz w:val="18"/>
                <w:lang w:val="en-CA"/>
              </w:rPr>
            </w:pPr>
            <w:r w:rsidRPr="00EB0301">
              <w:rPr>
                <w:rFonts w:eastAsia="Arial"/>
                <w:sz w:val="18"/>
                <w:lang w:val="en-CA"/>
              </w:rPr>
              <w:t>Turkmenistan</w:t>
            </w:r>
          </w:p>
          <w:p w14:paraId="1D9DE436" w14:textId="77777777" w:rsidR="00160D42" w:rsidRPr="00EB0301" w:rsidRDefault="00160D42" w:rsidP="00C915A6">
            <w:pPr>
              <w:spacing w:before="40" w:after="40"/>
              <w:jc w:val="left"/>
              <w:rPr>
                <w:rFonts w:eastAsia="Arial"/>
                <w:lang w:val="en-CA"/>
              </w:rPr>
            </w:pPr>
          </w:p>
        </w:tc>
        <w:tc>
          <w:tcPr>
            <w:tcW w:w="847" w:type="pct"/>
            <w:tcBorders>
              <w:bottom w:val="single" w:sz="8" w:space="0" w:color="009242"/>
            </w:tcBorders>
            <w:shd w:val="clear" w:color="auto" w:fill="auto"/>
          </w:tcPr>
          <w:p w14:paraId="4D48BD4A" w14:textId="77777777" w:rsidR="00160D42" w:rsidRPr="00EB0301" w:rsidRDefault="00160D42" w:rsidP="00C915A6">
            <w:pPr>
              <w:spacing w:before="40" w:after="40"/>
              <w:jc w:val="left"/>
              <w:rPr>
                <w:rFonts w:eastAsia="Arial"/>
                <w:lang w:val="en-CA"/>
              </w:rPr>
            </w:pPr>
            <w:r w:rsidRPr="00EB0301">
              <w:rPr>
                <w:rFonts w:eastAsia="Arial"/>
                <w:lang w:val="en-CA"/>
              </w:rPr>
              <w:t>7 countries + IPLCs (38.1%)</w:t>
            </w:r>
          </w:p>
          <w:p w14:paraId="7A929945" w14:textId="77777777" w:rsidR="00160D42" w:rsidRPr="00EB0301" w:rsidRDefault="00160D42" w:rsidP="00C915A6">
            <w:pPr>
              <w:tabs>
                <w:tab w:val="left" w:pos="6072"/>
              </w:tabs>
              <w:spacing w:before="40" w:after="40"/>
              <w:jc w:val="left"/>
              <w:rPr>
                <w:rFonts w:eastAsia="Arial"/>
                <w:iCs/>
                <w:snapToGrid w:val="0"/>
                <w:kern w:val="22"/>
                <w:sz w:val="18"/>
                <w:lang w:val="en-CA" w:eastAsia="ko-KR"/>
              </w:rPr>
            </w:pPr>
            <w:r w:rsidRPr="00EB0301">
              <w:rPr>
                <w:rFonts w:eastAsia="Arial"/>
                <w:iCs/>
                <w:snapToGrid w:val="0"/>
                <w:kern w:val="22"/>
                <w:sz w:val="18"/>
                <w:lang w:val="en-CA" w:eastAsia="ko-KR"/>
              </w:rPr>
              <w:t>Barbados, Belize, Ecuador</w:t>
            </w:r>
          </w:p>
          <w:p w14:paraId="650EE0A7" w14:textId="77777777" w:rsidR="00160D42" w:rsidRPr="00EB0301" w:rsidRDefault="00160D42" w:rsidP="00C915A6">
            <w:pPr>
              <w:tabs>
                <w:tab w:val="left" w:pos="6072"/>
              </w:tabs>
              <w:spacing w:before="40" w:after="40"/>
              <w:jc w:val="left"/>
              <w:rPr>
                <w:rFonts w:eastAsia="Arial"/>
                <w:iCs/>
                <w:snapToGrid w:val="0"/>
                <w:kern w:val="22"/>
                <w:sz w:val="18"/>
                <w:lang w:val="en-CA" w:eastAsia="ko-KR"/>
              </w:rPr>
            </w:pPr>
            <w:r w:rsidRPr="00EB0301">
              <w:rPr>
                <w:rFonts w:eastAsia="Arial"/>
                <w:iCs/>
                <w:snapToGrid w:val="0"/>
                <w:kern w:val="22"/>
                <w:sz w:val="18"/>
                <w:lang w:val="en-CA" w:eastAsia="ko-KR"/>
              </w:rPr>
              <w:t>El Salvador, Guatemala, Panama, Paraguay, St. Lucia, IPLCs</w:t>
            </w:r>
          </w:p>
        </w:tc>
      </w:tr>
      <w:tr w:rsidR="00160D42" w:rsidRPr="00EB0301" w14:paraId="2C8514EB" w14:textId="77777777" w:rsidTr="00C915A6">
        <w:trPr>
          <w:cantSplit/>
        </w:trPr>
        <w:tc>
          <w:tcPr>
            <w:tcW w:w="167" w:type="pct"/>
            <w:tcBorders>
              <w:bottom w:val="single" w:sz="8" w:space="0" w:color="009242"/>
            </w:tcBorders>
            <w:shd w:val="clear" w:color="auto" w:fill="D9D9D9" w:themeFill="background1" w:themeFillShade="D9"/>
          </w:tcPr>
          <w:p w14:paraId="0ED3E300" w14:textId="77777777" w:rsidR="00160D42" w:rsidRPr="00EB0301" w:rsidRDefault="00160D42" w:rsidP="00C915A6">
            <w:pPr>
              <w:spacing w:before="40" w:after="40"/>
              <w:jc w:val="left"/>
              <w:rPr>
                <w:rFonts w:eastAsia="Arial"/>
                <w:b/>
                <w:iCs/>
                <w:snapToGrid w:val="0"/>
                <w:kern w:val="22"/>
                <w:lang w:val="en-CA" w:eastAsia="ko-KR"/>
              </w:rPr>
            </w:pPr>
            <w:r w:rsidRPr="00EB0301">
              <w:rPr>
                <w:rFonts w:eastAsia="Arial"/>
                <w:b/>
                <w:iCs/>
                <w:snapToGrid w:val="0"/>
                <w:kern w:val="22"/>
                <w:lang w:val="en-CA" w:eastAsia="ko-KR"/>
              </w:rPr>
              <w:t>4</w:t>
            </w:r>
          </w:p>
        </w:tc>
        <w:tc>
          <w:tcPr>
            <w:tcW w:w="934" w:type="pct"/>
            <w:tcBorders>
              <w:bottom w:val="single" w:sz="8" w:space="0" w:color="009242"/>
            </w:tcBorders>
            <w:shd w:val="clear" w:color="auto" w:fill="D9D9D9" w:themeFill="background1" w:themeFillShade="D9"/>
          </w:tcPr>
          <w:p w14:paraId="71B83184" w14:textId="77777777" w:rsidR="00160D42" w:rsidRPr="00EB0301" w:rsidRDefault="00160D42" w:rsidP="00C915A6">
            <w:pPr>
              <w:spacing w:before="40" w:after="40"/>
              <w:jc w:val="left"/>
              <w:rPr>
                <w:rFonts w:eastAsia="Arial"/>
                <w:b/>
                <w:iCs/>
                <w:snapToGrid w:val="0"/>
                <w:kern w:val="22"/>
                <w:lang w:val="en-CA" w:eastAsia="ko-KR"/>
              </w:rPr>
            </w:pPr>
            <w:r w:rsidRPr="00EB0301">
              <w:rPr>
                <w:rFonts w:eastAsia="Arial"/>
                <w:b/>
                <w:iCs/>
                <w:snapToGrid w:val="0"/>
                <w:kern w:val="22"/>
                <w:lang w:val="en-CA" w:eastAsia="ko-KR"/>
              </w:rPr>
              <w:t xml:space="preserve">Biodiversity Monitoring and Assessment </w:t>
            </w:r>
          </w:p>
          <w:p w14:paraId="42508FD6" w14:textId="77777777" w:rsidR="00160D42" w:rsidRPr="00EB0301" w:rsidRDefault="00160D42" w:rsidP="00C915A6">
            <w:pPr>
              <w:spacing w:before="40" w:after="40"/>
              <w:jc w:val="left"/>
              <w:rPr>
                <w:rFonts w:eastAsia="Arial"/>
                <w:iCs/>
                <w:snapToGrid w:val="0"/>
                <w:kern w:val="22"/>
                <w:sz w:val="18"/>
                <w:lang w:val="en-CA" w:eastAsia="ko-KR"/>
              </w:rPr>
            </w:pPr>
            <w:r w:rsidRPr="00EB0301">
              <w:rPr>
                <w:rFonts w:eastAsia="Arial"/>
                <w:iCs/>
                <w:snapToGrid w:val="0"/>
                <w:kern w:val="22"/>
                <w:sz w:val="18"/>
                <w:lang w:val="en-CA" w:eastAsia="ko-KR"/>
              </w:rPr>
              <w:t>Systems, mechanisms and tools/technologies</w:t>
            </w:r>
          </w:p>
          <w:p w14:paraId="27AADA63" w14:textId="77777777" w:rsidR="00160D42" w:rsidRPr="00EB0301" w:rsidRDefault="00160D42" w:rsidP="00C915A6">
            <w:pPr>
              <w:spacing w:before="40" w:after="40"/>
              <w:jc w:val="left"/>
              <w:rPr>
                <w:rFonts w:eastAsia="Arial"/>
                <w:iCs/>
                <w:snapToGrid w:val="0"/>
                <w:kern w:val="22"/>
                <w:lang w:val="en-CA" w:eastAsia="ko-KR"/>
              </w:rPr>
            </w:pPr>
            <w:r w:rsidRPr="00EB0301">
              <w:rPr>
                <w:rFonts w:eastAsia="Arial"/>
                <w:iCs/>
                <w:snapToGrid w:val="0"/>
                <w:kern w:val="22"/>
                <w:sz w:val="18"/>
                <w:lang w:val="en-CA" w:eastAsia="ko-KR"/>
              </w:rPr>
              <w:t>DNA barcoding</w:t>
            </w:r>
          </w:p>
        </w:tc>
        <w:tc>
          <w:tcPr>
            <w:tcW w:w="511" w:type="pct"/>
            <w:tcBorders>
              <w:bottom w:val="single" w:sz="8" w:space="0" w:color="009242"/>
            </w:tcBorders>
            <w:shd w:val="clear" w:color="auto" w:fill="D9D9D9" w:themeFill="background1" w:themeFillShade="D9"/>
          </w:tcPr>
          <w:p w14:paraId="1F51D0A3" w14:textId="77777777" w:rsidR="00160D42" w:rsidRPr="00EB0301" w:rsidRDefault="00160D42" w:rsidP="00C915A6">
            <w:pPr>
              <w:spacing w:before="40" w:after="40"/>
              <w:jc w:val="left"/>
              <w:rPr>
                <w:rFonts w:eastAsia="Arial"/>
                <w:lang w:val="en-CA"/>
              </w:rPr>
            </w:pPr>
            <w:r w:rsidRPr="00EB0301">
              <w:rPr>
                <w:rFonts w:eastAsia="Arial"/>
                <w:lang w:val="en-CA"/>
              </w:rPr>
              <w:t>32 (37.2%)</w:t>
            </w:r>
          </w:p>
          <w:p w14:paraId="6088D30B" w14:textId="20BDBB1C" w:rsidR="00C915A6" w:rsidRPr="00EB0301" w:rsidRDefault="00C915A6" w:rsidP="00C915A6">
            <w:pPr>
              <w:spacing w:before="40" w:after="40"/>
              <w:jc w:val="left"/>
              <w:rPr>
                <w:rFonts w:eastAsia="Arial"/>
                <w:lang w:val="en-CA"/>
              </w:rPr>
            </w:pPr>
            <w:r w:rsidRPr="00EB0301">
              <w:rPr>
                <w:rFonts w:eastAsia="Arial"/>
                <w:lang w:val="en-CA"/>
              </w:rPr>
              <w:t>across all regions</w:t>
            </w:r>
          </w:p>
        </w:tc>
        <w:tc>
          <w:tcPr>
            <w:tcW w:w="847" w:type="pct"/>
            <w:tcBorders>
              <w:bottom w:val="single" w:sz="8" w:space="0" w:color="009242"/>
            </w:tcBorders>
            <w:shd w:val="clear" w:color="auto" w:fill="D9D9D9" w:themeFill="background1" w:themeFillShade="D9"/>
          </w:tcPr>
          <w:p w14:paraId="7C1526FB" w14:textId="77777777" w:rsidR="00160D42" w:rsidRPr="00EB0301" w:rsidRDefault="00160D42" w:rsidP="00C915A6">
            <w:pPr>
              <w:spacing w:before="40" w:after="40"/>
              <w:jc w:val="left"/>
              <w:rPr>
                <w:rFonts w:eastAsia="Arial"/>
                <w:lang w:val="en-CA"/>
              </w:rPr>
            </w:pPr>
            <w:r w:rsidRPr="00EB0301">
              <w:rPr>
                <w:rFonts w:eastAsia="Arial"/>
                <w:lang w:val="en-CA"/>
              </w:rPr>
              <w:t>8 countries (26.6%)</w:t>
            </w:r>
          </w:p>
          <w:p w14:paraId="52857128" w14:textId="77777777" w:rsidR="00160D42" w:rsidRPr="00EB0301" w:rsidRDefault="00160D42" w:rsidP="00C915A6">
            <w:pPr>
              <w:tabs>
                <w:tab w:val="left" w:pos="6072"/>
              </w:tabs>
              <w:spacing w:before="40" w:after="40"/>
              <w:jc w:val="left"/>
              <w:rPr>
                <w:rFonts w:eastAsia="Arial"/>
                <w:iCs/>
                <w:snapToGrid w:val="0"/>
                <w:kern w:val="22"/>
                <w:sz w:val="18"/>
                <w:lang w:val="en-CA" w:eastAsia="ko-KR"/>
              </w:rPr>
            </w:pPr>
            <w:r w:rsidRPr="00EB0301">
              <w:rPr>
                <w:rFonts w:eastAsia="Arial"/>
                <w:iCs/>
                <w:snapToGrid w:val="0"/>
                <w:kern w:val="22"/>
                <w:sz w:val="18"/>
                <w:lang w:val="en-CA" w:eastAsia="ko-KR"/>
              </w:rPr>
              <w:t>Botswana, Burundi, Ethiopia, Mozambique, Niger, Senegal</w:t>
            </w:r>
          </w:p>
          <w:p w14:paraId="6452DCAD" w14:textId="77777777" w:rsidR="00160D42" w:rsidRPr="00EB0301" w:rsidRDefault="00160D42" w:rsidP="00C915A6">
            <w:pPr>
              <w:tabs>
                <w:tab w:val="left" w:pos="6072"/>
              </w:tabs>
              <w:spacing w:before="40" w:after="40"/>
              <w:jc w:val="left"/>
              <w:rPr>
                <w:rFonts w:eastAsia="Arial"/>
                <w:iCs/>
                <w:snapToGrid w:val="0"/>
                <w:kern w:val="22"/>
                <w:sz w:val="18"/>
                <w:lang w:val="en-CA" w:eastAsia="ko-KR"/>
              </w:rPr>
            </w:pPr>
            <w:r w:rsidRPr="00EB0301">
              <w:rPr>
                <w:rFonts w:eastAsia="Arial"/>
                <w:iCs/>
                <w:snapToGrid w:val="0"/>
                <w:kern w:val="22"/>
                <w:sz w:val="18"/>
                <w:lang w:val="en-CA" w:eastAsia="ko-KR"/>
              </w:rPr>
              <w:t>Uganda, Zimbabwe</w:t>
            </w:r>
          </w:p>
        </w:tc>
        <w:tc>
          <w:tcPr>
            <w:tcW w:w="847" w:type="pct"/>
            <w:tcBorders>
              <w:bottom w:val="single" w:sz="8" w:space="0" w:color="009242"/>
            </w:tcBorders>
            <w:shd w:val="clear" w:color="auto" w:fill="D9D9D9" w:themeFill="background1" w:themeFillShade="D9"/>
          </w:tcPr>
          <w:p w14:paraId="59E8CE2F" w14:textId="77777777" w:rsidR="00160D42" w:rsidRPr="00EB0301" w:rsidRDefault="00160D42" w:rsidP="00C915A6">
            <w:pPr>
              <w:spacing w:before="40" w:after="40"/>
              <w:jc w:val="left"/>
              <w:rPr>
                <w:rFonts w:eastAsia="Arial"/>
                <w:iCs/>
                <w:snapToGrid w:val="0"/>
                <w:kern w:val="22"/>
                <w:lang w:val="en-CA" w:eastAsia="ko-KR"/>
              </w:rPr>
            </w:pPr>
            <w:r w:rsidRPr="00EB0301">
              <w:rPr>
                <w:rFonts w:eastAsia="Arial"/>
                <w:iCs/>
                <w:snapToGrid w:val="0"/>
                <w:kern w:val="22"/>
                <w:lang w:val="en-CA" w:eastAsia="ko-KR"/>
              </w:rPr>
              <w:t>7 countries + IPLCs (36.3%)</w:t>
            </w:r>
          </w:p>
          <w:p w14:paraId="533ACC25" w14:textId="77777777" w:rsidR="00160D42" w:rsidRPr="00EB0301" w:rsidRDefault="00160D42" w:rsidP="00C915A6">
            <w:pPr>
              <w:spacing w:before="40" w:after="40"/>
              <w:jc w:val="left"/>
              <w:rPr>
                <w:rFonts w:eastAsia="Arial"/>
                <w:iCs/>
                <w:snapToGrid w:val="0"/>
                <w:kern w:val="22"/>
                <w:lang w:val="en-CA" w:eastAsia="ko-KR"/>
              </w:rPr>
            </w:pPr>
            <w:r w:rsidRPr="00EB0301">
              <w:rPr>
                <w:rFonts w:eastAsia="Arial"/>
                <w:iCs/>
                <w:snapToGrid w:val="0"/>
                <w:kern w:val="22"/>
                <w:sz w:val="18"/>
                <w:lang w:val="en-CA" w:eastAsia="ko-KR"/>
              </w:rPr>
              <w:t>Bangladesh, China, India, Kuwait, Malaysia, Mongolia, Palau, IPLCs</w:t>
            </w:r>
          </w:p>
        </w:tc>
        <w:tc>
          <w:tcPr>
            <w:tcW w:w="847" w:type="pct"/>
            <w:tcBorders>
              <w:bottom w:val="single" w:sz="8" w:space="0" w:color="009242"/>
            </w:tcBorders>
            <w:shd w:val="clear" w:color="auto" w:fill="D9D9D9" w:themeFill="background1" w:themeFillShade="D9"/>
          </w:tcPr>
          <w:p w14:paraId="11B696F0" w14:textId="77777777" w:rsidR="00160D42" w:rsidRPr="00EB0301" w:rsidRDefault="00160D42" w:rsidP="00C915A6">
            <w:pPr>
              <w:tabs>
                <w:tab w:val="left" w:pos="1133"/>
              </w:tabs>
              <w:spacing w:before="40" w:after="40"/>
              <w:jc w:val="left"/>
              <w:rPr>
                <w:rFonts w:eastAsia="Arial"/>
                <w:lang w:val="en-CA"/>
              </w:rPr>
            </w:pPr>
            <w:r w:rsidRPr="00EB0301">
              <w:rPr>
                <w:rFonts w:eastAsia="Arial"/>
                <w:lang w:val="en-CA"/>
              </w:rPr>
              <w:t>4 countries (30.8%)</w:t>
            </w:r>
          </w:p>
          <w:p w14:paraId="24C93374" w14:textId="77777777" w:rsidR="00160D42" w:rsidRPr="00EB0301" w:rsidRDefault="00160D42" w:rsidP="00C915A6">
            <w:pPr>
              <w:tabs>
                <w:tab w:val="left" w:pos="1133"/>
              </w:tabs>
              <w:spacing w:before="40" w:after="40"/>
              <w:jc w:val="left"/>
              <w:rPr>
                <w:rFonts w:eastAsia="Arial"/>
                <w:sz w:val="18"/>
                <w:lang w:val="en-CA"/>
              </w:rPr>
            </w:pPr>
            <w:r w:rsidRPr="00EB0301">
              <w:rPr>
                <w:rFonts w:eastAsia="Arial"/>
                <w:sz w:val="18"/>
                <w:lang w:val="en-CA"/>
              </w:rPr>
              <w:t xml:space="preserve">Belarus, Moldova, Georgia, Ukraine </w:t>
            </w:r>
          </w:p>
          <w:p w14:paraId="55C7C0CE" w14:textId="77777777" w:rsidR="00160D42" w:rsidRPr="00EB0301" w:rsidRDefault="00160D42" w:rsidP="00C915A6">
            <w:pPr>
              <w:tabs>
                <w:tab w:val="left" w:pos="1133"/>
              </w:tabs>
              <w:spacing w:before="40" w:after="40"/>
              <w:jc w:val="left"/>
              <w:rPr>
                <w:rFonts w:eastAsia="Arial"/>
                <w:b/>
                <w:lang w:val="en-CA"/>
              </w:rPr>
            </w:pPr>
          </w:p>
          <w:p w14:paraId="6B3C8C9B" w14:textId="77777777" w:rsidR="00160D42" w:rsidRPr="00EB0301" w:rsidRDefault="00160D42" w:rsidP="00C915A6">
            <w:pPr>
              <w:spacing w:before="40" w:after="40"/>
              <w:jc w:val="left"/>
              <w:rPr>
                <w:rFonts w:eastAsia="Arial"/>
                <w:lang w:val="en-CA"/>
              </w:rPr>
            </w:pPr>
          </w:p>
        </w:tc>
        <w:tc>
          <w:tcPr>
            <w:tcW w:w="847" w:type="pct"/>
            <w:tcBorders>
              <w:bottom w:val="single" w:sz="8" w:space="0" w:color="009242"/>
            </w:tcBorders>
            <w:shd w:val="clear" w:color="auto" w:fill="D9D9D9" w:themeFill="background1" w:themeFillShade="D9"/>
          </w:tcPr>
          <w:p w14:paraId="0CEAF41F" w14:textId="77777777" w:rsidR="00160D42" w:rsidRPr="00EB0301" w:rsidRDefault="00160D42" w:rsidP="00C915A6">
            <w:pPr>
              <w:spacing w:before="40" w:after="40"/>
              <w:jc w:val="left"/>
              <w:rPr>
                <w:rFonts w:eastAsia="Arial"/>
                <w:lang w:val="en-CA"/>
              </w:rPr>
            </w:pPr>
            <w:r w:rsidRPr="00EB0301">
              <w:rPr>
                <w:rFonts w:eastAsia="Arial"/>
                <w:lang w:val="en-CA"/>
              </w:rPr>
              <w:t>12 countries (57.1%)</w:t>
            </w:r>
          </w:p>
          <w:p w14:paraId="2CA40CA0" w14:textId="77777777" w:rsidR="00160D42" w:rsidRPr="00EB0301" w:rsidRDefault="00160D42" w:rsidP="00C915A6">
            <w:pPr>
              <w:tabs>
                <w:tab w:val="left" w:pos="6072"/>
              </w:tabs>
              <w:spacing w:before="40" w:after="40"/>
              <w:jc w:val="left"/>
              <w:rPr>
                <w:rFonts w:eastAsia="Arial"/>
                <w:iCs/>
                <w:snapToGrid w:val="0"/>
                <w:kern w:val="22"/>
                <w:sz w:val="18"/>
                <w:lang w:val="en-CA" w:eastAsia="ko-KR"/>
              </w:rPr>
            </w:pPr>
            <w:r w:rsidRPr="00EB0301">
              <w:rPr>
                <w:rFonts w:eastAsia="Arial"/>
                <w:iCs/>
                <w:snapToGrid w:val="0"/>
                <w:kern w:val="22"/>
                <w:sz w:val="18"/>
                <w:lang w:val="en-CA" w:eastAsia="ko-KR"/>
              </w:rPr>
              <w:t>Bahamas, Barbados, Belize, Brazil, Colombia, Costa Rica, Cuba, Dominican Republic, Mexico, St. Kitts and Nevis, St. Lucia, Suriname</w:t>
            </w:r>
          </w:p>
        </w:tc>
      </w:tr>
      <w:tr w:rsidR="00160D42" w:rsidRPr="00EB0301" w14:paraId="3D92D39F" w14:textId="77777777" w:rsidTr="001A2825">
        <w:trPr>
          <w:cantSplit/>
        </w:trPr>
        <w:tc>
          <w:tcPr>
            <w:tcW w:w="167" w:type="pct"/>
            <w:tcBorders>
              <w:bottom w:val="single" w:sz="8" w:space="0" w:color="009242"/>
            </w:tcBorders>
            <w:shd w:val="clear" w:color="auto" w:fill="auto"/>
          </w:tcPr>
          <w:p w14:paraId="08803718" w14:textId="77777777" w:rsidR="00160D42" w:rsidRPr="00EB0301" w:rsidRDefault="00160D42" w:rsidP="00C915A6">
            <w:pPr>
              <w:tabs>
                <w:tab w:val="left" w:pos="6072"/>
              </w:tabs>
              <w:spacing w:before="40" w:after="40"/>
              <w:jc w:val="left"/>
              <w:rPr>
                <w:rFonts w:eastAsia="Arial"/>
                <w:b/>
                <w:iCs/>
                <w:snapToGrid w:val="0"/>
                <w:kern w:val="22"/>
                <w:lang w:val="en-CA" w:eastAsia="ko-KR"/>
              </w:rPr>
            </w:pPr>
            <w:r w:rsidRPr="00EB0301">
              <w:rPr>
                <w:rFonts w:eastAsia="Arial"/>
                <w:b/>
                <w:iCs/>
                <w:snapToGrid w:val="0"/>
                <w:kern w:val="22"/>
                <w:lang w:val="en-CA" w:eastAsia="ko-KR"/>
              </w:rPr>
              <w:lastRenderedPageBreak/>
              <w:t>5</w:t>
            </w:r>
          </w:p>
        </w:tc>
        <w:tc>
          <w:tcPr>
            <w:tcW w:w="934" w:type="pct"/>
            <w:tcBorders>
              <w:bottom w:val="single" w:sz="8" w:space="0" w:color="009242"/>
            </w:tcBorders>
            <w:shd w:val="clear" w:color="auto" w:fill="auto"/>
          </w:tcPr>
          <w:p w14:paraId="39CE3E47" w14:textId="77777777" w:rsidR="00160D42" w:rsidRPr="00EB0301" w:rsidRDefault="00160D42" w:rsidP="00C915A6">
            <w:pPr>
              <w:tabs>
                <w:tab w:val="left" w:pos="6072"/>
              </w:tabs>
              <w:spacing w:before="40" w:after="40"/>
              <w:jc w:val="left"/>
              <w:rPr>
                <w:rFonts w:eastAsia="Arial"/>
                <w:b/>
                <w:iCs/>
                <w:snapToGrid w:val="0"/>
                <w:kern w:val="22"/>
                <w:lang w:val="en-CA" w:eastAsia="ko-KR"/>
              </w:rPr>
            </w:pPr>
            <w:r w:rsidRPr="00EB0301">
              <w:rPr>
                <w:rFonts w:eastAsia="Arial"/>
                <w:b/>
                <w:iCs/>
                <w:snapToGrid w:val="0"/>
                <w:kern w:val="22"/>
                <w:lang w:val="en-CA" w:eastAsia="ko-KR"/>
              </w:rPr>
              <w:t xml:space="preserve">Ecosystem Restoration </w:t>
            </w:r>
          </w:p>
          <w:p w14:paraId="38380A3A" w14:textId="77777777" w:rsidR="00160D42" w:rsidRPr="00EB0301" w:rsidRDefault="00160D42" w:rsidP="00C915A6">
            <w:pPr>
              <w:tabs>
                <w:tab w:val="left" w:pos="6072"/>
              </w:tabs>
              <w:spacing w:before="40" w:after="40"/>
              <w:jc w:val="left"/>
              <w:rPr>
                <w:rFonts w:eastAsia="Arial"/>
                <w:iCs/>
                <w:snapToGrid w:val="0"/>
                <w:kern w:val="22"/>
                <w:sz w:val="18"/>
                <w:lang w:val="en-CA" w:eastAsia="ko-KR"/>
              </w:rPr>
            </w:pPr>
            <w:r w:rsidRPr="00EB0301">
              <w:rPr>
                <w:rFonts w:eastAsia="Arial"/>
                <w:iCs/>
                <w:snapToGrid w:val="0"/>
                <w:kern w:val="22"/>
                <w:sz w:val="18"/>
                <w:lang w:val="en-CA" w:eastAsia="ko-KR"/>
              </w:rPr>
              <w:t xml:space="preserve">Marine ecosystems </w:t>
            </w:r>
          </w:p>
          <w:p w14:paraId="58ED2424" w14:textId="77777777" w:rsidR="00160D42" w:rsidRPr="00EB0301" w:rsidRDefault="00160D42" w:rsidP="00C915A6">
            <w:pPr>
              <w:tabs>
                <w:tab w:val="left" w:pos="6072"/>
              </w:tabs>
              <w:spacing w:before="40" w:after="40"/>
              <w:jc w:val="left"/>
              <w:rPr>
                <w:rFonts w:eastAsia="Arial"/>
                <w:iCs/>
                <w:snapToGrid w:val="0"/>
                <w:kern w:val="22"/>
                <w:lang w:val="en-CA" w:eastAsia="ko-KR"/>
              </w:rPr>
            </w:pPr>
            <w:r w:rsidRPr="00EB0301">
              <w:rPr>
                <w:rFonts w:eastAsia="Arial"/>
                <w:iCs/>
                <w:snapToGrid w:val="0"/>
                <w:kern w:val="22"/>
                <w:sz w:val="18"/>
                <w:lang w:val="en-CA" w:eastAsia="ko-KR"/>
              </w:rPr>
              <w:t>Forests</w:t>
            </w:r>
          </w:p>
        </w:tc>
        <w:tc>
          <w:tcPr>
            <w:tcW w:w="511" w:type="pct"/>
            <w:tcBorders>
              <w:bottom w:val="single" w:sz="8" w:space="0" w:color="009242"/>
            </w:tcBorders>
            <w:shd w:val="clear" w:color="auto" w:fill="auto"/>
          </w:tcPr>
          <w:p w14:paraId="1C906773" w14:textId="3F8173A6" w:rsidR="00160D42" w:rsidRPr="00EB0301" w:rsidRDefault="00160D42" w:rsidP="00C915A6">
            <w:pPr>
              <w:tabs>
                <w:tab w:val="left" w:pos="6072"/>
              </w:tabs>
              <w:spacing w:before="40" w:after="40"/>
              <w:jc w:val="left"/>
              <w:rPr>
                <w:rFonts w:eastAsia="Arial"/>
                <w:iCs/>
                <w:snapToGrid w:val="0"/>
                <w:kern w:val="22"/>
                <w:lang w:val="en-CA" w:eastAsia="ko-KR"/>
              </w:rPr>
            </w:pPr>
            <w:r w:rsidRPr="00EB0301">
              <w:rPr>
                <w:rFonts w:eastAsia="Arial"/>
                <w:iCs/>
                <w:snapToGrid w:val="0"/>
                <w:kern w:val="22"/>
                <w:lang w:val="en-CA" w:eastAsia="ko-KR"/>
              </w:rPr>
              <w:t>32 (37.2%)</w:t>
            </w:r>
            <w:r w:rsidR="00C915A6" w:rsidRPr="00EB0301">
              <w:rPr>
                <w:rFonts w:eastAsia="Arial"/>
                <w:iCs/>
                <w:snapToGrid w:val="0"/>
                <w:kern w:val="22"/>
                <w:lang w:val="en-CA" w:eastAsia="ko-KR"/>
              </w:rPr>
              <w:br/>
            </w:r>
            <w:r w:rsidR="00C915A6" w:rsidRPr="00EB0301">
              <w:rPr>
                <w:rFonts w:eastAsia="Arial"/>
                <w:lang w:val="en-CA"/>
              </w:rPr>
              <w:t>across all regions</w:t>
            </w:r>
          </w:p>
        </w:tc>
        <w:tc>
          <w:tcPr>
            <w:tcW w:w="847" w:type="pct"/>
            <w:tcBorders>
              <w:bottom w:val="single" w:sz="8" w:space="0" w:color="009242"/>
            </w:tcBorders>
            <w:shd w:val="clear" w:color="auto" w:fill="auto"/>
          </w:tcPr>
          <w:p w14:paraId="6ADD6F9B" w14:textId="77777777" w:rsidR="00160D42" w:rsidRPr="00EB0301" w:rsidRDefault="00160D42" w:rsidP="00C915A6">
            <w:pPr>
              <w:tabs>
                <w:tab w:val="left" w:pos="6072"/>
              </w:tabs>
              <w:spacing w:before="40" w:after="40"/>
              <w:jc w:val="left"/>
              <w:rPr>
                <w:rFonts w:eastAsia="Arial"/>
                <w:iCs/>
                <w:snapToGrid w:val="0"/>
                <w:kern w:val="22"/>
                <w:lang w:val="en-CA" w:eastAsia="ko-KR"/>
              </w:rPr>
            </w:pPr>
            <w:r w:rsidRPr="00EB0301">
              <w:rPr>
                <w:rFonts w:eastAsia="Arial"/>
                <w:iCs/>
                <w:snapToGrid w:val="0"/>
                <w:kern w:val="22"/>
                <w:lang w:val="en-CA" w:eastAsia="ko-KR"/>
              </w:rPr>
              <w:t>17 countries (56.6%)</w:t>
            </w:r>
          </w:p>
          <w:p w14:paraId="4C0F7C6D" w14:textId="06092F3E" w:rsidR="00160D42" w:rsidRPr="00EB0301" w:rsidRDefault="00160D42" w:rsidP="00C915A6">
            <w:pPr>
              <w:tabs>
                <w:tab w:val="left" w:pos="6072"/>
              </w:tabs>
              <w:spacing w:before="40" w:after="40"/>
              <w:jc w:val="left"/>
              <w:rPr>
                <w:rFonts w:eastAsia="Arial"/>
                <w:iCs/>
                <w:snapToGrid w:val="0"/>
                <w:kern w:val="22"/>
                <w:sz w:val="18"/>
                <w:lang w:val="en-CA" w:eastAsia="ko-KR"/>
              </w:rPr>
            </w:pPr>
            <w:r w:rsidRPr="00EB0301">
              <w:rPr>
                <w:rFonts w:eastAsia="Arial"/>
                <w:iCs/>
                <w:snapToGrid w:val="0"/>
                <w:kern w:val="22"/>
                <w:sz w:val="18"/>
                <w:lang w:val="en-CA" w:eastAsia="ko-KR"/>
              </w:rPr>
              <w:t>Burkina Faso, Cameroon, Chad, Comoros, Egypt, Ethiopia, Gabon, Liberia, Madagasca</w:t>
            </w:r>
            <w:r w:rsidR="00C915A6" w:rsidRPr="00EB0301">
              <w:rPr>
                <w:rFonts w:eastAsia="Arial"/>
                <w:iCs/>
                <w:snapToGrid w:val="0"/>
                <w:kern w:val="22"/>
                <w:sz w:val="18"/>
                <w:lang w:val="en-CA" w:eastAsia="ko-KR"/>
              </w:rPr>
              <w:t>r, Malawi, Mali, Niger, Senegal</w:t>
            </w:r>
            <w:r w:rsidRPr="00EB0301">
              <w:rPr>
                <w:rFonts w:eastAsia="Arial"/>
                <w:iCs/>
                <w:snapToGrid w:val="0"/>
                <w:kern w:val="22"/>
                <w:sz w:val="18"/>
                <w:lang w:val="en-CA" w:eastAsia="ko-KR"/>
              </w:rPr>
              <w:t>, Sierra Leone, South Africa, Tunisia, Zimbabwe</w:t>
            </w:r>
          </w:p>
        </w:tc>
        <w:tc>
          <w:tcPr>
            <w:tcW w:w="847" w:type="pct"/>
            <w:tcBorders>
              <w:bottom w:val="single" w:sz="8" w:space="0" w:color="009242"/>
            </w:tcBorders>
            <w:shd w:val="clear" w:color="auto" w:fill="auto"/>
          </w:tcPr>
          <w:p w14:paraId="092549D4" w14:textId="77777777" w:rsidR="00160D42" w:rsidRPr="00EB0301" w:rsidRDefault="00160D42" w:rsidP="00C915A6">
            <w:pPr>
              <w:spacing w:before="40" w:after="40"/>
              <w:jc w:val="left"/>
              <w:rPr>
                <w:rFonts w:eastAsia="Arial"/>
                <w:iCs/>
                <w:snapToGrid w:val="0"/>
                <w:kern w:val="22"/>
                <w:lang w:val="en-CA" w:eastAsia="ko-KR"/>
              </w:rPr>
            </w:pPr>
            <w:r w:rsidRPr="00EB0301">
              <w:rPr>
                <w:rFonts w:eastAsia="Arial"/>
                <w:iCs/>
                <w:snapToGrid w:val="0"/>
                <w:kern w:val="22"/>
                <w:lang w:val="en-CA" w:eastAsia="ko-KR"/>
              </w:rPr>
              <w:t>3 countries (13.6%)</w:t>
            </w:r>
          </w:p>
          <w:p w14:paraId="768DF087" w14:textId="77777777" w:rsidR="00160D42" w:rsidRPr="00EB0301" w:rsidRDefault="00160D42" w:rsidP="00C915A6">
            <w:pPr>
              <w:spacing w:before="40" w:after="40"/>
              <w:jc w:val="left"/>
              <w:rPr>
                <w:rFonts w:eastAsia="Arial"/>
                <w:iCs/>
                <w:snapToGrid w:val="0"/>
                <w:kern w:val="22"/>
                <w:lang w:val="en-CA" w:eastAsia="ko-KR"/>
              </w:rPr>
            </w:pPr>
            <w:r w:rsidRPr="00EB0301">
              <w:rPr>
                <w:rFonts w:eastAsia="Arial"/>
                <w:iCs/>
                <w:snapToGrid w:val="0"/>
                <w:kern w:val="22"/>
                <w:sz w:val="18"/>
                <w:lang w:val="en-CA" w:eastAsia="ko-KR"/>
              </w:rPr>
              <w:t xml:space="preserve">Bangladesh, Iraq, Jordan </w:t>
            </w:r>
          </w:p>
        </w:tc>
        <w:tc>
          <w:tcPr>
            <w:tcW w:w="847" w:type="pct"/>
            <w:tcBorders>
              <w:bottom w:val="single" w:sz="8" w:space="0" w:color="009242"/>
            </w:tcBorders>
            <w:shd w:val="clear" w:color="auto" w:fill="auto"/>
          </w:tcPr>
          <w:p w14:paraId="3E5152D2" w14:textId="77777777" w:rsidR="00160D42" w:rsidRPr="00EB0301" w:rsidRDefault="00160D42" w:rsidP="00C915A6">
            <w:pPr>
              <w:spacing w:before="40" w:after="40"/>
              <w:jc w:val="left"/>
              <w:rPr>
                <w:rFonts w:eastAsia="Arial"/>
                <w:lang w:val="en-CA"/>
              </w:rPr>
            </w:pPr>
            <w:r w:rsidRPr="00EB0301">
              <w:rPr>
                <w:rFonts w:eastAsia="Arial"/>
                <w:lang w:val="en-CA"/>
              </w:rPr>
              <w:t>N/A</w:t>
            </w:r>
          </w:p>
        </w:tc>
        <w:tc>
          <w:tcPr>
            <w:tcW w:w="847" w:type="pct"/>
            <w:tcBorders>
              <w:bottom w:val="single" w:sz="8" w:space="0" w:color="009242"/>
            </w:tcBorders>
            <w:shd w:val="clear" w:color="auto" w:fill="auto"/>
          </w:tcPr>
          <w:p w14:paraId="50E30BCB" w14:textId="77777777" w:rsidR="00160D42" w:rsidRPr="00EB0301" w:rsidRDefault="00160D42" w:rsidP="00C915A6">
            <w:pPr>
              <w:spacing w:before="40" w:after="40"/>
              <w:jc w:val="left"/>
              <w:rPr>
                <w:rFonts w:eastAsia="Arial"/>
                <w:lang w:val="en-CA"/>
              </w:rPr>
            </w:pPr>
            <w:r w:rsidRPr="00EB0301">
              <w:rPr>
                <w:rFonts w:eastAsia="Arial"/>
                <w:lang w:val="en-CA"/>
              </w:rPr>
              <w:t>11 countries + IPLCs (57.1%)</w:t>
            </w:r>
          </w:p>
          <w:p w14:paraId="31484BDB" w14:textId="69FCD194" w:rsidR="00160D42" w:rsidRPr="00EB0301" w:rsidRDefault="00160D42" w:rsidP="00C915A6">
            <w:pPr>
              <w:spacing w:before="40" w:after="40"/>
              <w:jc w:val="left"/>
              <w:rPr>
                <w:rFonts w:eastAsia="Arial"/>
                <w:iCs/>
                <w:snapToGrid w:val="0"/>
                <w:kern w:val="22"/>
                <w:sz w:val="18"/>
                <w:lang w:val="en-CA" w:eastAsia="ko-KR"/>
              </w:rPr>
            </w:pPr>
            <w:r w:rsidRPr="00EB0301">
              <w:rPr>
                <w:rFonts w:eastAsia="Arial"/>
                <w:iCs/>
                <w:snapToGrid w:val="0"/>
                <w:kern w:val="22"/>
                <w:sz w:val="18"/>
                <w:lang w:val="en-CA" w:eastAsia="ko-KR"/>
              </w:rPr>
              <w:t>Belize, Brazil, Colombia, Costa Rica, Dominican Republic, Ecuador, Mexico, Panama, Paraguay, St. Kitts and Nevis, Uruguay, IPLCs</w:t>
            </w:r>
          </w:p>
        </w:tc>
      </w:tr>
      <w:tr w:rsidR="00160D42" w:rsidRPr="00EB0301" w14:paraId="3BF51B77" w14:textId="77777777" w:rsidTr="00C915A6">
        <w:trPr>
          <w:cantSplit/>
        </w:trPr>
        <w:tc>
          <w:tcPr>
            <w:tcW w:w="167" w:type="pct"/>
            <w:tcBorders>
              <w:bottom w:val="single" w:sz="8" w:space="0" w:color="009242"/>
            </w:tcBorders>
            <w:shd w:val="clear" w:color="auto" w:fill="D9D9D9" w:themeFill="background1" w:themeFillShade="D9"/>
          </w:tcPr>
          <w:p w14:paraId="44CD440B" w14:textId="77777777" w:rsidR="00160D42" w:rsidRPr="00EB0301" w:rsidRDefault="00160D42" w:rsidP="00C915A6">
            <w:pPr>
              <w:tabs>
                <w:tab w:val="left" w:pos="6072"/>
              </w:tabs>
              <w:spacing w:before="40" w:after="40"/>
              <w:jc w:val="left"/>
              <w:rPr>
                <w:rFonts w:eastAsia="Arial"/>
                <w:b/>
                <w:iCs/>
                <w:snapToGrid w:val="0"/>
                <w:kern w:val="22"/>
                <w:lang w:val="en-CA" w:eastAsia="ko-KR"/>
              </w:rPr>
            </w:pPr>
            <w:r w:rsidRPr="00EB0301">
              <w:rPr>
                <w:rFonts w:eastAsia="Arial"/>
                <w:b/>
                <w:iCs/>
                <w:snapToGrid w:val="0"/>
                <w:kern w:val="22"/>
                <w:lang w:val="en-CA" w:eastAsia="ko-KR"/>
              </w:rPr>
              <w:t>6</w:t>
            </w:r>
          </w:p>
        </w:tc>
        <w:tc>
          <w:tcPr>
            <w:tcW w:w="934" w:type="pct"/>
            <w:tcBorders>
              <w:bottom w:val="single" w:sz="8" w:space="0" w:color="009242"/>
            </w:tcBorders>
            <w:shd w:val="clear" w:color="auto" w:fill="D9D9D9" w:themeFill="background1" w:themeFillShade="D9"/>
          </w:tcPr>
          <w:p w14:paraId="11B82634" w14:textId="77777777" w:rsidR="00160D42" w:rsidRPr="00EB0301" w:rsidRDefault="00160D42" w:rsidP="00C915A6">
            <w:pPr>
              <w:tabs>
                <w:tab w:val="left" w:pos="6072"/>
              </w:tabs>
              <w:spacing w:before="40" w:after="40"/>
              <w:jc w:val="left"/>
              <w:rPr>
                <w:rFonts w:eastAsia="Arial"/>
                <w:b/>
                <w:iCs/>
                <w:snapToGrid w:val="0"/>
                <w:kern w:val="22"/>
                <w:lang w:val="en-CA" w:eastAsia="ko-KR"/>
              </w:rPr>
            </w:pPr>
            <w:r w:rsidRPr="00EB0301">
              <w:rPr>
                <w:rFonts w:eastAsia="Arial"/>
                <w:b/>
                <w:iCs/>
                <w:snapToGrid w:val="0"/>
                <w:kern w:val="22"/>
                <w:lang w:val="en-CA" w:eastAsia="ko-KR"/>
              </w:rPr>
              <w:t>Ecosystem Valuation and Accounting</w:t>
            </w:r>
          </w:p>
          <w:p w14:paraId="609E41F3" w14:textId="77777777" w:rsidR="00160D42" w:rsidRPr="00EB0301" w:rsidRDefault="00160D42" w:rsidP="00C915A6">
            <w:pPr>
              <w:tabs>
                <w:tab w:val="left" w:pos="6072"/>
              </w:tabs>
              <w:spacing w:before="40" w:after="40"/>
              <w:jc w:val="left"/>
              <w:rPr>
                <w:rFonts w:eastAsia="Arial"/>
                <w:iCs/>
                <w:snapToGrid w:val="0"/>
                <w:kern w:val="22"/>
                <w:lang w:val="en-CA" w:eastAsia="ko-KR"/>
              </w:rPr>
            </w:pPr>
            <w:r w:rsidRPr="00EB0301">
              <w:rPr>
                <w:rFonts w:eastAsia="Arial"/>
                <w:iCs/>
                <w:snapToGrid w:val="0"/>
                <w:kern w:val="22"/>
                <w:sz w:val="18"/>
                <w:lang w:val="en-CA" w:eastAsia="ko-KR"/>
              </w:rPr>
              <w:t xml:space="preserve">Green economy </w:t>
            </w:r>
          </w:p>
        </w:tc>
        <w:tc>
          <w:tcPr>
            <w:tcW w:w="511" w:type="pct"/>
            <w:tcBorders>
              <w:bottom w:val="single" w:sz="8" w:space="0" w:color="009242"/>
            </w:tcBorders>
            <w:shd w:val="clear" w:color="auto" w:fill="D9D9D9" w:themeFill="background1" w:themeFillShade="D9"/>
          </w:tcPr>
          <w:p w14:paraId="4D3DB67E" w14:textId="77777777" w:rsidR="00160D42" w:rsidRPr="00EB0301" w:rsidRDefault="00160D42" w:rsidP="00C915A6">
            <w:pPr>
              <w:spacing w:before="40" w:after="40"/>
              <w:jc w:val="left"/>
              <w:rPr>
                <w:rFonts w:eastAsia="Arial"/>
                <w:iCs/>
                <w:snapToGrid w:val="0"/>
                <w:kern w:val="22"/>
                <w:lang w:val="en-CA" w:eastAsia="ko-KR"/>
              </w:rPr>
            </w:pPr>
            <w:r w:rsidRPr="00EB0301">
              <w:rPr>
                <w:rFonts w:eastAsia="Arial"/>
                <w:iCs/>
                <w:snapToGrid w:val="0"/>
                <w:kern w:val="22"/>
                <w:lang w:val="en-CA" w:eastAsia="ko-KR"/>
              </w:rPr>
              <w:t>31 (36%)</w:t>
            </w:r>
          </w:p>
          <w:p w14:paraId="3254F5CC" w14:textId="538ED8DD" w:rsidR="00C915A6" w:rsidRPr="00EB0301" w:rsidRDefault="00C915A6" w:rsidP="00C915A6">
            <w:pPr>
              <w:spacing w:before="40" w:after="40"/>
              <w:jc w:val="left"/>
              <w:rPr>
                <w:rFonts w:eastAsia="Arial"/>
                <w:b/>
                <w:iCs/>
                <w:snapToGrid w:val="0"/>
                <w:kern w:val="22"/>
                <w:lang w:val="en-CA" w:eastAsia="ko-KR"/>
              </w:rPr>
            </w:pPr>
            <w:r w:rsidRPr="00EB0301">
              <w:rPr>
                <w:rFonts w:eastAsia="Arial"/>
                <w:lang w:val="en-CA"/>
              </w:rPr>
              <w:t>across all regions</w:t>
            </w:r>
          </w:p>
        </w:tc>
        <w:tc>
          <w:tcPr>
            <w:tcW w:w="847" w:type="pct"/>
            <w:tcBorders>
              <w:bottom w:val="single" w:sz="8" w:space="0" w:color="009242"/>
            </w:tcBorders>
            <w:shd w:val="clear" w:color="auto" w:fill="D9D9D9" w:themeFill="background1" w:themeFillShade="D9"/>
          </w:tcPr>
          <w:p w14:paraId="006669E1" w14:textId="77777777" w:rsidR="00160D42" w:rsidRPr="00EB0301" w:rsidRDefault="00160D42" w:rsidP="00C915A6">
            <w:pPr>
              <w:spacing w:before="40" w:after="40"/>
              <w:jc w:val="left"/>
              <w:rPr>
                <w:rFonts w:eastAsia="Arial"/>
                <w:iCs/>
                <w:snapToGrid w:val="0"/>
                <w:kern w:val="22"/>
                <w:lang w:val="en-CA" w:eastAsia="ko-KR"/>
              </w:rPr>
            </w:pPr>
            <w:r w:rsidRPr="00EB0301">
              <w:rPr>
                <w:rFonts w:eastAsia="Arial"/>
                <w:iCs/>
                <w:snapToGrid w:val="0"/>
                <w:kern w:val="22"/>
                <w:lang w:val="en-CA" w:eastAsia="ko-KR"/>
              </w:rPr>
              <w:t>8 countries (26.6%)</w:t>
            </w:r>
          </w:p>
          <w:p w14:paraId="73F89D40" w14:textId="77777777" w:rsidR="00160D42" w:rsidRPr="00EB0301" w:rsidRDefault="00160D42" w:rsidP="00C915A6">
            <w:pPr>
              <w:tabs>
                <w:tab w:val="left" w:pos="6072"/>
              </w:tabs>
              <w:spacing w:before="40" w:after="40"/>
              <w:jc w:val="left"/>
              <w:rPr>
                <w:rFonts w:eastAsia="Arial"/>
                <w:iCs/>
                <w:snapToGrid w:val="0"/>
                <w:kern w:val="22"/>
                <w:sz w:val="18"/>
                <w:lang w:val="en-CA" w:eastAsia="ko-KR"/>
              </w:rPr>
            </w:pPr>
            <w:r w:rsidRPr="00EB0301">
              <w:rPr>
                <w:rFonts w:eastAsia="Arial"/>
                <w:iCs/>
                <w:snapToGrid w:val="0"/>
                <w:kern w:val="22"/>
                <w:sz w:val="18"/>
                <w:lang w:val="en-CA" w:eastAsia="ko-KR"/>
              </w:rPr>
              <w:t>Egypt, Gabon, Liberia, Malawi, Mozambique, South Africa, Uganda, Zimbabwe</w:t>
            </w:r>
          </w:p>
        </w:tc>
        <w:tc>
          <w:tcPr>
            <w:tcW w:w="847" w:type="pct"/>
            <w:tcBorders>
              <w:bottom w:val="single" w:sz="8" w:space="0" w:color="009242"/>
            </w:tcBorders>
            <w:shd w:val="clear" w:color="auto" w:fill="D9D9D9" w:themeFill="background1" w:themeFillShade="D9"/>
          </w:tcPr>
          <w:p w14:paraId="23B58927" w14:textId="77777777" w:rsidR="00160D42" w:rsidRPr="00EB0301" w:rsidRDefault="00160D42" w:rsidP="00C915A6">
            <w:pPr>
              <w:spacing w:before="40" w:after="40"/>
              <w:jc w:val="left"/>
              <w:rPr>
                <w:rFonts w:eastAsia="Arial"/>
                <w:iCs/>
                <w:snapToGrid w:val="0"/>
                <w:kern w:val="22"/>
                <w:lang w:val="en-CA" w:eastAsia="ko-KR"/>
              </w:rPr>
            </w:pPr>
            <w:r w:rsidRPr="00EB0301">
              <w:rPr>
                <w:rFonts w:eastAsia="Arial"/>
                <w:iCs/>
                <w:snapToGrid w:val="0"/>
                <w:kern w:val="22"/>
                <w:lang w:val="en-CA" w:eastAsia="ko-KR"/>
              </w:rPr>
              <w:t>6 countries (27.3%)</w:t>
            </w:r>
          </w:p>
          <w:p w14:paraId="065B6A6C" w14:textId="77777777" w:rsidR="00160D42" w:rsidRPr="00EB0301" w:rsidRDefault="00160D42" w:rsidP="00C915A6">
            <w:pPr>
              <w:spacing w:before="40" w:after="40"/>
              <w:jc w:val="left"/>
              <w:rPr>
                <w:rFonts w:eastAsia="Arial"/>
                <w:iCs/>
                <w:snapToGrid w:val="0"/>
                <w:kern w:val="22"/>
                <w:lang w:val="en-CA" w:eastAsia="ko-KR"/>
              </w:rPr>
            </w:pPr>
            <w:r w:rsidRPr="00EB0301">
              <w:rPr>
                <w:rFonts w:eastAsia="Arial"/>
                <w:iCs/>
                <w:snapToGrid w:val="0"/>
                <w:kern w:val="22"/>
                <w:sz w:val="18"/>
                <w:lang w:val="en-CA" w:eastAsia="ko-KR"/>
              </w:rPr>
              <w:t xml:space="preserve">Bhutan, China, Malaysia, Maldives, Myanmar, Tuvalu </w:t>
            </w:r>
          </w:p>
        </w:tc>
        <w:tc>
          <w:tcPr>
            <w:tcW w:w="847" w:type="pct"/>
            <w:tcBorders>
              <w:bottom w:val="single" w:sz="8" w:space="0" w:color="009242"/>
            </w:tcBorders>
            <w:shd w:val="clear" w:color="auto" w:fill="D9D9D9" w:themeFill="background1" w:themeFillShade="D9"/>
          </w:tcPr>
          <w:p w14:paraId="7C0E6F1F" w14:textId="77777777" w:rsidR="00160D42" w:rsidRPr="00EB0301" w:rsidRDefault="00160D42" w:rsidP="00C915A6">
            <w:pPr>
              <w:tabs>
                <w:tab w:val="left" w:pos="1133"/>
              </w:tabs>
              <w:spacing w:before="40" w:after="40"/>
              <w:jc w:val="left"/>
              <w:rPr>
                <w:rFonts w:eastAsia="Arial"/>
                <w:lang w:val="en-CA"/>
              </w:rPr>
            </w:pPr>
            <w:r w:rsidRPr="00EB0301">
              <w:rPr>
                <w:rFonts w:eastAsia="Arial"/>
                <w:lang w:val="en-CA"/>
              </w:rPr>
              <w:t>7 countries (53.8%)</w:t>
            </w:r>
          </w:p>
          <w:p w14:paraId="50C9F9D0" w14:textId="4959B92F" w:rsidR="00160D42" w:rsidRPr="00EB0301" w:rsidRDefault="00160D42" w:rsidP="00C915A6">
            <w:pPr>
              <w:tabs>
                <w:tab w:val="left" w:pos="1133"/>
              </w:tabs>
              <w:spacing w:before="40" w:after="40"/>
              <w:jc w:val="left"/>
              <w:rPr>
                <w:rFonts w:eastAsia="Arial"/>
                <w:sz w:val="18"/>
                <w:lang w:val="en-CA"/>
              </w:rPr>
            </w:pPr>
            <w:r w:rsidRPr="00EB0301">
              <w:rPr>
                <w:rFonts w:eastAsia="Arial"/>
                <w:sz w:val="18"/>
                <w:lang w:val="en-CA"/>
              </w:rPr>
              <w:t>Slovaki</w:t>
            </w:r>
            <w:r w:rsidR="00C915A6" w:rsidRPr="00EB0301">
              <w:rPr>
                <w:rFonts w:eastAsia="Arial"/>
                <w:sz w:val="18"/>
                <w:lang w:val="en-CA"/>
              </w:rPr>
              <w:t>a, Azerbaijan, Moldova, Georgia</w:t>
            </w:r>
            <w:r w:rsidRPr="00EB0301">
              <w:rPr>
                <w:rFonts w:eastAsia="Arial"/>
                <w:sz w:val="18"/>
                <w:lang w:val="en-CA"/>
              </w:rPr>
              <w:t>, Tajikistan, Ukraine, Kyrgyzstan</w:t>
            </w:r>
            <w:r w:rsidRPr="00EB0301">
              <w:rPr>
                <w:rFonts w:eastAsia="Arial"/>
                <w:b/>
                <w:sz w:val="18"/>
                <w:lang w:val="en-CA"/>
              </w:rPr>
              <w:t xml:space="preserve"> </w:t>
            </w:r>
          </w:p>
        </w:tc>
        <w:tc>
          <w:tcPr>
            <w:tcW w:w="847" w:type="pct"/>
            <w:tcBorders>
              <w:bottom w:val="single" w:sz="8" w:space="0" w:color="009242"/>
            </w:tcBorders>
            <w:shd w:val="clear" w:color="auto" w:fill="D9D9D9" w:themeFill="background1" w:themeFillShade="D9"/>
          </w:tcPr>
          <w:p w14:paraId="6F817CA6" w14:textId="77777777" w:rsidR="00160D42" w:rsidRPr="00EB0301" w:rsidRDefault="00160D42" w:rsidP="00C915A6">
            <w:pPr>
              <w:spacing w:before="40" w:after="40"/>
              <w:jc w:val="left"/>
              <w:rPr>
                <w:rFonts w:eastAsia="Arial"/>
                <w:lang w:val="en-CA"/>
              </w:rPr>
            </w:pPr>
            <w:r w:rsidRPr="00EB0301">
              <w:rPr>
                <w:rFonts w:eastAsia="Arial"/>
                <w:lang w:val="en-CA"/>
              </w:rPr>
              <w:t>9 countries + IPLCs (47.6%)</w:t>
            </w:r>
          </w:p>
          <w:p w14:paraId="5597CF36" w14:textId="39721E2F" w:rsidR="00160D42" w:rsidRPr="00EB0301" w:rsidRDefault="00160D42" w:rsidP="00C915A6">
            <w:pPr>
              <w:spacing w:before="40" w:after="40"/>
              <w:jc w:val="left"/>
              <w:rPr>
                <w:rFonts w:eastAsia="Arial"/>
                <w:iCs/>
                <w:snapToGrid w:val="0"/>
                <w:kern w:val="22"/>
                <w:sz w:val="18"/>
                <w:lang w:val="en-CA" w:eastAsia="ko-KR"/>
              </w:rPr>
            </w:pPr>
            <w:r w:rsidRPr="00EB0301">
              <w:rPr>
                <w:rFonts w:eastAsia="Arial"/>
                <w:iCs/>
                <w:snapToGrid w:val="0"/>
                <w:kern w:val="22"/>
                <w:sz w:val="18"/>
                <w:lang w:val="en-CA" w:eastAsia="ko-KR"/>
              </w:rPr>
              <w:t>Barbados, Brazil, Costa Rica, Cuba, Ecuador, Mexico</w:t>
            </w:r>
            <w:r w:rsidR="00C915A6" w:rsidRPr="00EB0301">
              <w:rPr>
                <w:rFonts w:eastAsia="Arial"/>
                <w:iCs/>
                <w:snapToGrid w:val="0"/>
                <w:kern w:val="22"/>
                <w:sz w:val="18"/>
                <w:lang w:val="en-CA" w:eastAsia="ko-KR"/>
              </w:rPr>
              <w:t xml:space="preserve">, St. Lucia, </w:t>
            </w:r>
            <w:r w:rsidRPr="00EB0301">
              <w:rPr>
                <w:rFonts w:eastAsia="Arial"/>
                <w:iCs/>
                <w:snapToGrid w:val="0"/>
                <w:kern w:val="22"/>
                <w:sz w:val="18"/>
                <w:lang w:val="en-CA" w:eastAsia="ko-KR"/>
              </w:rPr>
              <w:t>Uruguay, Venezuela, IPLCs</w:t>
            </w:r>
          </w:p>
        </w:tc>
      </w:tr>
      <w:tr w:rsidR="00160D42" w:rsidRPr="00EB0301" w14:paraId="2BDB724C" w14:textId="77777777" w:rsidTr="001A2825">
        <w:trPr>
          <w:cantSplit/>
        </w:trPr>
        <w:tc>
          <w:tcPr>
            <w:tcW w:w="167" w:type="pct"/>
            <w:tcBorders>
              <w:bottom w:val="single" w:sz="8" w:space="0" w:color="009242"/>
            </w:tcBorders>
            <w:shd w:val="clear" w:color="auto" w:fill="auto"/>
          </w:tcPr>
          <w:p w14:paraId="452B7DB2" w14:textId="77777777" w:rsidR="00160D42" w:rsidRPr="00EB0301" w:rsidRDefault="00160D42" w:rsidP="00C915A6">
            <w:pPr>
              <w:spacing w:before="40" w:after="40"/>
              <w:jc w:val="left"/>
              <w:rPr>
                <w:rFonts w:eastAsia="Arial"/>
                <w:b/>
                <w:iCs/>
                <w:snapToGrid w:val="0"/>
                <w:kern w:val="22"/>
                <w:lang w:val="en-CA" w:eastAsia="ko-KR"/>
              </w:rPr>
            </w:pPr>
            <w:r w:rsidRPr="00EB0301">
              <w:rPr>
                <w:rFonts w:eastAsia="Arial"/>
                <w:b/>
                <w:iCs/>
                <w:snapToGrid w:val="0"/>
                <w:kern w:val="22"/>
                <w:lang w:val="en-CA" w:eastAsia="ko-KR"/>
              </w:rPr>
              <w:t>7</w:t>
            </w:r>
          </w:p>
        </w:tc>
        <w:tc>
          <w:tcPr>
            <w:tcW w:w="934" w:type="pct"/>
            <w:tcBorders>
              <w:bottom w:val="single" w:sz="8" w:space="0" w:color="009242"/>
            </w:tcBorders>
            <w:shd w:val="clear" w:color="auto" w:fill="auto"/>
          </w:tcPr>
          <w:p w14:paraId="3081EADC" w14:textId="77777777" w:rsidR="00160D42" w:rsidRPr="00EB0301" w:rsidRDefault="00160D42" w:rsidP="00C915A6">
            <w:pPr>
              <w:spacing w:before="40" w:after="40"/>
              <w:jc w:val="left"/>
              <w:rPr>
                <w:rFonts w:eastAsia="Arial"/>
                <w:b/>
                <w:iCs/>
                <w:snapToGrid w:val="0"/>
                <w:kern w:val="22"/>
                <w:lang w:val="en-CA" w:eastAsia="ko-KR"/>
              </w:rPr>
            </w:pPr>
            <w:r w:rsidRPr="00EB0301">
              <w:rPr>
                <w:rFonts w:eastAsia="Arial"/>
                <w:b/>
                <w:iCs/>
                <w:snapToGrid w:val="0"/>
                <w:kern w:val="22"/>
                <w:lang w:val="en-CA" w:eastAsia="ko-KR"/>
              </w:rPr>
              <w:t>Biodiversity Information Systems / Knowledge Management</w:t>
            </w:r>
          </w:p>
          <w:p w14:paraId="031BC18F" w14:textId="77777777" w:rsidR="00160D42" w:rsidRPr="00EB0301" w:rsidRDefault="00160D42" w:rsidP="00C915A6">
            <w:pPr>
              <w:spacing w:before="40" w:after="40"/>
              <w:jc w:val="left"/>
              <w:rPr>
                <w:rFonts w:eastAsia="Arial"/>
                <w:b/>
                <w:iCs/>
                <w:snapToGrid w:val="0"/>
                <w:kern w:val="22"/>
                <w:lang w:val="en-CA" w:eastAsia="ko-KR"/>
              </w:rPr>
            </w:pPr>
            <w:r w:rsidRPr="00EB0301">
              <w:rPr>
                <w:rFonts w:eastAsia="Arial"/>
                <w:iCs/>
                <w:snapToGrid w:val="0"/>
                <w:kern w:val="22"/>
                <w:sz w:val="18"/>
                <w:lang w:val="en-CA" w:eastAsia="ko-KR"/>
              </w:rPr>
              <w:t xml:space="preserve">National CHMs </w:t>
            </w:r>
          </w:p>
          <w:p w14:paraId="5ADD30F0" w14:textId="77777777" w:rsidR="00160D42" w:rsidRPr="00EB0301" w:rsidRDefault="00160D42" w:rsidP="00C915A6">
            <w:pPr>
              <w:spacing w:before="40" w:after="40"/>
              <w:jc w:val="left"/>
              <w:rPr>
                <w:rFonts w:eastAsia="Arial"/>
                <w:b/>
                <w:iCs/>
                <w:snapToGrid w:val="0"/>
                <w:kern w:val="22"/>
                <w:lang w:val="en-CA" w:eastAsia="ko-KR"/>
              </w:rPr>
            </w:pPr>
            <w:r w:rsidRPr="00EB0301">
              <w:rPr>
                <w:rFonts w:eastAsia="Arial"/>
                <w:iCs/>
                <w:snapToGrid w:val="0"/>
                <w:kern w:val="22"/>
                <w:sz w:val="18"/>
                <w:lang w:val="en-CA" w:eastAsia="ko-KR"/>
              </w:rPr>
              <w:t>Databases</w:t>
            </w:r>
          </w:p>
        </w:tc>
        <w:tc>
          <w:tcPr>
            <w:tcW w:w="511" w:type="pct"/>
            <w:tcBorders>
              <w:bottom w:val="single" w:sz="8" w:space="0" w:color="009242"/>
            </w:tcBorders>
            <w:shd w:val="clear" w:color="auto" w:fill="auto"/>
          </w:tcPr>
          <w:p w14:paraId="41828CF7" w14:textId="77777777" w:rsidR="00160D42" w:rsidRPr="00EB0301" w:rsidRDefault="00160D42" w:rsidP="00C915A6">
            <w:pPr>
              <w:spacing w:before="40" w:after="40"/>
              <w:jc w:val="left"/>
              <w:rPr>
                <w:rFonts w:eastAsia="Arial"/>
                <w:lang w:val="en-CA"/>
              </w:rPr>
            </w:pPr>
            <w:r w:rsidRPr="00EB0301">
              <w:rPr>
                <w:rFonts w:eastAsia="Arial"/>
                <w:lang w:val="en-CA"/>
              </w:rPr>
              <w:t>30 (34.9%)</w:t>
            </w:r>
          </w:p>
          <w:p w14:paraId="72AB448C" w14:textId="4866B227" w:rsidR="00C915A6" w:rsidRPr="00EB0301" w:rsidRDefault="00C915A6" w:rsidP="00C915A6">
            <w:pPr>
              <w:spacing w:before="40" w:after="40"/>
              <w:jc w:val="left"/>
              <w:rPr>
                <w:rFonts w:eastAsia="Arial"/>
                <w:lang w:val="en-CA"/>
              </w:rPr>
            </w:pPr>
            <w:r w:rsidRPr="00EB0301">
              <w:rPr>
                <w:rFonts w:eastAsia="Arial"/>
                <w:lang w:val="en-CA"/>
              </w:rPr>
              <w:t>across all regions</w:t>
            </w:r>
          </w:p>
        </w:tc>
        <w:tc>
          <w:tcPr>
            <w:tcW w:w="847" w:type="pct"/>
            <w:tcBorders>
              <w:bottom w:val="single" w:sz="8" w:space="0" w:color="009242"/>
            </w:tcBorders>
            <w:shd w:val="clear" w:color="auto" w:fill="auto"/>
          </w:tcPr>
          <w:p w14:paraId="2F71AC24" w14:textId="77777777" w:rsidR="00160D42" w:rsidRPr="00EB0301" w:rsidRDefault="00160D42" w:rsidP="00C915A6">
            <w:pPr>
              <w:spacing w:before="40" w:after="40"/>
              <w:jc w:val="left"/>
              <w:rPr>
                <w:rFonts w:eastAsia="Arial"/>
                <w:lang w:val="en-CA"/>
              </w:rPr>
            </w:pPr>
            <w:r w:rsidRPr="00EB0301">
              <w:rPr>
                <w:rFonts w:eastAsia="Arial"/>
                <w:lang w:val="en-CA"/>
              </w:rPr>
              <w:t>12 countries (13.9%)</w:t>
            </w:r>
          </w:p>
          <w:p w14:paraId="36E5AF87" w14:textId="77777777" w:rsidR="00160D42" w:rsidRPr="00EB0301" w:rsidRDefault="00160D42" w:rsidP="00C915A6">
            <w:pPr>
              <w:tabs>
                <w:tab w:val="left" w:pos="6072"/>
              </w:tabs>
              <w:spacing w:before="40" w:after="40"/>
              <w:jc w:val="left"/>
              <w:rPr>
                <w:rFonts w:eastAsia="Arial"/>
                <w:iCs/>
                <w:snapToGrid w:val="0"/>
                <w:kern w:val="22"/>
                <w:sz w:val="18"/>
                <w:lang w:val="en-CA" w:eastAsia="ko-KR"/>
              </w:rPr>
            </w:pPr>
            <w:r w:rsidRPr="00EB0301">
              <w:rPr>
                <w:rFonts w:eastAsia="Arial"/>
                <w:iCs/>
                <w:snapToGrid w:val="0"/>
                <w:kern w:val="22"/>
                <w:sz w:val="18"/>
                <w:lang w:val="en-CA" w:eastAsia="ko-KR"/>
              </w:rPr>
              <w:t>Botswana, Burkina Faso, Chad, Comoros, Egypt, Ethiopia, Malawi, Senegal, Sierra Leone, Somalia, Tunisia, Uganda</w:t>
            </w:r>
          </w:p>
        </w:tc>
        <w:tc>
          <w:tcPr>
            <w:tcW w:w="847" w:type="pct"/>
            <w:tcBorders>
              <w:bottom w:val="single" w:sz="8" w:space="0" w:color="009242"/>
            </w:tcBorders>
            <w:shd w:val="clear" w:color="auto" w:fill="auto"/>
          </w:tcPr>
          <w:p w14:paraId="248BAEB4" w14:textId="77777777" w:rsidR="00160D42" w:rsidRPr="00EB0301" w:rsidRDefault="00160D42" w:rsidP="00C915A6">
            <w:pPr>
              <w:spacing w:before="40" w:after="40"/>
              <w:jc w:val="left"/>
              <w:rPr>
                <w:rFonts w:eastAsia="Arial"/>
                <w:iCs/>
                <w:snapToGrid w:val="0"/>
                <w:kern w:val="22"/>
                <w:lang w:val="en-CA" w:eastAsia="ko-KR"/>
              </w:rPr>
            </w:pPr>
            <w:r w:rsidRPr="00EB0301">
              <w:rPr>
                <w:rFonts w:eastAsia="Arial"/>
                <w:iCs/>
                <w:snapToGrid w:val="0"/>
                <w:kern w:val="22"/>
                <w:lang w:val="en-CA" w:eastAsia="ko-KR"/>
              </w:rPr>
              <w:t>N/A</w:t>
            </w:r>
          </w:p>
        </w:tc>
        <w:tc>
          <w:tcPr>
            <w:tcW w:w="847" w:type="pct"/>
            <w:tcBorders>
              <w:bottom w:val="single" w:sz="8" w:space="0" w:color="009242"/>
            </w:tcBorders>
            <w:shd w:val="clear" w:color="auto" w:fill="auto"/>
          </w:tcPr>
          <w:p w14:paraId="1DB9EF02" w14:textId="77777777" w:rsidR="00160D42" w:rsidRPr="00EB0301" w:rsidRDefault="00160D42" w:rsidP="00C915A6">
            <w:pPr>
              <w:tabs>
                <w:tab w:val="left" w:pos="1133"/>
              </w:tabs>
              <w:spacing w:before="40" w:after="40"/>
              <w:jc w:val="left"/>
              <w:rPr>
                <w:rFonts w:eastAsia="Arial"/>
                <w:lang w:val="en-CA"/>
              </w:rPr>
            </w:pPr>
            <w:r w:rsidRPr="00EB0301">
              <w:rPr>
                <w:rFonts w:eastAsia="Arial"/>
                <w:lang w:val="en-CA"/>
              </w:rPr>
              <w:t>4 countries (30.8%)</w:t>
            </w:r>
          </w:p>
          <w:p w14:paraId="0112DB60" w14:textId="77777777" w:rsidR="00160D42" w:rsidRPr="00EB0301" w:rsidRDefault="00160D42" w:rsidP="00C915A6">
            <w:pPr>
              <w:tabs>
                <w:tab w:val="left" w:pos="1133"/>
              </w:tabs>
              <w:spacing w:before="40" w:after="40"/>
              <w:jc w:val="left"/>
              <w:rPr>
                <w:rFonts w:eastAsia="Arial"/>
                <w:sz w:val="18"/>
                <w:lang w:val="en-CA"/>
              </w:rPr>
            </w:pPr>
            <w:r w:rsidRPr="00EB0301">
              <w:rPr>
                <w:rFonts w:eastAsia="Arial"/>
                <w:sz w:val="18"/>
                <w:lang w:val="en-CA"/>
              </w:rPr>
              <w:t xml:space="preserve">Slovakia, Moldova, Serbia, Kyrgyzstan </w:t>
            </w:r>
          </w:p>
          <w:p w14:paraId="4B769577" w14:textId="77777777" w:rsidR="00160D42" w:rsidRPr="00EB0301" w:rsidRDefault="00160D42" w:rsidP="00C915A6">
            <w:pPr>
              <w:tabs>
                <w:tab w:val="left" w:pos="1133"/>
              </w:tabs>
              <w:spacing w:before="40" w:after="40"/>
              <w:jc w:val="left"/>
              <w:rPr>
                <w:rFonts w:eastAsia="Arial"/>
                <w:lang w:val="en-CA"/>
              </w:rPr>
            </w:pPr>
          </w:p>
          <w:p w14:paraId="1F50DACA" w14:textId="77777777" w:rsidR="00160D42" w:rsidRPr="00EB0301" w:rsidRDefault="00160D42" w:rsidP="00C915A6">
            <w:pPr>
              <w:spacing w:before="40" w:after="40"/>
              <w:jc w:val="left"/>
              <w:rPr>
                <w:rFonts w:eastAsia="Arial"/>
                <w:lang w:val="en-CA"/>
              </w:rPr>
            </w:pPr>
          </w:p>
        </w:tc>
        <w:tc>
          <w:tcPr>
            <w:tcW w:w="847" w:type="pct"/>
            <w:tcBorders>
              <w:bottom w:val="single" w:sz="8" w:space="0" w:color="009242"/>
            </w:tcBorders>
            <w:shd w:val="clear" w:color="auto" w:fill="auto"/>
          </w:tcPr>
          <w:p w14:paraId="7BE62D2E" w14:textId="77777777" w:rsidR="00160D42" w:rsidRPr="00EB0301" w:rsidRDefault="00160D42" w:rsidP="00C915A6">
            <w:pPr>
              <w:tabs>
                <w:tab w:val="left" w:pos="6072"/>
              </w:tabs>
              <w:spacing w:before="40" w:after="40"/>
              <w:jc w:val="left"/>
              <w:rPr>
                <w:rFonts w:eastAsia="Arial"/>
                <w:iCs/>
                <w:snapToGrid w:val="0"/>
                <w:kern w:val="22"/>
                <w:lang w:val="en-CA" w:eastAsia="ko-KR"/>
              </w:rPr>
            </w:pPr>
            <w:r w:rsidRPr="00EB0301">
              <w:rPr>
                <w:rFonts w:eastAsia="Arial"/>
                <w:iCs/>
                <w:snapToGrid w:val="0"/>
                <w:kern w:val="22"/>
                <w:lang w:val="en-CA" w:eastAsia="ko-KR"/>
              </w:rPr>
              <w:t xml:space="preserve">13 countries </w:t>
            </w:r>
            <w:r w:rsidRPr="00EB0301">
              <w:rPr>
                <w:rFonts w:eastAsia="Arial"/>
                <w:lang w:val="en-CA"/>
              </w:rPr>
              <w:t>+ IPLCs (66.6%)</w:t>
            </w:r>
          </w:p>
          <w:p w14:paraId="48602796" w14:textId="77777777" w:rsidR="00160D42" w:rsidRPr="00EB0301" w:rsidRDefault="00160D42" w:rsidP="00C915A6">
            <w:pPr>
              <w:tabs>
                <w:tab w:val="left" w:pos="6072"/>
              </w:tabs>
              <w:spacing w:before="40" w:after="40"/>
              <w:jc w:val="left"/>
              <w:rPr>
                <w:rFonts w:eastAsia="Arial"/>
                <w:iCs/>
                <w:snapToGrid w:val="0"/>
                <w:kern w:val="22"/>
                <w:sz w:val="18"/>
                <w:lang w:val="en-CA" w:eastAsia="ko-KR"/>
              </w:rPr>
            </w:pPr>
            <w:r w:rsidRPr="00EB0301">
              <w:rPr>
                <w:rFonts w:eastAsia="Arial"/>
                <w:iCs/>
                <w:snapToGrid w:val="0"/>
                <w:kern w:val="22"/>
                <w:sz w:val="18"/>
                <w:lang w:val="en-CA" w:eastAsia="ko-KR"/>
              </w:rPr>
              <w:t>Guatemala, Panama, Mexico, St. Lucia, Costa Rica, Colombia, Cuba, El Salvador, Ecuador, Suriname, Bahamas, Barbados, Antigua and Barbuda, Uruguay, IPLCs</w:t>
            </w:r>
          </w:p>
        </w:tc>
      </w:tr>
      <w:tr w:rsidR="00160D42" w:rsidRPr="00EB0301" w14:paraId="2152D851" w14:textId="77777777" w:rsidTr="00C915A6">
        <w:trPr>
          <w:cantSplit/>
        </w:trPr>
        <w:tc>
          <w:tcPr>
            <w:tcW w:w="167" w:type="pct"/>
            <w:tcBorders>
              <w:bottom w:val="single" w:sz="8" w:space="0" w:color="009242"/>
            </w:tcBorders>
            <w:shd w:val="clear" w:color="auto" w:fill="D9D9D9" w:themeFill="background1" w:themeFillShade="D9"/>
          </w:tcPr>
          <w:p w14:paraId="1CBC880E" w14:textId="77777777" w:rsidR="00160D42" w:rsidRPr="00EB0301" w:rsidRDefault="00160D42" w:rsidP="00C915A6">
            <w:pPr>
              <w:tabs>
                <w:tab w:val="left" w:pos="6072"/>
              </w:tabs>
              <w:spacing w:before="40" w:after="40"/>
              <w:jc w:val="left"/>
              <w:rPr>
                <w:rFonts w:eastAsia="Arial"/>
                <w:b/>
                <w:iCs/>
                <w:snapToGrid w:val="0"/>
                <w:kern w:val="22"/>
                <w:lang w:val="en-CA" w:eastAsia="ko-KR"/>
              </w:rPr>
            </w:pPr>
            <w:r w:rsidRPr="00EB0301">
              <w:rPr>
                <w:rFonts w:eastAsia="Arial"/>
                <w:b/>
                <w:iCs/>
                <w:snapToGrid w:val="0"/>
                <w:kern w:val="22"/>
                <w:lang w:val="en-CA" w:eastAsia="ko-KR"/>
              </w:rPr>
              <w:t>8</w:t>
            </w:r>
          </w:p>
        </w:tc>
        <w:tc>
          <w:tcPr>
            <w:tcW w:w="934" w:type="pct"/>
            <w:tcBorders>
              <w:bottom w:val="single" w:sz="8" w:space="0" w:color="009242"/>
            </w:tcBorders>
            <w:shd w:val="clear" w:color="auto" w:fill="D9D9D9" w:themeFill="background1" w:themeFillShade="D9"/>
          </w:tcPr>
          <w:p w14:paraId="07BC4EA4" w14:textId="77777777" w:rsidR="00160D42" w:rsidRPr="00EB0301" w:rsidRDefault="00160D42" w:rsidP="00C915A6">
            <w:pPr>
              <w:tabs>
                <w:tab w:val="left" w:pos="6072"/>
              </w:tabs>
              <w:spacing w:before="40" w:after="40"/>
              <w:jc w:val="left"/>
              <w:rPr>
                <w:rFonts w:eastAsia="Arial"/>
                <w:b/>
                <w:iCs/>
                <w:snapToGrid w:val="0"/>
                <w:kern w:val="22"/>
                <w:lang w:val="en-CA" w:eastAsia="ko-KR"/>
              </w:rPr>
            </w:pPr>
            <w:r w:rsidRPr="00EB0301">
              <w:rPr>
                <w:rFonts w:eastAsia="Arial"/>
                <w:b/>
                <w:iCs/>
                <w:snapToGrid w:val="0"/>
                <w:kern w:val="22"/>
                <w:lang w:val="en-CA" w:eastAsia="ko-KR"/>
              </w:rPr>
              <w:t xml:space="preserve">Climate Change and Biodiversity </w:t>
            </w:r>
          </w:p>
        </w:tc>
        <w:tc>
          <w:tcPr>
            <w:tcW w:w="511" w:type="pct"/>
            <w:tcBorders>
              <w:bottom w:val="single" w:sz="8" w:space="0" w:color="009242"/>
            </w:tcBorders>
            <w:shd w:val="clear" w:color="auto" w:fill="D9D9D9" w:themeFill="background1" w:themeFillShade="D9"/>
          </w:tcPr>
          <w:p w14:paraId="2E301755" w14:textId="77777777" w:rsidR="00160D42" w:rsidRPr="00EB0301" w:rsidRDefault="00160D42" w:rsidP="00C915A6">
            <w:pPr>
              <w:tabs>
                <w:tab w:val="left" w:pos="6072"/>
              </w:tabs>
              <w:spacing w:before="40" w:after="40"/>
              <w:jc w:val="left"/>
              <w:rPr>
                <w:rFonts w:eastAsia="Arial"/>
                <w:iCs/>
                <w:snapToGrid w:val="0"/>
                <w:kern w:val="22"/>
                <w:lang w:val="en-CA" w:eastAsia="ko-KR"/>
              </w:rPr>
            </w:pPr>
            <w:r w:rsidRPr="00EB0301">
              <w:rPr>
                <w:rFonts w:eastAsia="Arial"/>
                <w:iCs/>
                <w:snapToGrid w:val="0"/>
                <w:kern w:val="22"/>
                <w:lang w:val="en-CA" w:eastAsia="ko-KR"/>
              </w:rPr>
              <w:t>26 (30.2%)</w:t>
            </w:r>
          </w:p>
          <w:p w14:paraId="5E219CFA" w14:textId="05FBE762" w:rsidR="00C915A6" w:rsidRPr="00EB0301" w:rsidRDefault="00C915A6" w:rsidP="00C915A6">
            <w:pPr>
              <w:tabs>
                <w:tab w:val="left" w:pos="6072"/>
              </w:tabs>
              <w:spacing w:before="40" w:after="40"/>
              <w:jc w:val="left"/>
              <w:rPr>
                <w:rFonts w:eastAsia="Arial"/>
                <w:iCs/>
                <w:snapToGrid w:val="0"/>
                <w:kern w:val="22"/>
                <w:lang w:val="en-CA" w:eastAsia="ko-KR"/>
              </w:rPr>
            </w:pPr>
            <w:r w:rsidRPr="00EB0301">
              <w:rPr>
                <w:rFonts w:eastAsia="Arial"/>
                <w:lang w:val="en-CA"/>
              </w:rPr>
              <w:t>across all regions</w:t>
            </w:r>
          </w:p>
        </w:tc>
        <w:tc>
          <w:tcPr>
            <w:tcW w:w="847" w:type="pct"/>
            <w:tcBorders>
              <w:bottom w:val="single" w:sz="8" w:space="0" w:color="009242"/>
            </w:tcBorders>
            <w:shd w:val="clear" w:color="auto" w:fill="D9D9D9" w:themeFill="background1" w:themeFillShade="D9"/>
          </w:tcPr>
          <w:p w14:paraId="4A9013E3" w14:textId="77777777" w:rsidR="00160D42" w:rsidRPr="00EB0301" w:rsidRDefault="00160D42" w:rsidP="00C915A6">
            <w:pPr>
              <w:tabs>
                <w:tab w:val="left" w:pos="6072"/>
              </w:tabs>
              <w:spacing w:before="40" w:after="40"/>
              <w:jc w:val="left"/>
              <w:rPr>
                <w:rFonts w:eastAsia="Arial"/>
                <w:iCs/>
                <w:snapToGrid w:val="0"/>
                <w:kern w:val="22"/>
                <w:lang w:val="en-CA" w:eastAsia="ko-KR"/>
              </w:rPr>
            </w:pPr>
            <w:r w:rsidRPr="00EB0301">
              <w:rPr>
                <w:rFonts w:eastAsia="Arial"/>
                <w:iCs/>
                <w:snapToGrid w:val="0"/>
                <w:kern w:val="22"/>
                <w:lang w:val="en-CA" w:eastAsia="ko-KR"/>
              </w:rPr>
              <w:t>11 countries (12.8%)</w:t>
            </w:r>
          </w:p>
          <w:p w14:paraId="1457C8FA" w14:textId="77777777" w:rsidR="00160D42" w:rsidRPr="00EB0301" w:rsidRDefault="00160D42" w:rsidP="00C915A6">
            <w:pPr>
              <w:tabs>
                <w:tab w:val="left" w:pos="6072"/>
              </w:tabs>
              <w:spacing w:before="40" w:after="40"/>
              <w:jc w:val="left"/>
              <w:rPr>
                <w:rFonts w:eastAsia="Arial"/>
                <w:iCs/>
                <w:snapToGrid w:val="0"/>
                <w:kern w:val="22"/>
                <w:sz w:val="18"/>
                <w:lang w:val="en-CA" w:eastAsia="ko-KR"/>
              </w:rPr>
            </w:pPr>
            <w:r w:rsidRPr="00EB0301">
              <w:rPr>
                <w:rFonts w:eastAsia="Arial"/>
                <w:iCs/>
                <w:snapToGrid w:val="0"/>
                <w:kern w:val="22"/>
                <w:sz w:val="18"/>
                <w:lang w:val="en-CA" w:eastAsia="ko-KR"/>
              </w:rPr>
              <w:t>Botswana, Cameroon, Comoros, Egypt, Ethiopia, Ghana, Madagascar, Mali, Niger, South Africa, Uganda</w:t>
            </w:r>
          </w:p>
        </w:tc>
        <w:tc>
          <w:tcPr>
            <w:tcW w:w="847" w:type="pct"/>
            <w:tcBorders>
              <w:bottom w:val="single" w:sz="8" w:space="0" w:color="009242"/>
            </w:tcBorders>
            <w:shd w:val="clear" w:color="auto" w:fill="D9D9D9" w:themeFill="background1" w:themeFillShade="D9"/>
          </w:tcPr>
          <w:p w14:paraId="06C5ECAD" w14:textId="77777777" w:rsidR="00160D42" w:rsidRPr="00EB0301" w:rsidRDefault="00160D42" w:rsidP="00C915A6">
            <w:pPr>
              <w:tabs>
                <w:tab w:val="left" w:pos="6072"/>
              </w:tabs>
              <w:spacing w:before="40" w:after="40"/>
              <w:jc w:val="left"/>
              <w:rPr>
                <w:rFonts w:eastAsia="Arial"/>
                <w:iCs/>
                <w:snapToGrid w:val="0"/>
                <w:kern w:val="22"/>
                <w:lang w:val="en-CA" w:eastAsia="ko-KR"/>
              </w:rPr>
            </w:pPr>
            <w:r w:rsidRPr="00EB0301">
              <w:rPr>
                <w:rFonts w:eastAsia="Arial"/>
                <w:iCs/>
                <w:snapToGrid w:val="0"/>
                <w:kern w:val="22"/>
                <w:lang w:val="en-CA" w:eastAsia="ko-KR"/>
              </w:rPr>
              <w:t>4 countries (18.2%)</w:t>
            </w:r>
          </w:p>
          <w:p w14:paraId="721551C1" w14:textId="77777777" w:rsidR="00160D42" w:rsidRPr="00EB0301" w:rsidRDefault="00160D42" w:rsidP="00C915A6">
            <w:pPr>
              <w:tabs>
                <w:tab w:val="left" w:pos="6072"/>
              </w:tabs>
              <w:spacing w:before="40" w:after="40"/>
              <w:jc w:val="left"/>
              <w:rPr>
                <w:rFonts w:eastAsia="Arial"/>
                <w:iCs/>
                <w:snapToGrid w:val="0"/>
                <w:kern w:val="22"/>
                <w:lang w:val="en-CA" w:eastAsia="ko-KR"/>
              </w:rPr>
            </w:pPr>
            <w:r w:rsidRPr="00EB0301">
              <w:rPr>
                <w:rFonts w:eastAsia="Arial"/>
                <w:iCs/>
                <w:snapToGrid w:val="0"/>
                <w:kern w:val="22"/>
                <w:sz w:val="18"/>
                <w:lang w:val="en-CA" w:eastAsia="ko-KR"/>
              </w:rPr>
              <w:t xml:space="preserve">Bangladesh, Bhutan, Jordan, Malaysia </w:t>
            </w:r>
          </w:p>
        </w:tc>
        <w:tc>
          <w:tcPr>
            <w:tcW w:w="847" w:type="pct"/>
            <w:tcBorders>
              <w:bottom w:val="single" w:sz="8" w:space="0" w:color="009242"/>
            </w:tcBorders>
            <w:shd w:val="clear" w:color="auto" w:fill="D9D9D9" w:themeFill="background1" w:themeFillShade="D9"/>
          </w:tcPr>
          <w:p w14:paraId="36EE600F" w14:textId="77777777" w:rsidR="00160D42" w:rsidRPr="00EB0301" w:rsidRDefault="00160D42" w:rsidP="00C915A6">
            <w:pPr>
              <w:spacing w:before="40" w:after="40"/>
              <w:jc w:val="left"/>
              <w:rPr>
                <w:rFonts w:eastAsia="Arial"/>
                <w:lang w:val="en-CA"/>
              </w:rPr>
            </w:pPr>
            <w:r w:rsidRPr="00EB0301">
              <w:rPr>
                <w:rFonts w:eastAsia="Arial"/>
                <w:lang w:val="en-CA"/>
              </w:rPr>
              <w:t>1 country + IPLCs (15.4%)</w:t>
            </w:r>
          </w:p>
          <w:p w14:paraId="71E7FE88" w14:textId="77777777" w:rsidR="00160D42" w:rsidRPr="00EB0301" w:rsidRDefault="00160D42" w:rsidP="00C915A6">
            <w:pPr>
              <w:spacing w:before="40" w:after="40"/>
              <w:jc w:val="left"/>
              <w:rPr>
                <w:rFonts w:eastAsia="Arial"/>
                <w:sz w:val="18"/>
                <w:lang w:val="en-CA"/>
              </w:rPr>
            </w:pPr>
            <w:r w:rsidRPr="00EB0301">
              <w:rPr>
                <w:rFonts w:eastAsia="Arial"/>
                <w:sz w:val="18"/>
                <w:lang w:val="en-CA"/>
              </w:rPr>
              <w:t xml:space="preserve">Serbia, </w:t>
            </w:r>
            <w:r w:rsidRPr="00EB0301">
              <w:rPr>
                <w:rFonts w:eastAsia="Arial"/>
                <w:iCs/>
                <w:snapToGrid w:val="0"/>
                <w:kern w:val="22"/>
                <w:sz w:val="18"/>
                <w:lang w:val="en-CA" w:eastAsia="ko-KR"/>
              </w:rPr>
              <w:t>IPLCs</w:t>
            </w:r>
          </w:p>
        </w:tc>
        <w:tc>
          <w:tcPr>
            <w:tcW w:w="847" w:type="pct"/>
            <w:tcBorders>
              <w:bottom w:val="single" w:sz="8" w:space="0" w:color="009242"/>
            </w:tcBorders>
            <w:shd w:val="clear" w:color="auto" w:fill="D9D9D9" w:themeFill="background1" w:themeFillShade="D9"/>
          </w:tcPr>
          <w:p w14:paraId="6C1C9480" w14:textId="77777777" w:rsidR="00160D42" w:rsidRPr="00EB0301" w:rsidRDefault="00160D42" w:rsidP="00C915A6">
            <w:pPr>
              <w:spacing w:before="40" w:after="40"/>
              <w:jc w:val="left"/>
              <w:rPr>
                <w:rFonts w:eastAsia="Arial"/>
                <w:lang w:val="en-CA"/>
              </w:rPr>
            </w:pPr>
            <w:r w:rsidRPr="00EB0301">
              <w:rPr>
                <w:rFonts w:eastAsia="Arial"/>
                <w:lang w:val="en-CA"/>
              </w:rPr>
              <w:t>9 countries (42.8%)</w:t>
            </w:r>
          </w:p>
          <w:p w14:paraId="1F79DE53" w14:textId="77777777" w:rsidR="00160D42" w:rsidRPr="00EB0301" w:rsidRDefault="00160D42" w:rsidP="00C915A6">
            <w:pPr>
              <w:tabs>
                <w:tab w:val="left" w:pos="6072"/>
              </w:tabs>
              <w:spacing w:before="40" w:after="40"/>
              <w:jc w:val="left"/>
              <w:rPr>
                <w:rFonts w:eastAsia="Arial"/>
                <w:iCs/>
                <w:snapToGrid w:val="0"/>
                <w:kern w:val="22"/>
                <w:sz w:val="18"/>
                <w:lang w:val="en-CA" w:eastAsia="ko-KR"/>
              </w:rPr>
            </w:pPr>
            <w:r w:rsidRPr="00EB0301">
              <w:rPr>
                <w:rFonts w:eastAsia="Arial"/>
                <w:iCs/>
                <w:snapToGrid w:val="0"/>
                <w:kern w:val="22"/>
                <w:sz w:val="18"/>
                <w:lang w:val="en-CA" w:eastAsia="ko-KR"/>
              </w:rPr>
              <w:t>Antigua and Barbuda, Belize, Colombia, Costa Rica, Cuba, Guatemala, Mexico, Paraguay, St. Lucia</w:t>
            </w:r>
          </w:p>
        </w:tc>
      </w:tr>
      <w:tr w:rsidR="00160D42" w:rsidRPr="00EB0301" w14:paraId="3FBA9D2A" w14:textId="77777777" w:rsidTr="001A2825">
        <w:trPr>
          <w:cantSplit/>
        </w:trPr>
        <w:tc>
          <w:tcPr>
            <w:tcW w:w="167" w:type="pct"/>
            <w:tcBorders>
              <w:bottom w:val="single" w:sz="8" w:space="0" w:color="009242"/>
            </w:tcBorders>
            <w:shd w:val="clear" w:color="auto" w:fill="auto"/>
          </w:tcPr>
          <w:p w14:paraId="02415DD1" w14:textId="77777777" w:rsidR="00160D42" w:rsidRPr="00EB0301" w:rsidRDefault="00160D42" w:rsidP="00C915A6">
            <w:pPr>
              <w:tabs>
                <w:tab w:val="left" w:pos="6072"/>
              </w:tabs>
              <w:spacing w:before="40" w:after="40"/>
              <w:jc w:val="left"/>
              <w:rPr>
                <w:rFonts w:eastAsia="Arial"/>
                <w:b/>
                <w:iCs/>
                <w:snapToGrid w:val="0"/>
                <w:kern w:val="22"/>
                <w:lang w:val="en-CA" w:eastAsia="ko-KR"/>
              </w:rPr>
            </w:pPr>
            <w:r w:rsidRPr="00EB0301">
              <w:rPr>
                <w:rFonts w:eastAsia="Arial"/>
                <w:b/>
                <w:iCs/>
                <w:snapToGrid w:val="0"/>
                <w:kern w:val="22"/>
                <w:lang w:val="en-CA" w:eastAsia="ko-KR"/>
              </w:rPr>
              <w:t>9</w:t>
            </w:r>
          </w:p>
        </w:tc>
        <w:tc>
          <w:tcPr>
            <w:tcW w:w="934" w:type="pct"/>
            <w:tcBorders>
              <w:bottom w:val="single" w:sz="8" w:space="0" w:color="009242"/>
            </w:tcBorders>
            <w:shd w:val="clear" w:color="auto" w:fill="auto"/>
          </w:tcPr>
          <w:p w14:paraId="20B8CBDB" w14:textId="77777777" w:rsidR="00160D42" w:rsidRPr="00EB0301" w:rsidRDefault="00160D42" w:rsidP="00C915A6">
            <w:pPr>
              <w:tabs>
                <w:tab w:val="left" w:pos="6072"/>
              </w:tabs>
              <w:spacing w:before="40" w:after="40"/>
              <w:jc w:val="left"/>
              <w:rPr>
                <w:rFonts w:eastAsia="Arial"/>
                <w:b/>
                <w:iCs/>
                <w:snapToGrid w:val="0"/>
                <w:kern w:val="22"/>
                <w:lang w:val="en-CA" w:eastAsia="ko-KR"/>
              </w:rPr>
            </w:pPr>
            <w:r w:rsidRPr="00EB0301">
              <w:rPr>
                <w:rFonts w:eastAsia="Arial"/>
                <w:b/>
                <w:iCs/>
                <w:snapToGrid w:val="0"/>
                <w:kern w:val="22"/>
                <w:lang w:val="en-CA" w:eastAsia="ko-KR"/>
              </w:rPr>
              <w:t xml:space="preserve">Biosafety </w:t>
            </w:r>
          </w:p>
          <w:p w14:paraId="6C715B7D" w14:textId="77777777" w:rsidR="00160D42" w:rsidRPr="00EB0301" w:rsidRDefault="00160D42" w:rsidP="00C915A6">
            <w:pPr>
              <w:tabs>
                <w:tab w:val="left" w:pos="6072"/>
              </w:tabs>
              <w:spacing w:before="40" w:after="40"/>
              <w:jc w:val="left"/>
              <w:rPr>
                <w:rFonts w:eastAsia="Arial"/>
                <w:iCs/>
                <w:snapToGrid w:val="0"/>
                <w:kern w:val="22"/>
                <w:lang w:val="en-CA" w:eastAsia="ko-KR"/>
              </w:rPr>
            </w:pPr>
            <w:r w:rsidRPr="00EB0301">
              <w:rPr>
                <w:rFonts w:eastAsia="Arial"/>
                <w:iCs/>
                <w:snapToGrid w:val="0"/>
                <w:kern w:val="22"/>
                <w:sz w:val="18"/>
                <w:lang w:val="en-CA" w:eastAsia="ko-KR"/>
              </w:rPr>
              <w:t>Living modified organisms</w:t>
            </w:r>
          </w:p>
        </w:tc>
        <w:tc>
          <w:tcPr>
            <w:tcW w:w="511" w:type="pct"/>
            <w:tcBorders>
              <w:bottom w:val="single" w:sz="8" w:space="0" w:color="009242"/>
            </w:tcBorders>
            <w:shd w:val="clear" w:color="auto" w:fill="auto"/>
          </w:tcPr>
          <w:p w14:paraId="086D196F" w14:textId="77777777" w:rsidR="00160D42" w:rsidRPr="00EB0301" w:rsidRDefault="00160D42" w:rsidP="00C915A6">
            <w:pPr>
              <w:tabs>
                <w:tab w:val="left" w:pos="6072"/>
              </w:tabs>
              <w:spacing w:before="40" w:after="40"/>
              <w:jc w:val="left"/>
              <w:rPr>
                <w:rFonts w:eastAsia="Arial"/>
                <w:iCs/>
                <w:snapToGrid w:val="0"/>
                <w:kern w:val="22"/>
                <w:lang w:val="en-CA" w:eastAsia="ko-KR"/>
              </w:rPr>
            </w:pPr>
            <w:r w:rsidRPr="00EB0301">
              <w:rPr>
                <w:rFonts w:eastAsia="Arial"/>
                <w:iCs/>
                <w:snapToGrid w:val="0"/>
                <w:kern w:val="22"/>
                <w:lang w:val="en-CA" w:eastAsia="ko-KR"/>
              </w:rPr>
              <w:t>22 (25.6%)</w:t>
            </w:r>
          </w:p>
          <w:p w14:paraId="53CFAD77" w14:textId="5C757836" w:rsidR="00C915A6" w:rsidRPr="00EB0301" w:rsidRDefault="00C915A6" w:rsidP="00C915A6">
            <w:pPr>
              <w:tabs>
                <w:tab w:val="left" w:pos="6072"/>
              </w:tabs>
              <w:spacing w:before="40" w:after="40"/>
              <w:jc w:val="left"/>
              <w:rPr>
                <w:rFonts w:eastAsia="Arial"/>
                <w:iCs/>
                <w:snapToGrid w:val="0"/>
                <w:kern w:val="22"/>
                <w:lang w:val="en-CA" w:eastAsia="ko-KR"/>
              </w:rPr>
            </w:pPr>
            <w:r w:rsidRPr="00EB0301">
              <w:rPr>
                <w:rFonts w:eastAsia="Arial"/>
                <w:lang w:val="en-CA"/>
              </w:rPr>
              <w:t>across all regions</w:t>
            </w:r>
          </w:p>
        </w:tc>
        <w:tc>
          <w:tcPr>
            <w:tcW w:w="847" w:type="pct"/>
            <w:tcBorders>
              <w:bottom w:val="single" w:sz="8" w:space="0" w:color="009242"/>
            </w:tcBorders>
            <w:shd w:val="clear" w:color="auto" w:fill="auto"/>
          </w:tcPr>
          <w:p w14:paraId="613E8D2A" w14:textId="77777777" w:rsidR="00160D42" w:rsidRPr="00EB0301" w:rsidRDefault="00160D42" w:rsidP="00C915A6">
            <w:pPr>
              <w:tabs>
                <w:tab w:val="left" w:pos="6072"/>
              </w:tabs>
              <w:spacing w:before="40" w:after="40"/>
              <w:jc w:val="left"/>
              <w:rPr>
                <w:rFonts w:eastAsia="Arial"/>
                <w:iCs/>
                <w:snapToGrid w:val="0"/>
                <w:kern w:val="22"/>
                <w:lang w:val="en-CA" w:eastAsia="ko-KR"/>
              </w:rPr>
            </w:pPr>
            <w:r w:rsidRPr="00EB0301">
              <w:rPr>
                <w:rFonts w:eastAsia="Arial"/>
                <w:iCs/>
                <w:snapToGrid w:val="0"/>
                <w:kern w:val="22"/>
                <w:lang w:val="en-CA" w:eastAsia="ko-KR"/>
              </w:rPr>
              <w:t>10 countries (30.3%)</w:t>
            </w:r>
          </w:p>
          <w:p w14:paraId="37BA636B" w14:textId="77777777" w:rsidR="00160D42" w:rsidRPr="00EB0301" w:rsidRDefault="00160D42" w:rsidP="00C915A6">
            <w:pPr>
              <w:tabs>
                <w:tab w:val="left" w:pos="6072"/>
              </w:tabs>
              <w:spacing w:before="40" w:after="40"/>
              <w:jc w:val="left"/>
              <w:rPr>
                <w:rFonts w:eastAsia="Arial"/>
                <w:iCs/>
                <w:snapToGrid w:val="0"/>
                <w:kern w:val="22"/>
                <w:sz w:val="18"/>
                <w:lang w:val="en-CA" w:eastAsia="ko-KR"/>
              </w:rPr>
            </w:pPr>
            <w:r w:rsidRPr="00EB0301">
              <w:rPr>
                <w:rFonts w:eastAsia="Arial"/>
                <w:iCs/>
                <w:snapToGrid w:val="0"/>
                <w:kern w:val="22"/>
                <w:sz w:val="18"/>
                <w:lang w:val="en-CA" w:eastAsia="ko-KR"/>
              </w:rPr>
              <w:t>Burkina Faso, Djibouti, Egypt, Gabon, Ghana, Malawi, Mali, Tunisia, Uganda, Zimbabwe</w:t>
            </w:r>
          </w:p>
        </w:tc>
        <w:tc>
          <w:tcPr>
            <w:tcW w:w="847" w:type="pct"/>
            <w:tcBorders>
              <w:bottom w:val="single" w:sz="8" w:space="0" w:color="009242"/>
            </w:tcBorders>
            <w:shd w:val="clear" w:color="auto" w:fill="auto"/>
          </w:tcPr>
          <w:p w14:paraId="0484CD93" w14:textId="77777777" w:rsidR="00160D42" w:rsidRPr="00EB0301" w:rsidRDefault="00160D42" w:rsidP="00C915A6">
            <w:pPr>
              <w:tabs>
                <w:tab w:val="left" w:pos="6072"/>
              </w:tabs>
              <w:spacing w:before="40" w:after="40"/>
              <w:jc w:val="left"/>
              <w:rPr>
                <w:rFonts w:eastAsia="Arial"/>
                <w:iCs/>
                <w:snapToGrid w:val="0"/>
                <w:kern w:val="22"/>
                <w:lang w:val="en-CA" w:eastAsia="ko-KR"/>
              </w:rPr>
            </w:pPr>
            <w:r w:rsidRPr="00EB0301">
              <w:rPr>
                <w:rFonts w:eastAsia="Arial"/>
                <w:iCs/>
                <w:snapToGrid w:val="0"/>
                <w:kern w:val="22"/>
                <w:lang w:val="en-CA" w:eastAsia="ko-KR"/>
              </w:rPr>
              <w:t>5 countries (22.7%)</w:t>
            </w:r>
          </w:p>
          <w:p w14:paraId="75CF41BD" w14:textId="77777777" w:rsidR="00160D42" w:rsidRPr="00EB0301" w:rsidRDefault="00160D42" w:rsidP="00C915A6">
            <w:pPr>
              <w:tabs>
                <w:tab w:val="left" w:pos="6072"/>
              </w:tabs>
              <w:spacing w:before="40" w:after="40"/>
              <w:jc w:val="left"/>
              <w:rPr>
                <w:rFonts w:eastAsia="Arial"/>
                <w:iCs/>
                <w:snapToGrid w:val="0"/>
                <w:kern w:val="22"/>
                <w:lang w:val="en-CA" w:eastAsia="ko-KR"/>
              </w:rPr>
            </w:pPr>
            <w:r w:rsidRPr="00EB0301">
              <w:rPr>
                <w:rFonts w:eastAsia="Arial"/>
                <w:iCs/>
                <w:snapToGrid w:val="0"/>
                <w:kern w:val="22"/>
                <w:sz w:val="18"/>
                <w:lang w:val="en-CA" w:eastAsia="ko-KR"/>
              </w:rPr>
              <w:t xml:space="preserve">Indonesia, Jordan, Malaysia, Nauru, Solomon Islands   </w:t>
            </w:r>
          </w:p>
        </w:tc>
        <w:tc>
          <w:tcPr>
            <w:tcW w:w="847" w:type="pct"/>
            <w:tcBorders>
              <w:bottom w:val="single" w:sz="8" w:space="0" w:color="009242"/>
            </w:tcBorders>
            <w:shd w:val="clear" w:color="auto" w:fill="auto"/>
          </w:tcPr>
          <w:p w14:paraId="2B19D87D" w14:textId="77777777" w:rsidR="00160D42" w:rsidRPr="00EB0301" w:rsidRDefault="00160D42" w:rsidP="00C915A6">
            <w:pPr>
              <w:tabs>
                <w:tab w:val="left" w:pos="1133"/>
              </w:tabs>
              <w:spacing w:before="40" w:after="40"/>
              <w:jc w:val="left"/>
              <w:rPr>
                <w:rFonts w:eastAsia="Arial"/>
                <w:lang w:val="en-CA"/>
              </w:rPr>
            </w:pPr>
            <w:r w:rsidRPr="00EB0301">
              <w:rPr>
                <w:rFonts w:eastAsia="Arial"/>
                <w:lang w:val="en-CA"/>
              </w:rPr>
              <w:t>3 countries (23.1%)</w:t>
            </w:r>
          </w:p>
          <w:p w14:paraId="1992EB62" w14:textId="77777777" w:rsidR="00160D42" w:rsidRPr="00EB0301" w:rsidRDefault="00160D42" w:rsidP="00C915A6">
            <w:pPr>
              <w:tabs>
                <w:tab w:val="left" w:pos="1133"/>
              </w:tabs>
              <w:spacing w:before="40" w:after="40"/>
              <w:jc w:val="left"/>
              <w:rPr>
                <w:rFonts w:eastAsia="Arial"/>
                <w:sz w:val="18"/>
                <w:lang w:val="en-CA"/>
              </w:rPr>
            </w:pPr>
            <w:r w:rsidRPr="00EB0301">
              <w:rPr>
                <w:rFonts w:eastAsia="Arial"/>
                <w:sz w:val="18"/>
                <w:lang w:val="en-CA"/>
              </w:rPr>
              <w:t>Turkmenistan, Belarus, Moldova</w:t>
            </w:r>
          </w:p>
          <w:p w14:paraId="345CDC61" w14:textId="77777777" w:rsidR="00160D42" w:rsidRPr="00EB0301" w:rsidRDefault="00160D42" w:rsidP="00C915A6">
            <w:pPr>
              <w:spacing w:before="40" w:after="40"/>
              <w:jc w:val="left"/>
              <w:rPr>
                <w:rFonts w:eastAsia="Arial"/>
                <w:lang w:val="en-CA"/>
              </w:rPr>
            </w:pPr>
          </w:p>
        </w:tc>
        <w:tc>
          <w:tcPr>
            <w:tcW w:w="847" w:type="pct"/>
            <w:tcBorders>
              <w:bottom w:val="single" w:sz="8" w:space="0" w:color="009242"/>
            </w:tcBorders>
            <w:shd w:val="clear" w:color="auto" w:fill="auto"/>
          </w:tcPr>
          <w:p w14:paraId="697F3D8B" w14:textId="77777777" w:rsidR="00160D42" w:rsidRPr="00EB0301" w:rsidRDefault="00160D42" w:rsidP="00C915A6">
            <w:pPr>
              <w:spacing w:before="40" w:after="40"/>
              <w:jc w:val="left"/>
              <w:rPr>
                <w:rFonts w:eastAsia="Arial"/>
                <w:lang w:val="en-CA"/>
              </w:rPr>
            </w:pPr>
            <w:r w:rsidRPr="00EB0301">
              <w:rPr>
                <w:rFonts w:eastAsia="Arial"/>
                <w:lang w:val="en-CA"/>
              </w:rPr>
              <w:t>4 countries (19%)</w:t>
            </w:r>
          </w:p>
          <w:p w14:paraId="5168E233" w14:textId="77777777" w:rsidR="00160D42" w:rsidRPr="00EB0301" w:rsidRDefault="00160D42" w:rsidP="00C915A6">
            <w:pPr>
              <w:tabs>
                <w:tab w:val="left" w:pos="6072"/>
              </w:tabs>
              <w:spacing w:before="40" w:after="40"/>
              <w:jc w:val="left"/>
              <w:rPr>
                <w:rFonts w:eastAsia="Arial"/>
                <w:iCs/>
                <w:snapToGrid w:val="0"/>
                <w:kern w:val="22"/>
                <w:sz w:val="18"/>
                <w:lang w:val="en-CA" w:eastAsia="ko-KR"/>
              </w:rPr>
            </w:pPr>
            <w:r w:rsidRPr="00EB0301">
              <w:rPr>
                <w:rFonts w:eastAsia="Arial"/>
                <w:iCs/>
                <w:snapToGrid w:val="0"/>
                <w:kern w:val="22"/>
                <w:sz w:val="18"/>
                <w:lang w:val="en-CA" w:eastAsia="ko-KR"/>
              </w:rPr>
              <w:t>Bahamas, Barbados, Ecuador, Venezuela</w:t>
            </w:r>
          </w:p>
        </w:tc>
      </w:tr>
      <w:tr w:rsidR="00160D42" w:rsidRPr="00EB0301" w14:paraId="169DEB52" w14:textId="77777777" w:rsidTr="00C915A6">
        <w:trPr>
          <w:cantSplit/>
        </w:trPr>
        <w:tc>
          <w:tcPr>
            <w:tcW w:w="167" w:type="pct"/>
            <w:shd w:val="clear" w:color="auto" w:fill="D9D9D9" w:themeFill="background1" w:themeFillShade="D9"/>
          </w:tcPr>
          <w:p w14:paraId="752C178A" w14:textId="77777777" w:rsidR="00160D42" w:rsidRPr="00EB0301" w:rsidRDefault="00160D42" w:rsidP="00C915A6">
            <w:pPr>
              <w:tabs>
                <w:tab w:val="left" w:pos="6072"/>
              </w:tabs>
              <w:spacing w:before="40" w:after="40"/>
              <w:jc w:val="left"/>
              <w:rPr>
                <w:rFonts w:eastAsia="Arial"/>
                <w:b/>
                <w:iCs/>
                <w:snapToGrid w:val="0"/>
                <w:kern w:val="22"/>
                <w:lang w:val="en-CA" w:eastAsia="ko-KR"/>
              </w:rPr>
            </w:pPr>
            <w:r w:rsidRPr="00EB0301">
              <w:rPr>
                <w:rFonts w:eastAsia="Arial"/>
                <w:b/>
                <w:iCs/>
                <w:snapToGrid w:val="0"/>
                <w:kern w:val="22"/>
                <w:lang w:val="en-CA" w:eastAsia="ko-KR"/>
              </w:rPr>
              <w:lastRenderedPageBreak/>
              <w:t>10</w:t>
            </w:r>
          </w:p>
        </w:tc>
        <w:tc>
          <w:tcPr>
            <w:tcW w:w="934" w:type="pct"/>
            <w:shd w:val="clear" w:color="auto" w:fill="D9D9D9" w:themeFill="background1" w:themeFillShade="D9"/>
          </w:tcPr>
          <w:p w14:paraId="37900DAF" w14:textId="77777777" w:rsidR="00160D42" w:rsidRPr="00EB0301" w:rsidRDefault="00160D42" w:rsidP="00C915A6">
            <w:pPr>
              <w:tabs>
                <w:tab w:val="left" w:pos="6072"/>
              </w:tabs>
              <w:spacing w:before="40" w:after="40"/>
              <w:jc w:val="left"/>
              <w:rPr>
                <w:rFonts w:eastAsia="Arial"/>
                <w:b/>
                <w:iCs/>
                <w:snapToGrid w:val="0"/>
                <w:kern w:val="22"/>
                <w:lang w:val="en-CA" w:eastAsia="ko-KR"/>
              </w:rPr>
            </w:pPr>
            <w:r w:rsidRPr="00EB0301">
              <w:rPr>
                <w:rFonts w:eastAsia="Arial"/>
                <w:b/>
                <w:iCs/>
                <w:snapToGrid w:val="0"/>
                <w:kern w:val="22"/>
                <w:lang w:val="en-CA" w:eastAsia="ko-KR"/>
              </w:rPr>
              <w:t xml:space="preserve">Protection and Recovery of Threatened Species </w:t>
            </w:r>
          </w:p>
          <w:p w14:paraId="2C69B27D" w14:textId="77777777" w:rsidR="00160D42" w:rsidRPr="00EB0301" w:rsidRDefault="00160D42" w:rsidP="00C915A6">
            <w:pPr>
              <w:tabs>
                <w:tab w:val="left" w:pos="6072"/>
              </w:tabs>
              <w:spacing w:before="40" w:after="40"/>
              <w:jc w:val="left"/>
              <w:rPr>
                <w:rFonts w:eastAsia="Arial"/>
                <w:iCs/>
                <w:snapToGrid w:val="0"/>
                <w:kern w:val="22"/>
                <w:lang w:val="en-CA" w:eastAsia="ko-KR"/>
              </w:rPr>
            </w:pPr>
            <w:r w:rsidRPr="00EB0301">
              <w:rPr>
                <w:rFonts w:eastAsia="Arial"/>
                <w:iCs/>
                <w:snapToGrid w:val="0"/>
                <w:kern w:val="22"/>
                <w:sz w:val="18"/>
                <w:lang w:val="en-CA" w:eastAsia="ko-KR"/>
              </w:rPr>
              <w:t xml:space="preserve">Recovery plans </w:t>
            </w:r>
          </w:p>
        </w:tc>
        <w:tc>
          <w:tcPr>
            <w:tcW w:w="511" w:type="pct"/>
            <w:shd w:val="clear" w:color="auto" w:fill="D9D9D9" w:themeFill="background1" w:themeFillShade="D9"/>
          </w:tcPr>
          <w:p w14:paraId="690DCB42" w14:textId="77777777" w:rsidR="00160D42" w:rsidRPr="00EB0301" w:rsidRDefault="00160D42" w:rsidP="00C915A6">
            <w:pPr>
              <w:spacing w:before="40" w:after="40"/>
              <w:jc w:val="left"/>
              <w:rPr>
                <w:rFonts w:eastAsia="Arial"/>
                <w:iCs/>
                <w:snapToGrid w:val="0"/>
                <w:kern w:val="22"/>
                <w:lang w:val="en-CA" w:eastAsia="ko-KR"/>
              </w:rPr>
            </w:pPr>
            <w:r w:rsidRPr="00EB0301">
              <w:rPr>
                <w:rFonts w:eastAsia="Arial"/>
                <w:iCs/>
                <w:snapToGrid w:val="0"/>
                <w:kern w:val="22"/>
                <w:lang w:val="en-CA" w:eastAsia="ko-KR"/>
              </w:rPr>
              <w:t>18 (20.9%)</w:t>
            </w:r>
          </w:p>
          <w:p w14:paraId="6DF13CED" w14:textId="513B8DE6" w:rsidR="00C915A6" w:rsidRPr="00EB0301" w:rsidRDefault="00C915A6" w:rsidP="00C915A6">
            <w:pPr>
              <w:spacing w:before="40" w:after="40"/>
              <w:jc w:val="left"/>
              <w:rPr>
                <w:rFonts w:eastAsia="Arial"/>
                <w:iCs/>
                <w:snapToGrid w:val="0"/>
                <w:kern w:val="22"/>
                <w:lang w:val="en-CA" w:eastAsia="ko-KR"/>
              </w:rPr>
            </w:pPr>
            <w:r w:rsidRPr="00EB0301">
              <w:rPr>
                <w:rFonts w:eastAsia="Arial"/>
                <w:lang w:val="en-CA"/>
              </w:rPr>
              <w:t>across all regions</w:t>
            </w:r>
          </w:p>
        </w:tc>
        <w:tc>
          <w:tcPr>
            <w:tcW w:w="847" w:type="pct"/>
            <w:shd w:val="clear" w:color="auto" w:fill="D9D9D9" w:themeFill="background1" w:themeFillShade="D9"/>
          </w:tcPr>
          <w:p w14:paraId="5ABB2FEE" w14:textId="77777777" w:rsidR="00160D42" w:rsidRPr="00EB0301" w:rsidRDefault="00160D42" w:rsidP="00C915A6">
            <w:pPr>
              <w:spacing w:before="40" w:after="40"/>
              <w:jc w:val="left"/>
              <w:rPr>
                <w:rFonts w:eastAsia="Arial"/>
                <w:iCs/>
                <w:snapToGrid w:val="0"/>
                <w:kern w:val="22"/>
                <w:lang w:val="en-CA" w:eastAsia="ko-KR"/>
              </w:rPr>
            </w:pPr>
            <w:r w:rsidRPr="00EB0301">
              <w:rPr>
                <w:rFonts w:eastAsia="Arial"/>
                <w:iCs/>
                <w:snapToGrid w:val="0"/>
                <w:kern w:val="22"/>
                <w:lang w:val="en-CA" w:eastAsia="ko-KR"/>
              </w:rPr>
              <w:t>N/A</w:t>
            </w:r>
          </w:p>
        </w:tc>
        <w:tc>
          <w:tcPr>
            <w:tcW w:w="847" w:type="pct"/>
            <w:shd w:val="clear" w:color="auto" w:fill="D9D9D9" w:themeFill="background1" w:themeFillShade="D9"/>
          </w:tcPr>
          <w:p w14:paraId="5A2AA396" w14:textId="77777777" w:rsidR="00160D42" w:rsidRPr="00EB0301" w:rsidRDefault="00160D42" w:rsidP="00C915A6">
            <w:pPr>
              <w:spacing w:before="40" w:after="40"/>
              <w:jc w:val="left"/>
              <w:rPr>
                <w:rFonts w:eastAsia="Arial"/>
                <w:iCs/>
                <w:snapToGrid w:val="0"/>
                <w:kern w:val="22"/>
                <w:lang w:val="en-CA" w:eastAsia="ko-KR"/>
              </w:rPr>
            </w:pPr>
            <w:r w:rsidRPr="00EB0301">
              <w:rPr>
                <w:rFonts w:eastAsia="Arial"/>
                <w:iCs/>
                <w:snapToGrid w:val="0"/>
                <w:kern w:val="22"/>
                <w:lang w:val="en-CA" w:eastAsia="ko-KR"/>
              </w:rPr>
              <w:t>2 countries (9%)</w:t>
            </w:r>
          </w:p>
          <w:p w14:paraId="30D2A170" w14:textId="77777777" w:rsidR="00160D42" w:rsidRPr="00EB0301" w:rsidRDefault="00160D42" w:rsidP="00C915A6">
            <w:pPr>
              <w:spacing w:before="40" w:after="40"/>
              <w:jc w:val="left"/>
              <w:rPr>
                <w:rFonts w:eastAsia="Arial"/>
                <w:iCs/>
                <w:snapToGrid w:val="0"/>
                <w:kern w:val="22"/>
                <w:lang w:val="en-CA" w:eastAsia="ko-KR"/>
              </w:rPr>
            </w:pPr>
            <w:r w:rsidRPr="00EB0301">
              <w:rPr>
                <w:rFonts w:eastAsia="Arial"/>
                <w:iCs/>
                <w:snapToGrid w:val="0"/>
                <w:kern w:val="22"/>
                <w:sz w:val="18"/>
                <w:lang w:val="en-CA" w:eastAsia="ko-KR"/>
              </w:rPr>
              <w:t>Mongolia, Solomon Islands</w:t>
            </w:r>
          </w:p>
        </w:tc>
        <w:tc>
          <w:tcPr>
            <w:tcW w:w="847" w:type="pct"/>
            <w:shd w:val="clear" w:color="auto" w:fill="D9D9D9" w:themeFill="background1" w:themeFillShade="D9"/>
          </w:tcPr>
          <w:p w14:paraId="1B880767" w14:textId="77777777" w:rsidR="00160D42" w:rsidRPr="00EB0301" w:rsidRDefault="00160D42" w:rsidP="00C915A6">
            <w:pPr>
              <w:tabs>
                <w:tab w:val="left" w:pos="1133"/>
              </w:tabs>
              <w:spacing w:before="40" w:after="40"/>
              <w:jc w:val="left"/>
              <w:rPr>
                <w:rFonts w:eastAsia="Arial"/>
                <w:lang w:val="en-CA"/>
              </w:rPr>
            </w:pPr>
            <w:r w:rsidRPr="00EB0301">
              <w:rPr>
                <w:rFonts w:eastAsia="Arial"/>
                <w:lang w:val="en-CA"/>
              </w:rPr>
              <w:t>3 countries (23.1%)</w:t>
            </w:r>
          </w:p>
          <w:p w14:paraId="4C90B95B" w14:textId="77777777" w:rsidR="00160D42" w:rsidRPr="00EB0301" w:rsidRDefault="00160D42" w:rsidP="00C915A6">
            <w:pPr>
              <w:tabs>
                <w:tab w:val="left" w:pos="1133"/>
              </w:tabs>
              <w:spacing w:before="40" w:after="40"/>
              <w:jc w:val="left"/>
              <w:rPr>
                <w:rFonts w:eastAsia="Arial"/>
                <w:sz w:val="18"/>
                <w:lang w:val="en-CA"/>
              </w:rPr>
            </w:pPr>
            <w:r w:rsidRPr="00EB0301">
              <w:rPr>
                <w:rFonts w:eastAsia="Arial"/>
                <w:sz w:val="18"/>
                <w:lang w:val="en-CA"/>
              </w:rPr>
              <w:t>Turkmenistan, Poland, Azerbaijan</w:t>
            </w:r>
          </w:p>
          <w:p w14:paraId="6723C813" w14:textId="77777777" w:rsidR="00160D42" w:rsidRPr="00EB0301" w:rsidRDefault="00160D42" w:rsidP="00C915A6">
            <w:pPr>
              <w:tabs>
                <w:tab w:val="left" w:pos="1133"/>
              </w:tabs>
              <w:spacing w:before="40" w:after="40"/>
              <w:jc w:val="left"/>
              <w:rPr>
                <w:rFonts w:eastAsia="Arial"/>
                <w:lang w:val="en-CA"/>
              </w:rPr>
            </w:pPr>
          </w:p>
          <w:p w14:paraId="62BF6FF2" w14:textId="77777777" w:rsidR="00160D42" w:rsidRPr="00EB0301" w:rsidRDefault="00160D42" w:rsidP="00C915A6">
            <w:pPr>
              <w:tabs>
                <w:tab w:val="left" w:pos="1133"/>
              </w:tabs>
              <w:spacing w:before="40" w:after="40"/>
              <w:jc w:val="left"/>
              <w:rPr>
                <w:rFonts w:eastAsia="Arial"/>
                <w:b/>
                <w:lang w:val="en-CA"/>
              </w:rPr>
            </w:pPr>
          </w:p>
          <w:p w14:paraId="65367818" w14:textId="77777777" w:rsidR="00160D42" w:rsidRPr="00EB0301" w:rsidRDefault="00160D42" w:rsidP="00C915A6">
            <w:pPr>
              <w:spacing w:before="40" w:after="40"/>
              <w:jc w:val="left"/>
              <w:rPr>
                <w:rFonts w:eastAsia="Arial"/>
                <w:lang w:val="en-CA"/>
              </w:rPr>
            </w:pPr>
          </w:p>
        </w:tc>
        <w:tc>
          <w:tcPr>
            <w:tcW w:w="847" w:type="pct"/>
            <w:shd w:val="clear" w:color="auto" w:fill="D9D9D9" w:themeFill="background1" w:themeFillShade="D9"/>
          </w:tcPr>
          <w:p w14:paraId="75AA211C" w14:textId="77777777" w:rsidR="00160D42" w:rsidRPr="00EB0301" w:rsidRDefault="00160D42" w:rsidP="00C915A6">
            <w:pPr>
              <w:spacing w:before="40" w:after="40"/>
              <w:jc w:val="left"/>
              <w:rPr>
                <w:rFonts w:eastAsia="Arial"/>
                <w:iCs/>
                <w:snapToGrid w:val="0"/>
                <w:kern w:val="22"/>
                <w:lang w:val="en-CA" w:eastAsia="ko-KR"/>
              </w:rPr>
            </w:pPr>
            <w:r w:rsidRPr="00EB0301">
              <w:rPr>
                <w:rFonts w:eastAsia="Arial"/>
                <w:iCs/>
                <w:snapToGrid w:val="0"/>
                <w:kern w:val="22"/>
                <w:lang w:val="en-CA" w:eastAsia="ko-KR"/>
              </w:rPr>
              <w:t xml:space="preserve">12 countries </w:t>
            </w:r>
            <w:r w:rsidRPr="00EB0301">
              <w:rPr>
                <w:rFonts w:eastAsia="Arial"/>
                <w:lang w:val="en-CA"/>
              </w:rPr>
              <w:t>+ IPLCs (61.9%)</w:t>
            </w:r>
          </w:p>
          <w:p w14:paraId="1AC51AB2" w14:textId="77777777" w:rsidR="00160D42" w:rsidRPr="00EB0301" w:rsidRDefault="00160D42" w:rsidP="00C915A6">
            <w:pPr>
              <w:spacing w:before="40" w:after="40"/>
              <w:jc w:val="left"/>
              <w:rPr>
                <w:rFonts w:eastAsia="Arial"/>
                <w:iCs/>
                <w:snapToGrid w:val="0"/>
                <w:kern w:val="22"/>
                <w:sz w:val="18"/>
                <w:lang w:val="en-CA" w:eastAsia="ko-KR"/>
              </w:rPr>
            </w:pPr>
            <w:r w:rsidRPr="00EB0301">
              <w:rPr>
                <w:rFonts w:eastAsia="Arial"/>
                <w:iCs/>
                <w:snapToGrid w:val="0"/>
                <w:kern w:val="22"/>
                <w:sz w:val="18"/>
                <w:lang w:val="en-CA" w:eastAsia="ko-KR"/>
              </w:rPr>
              <w:t>Antigua and Barbuda, Belize, Brazil, Costa Rica, Cuba, Dominican Republic, Guatemala, Mexico, Panama, Paraguay, Suriname, Uruguay, IPLCs</w:t>
            </w:r>
          </w:p>
        </w:tc>
      </w:tr>
      <w:tr w:rsidR="00160D42" w:rsidRPr="00EB0301" w14:paraId="7999FC81" w14:textId="77777777" w:rsidTr="001A2825">
        <w:trPr>
          <w:cantSplit/>
        </w:trPr>
        <w:tc>
          <w:tcPr>
            <w:tcW w:w="167" w:type="pct"/>
            <w:tcBorders>
              <w:bottom w:val="single" w:sz="8" w:space="0" w:color="009242"/>
            </w:tcBorders>
            <w:shd w:val="clear" w:color="auto" w:fill="auto"/>
          </w:tcPr>
          <w:p w14:paraId="4359554C" w14:textId="77777777" w:rsidR="00160D42" w:rsidRPr="00EB0301" w:rsidRDefault="00160D42" w:rsidP="00C915A6">
            <w:pPr>
              <w:spacing w:before="40" w:after="40"/>
              <w:jc w:val="left"/>
              <w:rPr>
                <w:rFonts w:eastAsia="Arial"/>
                <w:b/>
                <w:iCs/>
                <w:snapToGrid w:val="0"/>
                <w:kern w:val="22"/>
                <w:lang w:val="en-CA" w:eastAsia="ko-KR"/>
              </w:rPr>
            </w:pPr>
            <w:r w:rsidRPr="00EB0301">
              <w:rPr>
                <w:rFonts w:eastAsia="Arial"/>
                <w:b/>
                <w:iCs/>
                <w:snapToGrid w:val="0"/>
                <w:kern w:val="22"/>
                <w:lang w:val="en-CA" w:eastAsia="ko-KR"/>
              </w:rPr>
              <w:t>11</w:t>
            </w:r>
          </w:p>
        </w:tc>
        <w:tc>
          <w:tcPr>
            <w:tcW w:w="934" w:type="pct"/>
            <w:tcBorders>
              <w:bottom w:val="single" w:sz="8" w:space="0" w:color="009242"/>
            </w:tcBorders>
            <w:shd w:val="clear" w:color="auto" w:fill="auto"/>
          </w:tcPr>
          <w:p w14:paraId="552A1A67" w14:textId="77777777" w:rsidR="00160D42" w:rsidRPr="00EB0301" w:rsidRDefault="00160D42" w:rsidP="00C915A6">
            <w:pPr>
              <w:spacing w:before="40" w:after="40"/>
              <w:jc w:val="left"/>
              <w:rPr>
                <w:rFonts w:eastAsia="Arial"/>
                <w:b/>
                <w:iCs/>
                <w:snapToGrid w:val="0"/>
                <w:kern w:val="22"/>
                <w:lang w:val="en-CA" w:eastAsia="ko-KR"/>
              </w:rPr>
            </w:pPr>
            <w:r w:rsidRPr="00EB0301">
              <w:rPr>
                <w:rFonts w:eastAsia="Arial"/>
                <w:b/>
                <w:iCs/>
                <w:snapToGrid w:val="0"/>
                <w:kern w:val="22"/>
                <w:lang w:val="en-CA" w:eastAsia="ko-KR"/>
              </w:rPr>
              <w:t xml:space="preserve">Control of Wildlife Trade </w:t>
            </w:r>
          </w:p>
          <w:p w14:paraId="4B43BA6F" w14:textId="77777777" w:rsidR="00160D42" w:rsidRPr="00EB0301" w:rsidRDefault="00160D42" w:rsidP="00C915A6">
            <w:pPr>
              <w:spacing w:before="40" w:after="40"/>
              <w:jc w:val="left"/>
              <w:rPr>
                <w:rFonts w:eastAsia="Arial"/>
                <w:iCs/>
                <w:snapToGrid w:val="0"/>
                <w:kern w:val="22"/>
                <w:sz w:val="18"/>
                <w:lang w:val="en-CA" w:eastAsia="ko-KR"/>
              </w:rPr>
            </w:pPr>
            <w:r w:rsidRPr="00EB0301">
              <w:rPr>
                <w:rFonts w:eastAsia="Arial"/>
                <w:iCs/>
                <w:snapToGrid w:val="0"/>
                <w:kern w:val="22"/>
                <w:sz w:val="18"/>
                <w:lang w:val="en-CA" w:eastAsia="ko-KR"/>
              </w:rPr>
              <w:t>Illegal trade</w:t>
            </w:r>
          </w:p>
          <w:p w14:paraId="00540613" w14:textId="77777777" w:rsidR="00160D42" w:rsidRPr="00EB0301" w:rsidRDefault="00160D42" w:rsidP="00C915A6">
            <w:pPr>
              <w:spacing w:before="40" w:after="40"/>
              <w:jc w:val="left"/>
              <w:rPr>
                <w:rFonts w:eastAsia="Arial"/>
                <w:iCs/>
                <w:snapToGrid w:val="0"/>
                <w:kern w:val="22"/>
                <w:sz w:val="18"/>
                <w:lang w:val="en-CA" w:eastAsia="ko-KR"/>
              </w:rPr>
            </w:pPr>
            <w:r w:rsidRPr="00EB0301">
              <w:rPr>
                <w:rFonts w:eastAsia="Arial"/>
                <w:iCs/>
                <w:snapToGrid w:val="0"/>
                <w:kern w:val="22"/>
                <w:sz w:val="18"/>
                <w:lang w:val="en-CA" w:eastAsia="ko-KR"/>
              </w:rPr>
              <w:t>Enforcement</w:t>
            </w:r>
          </w:p>
          <w:p w14:paraId="3279C0E6" w14:textId="77777777" w:rsidR="00160D42" w:rsidRPr="00EB0301" w:rsidRDefault="00160D42" w:rsidP="00C915A6">
            <w:pPr>
              <w:spacing w:before="40" w:after="40"/>
              <w:jc w:val="left"/>
              <w:rPr>
                <w:rFonts w:eastAsia="Arial"/>
                <w:b/>
                <w:iCs/>
                <w:snapToGrid w:val="0"/>
                <w:kern w:val="22"/>
                <w:lang w:val="en-CA" w:eastAsia="ko-KR"/>
              </w:rPr>
            </w:pPr>
            <w:r w:rsidRPr="00EB0301">
              <w:rPr>
                <w:rFonts w:eastAsia="Arial"/>
                <w:iCs/>
                <w:snapToGrid w:val="0"/>
                <w:kern w:val="22"/>
                <w:sz w:val="18"/>
                <w:lang w:val="en-CA" w:eastAsia="ko-KR"/>
              </w:rPr>
              <w:t>Sustainable use</w:t>
            </w:r>
          </w:p>
        </w:tc>
        <w:tc>
          <w:tcPr>
            <w:tcW w:w="511" w:type="pct"/>
            <w:tcBorders>
              <w:bottom w:val="single" w:sz="8" w:space="0" w:color="009242"/>
            </w:tcBorders>
            <w:shd w:val="clear" w:color="auto" w:fill="auto"/>
          </w:tcPr>
          <w:p w14:paraId="7455290A" w14:textId="77777777" w:rsidR="00160D42" w:rsidRPr="00EB0301" w:rsidRDefault="00160D42" w:rsidP="00C915A6">
            <w:pPr>
              <w:spacing w:before="40" w:after="40"/>
              <w:jc w:val="left"/>
              <w:rPr>
                <w:rFonts w:eastAsia="Arial"/>
                <w:lang w:val="en-CA"/>
              </w:rPr>
            </w:pPr>
            <w:r w:rsidRPr="00EB0301">
              <w:rPr>
                <w:rFonts w:eastAsia="Arial"/>
                <w:lang w:val="en-CA"/>
              </w:rPr>
              <w:t>16 (18.6%)</w:t>
            </w:r>
          </w:p>
          <w:p w14:paraId="03EA01AA" w14:textId="021461FE" w:rsidR="00C915A6" w:rsidRPr="00EB0301" w:rsidRDefault="00C915A6" w:rsidP="00C915A6">
            <w:pPr>
              <w:spacing w:before="40" w:after="40"/>
              <w:jc w:val="left"/>
              <w:rPr>
                <w:rFonts w:eastAsia="Arial"/>
                <w:lang w:val="en-CA"/>
              </w:rPr>
            </w:pPr>
            <w:r w:rsidRPr="00EB0301">
              <w:rPr>
                <w:rFonts w:eastAsia="Arial"/>
                <w:lang w:val="en-CA"/>
              </w:rPr>
              <w:t>across all regions</w:t>
            </w:r>
          </w:p>
        </w:tc>
        <w:tc>
          <w:tcPr>
            <w:tcW w:w="847" w:type="pct"/>
            <w:tcBorders>
              <w:bottom w:val="single" w:sz="8" w:space="0" w:color="009242"/>
            </w:tcBorders>
            <w:shd w:val="clear" w:color="auto" w:fill="auto"/>
          </w:tcPr>
          <w:p w14:paraId="434E8AE8" w14:textId="77777777" w:rsidR="00160D42" w:rsidRPr="00EB0301" w:rsidRDefault="00160D42" w:rsidP="00C915A6">
            <w:pPr>
              <w:spacing w:before="40" w:after="40"/>
              <w:jc w:val="left"/>
              <w:rPr>
                <w:rFonts w:eastAsia="Arial"/>
                <w:lang w:val="en-CA"/>
              </w:rPr>
            </w:pPr>
            <w:r w:rsidRPr="00EB0301">
              <w:rPr>
                <w:rFonts w:eastAsia="Arial"/>
                <w:lang w:val="en-CA"/>
              </w:rPr>
              <w:t>N/A</w:t>
            </w:r>
          </w:p>
        </w:tc>
        <w:tc>
          <w:tcPr>
            <w:tcW w:w="847" w:type="pct"/>
            <w:tcBorders>
              <w:bottom w:val="single" w:sz="8" w:space="0" w:color="009242"/>
            </w:tcBorders>
            <w:shd w:val="clear" w:color="auto" w:fill="auto"/>
          </w:tcPr>
          <w:p w14:paraId="3733D04E" w14:textId="77777777" w:rsidR="00160D42" w:rsidRPr="00EB0301" w:rsidRDefault="00160D42" w:rsidP="00C915A6">
            <w:pPr>
              <w:spacing w:before="40" w:after="40"/>
              <w:jc w:val="left"/>
              <w:rPr>
                <w:rFonts w:eastAsia="Arial"/>
                <w:iCs/>
                <w:snapToGrid w:val="0"/>
                <w:kern w:val="22"/>
                <w:lang w:val="en-CA" w:eastAsia="ko-KR"/>
              </w:rPr>
            </w:pPr>
            <w:r w:rsidRPr="00EB0301">
              <w:rPr>
                <w:rFonts w:eastAsia="Arial"/>
                <w:iCs/>
                <w:snapToGrid w:val="0"/>
                <w:kern w:val="22"/>
                <w:lang w:val="en-CA" w:eastAsia="ko-KR"/>
              </w:rPr>
              <w:t>N/A</w:t>
            </w:r>
          </w:p>
        </w:tc>
        <w:tc>
          <w:tcPr>
            <w:tcW w:w="847" w:type="pct"/>
            <w:tcBorders>
              <w:bottom w:val="single" w:sz="8" w:space="0" w:color="009242"/>
            </w:tcBorders>
            <w:shd w:val="clear" w:color="auto" w:fill="auto"/>
          </w:tcPr>
          <w:p w14:paraId="59CB1AFF" w14:textId="77777777" w:rsidR="00160D42" w:rsidRPr="00EB0301" w:rsidRDefault="00160D42" w:rsidP="00C915A6">
            <w:pPr>
              <w:tabs>
                <w:tab w:val="left" w:pos="1133"/>
              </w:tabs>
              <w:spacing w:before="40" w:after="40"/>
              <w:jc w:val="left"/>
              <w:rPr>
                <w:rFonts w:eastAsia="Arial"/>
                <w:lang w:val="en-CA"/>
              </w:rPr>
            </w:pPr>
            <w:r w:rsidRPr="00EB0301">
              <w:rPr>
                <w:rFonts w:eastAsia="Arial"/>
                <w:lang w:val="en-CA"/>
              </w:rPr>
              <w:t>1 country (7.7%)</w:t>
            </w:r>
          </w:p>
          <w:p w14:paraId="5FD7A098" w14:textId="77777777" w:rsidR="00160D42" w:rsidRPr="00EB0301" w:rsidRDefault="00160D42" w:rsidP="00C915A6">
            <w:pPr>
              <w:tabs>
                <w:tab w:val="left" w:pos="1133"/>
              </w:tabs>
              <w:spacing w:before="40" w:after="40"/>
              <w:jc w:val="left"/>
              <w:rPr>
                <w:rFonts w:eastAsia="Arial"/>
                <w:sz w:val="18"/>
                <w:lang w:val="en-CA"/>
              </w:rPr>
            </w:pPr>
            <w:r w:rsidRPr="00EB0301">
              <w:rPr>
                <w:rFonts w:eastAsia="Arial"/>
                <w:sz w:val="18"/>
                <w:lang w:val="en-CA"/>
              </w:rPr>
              <w:t xml:space="preserve">Georgia </w:t>
            </w:r>
          </w:p>
          <w:p w14:paraId="6E38E000" w14:textId="77777777" w:rsidR="00160D42" w:rsidRPr="00EB0301" w:rsidRDefault="00160D42" w:rsidP="00C915A6">
            <w:pPr>
              <w:spacing w:before="40" w:after="40"/>
              <w:jc w:val="left"/>
              <w:rPr>
                <w:rFonts w:eastAsia="Arial"/>
                <w:lang w:val="en-CA"/>
              </w:rPr>
            </w:pPr>
          </w:p>
        </w:tc>
        <w:tc>
          <w:tcPr>
            <w:tcW w:w="847" w:type="pct"/>
            <w:tcBorders>
              <w:bottom w:val="single" w:sz="8" w:space="0" w:color="009242"/>
            </w:tcBorders>
            <w:shd w:val="clear" w:color="auto" w:fill="auto"/>
          </w:tcPr>
          <w:p w14:paraId="16F658B6" w14:textId="77777777" w:rsidR="00160D42" w:rsidRPr="00EB0301" w:rsidRDefault="00160D42" w:rsidP="00C915A6">
            <w:pPr>
              <w:tabs>
                <w:tab w:val="left" w:pos="6072"/>
              </w:tabs>
              <w:spacing w:before="40" w:after="40"/>
              <w:jc w:val="left"/>
              <w:rPr>
                <w:rFonts w:eastAsia="Arial"/>
                <w:iCs/>
                <w:snapToGrid w:val="0"/>
                <w:kern w:val="22"/>
                <w:lang w:val="en-CA" w:eastAsia="ko-KR"/>
              </w:rPr>
            </w:pPr>
            <w:r w:rsidRPr="00EB0301">
              <w:rPr>
                <w:rFonts w:eastAsia="Arial"/>
                <w:iCs/>
                <w:snapToGrid w:val="0"/>
                <w:kern w:val="22"/>
                <w:lang w:val="en-CA" w:eastAsia="ko-KR"/>
              </w:rPr>
              <w:t xml:space="preserve">14 countries </w:t>
            </w:r>
            <w:r w:rsidRPr="00EB0301">
              <w:rPr>
                <w:rFonts w:eastAsia="Arial"/>
                <w:lang w:val="en-CA"/>
              </w:rPr>
              <w:t xml:space="preserve">+ IPLCs </w:t>
            </w:r>
            <w:r w:rsidRPr="00EB0301">
              <w:rPr>
                <w:rFonts w:eastAsia="Arial"/>
                <w:iCs/>
                <w:snapToGrid w:val="0"/>
                <w:kern w:val="22"/>
                <w:lang w:val="en-CA" w:eastAsia="ko-KR"/>
              </w:rPr>
              <w:t>(71.4%)</w:t>
            </w:r>
          </w:p>
          <w:p w14:paraId="03B60993" w14:textId="77777777" w:rsidR="00160D42" w:rsidRPr="00EB0301" w:rsidRDefault="00160D42" w:rsidP="00C915A6">
            <w:pPr>
              <w:tabs>
                <w:tab w:val="left" w:pos="6072"/>
              </w:tabs>
              <w:spacing w:before="40" w:after="40"/>
              <w:jc w:val="left"/>
              <w:rPr>
                <w:rFonts w:eastAsia="Arial"/>
                <w:iCs/>
                <w:snapToGrid w:val="0"/>
                <w:kern w:val="22"/>
                <w:sz w:val="18"/>
                <w:lang w:val="en-CA" w:eastAsia="ko-KR"/>
              </w:rPr>
            </w:pPr>
            <w:r w:rsidRPr="00EB0301">
              <w:rPr>
                <w:rFonts w:eastAsia="Arial"/>
                <w:iCs/>
                <w:snapToGrid w:val="0"/>
                <w:kern w:val="22"/>
                <w:sz w:val="18"/>
                <w:lang w:val="en-CA" w:eastAsia="ko-KR"/>
              </w:rPr>
              <w:t>Antigua and Barbuda, Belize, Brazil, Colombia, Costa Rica, Cuba, Dominican Republic, Ecuador, Guatemala, Mexico, Panama, Paraguay, Peru, Venezuela, IPLCs</w:t>
            </w:r>
          </w:p>
        </w:tc>
      </w:tr>
      <w:tr w:rsidR="00160D42" w:rsidRPr="00EB0301" w14:paraId="1AF749CF" w14:textId="77777777" w:rsidTr="00C915A6">
        <w:trPr>
          <w:cantSplit/>
        </w:trPr>
        <w:tc>
          <w:tcPr>
            <w:tcW w:w="167" w:type="pct"/>
            <w:shd w:val="clear" w:color="auto" w:fill="D9D9D9" w:themeFill="background1" w:themeFillShade="D9"/>
          </w:tcPr>
          <w:p w14:paraId="2378D23B" w14:textId="77777777" w:rsidR="00160D42" w:rsidRPr="00EB0301" w:rsidRDefault="00160D42" w:rsidP="00C915A6">
            <w:pPr>
              <w:tabs>
                <w:tab w:val="left" w:pos="6072"/>
              </w:tabs>
              <w:spacing w:before="40" w:after="40"/>
              <w:jc w:val="left"/>
              <w:rPr>
                <w:rFonts w:eastAsia="Arial"/>
                <w:b/>
                <w:iCs/>
                <w:snapToGrid w:val="0"/>
                <w:kern w:val="22"/>
                <w:lang w:val="en-CA" w:eastAsia="ko-KR"/>
              </w:rPr>
            </w:pPr>
            <w:r w:rsidRPr="00EB0301">
              <w:rPr>
                <w:rFonts w:eastAsia="Arial"/>
                <w:b/>
                <w:iCs/>
                <w:snapToGrid w:val="0"/>
                <w:kern w:val="22"/>
                <w:lang w:val="en-CA" w:eastAsia="ko-KR"/>
              </w:rPr>
              <w:t>12</w:t>
            </w:r>
          </w:p>
        </w:tc>
        <w:tc>
          <w:tcPr>
            <w:tcW w:w="934" w:type="pct"/>
            <w:shd w:val="clear" w:color="auto" w:fill="D9D9D9" w:themeFill="background1" w:themeFillShade="D9"/>
          </w:tcPr>
          <w:p w14:paraId="6D25F487" w14:textId="77777777" w:rsidR="00160D42" w:rsidRPr="00EB0301" w:rsidRDefault="00160D42" w:rsidP="00C915A6">
            <w:pPr>
              <w:tabs>
                <w:tab w:val="left" w:pos="6072"/>
              </w:tabs>
              <w:spacing w:before="40" w:after="40"/>
              <w:jc w:val="left"/>
              <w:rPr>
                <w:rFonts w:eastAsia="Arial"/>
                <w:b/>
                <w:iCs/>
                <w:snapToGrid w:val="0"/>
                <w:kern w:val="22"/>
                <w:lang w:val="en-CA" w:eastAsia="ko-KR"/>
              </w:rPr>
            </w:pPr>
            <w:r w:rsidRPr="00EB0301">
              <w:rPr>
                <w:rFonts w:eastAsia="Arial"/>
                <w:b/>
                <w:iCs/>
                <w:snapToGrid w:val="0"/>
                <w:kern w:val="22"/>
                <w:lang w:val="en-CA" w:eastAsia="ko-KR"/>
              </w:rPr>
              <w:t xml:space="preserve">Agriculture Biodiversity </w:t>
            </w:r>
          </w:p>
          <w:p w14:paraId="6422C9BD" w14:textId="77777777" w:rsidR="00160D42" w:rsidRPr="00EB0301" w:rsidRDefault="00160D42" w:rsidP="00C915A6">
            <w:pPr>
              <w:tabs>
                <w:tab w:val="left" w:pos="6072"/>
              </w:tabs>
              <w:spacing w:before="40" w:after="40"/>
              <w:jc w:val="left"/>
              <w:rPr>
                <w:rFonts w:eastAsia="Arial"/>
                <w:iCs/>
                <w:snapToGrid w:val="0"/>
                <w:kern w:val="22"/>
                <w:sz w:val="18"/>
                <w:lang w:val="en-CA" w:eastAsia="ko-KR"/>
              </w:rPr>
            </w:pPr>
            <w:r w:rsidRPr="00EB0301">
              <w:rPr>
                <w:rFonts w:eastAsia="Arial"/>
                <w:iCs/>
                <w:snapToGrid w:val="0"/>
                <w:kern w:val="22"/>
                <w:sz w:val="18"/>
                <w:lang w:val="en-CA" w:eastAsia="ko-KR"/>
              </w:rPr>
              <w:t>Conservation of genetic resources</w:t>
            </w:r>
          </w:p>
          <w:p w14:paraId="25A24AAD" w14:textId="77777777" w:rsidR="00160D42" w:rsidRPr="00EB0301" w:rsidRDefault="00160D42" w:rsidP="00C915A6">
            <w:pPr>
              <w:tabs>
                <w:tab w:val="left" w:pos="6072"/>
              </w:tabs>
              <w:spacing w:before="40" w:after="40"/>
              <w:jc w:val="left"/>
              <w:rPr>
                <w:rFonts w:eastAsia="Arial"/>
                <w:iCs/>
                <w:snapToGrid w:val="0"/>
                <w:kern w:val="22"/>
                <w:lang w:val="en-CA" w:eastAsia="ko-KR"/>
              </w:rPr>
            </w:pPr>
            <w:r w:rsidRPr="00EB0301">
              <w:rPr>
                <w:rFonts w:eastAsia="Arial"/>
                <w:iCs/>
                <w:snapToGrid w:val="0"/>
                <w:kern w:val="22"/>
                <w:sz w:val="18"/>
                <w:lang w:val="en-CA" w:eastAsia="ko-KR"/>
              </w:rPr>
              <w:t>Food security</w:t>
            </w:r>
          </w:p>
        </w:tc>
        <w:tc>
          <w:tcPr>
            <w:tcW w:w="511" w:type="pct"/>
            <w:shd w:val="clear" w:color="auto" w:fill="D9D9D9" w:themeFill="background1" w:themeFillShade="D9"/>
          </w:tcPr>
          <w:p w14:paraId="5E17A1B8" w14:textId="77777777" w:rsidR="00160D42" w:rsidRPr="00EB0301" w:rsidRDefault="00160D42" w:rsidP="00C915A6">
            <w:pPr>
              <w:spacing w:before="40" w:after="40"/>
              <w:jc w:val="left"/>
              <w:rPr>
                <w:rFonts w:eastAsia="Arial"/>
                <w:iCs/>
                <w:snapToGrid w:val="0"/>
                <w:kern w:val="22"/>
                <w:lang w:val="en-CA" w:eastAsia="ko-KR"/>
              </w:rPr>
            </w:pPr>
            <w:r w:rsidRPr="00EB0301">
              <w:rPr>
                <w:rFonts w:eastAsia="Arial"/>
                <w:iCs/>
                <w:snapToGrid w:val="0"/>
                <w:kern w:val="22"/>
                <w:lang w:val="en-CA" w:eastAsia="ko-KR"/>
              </w:rPr>
              <w:t>11 (12.8%)</w:t>
            </w:r>
          </w:p>
        </w:tc>
        <w:tc>
          <w:tcPr>
            <w:tcW w:w="847" w:type="pct"/>
            <w:shd w:val="clear" w:color="auto" w:fill="D9D9D9" w:themeFill="background1" w:themeFillShade="D9"/>
          </w:tcPr>
          <w:p w14:paraId="4BA3E5A3" w14:textId="77777777" w:rsidR="00160D42" w:rsidRPr="00EB0301" w:rsidRDefault="00160D42" w:rsidP="00C915A6">
            <w:pPr>
              <w:spacing w:before="40" w:after="40"/>
              <w:jc w:val="left"/>
              <w:rPr>
                <w:rFonts w:eastAsia="Arial"/>
                <w:iCs/>
                <w:snapToGrid w:val="0"/>
                <w:kern w:val="22"/>
                <w:lang w:val="en-CA" w:eastAsia="ko-KR"/>
              </w:rPr>
            </w:pPr>
            <w:r w:rsidRPr="00EB0301">
              <w:rPr>
                <w:rFonts w:eastAsia="Arial"/>
                <w:iCs/>
                <w:snapToGrid w:val="0"/>
                <w:kern w:val="22"/>
                <w:lang w:val="en-CA" w:eastAsia="ko-KR"/>
              </w:rPr>
              <w:t>4 countries (13.3%)</w:t>
            </w:r>
          </w:p>
          <w:p w14:paraId="69AD773A" w14:textId="77777777" w:rsidR="00160D42" w:rsidRPr="00EB0301" w:rsidRDefault="00160D42" w:rsidP="00C915A6">
            <w:pPr>
              <w:tabs>
                <w:tab w:val="left" w:pos="6072"/>
              </w:tabs>
              <w:spacing w:before="40" w:after="40"/>
              <w:jc w:val="left"/>
              <w:rPr>
                <w:rFonts w:eastAsia="Arial"/>
                <w:iCs/>
                <w:snapToGrid w:val="0"/>
                <w:kern w:val="22"/>
                <w:sz w:val="18"/>
                <w:lang w:val="en-CA" w:eastAsia="ko-KR"/>
              </w:rPr>
            </w:pPr>
            <w:r w:rsidRPr="00EB0301">
              <w:rPr>
                <w:rFonts w:eastAsia="Arial"/>
                <w:iCs/>
                <w:snapToGrid w:val="0"/>
                <w:kern w:val="22"/>
                <w:sz w:val="18"/>
                <w:lang w:val="en-CA" w:eastAsia="ko-KR"/>
              </w:rPr>
              <w:t>Botswana, Cameroon, Ethiopia, Gabon</w:t>
            </w:r>
          </w:p>
        </w:tc>
        <w:tc>
          <w:tcPr>
            <w:tcW w:w="847" w:type="pct"/>
            <w:shd w:val="clear" w:color="auto" w:fill="D9D9D9" w:themeFill="background1" w:themeFillShade="D9"/>
          </w:tcPr>
          <w:p w14:paraId="3EC3E42E" w14:textId="77777777" w:rsidR="00160D42" w:rsidRPr="00EB0301" w:rsidRDefault="00160D42" w:rsidP="00C915A6">
            <w:pPr>
              <w:spacing w:before="40" w:after="40"/>
              <w:jc w:val="left"/>
              <w:rPr>
                <w:rFonts w:eastAsia="Arial"/>
                <w:iCs/>
                <w:snapToGrid w:val="0"/>
                <w:kern w:val="22"/>
                <w:lang w:val="en-CA" w:eastAsia="ko-KR"/>
              </w:rPr>
            </w:pPr>
            <w:r w:rsidRPr="00EB0301">
              <w:rPr>
                <w:rFonts w:eastAsia="Arial"/>
                <w:iCs/>
                <w:snapToGrid w:val="0"/>
                <w:kern w:val="22"/>
                <w:lang w:val="en-CA" w:eastAsia="ko-KR"/>
              </w:rPr>
              <w:t>1 country (4.5%)</w:t>
            </w:r>
          </w:p>
          <w:p w14:paraId="7C159911" w14:textId="77777777" w:rsidR="00160D42" w:rsidRPr="00EB0301" w:rsidRDefault="00160D42" w:rsidP="00C915A6">
            <w:pPr>
              <w:spacing w:before="40" w:after="40"/>
              <w:jc w:val="left"/>
              <w:rPr>
                <w:rFonts w:eastAsia="Arial"/>
                <w:iCs/>
                <w:snapToGrid w:val="0"/>
                <w:kern w:val="22"/>
                <w:lang w:val="en-CA" w:eastAsia="ko-KR"/>
              </w:rPr>
            </w:pPr>
            <w:r w:rsidRPr="00EB0301">
              <w:rPr>
                <w:rFonts w:eastAsia="Arial"/>
                <w:iCs/>
                <w:snapToGrid w:val="0"/>
                <w:kern w:val="22"/>
                <w:sz w:val="18"/>
                <w:lang w:val="en-CA" w:eastAsia="ko-KR"/>
              </w:rPr>
              <w:t>Bhutan</w:t>
            </w:r>
          </w:p>
        </w:tc>
        <w:tc>
          <w:tcPr>
            <w:tcW w:w="847" w:type="pct"/>
            <w:shd w:val="clear" w:color="auto" w:fill="D9D9D9" w:themeFill="background1" w:themeFillShade="D9"/>
          </w:tcPr>
          <w:p w14:paraId="639E11A4" w14:textId="77777777" w:rsidR="00160D42" w:rsidRPr="00EB0301" w:rsidRDefault="00160D42" w:rsidP="00C915A6">
            <w:pPr>
              <w:spacing w:before="40" w:after="40"/>
              <w:jc w:val="left"/>
              <w:rPr>
                <w:rFonts w:eastAsia="Arial"/>
                <w:lang w:val="en-CA"/>
              </w:rPr>
            </w:pPr>
            <w:r w:rsidRPr="00EB0301">
              <w:rPr>
                <w:rFonts w:eastAsia="Arial"/>
                <w:lang w:val="en-CA"/>
              </w:rPr>
              <w:t>N/A</w:t>
            </w:r>
          </w:p>
        </w:tc>
        <w:tc>
          <w:tcPr>
            <w:tcW w:w="847" w:type="pct"/>
            <w:shd w:val="clear" w:color="auto" w:fill="D9D9D9" w:themeFill="background1" w:themeFillShade="D9"/>
          </w:tcPr>
          <w:p w14:paraId="4217B325" w14:textId="77777777" w:rsidR="00160D42" w:rsidRPr="00EB0301" w:rsidRDefault="00160D42" w:rsidP="00C915A6">
            <w:pPr>
              <w:spacing w:before="40" w:after="40"/>
              <w:jc w:val="left"/>
              <w:rPr>
                <w:rFonts w:eastAsia="Arial"/>
                <w:lang w:val="en-CA"/>
              </w:rPr>
            </w:pPr>
            <w:r w:rsidRPr="00EB0301">
              <w:rPr>
                <w:rFonts w:eastAsia="Arial"/>
                <w:lang w:val="en-CA"/>
              </w:rPr>
              <w:t>5 countries + IPLCs (28.6%)</w:t>
            </w:r>
          </w:p>
          <w:p w14:paraId="224061DE" w14:textId="77777777" w:rsidR="00160D42" w:rsidRPr="00EB0301" w:rsidRDefault="00160D42" w:rsidP="00C915A6">
            <w:pPr>
              <w:spacing w:before="40" w:after="40"/>
              <w:jc w:val="left"/>
              <w:rPr>
                <w:rFonts w:eastAsia="Arial"/>
                <w:iCs/>
                <w:snapToGrid w:val="0"/>
                <w:kern w:val="22"/>
                <w:sz w:val="18"/>
                <w:lang w:val="en-CA" w:eastAsia="ko-KR"/>
              </w:rPr>
            </w:pPr>
            <w:r w:rsidRPr="00EB0301">
              <w:rPr>
                <w:rFonts w:eastAsia="Arial"/>
                <w:iCs/>
                <w:snapToGrid w:val="0"/>
                <w:kern w:val="22"/>
                <w:sz w:val="18"/>
                <w:lang w:val="en-CA" w:eastAsia="ko-KR"/>
              </w:rPr>
              <w:t>Belize, Cuba, Guatemala, Mexico, Uruguay, IPLCs</w:t>
            </w:r>
          </w:p>
        </w:tc>
      </w:tr>
      <w:tr w:rsidR="00160D42" w:rsidRPr="00EB0301" w14:paraId="1FA3FC86" w14:textId="77777777" w:rsidTr="001A2825">
        <w:trPr>
          <w:cantSplit/>
        </w:trPr>
        <w:tc>
          <w:tcPr>
            <w:tcW w:w="167" w:type="pct"/>
            <w:tcBorders>
              <w:bottom w:val="single" w:sz="8" w:space="0" w:color="009242"/>
            </w:tcBorders>
            <w:shd w:val="clear" w:color="auto" w:fill="auto"/>
          </w:tcPr>
          <w:p w14:paraId="1BD73A9B" w14:textId="77777777" w:rsidR="00160D42" w:rsidRPr="00EB0301" w:rsidRDefault="00160D42" w:rsidP="00C915A6">
            <w:pPr>
              <w:tabs>
                <w:tab w:val="left" w:pos="6072"/>
              </w:tabs>
              <w:spacing w:before="40" w:after="40"/>
              <w:jc w:val="left"/>
              <w:rPr>
                <w:rFonts w:eastAsia="Arial"/>
                <w:b/>
                <w:iCs/>
                <w:snapToGrid w:val="0"/>
                <w:kern w:val="22"/>
                <w:lang w:val="en-CA" w:eastAsia="ko-KR"/>
              </w:rPr>
            </w:pPr>
            <w:r w:rsidRPr="00EB0301">
              <w:rPr>
                <w:rFonts w:eastAsia="Arial"/>
                <w:b/>
                <w:iCs/>
                <w:snapToGrid w:val="0"/>
                <w:kern w:val="22"/>
                <w:lang w:val="en-CA" w:eastAsia="ko-KR"/>
              </w:rPr>
              <w:t>13</w:t>
            </w:r>
          </w:p>
        </w:tc>
        <w:tc>
          <w:tcPr>
            <w:tcW w:w="934" w:type="pct"/>
            <w:tcBorders>
              <w:bottom w:val="single" w:sz="8" w:space="0" w:color="009242"/>
            </w:tcBorders>
            <w:shd w:val="clear" w:color="auto" w:fill="auto"/>
          </w:tcPr>
          <w:p w14:paraId="2AF00CD3" w14:textId="77777777" w:rsidR="00160D42" w:rsidRPr="00EB0301" w:rsidRDefault="00160D42" w:rsidP="00C915A6">
            <w:pPr>
              <w:tabs>
                <w:tab w:val="left" w:pos="6072"/>
              </w:tabs>
              <w:spacing w:before="40" w:after="40"/>
              <w:jc w:val="left"/>
              <w:rPr>
                <w:rFonts w:eastAsia="Arial"/>
                <w:b/>
                <w:iCs/>
                <w:snapToGrid w:val="0"/>
                <w:kern w:val="22"/>
                <w:lang w:val="en-CA" w:eastAsia="ko-KR"/>
              </w:rPr>
            </w:pPr>
            <w:r w:rsidRPr="00EB0301">
              <w:rPr>
                <w:rFonts w:eastAsia="Arial"/>
                <w:b/>
                <w:iCs/>
                <w:snapToGrid w:val="0"/>
                <w:kern w:val="22"/>
                <w:lang w:val="en-CA" w:eastAsia="ko-KR"/>
              </w:rPr>
              <w:t>Traditional Knowledge and C</w:t>
            </w:r>
            <w:r w:rsidRPr="00EB0301">
              <w:rPr>
                <w:rFonts w:eastAsia="Arial"/>
                <w:b/>
                <w:lang w:val="en-CA"/>
              </w:rPr>
              <w:t xml:space="preserve">ommunity-Based Monitoring </w:t>
            </w:r>
          </w:p>
        </w:tc>
        <w:tc>
          <w:tcPr>
            <w:tcW w:w="511" w:type="pct"/>
            <w:tcBorders>
              <w:bottom w:val="single" w:sz="8" w:space="0" w:color="009242"/>
            </w:tcBorders>
            <w:shd w:val="clear" w:color="auto" w:fill="auto"/>
          </w:tcPr>
          <w:p w14:paraId="5628BD30" w14:textId="77777777" w:rsidR="00160D42" w:rsidRPr="00EB0301" w:rsidRDefault="00160D42" w:rsidP="00C915A6">
            <w:pPr>
              <w:tabs>
                <w:tab w:val="left" w:pos="6072"/>
              </w:tabs>
              <w:spacing w:before="40" w:after="40"/>
              <w:jc w:val="left"/>
              <w:rPr>
                <w:rFonts w:eastAsia="Arial"/>
                <w:iCs/>
                <w:snapToGrid w:val="0"/>
                <w:kern w:val="22"/>
                <w:lang w:val="en-CA" w:eastAsia="ko-KR"/>
              </w:rPr>
            </w:pPr>
            <w:r w:rsidRPr="00EB0301">
              <w:rPr>
                <w:rFonts w:eastAsia="Arial"/>
                <w:iCs/>
                <w:snapToGrid w:val="0"/>
                <w:kern w:val="22"/>
                <w:lang w:val="en-CA" w:eastAsia="ko-KR"/>
              </w:rPr>
              <w:t>5 (5.8%)</w:t>
            </w:r>
          </w:p>
        </w:tc>
        <w:tc>
          <w:tcPr>
            <w:tcW w:w="847" w:type="pct"/>
            <w:tcBorders>
              <w:bottom w:val="single" w:sz="8" w:space="0" w:color="009242"/>
            </w:tcBorders>
            <w:shd w:val="clear" w:color="auto" w:fill="auto"/>
          </w:tcPr>
          <w:p w14:paraId="73EEBFAA" w14:textId="77777777" w:rsidR="00160D42" w:rsidRPr="00EB0301" w:rsidRDefault="00160D42" w:rsidP="00C915A6">
            <w:pPr>
              <w:tabs>
                <w:tab w:val="left" w:pos="6072"/>
              </w:tabs>
              <w:spacing w:before="40" w:after="40"/>
              <w:jc w:val="left"/>
              <w:rPr>
                <w:rFonts w:eastAsia="Arial"/>
                <w:iCs/>
                <w:snapToGrid w:val="0"/>
                <w:kern w:val="22"/>
                <w:lang w:val="en-CA" w:eastAsia="ko-KR"/>
              </w:rPr>
            </w:pPr>
            <w:r w:rsidRPr="00EB0301">
              <w:rPr>
                <w:rFonts w:eastAsia="Arial"/>
                <w:iCs/>
                <w:snapToGrid w:val="0"/>
                <w:kern w:val="22"/>
                <w:lang w:val="en-CA" w:eastAsia="ko-KR"/>
              </w:rPr>
              <w:t>N/A</w:t>
            </w:r>
          </w:p>
        </w:tc>
        <w:tc>
          <w:tcPr>
            <w:tcW w:w="847" w:type="pct"/>
            <w:tcBorders>
              <w:bottom w:val="single" w:sz="8" w:space="0" w:color="009242"/>
            </w:tcBorders>
            <w:shd w:val="clear" w:color="auto" w:fill="auto"/>
          </w:tcPr>
          <w:p w14:paraId="293BC5CF" w14:textId="77777777" w:rsidR="00160D42" w:rsidRPr="00EB0301" w:rsidRDefault="00160D42" w:rsidP="00C915A6">
            <w:pPr>
              <w:spacing w:before="40" w:after="40"/>
              <w:jc w:val="left"/>
              <w:rPr>
                <w:rFonts w:eastAsia="Arial"/>
                <w:iCs/>
                <w:snapToGrid w:val="0"/>
                <w:kern w:val="22"/>
                <w:lang w:val="en-CA" w:eastAsia="ko-KR"/>
              </w:rPr>
            </w:pPr>
            <w:r w:rsidRPr="00EB0301">
              <w:rPr>
                <w:rFonts w:eastAsia="Arial"/>
                <w:iCs/>
                <w:snapToGrid w:val="0"/>
                <w:kern w:val="22"/>
                <w:lang w:val="en-CA" w:eastAsia="ko-KR"/>
              </w:rPr>
              <w:t>IPLCs (4.5%)</w:t>
            </w:r>
          </w:p>
          <w:p w14:paraId="75206326" w14:textId="77777777" w:rsidR="00160D42" w:rsidRPr="00EB0301" w:rsidRDefault="00160D42" w:rsidP="00C915A6">
            <w:pPr>
              <w:tabs>
                <w:tab w:val="left" w:pos="6072"/>
              </w:tabs>
              <w:spacing w:before="40" w:after="40"/>
              <w:jc w:val="left"/>
              <w:rPr>
                <w:rFonts w:eastAsia="Arial"/>
                <w:iCs/>
                <w:snapToGrid w:val="0"/>
                <w:kern w:val="22"/>
                <w:lang w:val="en-CA" w:eastAsia="ko-KR"/>
              </w:rPr>
            </w:pPr>
            <w:r w:rsidRPr="00EB0301">
              <w:rPr>
                <w:rFonts w:eastAsia="Arial"/>
                <w:iCs/>
                <w:snapToGrid w:val="0"/>
                <w:kern w:val="22"/>
                <w:sz w:val="18"/>
                <w:lang w:val="en-CA" w:eastAsia="ko-KR"/>
              </w:rPr>
              <w:t>IPLCs</w:t>
            </w:r>
          </w:p>
        </w:tc>
        <w:tc>
          <w:tcPr>
            <w:tcW w:w="847" w:type="pct"/>
            <w:tcBorders>
              <w:bottom w:val="single" w:sz="8" w:space="0" w:color="009242"/>
            </w:tcBorders>
            <w:shd w:val="clear" w:color="auto" w:fill="auto"/>
          </w:tcPr>
          <w:p w14:paraId="7688978C" w14:textId="77777777" w:rsidR="00160D42" w:rsidRPr="00EB0301" w:rsidRDefault="00160D42" w:rsidP="00C915A6">
            <w:pPr>
              <w:tabs>
                <w:tab w:val="left" w:pos="1133"/>
              </w:tabs>
              <w:spacing w:before="40" w:after="40"/>
              <w:jc w:val="left"/>
              <w:rPr>
                <w:rFonts w:eastAsia="Arial"/>
                <w:lang w:val="en-CA"/>
              </w:rPr>
            </w:pPr>
            <w:r w:rsidRPr="00EB0301">
              <w:rPr>
                <w:rFonts w:eastAsia="Arial"/>
                <w:lang w:val="en-CA"/>
              </w:rPr>
              <w:t>3 countries + IPLCs (30.8%)</w:t>
            </w:r>
          </w:p>
          <w:p w14:paraId="712AC1AE" w14:textId="77777777" w:rsidR="00160D42" w:rsidRPr="00EB0301" w:rsidRDefault="00160D42" w:rsidP="00C915A6">
            <w:pPr>
              <w:tabs>
                <w:tab w:val="left" w:pos="1133"/>
              </w:tabs>
              <w:spacing w:before="40" w:after="40"/>
              <w:jc w:val="left"/>
              <w:rPr>
                <w:rFonts w:eastAsia="Arial"/>
                <w:sz w:val="18"/>
                <w:lang w:val="en-CA"/>
              </w:rPr>
            </w:pPr>
            <w:r w:rsidRPr="00EB0301">
              <w:rPr>
                <w:rFonts w:eastAsia="Arial"/>
                <w:sz w:val="18"/>
                <w:lang w:val="en-CA"/>
              </w:rPr>
              <w:t>Turkmenistan, Belarus</w:t>
            </w:r>
            <w:r w:rsidRPr="00EB0301">
              <w:rPr>
                <w:rFonts w:eastAsia="Arial"/>
                <w:iCs/>
                <w:snapToGrid w:val="0"/>
                <w:kern w:val="22"/>
                <w:sz w:val="18"/>
                <w:lang w:val="en-CA" w:eastAsia="ko-KR"/>
              </w:rPr>
              <w:t>,</w:t>
            </w:r>
            <w:r w:rsidRPr="00EB0301">
              <w:rPr>
                <w:rFonts w:eastAsia="Arial"/>
                <w:lang w:val="en-CA"/>
              </w:rPr>
              <w:t xml:space="preserve"> </w:t>
            </w:r>
            <w:r w:rsidRPr="00EB0301">
              <w:rPr>
                <w:rFonts w:eastAsia="Arial"/>
                <w:sz w:val="18"/>
                <w:lang w:val="en-CA"/>
              </w:rPr>
              <w:t>Tajikistan,</w:t>
            </w:r>
            <w:r w:rsidRPr="00EB0301">
              <w:rPr>
                <w:rFonts w:eastAsia="Arial"/>
                <w:iCs/>
                <w:snapToGrid w:val="0"/>
                <w:kern w:val="22"/>
                <w:sz w:val="18"/>
                <w:lang w:val="en-CA" w:eastAsia="ko-KR"/>
              </w:rPr>
              <w:t xml:space="preserve"> IPLCs</w:t>
            </w:r>
          </w:p>
          <w:p w14:paraId="105518BD" w14:textId="77777777" w:rsidR="00160D42" w:rsidRPr="00EB0301" w:rsidRDefault="00160D42" w:rsidP="00C915A6">
            <w:pPr>
              <w:spacing w:before="40" w:after="40"/>
              <w:jc w:val="left"/>
              <w:rPr>
                <w:rFonts w:eastAsia="Arial"/>
                <w:lang w:val="en-CA"/>
              </w:rPr>
            </w:pPr>
          </w:p>
        </w:tc>
        <w:tc>
          <w:tcPr>
            <w:tcW w:w="847" w:type="pct"/>
            <w:tcBorders>
              <w:bottom w:val="single" w:sz="8" w:space="0" w:color="009242"/>
            </w:tcBorders>
            <w:shd w:val="clear" w:color="auto" w:fill="auto"/>
          </w:tcPr>
          <w:p w14:paraId="2BA2CD20" w14:textId="77777777" w:rsidR="00160D42" w:rsidRPr="00EB0301" w:rsidRDefault="00160D42" w:rsidP="00C915A6">
            <w:pPr>
              <w:spacing w:before="40" w:after="40"/>
              <w:jc w:val="left"/>
              <w:rPr>
                <w:rFonts w:eastAsia="Arial"/>
                <w:lang w:val="en-CA"/>
              </w:rPr>
            </w:pPr>
            <w:r w:rsidRPr="00EB0301">
              <w:rPr>
                <w:rFonts w:eastAsia="Arial"/>
                <w:lang w:val="en-CA"/>
              </w:rPr>
              <w:t>N/A</w:t>
            </w:r>
          </w:p>
        </w:tc>
      </w:tr>
      <w:tr w:rsidR="00160D42" w:rsidRPr="00EB0301" w14:paraId="3859A363" w14:textId="77777777" w:rsidTr="00C915A6">
        <w:trPr>
          <w:cantSplit/>
        </w:trPr>
        <w:tc>
          <w:tcPr>
            <w:tcW w:w="167" w:type="pct"/>
            <w:shd w:val="clear" w:color="auto" w:fill="D9D9D9" w:themeFill="background1" w:themeFillShade="D9"/>
          </w:tcPr>
          <w:p w14:paraId="711B677C" w14:textId="77777777" w:rsidR="00160D42" w:rsidRPr="00EB0301" w:rsidRDefault="00160D42" w:rsidP="00C915A6">
            <w:pPr>
              <w:tabs>
                <w:tab w:val="left" w:pos="6072"/>
              </w:tabs>
              <w:spacing w:before="40" w:after="40"/>
              <w:jc w:val="left"/>
              <w:rPr>
                <w:rFonts w:eastAsia="Arial"/>
                <w:b/>
                <w:iCs/>
                <w:snapToGrid w:val="0"/>
                <w:kern w:val="22"/>
                <w:lang w:val="en-CA" w:eastAsia="ko-KR"/>
              </w:rPr>
            </w:pPr>
            <w:r w:rsidRPr="00EB0301">
              <w:rPr>
                <w:rFonts w:eastAsia="Arial"/>
                <w:b/>
                <w:iCs/>
                <w:snapToGrid w:val="0"/>
                <w:kern w:val="22"/>
                <w:lang w:val="en-CA" w:eastAsia="ko-KR"/>
              </w:rPr>
              <w:t>14</w:t>
            </w:r>
          </w:p>
        </w:tc>
        <w:tc>
          <w:tcPr>
            <w:tcW w:w="934" w:type="pct"/>
            <w:shd w:val="clear" w:color="auto" w:fill="D9D9D9" w:themeFill="background1" w:themeFillShade="D9"/>
          </w:tcPr>
          <w:p w14:paraId="435DF2D6" w14:textId="77777777" w:rsidR="00160D42" w:rsidRPr="00EB0301" w:rsidRDefault="00160D42" w:rsidP="00C915A6">
            <w:pPr>
              <w:tabs>
                <w:tab w:val="left" w:pos="6072"/>
              </w:tabs>
              <w:spacing w:before="40" w:after="40"/>
              <w:jc w:val="left"/>
              <w:rPr>
                <w:rFonts w:eastAsia="Arial"/>
                <w:b/>
                <w:iCs/>
                <w:snapToGrid w:val="0"/>
                <w:kern w:val="22"/>
                <w:lang w:val="en-CA" w:eastAsia="ko-KR"/>
              </w:rPr>
            </w:pPr>
            <w:r w:rsidRPr="00EB0301">
              <w:rPr>
                <w:rFonts w:eastAsia="Arial"/>
                <w:b/>
                <w:iCs/>
                <w:snapToGrid w:val="0"/>
                <w:kern w:val="22"/>
                <w:lang w:val="en-CA" w:eastAsia="ko-KR"/>
              </w:rPr>
              <w:t>Pollution control</w:t>
            </w:r>
          </w:p>
        </w:tc>
        <w:tc>
          <w:tcPr>
            <w:tcW w:w="511" w:type="pct"/>
            <w:shd w:val="clear" w:color="auto" w:fill="D9D9D9" w:themeFill="background1" w:themeFillShade="D9"/>
          </w:tcPr>
          <w:p w14:paraId="0639E013" w14:textId="77777777" w:rsidR="00160D42" w:rsidRPr="00EB0301" w:rsidRDefault="00160D42" w:rsidP="00C915A6">
            <w:pPr>
              <w:tabs>
                <w:tab w:val="left" w:pos="6072"/>
              </w:tabs>
              <w:spacing w:before="40" w:after="40"/>
              <w:jc w:val="left"/>
              <w:rPr>
                <w:rFonts w:eastAsia="Arial"/>
                <w:iCs/>
                <w:snapToGrid w:val="0"/>
                <w:kern w:val="22"/>
                <w:lang w:val="en-CA" w:eastAsia="ko-KR"/>
              </w:rPr>
            </w:pPr>
            <w:r w:rsidRPr="00EB0301">
              <w:rPr>
                <w:rFonts w:eastAsia="Arial"/>
                <w:iCs/>
                <w:snapToGrid w:val="0"/>
                <w:kern w:val="22"/>
                <w:lang w:val="en-CA" w:eastAsia="ko-KR"/>
              </w:rPr>
              <w:t>4 (4.6%)</w:t>
            </w:r>
          </w:p>
        </w:tc>
        <w:tc>
          <w:tcPr>
            <w:tcW w:w="847" w:type="pct"/>
            <w:shd w:val="clear" w:color="auto" w:fill="D9D9D9" w:themeFill="background1" w:themeFillShade="D9"/>
          </w:tcPr>
          <w:p w14:paraId="7555F4B1" w14:textId="77777777" w:rsidR="00160D42" w:rsidRPr="00EB0301" w:rsidRDefault="00160D42" w:rsidP="00C915A6">
            <w:pPr>
              <w:tabs>
                <w:tab w:val="left" w:pos="6072"/>
              </w:tabs>
              <w:spacing w:before="40" w:after="40"/>
              <w:jc w:val="left"/>
              <w:rPr>
                <w:rFonts w:eastAsia="Arial"/>
                <w:iCs/>
                <w:snapToGrid w:val="0"/>
                <w:kern w:val="22"/>
                <w:lang w:val="en-CA" w:eastAsia="ko-KR"/>
              </w:rPr>
            </w:pPr>
            <w:r w:rsidRPr="00EB0301">
              <w:rPr>
                <w:rFonts w:eastAsia="Arial"/>
                <w:iCs/>
                <w:snapToGrid w:val="0"/>
                <w:kern w:val="22"/>
                <w:lang w:val="en-CA" w:eastAsia="ko-KR"/>
              </w:rPr>
              <w:t>4 countries (13.3%)</w:t>
            </w:r>
          </w:p>
          <w:p w14:paraId="7D99288D" w14:textId="77777777" w:rsidR="00160D42" w:rsidRPr="00EB0301" w:rsidRDefault="00160D42" w:rsidP="00C915A6">
            <w:pPr>
              <w:tabs>
                <w:tab w:val="left" w:pos="6072"/>
              </w:tabs>
              <w:spacing w:before="40" w:after="40"/>
              <w:jc w:val="left"/>
              <w:rPr>
                <w:rFonts w:eastAsia="Arial"/>
                <w:iCs/>
                <w:snapToGrid w:val="0"/>
                <w:kern w:val="22"/>
                <w:sz w:val="18"/>
                <w:lang w:val="en-CA" w:eastAsia="ko-KR"/>
              </w:rPr>
            </w:pPr>
            <w:r w:rsidRPr="00EB0301">
              <w:rPr>
                <w:rFonts w:eastAsia="Arial"/>
                <w:iCs/>
                <w:snapToGrid w:val="0"/>
                <w:kern w:val="22"/>
                <w:sz w:val="18"/>
                <w:lang w:val="en-CA" w:eastAsia="ko-KR"/>
              </w:rPr>
              <w:t>Burkina Faso, Djibouti, Egypt, Niger</w:t>
            </w:r>
          </w:p>
        </w:tc>
        <w:tc>
          <w:tcPr>
            <w:tcW w:w="847" w:type="pct"/>
            <w:shd w:val="clear" w:color="auto" w:fill="D9D9D9" w:themeFill="background1" w:themeFillShade="D9"/>
          </w:tcPr>
          <w:p w14:paraId="77B5ABF8" w14:textId="77777777" w:rsidR="00160D42" w:rsidRPr="00EB0301" w:rsidRDefault="00160D42" w:rsidP="00C915A6">
            <w:pPr>
              <w:spacing w:before="40" w:after="40"/>
              <w:jc w:val="left"/>
              <w:rPr>
                <w:rFonts w:eastAsia="Arial"/>
                <w:iCs/>
                <w:snapToGrid w:val="0"/>
                <w:kern w:val="22"/>
                <w:lang w:val="en-CA" w:eastAsia="ko-KR"/>
              </w:rPr>
            </w:pPr>
            <w:r w:rsidRPr="00EB0301">
              <w:rPr>
                <w:rFonts w:eastAsia="Arial"/>
                <w:iCs/>
                <w:snapToGrid w:val="0"/>
                <w:kern w:val="22"/>
                <w:lang w:val="en-CA" w:eastAsia="ko-KR"/>
              </w:rPr>
              <w:t>N/A</w:t>
            </w:r>
          </w:p>
        </w:tc>
        <w:tc>
          <w:tcPr>
            <w:tcW w:w="847" w:type="pct"/>
            <w:shd w:val="clear" w:color="auto" w:fill="D9D9D9" w:themeFill="background1" w:themeFillShade="D9"/>
          </w:tcPr>
          <w:p w14:paraId="0F9347F3" w14:textId="77777777" w:rsidR="00160D42" w:rsidRPr="00EB0301" w:rsidRDefault="00160D42" w:rsidP="00C915A6">
            <w:pPr>
              <w:spacing w:before="40" w:after="40"/>
              <w:jc w:val="left"/>
              <w:rPr>
                <w:rFonts w:eastAsia="Arial"/>
                <w:lang w:val="en-CA"/>
              </w:rPr>
            </w:pPr>
            <w:r w:rsidRPr="00EB0301">
              <w:rPr>
                <w:rFonts w:eastAsia="Arial"/>
                <w:lang w:val="en-CA"/>
              </w:rPr>
              <w:t>N/A</w:t>
            </w:r>
          </w:p>
        </w:tc>
        <w:tc>
          <w:tcPr>
            <w:tcW w:w="847" w:type="pct"/>
            <w:shd w:val="clear" w:color="auto" w:fill="D9D9D9" w:themeFill="background1" w:themeFillShade="D9"/>
          </w:tcPr>
          <w:p w14:paraId="203BFCB0" w14:textId="77777777" w:rsidR="00160D42" w:rsidRPr="00EB0301" w:rsidRDefault="00160D42" w:rsidP="00C915A6">
            <w:pPr>
              <w:spacing w:before="40" w:after="40"/>
              <w:jc w:val="left"/>
              <w:rPr>
                <w:rFonts w:eastAsia="Arial"/>
                <w:lang w:val="en-CA"/>
              </w:rPr>
            </w:pPr>
            <w:r w:rsidRPr="00EB0301">
              <w:rPr>
                <w:rFonts w:eastAsia="Arial"/>
                <w:lang w:val="en-CA"/>
              </w:rPr>
              <w:t>N/A</w:t>
            </w:r>
          </w:p>
        </w:tc>
      </w:tr>
    </w:tbl>
    <w:p w14:paraId="45599007" w14:textId="2AE34C55" w:rsidR="002679DF" w:rsidRPr="00EB0301" w:rsidRDefault="002679DF" w:rsidP="00DB20B1">
      <w:pPr>
        <w:pStyle w:val="CommentText"/>
        <w:ind w:left="360"/>
        <w:rPr>
          <w:kern w:val="22"/>
          <w:lang w:val="en-CA"/>
        </w:rPr>
      </w:pPr>
    </w:p>
    <w:sectPr w:rsidR="002679DF" w:rsidRPr="00EB0301" w:rsidSect="00DB20B1">
      <w:pgSz w:w="15840" w:h="12240" w:orient="landscape"/>
      <w:pgMar w:top="1389" w:right="567" w:bottom="138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23525" w14:textId="77777777" w:rsidR="006103E6" w:rsidRDefault="006103E6" w:rsidP="00CF1848">
      <w:r>
        <w:separator/>
      </w:r>
    </w:p>
  </w:endnote>
  <w:endnote w:type="continuationSeparator" w:id="0">
    <w:p w14:paraId="02D7FF81" w14:textId="77777777" w:rsidR="006103E6" w:rsidRDefault="006103E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4B058" w14:textId="77777777" w:rsidR="006103E6" w:rsidRDefault="006103E6" w:rsidP="00CF1848">
      <w:r>
        <w:separator/>
      </w:r>
    </w:p>
  </w:footnote>
  <w:footnote w:type="continuationSeparator" w:id="0">
    <w:p w14:paraId="237A7888" w14:textId="77777777" w:rsidR="006103E6" w:rsidRDefault="006103E6" w:rsidP="00CF1848">
      <w:r>
        <w:continuationSeparator/>
      </w:r>
    </w:p>
  </w:footnote>
  <w:footnote w:id="1">
    <w:p w14:paraId="7AD665FB" w14:textId="60F9FC49" w:rsidR="006103E6" w:rsidRPr="00632F77" w:rsidRDefault="006103E6" w:rsidP="00730447">
      <w:pPr>
        <w:pStyle w:val="FootnoteText"/>
        <w:ind w:firstLine="0"/>
        <w:rPr>
          <w:lang w:val="en-US"/>
        </w:rPr>
      </w:pPr>
      <w:r>
        <w:rPr>
          <w:rStyle w:val="FootnoteReference"/>
        </w:rPr>
        <w:footnoteRef/>
      </w:r>
      <w:r>
        <w:t xml:space="preserve"> </w:t>
      </w:r>
      <w:r w:rsidRPr="00F72771">
        <w:rPr>
          <w:kern w:val="22"/>
          <w:lang w:val="en-CA"/>
        </w:rPr>
        <w:t xml:space="preserve">At its core, </w:t>
      </w:r>
      <w:r>
        <w:rPr>
          <w:kern w:val="22"/>
          <w:lang w:val="en-CA"/>
        </w:rPr>
        <w:t>t</w:t>
      </w:r>
      <w:r w:rsidRPr="00F72771">
        <w:rPr>
          <w:kern w:val="22"/>
          <w:lang w:val="en-CA"/>
        </w:rPr>
        <w:t xml:space="preserve">he Bio-Bridge Initiative </w:t>
      </w:r>
      <w:r>
        <w:rPr>
          <w:kern w:val="22"/>
          <w:lang w:val="en-CA"/>
        </w:rPr>
        <w:t xml:space="preserve">is a programme that </w:t>
      </w:r>
      <w:r w:rsidRPr="00F72771">
        <w:rPr>
          <w:kern w:val="22"/>
          <w:lang w:val="en-CA"/>
        </w:rPr>
        <w:t xml:space="preserve">links Parties that have technical and scientific needs with Parties and institutions that are </w:t>
      </w:r>
      <w:proofErr w:type="gramStart"/>
      <w:r w:rsidRPr="00F72771">
        <w:rPr>
          <w:kern w:val="22"/>
          <w:lang w:val="en-CA"/>
        </w:rPr>
        <w:t>in a position</w:t>
      </w:r>
      <w:proofErr w:type="gramEnd"/>
      <w:r w:rsidRPr="00F72771">
        <w:rPr>
          <w:kern w:val="22"/>
          <w:lang w:val="en-CA"/>
        </w:rPr>
        <w:t xml:space="preserve"> to respond to these needs through mutual partnerships</w:t>
      </w:r>
      <w:r>
        <w:rPr>
          <w:kern w:val="22"/>
          <w:lang w:val="en-CA"/>
        </w:rPr>
        <w:t xml:space="preserve"> and</w:t>
      </w:r>
      <w:r w:rsidRPr="00F72771">
        <w:rPr>
          <w:kern w:val="22"/>
          <w:lang w:val="en-CA"/>
        </w:rPr>
        <w:t xml:space="preserve"> through incubation of new initiatives</w:t>
      </w:r>
      <w:r>
        <w:rPr>
          <w:kern w:val="22"/>
          <w:lang w:val="en-CA"/>
        </w:rPr>
        <w:t xml:space="preserve"> using small seed funding</w:t>
      </w:r>
      <w:r w:rsidRPr="00F72771">
        <w:rPr>
          <w:kern w:val="22"/>
          <w:lang w:val="en-CA"/>
        </w:rPr>
        <w:t xml:space="preserve">. </w:t>
      </w:r>
      <w:r>
        <w:rPr>
          <w:kern w:val="22"/>
          <w:lang w:val="en-CA"/>
        </w:rPr>
        <w:t>It also provides</w:t>
      </w:r>
      <w:r w:rsidRPr="00F72771">
        <w:rPr>
          <w:kern w:val="22"/>
          <w:lang w:val="en-CA"/>
        </w:rPr>
        <w:t xml:space="preserve"> several tools and services that </w:t>
      </w:r>
      <w:proofErr w:type="gramStart"/>
      <w:r w:rsidRPr="00F72771">
        <w:rPr>
          <w:kern w:val="22"/>
          <w:lang w:val="en-CA"/>
        </w:rPr>
        <w:t>Parties</w:t>
      </w:r>
      <w:proofErr w:type="gramEnd"/>
      <w:r w:rsidRPr="00F72771">
        <w:rPr>
          <w:kern w:val="22"/>
          <w:lang w:val="en-CA"/>
        </w:rPr>
        <w:t xml:space="preserve"> </w:t>
      </w:r>
      <w:r>
        <w:rPr>
          <w:kern w:val="22"/>
          <w:lang w:val="en-CA"/>
        </w:rPr>
        <w:t xml:space="preserve">and institutions </w:t>
      </w:r>
      <w:r w:rsidRPr="00F72771">
        <w:rPr>
          <w:kern w:val="22"/>
          <w:lang w:val="en-CA"/>
        </w:rPr>
        <w:t xml:space="preserve">can leverage to share information about existing opportunities, </w:t>
      </w:r>
      <w:r>
        <w:rPr>
          <w:kern w:val="22"/>
          <w:lang w:val="en-CA"/>
        </w:rPr>
        <w:t xml:space="preserve">expertise, </w:t>
      </w:r>
      <w:r w:rsidRPr="00F72771">
        <w:rPr>
          <w:kern w:val="22"/>
          <w:lang w:val="en-CA"/>
        </w:rPr>
        <w:t>knowledge, good practices and lessons learned with each other</w:t>
      </w:r>
      <w:r>
        <w:rPr>
          <w:kern w:val="22"/>
          <w:lang w:val="en-CA"/>
        </w:rPr>
        <w:t>.</w:t>
      </w:r>
    </w:p>
  </w:footnote>
  <w:footnote w:id="2">
    <w:p w14:paraId="1B4B327B" w14:textId="77777777" w:rsidR="006103E6" w:rsidRPr="00E35557" w:rsidRDefault="006103E6" w:rsidP="00D93C34">
      <w:pPr>
        <w:pStyle w:val="FootnoteText"/>
        <w:ind w:firstLine="0"/>
        <w:rPr>
          <w:lang w:val="en-US"/>
        </w:rPr>
      </w:pPr>
      <w:r>
        <w:rPr>
          <w:rStyle w:val="FootnoteReference"/>
          <w:rFonts w:eastAsia="Arial Unicode MS"/>
        </w:rPr>
        <w:footnoteRef/>
      </w:r>
      <w:r>
        <w:t xml:space="preserve"> </w:t>
      </w:r>
      <w:r>
        <w:rPr>
          <w:lang w:val="en-US"/>
        </w:rPr>
        <w:t xml:space="preserve">A copy of the Action Plan is available at: </w:t>
      </w:r>
      <w:hyperlink r:id="rId1" w:history="1">
        <w:r w:rsidRPr="00CF445F">
          <w:rPr>
            <w:rStyle w:val="Hyperlink"/>
            <w:lang w:val="en-US"/>
          </w:rPr>
          <w:t>https://www.cbd.int/bio-bridge/BBI-Action-Plan-2017-2020.pdf</w:t>
        </w:r>
      </w:hyperlink>
      <w:r>
        <w:rPr>
          <w:lang w:val="en-US"/>
        </w:rPr>
        <w:t xml:space="preserve"> </w:t>
      </w:r>
    </w:p>
  </w:footnote>
  <w:footnote w:id="3">
    <w:p w14:paraId="719182AE" w14:textId="168ECDD3" w:rsidR="006103E6" w:rsidRPr="00E35557" w:rsidRDefault="006103E6" w:rsidP="004B05F2">
      <w:pPr>
        <w:pStyle w:val="FootnoteText"/>
        <w:ind w:firstLine="0"/>
        <w:rPr>
          <w:lang w:val="en-US"/>
        </w:rPr>
      </w:pPr>
      <w:r>
        <w:rPr>
          <w:rStyle w:val="FootnoteReference"/>
          <w:rFonts w:eastAsia="Arial Unicode MS"/>
        </w:rPr>
        <w:footnoteRef/>
      </w:r>
      <w:r>
        <w:t xml:space="preserve"> </w:t>
      </w:r>
      <w:r>
        <w:rPr>
          <w:lang w:val="en-US"/>
        </w:rPr>
        <w:t xml:space="preserve">The matchmaking platform can be accessed at </w:t>
      </w:r>
      <w:hyperlink r:id="rId2" w:history="1">
        <w:r w:rsidRPr="00CF445F">
          <w:rPr>
            <w:rStyle w:val="Hyperlink"/>
            <w:lang w:val="en-US"/>
          </w:rPr>
          <w:t>https://www.cbd.int/biobridge/platform</w:t>
        </w:r>
      </w:hyperlink>
      <w:r>
        <w:rPr>
          <w:lang w:val="en-US"/>
        </w:rPr>
        <w:t xml:space="preserve"> </w:t>
      </w:r>
    </w:p>
  </w:footnote>
  <w:footnote w:id="4">
    <w:p w14:paraId="764F48FD" w14:textId="4F1A17B8" w:rsidR="006103E6" w:rsidRPr="00E3450F" w:rsidRDefault="006103E6" w:rsidP="008D7C33">
      <w:pPr>
        <w:pStyle w:val="FootnoteText"/>
        <w:ind w:firstLine="0"/>
        <w:jc w:val="left"/>
        <w:rPr>
          <w:lang w:val="en-US"/>
        </w:rPr>
      </w:pPr>
      <w:r>
        <w:rPr>
          <w:rStyle w:val="FootnoteReference"/>
          <w:rFonts w:eastAsia="Arial Unicode MS"/>
        </w:rPr>
        <w:footnoteRef/>
      </w:r>
      <w:r>
        <w:t xml:space="preserve"> </w:t>
      </w:r>
      <w:r>
        <w:rPr>
          <w:lang w:val="en-US"/>
        </w:rPr>
        <w:t>See details in notification</w:t>
      </w:r>
      <w:r w:rsidRPr="003415B3">
        <w:t xml:space="preserve"> </w:t>
      </w:r>
      <w:r w:rsidRPr="003415B3">
        <w:rPr>
          <w:lang w:val="en-US"/>
        </w:rPr>
        <w:t>2018-02</w:t>
      </w:r>
      <w:r>
        <w:rPr>
          <w:lang w:val="en-US"/>
        </w:rPr>
        <w:t xml:space="preserve">2 available at: </w:t>
      </w:r>
      <w:hyperlink r:id="rId3" w:history="1">
        <w:r w:rsidRPr="001365FA">
          <w:rPr>
            <w:rStyle w:val="Hyperlink"/>
            <w:lang w:val="en-US"/>
          </w:rPr>
          <w:t>https://www.cbd.int/doc/notifications/2018/ntf-2018-022-bbi-en.pdf</w:t>
        </w:r>
      </w:hyperlink>
      <w:r>
        <w:rPr>
          <w:lang w:val="en-US"/>
        </w:rPr>
        <w:t xml:space="preserve">.  One other country, Vietnam, which was selected to receive seed funding, did not submit a full project proposal and implementation plan in time before the closure of this second round of projects. Short descriptions </w:t>
      </w:r>
      <w:r>
        <w:rPr>
          <w:szCs w:val="18"/>
        </w:rPr>
        <w:t xml:space="preserve">of the selected projects are available at: </w:t>
      </w:r>
      <w:hyperlink r:id="rId4" w:history="1">
        <w:r w:rsidRPr="00B9785B">
          <w:rPr>
            <w:rStyle w:val="Hyperlink"/>
            <w:szCs w:val="18"/>
          </w:rPr>
          <w:t>https://www.cbd.int/biobridge/projects/selected</w:t>
        </w:r>
      </w:hyperlink>
      <w:r>
        <w:rPr>
          <w:szCs w:val="18"/>
        </w:rPr>
        <w:t xml:space="preserve">.  While the programme had initially selected a demonstration project in Venezuela facilitating technical and scientific cooperation with Costa Rica, the proponent in Venezuela was not able to secure the endorsement of the selected implementing partner(s) within a reasonable timeframe.  In this regard, the Secretariat continued with implementation of components with Costa Rica to support protected area management planning in the </w:t>
      </w:r>
      <w:r w:rsidRPr="00DF28C5">
        <w:rPr>
          <w:szCs w:val="18"/>
        </w:rPr>
        <w:t xml:space="preserve">Municipality of </w:t>
      </w:r>
      <w:proofErr w:type="spellStart"/>
      <w:r w:rsidRPr="00DF28C5">
        <w:rPr>
          <w:szCs w:val="18"/>
        </w:rPr>
        <w:t>Panguipulli</w:t>
      </w:r>
      <w:proofErr w:type="spellEnd"/>
      <w:r w:rsidRPr="00DF28C5">
        <w:rPr>
          <w:szCs w:val="18"/>
        </w:rPr>
        <w:t xml:space="preserve"> in Chile</w:t>
      </w:r>
      <w:r>
        <w:rPr>
          <w:szCs w:val="18"/>
        </w:rPr>
        <w:t>.</w:t>
      </w:r>
    </w:p>
  </w:footnote>
  <w:footnote w:id="5">
    <w:p w14:paraId="2DAD8AC4" w14:textId="75D1B2F1" w:rsidR="006103E6" w:rsidRPr="006D1490" w:rsidRDefault="006103E6" w:rsidP="00896851">
      <w:pPr>
        <w:pStyle w:val="FootnoteText"/>
        <w:ind w:firstLine="0"/>
      </w:pPr>
      <w:r>
        <w:rPr>
          <w:rStyle w:val="FootnoteReference"/>
          <w:rFonts w:eastAsia="Arial Unicode MS"/>
        </w:rPr>
        <w:footnoteRef/>
      </w:r>
      <w:r>
        <w:t xml:space="preserve"> The Project Selection Committee comprised five members including: the Chair of the Subsidiary Body on Scientific, Technical and Technological Advice (SBSTTA), the Chair of the Subsidiary Body on Implementation (SBI), the Chair of the Informal Advisory Committee of the Clearing-House (CHM-IAC), a representative of the Consortium of Scientific Partners on Biodiversity (CSP), a representative of the Ministry of Environment, Government of the Republic of Korea, and a representative of the Global Environment Facility (GEF).</w:t>
      </w:r>
    </w:p>
  </w:footnote>
  <w:footnote w:id="6">
    <w:p w14:paraId="1DFEF295" w14:textId="77777777" w:rsidR="006103E6" w:rsidRPr="001A7D4B" w:rsidRDefault="006103E6" w:rsidP="005851B5">
      <w:pPr>
        <w:pStyle w:val="FootnoteText"/>
        <w:ind w:firstLine="0"/>
        <w:rPr>
          <w:lang w:val="en-CA"/>
        </w:rPr>
      </w:pPr>
      <w:r>
        <w:rPr>
          <w:rStyle w:val="FootnoteReference"/>
          <w:rFonts w:eastAsia="Arial Unicode MS"/>
        </w:rPr>
        <w:footnoteRef/>
      </w:r>
      <w:r>
        <w:t xml:space="preserve"> </w:t>
      </w:r>
      <w:r>
        <w:rPr>
          <w:lang w:val="en-CA"/>
        </w:rPr>
        <w:t xml:space="preserve"> See details about the pilot projects at </w:t>
      </w:r>
      <w:hyperlink r:id="rId5" w:history="1">
        <w:r w:rsidRPr="002216E4">
          <w:rPr>
            <w:rStyle w:val="Hyperlink"/>
            <w:lang w:val="en-CA"/>
          </w:rPr>
          <w:t>https://www.cbd.int/biobridge/projects/completed</w:t>
        </w:r>
      </w:hyperlink>
      <w:r>
        <w:rPr>
          <w:lang w:val="en-CA"/>
        </w:rPr>
        <w:t xml:space="preserve">. </w:t>
      </w:r>
    </w:p>
  </w:footnote>
  <w:footnote w:id="7">
    <w:p w14:paraId="5440CFA4" w14:textId="77777777" w:rsidR="006103E6" w:rsidRPr="00A411D2" w:rsidRDefault="006103E6" w:rsidP="00107658">
      <w:pPr>
        <w:pStyle w:val="FootnoteText"/>
        <w:ind w:firstLine="0"/>
        <w:rPr>
          <w:lang w:val="en-US"/>
        </w:rPr>
      </w:pPr>
      <w:r>
        <w:rPr>
          <w:rStyle w:val="FootnoteReference"/>
          <w:rFonts w:eastAsia="Arial Unicode MS"/>
        </w:rPr>
        <w:footnoteRef/>
      </w:r>
      <w:r>
        <w:t xml:space="preserve"> </w:t>
      </w:r>
      <w:r>
        <w:rPr>
          <w:lang w:val="en-US"/>
        </w:rPr>
        <w:t xml:space="preserve">See </w:t>
      </w:r>
      <w:hyperlink r:id="rId6" w:history="1">
        <w:r w:rsidRPr="00CF445F">
          <w:rPr>
            <w:rStyle w:val="Hyperlink"/>
            <w:lang w:val="en-US"/>
          </w:rPr>
          <w:t>https://www.cbd.int/cooperation/csp</w:t>
        </w:r>
      </w:hyperlink>
      <w:r>
        <w:rPr>
          <w:lang w:val="en-US"/>
        </w:rPr>
        <w:t xml:space="preserve">. </w:t>
      </w:r>
    </w:p>
  </w:footnote>
  <w:footnote w:id="8">
    <w:p w14:paraId="556AB7F2" w14:textId="77777777" w:rsidR="006103E6" w:rsidRPr="00F37A3C" w:rsidRDefault="006103E6" w:rsidP="00107658">
      <w:pPr>
        <w:pStyle w:val="FootnoteText"/>
        <w:ind w:firstLine="0"/>
        <w:rPr>
          <w:lang w:val="en-US"/>
        </w:rPr>
      </w:pPr>
      <w:r>
        <w:rPr>
          <w:rStyle w:val="FootnoteReference"/>
        </w:rPr>
        <w:footnoteRef/>
      </w:r>
      <w:r>
        <w:t xml:space="preserve"> </w:t>
      </w:r>
      <w:r>
        <w:rPr>
          <w:lang w:val="en-US"/>
        </w:rPr>
        <w:t xml:space="preserve">See </w:t>
      </w:r>
      <w:hyperlink r:id="rId7" w:history="1">
        <w:r w:rsidRPr="00E418BA">
          <w:rPr>
            <w:rStyle w:val="Hyperlink"/>
            <w:lang w:val="en-US"/>
          </w:rPr>
          <w:t>https://www.cbd.int/conferences/2018/parallel-meetings/innovation-fair</w:t>
        </w:r>
      </w:hyperlink>
      <w:r>
        <w:rPr>
          <w:lang w:val="en-US"/>
        </w:rPr>
        <w:t xml:space="preserve"> </w:t>
      </w:r>
    </w:p>
  </w:footnote>
  <w:footnote w:id="9">
    <w:p w14:paraId="0E7A524C" w14:textId="6779E851" w:rsidR="006103E6" w:rsidRPr="00AB5241" w:rsidRDefault="006103E6" w:rsidP="00AB5241">
      <w:pPr>
        <w:pStyle w:val="Para1"/>
        <w:suppressLineNumbers/>
        <w:suppressAutoHyphens/>
        <w:rPr>
          <w:sz w:val="18"/>
          <w:lang w:val="en-US"/>
        </w:rPr>
      </w:pPr>
      <w:r w:rsidRPr="00AB5241">
        <w:rPr>
          <w:rStyle w:val="FootnoteReference"/>
          <w:sz w:val="18"/>
        </w:rPr>
        <w:footnoteRef/>
      </w:r>
      <w:r w:rsidRPr="00AB5241">
        <w:rPr>
          <w:sz w:val="18"/>
        </w:rPr>
        <w:t xml:space="preserve"> </w:t>
      </w:r>
      <w:r w:rsidRPr="00AB5241">
        <w:rPr>
          <w:sz w:val="18"/>
          <w:lang w:val="en-US"/>
        </w:rPr>
        <w:t xml:space="preserve">See </w:t>
      </w:r>
      <w:hyperlink r:id="rId8" w:history="1">
        <w:r w:rsidRPr="00AB5241">
          <w:rPr>
            <w:rStyle w:val="Hyperlink"/>
            <w:lang w:val="en-US"/>
          </w:rPr>
          <w:t>https://biostoriescontact.wixsite.com/videogame</w:t>
        </w:r>
      </w:hyperlink>
    </w:p>
  </w:footnote>
  <w:footnote w:id="10">
    <w:p w14:paraId="48062FF3" w14:textId="77777777" w:rsidR="006103E6" w:rsidRPr="00057871" w:rsidRDefault="006103E6" w:rsidP="00BB75B8">
      <w:pPr>
        <w:pStyle w:val="FootnoteText"/>
        <w:ind w:firstLine="0"/>
        <w:rPr>
          <w:lang w:val="en-US"/>
        </w:rPr>
      </w:pPr>
      <w:r w:rsidRPr="00FB5949">
        <w:rPr>
          <w:rStyle w:val="FootnoteReference"/>
          <w:rFonts w:eastAsia="Arial Unicode MS"/>
        </w:rPr>
        <w:footnoteRef/>
      </w:r>
      <w:r w:rsidRPr="00FB5949">
        <w:t xml:space="preserve"> </w:t>
      </w:r>
      <w:r w:rsidRPr="00FB5949">
        <w:rPr>
          <w:lang w:val="en-US"/>
        </w:rPr>
        <w:t>Though this project proposal was originally submitted to BBI, a separate funding agreement was negotiated between Indian and South Korean counterparts.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661A45B3" w14:textId="3D6D678A" w:rsidR="006103E6" w:rsidRDefault="008E5E10" w:rsidP="00534681">
        <w:pPr>
          <w:pStyle w:val="Header"/>
        </w:pPr>
        <w:r>
          <w:t>CBD/COP/14/INF/23</w:t>
        </w:r>
      </w:p>
    </w:sdtContent>
  </w:sdt>
  <w:p w14:paraId="18F0CE81" w14:textId="492916B3" w:rsidR="006103E6" w:rsidRDefault="006103E6" w:rsidP="00534681">
    <w:pPr>
      <w:pStyle w:val="Header"/>
    </w:pPr>
    <w:r>
      <w:t xml:space="preserve">Page </w:t>
    </w:r>
    <w:r>
      <w:fldChar w:fldCharType="begin"/>
    </w:r>
    <w:r>
      <w:instrText xml:space="preserve"> PAGE   \* MERGEFORMAT </w:instrText>
    </w:r>
    <w:r>
      <w:fldChar w:fldCharType="separate"/>
    </w:r>
    <w:r w:rsidR="004F7890">
      <w:rPr>
        <w:noProof/>
      </w:rPr>
      <w:t>12</w:t>
    </w:r>
    <w:r>
      <w:rPr>
        <w:noProof/>
      </w:rPr>
      <w:fldChar w:fldCharType="end"/>
    </w:r>
  </w:p>
  <w:p w14:paraId="692EEE12" w14:textId="77777777" w:rsidR="006103E6" w:rsidRDefault="00610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1173373A" w14:textId="46CE897C" w:rsidR="006103E6" w:rsidRDefault="008E5E10" w:rsidP="009505C9">
        <w:pPr>
          <w:pStyle w:val="Header"/>
          <w:jc w:val="right"/>
        </w:pPr>
        <w:r>
          <w:t>CBD/COP/14/INF/23</w:t>
        </w:r>
      </w:p>
    </w:sdtContent>
  </w:sdt>
  <w:p w14:paraId="0C1A55E2" w14:textId="0F155C00" w:rsidR="006103E6" w:rsidRDefault="006103E6" w:rsidP="009505C9">
    <w:pPr>
      <w:pStyle w:val="Header"/>
      <w:jc w:val="right"/>
    </w:pPr>
    <w:r>
      <w:t xml:space="preserve">Page </w:t>
    </w:r>
    <w:r>
      <w:fldChar w:fldCharType="begin"/>
    </w:r>
    <w:r>
      <w:instrText xml:space="preserve"> PAGE   \* MERGEFORMAT </w:instrText>
    </w:r>
    <w:r>
      <w:fldChar w:fldCharType="separate"/>
    </w:r>
    <w:r w:rsidR="004F7890">
      <w:rPr>
        <w:noProof/>
      </w:rPr>
      <w:t>13</w:t>
    </w:r>
    <w:r>
      <w:rPr>
        <w:noProof/>
      </w:rPr>
      <w:fldChar w:fldCharType="end"/>
    </w:r>
  </w:p>
  <w:p w14:paraId="695D8036" w14:textId="77777777" w:rsidR="006103E6" w:rsidRDefault="00610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8A6"/>
    <w:multiLevelType w:val="hybridMultilevel"/>
    <w:tmpl w:val="C25AB30C"/>
    <w:lvl w:ilvl="0" w:tplc="10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429D8"/>
    <w:multiLevelType w:val="hybridMultilevel"/>
    <w:tmpl w:val="0A5CD40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5AB38F4"/>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A6159C1"/>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EE46A3"/>
    <w:multiLevelType w:val="hybridMultilevel"/>
    <w:tmpl w:val="11809DB8"/>
    <w:lvl w:ilvl="0" w:tplc="5652EF34">
      <w:start w:val="1"/>
      <w:numFmt w:val="decimal"/>
      <w:lvlText w:val="%1."/>
      <w:lvlJc w:val="left"/>
      <w:pPr>
        <w:ind w:left="360" w:hanging="360"/>
      </w:pPr>
      <w:rPr>
        <w:b w:val="0"/>
        <w:i w:val="0"/>
        <w:sz w:val="22"/>
      </w:rPr>
    </w:lvl>
    <w:lvl w:ilvl="1" w:tplc="4BFC5A32">
      <w:start w:val="1"/>
      <w:numFmt w:val="lowerLetter"/>
      <w:lvlText w:val="(%2)"/>
      <w:lvlJc w:val="left"/>
      <w:pPr>
        <w:ind w:left="1440" w:hanging="360"/>
      </w:pPr>
      <w:rPr>
        <w:rFonts w:hint="default"/>
      </w:rPr>
    </w:lvl>
    <w:lvl w:ilvl="2" w:tplc="124A1BC6">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3B243B"/>
    <w:multiLevelType w:val="hybridMultilevel"/>
    <w:tmpl w:val="1ACED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617DFD"/>
    <w:multiLevelType w:val="hybridMultilevel"/>
    <w:tmpl w:val="A2BE00F8"/>
    <w:lvl w:ilvl="0" w:tplc="1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CA35E5"/>
    <w:multiLevelType w:val="hybridMultilevel"/>
    <w:tmpl w:val="7B68E5BE"/>
    <w:lvl w:ilvl="0" w:tplc="92646CE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10"/>
  </w:num>
  <w:num w:numId="3">
    <w:abstractNumId w:val="8"/>
  </w:num>
  <w:num w:numId="4">
    <w:abstractNumId w:val="10"/>
  </w:num>
  <w:num w:numId="5">
    <w:abstractNumId w:val="9"/>
  </w:num>
  <w:num w:numId="6">
    <w:abstractNumId w:val="2"/>
  </w:num>
  <w:num w:numId="7">
    <w:abstractNumId w:val="4"/>
  </w:num>
  <w:num w:numId="8">
    <w:abstractNumId w:val="8"/>
    <w:lvlOverride w:ilvl="0">
      <w:startOverride w:val="1"/>
    </w:lvlOverride>
  </w:num>
  <w:num w:numId="9">
    <w:abstractNumId w:val="14"/>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2"/>
  </w:num>
  <w:num w:numId="15">
    <w:abstractNumId w:val="11"/>
  </w:num>
  <w:num w:numId="16">
    <w:abstractNumId w:val="3"/>
  </w:num>
  <w:num w:numId="17">
    <w:abstractNumId w:val="15"/>
  </w:num>
  <w:num w:numId="18">
    <w:abstractNumId w:val="17"/>
  </w:num>
  <w:num w:numId="19">
    <w:abstractNumId w:val="1"/>
  </w:num>
  <w:num w:numId="20">
    <w:abstractNumId w:val="0"/>
  </w:num>
  <w:num w:numId="21">
    <w:abstractNumId w:val="5"/>
  </w:num>
  <w:num w:numId="22">
    <w:abstractNumId w:val="7"/>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ctiveWritingStyle w:appName="MSWord" w:lang="es-ES"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37B3C"/>
    <w:rsid w:val="00052F0E"/>
    <w:rsid w:val="000531D5"/>
    <w:rsid w:val="00075C44"/>
    <w:rsid w:val="00080F5C"/>
    <w:rsid w:val="000900F8"/>
    <w:rsid w:val="000B033A"/>
    <w:rsid w:val="000C406B"/>
    <w:rsid w:val="000C775B"/>
    <w:rsid w:val="000E673A"/>
    <w:rsid w:val="000F74F5"/>
    <w:rsid w:val="00105372"/>
    <w:rsid w:val="001074DE"/>
    <w:rsid w:val="00107658"/>
    <w:rsid w:val="00110575"/>
    <w:rsid w:val="0012539C"/>
    <w:rsid w:val="00131E7A"/>
    <w:rsid w:val="0014075B"/>
    <w:rsid w:val="00160D42"/>
    <w:rsid w:val="00161811"/>
    <w:rsid w:val="00172AF6"/>
    <w:rsid w:val="00176CEE"/>
    <w:rsid w:val="0018333A"/>
    <w:rsid w:val="001A2825"/>
    <w:rsid w:val="001A7A18"/>
    <w:rsid w:val="001D7316"/>
    <w:rsid w:val="001E57BD"/>
    <w:rsid w:val="00260E0A"/>
    <w:rsid w:val="002679DF"/>
    <w:rsid w:val="0027174F"/>
    <w:rsid w:val="0027637D"/>
    <w:rsid w:val="002B6840"/>
    <w:rsid w:val="002D00A4"/>
    <w:rsid w:val="002D6FAF"/>
    <w:rsid w:val="0032042D"/>
    <w:rsid w:val="00351545"/>
    <w:rsid w:val="00372F74"/>
    <w:rsid w:val="003773DF"/>
    <w:rsid w:val="003979F7"/>
    <w:rsid w:val="003C39DE"/>
    <w:rsid w:val="003C68A0"/>
    <w:rsid w:val="003F7224"/>
    <w:rsid w:val="004131F6"/>
    <w:rsid w:val="00420266"/>
    <w:rsid w:val="00427D21"/>
    <w:rsid w:val="00436290"/>
    <w:rsid w:val="004404F5"/>
    <w:rsid w:val="0045366C"/>
    <w:rsid w:val="004644C2"/>
    <w:rsid w:val="00467F9C"/>
    <w:rsid w:val="0047173C"/>
    <w:rsid w:val="00475116"/>
    <w:rsid w:val="004956C7"/>
    <w:rsid w:val="004B05F2"/>
    <w:rsid w:val="004D18F0"/>
    <w:rsid w:val="004E7BCE"/>
    <w:rsid w:val="004F7890"/>
    <w:rsid w:val="00502D5E"/>
    <w:rsid w:val="00526A4A"/>
    <w:rsid w:val="00534681"/>
    <w:rsid w:val="00537424"/>
    <w:rsid w:val="00542011"/>
    <w:rsid w:val="00552336"/>
    <w:rsid w:val="00574915"/>
    <w:rsid w:val="0058244C"/>
    <w:rsid w:val="00584C4D"/>
    <w:rsid w:val="005851B5"/>
    <w:rsid w:val="00590D3C"/>
    <w:rsid w:val="005922A5"/>
    <w:rsid w:val="00596970"/>
    <w:rsid w:val="005A19EC"/>
    <w:rsid w:val="005B607C"/>
    <w:rsid w:val="005C162B"/>
    <w:rsid w:val="005C4364"/>
    <w:rsid w:val="005C7D85"/>
    <w:rsid w:val="005D1444"/>
    <w:rsid w:val="005D7949"/>
    <w:rsid w:val="00607AA6"/>
    <w:rsid w:val="006103E6"/>
    <w:rsid w:val="00610F67"/>
    <w:rsid w:val="00611DEF"/>
    <w:rsid w:val="006122BA"/>
    <w:rsid w:val="00631595"/>
    <w:rsid w:val="00632F77"/>
    <w:rsid w:val="00676752"/>
    <w:rsid w:val="006B2290"/>
    <w:rsid w:val="00702BCD"/>
    <w:rsid w:val="00717D88"/>
    <w:rsid w:val="00726629"/>
    <w:rsid w:val="00730447"/>
    <w:rsid w:val="00765C64"/>
    <w:rsid w:val="007942D3"/>
    <w:rsid w:val="007A5A53"/>
    <w:rsid w:val="007B6C09"/>
    <w:rsid w:val="007C26A9"/>
    <w:rsid w:val="007E09DA"/>
    <w:rsid w:val="00814407"/>
    <w:rsid w:val="008178B6"/>
    <w:rsid w:val="008414A9"/>
    <w:rsid w:val="008468F2"/>
    <w:rsid w:val="00865B74"/>
    <w:rsid w:val="00896851"/>
    <w:rsid w:val="008A2BC9"/>
    <w:rsid w:val="008B78EF"/>
    <w:rsid w:val="008D7C33"/>
    <w:rsid w:val="008E5E10"/>
    <w:rsid w:val="008E7BD3"/>
    <w:rsid w:val="009072F6"/>
    <w:rsid w:val="00926519"/>
    <w:rsid w:val="00930BA1"/>
    <w:rsid w:val="0093169E"/>
    <w:rsid w:val="009505C9"/>
    <w:rsid w:val="00955FF3"/>
    <w:rsid w:val="009744E2"/>
    <w:rsid w:val="0099197D"/>
    <w:rsid w:val="009E4376"/>
    <w:rsid w:val="00A068E8"/>
    <w:rsid w:val="00A10E11"/>
    <w:rsid w:val="00A13EF1"/>
    <w:rsid w:val="00A417A2"/>
    <w:rsid w:val="00A6331A"/>
    <w:rsid w:val="00A72A69"/>
    <w:rsid w:val="00A743D6"/>
    <w:rsid w:val="00A826B3"/>
    <w:rsid w:val="00A94C6F"/>
    <w:rsid w:val="00AA5C93"/>
    <w:rsid w:val="00AA79B8"/>
    <w:rsid w:val="00AB5241"/>
    <w:rsid w:val="00AB6EF9"/>
    <w:rsid w:val="00AD5B81"/>
    <w:rsid w:val="00AF5033"/>
    <w:rsid w:val="00AF69EB"/>
    <w:rsid w:val="00B02CBC"/>
    <w:rsid w:val="00B06FE9"/>
    <w:rsid w:val="00B12A1A"/>
    <w:rsid w:val="00B3369F"/>
    <w:rsid w:val="00B56623"/>
    <w:rsid w:val="00B97859"/>
    <w:rsid w:val="00BB28D8"/>
    <w:rsid w:val="00BB75B8"/>
    <w:rsid w:val="00BC3E54"/>
    <w:rsid w:val="00BE7525"/>
    <w:rsid w:val="00BF11D0"/>
    <w:rsid w:val="00C04FA1"/>
    <w:rsid w:val="00C20484"/>
    <w:rsid w:val="00C412CA"/>
    <w:rsid w:val="00C50542"/>
    <w:rsid w:val="00C62D32"/>
    <w:rsid w:val="00C631B8"/>
    <w:rsid w:val="00C915A6"/>
    <w:rsid w:val="00C9161D"/>
    <w:rsid w:val="00CE1395"/>
    <w:rsid w:val="00CE556D"/>
    <w:rsid w:val="00CF1848"/>
    <w:rsid w:val="00D12044"/>
    <w:rsid w:val="00D31D5A"/>
    <w:rsid w:val="00D34FC4"/>
    <w:rsid w:val="00D374B6"/>
    <w:rsid w:val="00D43166"/>
    <w:rsid w:val="00D43883"/>
    <w:rsid w:val="00D533E1"/>
    <w:rsid w:val="00D70D27"/>
    <w:rsid w:val="00D76A18"/>
    <w:rsid w:val="00D814FB"/>
    <w:rsid w:val="00D82883"/>
    <w:rsid w:val="00D93C34"/>
    <w:rsid w:val="00DB20B1"/>
    <w:rsid w:val="00DB4118"/>
    <w:rsid w:val="00DD118C"/>
    <w:rsid w:val="00DE2EEC"/>
    <w:rsid w:val="00DF28C5"/>
    <w:rsid w:val="00E66235"/>
    <w:rsid w:val="00E67F9F"/>
    <w:rsid w:val="00E83C24"/>
    <w:rsid w:val="00E91AAB"/>
    <w:rsid w:val="00E9318D"/>
    <w:rsid w:val="00E94326"/>
    <w:rsid w:val="00EB0301"/>
    <w:rsid w:val="00EB1161"/>
    <w:rsid w:val="00ED0A37"/>
    <w:rsid w:val="00EF6DA2"/>
    <w:rsid w:val="00F30ADB"/>
    <w:rsid w:val="00F33F09"/>
    <w:rsid w:val="00F34A9D"/>
    <w:rsid w:val="00F37A3C"/>
    <w:rsid w:val="00F72771"/>
    <w:rsid w:val="00F77178"/>
    <w:rsid w:val="00F94774"/>
    <w:rsid w:val="00FB0430"/>
    <w:rsid w:val="00FB5CAF"/>
    <w:rsid w:val="00FC53DB"/>
    <w:rsid w:val="00FC774C"/>
    <w:rsid w:val="00FE487A"/>
    <w:rsid w:val="00FE622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039ABA0"/>
  <w15:docId w15:val="{CA6AD169-9A00-4B6A-8CAB-9DF12E24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D43883"/>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7C26A9"/>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7C26A9"/>
    <w:rPr>
      <w:rFonts w:ascii="Times New Roman" w:eastAsia="Times New Roman" w:hAnsi="Times New Roman" w:cs="Times New Roman"/>
      <w:b/>
      <w:bCs/>
      <w:sz w:val="20"/>
      <w:szCs w:val="20"/>
      <w:lang w:val="en-GB"/>
    </w:rPr>
  </w:style>
  <w:style w:type="character" w:customStyle="1" w:styleId="Para1Char1">
    <w:name w:val="Para1 Char1"/>
    <w:rsid w:val="004D18F0"/>
    <w:rPr>
      <w:rFonts w:cs="Angsana New"/>
      <w:snapToGrid w:val="0"/>
      <w:sz w:val="22"/>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92532">
      <w:bodyDiv w:val="1"/>
      <w:marLeft w:val="0"/>
      <w:marRight w:val="0"/>
      <w:marTop w:val="0"/>
      <w:marBottom w:val="0"/>
      <w:divBdr>
        <w:top w:val="none" w:sz="0" w:space="0" w:color="auto"/>
        <w:left w:val="none" w:sz="0" w:space="0" w:color="auto"/>
        <w:bottom w:val="none" w:sz="0" w:space="0" w:color="auto"/>
        <w:right w:val="none" w:sz="0" w:space="0" w:color="auto"/>
      </w:divBdr>
    </w:div>
    <w:div w:id="1363164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notifications/2018/ntf-2018-049-biobridge-en.pd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spark.adobe.com/page/TgI5Z7JkgHtqB/" TargetMode="External"/><Relationship Id="rId7" Type="http://schemas.openxmlformats.org/officeDocument/2006/relationships/footnotes" Target="footnotes.xml"/><Relationship Id="rId12" Type="http://schemas.openxmlformats.org/officeDocument/2006/relationships/hyperlink" Target="https://www.cbd.int/doc/notifications/2016/ntf-2016-126-bbi-en.pdf"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bd.int/biobridge/platform" TargetMode="External"/><Relationship Id="rId20" Type="http://schemas.openxmlformats.org/officeDocument/2006/relationships/hyperlink" Target="https://spark.adobe.com/page/4SoVn62mzUE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cbd.int/biobridge"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api/v2013/documents/AF001560-5582-B511-AAE5-D771515BD86E/attachments/BBI%20Proposals%20Criteria%20Assessment%202018.pdf" TargetMode="External"/><Relationship Id="rId22" Type="http://schemas.openxmlformats.org/officeDocument/2006/relationships/hyperlink" Target="https://spark.adobe.com/page/15OBzU4CUD1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biostoriescontact.wixsite.com/videogame" TargetMode="External"/><Relationship Id="rId3" Type="http://schemas.openxmlformats.org/officeDocument/2006/relationships/hyperlink" Target="https://www.cbd.int/doc/notifications/2018/ntf-2018-022-bbi-en.pdf" TargetMode="External"/><Relationship Id="rId7" Type="http://schemas.openxmlformats.org/officeDocument/2006/relationships/hyperlink" Target="https://www.cbd.int/conferences/2018/parallel-meetings/innovation-fair" TargetMode="External"/><Relationship Id="rId2" Type="http://schemas.openxmlformats.org/officeDocument/2006/relationships/hyperlink" Target="https://www.cbd.int/biobridge/platform" TargetMode="External"/><Relationship Id="rId1" Type="http://schemas.openxmlformats.org/officeDocument/2006/relationships/hyperlink" Target="https://www.cbd.int/bio-bridge/BBI-Action-Plan-2017-2020.pdf" TargetMode="External"/><Relationship Id="rId6" Type="http://schemas.openxmlformats.org/officeDocument/2006/relationships/hyperlink" Target="https://www.cbd.int/cooperation/csp" TargetMode="External"/><Relationship Id="rId5" Type="http://schemas.openxmlformats.org/officeDocument/2006/relationships/hyperlink" Target="https://www.cbd.int/biobridge/projects/completed" TargetMode="External"/><Relationship Id="rId4" Type="http://schemas.openxmlformats.org/officeDocument/2006/relationships/hyperlink" Target="https://www.cbd.int/biobridge/projects/selecte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500A2B"/>
    <w:rsid w:val="0058288D"/>
    <w:rsid w:val="00600E88"/>
    <w:rsid w:val="006801B3"/>
    <w:rsid w:val="00810A55"/>
    <w:rsid w:val="008C6619"/>
    <w:rsid w:val="008D420E"/>
    <w:rsid w:val="0098642F"/>
    <w:rsid w:val="00B21C87"/>
    <w:rsid w:val="00D4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B38F20-36ED-4834-8A68-9A24B920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5059</Words>
  <Characters>28840</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PROGRESS REPORT ON TECHNICAL AND SCIENTIFIC COOPERATION</vt:lpstr>
    </vt:vector>
  </TitlesOfParts>
  <Company>SCBD</Company>
  <LinksUpToDate>false</LinksUpToDate>
  <CharactersWithSpaces>33832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ON TECHNICAL AND SCIENTIFIC COOPERATION</dc:title>
  <dc:subject>CBD/COP/14/INF/23</dc:subject>
  <dc:creator>SCBD</dc:creator>
  <cp:lastModifiedBy>Veronique Lefebvre</cp:lastModifiedBy>
  <cp:revision>2</cp:revision>
  <dcterms:created xsi:type="dcterms:W3CDTF">2018-11-16T18:22:00Z</dcterms:created>
  <dcterms:modified xsi:type="dcterms:W3CDTF">2018-11-16T18:22:00Z</dcterms:modified>
  <cp:contentStatus>GENERAL</cp:contentStatus>
</cp:coreProperties>
</file>