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3145B" w:rsidRPr="004D5F9F" w14:paraId="07443935" w14:textId="77777777" w:rsidTr="00A90998">
        <w:trPr>
          <w:trHeight w:val="851"/>
        </w:trPr>
        <w:tc>
          <w:tcPr>
            <w:tcW w:w="976" w:type="dxa"/>
            <w:tcBorders>
              <w:bottom w:val="single" w:sz="12" w:space="0" w:color="auto"/>
            </w:tcBorders>
          </w:tcPr>
          <w:p w14:paraId="4410FCB7" w14:textId="77777777" w:rsidR="00E75D28" w:rsidRPr="004D5F9F" w:rsidRDefault="00E75D28" w:rsidP="00584808">
            <w:bookmarkStart w:id="0" w:name="Meeting"/>
            <w:r w:rsidRPr="00541ABB">
              <w:rPr>
                <w:noProof/>
                <w:lang w:eastAsia="en-CA"/>
              </w:rPr>
              <w:drawing>
                <wp:inline distT="0" distB="0" distL="0" distR="0" wp14:anchorId="16627B0F" wp14:editId="5B17B5A1">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5ABBE2CD" w14:textId="34B5EEBC" w:rsidR="00E75D28" w:rsidRPr="004D5F9F" w:rsidRDefault="000B28B6" w:rsidP="00584808">
            <w:r w:rsidRPr="000B28B6">
              <w:rPr>
                <w:noProof/>
              </w:rPr>
              <w:drawing>
                <wp:inline distT="0" distB="0" distL="0" distR="0" wp14:anchorId="42946BF4" wp14:editId="52FE3852">
                  <wp:extent cx="593725" cy="3409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74F8C902" w14:textId="77777777" w:rsidR="00E75D28" w:rsidRPr="004D5F9F" w:rsidRDefault="00E75D28" w:rsidP="00584808">
            <w:pPr>
              <w:jc w:val="right"/>
              <w:rPr>
                <w:rFonts w:ascii="Arial" w:hAnsi="Arial" w:cs="Arial"/>
                <w:b/>
                <w:sz w:val="32"/>
                <w:szCs w:val="32"/>
              </w:rPr>
            </w:pPr>
            <w:r>
              <w:rPr>
                <w:rFonts w:ascii="Arial" w:hAnsi="Arial" w:cs="Arial"/>
                <w:b/>
                <w:sz w:val="32"/>
                <w:szCs w:val="32"/>
              </w:rPr>
              <w:t>CBD</w:t>
            </w:r>
          </w:p>
        </w:tc>
      </w:tr>
      <w:tr w:rsidR="0033145B" w:rsidRPr="004D5F9F" w14:paraId="1468DFE8" w14:textId="77777777" w:rsidTr="00A90998">
        <w:tc>
          <w:tcPr>
            <w:tcW w:w="6117" w:type="dxa"/>
            <w:gridSpan w:val="2"/>
            <w:tcBorders>
              <w:top w:val="single" w:sz="12" w:space="0" w:color="auto"/>
              <w:bottom w:val="single" w:sz="36" w:space="0" w:color="auto"/>
            </w:tcBorders>
            <w:vAlign w:val="center"/>
          </w:tcPr>
          <w:p w14:paraId="5F5353E2" w14:textId="5A38D38E" w:rsidR="00E75D28" w:rsidRPr="004D5F9F" w:rsidRDefault="000B28B6" w:rsidP="00584808">
            <w:r w:rsidRPr="00151511">
              <w:rPr>
                <w:bCs/>
                <w:noProof/>
                <w:szCs w:val="22"/>
              </w:rPr>
              <w:drawing>
                <wp:inline distT="0" distB="0" distL="0" distR="0" wp14:anchorId="5118E379" wp14:editId="42DB8095">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AC5F6B2" w14:textId="77777777" w:rsidR="00E75D28" w:rsidRPr="006A5942" w:rsidRDefault="00E75D28" w:rsidP="009B726B">
            <w:pPr>
              <w:ind w:left="1215"/>
              <w:jc w:val="left"/>
              <w:rPr>
                <w:szCs w:val="22"/>
              </w:rPr>
            </w:pPr>
            <w:r>
              <w:rPr>
                <w:szCs w:val="22"/>
              </w:rPr>
              <w:t>Distr.</w:t>
            </w:r>
          </w:p>
          <w:p w14:paraId="08A685DC" w14:textId="30DE033D" w:rsidR="005209FA" w:rsidRPr="006A5942" w:rsidRDefault="007329CF" w:rsidP="009B726B">
            <w:pPr>
              <w:ind w:left="1215"/>
              <w:jc w:val="left"/>
              <w:rPr>
                <w:szCs w:val="22"/>
              </w:rPr>
            </w:pPr>
            <w:r>
              <w:rPr>
                <w:szCs w:val="22"/>
              </w:rPr>
              <w:t>LIMITÉE</w:t>
            </w:r>
          </w:p>
          <w:p w14:paraId="08C8A471" w14:textId="77777777" w:rsidR="00E75D28" w:rsidRPr="006A5942" w:rsidRDefault="00E75D28" w:rsidP="009B726B">
            <w:pPr>
              <w:ind w:left="1215"/>
              <w:jc w:val="left"/>
              <w:rPr>
                <w:szCs w:val="22"/>
              </w:rPr>
            </w:pPr>
          </w:p>
          <w:p w14:paraId="14592E96" w14:textId="33FC2F28" w:rsidR="00E75D28" w:rsidRPr="006A5942" w:rsidRDefault="00781CDF" w:rsidP="009B726B">
            <w:pPr>
              <w:ind w:left="1215"/>
              <w:jc w:val="left"/>
              <w:rPr>
                <w:szCs w:val="22"/>
              </w:rPr>
            </w:pPr>
            <w:sdt>
              <w:sdtPr>
                <w:alias w:val="Subject"/>
                <w:tag w:val=""/>
                <w:id w:val="2137136483"/>
                <w:placeholder>
                  <w:docPart w:val="62F44C6121AB47D8A2AC27E6F16A3597"/>
                </w:placeholder>
                <w:dataBinding w:prefixMappings="xmlns:ns0='http://purl.org/dc/elements/1.1/' xmlns:ns1='http://schemas.openxmlformats.org/package/2006/metadata/core-properties' " w:xpath="/ns1:coreProperties[1]/ns0:subject[1]" w:storeItemID="{6C3C8BC8-F283-45AE-878A-BAB7291924A1}"/>
                <w:text/>
              </w:sdtPr>
              <w:sdtEndPr/>
              <w:sdtContent>
                <w:r w:rsidR="00FD785E" w:rsidRPr="006A5942">
                  <w:t>CBD/NP/MOP/4/</w:t>
                </w:r>
                <w:r w:rsidR="007329CF" w:rsidRPr="006A5942">
                  <w:t>L.2</w:t>
                </w:r>
              </w:sdtContent>
            </w:sdt>
          </w:p>
          <w:p w14:paraId="68284032" w14:textId="0DC512DA" w:rsidR="00E70AE7" w:rsidRPr="006A5942" w:rsidRDefault="001930F8" w:rsidP="009B726B">
            <w:pPr>
              <w:ind w:left="1215"/>
              <w:jc w:val="left"/>
              <w:rPr>
                <w:szCs w:val="22"/>
              </w:rPr>
            </w:pPr>
            <w:r>
              <w:rPr>
                <w:szCs w:val="22"/>
              </w:rPr>
              <w:t>11 octobre 2021</w:t>
            </w:r>
          </w:p>
          <w:p w14:paraId="55B32F75" w14:textId="77777777" w:rsidR="00E75D28" w:rsidRPr="006A5942" w:rsidRDefault="00E75D28" w:rsidP="009B726B">
            <w:pPr>
              <w:ind w:left="1215"/>
              <w:jc w:val="left"/>
              <w:rPr>
                <w:szCs w:val="22"/>
              </w:rPr>
            </w:pPr>
          </w:p>
          <w:p w14:paraId="56308EBE" w14:textId="77777777" w:rsidR="00E75D28" w:rsidRPr="006A5942" w:rsidRDefault="00E75D28" w:rsidP="009B726B">
            <w:pPr>
              <w:ind w:left="1215"/>
              <w:jc w:val="left"/>
              <w:rPr>
                <w:szCs w:val="22"/>
              </w:rPr>
            </w:pPr>
            <w:r>
              <w:rPr>
                <w:szCs w:val="22"/>
              </w:rPr>
              <w:t xml:space="preserve">FRANÇAIS </w:t>
            </w:r>
            <w:r>
              <w:rPr>
                <w:szCs w:val="22"/>
              </w:rPr>
              <w:br/>
              <w:t>ORIGINAL : ANGLAIS</w:t>
            </w:r>
          </w:p>
          <w:p w14:paraId="1FE0F6CD" w14:textId="77777777" w:rsidR="00E75D28" w:rsidRPr="006A5942" w:rsidRDefault="00E75D28" w:rsidP="009B726B">
            <w:pPr>
              <w:jc w:val="left"/>
            </w:pPr>
          </w:p>
        </w:tc>
      </w:tr>
    </w:tbl>
    <w:p w14:paraId="6F4E3572" w14:textId="3FD60552" w:rsidR="00CA6B87" w:rsidRPr="004D5F9F" w:rsidRDefault="00921787" w:rsidP="00665C89">
      <w:pPr>
        <w:pStyle w:val="meetingname"/>
        <w:ind w:right="3690"/>
        <w:rPr>
          <w:kern w:val="22"/>
          <w:szCs w:val="22"/>
        </w:rPr>
      </w:pPr>
      <w:r>
        <w:rPr>
          <w:szCs w:val="22"/>
        </w:rPr>
        <w:t>CONFÉRENCE DES PARTIES À LA CONVENTION SUR LA DIVERSITÉ BIOLOGIQUE SIÉGEANT EN TANT QUE RÉUNION DES PARTIES AU PROTOCOLE DE NAGOYA SUR L’ACCÈS AUX RESSOURCES GÉNÉTIQUES ET LE PARTAGE JUSTE ET ÉQUITABLE DES AVANTAGES DÉCOULANT DE LEUR UTILISATION</w:t>
      </w:r>
      <w:bookmarkEnd w:id="0"/>
    </w:p>
    <w:p w14:paraId="2665587E" w14:textId="77777777" w:rsidR="0071432E" w:rsidRPr="004D5F9F" w:rsidRDefault="00921787" w:rsidP="0071432E">
      <w:pPr>
        <w:rPr>
          <w:szCs w:val="22"/>
        </w:rPr>
      </w:pPr>
      <w:r>
        <w:rPr>
          <w:szCs w:val="22"/>
        </w:rPr>
        <w:t>Quatrième réunion</w:t>
      </w:r>
    </w:p>
    <w:p w14:paraId="65914853" w14:textId="10A32C0D" w:rsidR="00933A84" w:rsidRPr="004D5F9F" w:rsidRDefault="00401243" w:rsidP="0071432E">
      <w:pPr>
        <w:pStyle w:val="Cornernotation"/>
        <w:rPr>
          <w:szCs w:val="22"/>
        </w:rPr>
      </w:pPr>
      <w:r>
        <w:rPr>
          <w:szCs w:val="22"/>
        </w:rPr>
        <w:t>Kunming, Chine, 11-15 octobre 2021</w:t>
      </w:r>
    </w:p>
    <w:p w14:paraId="2A51AEB0" w14:textId="77777777" w:rsidR="007329CF" w:rsidRPr="004D5F9F" w:rsidRDefault="0080670B" w:rsidP="0080670B">
      <w:pPr>
        <w:pStyle w:val="Cornernotation"/>
        <w:ind w:hanging="28"/>
        <w:rPr>
          <w:szCs w:val="22"/>
        </w:rPr>
      </w:pPr>
      <w:r>
        <w:rPr>
          <w:szCs w:val="22"/>
        </w:rPr>
        <w:t>et du 25 avril au 8 mai 2022</w:t>
      </w:r>
    </w:p>
    <w:p w14:paraId="40EAF2A6" w14:textId="733E26EB" w:rsidR="0080670B" w:rsidRPr="004D5F9F" w:rsidRDefault="007329CF" w:rsidP="009B726B">
      <w:pPr>
        <w:pStyle w:val="Cornernotation"/>
        <w:ind w:left="0" w:firstLine="0"/>
        <w:rPr>
          <w:szCs w:val="22"/>
        </w:rPr>
      </w:pPr>
      <w:r>
        <w:rPr>
          <w:szCs w:val="22"/>
        </w:rPr>
        <w:t>Point 6 de l’ordre du jour</w:t>
      </w:r>
    </w:p>
    <w:p w14:paraId="70D4DD3E" w14:textId="1DC05E42" w:rsidR="009C1BB4" w:rsidRPr="004D5F9F" w:rsidRDefault="009C1BB4" w:rsidP="009C1BB4">
      <w:pPr>
        <w:pStyle w:val="Heading1"/>
        <w:rPr>
          <w:szCs w:val="22"/>
        </w:rPr>
      </w:pPr>
      <w:r>
        <w:rPr>
          <w:szCs w:val="22"/>
        </w:rPr>
        <w:t>BUDGET POUR LE PROGRAMME DE TRAVAIL INTÉGRÉ DU SECRÉTARIAT</w:t>
      </w:r>
    </w:p>
    <w:p w14:paraId="77ECBF9F" w14:textId="32680307" w:rsidR="009B15E2" w:rsidRPr="004D5F9F" w:rsidRDefault="009B15E2" w:rsidP="009B726B">
      <w:pPr>
        <w:pStyle w:val="ListParagraph"/>
        <w:keepNext/>
        <w:suppressLineNumbers/>
        <w:suppressAutoHyphens/>
        <w:spacing w:before="120" w:after="120"/>
        <w:ind w:left="0"/>
        <w:contextualSpacing w:val="0"/>
        <w:jc w:val="center"/>
        <w:outlineLvl w:val="0"/>
        <w:rPr>
          <w:kern w:val="22"/>
          <w:szCs w:val="22"/>
        </w:rPr>
      </w:pPr>
      <w:r>
        <w:rPr>
          <w:b/>
          <w:kern w:val="22"/>
          <w:szCs w:val="22"/>
        </w:rPr>
        <w:t>Projet de décision soumis par la présidence du comité budgétaire</w:t>
      </w:r>
    </w:p>
    <w:p w14:paraId="31389779" w14:textId="77777777" w:rsidR="009C1BB4" w:rsidRPr="004D5F9F" w:rsidRDefault="009C1BB4" w:rsidP="009C1BB4">
      <w:pPr>
        <w:pStyle w:val="ListParagraph"/>
        <w:suppressLineNumbers/>
        <w:suppressAutoHyphens/>
        <w:spacing w:before="120" w:after="120"/>
        <w:ind w:left="0" w:firstLine="720"/>
        <w:contextualSpacing w:val="0"/>
        <w:rPr>
          <w:iCs/>
          <w:kern w:val="22"/>
          <w:szCs w:val="22"/>
        </w:rPr>
      </w:pPr>
      <w:r>
        <w:rPr>
          <w:i/>
          <w:kern w:val="22"/>
          <w:szCs w:val="22"/>
        </w:rPr>
        <w:t>La Conférence des Parties siégeant en tant que réunion des Parties au Protocole de Nagoya sur l'accès et le partage des avantages,</w:t>
      </w:r>
    </w:p>
    <w:p w14:paraId="6317D1D9" w14:textId="7FFB38AA" w:rsidR="009C1BB4" w:rsidRPr="004D5F9F" w:rsidRDefault="009C1BB4" w:rsidP="009C1BB4">
      <w:pPr>
        <w:suppressLineNumbers/>
        <w:suppressAutoHyphens/>
        <w:spacing w:before="120" w:after="120"/>
        <w:ind w:firstLine="720"/>
        <w:rPr>
          <w:kern w:val="22"/>
          <w:szCs w:val="22"/>
        </w:rPr>
      </w:pPr>
      <w:r>
        <w:rPr>
          <w:i/>
          <w:kern w:val="22"/>
          <w:szCs w:val="22"/>
        </w:rPr>
        <w:t>Rappelant</w:t>
      </w:r>
      <w:r>
        <w:rPr>
          <w:kern w:val="22"/>
          <w:szCs w:val="22"/>
        </w:rPr>
        <w:t xml:space="preserve"> sa décision </w:t>
      </w:r>
      <w:hyperlink r:id="rId14" w:history="1">
        <w:r>
          <w:rPr>
            <w:rStyle w:val="Hyperlink"/>
            <w:color w:val="auto"/>
            <w:kern w:val="22"/>
            <w:szCs w:val="22"/>
          </w:rPr>
          <w:t>3/16</w:t>
        </w:r>
      </w:hyperlink>
      <w:r>
        <w:rPr>
          <w:kern w:val="22"/>
          <w:szCs w:val="22"/>
        </w:rPr>
        <w:t xml:space="preserve">, dans laquelle elle a approuvé le budget pour l'exercice </w:t>
      </w:r>
      <w:r w:rsidR="00BE746B">
        <w:rPr>
          <w:kern w:val="22"/>
          <w:szCs w:val="22"/>
        </w:rPr>
        <w:br/>
      </w:r>
      <w:r>
        <w:rPr>
          <w:kern w:val="22"/>
          <w:szCs w:val="22"/>
        </w:rPr>
        <w:t>biennal 2019-2020,</w:t>
      </w:r>
    </w:p>
    <w:p w14:paraId="23DA6A52" w14:textId="77777777" w:rsidR="009C1BB4" w:rsidRPr="004D5F9F" w:rsidRDefault="009C1BB4" w:rsidP="009C1BB4">
      <w:pPr>
        <w:suppressLineNumbers/>
        <w:suppressAutoHyphens/>
        <w:spacing w:before="120" w:after="120"/>
        <w:ind w:firstLine="720"/>
        <w:rPr>
          <w:kern w:val="22"/>
          <w:szCs w:val="22"/>
        </w:rPr>
      </w:pPr>
      <w:r>
        <w:rPr>
          <w:i/>
          <w:iCs/>
          <w:kern w:val="22"/>
          <w:szCs w:val="22"/>
        </w:rPr>
        <w:t>Rappelant</w:t>
      </w:r>
      <w:r>
        <w:rPr>
          <w:kern w:val="22"/>
          <w:szCs w:val="22"/>
        </w:rPr>
        <w:t xml:space="preserve"> sa décision NP-EM-1/1, dans laquelle elle a approuvé l'extension du budget pour l'exercice biennal 2019-2020 et</w:t>
      </w:r>
      <w:bookmarkStart w:id="1" w:name="_Hlk83296473"/>
      <w:r>
        <w:rPr>
          <w:kern w:val="22"/>
          <w:szCs w:val="22"/>
        </w:rPr>
        <w:t>, à titre exceptionnel, un budget</w:t>
      </w:r>
      <w:bookmarkEnd w:id="1"/>
      <w:r>
        <w:rPr>
          <w:kern w:val="22"/>
          <w:szCs w:val="22"/>
        </w:rPr>
        <w:t xml:space="preserve"> de base provisoire pour l'année 2021,</w:t>
      </w:r>
    </w:p>
    <w:p w14:paraId="0D2D8244" w14:textId="3EE519B4" w:rsidR="009C1BB4" w:rsidRPr="004D5F9F" w:rsidRDefault="009C1BB4" w:rsidP="009C1BB4">
      <w:pPr>
        <w:suppressLineNumbers/>
        <w:suppressAutoHyphens/>
        <w:spacing w:before="120" w:after="120"/>
        <w:ind w:firstLine="720"/>
        <w:rPr>
          <w:i/>
          <w:kern w:val="22"/>
          <w:szCs w:val="22"/>
        </w:rPr>
      </w:pPr>
      <w:r>
        <w:rPr>
          <w:i/>
          <w:iCs/>
          <w:kern w:val="22"/>
          <w:szCs w:val="22"/>
        </w:rPr>
        <w:t>Considérant</w:t>
      </w:r>
      <w:r>
        <w:rPr>
          <w:kern w:val="22"/>
          <w:szCs w:val="22"/>
        </w:rPr>
        <w:t xml:space="preserve"> la décision de tenir la quatrième réunion de la Conférence des Parties en deux parties, la première partie du 11 au 15 octobre 2021 et la deuxième partie du 25 avril au 8 mai 2022, en raison des contraintes liées à la pandémie de COVID-19, et que l'examen et l'adoption d'un budget ordinaire ou complet ont été prévus pour la deuxième partie de la réunion,</w:t>
      </w:r>
    </w:p>
    <w:p w14:paraId="25EB2034" w14:textId="77777777" w:rsidR="009C1BB4" w:rsidRPr="004D5F9F" w:rsidRDefault="009C1BB4" w:rsidP="009C1BB4">
      <w:pPr>
        <w:suppressLineNumbers/>
        <w:suppressAutoHyphens/>
        <w:spacing w:before="120" w:after="120"/>
        <w:ind w:firstLine="720"/>
        <w:rPr>
          <w:kern w:val="22"/>
          <w:szCs w:val="22"/>
        </w:rPr>
      </w:pPr>
      <w:r>
        <w:rPr>
          <w:i/>
          <w:kern w:val="22"/>
          <w:szCs w:val="22"/>
        </w:rPr>
        <w:t>Notant</w:t>
      </w:r>
      <w:r>
        <w:rPr>
          <w:kern w:val="22"/>
          <w:szCs w:val="22"/>
        </w:rPr>
        <w:t>, par conséquent, la nécessité de prendre des dispositions pour permettre la poursuite du fonctionnement des organes du Protocole, notamment son Secrétariat et les réunions de ses Parties et de ses organes subsidiaires,</w:t>
      </w:r>
    </w:p>
    <w:p w14:paraId="483F38E4" w14:textId="185A2F1D" w:rsidR="009C1BB4" w:rsidRPr="004D5F9F" w:rsidRDefault="009C1BB4" w:rsidP="009C1BB4">
      <w:pPr>
        <w:suppressLineNumbers/>
        <w:suppressAutoHyphens/>
        <w:spacing w:before="120" w:after="120"/>
        <w:ind w:firstLine="720"/>
        <w:rPr>
          <w:rFonts w:eastAsia="Malgun Gothic"/>
          <w:kern w:val="22"/>
          <w:szCs w:val="22"/>
          <w:lang w:eastAsia="x-none"/>
        </w:rPr>
      </w:pPr>
      <w:r>
        <w:rPr>
          <w:rFonts w:eastAsia="Malgun Gothic"/>
          <w:i/>
          <w:iCs/>
          <w:kern w:val="22"/>
          <w:szCs w:val="22"/>
        </w:rPr>
        <w:t>Prenant note</w:t>
      </w:r>
      <w:r>
        <w:rPr>
          <w:rFonts w:eastAsia="Malgun Gothic"/>
          <w:kern w:val="22"/>
          <w:szCs w:val="22"/>
        </w:rPr>
        <w:t xml:space="preserve"> de la proposition du Bureau de la Conférence des Parties selon laquelle, à titre exceptionnel, les Parties examinent et approuvent un budget provisoire pour 2022 selon des modalités convenues.</w:t>
      </w:r>
    </w:p>
    <w:p w14:paraId="3F8AE51A" w14:textId="77777777" w:rsidR="005E6D97" w:rsidRPr="00541ABB" w:rsidRDefault="005E6D97" w:rsidP="005E6D97">
      <w:pPr>
        <w:spacing w:before="120" w:after="120"/>
        <w:ind w:firstLine="720"/>
        <w:rPr>
          <w:i/>
          <w:szCs w:val="22"/>
        </w:rPr>
      </w:pPr>
      <w:r>
        <w:rPr>
          <w:i/>
          <w:iCs/>
          <w:szCs w:val="22"/>
        </w:rPr>
        <w:t>Rappelant</w:t>
      </w:r>
      <w:r>
        <w:rPr>
          <w:szCs w:val="22"/>
        </w:rPr>
        <w:t xml:space="preserve"> l'importance de disposer d'informations rapides et facilement compréhensibles sur les questions financières et administratives, afin de permettre aux Parties de bénéficier d'un Secrétariat efficace et efficient et de soutenir celui-ci,</w:t>
      </w:r>
    </w:p>
    <w:p w14:paraId="4E83F7ED" w14:textId="62EEE19A" w:rsidR="005E6D97" w:rsidRPr="00541ABB" w:rsidRDefault="005E6D97" w:rsidP="005E6D97">
      <w:pPr>
        <w:spacing w:before="120" w:after="120"/>
        <w:ind w:firstLine="720"/>
        <w:rPr>
          <w:szCs w:val="22"/>
        </w:rPr>
      </w:pPr>
      <w:r>
        <w:rPr>
          <w:i/>
          <w:iCs/>
          <w:szCs w:val="22"/>
        </w:rPr>
        <w:t>Rappelant également</w:t>
      </w:r>
      <w:r>
        <w:rPr>
          <w:szCs w:val="22"/>
        </w:rPr>
        <w:t xml:space="preserve"> la nécessité d'un processus décisionnel inclusif lors des réunions de la Conférence des Parties et des Parties à ses Protocoles et, en particulier, les dispositions des paragraphes 35 à 44 de la décision 14/37 sur le Fonds d'affectation spéciale de contributions volontaires (BZ) destiné à faciliter la participation des Parties aux processus de la Convention,</w:t>
      </w:r>
    </w:p>
    <w:p w14:paraId="56CE3317" w14:textId="796EA8EE" w:rsidR="005E6D97" w:rsidRPr="00541ABB" w:rsidRDefault="005E6D97">
      <w:pPr>
        <w:suppressLineNumbers/>
        <w:suppressAutoHyphens/>
        <w:spacing w:before="120" w:after="120"/>
        <w:ind w:firstLine="720"/>
        <w:rPr>
          <w:kern w:val="22"/>
          <w:szCs w:val="22"/>
        </w:rPr>
      </w:pPr>
      <w:r>
        <w:rPr>
          <w:i/>
          <w:iCs/>
          <w:kern w:val="22"/>
          <w:szCs w:val="22"/>
        </w:rPr>
        <w:lastRenderedPageBreak/>
        <w:t>Reconnaissant</w:t>
      </w:r>
      <w:r>
        <w:rPr>
          <w:kern w:val="22"/>
          <w:szCs w:val="22"/>
        </w:rPr>
        <w:t xml:space="preserve"> la nature exceptionnelle des circonstances liées à la pandémie et exprimant sa solidarité avec toutes les Parties qui doivent faire face aux incidences humaines et économiques de la pandémie en cours,</w:t>
      </w:r>
    </w:p>
    <w:p w14:paraId="3C76600A" w14:textId="77777777" w:rsidR="009C1BB4" w:rsidRPr="004D5F9F" w:rsidRDefault="009C1BB4" w:rsidP="009C1BB4">
      <w:pPr>
        <w:suppressLineNumbers/>
        <w:suppressAutoHyphens/>
        <w:spacing w:before="120" w:after="120"/>
        <w:ind w:firstLine="720"/>
        <w:rPr>
          <w:kern w:val="22"/>
          <w:szCs w:val="22"/>
        </w:rPr>
      </w:pPr>
      <w:r>
        <w:rPr>
          <w:i/>
          <w:kern w:val="22"/>
          <w:szCs w:val="22"/>
        </w:rPr>
        <w:t>Ayant examiné</w:t>
      </w:r>
      <w:r>
        <w:rPr>
          <w:kern w:val="22"/>
          <w:szCs w:val="22"/>
        </w:rPr>
        <w:t xml:space="preserve"> la note de la Secrétaire exécutive</w:t>
      </w:r>
      <w:bookmarkStart w:id="2" w:name="_Ref81141669"/>
      <w:r>
        <w:rPr>
          <w:rStyle w:val="FootnoteReference"/>
          <w:kern w:val="22"/>
          <w:sz w:val="22"/>
          <w:szCs w:val="22"/>
          <w:u w:val="none"/>
          <w:vertAlign w:val="superscript"/>
        </w:rPr>
        <w:footnoteReference w:id="2"/>
      </w:r>
      <w:r>
        <w:rPr>
          <w:kern w:val="22"/>
          <w:szCs w:val="22"/>
        </w:rPr>
        <w:t>,</w:t>
      </w:r>
      <w:bookmarkEnd w:id="2"/>
    </w:p>
    <w:p w14:paraId="244F37FA" w14:textId="356F5148" w:rsidR="009C1BB4" w:rsidRPr="004D5F9F" w:rsidRDefault="009C1BB4" w:rsidP="00F500C8">
      <w:pPr>
        <w:pStyle w:val="ListParagraph"/>
        <w:numPr>
          <w:ilvl w:val="0"/>
          <w:numId w:val="6"/>
        </w:numPr>
        <w:suppressLineNumbers/>
        <w:shd w:val="clear" w:color="auto" w:fill="FFFFFF" w:themeFill="background1"/>
        <w:suppressAutoHyphens/>
        <w:spacing w:before="120" w:after="120"/>
        <w:ind w:left="0" w:firstLine="720"/>
        <w:contextualSpacing w:val="0"/>
        <w:rPr>
          <w:kern w:val="22"/>
          <w:szCs w:val="22"/>
          <w:lang w:eastAsia="ko-KR"/>
        </w:rPr>
      </w:pPr>
      <w:r>
        <w:rPr>
          <w:rFonts w:eastAsia="Malgun Gothic"/>
          <w:i/>
          <w:iCs/>
          <w:kern w:val="22"/>
          <w:szCs w:val="22"/>
        </w:rPr>
        <w:t>Approuve</w:t>
      </w:r>
      <w:r>
        <w:rPr>
          <w:rFonts w:eastAsia="Malgun Gothic"/>
          <w:kern w:val="22"/>
          <w:szCs w:val="22"/>
        </w:rPr>
        <w:t>, à titre exceptionnel, un budget-programme de base provisoire pour le Protocole de Nagoya sur l'accès et le partage des avantages, d'un montant de 2 028 350 dollars US pour l'année 2022, soit 11 % du budget provisoire intégré de 18 439 546 dollars US pour l'année 2022, aux fins énumérées dans les tableaux 1a et 1b ci-après ;</w:t>
      </w:r>
    </w:p>
    <w:p w14:paraId="0E232B38" w14:textId="0A8E07B5" w:rsidR="009C1BB4" w:rsidRPr="00541ABB" w:rsidRDefault="009C1BB4" w:rsidP="00F500C8">
      <w:pPr>
        <w:pStyle w:val="ListParagraph"/>
        <w:numPr>
          <w:ilvl w:val="0"/>
          <w:numId w:val="6"/>
        </w:numPr>
        <w:suppressLineNumbers/>
        <w:shd w:val="clear" w:color="auto" w:fill="FFFFFF" w:themeFill="background1"/>
        <w:suppressAutoHyphens/>
        <w:spacing w:before="120" w:after="120"/>
        <w:ind w:left="0" w:firstLine="720"/>
        <w:contextualSpacing w:val="0"/>
        <w:rPr>
          <w:szCs w:val="22"/>
        </w:rPr>
      </w:pPr>
      <w:r>
        <w:rPr>
          <w:i/>
          <w:iCs/>
        </w:rPr>
        <w:t>Adopte</w:t>
      </w:r>
      <w:r>
        <w:rPr>
          <w:szCs w:val="22"/>
        </w:rPr>
        <w:t xml:space="preserve"> le barème des quotes-parts pour la répartition des dépenses pour 2022, conformément au barème actuel des quotes-parts pour la répartition des dépenses des Nations Unies, tel qu'il figure dans le tableau 2 de la présente décision, notant que le barème des quotes-parts pour l'exercice triennal 2022-2024 devrait être approuvé par l'Assemblée générale des Nations Unies en décembre 2021 et que le nouveau barème des quotes-parts sera appliqué, lorsqu'il sera publié, pour calculer les quotes-parts pour 2022 ;</w:t>
      </w:r>
    </w:p>
    <w:p w14:paraId="419F1C9C" w14:textId="05CA6859" w:rsidR="000B3130" w:rsidRPr="00541ABB" w:rsidRDefault="009C1BB4" w:rsidP="000B3130">
      <w:pPr>
        <w:pStyle w:val="ListParagraph"/>
        <w:numPr>
          <w:ilvl w:val="0"/>
          <w:numId w:val="6"/>
        </w:numPr>
        <w:suppressLineNumbers/>
        <w:shd w:val="clear" w:color="auto" w:fill="FFFFFF" w:themeFill="background1"/>
        <w:suppressAutoHyphens/>
        <w:spacing w:before="120" w:after="120"/>
        <w:ind w:left="0" w:firstLine="720"/>
        <w:contextualSpacing w:val="0"/>
        <w:rPr>
          <w:szCs w:val="22"/>
        </w:rPr>
      </w:pPr>
      <w:r>
        <w:rPr>
          <w:i/>
          <w:kern w:val="22"/>
          <w:szCs w:val="22"/>
        </w:rPr>
        <w:t>Prie</w:t>
      </w:r>
      <w:r>
        <w:rPr>
          <w:kern w:val="22"/>
          <w:szCs w:val="22"/>
        </w:rPr>
        <w:t xml:space="preserve"> </w:t>
      </w:r>
      <w:r>
        <w:rPr>
          <w:rFonts w:eastAsia="Malgun Gothic"/>
          <w:kern w:val="22"/>
          <w:szCs w:val="22"/>
        </w:rPr>
        <w:t xml:space="preserve">la </w:t>
      </w:r>
      <w:r>
        <w:rPr>
          <w:kern w:val="22"/>
          <w:szCs w:val="22"/>
        </w:rPr>
        <w:t>Secrétaire exécutive d'élaborer des propositions pour le budget de l'exercice biennal 2023-2024 dans l'attente d'une décision de la Conférence des Parties siégeant en tant que réunion des Parties au Protocole de Nagoya concernant les dates de sa cinquième réunion ;</w:t>
      </w:r>
    </w:p>
    <w:p w14:paraId="5039EB7E" w14:textId="32268CAE" w:rsidR="000B3130" w:rsidRPr="004D5F9F" w:rsidRDefault="000B3130" w:rsidP="00F500C8">
      <w:pPr>
        <w:pStyle w:val="ListParagraph"/>
        <w:numPr>
          <w:ilvl w:val="0"/>
          <w:numId w:val="6"/>
        </w:numPr>
        <w:suppressLineNumbers/>
        <w:shd w:val="clear" w:color="auto" w:fill="FFFFFF" w:themeFill="background1"/>
        <w:suppressAutoHyphens/>
        <w:spacing w:before="120" w:after="120"/>
        <w:ind w:left="0" w:firstLine="720"/>
        <w:contextualSpacing w:val="0"/>
        <w:rPr>
          <w:szCs w:val="22"/>
        </w:rPr>
      </w:pPr>
      <w:r>
        <w:rPr>
          <w:i/>
          <w:iCs/>
          <w:szCs w:val="22"/>
        </w:rPr>
        <w:t>Note</w:t>
      </w:r>
      <w:r>
        <w:rPr>
          <w:szCs w:val="22"/>
        </w:rPr>
        <w:t xml:space="preserve"> </w:t>
      </w:r>
      <w:r>
        <w:rPr>
          <w:i/>
          <w:iCs/>
          <w:szCs w:val="22"/>
        </w:rPr>
        <w:t>avec préoccupation</w:t>
      </w:r>
      <w:r>
        <w:rPr>
          <w:szCs w:val="22"/>
        </w:rPr>
        <w:t xml:space="preserve"> qu'un certain nombre de pays n'ont pas payé leurs contributions aux budgets de base (fonds d'affectation spéciale BY, BG et BB) pour 2020 et les années précédentes, certaines Parties n'ayant jamais payé leurs contributions, et note également que, conformément aux normes comptables internationales pour le secteur public adoptées par les Nations Unies</w:t>
      </w:r>
      <w:r>
        <w:rPr>
          <w:rStyle w:val="FootnoteReference"/>
          <w:sz w:val="22"/>
          <w:szCs w:val="22"/>
          <w:u w:val="none"/>
          <w:vertAlign w:val="superscript"/>
        </w:rPr>
        <w:footnoteReference w:id="3"/>
      </w:r>
      <w:r>
        <w:rPr>
          <w:szCs w:val="22"/>
        </w:rPr>
        <w:t>, un montant estimé à 146 000 dollars pour le Protocole de Nagoya, impayé à la fin de 2020, doit être déduit du solde du fonds et ne peut donc pas être utilisé au profit de toutes les Parties au Protocole ;</w:t>
      </w:r>
    </w:p>
    <w:p w14:paraId="39649EE9" w14:textId="639F87BD" w:rsidR="009C1BB4" w:rsidRPr="004D5F9F" w:rsidRDefault="000B3130" w:rsidP="00541ABB">
      <w:pPr>
        <w:suppressLineNumbers/>
        <w:shd w:val="clear" w:color="auto" w:fill="FFFFFF" w:themeFill="background1"/>
        <w:suppressAutoHyphens/>
        <w:spacing w:before="120" w:after="120"/>
        <w:ind w:firstLine="709"/>
        <w:rPr>
          <w:rFonts w:eastAsia="Malgun Gothic"/>
          <w:snapToGrid w:val="0"/>
          <w:kern w:val="22"/>
          <w:szCs w:val="22"/>
          <w:lang w:eastAsia="x-none"/>
        </w:rPr>
      </w:pPr>
      <w:r>
        <w:rPr>
          <w:rFonts w:eastAsia="Malgun Gothic"/>
          <w:iCs/>
          <w:snapToGrid w:val="0"/>
          <w:kern w:val="22"/>
          <w:szCs w:val="22"/>
        </w:rPr>
        <w:t>5.</w:t>
      </w:r>
      <w:r>
        <w:rPr>
          <w:rFonts w:eastAsia="Malgun Gothic"/>
          <w:i/>
          <w:snapToGrid w:val="0"/>
          <w:kern w:val="22"/>
          <w:szCs w:val="22"/>
        </w:rPr>
        <w:tab/>
      </w:r>
      <w:r>
        <w:rPr>
          <w:rFonts w:eastAsia="Malgun Gothic"/>
          <w:i/>
          <w:iCs/>
          <w:snapToGrid w:val="0"/>
          <w:kern w:val="22"/>
          <w:szCs w:val="22"/>
        </w:rPr>
        <w:t>Décide</w:t>
      </w:r>
      <w:r>
        <w:rPr>
          <w:rFonts w:eastAsia="Malgun Gothic"/>
          <w:snapToGrid w:val="0"/>
          <w:kern w:val="22"/>
          <w:szCs w:val="22"/>
        </w:rPr>
        <w:t xml:space="preserve"> d'appliquer, mutatis mutandis, les paragraphes 2 à 4 et 6 à 12, 14 à 17 et 19 de la décision adoptée par la Conférence des Parties à sa quinzième réunion (partie I).</w:t>
      </w:r>
    </w:p>
    <w:p w14:paraId="4F5B81FD" w14:textId="77777777" w:rsidR="005E6D97" w:rsidRPr="00541ABB" w:rsidRDefault="005E6D97" w:rsidP="00541ABB">
      <w:pPr>
        <w:suppressLineNumbers/>
        <w:shd w:val="clear" w:color="auto" w:fill="FFFFFF" w:themeFill="background1"/>
        <w:suppressAutoHyphens/>
        <w:rPr>
          <w:kern w:val="22"/>
          <w:szCs w:val="22"/>
        </w:rPr>
      </w:pPr>
    </w:p>
    <w:p w14:paraId="1B7FB2E0" w14:textId="09F2159F" w:rsidR="00CD28E3" w:rsidRPr="000B28B6" w:rsidRDefault="00CD28E3" w:rsidP="00CD28E3">
      <w:pPr>
        <w:pStyle w:val="Default"/>
        <w:keepNext/>
        <w:keepLines/>
        <w:suppressLineNumbers/>
        <w:suppressAutoHyphens/>
        <w:ind w:left="144"/>
        <w:rPr>
          <w:rFonts w:asciiTheme="majorBidi" w:hAnsiTheme="majorBidi" w:cstheme="majorBidi"/>
          <w:b/>
          <w:color w:val="auto"/>
          <w:kern w:val="22"/>
          <w:sz w:val="22"/>
          <w:szCs w:val="22"/>
        </w:rPr>
      </w:pPr>
      <w:r>
        <w:rPr>
          <w:rFonts w:asciiTheme="majorBidi" w:hAnsiTheme="majorBidi" w:cstheme="majorBidi"/>
          <w:b/>
          <w:color w:val="auto"/>
          <w:kern w:val="22"/>
          <w:sz w:val="22"/>
          <w:szCs w:val="22"/>
        </w:rPr>
        <w:t>Tableau 1a</w:t>
      </w:r>
    </w:p>
    <w:p w14:paraId="0CFDF273" w14:textId="77777777" w:rsidR="00CD28E3" w:rsidRPr="000B28B6" w:rsidRDefault="00CD28E3" w:rsidP="00CD28E3">
      <w:pPr>
        <w:pStyle w:val="Default"/>
        <w:keepNext/>
        <w:keepLines/>
        <w:suppressLineNumbers/>
        <w:suppressAutoHyphens/>
        <w:ind w:left="144"/>
        <w:rPr>
          <w:rFonts w:asciiTheme="majorBidi" w:hAnsiTheme="majorBidi" w:cstheme="majorBidi"/>
          <w:b/>
          <w:bCs/>
          <w:color w:val="auto"/>
          <w:kern w:val="22"/>
          <w:sz w:val="22"/>
          <w:szCs w:val="22"/>
        </w:rPr>
      </w:pPr>
      <w:r>
        <w:rPr>
          <w:rFonts w:asciiTheme="majorBidi" w:hAnsiTheme="majorBidi" w:cstheme="majorBidi"/>
          <w:b/>
          <w:bCs/>
          <w:color w:val="auto"/>
          <w:kern w:val="22"/>
          <w:sz w:val="22"/>
          <w:szCs w:val="22"/>
        </w:rPr>
        <w:t>Budget provisoire intégré pour le Fonds d'affectation spéciale pour la Convention sur la diversité biologique et ses Protocoles pour l'année 2022</w:t>
      </w:r>
    </w:p>
    <w:p w14:paraId="054AECAA" w14:textId="2734399F" w:rsidR="00CD28E3" w:rsidRPr="000B28B6" w:rsidRDefault="00CD28E3" w:rsidP="00CD28E3">
      <w:pPr>
        <w:pStyle w:val="Default"/>
        <w:keepNext/>
        <w:keepLines/>
        <w:suppressLineNumbers/>
        <w:suppressAutoHyphens/>
        <w:ind w:left="144"/>
        <w:rPr>
          <w:i/>
          <w:iCs/>
          <w:color w:val="auto"/>
          <w:sz w:val="22"/>
          <w:szCs w:val="22"/>
          <w:lang w:eastAsia="zh-CN"/>
        </w:rPr>
      </w:pPr>
      <w:r>
        <w:rPr>
          <w:rFonts w:asciiTheme="majorBidi" w:hAnsiTheme="majorBidi" w:cstheme="majorBidi"/>
          <w:i/>
          <w:iCs/>
          <w:color w:val="auto"/>
          <w:kern w:val="22"/>
          <w:sz w:val="22"/>
          <w:szCs w:val="22"/>
        </w:rPr>
        <w:t>(En milliers de dollars US)</w:t>
      </w:r>
    </w:p>
    <w:p w14:paraId="02365B63" w14:textId="7A5C93DE" w:rsidR="00CD28E3" w:rsidRPr="00541ABB" w:rsidRDefault="00CD28E3" w:rsidP="00541ABB">
      <w:pPr>
        <w:rPr>
          <w:szCs w:val="22"/>
          <w:lang w:eastAsia="zh-CN"/>
        </w:rPr>
      </w:pPr>
    </w:p>
    <w:tbl>
      <w:tblPr>
        <w:tblW w:w="9140" w:type="dxa"/>
        <w:jc w:val="center"/>
        <w:tblLook w:val="04A0" w:firstRow="1" w:lastRow="0" w:firstColumn="1" w:lastColumn="0" w:noHBand="0" w:noVBand="1"/>
      </w:tblPr>
      <w:tblGrid>
        <w:gridCol w:w="7220"/>
        <w:gridCol w:w="1920"/>
      </w:tblGrid>
      <w:tr w:rsidR="0033145B" w:rsidRPr="004D5F9F" w14:paraId="00FBC6AD" w14:textId="77777777" w:rsidTr="00E7248E">
        <w:trPr>
          <w:cantSplit/>
          <w:tblHeader/>
          <w:jc w:val="center"/>
        </w:trPr>
        <w:tc>
          <w:tcPr>
            <w:tcW w:w="7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CDADD" w14:textId="5D115BD5" w:rsidR="00CD28E3" w:rsidRPr="00541ABB" w:rsidRDefault="00CD28E3" w:rsidP="00CD28E3">
            <w:pPr>
              <w:jc w:val="center"/>
              <w:rPr>
                <w:i/>
                <w:iCs/>
                <w:szCs w:val="22"/>
                <w:lang w:eastAsia="zh-CN"/>
              </w:rPr>
            </w:pPr>
            <w:r>
              <w:rPr>
                <w:i/>
                <w:iCs/>
                <w:szCs w:val="22"/>
              </w:rPr>
              <w:t>Poste de dépense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18654B05" w14:textId="77777777" w:rsidR="00CD28E3" w:rsidRPr="00541ABB" w:rsidRDefault="00CD28E3" w:rsidP="00CD28E3">
            <w:pPr>
              <w:jc w:val="center"/>
              <w:rPr>
                <w:i/>
                <w:iCs/>
                <w:szCs w:val="22"/>
                <w:lang w:eastAsia="zh-CN"/>
              </w:rPr>
            </w:pPr>
            <w:r>
              <w:rPr>
                <w:i/>
                <w:iCs/>
                <w:szCs w:val="22"/>
              </w:rPr>
              <w:t xml:space="preserve">2022 </w:t>
            </w:r>
          </w:p>
        </w:tc>
      </w:tr>
      <w:tr w:rsidR="0033145B" w:rsidRPr="004D5F9F" w14:paraId="774891A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560195BE" w14:textId="77777777" w:rsidR="00CD28E3" w:rsidRPr="00541ABB" w:rsidRDefault="00CD28E3" w:rsidP="00CD28E3">
            <w:pPr>
              <w:jc w:val="left"/>
              <w:rPr>
                <w:szCs w:val="22"/>
                <w:lang w:eastAsia="zh-CN"/>
              </w:rPr>
            </w:pPr>
            <w:r>
              <w:rPr>
                <w:szCs w:val="22"/>
              </w:rPr>
              <w:t>A. Frais de personnel</w:t>
            </w:r>
          </w:p>
        </w:tc>
        <w:tc>
          <w:tcPr>
            <w:tcW w:w="1920" w:type="dxa"/>
            <w:tcBorders>
              <w:top w:val="nil"/>
              <w:left w:val="nil"/>
              <w:bottom w:val="single" w:sz="4" w:space="0" w:color="auto"/>
              <w:right w:val="single" w:sz="4" w:space="0" w:color="auto"/>
            </w:tcBorders>
            <w:shd w:val="clear" w:color="auto" w:fill="auto"/>
            <w:noWrap/>
            <w:vAlign w:val="center"/>
            <w:hideMark/>
          </w:tcPr>
          <w:p w14:paraId="15DA6B06" w14:textId="77777777" w:rsidR="00CD28E3" w:rsidRPr="00541ABB" w:rsidRDefault="00CD28E3" w:rsidP="00CD28E3">
            <w:pPr>
              <w:jc w:val="right"/>
              <w:rPr>
                <w:szCs w:val="22"/>
                <w:lang w:eastAsia="zh-CN"/>
              </w:rPr>
            </w:pPr>
            <w:r>
              <w:rPr>
                <w:szCs w:val="22"/>
              </w:rPr>
              <w:t xml:space="preserve">12 220,00 </w:t>
            </w:r>
          </w:p>
        </w:tc>
      </w:tr>
      <w:tr w:rsidR="0033145B" w:rsidRPr="004D5F9F" w14:paraId="68E37A9A"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609AB82" w14:textId="77777777" w:rsidR="00CD28E3" w:rsidRPr="00541ABB" w:rsidRDefault="00CD28E3" w:rsidP="00CD28E3">
            <w:pPr>
              <w:jc w:val="left"/>
              <w:rPr>
                <w:szCs w:val="22"/>
                <w:lang w:eastAsia="zh-CN"/>
              </w:rPr>
            </w:pPr>
            <w:r>
              <w:rPr>
                <w:szCs w:val="22"/>
              </w:rPr>
              <w:t>B. Voyage en mission</w:t>
            </w:r>
          </w:p>
        </w:tc>
        <w:tc>
          <w:tcPr>
            <w:tcW w:w="1920" w:type="dxa"/>
            <w:tcBorders>
              <w:top w:val="nil"/>
              <w:left w:val="nil"/>
              <w:bottom w:val="single" w:sz="4" w:space="0" w:color="auto"/>
              <w:right w:val="single" w:sz="4" w:space="0" w:color="auto"/>
            </w:tcBorders>
            <w:shd w:val="clear" w:color="auto" w:fill="auto"/>
            <w:noWrap/>
            <w:vAlign w:val="center"/>
            <w:hideMark/>
          </w:tcPr>
          <w:p w14:paraId="2C057843" w14:textId="77777777" w:rsidR="00CD28E3" w:rsidRPr="00541ABB" w:rsidRDefault="00CD28E3" w:rsidP="00CD28E3">
            <w:pPr>
              <w:jc w:val="right"/>
              <w:rPr>
                <w:szCs w:val="22"/>
                <w:lang w:eastAsia="zh-CN"/>
              </w:rPr>
            </w:pPr>
            <w:r>
              <w:rPr>
                <w:szCs w:val="22"/>
              </w:rPr>
              <w:t xml:space="preserve">275,00 </w:t>
            </w:r>
          </w:p>
        </w:tc>
      </w:tr>
      <w:tr w:rsidR="0033145B" w:rsidRPr="004D5F9F" w14:paraId="584A043D"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9E36518" w14:textId="77777777" w:rsidR="00CD28E3" w:rsidRPr="00541ABB" w:rsidRDefault="00CD28E3" w:rsidP="00CD28E3">
            <w:pPr>
              <w:jc w:val="left"/>
              <w:rPr>
                <w:szCs w:val="22"/>
                <w:lang w:eastAsia="zh-CN"/>
              </w:rPr>
            </w:pPr>
            <w:r>
              <w:rPr>
                <w:szCs w:val="22"/>
              </w:rPr>
              <w:t>C. Consultants/sous-traitants</w:t>
            </w:r>
          </w:p>
        </w:tc>
        <w:tc>
          <w:tcPr>
            <w:tcW w:w="1920" w:type="dxa"/>
            <w:tcBorders>
              <w:top w:val="nil"/>
              <w:left w:val="nil"/>
              <w:bottom w:val="single" w:sz="4" w:space="0" w:color="auto"/>
              <w:right w:val="single" w:sz="4" w:space="0" w:color="auto"/>
            </w:tcBorders>
            <w:shd w:val="clear" w:color="auto" w:fill="auto"/>
            <w:noWrap/>
            <w:vAlign w:val="center"/>
            <w:hideMark/>
          </w:tcPr>
          <w:p w14:paraId="23AA534A" w14:textId="77777777" w:rsidR="00CD28E3" w:rsidRPr="00541ABB" w:rsidRDefault="00CD28E3" w:rsidP="00CD28E3">
            <w:pPr>
              <w:jc w:val="right"/>
              <w:rPr>
                <w:szCs w:val="22"/>
                <w:lang w:eastAsia="zh-CN"/>
              </w:rPr>
            </w:pPr>
            <w:r>
              <w:rPr>
                <w:szCs w:val="22"/>
              </w:rPr>
              <w:t xml:space="preserve">50,00 </w:t>
            </w:r>
          </w:p>
        </w:tc>
      </w:tr>
      <w:tr w:rsidR="0033145B" w:rsidRPr="004D5F9F" w14:paraId="5221C57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A918781" w14:textId="77777777" w:rsidR="00CD28E3" w:rsidRPr="00541ABB" w:rsidRDefault="00CD28E3" w:rsidP="00CD28E3">
            <w:pPr>
              <w:jc w:val="left"/>
              <w:rPr>
                <w:szCs w:val="22"/>
                <w:lang w:eastAsia="zh-CN"/>
              </w:rPr>
            </w:pPr>
            <w:r>
              <w:rPr>
                <w:szCs w:val="22"/>
              </w:rPr>
              <w:t>D. Matériel de sensibilisation du public/communications</w:t>
            </w:r>
          </w:p>
        </w:tc>
        <w:tc>
          <w:tcPr>
            <w:tcW w:w="1920" w:type="dxa"/>
            <w:tcBorders>
              <w:top w:val="nil"/>
              <w:left w:val="nil"/>
              <w:bottom w:val="single" w:sz="4" w:space="0" w:color="auto"/>
              <w:right w:val="single" w:sz="4" w:space="0" w:color="auto"/>
            </w:tcBorders>
            <w:shd w:val="clear" w:color="auto" w:fill="auto"/>
            <w:noWrap/>
            <w:vAlign w:val="center"/>
            <w:hideMark/>
          </w:tcPr>
          <w:p w14:paraId="2C08368F" w14:textId="77777777" w:rsidR="00CD28E3" w:rsidRPr="00541ABB" w:rsidRDefault="00CD28E3" w:rsidP="00CD28E3">
            <w:pPr>
              <w:jc w:val="right"/>
              <w:rPr>
                <w:szCs w:val="22"/>
                <w:lang w:eastAsia="zh-CN"/>
              </w:rPr>
            </w:pPr>
            <w:r>
              <w:rPr>
                <w:szCs w:val="22"/>
              </w:rPr>
              <w:t xml:space="preserve">50,00 </w:t>
            </w:r>
          </w:p>
        </w:tc>
      </w:tr>
      <w:tr w:rsidR="0033145B" w:rsidRPr="004D5F9F" w14:paraId="3C5F814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4A25FCB" w14:textId="77777777" w:rsidR="00CD28E3" w:rsidRPr="00541ABB" w:rsidRDefault="00CD28E3" w:rsidP="00CD28E3">
            <w:pPr>
              <w:jc w:val="left"/>
              <w:rPr>
                <w:szCs w:val="22"/>
                <w:lang w:eastAsia="zh-CN"/>
              </w:rPr>
            </w:pPr>
            <w:r>
              <w:rPr>
                <w:szCs w:val="22"/>
              </w:rPr>
              <w:t>E. Assistance temporaire/heures supplémentaires</w:t>
            </w:r>
          </w:p>
        </w:tc>
        <w:tc>
          <w:tcPr>
            <w:tcW w:w="1920" w:type="dxa"/>
            <w:tcBorders>
              <w:top w:val="nil"/>
              <w:left w:val="nil"/>
              <w:bottom w:val="single" w:sz="4" w:space="0" w:color="auto"/>
              <w:right w:val="single" w:sz="4" w:space="0" w:color="auto"/>
            </w:tcBorders>
            <w:shd w:val="clear" w:color="auto" w:fill="auto"/>
            <w:noWrap/>
            <w:vAlign w:val="center"/>
            <w:hideMark/>
          </w:tcPr>
          <w:p w14:paraId="1441D39A" w14:textId="77777777" w:rsidR="00CD28E3" w:rsidRPr="00541ABB" w:rsidRDefault="00CD28E3" w:rsidP="00CD28E3">
            <w:pPr>
              <w:jc w:val="right"/>
              <w:rPr>
                <w:szCs w:val="22"/>
                <w:lang w:eastAsia="zh-CN"/>
              </w:rPr>
            </w:pPr>
            <w:r>
              <w:rPr>
                <w:szCs w:val="22"/>
              </w:rPr>
              <w:t xml:space="preserve">100,00 </w:t>
            </w:r>
          </w:p>
        </w:tc>
      </w:tr>
      <w:tr w:rsidR="0033145B" w:rsidRPr="004D5F9F" w14:paraId="6471B6C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6F05651" w14:textId="77777777" w:rsidR="00CD28E3" w:rsidRPr="00541ABB" w:rsidRDefault="00CD28E3" w:rsidP="00CD28E3">
            <w:pPr>
              <w:jc w:val="left"/>
              <w:rPr>
                <w:szCs w:val="22"/>
                <w:lang w:eastAsia="zh-CN"/>
              </w:rPr>
            </w:pPr>
            <w:r>
              <w:rPr>
                <w:szCs w:val="22"/>
              </w:rPr>
              <w:t>F. Formation</w:t>
            </w:r>
          </w:p>
        </w:tc>
        <w:tc>
          <w:tcPr>
            <w:tcW w:w="1920" w:type="dxa"/>
            <w:tcBorders>
              <w:top w:val="nil"/>
              <w:left w:val="nil"/>
              <w:bottom w:val="single" w:sz="4" w:space="0" w:color="auto"/>
              <w:right w:val="single" w:sz="4" w:space="0" w:color="auto"/>
            </w:tcBorders>
            <w:shd w:val="clear" w:color="auto" w:fill="auto"/>
            <w:noWrap/>
            <w:vAlign w:val="center"/>
            <w:hideMark/>
          </w:tcPr>
          <w:p w14:paraId="3D2C381E" w14:textId="77777777" w:rsidR="00CD28E3" w:rsidRPr="00541ABB" w:rsidRDefault="00CD28E3" w:rsidP="00CD28E3">
            <w:pPr>
              <w:jc w:val="right"/>
              <w:rPr>
                <w:szCs w:val="22"/>
                <w:lang w:eastAsia="zh-CN"/>
              </w:rPr>
            </w:pPr>
            <w:r>
              <w:rPr>
                <w:szCs w:val="22"/>
              </w:rPr>
              <w:t xml:space="preserve">5,00 </w:t>
            </w:r>
          </w:p>
        </w:tc>
      </w:tr>
      <w:tr w:rsidR="0033145B" w:rsidRPr="004D5F9F" w14:paraId="3165B7D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97EE9DA" w14:textId="77777777" w:rsidR="00CD28E3" w:rsidRPr="00541ABB" w:rsidRDefault="00CD28E3" w:rsidP="00CD28E3">
            <w:pPr>
              <w:jc w:val="left"/>
              <w:rPr>
                <w:szCs w:val="22"/>
                <w:lang w:eastAsia="zh-CN"/>
              </w:rPr>
            </w:pPr>
            <w:r>
              <w:rPr>
                <w:szCs w:val="22"/>
              </w:rPr>
              <w:t>G. Traduction du site Web du Centre d'échange/de projets de sites Web</w:t>
            </w:r>
          </w:p>
        </w:tc>
        <w:tc>
          <w:tcPr>
            <w:tcW w:w="1920" w:type="dxa"/>
            <w:tcBorders>
              <w:top w:val="nil"/>
              <w:left w:val="nil"/>
              <w:bottom w:val="single" w:sz="4" w:space="0" w:color="auto"/>
              <w:right w:val="single" w:sz="4" w:space="0" w:color="auto"/>
            </w:tcBorders>
            <w:shd w:val="clear" w:color="auto" w:fill="auto"/>
            <w:noWrap/>
            <w:vAlign w:val="center"/>
            <w:hideMark/>
          </w:tcPr>
          <w:p w14:paraId="14DE5B6A" w14:textId="77777777" w:rsidR="00CD28E3" w:rsidRPr="00541ABB" w:rsidRDefault="00CD28E3" w:rsidP="00CD28E3">
            <w:pPr>
              <w:jc w:val="right"/>
              <w:rPr>
                <w:szCs w:val="22"/>
                <w:lang w:eastAsia="zh-CN"/>
              </w:rPr>
            </w:pPr>
            <w:r>
              <w:rPr>
                <w:szCs w:val="22"/>
              </w:rPr>
              <w:t xml:space="preserve">65,00 </w:t>
            </w:r>
          </w:p>
        </w:tc>
      </w:tr>
      <w:tr w:rsidR="0033145B" w:rsidRPr="004D5F9F" w14:paraId="40E1479F"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64B88A1" w14:textId="77777777" w:rsidR="00CD28E3" w:rsidRPr="00541ABB" w:rsidRDefault="00CD28E3" w:rsidP="00CD28E3">
            <w:pPr>
              <w:jc w:val="left"/>
              <w:rPr>
                <w:szCs w:val="22"/>
                <w:lang w:eastAsia="zh-CN"/>
              </w:rPr>
            </w:pPr>
            <w:r>
              <w:rPr>
                <w:szCs w:val="22"/>
              </w:rPr>
              <w:t>H. Réunions*</w:t>
            </w:r>
          </w:p>
        </w:tc>
        <w:tc>
          <w:tcPr>
            <w:tcW w:w="1920" w:type="dxa"/>
            <w:tcBorders>
              <w:top w:val="nil"/>
              <w:left w:val="nil"/>
              <w:bottom w:val="single" w:sz="4" w:space="0" w:color="auto"/>
              <w:right w:val="single" w:sz="4" w:space="0" w:color="auto"/>
            </w:tcBorders>
            <w:shd w:val="clear" w:color="auto" w:fill="auto"/>
            <w:noWrap/>
            <w:vAlign w:val="center"/>
            <w:hideMark/>
          </w:tcPr>
          <w:p w14:paraId="3AC55F2E" w14:textId="77777777" w:rsidR="00CD28E3" w:rsidRPr="00541ABB" w:rsidRDefault="00CD28E3" w:rsidP="00CD28E3">
            <w:pPr>
              <w:jc w:val="right"/>
              <w:rPr>
                <w:szCs w:val="22"/>
                <w:lang w:eastAsia="zh-CN"/>
              </w:rPr>
            </w:pPr>
            <w:r>
              <w:rPr>
                <w:szCs w:val="22"/>
              </w:rPr>
              <w:t xml:space="preserve">1 198,00 </w:t>
            </w:r>
          </w:p>
        </w:tc>
      </w:tr>
      <w:tr w:rsidR="0033145B" w:rsidRPr="004D5F9F" w14:paraId="44260BC7"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1D85656C" w14:textId="77777777" w:rsidR="00CD28E3" w:rsidRPr="00541ABB" w:rsidRDefault="00CD28E3" w:rsidP="00CD28E3">
            <w:pPr>
              <w:jc w:val="left"/>
              <w:rPr>
                <w:szCs w:val="22"/>
                <w:lang w:eastAsia="zh-CN"/>
              </w:rPr>
            </w:pPr>
            <w:r>
              <w:rPr>
                <w:szCs w:val="22"/>
              </w:rPr>
              <w:t>I. Coûts locatifs et associés</w:t>
            </w:r>
          </w:p>
        </w:tc>
        <w:tc>
          <w:tcPr>
            <w:tcW w:w="1920" w:type="dxa"/>
            <w:tcBorders>
              <w:top w:val="nil"/>
              <w:left w:val="nil"/>
              <w:bottom w:val="single" w:sz="4" w:space="0" w:color="auto"/>
              <w:right w:val="single" w:sz="4" w:space="0" w:color="auto"/>
            </w:tcBorders>
            <w:shd w:val="clear" w:color="auto" w:fill="auto"/>
            <w:noWrap/>
            <w:vAlign w:val="center"/>
            <w:hideMark/>
          </w:tcPr>
          <w:p w14:paraId="21909EBA" w14:textId="77777777" w:rsidR="00CD28E3" w:rsidRPr="00541ABB" w:rsidRDefault="00CD28E3" w:rsidP="00CD28E3">
            <w:pPr>
              <w:jc w:val="right"/>
              <w:rPr>
                <w:szCs w:val="22"/>
                <w:lang w:eastAsia="zh-CN"/>
              </w:rPr>
            </w:pPr>
            <w:r>
              <w:rPr>
                <w:szCs w:val="22"/>
              </w:rPr>
              <w:t xml:space="preserve">1 481,22 </w:t>
            </w:r>
          </w:p>
        </w:tc>
      </w:tr>
      <w:tr w:rsidR="0033145B" w:rsidRPr="004D5F9F" w14:paraId="62E6CB87"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029EB2B4" w14:textId="7DFCE11A" w:rsidR="00CD28E3" w:rsidRPr="00541ABB" w:rsidRDefault="00F6118B" w:rsidP="00CD28E3">
            <w:pPr>
              <w:jc w:val="left"/>
              <w:rPr>
                <w:szCs w:val="22"/>
                <w:lang w:eastAsia="zh-CN"/>
              </w:rPr>
            </w:pPr>
            <w:r>
              <w:rPr>
                <w:szCs w:val="22"/>
              </w:rPr>
              <w:t>J. Frais généraux de fonctionnement</w:t>
            </w:r>
          </w:p>
        </w:tc>
        <w:tc>
          <w:tcPr>
            <w:tcW w:w="1920" w:type="dxa"/>
            <w:tcBorders>
              <w:top w:val="nil"/>
              <w:left w:val="nil"/>
              <w:bottom w:val="single" w:sz="4" w:space="0" w:color="auto"/>
              <w:right w:val="single" w:sz="4" w:space="0" w:color="auto"/>
            </w:tcBorders>
            <w:shd w:val="clear" w:color="auto" w:fill="auto"/>
            <w:noWrap/>
            <w:vAlign w:val="center"/>
            <w:hideMark/>
          </w:tcPr>
          <w:p w14:paraId="1D3A5BF7" w14:textId="77777777" w:rsidR="00CD28E3" w:rsidRPr="00541ABB" w:rsidRDefault="00CD28E3" w:rsidP="00CD28E3">
            <w:pPr>
              <w:jc w:val="right"/>
              <w:rPr>
                <w:szCs w:val="22"/>
                <w:lang w:eastAsia="zh-CN"/>
              </w:rPr>
            </w:pPr>
            <w:r>
              <w:rPr>
                <w:szCs w:val="22"/>
              </w:rPr>
              <w:t xml:space="preserve">726,60 </w:t>
            </w:r>
          </w:p>
        </w:tc>
      </w:tr>
      <w:tr w:rsidR="0033145B" w:rsidRPr="004D5F9F" w14:paraId="11D2BD78"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4B1ADEBF" w14:textId="77777777" w:rsidR="00CD28E3" w:rsidRPr="00541ABB" w:rsidRDefault="00CD28E3" w:rsidP="00CD28E3">
            <w:pPr>
              <w:jc w:val="left"/>
              <w:rPr>
                <w:b/>
                <w:bCs/>
                <w:szCs w:val="22"/>
                <w:lang w:eastAsia="zh-CN"/>
              </w:rPr>
            </w:pPr>
            <w:r>
              <w:rPr>
                <w:b/>
                <w:bCs/>
                <w:szCs w:val="22"/>
              </w:rPr>
              <w:t>Total partiel (I)</w:t>
            </w:r>
          </w:p>
        </w:tc>
        <w:tc>
          <w:tcPr>
            <w:tcW w:w="1920" w:type="dxa"/>
            <w:tcBorders>
              <w:top w:val="nil"/>
              <w:left w:val="nil"/>
              <w:bottom w:val="single" w:sz="4" w:space="0" w:color="auto"/>
              <w:right w:val="single" w:sz="4" w:space="0" w:color="auto"/>
            </w:tcBorders>
            <w:shd w:val="clear" w:color="auto" w:fill="auto"/>
            <w:vAlign w:val="center"/>
            <w:hideMark/>
          </w:tcPr>
          <w:p w14:paraId="60E02405" w14:textId="77777777" w:rsidR="00CD28E3" w:rsidRPr="00541ABB" w:rsidRDefault="00CD28E3" w:rsidP="00CD28E3">
            <w:pPr>
              <w:jc w:val="right"/>
              <w:rPr>
                <w:b/>
                <w:bCs/>
                <w:szCs w:val="22"/>
                <w:lang w:eastAsia="zh-CN"/>
              </w:rPr>
            </w:pPr>
            <w:r>
              <w:rPr>
                <w:b/>
                <w:bCs/>
                <w:szCs w:val="22"/>
              </w:rPr>
              <w:t xml:space="preserve">16 170,82 </w:t>
            </w:r>
          </w:p>
        </w:tc>
      </w:tr>
      <w:tr w:rsidR="0033145B" w:rsidRPr="004D5F9F" w14:paraId="0053FAAB"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5CBB5C6A" w14:textId="77777777" w:rsidR="00CD28E3" w:rsidRPr="00541ABB" w:rsidRDefault="00CD28E3" w:rsidP="00CD28E3">
            <w:pPr>
              <w:jc w:val="left"/>
              <w:rPr>
                <w:b/>
                <w:bCs/>
                <w:szCs w:val="22"/>
                <w:lang w:eastAsia="zh-CN"/>
              </w:rPr>
            </w:pPr>
            <w:r>
              <w:rPr>
                <w:b/>
                <w:bCs/>
                <w:szCs w:val="22"/>
              </w:rPr>
              <w:t>II. Dépenses d'appui au programme (13 %)</w:t>
            </w:r>
          </w:p>
        </w:tc>
        <w:tc>
          <w:tcPr>
            <w:tcW w:w="1920" w:type="dxa"/>
            <w:tcBorders>
              <w:top w:val="nil"/>
              <w:left w:val="nil"/>
              <w:bottom w:val="single" w:sz="4" w:space="0" w:color="auto"/>
              <w:right w:val="single" w:sz="4" w:space="0" w:color="auto"/>
            </w:tcBorders>
            <w:shd w:val="clear" w:color="auto" w:fill="auto"/>
            <w:vAlign w:val="center"/>
            <w:hideMark/>
          </w:tcPr>
          <w:p w14:paraId="1AD534B6" w14:textId="77777777" w:rsidR="00CD28E3" w:rsidRPr="00541ABB" w:rsidRDefault="00CD28E3" w:rsidP="00CD28E3">
            <w:pPr>
              <w:jc w:val="right"/>
              <w:rPr>
                <w:szCs w:val="22"/>
                <w:lang w:eastAsia="zh-CN"/>
              </w:rPr>
            </w:pPr>
            <w:r>
              <w:rPr>
                <w:szCs w:val="22"/>
              </w:rPr>
              <w:t xml:space="preserve">2 102,21 </w:t>
            </w:r>
          </w:p>
        </w:tc>
      </w:tr>
      <w:tr w:rsidR="0033145B" w:rsidRPr="004D5F9F" w14:paraId="20E0ECA1"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0C42FB7" w14:textId="77777777" w:rsidR="00CD28E3" w:rsidRPr="00541ABB" w:rsidRDefault="00CD28E3" w:rsidP="00CD28E3">
            <w:pPr>
              <w:jc w:val="left"/>
              <w:rPr>
                <w:b/>
                <w:bCs/>
                <w:szCs w:val="22"/>
                <w:lang w:eastAsia="zh-CN"/>
              </w:rPr>
            </w:pPr>
            <w:r>
              <w:rPr>
                <w:b/>
                <w:bCs/>
                <w:szCs w:val="22"/>
              </w:rPr>
              <w:t>Total partiel (I + II)</w:t>
            </w:r>
          </w:p>
        </w:tc>
        <w:tc>
          <w:tcPr>
            <w:tcW w:w="1920" w:type="dxa"/>
            <w:tcBorders>
              <w:top w:val="nil"/>
              <w:left w:val="nil"/>
              <w:bottom w:val="single" w:sz="4" w:space="0" w:color="auto"/>
              <w:right w:val="single" w:sz="4" w:space="0" w:color="auto"/>
            </w:tcBorders>
            <w:shd w:val="clear" w:color="auto" w:fill="auto"/>
            <w:vAlign w:val="center"/>
            <w:hideMark/>
          </w:tcPr>
          <w:p w14:paraId="71673ECB" w14:textId="77777777" w:rsidR="00CD28E3" w:rsidRPr="00541ABB" w:rsidRDefault="00CD28E3" w:rsidP="00CD28E3">
            <w:pPr>
              <w:jc w:val="right"/>
              <w:rPr>
                <w:b/>
                <w:bCs/>
                <w:szCs w:val="22"/>
                <w:lang w:eastAsia="zh-CN"/>
              </w:rPr>
            </w:pPr>
            <w:r>
              <w:rPr>
                <w:b/>
                <w:bCs/>
                <w:szCs w:val="22"/>
              </w:rPr>
              <w:t xml:space="preserve">18 273,03 </w:t>
            </w:r>
          </w:p>
        </w:tc>
      </w:tr>
      <w:tr w:rsidR="0033145B" w:rsidRPr="004D5F9F" w14:paraId="1CB68F1A"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6FE2B221" w14:textId="77777777" w:rsidR="00CD28E3" w:rsidRPr="00541ABB" w:rsidRDefault="00CD28E3" w:rsidP="00CD28E3">
            <w:pPr>
              <w:jc w:val="left"/>
              <w:rPr>
                <w:b/>
                <w:bCs/>
                <w:szCs w:val="22"/>
                <w:lang w:eastAsia="zh-CN"/>
              </w:rPr>
            </w:pPr>
            <w:r>
              <w:rPr>
                <w:b/>
                <w:bCs/>
                <w:szCs w:val="22"/>
              </w:rPr>
              <w:t>III. Réserve de trésorerie</w:t>
            </w:r>
          </w:p>
        </w:tc>
        <w:tc>
          <w:tcPr>
            <w:tcW w:w="1920" w:type="dxa"/>
            <w:tcBorders>
              <w:top w:val="nil"/>
              <w:left w:val="nil"/>
              <w:bottom w:val="single" w:sz="4" w:space="0" w:color="auto"/>
              <w:right w:val="single" w:sz="4" w:space="0" w:color="auto"/>
            </w:tcBorders>
            <w:shd w:val="clear" w:color="auto" w:fill="auto"/>
            <w:noWrap/>
            <w:vAlign w:val="center"/>
            <w:hideMark/>
          </w:tcPr>
          <w:p w14:paraId="66D88D6D" w14:textId="77777777" w:rsidR="00CD28E3" w:rsidRPr="00541ABB" w:rsidRDefault="00CD28E3" w:rsidP="00CD28E3">
            <w:pPr>
              <w:jc w:val="right"/>
              <w:rPr>
                <w:szCs w:val="22"/>
                <w:lang w:eastAsia="zh-CN"/>
              </w:rPr>
            </w:pPr>
            <w:r>
              <w:rPr>
                <w:szCs w:val="22"/>
              </w:rPr>
              <w:t xml:space="preserve">166,51 </w:t>
            </w:r>
          </w:p>
        </w:tc>
      </w:tr>
      <w:tr w:rsidR="0033145B" w:rsidRPr="004D5F9F" w14:paraId="61766E6A"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29C9FA1" w14:textId="77777777" w:rsidR="00CD28E3" w:rsidRPr="00541ABB" w:rsidRDefault="00CD28E3" w:rsidP="00CD28E3">
            <w:pPr>
              <w:jc w:val="left"/>
              <w:rPr>
                <w:b/>
                <w:bCs/>
                <w:szCs w:val="22"/>
                <w:lang w:eastAsia="zh-CN"/>
              </w:rPr>
            </w:pPr>
            <w:r>
              <w:rPr>
                <w:b/>
                <w:bCs/>
                <w:szCs w:val="22"/>
              </w:rPr>
              <w:lastRenderedPageBreak/>
              <w:t>Total (II + III)</w:t>
            </w:r>
          </w:p>
        </w:tc>
        <w:tc>
          <w:tcPr>
            <w:tcW w:w="1920" w:type="dxa"/>
            <w:tcBorders>
              <w:top w:val="nil"/>
              <w:left w:val="nil"/>
              <w:bottom w:val="single" w:sz="4" w:space="0" w:color="auto"/>
              <w:right w:val="single" w:sz="4" w:space="0" w:color="auto"/>
            </w:tcBorders>
            <w:shd w:val="clear" w:color="auto" w:fill="auto"/>
            <w:vAlign w:val="center"/>
            <w:hideMark/>
          </w:tcPr>
          <w:p w14:paraId="6DA4AC64" w14:textId="2D1EFFAD" w:rsidR="00CD28E3" w:rsidRPr="00541ABB" w:rsidRDefault="00CD28E3" w:rsidP="00CD28E3">
            <w:pPr>
              <w:jc w:val="right"/>
              <w:rPr>
                <w:b/>
                <w:bCs/>
                <w:szCs w:val="22"/>
                <w:lang w:eastAsia="zh-CN"/>
              </w:rPr>
            </w:pPr>
            <w:r>
              <w:rPr>
                <w:b/>
                <w:bCs/>
                <w:szCs w:val="22"/>
              </w:rPr>
              <w:t>18 439,5</w:t>
            </w:r>
            <w:r w:rsidR="00781CDF">
              <w:rPr>
                <w:b/>
                <w:bCs/>
                <w:szCs w:val="22"/>
              </w:rPr>
              <w:t>4</w:t>
            </w:r>
            <w:bookmarkStart w:id="3" w:name="_GoBack"/>
            <w:bookmarkEnd w:id="3"/>
            <w:r>
              <w:rPr>
                <w:b/>
                <w:bCs/>
                <w:szCs w:val="22"/>
              </w:rPr>
              <w:t xml:space="preserve"> </w:t>
            </w:r>
          </w:p>
        </w:tc>
      </w:tr>
      <w:tr w:rsidR="0033145B" w:rsidRPr="004D5F9F" w14:paraId="46818AE2"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1776BC8A" w14:textId="77777777" w:rsidR="00CD28E3" w:rsidRPr="00541ABB" w:rsidRDefault="00CD28E3" w:rsidP="00CD28E3">
            <w:pPr>
              <w:jc w:val="left"/>
              <w:rPr>
                <w:szCs w:val="22"/>
                <w:lang w:eastAsia="zh-CN"/>
              </w:rPr>
            </w:pPr>
            <w:r>
              <w:rPr>
                <w:szCs w:val="22"/>
              </w:rPr>
              <w:t>Part de la Convention dans le budget provisoire (11 %)</w:t>
            </w:r>
          </w:p>
        </w:tc>
        <w:tc>
          <w:tcPr>
            <w:tcW w:w="1920" w:type="dxa"/>
            <w:tcBorders>
              <w:top w:val="nil"/>
              <w:left w:val="nil"/>
              <w:bottom w:val="single" w:sz="4" w:space="0" w:color="auto"/>
              <w:right w:val="single" w:sz="4" w:space="0" w:color="auto"/>
            </w:tcBorders>
            <w:shd w:val="clear" w:color="auto" w:fill="auto"/>
            <w:vAlign w:val="center"/>
            <w:hideMark/>
          </w:tcPr>
          <w:p w14:paraId="412BC06A" w14:textId="77777777" w:rsidR="00CD28E3" w:rsidRPr="00541ABB" w:rsidRDefault="00CD28E3" w:rsidP="00CD28E3">
            <w:pPr>
              <w:jc w:val="right"/>
              <w:rPr>
                <w:szCs w:val="22"/>
                <w:lang w:eastAsia="zh-CN"/>
              </w:rPr>
            </w:pPr>
            <w:r>
              <w:rPr>
                <w:szCs w:val="22"/>
              </w:rPr>
              <w:t xml:space="preserve">2 028,35 </w:t>
            </w:r>
          </w:p>
        </w:tc>
      </w:tr>
      <w:tr w:rsidR="0033145B" w:rsidRPr="004D5F9F" w14:paraId="0909F8C1"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2B9DAE9" w14:textId="77777777" w:rsidR="00CD28E3" w:rsidRPr="00541ABB" w:rsidRDefault="00CD28E3" w:rsidP="00CD28E3">
            <w:pPr>
              <w:jc w:val="left"/>
              <w:rPr>
                <w:szCs w:val="22"/>
                <w:lang w:eastAsia="zh-CN"/>
              </w:rPr>
            </w:pPr>
            <w:r>
              <w:rPr>
                <w:szCs w:val="22"/>
              </w:rPr>
              <w:t>Moins : la contribution du pays hôte</w:t>
            </w:r>
          </w:p>
        </w:tc>
        <w:tc>
          <w:tcPr>
            <w:tcW w:w="1920" w:type="dxa"/>
            <w:tcBorders>
              <w:top w:val="nil"/>
              <w:left w:val="nil"/>
              <w:bottom w:val="single" w:sz="4" w:space="0" w:color="auto"/>
              <w:right w:val="single" w:sz="4" w:space="0" w:color="auto"/>
            </w:tcBorders>
            <w:shd w:val="clear" w:color="auto" w:fill="auto"/>
            <w:noWrap/>
            <w:vAlign w:val="center"/>
            <w:hideMark/>
          </w:tcPr>
          <w:p w14:paraId="5F10228A" w14:textId="77777777" w:rsidR="00CD28E3" w:rsidRPr="00541ABB" w:rsidRDefault="00CD28E3" w:rsidP="00CD28E3">
            <w:pPr>
              <w:jc w:val="right"/>
              <w:rPr>
                <w:szCs w:val="22"/>
                <w:lang w:eastAsia="zh-CN"/>
              </w:rPr>
            </w:pPr>
            <w:r>
              <w:rPr>
                <w:szCs w:val="22"/>
              </w:rPr>
              <w:t>(184,12)</w:t>
            </w:r>
          </w:p>
        </w:tc>
      </w:tr>
      <w:tr w:rsidR="0033145B" w:rsidRPr="004D5F9F" w14:paraId="12C36B1C"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5E98B7D0" w14:textId="77777777" w:rsidR="00CD28E3" w:rsidRPr="00541ABB" w:rsidRDefault="00CD28E3" w:rsidP="00CD28E3">
            <w:pPr>
              <w:jc w:val="left"/>
              <w:rPr>
                <w:szCs w:val="22"/>
                <w:lang w:eastAsia="zh-CN"/>
              </w:rPr>
            </w:pPr>
            <w:r>
              <w:rPr>
                <w:szCs w:val="22"/>
              </w:rPr>
              <w:t>Moins : l'utilisation des réserves des années précédentes</w:t>
            </w:r>
          </w:p>
        </w:tc>
        <w:tc>
          <w:tcPr>
            <w:tcW w:w="1920" w:type="dxa"/>
            <w:tcBorders>
              <w:top w:val="nil"/>
              <w:left w:val="nil"/>
              <w:bottom w:val="single" w:sz="4" w:space="0" w:color="auto"/>
              <w:right w:val="single" w:sz="4" w:space="0" w:color="auto"/>
            </w:tcBorders>
            <w:shd w:val="clear" w:color="auto" w:fill="auto"/>
            <w:vAlign w:val="center"/>
            <w:hideMark/>
          </w:tcPr>
          <w:p w14:paraId="23D08D24" w14:textId="77777777" w:rsidR="00CD28E3" w:rsidRPr="00541ABB" w:rsidRDefault="00CD28E3" w:rsidP="00CD28E3">
            <w:pPr>
              <w:jc w:val="right"/>
              <w:rPr>
                <w:szCs w:val="22"/>
                <w:lang w:eastAsia="zh-CN"/>
              </w:rPr>
            </w:pPr>
            <w:r>
              <w:rPr>
                <w:szCs w:val="22"/>
              </w:rPr>
              <w:t>(115,50)</w:t>
            </w:r>
          </w:p>
        </w:tc>
      </w:tr>
      <w:tr w:rsidR="0033145B" w:rsidRPr="004D5F9F" w14:paraId="106598AC"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6DF0BA28" w14:textId="77777777" w:rsidR="00CD28E3" w:rsidRPr="00541ABB" w:rsidRDefault="00CD28E3" w:rsidP="00CD28E3">
            <w:pPr>
              <w:jc w:val="left"/>
              <w:rPr>
                <w:b/>
                <w:bCs/>
                <w:szCs w:val="22"/>
                <w:lang w:eastAsia="zh-CN"/>
              </w:rPr>
            </w:pPr>
            <w:r>
              <w:rPr>
                <w:b/>
                <w:bCs/>
                <w:szCs w:val="22"/>
              </w:rPr>
              <w:t>Total net (montant à partager entre les Parties)</w:t>
            </w:r>
          </w:p>
        </w:tc>
        <w:tc>
          <w:tcPr>
            <w:tcW w:w="1920" w:type="dxa"/>
            <w:tcBorders>
              <w:top w:val="nil"/>
              <w:left w:val="nil"/>
              <w:bottom w:val="single" w:sz="4" w:space="0" w:color="auto"/>
              <w:right w:val="single" w:sz="4" w:space="0" w:color="auto"/>
            </w:tcBorders>
            <w:shd w:val="clear" w:color="auto" w:fill="auto"/>
            <w:vAlign w:val="center"/>
            <w:hideMark/>
          </w:tcPr>
          <w:p w14:paraId="47227815" w14:textId="77777777" w:rsidR="00CD28E3" w:rsidRPr="00541ABB" w:rsidRDefault="00CD28E3" w:rsidP="00CD28E3">
            <w:pPr>
              <w:jc w:val="right"/>
              <w:rPr>
                <w:b/>
                <w:bCs/>
                <w:szCs w:val="22"/>
                <w:lang w:eastAsia="zh-CN"/>
              </w:rPr>
            </w:pPr>
            <w:r>
              <w:rPr>
                <w:b/>
                <w:bCs/>
                <w:szCs w:val="22"/>
              </w:rPr>
              <w:t xml:space="preserve">1 728,73 </w:t>
            </w:r>
          </w:p>
        </w:tc>
      </w:tr>
    </w:tbl>
    <w:p w14:paraId="7AEC533B" w14:textId="77777777" w:rsidR="0076268D" w:rsidRPr="00541ABB" w:rsidRDefault="0076268D" w:rsidP="0076268D">
      <w:pPr>
        <w:spacing w:after="120"/>
        <w:jc w:val="left"/>
        <w:rPr>
          <w:rStyle w:val="markedcontent"/>
          <w:sz w:val="18"/>
          <w:szCs w:val="18"/>
        </w:rPr>
      </w:pPr>
      <w:bookmarkStart w:id="4" w:name="_Hlk84761425"/>
      <w:r>
        <w:rPr>
          <w:rFonts w:eastAsiaTheme="minorEastAsia"/>
          <w:b/>
          <w:bCs/>
          <w:kern w:val="22"/>
          <w:sz w:val="18"/>
          <w:szCs w:val="18"/>
        </w:rPr>
        <w:t>*</w:t>
      </w:r>
      <w:r>
        <w:rPr>
          <w:sz w:val="18"/>
          <w:szCs w:val="18"/>
        </w:rPr>
        <w:t xml:space="preserve"> </w:t>
      </w:r>
      <w:r>
        <w:rPr>
          <w:rStyle w:val="markedcontent"/>
          <w:sz w:val="18"/>
          <w:szCs w:val="18"/>
        </w:rPr>
        <w:t>Réunions à financer par le budget provisoire pour l'année 2022 en complément du report conformément au tableau 1 ci-dessus :</w:t>
      </w:r>
    </w:p>
    <w:p w14:paraId="574206A7" w14:textId="4DA8E0E7" w:rsidR="0076268D" w:rsidRPr="00541ABB" w:rsidRDefault="0076268D" w:rsidP="00541ABB">
      <w:pPr>
        <w:spacing w:after="120"/>
        <w:ind w:firstLine="432"/>
        <w:rPr>
          <w:rStyle w:val="markedcontent"/>
          <w:sz w:val="18"/>
          <w:szCs w:val="18"/>
        </w:rPr>
      </w:pPr>
      <w:r>
        <w:rPr>
          <w:rStyle w:val="markedcontent"/>
          <w:sz w:val="18"/>
          <w:szCs w:val="18"/>
        </w:rPr>
        <w:t>1/ Quinzième réunion de la Conférence des Parties à la Convention, dixième réunion des Parties au Protocole de Cartagena, quatrième réunion des Parties au Protocole de Nagoya, tenues en parallèle pendant 14 jours.</w:t>
      </w:r>
    </w:p>
    <w:p w14:paraId="1B061734" w14:textId="5A2FDDFF" w:rsidR="0076268D" w:rsidRPr="00541ABB" w:rsidRDefault="0076268D" w:rsidP="00541ABB">
      <w:pPr>
        <w:spacing w:after="120"/>
        <w:ind w:firstLine="432"/>
        <w:rPr>
          <w:rFonts w:eastAsiaTheme="minorEastAsia"/>
          <w:kern w:val="22"/>
          <w:sz w:val="18"/>
          <w:szCs w:val="18"/>
        </w:rPr>
      </w:pPr>
      <w:r>
        <w:rPr>
          <w:rStyle w:val="markedcontent"/>
          <w:sz w:val="18"/>
          <w:szCs w:val="18"/>
        </w:rPr>
        <w:t>2/ Reprise de la vingt-quatrième réunion de l'Organe subsidiaire chargé de fournir des avis scientifiques, techniques et technologiques, de la troisième réunion de l'Organe subsidiaire chargé de l'application et de la troisième réunion du Groupe de travail à composition non limitée sur le cadre mondial de la biodiversité pour l'après-2020 pendant 17 jours.</w:t>
      </w:r>
    </w:p>
    <w:bookmarkEnd w:id="4"/>
    <w:p w14:paraId="3FA8508D" w14:textId="6C3AC30F" w:rsidR="005E6D97" w:rsidRPr="000B28B6" w:rsidRDefault="005E6D97" w:rsidP="00541ABB">
      <w:pPr>
        <w:pStyle w:val="Default"/>
        <w:keepNext/>
        <w:keepLines/>
        <w:suppressLineNumbers/>
        <w:suppressAutoHyphens/>
        <w:adjustRightInd/>
        <w:ind w:firstLine="432"/>
        <w:jc w:val="both"/>
        <w:rPr>
          <w:rStyle w:val="markedcontent"/>
          <w:color w:val="auto"/>
          <w:sz w:val="18"/>
          <w:szCs w:val="18"/>
          <w:lang w:eastAsia="en-US"/>
        </w:rPr>
      </w:pPr>
      <w:r>
        <w:rPr>
          <w:rStyle w:val="markedcontent"/>
          <w:color w:val="auto"/>
          <w:sz w:val="18"/>
          <w:szCs w:val="18"/>
        </w:rPr>
        <w:t>3/ Il est prévu que, lors de la deuxième partie de sa quinzième réunion, la Conférence des Parties examine la nécessité d'allouer des fonds budgétaires aux réunions du Bureau et des experts afin d'assurer la participation pleine et effective des pays en développement et des pays à économie en transition. Les Parties, par l'intermédiaire du Bureau, continueront à suivre les circonstances extraordinaires liées à la pandémie de COVID-19, et rien dans cette décision ne doit être compris comme établissant un précédent ou préjugeant du format des futures réunions du Bureau ou des réunions d'experts.</w:t>
      </w:r>
    </w:p>
    <w:p w14:paraId="372709B7" w14:textId="77777777" w:rsidR="005E6D97" w:rsidRPr="00541ABB" w:rsidRDefault="005E6D97" w:rsidP="00541ABB">
      <w:pPr>
        <w:jc w:val="left"/>
        <w:rPr>
          <w:rFonts w:asciiTheme="majorBidi" w:eastAsiaTheme="minorEastAsia" w:hAnsiTheme="majorBidi" w:cstheme="majorBidi"/>
          <w:kern w:val="22"/>
          <w:szCs w:val="22"/>
        </w:rPr>
      </w:pPr>
    </w:p>
    <w:p w14:paraId="32CC53A4" w14:textId="77777777" w:rsidR="00CD28E3" w:rsidRPr="000B28B6" w:rsidRDefault="00CD28E3" w:rsidP="009D72A2">
      <w:pPr>
        <w:pStyle w:val="Default"/>
        <w:keepNext/>
        <w:keepLines/>
        <w:suppressLineNumbers/>
        <w:suppressAutoHyphens/>
        <w:adjustRightInd/>
        <w:ind w:left="144"/>
        <w:jc w:val="both"/>
        <w:rPr>
          <w:b/>
          <w:color w:val="auto"/>
          <w:kern w:val="22"/>
          <w:sz w:val="22"/>
          <w:szCs w:val="22"/>
        </w:rPr>
      </w:pPr>
      <w:r>
        <w:rPr>
          <w:b/>
          <w:color w:val="auto"/>
          <w:kern w:val="22"/>
          <w:sz w:val="22"/>
          <w:szCs w:val="22"/>
        </w:rPr>
        <w:t>Tableau 1b :</w:t>
      </w:r>
    </w:p>
    <w:p w14:paraId="63B18907" w14:textId="255A0BCA" w:rsidR="00CD28E3" w:rsidRPr="000B28B6" w:rsidRDefault="00CD28E3" w:rsidP="00CD28E3">
      <w:pPr>
        <w:pStyle w:val="Default"/>
        <w:keepNext/>
        <w:keepLines/>
        <w:suppressLineNumbers/>
        <w:suppressAutoHyphens/>
        <w:ind w:left="144"/>
        <w:rPr>
          <w:b/>
          <w:color w:val="auto"/>
          <w:kern w:val="22"/>
          <w:sz w:val="22"/>
          <w:szCs w:val="22"/>
        </w:rPr>
      </w:pPr>
      <w:r>
        <w:rPr>
          <w:b/>
          <w:bCs/>
          <w:color w:val="auto"/>
          <w:kern w:val="22"/>
          <w:sz w:val="22"/>
          <w:szCs w:val="22"/>
        </w:rPr>
        <w:t>Ressources nécessaires par Division du budget de base intégré pour l'année 2022</w:t>
      </w:r>
      <w:r>
        <w:rPr>
          <w:b/>
          <w:bCs/>
          <w:color w:val="auto"/>
          <w:kern w:val="22"/>
          <w:sz w:val="22"/>
          <w:szCs w:val="22"/>
        </w:rPr>
        <w:br/>
      </w:r>
      <w:r>
        <w:rPr>
          <w:i/>
          <w:iCs/>
          <w:color w:val="auto"/>
          <w:kern w:val="22"/>
          <w:sz w:val="22"/>
          <w:szCs w:val="22"/>
        </w:rPr>
        <w:t>(En milliers de dollars US)</w:t>
      </w:r>
    </w:p>
    <w:tbl>
      <w:tblPr>
        <w:tblW w:w="9340" w:type="dxa"/>
        <w:tblLook w:val="04A0" w:firstRow="1" w:lastRow="0" w:firstColumn="1" w:lastColumn="0" w:noHBand="0" w:noVBand="1"/>
      </w:tblPr>
      <w:tblGrid>
        <w:gridCol w:w="8160"/>
        <w:gridCol w:w="1180"/>
      </w:tblGrid>
      <w:tr w:rsidR="0033145B" w:rsidRPr="004D5F9F" w14:paraId="760373A6" w14:textId="77777777" w:rsidTr="00CD28E3">
        <w:trPr>
          <w:trHeight w:val="290"/>
        </w:trPr>
        <w:tc>
          <w:tcPr>
            <w:tcW w:w="8160" w:type="dxa"/>
            <w:tcBorders>
              <w:top w:val="nil"/>
              <w:left w:val="nil"/>
              <w:bottom w:val="nil"/>
              <w:right w:val="nil"/>
            </w:tcBorders>
            <w:shd w:val="clear" w:color="auto" w:fill="auto"/>
            <w:noWrap/>
            <w:vAlign w:val="bottom"/>
          </w:tcPr>
          <w:p w14:paraId="0FBC565C" w14:textId="227FCC24" w:rsidR="00CD28E3" w:rsidRPr="00541ABB" w:rsidRDefault="00CD28E3" w:rsidP="00CD28E3">
            <w:pPr>
              <w:jc w:val="left"/>
              <w:rPr>
                <w:b/>
                <w:bCs/>
                <w:szCs w:val="22"/>
                <w:lang w:eastAsia="zh-CN"/>
              </w:rPr>
            </w:pPr>
          </w:p>
        </w:tc>
        <w:tc>
          <w:tcPr>
            <w:tcW w:w="1180" w:type="dxa"/>
            <w:tcBorders>
              <w:top w:val="nil"/>
              <w:left w:val="nil"/>
              <w:bottom w:val="nil"/>
              <w:right w:val="nil"/>
            </w:tcBorders>
            <w:shd w:val="clear" w:color="auto" w:fill="auto"/>
            <w:noWrap/>
            <w:vAlign w:val="bottom"/>
            <w:hideMark/>
          </w:tcPr>
          <w:p w14:paraId="4749D1D3" w14:textId="77777777" w:rsidR="00CD28E3" w:rsidRPr="00541ABB" w:rsidRDefault="00CD28E3" w:rsidP="00CD28E3">
            <w:pPr>
              <w:jc w:val="left"/>
              <w:rPr>
                <w:b/>
                <w:bCs/>
                <w:szCs w:val="22"/>
                <w:lang w:eastAsia="zh-CN"/>
              </w:rPr>
            </w:pPr>
          </w:p>
        </w:tc>
      </w:tr>
      <w:tr w:rsidR="0033145B" w:rsidRPr="004D5F9F" w14:paraId="49BCBD54" w14:textId="77777777" w:rsidTr="00CD28E3">
        <w:trPr>
          <w:cantSplit/>
          <w:trHeight w:val="330"/>
        </w:trPr>
        <w:tc>
          <w:tcPr>
            <w:tcW w:w="8160" w:type="dxa"/>
            <w:tcBorders>
              <w:top w:val="single" w:sz="12" w:space="0" w:color="auto"/>
              <w:left w:val="nil"/>
              <w:bottom w:val="single" w:sz="8" w:space="0" w:color="auto"/>
              <w:right w:val="nil"/>
            </w:tcBorders>
            <w:shd w:val="clear" w:color="auto" w:fill="auto"/>
            <w:vAlign w:val="center"/>
            <w:hideMark/>
          </w:tcPr>
          <w:p w14:paraId="7D78AC00" w14:textId="0A83093F" w:rsidR="00CD28E3" w:rsidRPr="00541ABB" w:rsidRDefault="00CD28E3" w:rsidP="00CD28E3">
            <w:pPr>
              <w:jc w:val="left"/>
              <w:rPr>
                <w:sz w:val="24"/>
                <w:lang w:eastAsia="zh-CN"/>
              </w:rPr>
            </w:pPr>
          </w:p>
        </w:tc>
        <w:tc>
          <w:tcPr>
            <w:tcW w:w="1180" w:type="dxa"/>
            <w:tcBorders>
              <w:top w:val="single" w:sz="12" w:space="0" w:color="auto"/>
              <w:left w:val="nil"/>
              <w:bottom w:val="nil"/>
              <w:right w:val="nil"/>
            </w:tcBorders>
            <w:shd w:val="clear" w:color="auto" w:fill="auto"/>
            <w:vAlign w:val="center"/>
            <w:hideMark/>
          </w:tcPr>
          <w:p w14:paraId="196B7037" w14:textId="77777777" w:rsidR="00CD28E3" w:rsidRPr="00541ABB" w:rsidRDefault="00CD28E3" w:rsidP="00CD28E3">
            <w:pPr>
              <w:jc w:val="center"/>
              <w:rPr>
                <w:szCs w:val="22"/>
                <w:lang w:eastAsia="zh-CN"/>
              </w:rPr>
            </w:pPr>
            <w:r>
              <w:rPr>
                <w:kern w:val="22"/>
                <w:szCs w:val="22"/>
              </w:rPr>
              <w:t xml:space="preserve">2022 </w:t>
            </w:r>
          </w:p>
        </w:tc>
      </w:tr>
      <w:tr w:rsidR="0033145B" w:rsidRPr="004D5F9F" w14:paraId="7F535650" w14:textId="77777777" w:rsidTr="00CD28E3">
        <w:trPr>
          <w:cantSplit/>
          <w:trHeight w:val="310"/>
        </w:trPr>
        <w:tc>
          <w:tcPr>
            <w:tcW w:w="8160" w:type="dxa"/>
            <w:tcBorders>
              <w:top w:val="nil"/>
              <w:left w:val="nil"/>
              <w:bottom w:val="nil"/>
              <w:right w:val="nil"/>
            </w:tcBorders>
            <w:shd w:val="clear" w:color="auto" w:fill="auto"/>
            <w:vAlign w:val="center"/>
            <w:hideMark/>
          </w:tcPr>
          <w:p w14:paraId="68B82710" w14:textId="77777777" w:rsidR="00CD28E3" w:rsidRPr="00541ABB" w:rsidRDefault="00CD28E3" w:rsidP="00CD28E3">
            <w:pPr>
              <w:jc w:val="left"/>
              <w:rPr>
                <w:b/>
                <w:bCs/>
                <w:szCs w:val="22"/>
                <w:lang w:eastAsia="zh-CN"/>
              </w:rPr>
            </w:pPr>
            <w:r>
              <w:rPr>
                <w:b/>
                <w:bCs/>
                <w:kern w:val="22"/>
                <w:szCs w:val="22"/>
              </w:rPr>
              <w:t>I. Programmes :</w:t>
            </w:r>
          </w:p>
        </w:tc>
        <w:tc>
          <w:tcPr>
            <w:tcW w:w="1180" w:type="dxa"/>
            <w:tcBorders>
              <w:top w:val="single" w:sz="8" w:space="0" w:color="auto"/>
              <w:left w:val="nil"/>
              <w:bottom w:val="nil"/>
              <w:right w:val="nil"/>
            </w:tcBorders>
            <w:shd w:val="clear" w:color="auto" w:fill="auto"/>
            <w:vAlign w:val="center"/>
            <w:hideMark/>
          </w:tcPr>
          <w:p w14:paraId="7BBF920F" w14:textId="60066697" w:rsidR="00CD28E3" w:rsidRPr="00541ABB" w:rsidRDefault="00CD28E3" w:rsidP="00CD28E3">
            <w:pPr>
              <w:jc w:val="left"/>
              <w:rPr>
                <w:sz w:val="24"/>
                <w:lang w:eastAsia="zh-CN"/>
              </w:rPr>
            </w:pPr>
          </w:p>
        </w:tc>
      </w:tr>
      <w:tr w:rsidR="0033145B" w:rsidRPr="004D5F9F" w14:paraId="1A60F601" w14:textId="77777777" w:rsidTr="00CD28E3">
        <w:trPr>
          <w:trHeight w:val="280"/>
        </w:trPr>
        <w:tc>
          <w:tcPr>
            <w:tcW w:w="8160" w:type="dxa"/>
            <w:tcBorders>
              <w:top w:val="nil"/>
              <w:left w:val="nil"/>
              <w:bottom w:val="nil"/>
              <w:right w:val="nil"/>
            </w:tcBorders>
            <w:shd w:val="clear" w:color="auto" w:fill="auto"/>
            <w:vAlign w:val="center"/>
            <w:hideMark/>
          </w:tcPr>
          <w:p w14:paraId="3B23277C" w14:textId="77777777" w:rsidR="00CD28E3" w:rsidRPr="00541ABB" w:rsidRDefault="00CD28E3" w:rsidP="00CD28E3">
            <w:pPr>
              <w:jc w:val="left"/>
              <w:rPr>
                <w:szCs w:val="22"/>
                <w:lang w:eastAsia="zh-CN"/>
              </w:rPr>
            </w:pPr>
            <w:r>
              <w:rPr>
                <w:kern w:val="22"/>
                <w:szCs w:val="22"/>
              </w:rPr>
              <w:t xml:space="preserve">  Bureau de la Secrétaire exécutive</w:t>
            </w:r>
          </w:p>
        </w:tc>
        <w:tc>
          <w:tcPr>
            <w:tcW w:w="1180" w:type="dxa"/>
            <w:tcBorders>
              <w:top w:val="nil"/>
              <w:left w:val="nil"/>
              <w:bottom w:val="nil"/>
              <w:right w:val="nil"/>
            </w:tcBorders>
            <w:shd w:val="clear" w:color="auto" w:fill="auto"/>
            <w:vAlign w:val="center"/>
            <w:hideMark/>
          </w:tcPr>
          <w:p w14:paraId="4EAE9397" w14:textId="77777777" w:rsidR="00CD28E3" w:rsidRPr="00541ABB" w:rsidRDefault="00CD28E3" w:rsidP="00CD28E3">
            <w:pPr>
              <w:jc w:val="right"/>
              <w:rPr>
                <w:szCs w:val="22"/>
                <w:lang w:eastAsia="zh-CN"/>
              </w:rPr>
            </w:pPr>
            <w:r>
              <w:rPr>
                <w:szCs w:val="22"/>
              </w:rPr>
              <w:t xml:space="preserve">2 788,50 </w:t>
            </w:r>
          </w:p>
        </w:tc>
      </w:tr>
      <w:tr w:rsidR="0033145B" w:rsidRPr="004D5F9F" w14:paraId="65E39B06" w14:textId="77777777" w:rsidTr="00CD28E3">
        <w:trPr>
          <w:trHeight w:val="280"/>
        </w:trPr>
        <w:tc>
          <w:tcPr>
            <w:tcW w:w="8160" w:type="dxa"/>
            <w:tcBorders>
              <w:top w:val="nil"/>
              <w:left w:val="nil"/>
              <w:bottom w:val="nil"/>
              <w:right w:val="nil"/>
            </w:tcBorders>
            <w:shd w:val="clear" w:color="auto" w:fill="auto"/>
            <w:vAlign w:val="center"/>
            <w:hideMark/>
          </w:tcPr>
          <w:p w14:paraId="14CA384B" w14:textId="77777777" w:rsidR="00CD28E3" w:rsidRPr="00541ABB" w:rsidRDefault="00CD28E3" w:rsidP="00CD28E3">
            <w:pPr>
              <w:jc w:val="left"/>
              <w:rPr>
                <w:szCs w:val="22"/>
                <w:lang w:eastAsia="zh-CN"/>
              </w:rPr>
            </w:pPr>
            <w:r>
              <w:rPr>
                <w:kern w:val="22"/>
                <w:szCs w:val="22"/>
              </w:rPr>
              <w:t xml:space="preserve">  Protocoles sur l'accès et le partage des avantages et la prévention des risques biotechnologiques</w:t>
            </w:r>
          </w:p>
        </w:tc>
        <w:tc>
          <w:tcPr>
            <w:tcW w:w="1180" w:type="dxa"/>
            <w:tcBorders>
              <w:top w:val="nil"/>
              <w:left w:val="nil"/>
              <w:bottom w:val="nil"/>
              <w:right w:val="nil"/>
            </w:tcBorders>
            <w:shd w:val="clear" w:color="auto" w:fill="auto"/>
            <w:vAlign w:val="center"/>
            <w:hideMark/>
          </w:tcPr>
          <w:p w14:paraId="2CDE4401" w14:textId="77777777" w:rsidR="00CD28E3" w:rsidRPr="00541ABB" w:rsidRDefault="00CD28E3" w:rsidP="00CD28E3">
            <w:pPr>
              <w:jc w:val="right"/>
              <w:rPr>
                <w:szCs w:val="22"/>
                <w:lang w:eastAsia="zh-CN"/>
              </w:rPr>
            </w:pPr>
            <w:r>
              <w:rPr>
                <w:szCs w:val="22"/>
              </w:rPr>
              <w:t xml:space="preserve">2 336,50 </w:t>
            </w:r>
          </w:p>
        </w:tc>
      </w:tr>
      <w:tr w:rsidR="0033145B" w:rsidRPr="004D5F9F" w14:paraId="5B1B1C7C" w14:textId="77777777" w:rsidTr="00CD28E3">
        <w:trPr>
          <w:trHeight w:val="280"/>
        </w:trPr>
        <w:tc>
          <w:tcPr>
            <w:tcW w:w="8160" w:type="dxa"/>
            <w:tcBorders>
              <w:top w:val="nil"/>
              <w:left w:val="nil"/>
              <w:bottom w:val="nil"/>
              <w:right w:val="nil"/>
            </w:tcBorders>
            <w:shd w:val="clear" w:color="auto" w:fill="auto"/>
            <w:vAlign w:val="center"/>
            <w:hideMark/>
          </w:tcPr>
          <w:p w14:paraId="67BF2C04" w14:textId="77777777" w:rsidR="00CD28E3" w:rsidRPr="00541ABB" w:rsidRDefault="00CD28E3" w:rsidP="00CD28E3">
            <w:pPr>
              <w:jc w:val="left"/>
              <w:rPr>
                <w:szCs w:val="22"/>
                <w:lang w:eastAsia="zh-CN"/>
              </w:rPr>
            </w:pPr>
            <w:r>
              <w:rPr>
                <w:szCs w:val="22"/>
              </w:rPr>
              <w:t xml:space="preserve">   Division Science, Société et Avenirs durables</w:t>
            </w:r>
          </w:p>
        </w:tc>
        <w:tc>
          <w:tcPr>
            <w:tcW w:w="1180" w:type="dxa"/>
            <w:tcBorders>
              <w:top w:val="nil"/>
              <w:left w:val="nil"/>
              <w:bottom w:val="nil"/>
              <w:right w:val="nil"/>
            </w:tcBorders>
            <w:shd w:val="clear" w:color="auto" w:fill="auto"/>
            <w:vAlign w:val="center"/>
            <w:hideMark/>
          </w:tcPr>
          <w:p w14:paraId="2C087271" w14:textId="77777777" w:rsidR="00CD28E3" w:rsidRPr="00541ABB" w:rsidRDefault="00CD28E3" w:rsidP="00CD28E3">
            <w:pPr>
              <w:jc w:val="right"/>
              <w:rPr>
                <w:szCs w:val="22"/>
                <w:lang w:eastAsia="zh-CN"/>
              </w:rPr>
            </w:pPr>
            <w:r>
              <w:rPr>
                <w:szCs w:val="22"/>
              </w:rPr>
              <w:t xml:space="preserve">3 617,50 </w:t>
            </w:r>
          </w:p>
        </w:tc>
      </w:tr>
      <w:tr w:rsidR="0033145B" w:rsidRPr="004D5F9F" w14:paraId="2541AD6E" w14:textId="77777777" w:rsidTr="00CD28E3">
        <w:trPr>
          <w:trHeight w:val="290"/>
        </w:trPr>
        <w:tc>
          <w:tcPr>
            <w:tcW w:w="8160" w:type="dxa"/>
            <w:tcBorders>
              <w:top w:val="nil"/>
              <w:left w:val="nil"/>
              <w:bottom w:val="single" w:sz="8" w:space="0" w:color="auto"/>
              <w:right w:val="nil"/>
            </w:tcBorders>
            <w:shd w:val="clear" w:color="auto" w:fill="auto"/>
            <w:vAlign w:val="center"/>
            <w:hideMark/>
          </w:tcPr>
          <w:p w14:paraId="3A20AD2B" w14:textId="77777777" w:rsidR="00CD28E3" w:rsidRPr="00541ABB" w:rsidRDefault="00CD28E3" w:rsidP="00CD28E3">
            <w:pPr>
              <w:jc w:val="left"/>
              <w:rPr>
                <w:szCs w:val="22"/>
                <w:lang w:eastAsia="zh-CN"/>
              </w:rPr>
            </w:pPr>
            <w:r>
              <w:rPr>
                <w:kern w:val="22"/>
                <w:szCs w:val="22"/>
              </w:rPr>
              <w:t xml:space="preserve">  Division Soutien à la mise en œuvre</w:t>
            </w:r>
          </w:p>
        </w:tc>
        <w:tc>
          <w:tcPr>
            <w:tcW w:w="1180" w:type="dxa"/>
            <w:tcBorders>
              <w:top w:val="nil"/>
              <w:left w:val="nil"/>
              <w:bottom w:val="single" w:sz="8" w:space="0" w:color="auto"/>
              <w:right w:val="nil"/>
            </w:tcBorders>
            <w:shd w:val="clear" w:color="auto" w:fill="auto"/>
            <w:vAlign w:val="center"/>
            <w:hideMark/>
          </w:tcPr>
          <w:p w14:paraId="12A02896" w14:textId="77777777" w:rsidR="00CD28E3" w:rsidRPr="00541ABB" w:rsidRDefault="00CD28E3" w:rsidP="00CD28E3">
            <w:pPr>
              <w:jc w:val="right"/>
              <w:rPr>
                <w:szCs w:val="22"/>
                <w:lang w:eastAsia="zh-CN"/>
              </w:rPr>
            </w:pPr>
            <w:r>
              <w:rPr>
                <w:szCs w:val="22"/>
              </w:rPr>
              <w:t xml:space="preserve">4 300,75 </w:t>
            </w:r>
          </w:p>
        </w:tc>
      </w:tr>
      <w:tr w:rsidR="0033145B" w:rsidRPr="004D5F9F" w14:paraId="0A0BD255" w14:textId="77777777" w:rsidTr="00CD28E3">
        <w:trPr>
          <w:trHeight w:val="290"/>
        </w:trPr>
        <w:tc>
          <w:tcPr>
            <w:tcW w:w="8160" w:type="dxa"/>
            <w:tcBorders>
              <w:top w:val="nil"/>
              <w:left w:val="nil"/>
              <w:bottom w:val="single" w:sz="8" w:space="0" w:color="auto"/>
              <w:right w:val="nil"/>
            </w:tcBorders>
            <w:shd w:val="clear" w:color="auto" w:fill="auto"/>
            <w:vAlign w:val="center"/>
            <w:hideMark/>
          </w:tcPr>
          <w:p w14:paraId="63A70B82" w14:textId="77777777" w:rsidR="00CD28E3" w:rsidRPr="00541ABB" w:rsidRDefault="00CD28E3" w:rsidP="00CD28E3">
            <w:pPr>
              <w:jc w:val="left"/>
              <w:rPr>
                <w:b/>
                <w:bCs/>
                <w:szCs w:val="22"/>
                <w:lang w:eastAsia="zh-CN"/>
              </w:rPr>
            </w:pPr>
            <w:r>
              <w:rPr>
                <w:b/>
                <w:bCs/>
                <w:kern w:val="22"/>
                <w:szCs w:val="22"/>
              </w:rPr>
              <w:t>II. Administration, finances et services de conférence</w:t>
            </w:r>
          </w:p>
        </w:tc>
        <w:tc>
          <w:tcPr>
            <w:tcW w:w="1180" w:type="dxa"/>
            <w:tcBorders>
              <w:top w:val="nil"/>
              <w:left w:val="nil"/>
              <w:bottom w:val="single" w:sz="8" w:space="0" w:color="auto"/>
              <w:right w:val="nil"/>
            </w:tcBorders>
            <w:shd w:val="clear" w:color="auto" w:fill="auto"/>
            <w:vAlign w:val="center"/>
            <w:hideMark/>
          </w:tcPr>
          <w:p w14:paraId="1A715D0F" w14:textId="77777777" w:rsidR="00CD28E3" w:rsidRPr="00541ABB" w:rsidRDefault="00CD28E3" w:rsidP="00CD28E3">
            <w:pPr>
              <w:jc w:val="right"/>
              <w:rPr>
                <w:szCs w:val="22"/>
                <w:lang w:eastAsia="zh-CN"/>
              </w:rPr>
            </w:pPr>
            <w:r>
              <w:rPr>
                <w:szCs w:val="22"/>
              </w:rPr>
              <w:t xml:space="preserve">3 127,57 </w:t>
            </w:r>
          </w:p>
        </w:tc>
      </w:tr>
      <w:tr w:rsidR="0033145B" w:rsidRPr="004D5F9F" w14:paraId="0DB1BBDD" w14:textId="77777777" w:rsidTr="00CD28E3">
        <w:trPr>
          <w:trHeight w:val="290"/>
        </w:trPr>
        <w:tc>
          <w:tcPr>
            <w:tcW w:w="8160" w:type="dxa"/>
            <w:tcBorders>
              <w:top w:val="nil"/>
              <w:left w:val="nil"/>
              <w:bottom w:val="single" w:sz="12" w:space="0" w:color="auto"/>
              <w:right w:val="nil"/>
            </w:tcBorders>
            <w:shd w:val="clear" w:color="auto" w:fill="auto"/>
            <w:vAlign w:val="center"/>
            <w:hideMark/>
          </w:tcPr>
          <w:p w14:paraId="0290BE1B" w14:textId="77777777" w:rsidR="00CD28E3" w:rsidRPr="00541ABB" w:rsidRDefault="00CD28E3" w:rsidP="00CD28E3">
            <w:pPr>
              <w:jc w:val="left"/>
              <w:rPr>
                <w:b/>
                <w:bCs/>
                <w:szCs w:val="22"/>
                <w:lang w:eastAsia="zh-CN"/>
              </w:rPr>
            </w:pPr>
            <w:r>
              <w:rPr>
                <w:b/>
                <w:bCs/>
                <w:kern w:val="22"/>
                <w:szCs w:val="22"/>
              </w:rPr>
              <w:t>Total partiel</w:t>
            </w:r>
          </w:p>
        </w:tc>
        <w:tc>
          <w:tcPr>
            <w:tcW w:w="1180" w:type="dxa"/>
            <w:tcBorders>
              <w:top w:val="nil"/>
              <w:left w:val="nil"/>
              <w:bottom w:val="single" w:sz="12" w:space="0" w:color="auto"/>
              <w:right w:val="nil"/>
            </w:tcBorders>
            <w:shd w:val="clear" w:color="auto" w:fill="auto"/>
            <w:vAlign w:val="center"/>
            <w:hideMark/>
          </w:tcPr>
          <w:p w14:paraId="05D9C045" w14:textId="77777777" w:rsidR="00CD28E3" w:rsidRPr="00541ABB" w:rsidRDefault="00CD28E3" w:rsidP="00CD28E3">
            <w:pPr>
              <w:jc w:val="right"/>
              <w:rPr>
                <w:b/>
                <w:bCs/>
                <w:szCs w:val="22"/>
                <w:lang w:eastAsia="zh-CN"/>
              </w:rPr>
            </w:pPr>
            <w:r>
              <w:rPr>
                <w:b/>
                <w:bCs/>
                <w:kern w:val="22"/>
                <w:szCs w:val="22"/>
              </w:rPr>
              <w:t xml:space="preserve">16 170,82 </w:t>
            </w:r>
          </w:p>
        </w:tc>
      </w:tr>
      <w:tr w:rsidR="0033145B" w:rsidRPr="004D5F9F" w14:paraId="1FAEEBDE" w14:textId="77777777" w:rsidTr="00CD28E3">
        <w:trPr>
          <w:trHeight w:val="290"/>
        </w:trPr>
        <w:tc>
          <w:tcPr>
            <w:tcW w:w="8160" w:type="dxa"/>
            <w:tcBorders>
              <w:top w:val="nil"/>
              <w:left w:val="nil"/>
              <w:bottom w:val="nil"/>
              <w:right w:val="nil"/>
            </w:tcBorders>
            <w:shd w:val="clear" w:color="auto" w:fill="auto"/>
            <w:vAlign w:val="center"/>
            <w:hideMark/>
          </w:tcPr>
          <w:p w14:paraId="7680B882" w14:textId="77777777" w:rsidR="00CD28E3" w:rsidRPr="00541ABB" w:rsidRDefault="00CD28E3" w:rsidP="00CD28E3">
            <w:pPr>
              <w:jc w:val="left"/>
              <w:rPr>
                <w:szCs w:val="22"/>
                <w:lang w:eastAsia="zh-CN"/>
              </w:rPr>
            </w:pPr>
            <w:r>
              <w:rPr>
                <w:kern w:val="22"/>
                <w:szCs w:val="22"/>
              </w:rPr>
              <w:t>Dépenses d'appui au programme</w:t>
            </w:r>
          </w:p>
        </w:tc>
        <w:tc>
          <w:tcPr>
            <w:tcW w:w="1180" w:type="dxa"/>
            <w:tcBorders>
              <w:top w:val="nil"/>
              <w:left w:val="nil"/>
              <w:bottom w:val="nil"/>
              <w:right w:val="nil"/>
            </w:tcBorders>
            <w:shd w:val="clear" w:color="auto" w:fill="auto"/>
            <w:vAlign w:val="center"/>
            <w:hideMark/>
          </w:tcPr>
          <w:p w14:paraId="43333CC3" w14:textId="77777777" w:rsidR="00CD28E3" w:rsidRPr="00541ABB" w:rsidRDefault="00CD28E3" w:rsidP="00CD28E3">
            <w:pPr>
              <w:jc w:val="right"/>
              <w:rPr>
                <w:szCs w:val="22"/>
                <w:lang w:eastAsia="zh-CN"/>
              </w:rPr>
            </w:pPr>
            <w:r>
              <w:rPr>
                <w:kern w:val="22"/>
                <w:szCs w:val="22"/>
              </w:rPr>
              <w:t xml:space="preserve">2 102,21 </w:t>
            </w:r>
          </w:p>
        </w:tc>
      </w:tr>
      <w:tr w:rsidR="0033145B" w:rsidRPr="004D5F9F" w14:paraId="0870A8B0" w14:textId="77777777" w:rsidTr="00CD28E3">
        <w:trPr>
          <w:trHeight w:val="290"/>
        </w:trPr>
        <w:tc>
          <w:tcPr>
            <w:tcW w:w="8160" w:type="dxa"/>
            <w:tcBorders>
              <w:top w:val="nil"/>
              <w:left w:val="nil"/>
              <w:bottom w:val="single" w:sz="8" w:space="0" w:color="auto"/>
              <w:right w:val="nil"/>
            </w:tcBorders>
            <w:shd w:val="clear" w:color="auto" w:fill="auto"/>
            <w:vAlign w:val="center"/>
            <w:hideMark/>
          </w:tcPr>
          <w:p w14:paraId="149B7420" w14:textId="77777777" w:rsidR="00CD28E3" w:rsidRPr="00541ABB" w:rsidRDefault="00CD28E3" w:rsidP="00CD28E3">
            <w:pPr>
              <w:jc w:val="left"/>
              <w:rPr>
                <w:b/>
                <w:bCs/>
                <w:szCs w:val="22"/>
                <w:lang w:eastAsia="zh-CN"/>
              </w:rPr>
            </w:pPr>
            <w:r>
              <w:rPr>
                <w:b/>
                <w:bCs/>
                <w:kern w:val="22"/>
                <w:szCs w:val="22"/>
              </w:rPr>
              <w:t>III. Réserve de trésorerie</w:t>
            </w:r>
          </w:p>
        </w:tc>
        <w:tc>
          <w:tcPr>
            <w:tcW w:w="1180" w:type="dxa"/>
            <w:tcBorders>
              <w:top w:val="nil"/>
              <w:left w:val="nil"/>
              <w:bottom w:val="single" w:sz="8" w:space="0" w:color="auto"/>
              <w:right w:val="nil"/>
            </w:tcBorders>
            <w:shd w:val="clear" w:color="auto" w:fill="auto"/>
            <w:vAlign w:val="center"/>
            <w:hideMark/>
          </w:tcPr>
          <w:p w14:paraId="2AC2A640" w14:textId="77777777" w:rsidR="00CD28E3" w:rsidRPr="00541ABB" w:rsidRDefault="00CD28E3" w:rsidP="00CD28E3">
            <w:pPr>
              <w:jc w:val="right"/>
              <w:rPr>
                <w:szCs w:val="22"/>
                <w:lang w:eastAsia="zh-CN"/>
              </w:rPr>
            </w:pPr>
            <w:r>
              <w:rPr>
                <w:szCs w:val="22"/>
              </w:rPr>
              <w:t xml:space="preserve">166,51 </w:t>
            </w:r>
          </w:p>
        </w:tc>
      </w:tr>
      <w:tr w:rsidR="0033145B" w:rsidRPr="004D5F9F" w14:paraId="4F7E426C" w14:textId="77777777" w:rsidTr="00CD28E3">
        <w:trPr>
          <w:trHeight w:val="290"/>
        </w:trPr>
        <w:tc>
          <w:tcPr>
            <w:tcW w:w="8160" w:type="dxa"/>
            <w:tcBorders>
              <w:top w:val="nil"/>
              <w:left w:val="nil"/>
              <w:bottom w:val="single" w:sz="12" w:space="0" w:color="auto"/>
              <w:right w:val="nil"/>
            </w:tcBorders>
            <w:shd w:val="clear" w:color="auto" w:fill="auto"/>
            <w:vAlign w:val="center"/>
            <w:hideMark/>
          </w:tcPr>
          <w:p w14:paraId="65042DB2" w14:textId="77777777" w:rsidR="00CD28E3" w:rsidRPr="00541ABB" w:rsidRDefault="00CD28E3" w:rsidP="00CD28E3">
            <w:pPr>
              <w:jc w:val="left"/>
              <w:rPr>
                <w:b/>
                <w:bCs/>
                <w:szCs w:val="22"/>
                <w:lang w:eastAsia="zh-CN"/>
              </w:rPr>
            </w:pPr>
            <w:r>
              <w:rPr>
                <w:b/>
                <w:bCs/>
                <w:kern w:val="22"/>
                <w:szCs w:val="22"/>
              </w:rPr>
              <w:t>Total</w:t>
            </w:r>
          </w:p>
        </w:tc>
        <w:tc>
          <w:tcPr>
            <w:tcW w:w="1180" w:type="dxa"/>
            <w:tcBorders>
              <w:top w:val="nil"/>
              <w:left w:val="nil"/>
              <w:bottom w:val="single" w:sz="12" w:space="0" w:color="auto"/>
              <w:right w:val="nil"/>
            </w:tcBorders>
            <w:shd w:val="clear" w:color="auto" w:fill="auto"/>
            <w:vAlign w:val="center"/>
            <w:hideMark/>
          </w:tcPr>
          <w:p w14:paraId="6C59E39F" w14:textId="77777777" w:rsidR="00CD28E3" w:rsidRPr="00541ABB" w:rsidRDefault="00CD28E3" w:rsidP="00CD28E3">
            <w:pPr>
              <w:jc w:val="right"/>
              <w:rPr>
                <w:b/>
                <w:bCs/>
                <w:szCs w:val="22"/>
                <w:lang w:eastAsia="zh-CN"/>
              </w:rPr>
            </w:pPr>
            <w:r>
              <w:rPr>
                <w:b/>
                <w:bCs/>
                <w:kern w:val="22"/>
                <w:szCs w:val="22"/>
              </w:rPr>
              <w:t xml:space="preserve">18 439,54 </w:t>
            </w:r>
          </w:p>
        </w:tc>
      </w:tr>
      <w:tr w:rsidR="0033145B" w:rsidRPr="004D5F9F" w14:paraId="62155D33" w14:textId="77777777" w:rsidTr="00CD28E3">
        <w:trPr>
          <w:trHeight w:val="290"/>
        </w:trPr>
        <w:tc>
          <w:tcPr>
            <w:tcW w:w="8160" w:type="dxa"/>
            <w:tcBorders>
              <w:top w:val="nil"/>
              <w:left w:val="nil"/>
              <w:bottom w:val="nil"/>
              <w:right w:val="nil"/>
            </w:tcBorders>
            <w:shd w:val="clear" w:color="auto" w:fill="auto"/>
            <w:noWrap/>
            <w:vAlign w:val="bottom"/>
            <w:hideMark/>
          </w:tcPr>
          <w:p w14:paraId="39C70639" w14:textId="77777777" w:rsidR="00CD28E3" w:rsidRPr="00541ABB" w:rsidRDefault="00CD28E3" w:rsidP="00CD28E3">
            <w:pPr>
              <w:jc w:val="left"/>
              <w:rPr>
                <w:szCs w:val="22"/>
                <w:lang w:eastAsia="zh-CN"/>
              </w:rPr>
            </w:pPr>
            <w:r>
              <w:rPr>
                <w:szCs w:val="22"/>
              </w:rPr>
              <w:t>Part du Protocole de Cartagena dans le budget provisoire (15 %)</w:t>
            </w:r>
          </w:p>
        </w:tc>
        <w:tc>
          <w:tcPr>
            <w:tcW w:w="1180" w:type="dxa"/>
            <w:tcBorders>
              <w:top w:val="nil"/>
              <w:left w:val="nil"/>
              <w:bottom w:val="nil"/>
              <w:right w:val="nil"/>
            </w:tcBorders>
            <w:shd w:val="clear" w:color="auto" w:fill="auto"/>
            <w:noWrap/>
            <w:vAlign w:val="bottom"/>
            <w:hideMark/>
          </w:tcPr>
          <w:p w14:paraId="23467C25" w14:textId="77777777" w:rsidR="00CD28E3" w:rsidRPr="00541ABB" w:rsidRDefault="00CD28E3" w:rsidP="00CD28E3">
            <w:pPr>
              <w:jc w:val="right"/>
              <w:rPr>
                <w:szCs w:val="22"/>
                <w:lang w:eastAsia="zh-CN"/>
              </w:rPr>
            </w:pPr>
            <w:r>
              <w:rPr>
                <w:szCs w:val="22"/>
              </w:rPr>
              <w:t xml:space="preserve">2 028,35 </w:t>
            </w:r>
          </w:p>
        </w:tc>
      </w:tr>
      <w:tr w:rsidR="0033145B" w:rsidRPr="004D5F9F" w14:paraId="4B8CBBAA" w14:textId="77777777" w:rsidTr="00CD28E3">
        <w:trPr>
          <w:trHeight w:val="280"/>
        </w:trPr>
        <w:tc>
          <w:tcPr>
            <w:tcW w:w="8160" w:type="dxa"/>
            <w:tcBorders>
              <w:top w:val="nil"/>
              <w:left w:val="nil"/>
              <w:bottom w:val="nil"/>
              <w:right w:val="nil"/>
            </w:tcBorders>
            <w:shd w:val="clear" w:color="auto" w:fill="auto"/>
            <w:noWrap/>
            <w:vAlign w:val="bottom"/>
            <w:hideMark/>
          </w:tcPr>
          <w:p w14:paraId="68A54B7C" w14:textId="77777777" w:rsidR="00CD28E3" w:rsidRPr="00541ABB" w:rsidRDefault="00CD28E3" w:rsidP="00CD28E3">
            <w:pPr>
              <w:jc w:val="left"/>
              <w:rPr>
                <w:szCs w:val="22"/>
                <w:lang w:eastAsia="zh-CN"/>
              </w:rPr>
            </w:pPr>
            <w:r>
              <w:rPr>
                <w:szCs w:val="22"/>
              </w:rPr>
              <w:t>Moins : la contribution du pays hôte</w:t>
            </w:r>
          </w:p>
        </w:tc>
        <w:tc>
          <w:tcPr>
            <w:tcW w:w="1180" w:type="dxa"/>
            <w:tcBorders>
              <w:top w:val="nil"/>
              <w:left w:val="nil"/>
              <w:bottom w:val="nil"/>
              <w:right w:val="nil"/>
            </w:tcBorders>
            <w:shd w:val="clear" w:color="auto" w:fill="auto"/>
            <w:noWrap/>
            <w:vAlign w:val="bottom"/>
            <w:hideMark/>
          </w:tcPr>
          <w:p w14:paraId="284DCBB6" w14:textId="77777777" w:rsidR="00CD28E3" w:rsidRPr="00541ABB" w:rsidRDefault="00CD28E3" w:rsidP="00CD28E3">
            <w:pPr>
              <w:jc w:val="right"/>
              <w:rPr>
                <w:szCs w:val="22"/>
                <w:lang w:eastAsia="zh-CN"/>
              </w:rPr>
            </w:pPr>
            <w:r>
              <w:rPr>
                <w:szCs w:val="22"/>
              </w:rPr>
              <w:t>(184,12)</w:t>
            </w:r>
          </w:p>
        </w:tc>
      </w:tr>
      <w:tr w:rsidR="0033145B" w:rsidRPr="004D5F9F" w14:paraId="0CA46F09" w14:textId="77777777" w:rsidTr="00CD28E3">
        <w:trPr>
          <w:trHeight w:val="280"/>
        </w:trPr>
        <w:tc>
          <w:tcPr>
            <w:tcW w:w="8160" w:type="dxa"/>
            <w:tcBorders>
              <w:top w:val="nil"/>
              <w:left w:val="nil"/>
              <w:bottom w:val="single" w:sz="4" w:space="0" w:color="auto"/>
              <w:right w:val="nil"/>
            </w:tcBorders>
            <w:shd w:val="clear" w:color="auto" w:fill="auto"/>
            <w:noWrap/>
            <w:vAlign w:val="bottom"/>
            <w:hideMark/>
          </w:tcPr>
          <w:p w14:paraId="71084B96" w14:textId="77777777" w:rsidR="00CD28E3" w:rsidRPr="00541ABB" w:rsidRDefault="00CD28E3" w:rsidP="00CD28E3">
            <w:pPr>
              <w:jc w:val="left"/>
              <w:rPr>
                <w:szCs w:val="22"/>
                <w:lang w:eastAsia="zh-CN"/>
              </w:rPr>
            </w:pPr>
            <w:r>
              <w:rPr>
                <w:szCs w:val="22"/>
              </w:rPr>
              <w:t>Moins : l'utilisation des réserves des années précédentes</w:t>
            </w:r>
          </w:p>
        </w:tc>
        <w:tc>
          <w:tcPr>
            <w:tcW w:w="1180" w:type="dxa"/>
            <w:tcBorders>
              <w:top w:val="nil"/>
              <w:left w:val="nil"/>
              <w:bottom w:val="single" w:sz="4" w:space="0" w:color="auto"/>
              <w:right w:val="nil"/>
            </w:tcBorders>
            <w:shd w:val="clear" w:color="auto" w:fill="auto"/>
            <w:noWrap/>
            <w:vAlign w:val="bottom"/>
            <w:hideMark/>
          </w:tcPr>
          <w:p w14:paraId="6648A9BC" w14:textId="77777777" w:rsidR="00CD28E3" w:rsidRPr="00541ABB" w:rsidRDefault="00CD28E3" w:rsidP="00CD28E3">
            <w:pPr>
              <w:jc w:val="right"/>
              <w:rPr>
                <w:szCs w:val="22"/>
                <w:lang w:eastAsia="zh-CN"/>
              </w:rPr>
            </w:pPr>
            <w:r>
              <w:rPr>
                <w:szCs w:val="22"/>
              </w:rPr>
              <w:t>(115,50)</w:t>
            </w:r>
          </w:p>
        </w:tc>
      </w:tr>
      <w:tr w:rsidR="0033145B" w:rsidRPr="004D5F9F" w14:paraId="266FF5D4" w14:textId="77777777" w:rsidTr="00CD28E3">
        <w:trPr>
          <w:trHeight w:val="290"/>
        </w:trPr>
        <w:tc>
          <w:tcPr>
            <w:tcW w:w="8160" w:type="dxa"/>
            <w:tcBorders>
              <w:top w:val="nil"/>
              <w:left w:val="nil"/>
              <w:bottom w:val="single" w:sz="12" w:space="0" w:color="auto"/>
              <w:right w:val="nil"/>
            </w:tcBorders>
            <w:shd w:val="clear" w:color="auto" w:fill="auto"/>
            <w:vAlign w:val="center"/>
            <w:hideMark/>
          </w:tcPr>
          <w:p w14:paraId="1B4468AA" w14:textId="77777777" w:rsidR="00CD28E3" w:rsidRPr="00541ABB" w:rsidRDefault="00CD28E3" w:rsidP="00CD28E3">
            <w:pPr>
              <w:jc w:val="left"/>
              <w:rPr>
                <w:b/>
                <w:bCs/>
                <w:szCs w:val="22"/>
                <w:lang w:eastAsia="zh-CN"/>
              </w:rPr>
            </w:pPr>
            <w:r>
              <w:rPr>
                <w:b/>
                <w:bCs/>
                <w:kern w:val="22"/>
                <w:szCs w:val="22"/>
              </w:rPr>
              <w:t>Total net (montant à partager entre les Parties)</w:t>
            </w:r>
          </w:p>
        </w:tc>
        <w:tc>
          <w:tcPr>
            <w:tcW w:w="1180" w:type="dxa"/>
            <w:tcBorders>
              <w:top w:val="nil"/>
              <w:left w:val="nil"/>
              <w:bottom w:val="single" w:sz="12" w:space="0" w:color="auto"/>
              <w:right w:val="nil"/>
            </w:tcBorders>
            <w:shd w:val="clear" w:color="auto" w:fill="auto"/>
            <w:vAlign w:val="center"/>
            <w:hideMark/>
          </w:tcPr>
          <w:p w14:paraId="2A7004AC" w14:textId="77777777" w:rsidR="00CD28E3" w:rsidRPr="00541ABB" w:rsidRDefault="00CD28E3" w:rsidP="00CD28E3">
            <w:pPr>
              <w:jc w:val="right"/>
              <w:rPr>
                <w:b/>
                <w:bCs/>
                <w:szCs w:val="22"/>
                <w:lang w:eastAsia="zh-CN"/>
              </w:rPr>
            </w:pPr>
            <w:r>
              <w:rPr>
                <w:b/>
                <w:bCs/>
                <w:kern w:val="22"/>
                <w:szCs w:val="22"/>
              </w:rPr>
              <w:t xml:space="preserve">1 728,73 </w:t>
            </w:r>
          </w:p>
        </w:tc>
      </w:tr>
    </w:tbl>
    <w:p w14:paraId="2E7FA9EE" w14:textId="65BAEA32" w:rsidR="00CD28E3" w:rsidRPr="00541ABB" w:rsidRDefault="00CD28E3" w:rsidP="00541ABB">
      <w:pPr>
        <w:suppressLineNumbers/>
        <w:suppressAutoHyphens/>
        <w:ind w:right="144"/>
        <w:jc w:val="left"/>
        <w:rPr>
          <w:szCs w:val="22"/>
        </w:rPr>
      </w:pPr>
    </w:p>
    <w:p w14:paraId="4EB76F82" w14:textId="6AC8A62E" w:rsidR="00CD28E3" w:rsidRDefault="00CD28E3" w:rsidP="00541ABB">
      <w:pPr>
        <w:suppressLineNumbers/>
        <w:suppressAutoHyphens/>
        <w:ind w:right="144"/>
        <w:jc w:val="left"/>
        <w:rPr>
          <w:szCs w:val="22"/>
        </w:rPr>
      </w:pPr>
    </w:p>
    <w:p w14:paraId="2E9C220E" w14:textId="36D349EE" w:rsidR="002D2079" w:rsidRDefault="002D2079" w:rsidP="00541ABB">
      <w:pPr>
        <w:suppressLineNumbers/>
        <w:suppressAutoHyphens/>
        <w:ind w:right="144"/>
        <w:jc w:val="left"/>
        <w:rPr>
          <w:szCs w:val="22"/>
        </w:rPr>
      </w:pPr>
    </w:p>
    <w:p w14:paraId="62C7F6F1" w14:textId="2C596055" w:rsidR="002D2079" w:rsidRDefault="002D2079" w:rsidP="00541ABB">
      <w:pPr>
        <w:suppressLineNumbers/>
        <w:suppressAutoHyphens/>
        <w:ind w:right="144"/>
        <w:jc w:val="left"/>
        <w:rPr>
          <w:szCs w:val="22"/>
        </w:rPr>
      </w:pPr>
    </w:p>
    <w:p w14:paraId="7BD15C1D" w14:textId="29C7D06E" w:rsidR="002D2079" w:rsidRDefault="002D2079" w:rsidP="00541ABB">
      <w:pPr>
        <w:suppressLineNumbers/>
        <w:suppressAutoHyphens/>
        <w:ind w:right="144"/>
        <w:jc w:val="left"/>
        <w:rPr>
          <w:szCs w:val="22"/>
        </w:rPr>
      </w:pPr>
    </w:p>
    <w:p w14:paraId="7193C43B" w14:textId="4CDBF515" w:rsidR="002D2079" w:rsidRDefault="002D2079" w:rsidP="00541ABB">
      <w:pPr>
        <w:suppressLineNumbers/>
        <w:suppressAutoHyphens/>
        <w:ind w:right="144"/>
        <w:jc w:val="left"/>
        <w:rPr>
          <w:szCs w:val="22"/>
        </w:rPr>
      </w:pPr>
    </w:p>
    <w:p w14:paraId="2D5604F7" w14:textId="58094581" w:rsidR="002D2079" w:rsidRDefault="002D2079" w:rsidP="00541ABB">
      <w:pPr>
        <w:suppressLineNumbers/>
        <w:suppressAutoHyphens/>
        <w:ind w:right="144"/>
        <w:jc w:val="left"/>
        <w:rPr>
          <w:szCs w:val="22"/>
        </w:rPr>
      </w:pPr>
    </w:p>
    <w:p w14:paraId="76BC5488" w14:textId="3203CA1C" w:rsidR="002D2079" w:rsidRDefault="002D2079" w:rsidP="00541ABB">
      <w:pPr>
        <w:suppressLineNumbers/>
        <w:suppressAutoHyphens/>
        <w:ind w:right="144"/>
        <w:jc w:val="left"/>
        <w:rPr>
          <w:szCs w:val="22"/>
        </w:rPr>
      </w:pPr>
    </w:p>
    <w:p w14:paraId="566D72CE" w14:textId="3FDA327C" w:rsidR="002D2079" w:rsidRDefault="002D2079" w:rsidP="00541ABB">
      <w:pPr>
        <w:suppressLineNumbers/>
        <w:suppressAutoHyphens/>
        <w:ind w:right="144"/>
        <w:jc w:val="left"/>
        <w:rPr>
          <w:szCs w:val="22"/>
        </w:rPr>
      </w:pPr>
    </w:p>
    <w:p w14:paraId="30CF9D3C" w14:textId="27CFC6A3" w:rsidR="002D2079" w:rsidRDefault="002D2079" w:rsidP="00541ABB">
      <w:pPr>
        <w:suppressLineNumbers/>
        <w:suppressAutoHyphens/>
        <w:ind w:right="144"/>
        <w:jc w:val="left"/>
        <w:rPr>
          <w:szCs w:val="22"/>
        </w:rPr>
      </w:pPr>
    </w:p>
    <w:p w14:paraId="69042BC3" w14:textId="600FBBCB" w:rsidR="002D2079" w:rsidRDefault="002D2079" w:rsidP="00541ABB">
      <w:pPr>
        <w:suppressLineNumbers/>
        <w:suppressAutoHyphens/>
        <w:ind w:right="144"/>
        <w:jc w:val="left"/>
        <w:rPr>
          <w:szCs w:val="22"/>
        </w:rPr>
      </w:pPr>
    </w:p>
    <w:p w14:paraId="56A4406C" w14:textId="77777777" w:rsidR="002D2079" w:rsidRPr="00541ABB" w:rsidRDefault="002D2079" w:rsidP="00541ABB">
      <w:pPr>
        <w:suppressLineNumbers/>
        <w:suppressAutoHyphens/>
        <w:ind w:right="144"/>
        <w:jc w:val="left"/>
        <w:rPr>
          <w:szCs w:val="22"/>
        </w:rPr>
      </w:pPr>
    </w:p>
    <w:p w14:paraId="1CA72A39" w14:textId="709A8B3D" w:rsidR="00650A1B" w:rsidRPr="004D5F9F" w:rsidRDefault="00650A1B" w:rsidP="00650A1B">
      <w:pPr>
        <w:rPr>
          <w:rFonts w:eastAsiaTheme="minorEastAsia"/>
          <w:b/>
          <w:bCs/>
          <w:kern w:val="22"/>
        </w:rPr>
      </w:pPr>
      <w:r>
        <w:rPr>
          <w:rFonts w:eastAsiaTheme="minorEastAsia"/>
          <w:b/>
          <w:bCs/>
          <w:kern w:val="22"/>
        </w:rPr>
        <w:lastRenderedPageBreak/>
        <w:t>Tableau 2</w:t>
      </w:r>
    </w:p>
    <w:p w14:paraId="540B9C5B" w14:textId="3E95B651" w:rsidR="00650A1B" w:rsidRPr="004D5F9F" w:rsidRDefault="00650A1B" w:rsidP="00650A1B">
      <w:pPr>
        <w:rPr>
          <w:rFonts w:eastAsiaTheme="minorEastAsia"/>
          <w:b/>
          <w:bCs/>
          <w:kern w:val="22"/>
        </w:rPr>
      </w:pPr>
      <w:r>
        <w:rPr>
          <w:rFonts w:eastAsiaTheme="minorEastAsia"/>
          <w:b/>
          <w:bCs/>
          <w:kern w:val="22"/>
        </w:rPr>
        <w:t>Contributions au fonds d’affectation spéciale de la Convention sur la diversité biologique pour 2022</w:t>
      </w:r>
    </w:p>
    <w:p w14:paraId="108014F9" w14:textId="1CB15C3E" w:rsidR="00CD28E3" w:rsidRPr="00541ABB" w:rsidRDefault="00CD28E3" w:rsidP="00650A1B">
      <w:pPr>
        <w:rPr>
          <w:rFonts w:eastAsiaTheme="minorEastAsia"/>
          <w:kern w:val="22"/>
        </w:rPr>
      </w:pPr>
    </w:p>
    <w:tbl>
      <w:tblPr>
        <w:tblW w:w="9120" w:type="dxa"/>
        <w:jc w:val="center"/>
        <w:tblLook w:val="04A0" w:firstRow="1" w:lastRow="0" w:firstColumn="1" w:lastColumn="0" w:noHBand="0" w:noVBand="1"/>
      </w:tblPr>
      <w:tblGrid>
        <w:gridCol w:w="580"/>
        <w:gridCol w:w="3380"/>
        <w:gridCol w:w="1720"/>
        <w:gridCol w:w="1720"/>
        <w:gridCol w:w="1720"/>
      </w:tblGrid>
      <w:tr w:rsidR="0033145B" w:rsidRPr="004D5F9F" w14:paraId="51018988" w14:textId="77777777" w:rsidTr="0087139A">
        <w:trPr>
          <w:cantSplit/>
          <w:tblHeader/>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D92A4" w14:textId="73DCA1F0" w:rsidR="00CD28E3" w:rsidRPr="00541ABB" w:rsidRDefault="00CD28E3" w:rsidP="00CD28E3">
            <w:pPr>
              <w:jc w:val="center"/>
              <w:rPr>
                <w:i/>
                <w:iCs/>
                <w:szCs w:val="22"/>
                <w:lang w:eastAsia="zh-CN"/>
              </w:rPr>
            </w:pP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142F85BB" w14:textId="723D5AE9" w:rsidR="00CD28E3" w:rsidRPr="00541ABB" w:rsidRDefault="00921BAA" w:rsidP="00CD28E3">
            <w:pPr>
              <w:jc w:val="center"/>
              <w:rPr>
                <w:i/>
                <w:iCs/>
                <w:szCs w:val="22"/>
                <w:lang w:eastAsia="zh-CN"/>
              </w:rPr>
            </w:pPr>
            <w:r>
              <w:rPr>
                <w:i/>
                <w:iCs/>
                <w:szCs w:val="22"/>
              </w:rPr>
              <w:t>Partie</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E2A1CD7" w14:textId="7D08A057" w:rsidR="00CD28E3" w:rsidRPr="00541ABB" w:rsidRDefault="00CD28E3" w:rsidP="00CD28E3">
            <w:pPr>
              <w:jc w:val="center"/>
              <w:rPr>
                <w:i/>
                <w:iCs/>
                <w:szCs w:val="22"/>
                <w:lang w:eastAsia="zh-CN"/>
              </w:rPr>
            </w:pPr>
            <w:r>
              <w:rPr>
                <w:i/>
                <w:iCs/>
                <w:szCs w:val="22"/>
              </w:rPr>
              <w:t>Barème des quotes-parts</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0A15001" w14:textId="7A70BA3A" w:rsidR="00CD28E3" w:rsidRPr="00541ABB" w:rsidRDefault="00CD28E3" w:rsidP="00CD28E3">
            <w:pPr>
              <w:jc w:val="center"/>
              <w:rPr>
                <w:i/>
                <w:iCs/>
                <w:szCs w:val="22"/>
                <w:lang w:eastAsia="zh-CN"/>
              </w:rPr>
            </w:pPr>
            <w:r>
              <w:rPr>
                <w:i/>
                <w:iCs/>
                <w:szCs w:val="22"/>
              </w:rPr>
              <w:t>Barème prévoyant un plafond de 22 %, sans PMA payant plus de 0,01 %</w:t>
            </w:r>
            <w:r>
              <w:rPr>
                <w:rStyle w:val="FootnoteReference"/>
                <w:sz w:val="22"/>
                <w:szCs w:val="22"/>
                <w:u w:val="none"/>
                <w:vertAlign w:val="superscript"/>
              </w:rPr>
              <w:footnoteReference w:id="4"/>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786FF6B" w14:textId="36D59E0C" w:rsidR="00CD28E3" w:rsidRPr="00541ABB" w:rsidRDefault="00CD28E3" w:rsidP="00CD28E3">
            <w:pPr>
              <w:jc w:val="center"/>
              <w:rPr>
                <w:i/>
                <w:iCs/>
                <w:szCs w:val="22"/>
                <w:lang w:eastAsia="zh-CN"/>
              </w:rPr>
            </w:pPr>
            <w:r>
              <w:rPr>
                <w:i/>
                <w:iCs/>
                <w:szCs w:val="22"/>
              </w:rPr>
              <w:t>Contributions au 1</w:t>
            </w:r>
            <w:r>
              <w:rPr>
                <w:i/>
                <w:iCs/>
                <w:szCs w:val="22"/>
                <w:vertAlign w:val="superscript"/>
              </w:rPr>
              <w:t>er</w:t>
            </w:r>
            <w:r>
              <w:rPr>
                <w:i/>
                <w:iCs/>
                <w:szCs w:val="22"/>
              </w:rPr>
              <w:t> janvier 2022</w:t>
            </w:r>
          </w:p>
        </w:tc>
      </w:tr>
      <w:tr w:rsidR="0033145B" w:rsidRPr="004D5F9F" w14:paraId="564D4A5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060232" w14:textId="77777777" w:rsidR="00CD28E3" w:rsidRPr="00541ABB" w:rsidRDefault="00CD28E3" w:rsidP="00CD28E3">
            <w:pPr>
              <w:jc w:val="center"/>
              <w:rPr>
                <w:szCs w:val="22"/>
                <w:lang w:eastAsia="zh-CN"/>
              </w:rPr>
            </w:pPr>
            <w:r>
              <w:rPr>
                <w:szCs w:val="22"/>
              </w:rPr>
              <w:t>1</w:t>
            </w:r>
          </w:p>
        </w:tc>
        <w:tc>
          <w:tcPr>
            <w:tcW w:w="3380" w:type="dxa"/>
            <w:tcBorders>
              <w:top w:val="nil"/>
              <w:left w:val="nil"/>
              <w:bottom w:val="single" w:sz="4" w:space="0" w:color="auto"/>
              <w:right w:val="single" w:sz="4" w:space="0" w:color="auto"/>
            </w:tcBorders>
            <w:shd w:val="clear" w:color="auto" w:fill="auto"/>
            <w:vAlign w:val="center"/>
            <w:hideMark/>
          </w:tcPr>
          <w:p w14:paraId="588EFF32" w14:textId="77777777" w:rsidR="00CD28E3" w:rsidRPr="00541ABB" w:rsidRDefault="00CD28E3" w:rsidP="00CD28E3">
            <w:pPr>
              <w:jc w:val="left"/>
              <w:rPr>
                <w:szCs w:val="22"/>
                <w:lang w:eastAsia="zh-CN"/>
              </w:rPr>
            </w:pPr>
            <w:r>
              <w:rPr>
                <w:szCs w:val="22"/>
              </w:rPr>
              <w:t>Afghanistan</w:t>
            </w:r>
          </w:p>
        </w:tc>
        <w:tc>
          <w:tcPr>
            <w:tcW w:w="1720" w:type="dxa"/>
            <w:tcBorders>
              <w:top w:val="nil"/>
              <w:left w:val="nil"/>
              <w:bottom w:val="single" w:sz="4" w:space="0" w:color="auto"/>
              <w:right w:val="single" w:sz="4" w:space="0" w:color="auto"/>
            </w:tcBorders>
            <w:shd w:val="clear" w:color="auto" w:fill="auto"/>
            <w:vAlign w:val="center"/>
            <w:hideMark/>
          </w:tcPr>
          <w:p w14:paraId="00E10280" w14:textId="77777777" w:rsidR="00CD28E3" w:rsidRPr="00541ABB" w:rsidRDefault="00CD28E3" w:rsidP="00CD28E3">
            <w:pPr>
              <w:jc w:val="center"/>
              <w:rPr>
                <w:szCs w:val="22"/>
                <w:lang w:eastAsia="zh-CN"/>
              </w:rPr>
            </w:pPr>
            <w:r>
              <w:rPr>
                <w:szCs w:val="22"/>
              </w:rPr>
              <w:t>0,007</w:t>
            </w:r>
          </w:p>
        </w:tc>
        <w:tc>
          <w:tcPr>
            <w:tcW w:w="1720" w:type="dxa"/>
            <w:tcBorders>
              <w:top w:val="nil"/>
              <w:left w:val="nil"/>
              <w:bottom w:val="single" w:sz="4" w:space="0" w:color="auto"/>
              <w:right w:val="single" w:sz="4" w:space="0" w:color="auto"/>
            </w:tcBorders>
            <w:shd w:val="clear" w:color="auto" w:fill="auto"/>
            <w:noWrap/>
            <w:vAlign w:val="center"/>
            <w:hideMark/>
          </w:tcPr>
          <w:p w14:paraId="53299A1A"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E09BAB9" w14:textId="77777777" w:rsidR="00CD28E3" w:rsidRPr="00541ABB" w:rsidRDefault="00CD28E3" w:rsidP="00CD28E3">
            <w:pPr>
              <w:jc w:val="right"/>
              <w:rPr>
                <w:szCs w:val="22"/>
                <w:lang w:eastAsia="zh-CN"/>
              </w:rPr>
            </w:pPr>
            <w:r>
              <w:rPr>
                <w:szCs w:val="22"/>
              </w:rPr>
              <w:t>173</w:t>
            </w:r>
          </w:p>
        </w:tc>
      </w:tr>
      <w:tr w:rsidR="00287824" w:rsidRPr="004D5F9F" w14:paraId="2086BF20" w14:textId="77777777" w:rsidTr="00287824">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57C30E" w14:textId="13114336" w:rsidR="00287824" w:rsidRPr="00541ABB" w:rsidRDefault="00287824" w:rsidP="007A2D76">
            <w:pPr>
              <w:jc w:val="center"/>
              <w:rPr>
                <w:szCs w:val="22"/>
              </w:rPr>
            </w:pPr>
            <w:r>
              <w:rPr>
                <w:szCs w:val="22"/>
              </w:rPr>
              <w:t>2</w:t>
            </w:r>
          </w:p>
        </w:tc>
        <w:tc>
          <w:tcPr>
            <w:tcW w:w="3380" w:type="dxa"/>
            <w:tcBorders>
              <w:top w:val="nil"/>
              <w:left w:val="nil"/>
              <w:bottom w:val="single" w:sz="4" w:space="0" w:color="auto"/>
              <w:right w:val="single" w:sz="4" w:space="0" w:color="auto"/>
            </w:tcBorders>
            <w:shd w:val="clear" w:color="auto" w:fill="auto"/>
            <w:vAlign w:val="center"/>
            <w:hideMark/>
          </w:tcPr>
          <w:p w14:paraId="4CE2A8E2" w14:textId="77777777" w:rsidR="00287824" w:rsidRPr="00541ABB" w:rsidRDefault="00287824" w:rsidP="007A2D76">
            <w:pPr>
              <w:jc w:val="left"/>
              <w:rPr>
                <w:szCs w:val="22"/>
              </w:rPr>
            </w:pPr>
            <w:r>
              <w:rPr>
                <w:szCs w:val="22"/>
              </w:rPr>
              <w:t>Afrique du Sud</w:t>
            </w:r>
          </w:p>
        </w:tc>
        <w:tc>
          <w:tcPr>
            <w:tcW w:w="1720" w:type="dxa"/>
            <w:tcBorders>
              <w:top w:val="nil"/>
              <w:left w:val="nil"/>
              <w:bottom w:val="single" w:sz="4" w:space="0" w:color="auto"/>
              <w:right w:val="single" w:sz="4" w:space="0" w:color="auto"/>
            </w:tcBorders>
            <w:shd w:val="clear" w:color="auto" w:fill="auto"/>
            <w:vAlign w:val="center"/>
            <w:hideMark/>
          </w:tcPr>
          <w:p w14:paraId="2E75CACC" w14:textId="77777777" w:rsidR="00287824" w:rsidRPr="00541ABB" w:rsidRDefault="00287824" w:rsidP="007A2D76">
            <w:pPr>
              <w:jc w:val="center"/>
              <w:rPr>
                <w:szCs w:val="22"/>
              </w:rPr>
            </w:pPr>
            <w:r>
              <w:rPr>
                <w:szCs w:val="22"/>
              </w:rPr>
              <w:t>0,272</w:t>
            </w:r>
          </w:p>
        </w:tc>
        <w:tc>
          <w:tcPr>
            <w:tcW w:w="1720" w:type="dxa"/>
            <w:tcBorders>
              <w:top w:val="nil"/>
              <w:left w:val="nil"/>
              <w:bottom w:val="single" w:sz="4" w:space="0" w:color="auto"/>
              <w:right w:val="single" w:sz="4" w:space="0" w:color="auto"/>
            </w:tcBorders>
            <w:shd w:val="clear" w:color="auto" w:fill="auto"/>
            <w:noWrap/>
            <w:vAlign w:val="center"/>
            <w:hideMark/>
          </w:tcPr>
          <w:p w14:paraId="77F1C375" w14:textId="77777777" w:rsidR="00287824" w:rsidRPr="00541ABB" w:rsidRDefault="00287824" w:rsidP="007A2D76">
            <w:pPr>
              <w:jc w:val="center"/>
              <w:rPr>
                <w:szCs w:val="22"/>
              </w:rPr>
            </w:pPr>
            <w:r>
              <w:rPr>
                <w:szCs w:val="22"/>
              </w:rPr>
              <w:t>0,437</w:t>
            </w:r>
          </w:p>
        </w:tc>
        <w:tc>
          <w:tcPr>
            <w:tcW w:w="1720" w:type="dxa"/>
            <w:tcBorders>
              <w:top w:val="nil"/>
              <w:left w:val="nil"/>
              <w:bottom w:val="single" w:sz="4" w:space="0" w:color="auto"/>
              <w:right w:val="single" w:sz="4" w:space="0" w:color="auto"/>
            </w:tcBorders>
            <w:shd w:val="clear" w:color="auto" w:fill="auto"/>
            <w:noWrap/>
            <w:vAlign w:val="center"/>
            <w:hideMark/>
          </w:tcPr>
          <w:p w14:paraId="10E4470F" w14:textId="77777777" w:rsidR="00287824" w:rsidRPr="00541ABB" w:rsidRDefault="00287824" w:rsidP="007A2D76">
            <w:pPr>
              <w:jc w:val="right"/>
              <w:rPr>
                <w:szCs w:val="22"/>
              </w:rPr>
            </w:pPr>
            <w:r>
              <w:rPr>
                <w:szCs w:val="22"/>
              </w:rPr>
              <w:t>7 553</w:t>
            </w:r>
          </w:p>
        </w:tc>
      </w:tr>
      <w:tr w:rsidR="0033145B" w:rsidRPr="004D5F9F" w14:paraId="3BBBE02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2A8EB3" w14:textId="3AF00DF6" w:rsidR="00CD28E3" w:rsidRPr="00541ABB" w:rsidRDefault="00287824" w:rsidP="00CD28E3">
            <w:pPr>
              <w:jc w:val="center"/>
              <w:rPr>
                <w:szCs w:val="22"/>
                <w:lang w:eastAsia="zh-CN"/>
              </w:rPr>
            </w:pPr>
            <w:r>
              <w:rPr>
                <w:szCs w:val="22"/>
              </w:rPr>
              <w:t>3</w:t>
            </w:r>
          </w:p>
        </w:tc>
        <w:tc>
          <w:tcPr>
            <w:tcW w:w="3380" w:type="dxa"/>
            <w:tcBorders>
              <w:top w:val="nil"/>
              <w:left w:val="nil"/>
              <w:bottom w:val="single" w:sz="4" w:space="0" w:color="auto"/>
              <w:right w:val="single" w:sz="4" w:space="0" w:color="auto"/>
            </w:tcBorders>
            <w:shd w:val="clear" w:color="auto" w:fill="auto"/>
            <w:vAlign w:val="center"/>
            <w:hideMark/>
          </w:tcPr>
          <w:p w14:paraId="71B15CB7" w14:textId="77777777" w:rsidR="00CD28E3" w:rsidRPr="00541ABB" w:rsidRDefault="00CD28E3" w:rsidP="00CD28E3">
            <w:pPr>
              <w:jc w:val="left"/>
              <w:rPr>
                <w:szCs w:val="22"/>
                <w:lang w:eastAsia="zh-CN"/>
              </w:rPr>
            </w:pPr>
            <w:r>
              <w:rPr>
                <w:szCs w:val="22"/>
              </w:rPr>
              <w:t>Albanie</w:t>
            </w:r>
          </w:p>
        </w:tc>
        <w:tc>
          <w:tcPr>
            <w:tcW w:w="1720" w:type="dxa"/>
            <w:tcBorders>
              <w:top w:val="nil"/>
              <w:left w:val="nil"/>
              <w:bottom w:val="single" w:sz="4" w:space="0" w:color="auto"/>
              <w:right w:val="single" w:sz="4" w:space="0" w:color="auto"/>
            </w:tcBorders>
            <w:shd w:val="clear" w:color="auto" w:fill="auto"/>
            <w:vAlign w:val="center"/>
            <w:hideMark/>
          </w:tcPr>
          <w:p w14:paraId="3C3EC3B4" w14:textId="77777777" w:rsidR="00CD28E3" w:rsidRPr="00541ABB" w:rsidRDefault="00CD28E3" w:rsidP="00CD28E3">
            <w:pPr>
              <w:jc w:val="center"/>
              <w:rPr>
                <w:szCs w:val="22"/>
                <w:lang w:eastAsia="zh-CN"/>
              </w:rPr>
            </w:pPr>
            <w:r>
              <w:rPr>
                <w:szCs w:val="22"/>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4EE6A788" w14:textId="77777777" w:rsidR="00CD28E3" w:rsidRPr="00541ABB" w:rsidRDefault="00CD28E3" w:rsidP="00CD28E3">
            <w:pPr>
              <w:jc w:val="center"/>
              <w:rPr>
                <w:szCs w:val="22"/>
                <w:lang w:eastAsia="zh-CN"/>
              </w:rPr>
            </w:pPr>
            <w:r>
              <w:rPr>
                <w:szCs w:val="22"/>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01B5EFC4" w14:textId="77777777" w:rsidR="00CD28E3" w:rsidRPr="00541ABB" w:rsidRDefault="00CD28E3" w:rsidP="00CD28E3">
            <w:pPr>
              <w:jc w:val="right"/>
              <w:rPr>
                <w:szCs w:val="22"/>
                <w:lang w:eastAsia="zh-CN"/>
              </w:rPr>
            </w:pPr>
            <w:r>
              <w:rPr>
                <w:szCs w:val="22"/>
              </w:rPr>
              <w:t>222</w:t>
            </w:r>
          </w:p>
        </w:tc>
      </w:tr>
      <w:tr w:rsidR="00287824" w:rsidRPr="004D5F9F" w14:paraId="5B7E14FF" w14:textId="77777777" w:rsidTr="00287824">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1656E3" w14:textId="10057711" w:rsidR="00287824" w:rsidRPr="00541ABB" w:rsidRDefault="00287824" w:rsidP="007A2D76">
            <w:pPr>
              <w:jc w:val="center"/>
              <w:rPr>
                <w:szCs w:val="22"/>
              </w:rPr>
            </w:pPr>
            <w:r>
              <w:rPr>
                <w:szCs w:val="22"/>
              </w:rPr>
              <w:t>4</w:t>
            </w:r>
          </w:p>
        </w:tc>
        <w:tc>
          <w:tcPr>
            <w:tcW w:w="3380" w:type="dxa"/>
            <w:tcBorders>
              <w:top w:val="nil"/>
              <w:left w:val="nil"/>
              <w:bottom w:val="single" w:sz="4" w:space="0" w:color="auto"/>
              <w:right w:val="single" w:sz="4" w:space="0" w:color="auto"/>
            </w:tcBorders>
            <w:shd w:val="clear" w:color="auto" w:fill="auto"/>
            <w:vAlign w:val="center"/>
            <w:hideMark/>
          </w:tcPr>
          <w:p w14:paraId="281010D7" w14:textId="77777777" w:rsidR="00287824" w:rsidRPr="00541ABB" w:rsidRDefault="00287824" w:rsidP="007A2D76">
            <w:pPr>
              <w:jc w:val="left"/>
              <w:rPr>
                <w:szCs w:val="22"/>
              </w:rPr>
            </w:pPr>
            <w:r>
              <w:rPr>
                <w:szCs w:val="22"/>
              </w:rPr>
              <w:t>Allemagne</w:t>
            </w:r>
          </w:p>
        </w:tc>
        <w:tc>
          <w:tcPr>
            <w:tcW w:w="1720" w:type="dxa"/>
            <w:tcBorders>
              <w:top w:val="nil"/>
              <w:left w:val="nil"/>
              <w:bottom w:val="single" w:sz="4" w:space="0" w:color="auto"/>
              <w:right w:val="single" w:sz="4" w:space="0" w:color="auto"/>
            </w:tcBorders>
            <w:shd w:val="clear" w:color="auto" w:fill="auto"/>
            <w:vAlign w:val="center"/>
            <w:hideMark/>
          </w:tcPr>
          <w:p w14:paraId="0B62E1CC" w14:textId="77777777" w:rsidR="00287824" w:rsidRPr="00541ABB" w:rsidRDefault="00287824" w:rsidP="007A2D76">
            <w:pPr>
              <w:jc w:val="center"/>
              <w:rPr>
                <w:szCs w:val="22"/>
              </w:rPr>
            </w:pPr>
            <w:r>
              <w:rPr>
                <w:szCs w:val="22"/>
              </w:rPr>
              <w:t>6,090</w:t>
            </w:r>
          </w:p>
        </w:tc>
        <w:tc>
          <w:tcPr>
            <w:tcW w:w="1720" w:type="dxa"/>
            <w:tcBorders>
              <w:top w:val="nil"/>
              <w:left w:val="nil"/>
              <w:bottom w:val="single" w:sz="4" w:space="0" w:color="auto"/>
              <w:right w:val="single" w:sz="4" w:space="0" w:color="auto"/>
            </w:tcBorders>
            <w:shd w:val="clear" w:color="auto" w:fill="auto"/>
            <w:noWrap/>
            <w:vAlign w:val="center"/>
            <w:hideMark/>
          </w:tcPr>
          <w:p w14:paraId="6B7D12D8" w14:textId="77777777" w:rsidR="00287824" w:rsidRPr="00541ABB" w:rsidRDefault="00287824" w:rsidP="007A2D76">
            <w:pPr>
              <w:jc w:val="center"/>
              <w:rPr>
                <w:szCs w:val="22"/>
              </w:rPr>
            </w:pPr>
            <w:r>
              <w:rPr>
                <w:szCs w:val="22"/>
              </w:rPr>
              <w:t>9,783</w:t>
            </w:r>
          </w:p>
        </w:tc>
        <w:tc>
          <w:tcPr>
            <w:tcW w:w="1720" w:type="dxa"/>
            <w:tcBorders>
              <w:top w:val="nil"/>
              <w:left w:val="nil"/>
              <w:bottom w:val="single" w:sz="4" w:space="0" w:color="auto"/>
              <w:right w:val="single" w:sz="4" w:space="0" w:color="auto"/>
            </w:tcBorders>
            <w:shd w:val="clear" w:color="auto" w:fill="auto"/>
            <w:noWrap/>
            <w:vAlign w:val="center"/>
            <w:hideMark/>
          </w:tcPr>
          <w:p w14:paraId="3848CA1A" w14:textId="77777777" w:rsidR="00287824" w:rsidRPr="00541ABB" w:rsidRDefault="00287824" w:rsidP="007A2D76">
            <w:pPr>
              <w:jc w:val="right"/>
              <w:rPr>
                <w:szCs w:val="22"/>
              </w:rPr>
            </w:pPr>
            <w:r>
              <w:rPr>
                <w:szCs w:val="22"/>
              </w:rPr>
              <w:t>169 117</w:t>
            </w:r>
          </w:p>
        </w:tc>
      </w:tr>
      <w:tr w:rsidR="0033145B" w:rsidRPr="004D5F9F" w14:paraId="0612911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925F75" w14:textId="1BA1CE26" w:rsidR="00CD28E3" w:rsidRPr="00541ABB" w:rsidRDefault="00287824" w:rsidP="00CD28E3">
            <w:pPr>
              <w:jc w:val="center"/>
              <w:rPr>
                <w:szCs w:val="22"/>
                <w:lang w:eastAsia="zh-CN"/>
              </w:rPr>
            </w:pPr>
            <w:r>
              <w:rPr>
                <w:szCs w:val="22"/>
              </w:rPr>
              <w:t>5</w:t>
            </w:r>
          </w:p>
        </w:tc>
        <w:tc>
          <w:tcPr>
            <w:tcW w:w="3380" w:type="dxa"/>
            <w:tcBorders>
              <w:top w:val="nil"/>
              <w:left w:val="nil"/>
              <w:bottom w:val="single" w:sz="4" w:space="0" w:color="auto"/>
              <w:right w:val="single" w:sz="4" w:space="0" w:color="auto"/>
            </w:tcBorders>
            <w:shd w:val="clear" w:color="auto" w:fill="auto"/>
            <w:vAlign w:val="center"/>
            <w:hideMark/>
          </w:tcPr>
          <w:p w14:paraId="5764D395" w14:textId="77777777" w:rsidR="00CD28E3" w:rsidRPr="00541ABB" w:rsidRDefault="00CD28E3" w:rsidP="00CD28E3">
            <w:pPr>
              <w:jc w:val="left"/>
              <w:rPr>
                <w:szCs w:val="22"/>
                <w:lang w:eastAsia="zh-CN"/>
              </w:rPr>
            </w:pPr>
            <w:r>
              <w:rPr>
                <w:szCs w:val="22"/>
              </w:rPr>
              <w:t>Angola</w:t>
            </w:r>
          </w:p>
        </w:tc>
        <w:tc>
          <w:tcPr>
            <w:tcW w:w="1720" w:type="dxa"/>
            <w:tcBorders>
              <w:top w:val="nil"/>
              <w:left w:val="nil"/>
              <w:bottom w:val="single" w:sz="4" w:space="0" w:color="auto"/>
              <w:right w:val="single" w:sz="4" w:space="0" w:color="auto"/>
            </w:tcBorders>
            <w:shd w:val="clear" w:color="auto" w:fill="auto"/>
            <w:vAlign w:val="center"/>
            <w:hideMark/>
          </w:tcPr>
          <w:p w14:paraId="5215F14A"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2ED68EE2"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8343643" w14:textId="77777777" w:rsidR="00CD28E3" w:rsidRPr="00541ABB" w:rsidRDefault="00CD28E3" w:rsidP="00CD28E3">
            <w:pPr>
              <w:jc w:val="right"/>
              <w:rPr>
                <w:szCs w:val="22"/>
                <w:lang w:eastAsia="zh-CN"/>
              </w:rPr>
            </w:pPr>
            <w:r>
              <w:rPr>
                <w:szCs w:val="22"/>
              </w:rPr>
              <w:t>173</w:t>
            </w:r>
          </w:p>
        </w:tc>
      </w:tr>
      <w:tr w:rsidR="0033145B" w:rsidRPr="004D5F9F" w14:paraId="553B0349"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54F6CD" w14:textId="43081F37" w:rsidR="00CD28E3" w:rsidRPr="00BE24F1" w:rsidRDefault="00287824" w:rsidP="00CD28E3">
            <w:pPr>
              <w:jc w:val="center"/>
              <w:rPr>
                <w:szCs w:val="22"/>
                <w:lang w:eastAsia="zh-CN"/>
              </w:rPr>
            </w:pPr>
            <w:r w:rsidRPr="00BE24F1">
              <w:rPr>
                <w:szCs w:val="22"/>
                <w:lang w:eastAsia="zh-CN"/>
              </w:rPr>
              <w:t>6</w:t>
            </w:r>
          </w:p>
        </w:tc>
        <w:tc>
          <w:tcPr>
            <w:tcW w:w="3380" w:type="dxa"/>
            <w:tcBorders>
              <w:top w:val="nil"/>
              <w:left w:val="nil"/>
              <w:bottom w:val="single" w:sz="4" w:space="0" w:color="auto"/>
              <w:right w:val="single" w:sz="4" w:space="0" w:color="auto"/>
            </w:tcBorders>
            <w:shd w:val="clear" w:color="auto" w:fill="auto"/>
            <w:vAlign w:val="center"/>
            <w:hideMark/>
          </w:tcPr>
          <w:p w14:paraId="038CC8FA" w14:textId="77777777" w:rsidR="00CD28E3" w:rsidRPr="00BE24F1" w:rsidRDefault="00CD28E3" w:rsidP="00CD28E3">
            <w:pPr>
              <w:jc w:val="left"/>
              <w:rPr>
                <w:szCs w:val="22"/>
                <w:lang w:eastAsia="zh-CN"/>
              </w:rPr>
            </w:pPr>
            <w:r w:rsidRPr="00BE24F1">
              <w:rPr>
                <w:szCs w:val="22"/>
              </w:rPr>
              <w:t>Antigua-et-Barbuda</w:t>
            </w:r>
          </w:p>
        </w:tc>
        <w:tc>
          <w:tcPr>
            <w:tcW w:w="1720" w:type="dxa"/>
            <w:tcBorders>
              <w:top w:val="nil"/>
              <w:left w:val="nil"/>
              <w:bottom w:val="single" w:sz="4" w:space="0" w:color="auto"/>
              <w:right w:val="single" w:sz="4" w:space="0" w:color="auto"/>
            </w:tcBorders>
            <w:shd w:val="clear" w:color="auto" w:fill="auto"/>
            <w:vAlign w:val="center"/>
            <w:hideMark/>
          </w:tcPr>
          <w:p w14:paraId="4B06E2A1" w14:textId="77777777" w:rsidR="00CD28E3" w:rsidRPr="00BE24F1" w:rsidRDefault="00CD28E3" w:rsidP="00CD28E3">
            <w:pPr>
              <w:jc w:val="center"/>
              <w:rPr>
                <w:szCs w:val="22"/>
                <w:lang w:eastAsia="zh-CN"/>
              </w:rPr>
            </w:pPr>
            <w:r w:rsidRPr="00BE24F1">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62312316" w14:textId="77777777" w:rsidR="00CD28E3" w:rsidRPr="00BE24F1" w:rsidRDefault="00CD28E3" w:rsidP="00CD28E3">
            <w:pPr>
              <w:jc w:val="center"/>
              <w:rPr>
                <w:szCs w:val="22"/>
                <w:lang w:eastAsia="zh-CN"/>
              </w:rPr>
            </w:pPr>
            <w:r w:rsidRPr="00BE24F1">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121BF2B7" w14:textId="77777777" w:rsidR="00CD28E3" w:rsidRPr="00541ABB" w:rsidRDefault="00CD28E3" w:rsidP="00CD28E3">
            <w:pPr>
              <w:jc w:val="right"/>
              <w:rPr>
                <w:szCs w:val="22"/>
                <w:lang w:eastAsia="zh-CN"/>
              </w:rPr>
            </w:pPr>
            <w:r w:rsidRPr="00BE24F1">
              <w:rPr>
                <w:szCs w:val="22"/>
              </w:rPr>
              <w:t>56</w:t>
            </w:r>
          </w:p>
        </w:tc>
      </w:tr>
      <w:tr w:rsidR="00BE24F1" w:rsidRPr="004D5F9F" w14:paraId="0559D38F" w14:textId="77777777" w:rsidTr="00BE24F1">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E8957D" w14:textId="76A8C6EF" w:rsidR="00BE24F1" w:rsidRPr="00BE24F1" w:rsidRDefault="00BE24F1" w:rsidP="007A2D76">
            <w:pPr>
              <w:jc w:val="center"/>
              <w:rPr>
                <w:szCs w:val="22"/>
                <w:lang w:eastAsia="zh-CN"/>
              </w:rPr>
            </w:pPr>
            <w:r w:rsidRPr="00BE24F1">
              <w:rPr>
                <w:szCs w:val="22"/>
                <w:lang w:eastAsia="zh-CN"/>
              </w:rPr>
              <w:t>7</w:t>
            </w:r>
          </w:p>
        </w:tc>
        <w:tc>
          <w:tcPr>
            <w:tcW w:w="3380" w:type="dxa"/>
            <w:tcBorders>
              <w:top w:val="nil"/>
              <w:left w:val="nil"/>
              <w:bottom w:val="single" w:sz="4" w:space="0" w:color="auto"/>
              <w:right w:val="single" w:sz="4" w:space="0" w:color="auto"/>
            </w:tcBorders>
            <w:shd w:val="clear" w:color="auto" w:fill="auto"/>
            <w:vAlign w:val="center"/>
            <w:hideMark/>
          </w:tcPr>
          <w:p w14:paraId="59BB9B59" w14:textId="77777777" w:rsidR="00BE24F1" w:rsidRPr="00BE24F1" w:rsidRDefault="00BE24F1" w:rsidP="007A2D76">
            <w:pPr>
              <w:jc w:val="left"/>
              <w:rPr>
                <w:szCs w:val="22"/>
              </w:rPr>
            </w:pPr>
            <w:r w:rsidRPr="00BE24F1">
              <w:rPr>
                <w:szCs w:val="22"/>
              </w:rPr>
              <w:t>Arabie saoudite</w:t>
            </w:r>
          </w:p>
        </w:tc>
        <w:tc>
          <w:tcPr>
            <w:tcW w:w="1720" w:type="dxa"/>
            <w:tcBorders>
              <w:top w:val="nil"/>
              <w:left w:val="nil"/>
              <w:bottom w:val="single" w:sz="4" w:space="0" w:color="auto"/>
              <w:right w:val="single" w:sz="4" w:space="0" w:color="auto"/>
            </w:tcBorders>
            <w:shd w:val="clear" w:color="auto" w:fill="auto"/>
            <w:vAlign w:val="center"/>
            <w:hideMark/>
          </w:tcPr>
          <w:p w14:paraId="0D43955A" w14:textId="77777777" w:rsidR="00BE24F1" w:rsidRPr="00BE24F1" w:rsidRDefault="00BE24F1" w:rsidP="007A2D76">
            <w:pPr>
              <w:jc w:val="center"/>
              <w:rPr>
                <w:szCs w:val="22"/>
              </w:rPr>
            </w:pPr>
            <w:r w:rsidRPr="00BE24F1">
              <w:rPr>
                <w:szCs w:val="22"/>
              </w:rPr>
              <w:t>1,172</w:t>
            </w:r>
          </w:p>
        </w:tc>
        <w:tc>
          <w:tcPr>
            <w:tcW w:w="1720" w:type="dxa"/>
            <w:tcBorders>
              <w:top w:val="nil"/>
              <w:left w:val="nil"/>
              <w:bottom w:val="single" w:sz="4" w:space="0" w:color="auto"/>
              <w:right w:val="single" w:sz="4" w:space="0" w:color="auto"/>
            </w:tcBorders>
            <w:shd w:val="clear" w:color="auto" w:fill="auto"/>
            <w:noWrap/>
            <w:vAlign w:val="center"/>
            <w:hideMark/>
          </w:tcPr>
          <w:p w14:paraId="74C5665F" w14:textId="77777777" w:rsidR="00BE24F1" w:rsidRPr="00BE24F1" w:rsidRDefault="00BE24F1" w:rsidP="007A2D76">
            <w:pPr>
              <w:jc w:val="center"/>
              <w:rPr>
                <w:szCs w:val="22"/>
              </w:rPr>
            </w:pPr>
            <w:r w:rsidRPr="00BE24F1">
              <w:rPr>
                <w:szCs w:val="22"/>
              </w:rPr>
              <w:t>1,883</w:t>
            </w:r>
          </w:p>
        </w:tc>
        <w:tc>
          <w:tcPr>
            <w:tcW w:w="1720" w:type="dxa"/>
            <w:tcBorders>
              <w:top w:val="nil"/>
              <w:left w:val="nil"/>
              <w:bottom w:val="single" w:sz="4" w:space="0" w:color="auto"/>
              <w:right w:val="single" w:sz="4" w:space="0" w:color="auto"/>
            </w:tcBorders>
            <w:shd w:val="clear" w:color="auto" w:fill="auto"/>
            <w:noWrap/>
            <w:vAlign w:val="center"/>
            <w:hideMark/>
          </w:tcPr>
          <w:p w14:paraId="53F5520E" w14:textId="77777777" w:rsidR="00BE24F1" w:rsidRPr="00BE24F1" w:rsidRDefault="00BE24F1" w:rsidP="007A2D76">
            <w:pPr>
              <w:jc w:val="right"/>
              <w:rPr>
                <w:szCs w:val="22"/>
              </w:rPr>
            </w:pPr>
            <w:r w:rsidRPr="00BE24F1">
              <w:rPr>
                <w:szCs w:val="22"/>
              </w:rPr>
              <w:t>32 546</w:t>
            </w:r>
          </w:p>
        </w:tc>
      </w:tr>
      <w:tr w:rsidR="0033145B" w:rsidRPr="004D5F9F" w14:paraId="14C0436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F9F92F" w14:textId="2F205329" w:rsidR="00CD28E3" w:rsidRPr="00541ABB" w:rsidRDefault="00BE24F1" w:rsidP="00CD28E3">
            <w:pPr>
              <w:jc w:val="center"/>
              <w:rPr>
                <w:szCs w:val="22"/>
                <w:lang w:eastAsia="zh-CN"/>
              </w:rPr>
            </w:pPr>
            <w:r>
              <w:rPr>
                <w:szCs w:val="22"/>
              </w:rPr>
              <w:t>8</w:t>
            </w:r>
          </w:p>
        </w:tc>
        <w:tc>
          <w:tcPr>
            <w:tcW w:w="3380" w:type="dxa"/>
            <w:tcBorders>
              <w:top w:val="nil"/>
              <w:left w:val="nil"/>
              <w:bottom w:val="single" w:sz="4" w:space="0" w:color="auto"/>
              <w:right w:val="single" w:sz="4" w:space="0" w:color="auto"/>
            </w:tcBorders>
            <w:shd w:val="clear" w:color="auto" w:fill="auto"/>
            <w:vAlign w:val="center"/>
            <w:hideMark/>
          </w:tcPr>
          <w:p w14:paraId="37D96EF8" w14:textId="77777777" w:rsidR="00CD28E3" w:rsidRPr="00541ABB" w:rsidRDefault="00CD28E3" w:rsidP="00CD28E3">
            <w:pPr>
              <w:jc w:val="left"/>
              <w:rPr>
                <w:szCs w:val="22"/>
                <w:lang w:eastAsia="zh-CN"/>
              </w:rPr>
            </w:pPr>
            <w:r>
              <w:rPr>
                <w:szCs w:val="22"/>
              </w:rPr>
              <w:t>Argentine</w:t>
            </w:r>
          </w:p>
        </w:tc>
        <w:tc>
          <w:tcPr>
            <w:tcW w:w="1720" w:type="dxa"/>
            <w:tcBorders>
              <w:top w:val="nil"/>
              <w:left w:val="nil"/>
              <w:bottom w:val="single" w:sz="4" w:space="0" w:color="auto"/>
              <w:right w:val="single" w:sz="4" w:space="0" w:color="auto"/>
            </w:tcBorders>
            <w:shd w:val="clear" w:color="auto" w:fill="auto"/>
            <w:vAlign w:val="center"/>
            <w:hideMark/>
          </w:tcPr>
          <w:p w14:paraId="2B82F357" w14:textId="77777777" w:rsidR="00CD28E3" w:rsidRPr="00541ABB" w:rsidRDefault="00CD28E3" w:rsidP="00CD28E3">
            <w:pPr>
              <w:jc w:val="center"/>
              <w:rPr>
                <w:szCs w:val="22"/>
                <w:lang w:eastAsia="zh-CN"/>
              </w:rPr>
            </w:pPr>
            <w:r>
              <w:rPr>
                <w:szCs w:val="22"/>
              </w:rPr>
              <w:t>0,915</w:t>
            </w:r>
          </w:p>
        </w:tc>
        <w:tc>
          <w:tcPr>
            <w:tcW w:w="1720" w:type="dxa"/>
            <w:tcBorders>
              <w:top w:val="nil"/>
              <w:left w:val="nil"/>
              <w:bottom w:val="single" w:sz="4" w:space="0" w:color="auto"/>
              <w:right w:val="single" w:sz="4" w:space="0" w:color="auto"/>
            </w:tcBorders>
            <w:shd w:val="clear" w:color="auto" w:fill="auto"/>
            <w:noWrap/>
            <w:vAlign w:val="center"/>
            <w:hideMark/>
          </w:tcPr>
          <w:p w14:paraId="59BE22E0" w14:textId="77777777" w:rsidR="00CD28E3" w:rsidRPr="00541ABB" w:rsidRDefault="00CD28E3" w:rsidP="00CD28E3">
            <w:pPr>
              <w:jc w:val="center"/>
              <w:rPr>
                <w:szCs w:val="22"/>
                <w:lang w:eastAsia="zh-CN"/>
              </w:rPr>
            </w:pPr>
            <w:r>
              <w:rPr>
                <w:szCs w:val="22"/>
              </w:rPr>
              <w:t>1,470</w:t>
            </w:r>
          </w:p>
        </w:tc>
        <w:tc>
          <w:tcPr>
            <w:tcW w:w="1720" w:type="dxa"/>
            <w:tcBorders>
              <w:top w:val="nil"/>
              <w:left w:val="nil"/>
              <w:bottom w:val="single" w:sz="4" w:space="0" w:color="auto"/>
              <w:right w:val="single" w:sz="4" w:space="0" w:color="auto"/>
            </w:tcBorders>
            <w:shd w:val="clear" w:color="auto" w:fill="auto"/>
            <w:noWrap/>
            <w:vAlign w:val="center"/>
            <w:hideMark/>
          </w:tcPr>
          <w:p w14:paraId="6E4CD625" w14:textId="77777777" w:rsidR="00CD28E3" w:rsidRPr="00541ABB" w:rsidRDefault="00CD28E3" w:rsidP="00CD28E3">
            <w:pPr>
              <w:jc w:val="right"/>
              <w:rPr>
                <w:szCs w:val="22"/>
                <w:lang w:eastAsia="zh-CN"/>
              </w:rPr>
            </w:pPr>
            <w:r>
              <w:rPr>
                <w:szCs w:val="22"/>
              </w:rPr>
              <w:t>25 409</w:t>
            </w:r>
          </w:p>
        </w:tc>
      </w:tr>
      <w:tr w:rsidR="0033145B" w:rsidRPr="004D5F9F" w14:paraId="4726C8C0"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E77B59" w14:textId="093E1F15" w:rsidR="00CD28E3" w:rsidRPr="00541ABB" w:rsidRDefault="00BE24F1" w:rsidP="00CD28E3">
            <w:pPr>
              <w:jc w:val="center"/>
              <w:rPr>
                <w:szCs w:val="22"/>
                <w:lang w:eastAsia="zh-CN"/>
              </w:rPr>
            </w:pPr>
            <w:r>
              <w:rPr>
                <w:szCs w:val="22"/>
              </w:rPr>
              <w:t>9</w:t>
            </w:r>
          </w:p>
        </w:tc>
        <w:tc>
          <w:tcPr>
            <w:tcW w:w="3380" w:type="dxa"/>
            <w:tcBorders>
              <w:top w:val="nil"/>
              <w:left w:val="nil"/>
              <w:bottom w:val="single" w:sz="4" w:space="0" w:color="auto"/>
              <w:right w:val="single" w:sz="4" w:space="0" w:color="auto"/>
            </w:tcBorders>
            <w:shd w:val="clear" w:color="auto" w:fill="auto"/>
            <w:vAlign w:val="center"/>
            <w:hideMark/>
          </w:tcPr>
          <w:p w14:paraId="0173DB81" w14:textId="77777777" w:rsidR="00CD28E3" w:rsidRPr="00541ABB" w:rsidRDefault="00CD28E3" w:rsidP="00CD28E3">
            <w:pPr>
              <w:jc w:val="left"/>
              <w:rPr>
                <w:szCs w:val="22"/>
                <w:lang w:eastAsia="zh-CN"/>
              </w:rPr>
            </w:pPr>
            <w:r>
              <w:rPr>
                <w:szCs w:val="22"/>
              </w:rPr>
              <w:t>Autriche</w:t>
            </w:r>
          </w:p>
        </w:tc>
        <w:tc>
          <w:tcPr>
            <w:tcW w:w="1720" w:type="dxa"/>
            <w:tcBorders>
              <w:top w:val="nil"/>
              <w:left w:val="nil"/>
              <w:bottom w:val="single" w:sz="4" w:space="0" w:color="auto"/>
              <w:right w:val="single" w:sz="4" w:space="0" w:color="auto"/>
            </w:tcBorders>
            <w:shd w:val="clear" w:color="auto" w:fill="auto"/>
            <w:vAlign w:val="center"/>
            <w:hideMark/>
          </w:tcPr>
          <w:p w14:paraId="54B892FE" w14:textId="77777777" w:rsidR="00CD28E3" w:rsidRPr="00541ABB" w:rsidRDefault="00CD28E3" w:rsidP="00CD28E3">
            <w:pPr>
              <w:jc w:val="center"/>
              <w:rPr>
                <w:szCs w:val="22"/>
                <w:lang w:eastAsia="zh-CN"/>
              </w:rPr>
            </w:pPr>
            <w:r>
              <w:rPr>
                <w:szCs w:val="22"/>
              </w:rPr>
              <w:t>0,677</w:t>
            </w:r>
          </w:p>
        </w:tc>
        <w:tc>
          <w:tcPr>
            <w:tcW w:w="1720" w:type="dxa"/>
            <w:tcBorders>
              <w:top w:val="nil"/>
              <w:left w:val="nil"/>
              <w:bottom w:val="single" w:sz="4" w:space="0" w:color="auto"/>
              <w:right w:val="single" w:sz="4" w:space="0" w:color="auto"/>
            </w:tcBorders>
            <w:shd w:val="clear" w:color="auto" w:fill="auto"/>
            <w:noWrap/>
            <w:vAlign w:val="center"/>
            <w:hideMark/>
          </w:tcPr>
          <w:p w14:paraId="47EBFDC7" w14:textId="77777777" w:rsidR="00CD28E3" w:rsidRPr="00541ABB" w:rsidRDefault="00CD28E3" w:rsidP="00CD28E3">
            <w:pPr>
              <w:jc w:val="center"/>
              <w:rPr>
                <w:szCs w:val="22"/>
                <w:lang w:eastAsia="zh-CN"/>
              </w:rPr>
            </w:pPr>
            <w:r>
              <w:rPr>
                <w:szCs w:val="22"/>
              </w:rPr>
              <w:t>1,088</w:t>
            </w:r>
          </w:p>
        </w:tc>
        <w:tc>
          <w:tcPr>
            <w:tcW w:w="1720" w:type="dxa"/>
            <w:tcBorders>
              <w:top w:val="nil"/>
              <w:left w:val="nil"/>
              <w:bottom w:val="single" w:sz="4" w:space="0" w:color="auto"/>
              <w:right w:val="single" w:sz="4" w:space="0" w:color="auto"/>
            </w:tcBorders>
            <w:shd w:val="clear" w:color="auto" w:fill="auto"/>
            <w:noWrap/>
            <w:vAlign w:val="center"/>
            <w:hideMark/>
          </w:tcPr>
          <w:p w14:paraId="4373A8FD" w14:textId="77777777" w:rsidR="00CD28E3" w:rsidRPr="00541ABB" w:rsidRDefault="00CD28E3" w:rsidP="00CD28E3">
            <w:pPr>
              <w:jc w:val="right"/>
              <w:rPr>
                <w:szCs w:val="22"/>
                <w:lang w:eastAsia="zh-CN"/>
              </w:rPr>
            </w:pPr>
            <w:r>
              <w:rPr>
                <w:szCs w:val="22"/>
              </w:rPr>
              <w:t>18 800</w:t>
            </w:r>
          </w:p>
        </w:tc>
      </w:tr>
      <w:tr w:rsidR="0033145B" w:rsidRPr="004D5F9F" w14:paraId="43ADC7B0"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F05B99" w14:textId="646F3E25" w:rsidR="00CD28E3" w:rsidRPr="00541ABB" w:rsidRDefault="00BE24F1" w:rsidP="00CD28E3">
            <w:pPr>
              <w:jc w:val="center"/>
              <w:rPr>
                <w:szCs w:val="22"/>
                <w:lang w:eastAsia="zh-CN"/>
              </w:rPr>
            </w:pPr>
            <w:r>
              <w:rPr>
                <w:szCs w:val="22"/>
                <w:lang w:eastAsia="zh-CN"/>
              </w:rPr>
              <w:t>10</w:t>
            </w:r>
          </w:p>
        </w:tc>
        <w:tc>
          <w:tcPr>
            <w:tcW w:w="3380" w:type="dxa"/>
            <w:tcBorders>
              <w:top w:val="nil"/>
              <w:left w:val="nil"/>
              <w:bottom w:val="single" w:sz="4" w:space="0" w:color="auto"/>
              <w:right w:val="single" w:sz="4" w:space="0" w:color="auto"/>
            </w:tcBorders>
            <w:shd w:val="clear" w:color="auto" w:fill="auto"/>
            <w:vAlign w:val="center"/>
            <w:hideMark/>
          </w:tcPr>
          <w:p w14:paraId="60F6BAFF" w14:textId="77777777" w:rsidR="00CD28E3" w:rsidRPr="00541ABB" w:rsidRDefault="00CD28E3" w:rsidP="00CD28E3">
            <w:pPr>
              <w:jc w:val="left"/>
              <w:rPr>
                <w:szCs w:val="22"/>
                <w:lang w:eastAsia="zh-CN"/>
              </w:rPr>
            </w:pPr>
            <w:r>
              <w:rPr>
                <w:szCs w:val="22"/>
              </w:rPr>
              <w:t>Bélarus</w:t>
            </w:r>
          </w:p>
        </w:tc>
        <w:tc>
          <w:tcPr>
            <w:tcW w:w="1720" w:type="dxa"/>
            <w:tcBorders>
              <w:top w:val="nil"/>
              <w:left w:val="nil"/>
              <w:bottom w:val="single" w:sz="4" w:space="0" w:color="auto"/>
              <w:right w:val="single" w:sz="4" w:space="0" w:color="auto"/>
            </w:tcBorders>
            <w:shd w:val="clear" w:color="auto" w:fill="auto"/>
            <w:vAlign w:val="center"/>
            <w:hideMark/>
          </w:tcPr>
          <w:p w14:paraId="7470AE3D" w14:textId="77777777" w:rsidR="00CD28E3" w:rsidRPr="00541ABB" w:rsidRDefault="00CD28E3" w:rsidP="00CD28E3">
            <w:pPr>
              <w:jc w:val="center"/>
              <w:rPr>
                <w:szCs w:val="22"/>
                <w:lang w:eastAsia="zh-CN"/>
              </w:rPr>
            </w:pPr>
            <w:r>
              <w:rPr>
                <w:szCs w:val="22"/>
              </w:rPr>
              <w:t>0,049</w:t>
            </w:r>
          </w:p>
        </w:tc>
        <w:tc>
          <w:tcPr>
            <w:tcW w:w="1720" w:type="dxa"/>
            <w:tcBorders>
              <w:top w:val="nil"/>
              <w:left w:val="nil"/>
              <w:bottom w:val="single" w:sz="4" w:space="0" w:color="auto"/>
              <w:right w:val="single" w:sz="4" w:space="0" w:color="auto"/>
            </w:tcBorders>
            <w:shd w:val="clear" w:color="auto" w:fill="auto"/>
            <w:noWrap/>
            <w:vAlign w:val="center"/>
            <w:hideMark/>
          </w:tcPr>
          <w:p w14:paraId="21D93FB1" w14:textId="77777777" w:rsidR="00CD28E3" w:rsidRPr="00541ABB" w:rsidRDefault="00CD28E3" w:rsidP="00CD28E3">
            <w:pPr>
              <w:jc w:val="center"/>
              <w:rPr>
                <w:szCs w:val="22"/>
                <w:lang w:eastAsia="zh-CN"/>
              </w:rPr>
            </w:pPr>
            <w:r>
              <w:rPr>
                <w:szCs w:val="22"/>
              </w:rPr>
              <w:t>0,079</w:t>
            </w:r>
          </w:p>
        </w:tc>
        <w:tc>
          <w:tcPr>
            <w:tcW w:w="1720" w:type="dxa"/>
            <w:tcBorders>
              <w:top w:val="nil"/>
              <w:left w:val="nil"/>
              <w:bottom w:val="single" w:sz="4" w:space="0" w:color="auto"/>
              <w:right w:val="single" w:sz="4" w:space="0" w:color="auto"/>
            </w:tcBorders>
            <w:shd w:val="clear" w:color="auto" w:fill="auto"/>
            <w:noWrap/>
            <w:vAlign w:val="center"/>
            <w:hideMark/>
          </w:tcPr>
          <w:p w14:paraId="266D2193" w14:textId="77777777" w:rsidR="00CD28E3" w:rsidRPr="00541ABB" w:rsidRDefault="00CD28E3" w:rsidP="00CD28E3">
            <w:pPr>
              <w:jc w:val="right"/>
              <w:rPr>
                <w:szCs w:val="22"/>
                <w:lang w:eastAsia="zh-CN"/>
              </w:rPr>
            </w:pPr>
            <w:r>
              <w:rPr>
                <w:szCs w:val="22"/>
              </w:rPr>
              <w:t>1 361</w:t>
            </w:r>
          </w:p>
        </w:tc>
      </w:tr>
      <w:tr w:rsidR="0033145B" w:rsidRPr="004D5F9F" w14:paraId="33302DC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D2891E" w14:textId="385E409F" w:rsidR="00CD28E3" w:rsidRPr="00541ABB" w:rsidRDefault="00BE24F1" w:rsidP="00CD28E3">
            <w:pPr>
              <w:jc w:val="center"/>
              <w:rPr>
                <w:szCs w:val="22"/>
                <w:lang w:eastAsia="zh-CN"/>
              </w:rPr>
            </w:pPr>
            <w:r>
              <w:rPr>
                <w:szCs w:val="22"/>
              </w:rPr>
              <w:t>11</w:t>
            </w:r>
          </w:p>
        </w:tc>
        <w:tc>
          <w:tcPr>
            <w:tcW w:w="3380" w:type="dxa"/>
            <w:tcBorders>
              <w:top w:val="nil"/>
              <w:left w:val="nil"/>
              <w:bottom w:val="single" w:sz="4" w:space="0" w:color="auto"/>
              <w:right w:val="single" w:sz="4" w:space="0" w:color="auto"/>
            </w:tcBorders>
            <w:shd w:val="clear" w:color="auto" w:fill="auto"/>
            <w:vAlign w:val="center"/>
            <w:hideMark/>
          </w:tcPr>
          <w:p w14:paraId="33E35077" w14:textId="77777777" w:rsidR="00CD28E3" w:rsidRPr="00541ABB" w:rsidRDefault="00CD28E3" w:rsidP="00CD28E3">
            <w:pPr>
              <w:jc w:val="left"/>
              <w:rPr>
                <w:szCs w:val="22"/>
                <w:lang w:eastAsia="zh-CN"/>
              </w:rPr>
            </w:pPr>
            <w:r>
              <w:rPr>
                <w:szCs w:val="22"/>
              </w:rPr>
              <w:t>Belgique</w:t>
            </w:r>
          </w:p>
        </w:tc>
        <w:tc>
          <w:tcPr>
            <w:tcW w:w="1720" w:type="dxa"/>
            <w:tcBorders>
              <w:top w:val="nil"/>
              <w:left w:val="nil"/>
              <w:bottom w:val="single" w:sz="4" w:space="0" w:color="auto"/>
              <w:right w:val="single" w:sz="4" w:space="0" w:color="auto"/>
            </w:tcBorders>
            <w:shd w:val="clear" w:color="auto" w:fill="auto"/>
            <w:vAlign w:val="center"/>
            <w:hideMark/>
          </w:tcPr>
          <w:p w14:paraId="3292B5C8" w14:textId="77777777" w:rsidR="00CD28E3" w:rsidRPr="00541ABB" w:rsidRDefault="00CD28E3" w:rsidP="00CD28E3">
            <w:pPr>
              <w:jc w:val="center"/>
              <w:rPr>
                <w:szCs w:val="22"/>
                <w:lang w:eastAsia="zh-CN"/>
              </w:rPr>
            </w:pPr>
            <w:r>
              <w:rPr>
                <w:szCs w:val="22"/>
              </w:rPr>
              <w:t>0,821</w:t>
            </w:r>
          </w:p>
        </w:tc>
        <w:tc>
          <w:tcPr>
            <w:tcW w:w="1720" w:type="dxa"/>
            <w:tcBorders>
              <w:top w:val="nil"/>
              <w:left w:val="nil"/>
              <w:bottom w:val="single" w:sz="4" w:space="0" w:color="auto"/>
              <w:right w:val="single" w:sz="4" w:space="0" w:color="auto"/>
            </w:tcBorders>
            <w:shd w:val="clear" w:color="auto" w:fill="auto"/>
            <w:noWrap/>
            <w:vAlign w:val="center"/>
            <w:hideMark/>
          </w:tcPr>
          <w:p w14:paraId="4154773F" w14:textId="77777777" w:rsidR="00CD28E3" w:rsidRPr="00541ABB" w:rsidRDefault="00CD28E3" w:rsidP="00CD28E3">
            <w:pPr>
              <w:jc w:val="center"/>
              <w:rPr>
                <w:szCs w:val="22"/>
                <w:lang w:eastAsia="zh-CN"/>
              </w:rPr>
            </w:pPr>
            <w:r>
              <w:rPr>
                <w:szCs w:val="22"/>
              </w:rPr>
              <w:t>1,319</w:t>
            </w:r>
          </w:p>
        </w:tc>
        <w:tc>
          <w:tcPr>
            <w:tcW w:w="1720" w:type="dxa"/>
            <w:tcBorders>
              <w:top w:val="nil"/>
              <w:left w:val="nil"/>
              <w:bottom w:val="single" w:sz="4" w:space="0" w:color="auto"/>
              <w:right w:val="single" w:sz="4" w:space="0" w:color="auto"/>
            </w:tcBorders>
            <w:shd w:val="clear" w:color="auto" w:fill="auto"/>
            <w:noWrap/>
            <w:vAlign w:val="center"/>
            <w:hideMark/>
          </w:tcPr>
          <w:p w14:paraId="606F9190" w14:textId="77777777" w:rsidR="00CD28E3" w:rsidRPr="00541ABB" w:rsidRDefault="00CD28E3" w:rsidP="00CD28E3">
            <w:pPr>
              <w:jc w:val="right"/>
              <w:rPr>
                <w:szCs w:val="22"/>
                <w:lang w:eastAsia="zh-CN"/>
              </w:rPr>
            </w:pPr>
            <w:r>
              <w:rPr>
                <w:szCs w:val="22"/>
              </w:rPr>
              <w:t>22 799</w:t>
            </w:r>
          </w:p>
        </w:tc>
      </w:tr>
      <w:tr w:rsidR="0033145B" w:rsidRPr="004D5F9F" w14:paraId="2807458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5A38A3" w14:textId="35ED3C89" w:rsidR="00CD28E3" w:rsidRPr="00541ABB" w:rsidRDefault="00BE24F1" w:rsidP="00CD28E3">
            <w:pPr>
              <w:jc w:val="center"/>
              <w:rPr>
                <w:szCs w:val="22"/>
                <w:lang w:eastAsia="zh-CN"/>
              </w:rPr>
            </w:pPr>
            <w:r>
              <w:rPr>
                <w:szCs w:val="22"/>
              </w:rPr>
              <w:t>12</w:t>
            </w:r>
          </w:p>
        </w:tc>
        <w:tc>
          <w:tcPr>
            <w:tcW w:w="3380" w:type="dxa"/>
            <w:tcBorders>
              <w:top w:val="nil"/>
              <w:left w:val="nil"/>
              <w:bottom w:val="single" w:sz="4" w:space="0" w:color="auto"/>
              <w:right w:val="single" w:sz="4" w:space="0" w:color="auto"/>
            </w:tcBorders>
            <w:shd w:val="clear" w:color="auto" w:fill="auto"/>
            <w:vAlign w:val="center"/>
            <w:hideMark/>
          </w:tcPr>
          <w:p w14:paraId="523BA845" w14:textId="77777777" w:rsidR="00CD28E3" w:rsidRPr="00541ABB" w:rsidRDefault="00CD28E3" w:rsidP="00CD28E3">
            <w:pPr>
              <w:jc w:val="left"/>
              <w:rPr>
                <w:szCs w:val="22"/>
                <w:lang w:eastAsia="zh-CN"/>
              </w:rPr>
            </w:pPr>
            <w:r>
              <w:rPr>
                <w:szCs w:val="22"/>
              </w:rPr>
              <w:t>Bénin</w:t>
            </w:r>
          </w:p>
        </w:tc>
        <w:tc>
          <w:tcPr>
            <w:tcW w:w="1720" w:type="dxa"/>
            <w:tcBorders>
              <w:top w:val="nil"/>
              <w:left w:val="nil"/>
              <w:bottom w:val="single" w:sz="4" w:space="0" w:color="auto"/>
              <w:right w:val="single" w:sz="4" w:space="0" w:color="auto"/>
            </w:tcBorders>
            <w:shd w:val="clear" w:color="auto" w:fill="auto"/>
            <w:vAlign w:val="center"/>
            <w:hideMark/>
          </w:tcPr>
          <w:p w14:paraId="55B33DDA"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5858A56B"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5BCECFD0" w14:textId="77777777" w:rsidR="00CD28E3" w:rsidRPr="00541ABB" w:rsidRDefault="00CD28E3" w:rsidP="00CD28E3">
            <w:pPr>
              <w:jc w:val="right"/>
              <w:rPr>
                <w:szCs w:val="22"/>
                <w:lang w:eastAsia="zh-CN"/>
              </w:rPr>
            </w:pPr>
            <w:r>
              <w:rPr>
                <w:szCs w:val="22"/>
              </w:rPr>
              <w:t>83</w:t>
            </w:r>
          </w:p>
        </w:tc>
      </w:tr>
      <w:tr w:rsidR="0033145B" w:rsidRPr="004D5F9F" w14:paraId="770D9555"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02A275" w14:textId="106ECBF1" w:rsidR="00CD28E3" w:rsidRPr="00541ABB" w:rsidRDefault="00BE24F1" w:rsidP="00CD28E3">
            <w:pPr>
              <w:jc w:val="center"/>
              <w:rPr>
                <w:szCs w:val="22"/>
                <w:lang w:eastAsia="zh-CN"/>
              </w:rPr>
            </w:pPr>
            <w:r>
              <w:rPr>
                <w:szCs w:val="22"/>
              </w:rPr>
              <w:t>13</w:t>
            </w:r>
          </w:p>
        </w:tc>
        <w:tc>
          <w:tcPr>
            <w:tcW w:w="3380" w:type="dxa"/>
            <w:tcBorders>
              <w:top w:val="nil"/>
              <w:left w:val="nil"/>
              <w:bottom w:val="single" w:sz="4" w:space="0" w:color="auto"/>
              <w:right w:val="single" w:sz="4" w:space="0" w:color="auto"/>
            </w:tcBorders>
            <w:shd w:val="clear" w:color="auto" w:fill="auto"/>
            <w:vAlign w:val="center"/>
            <w:hideMark/>
          </w:tcPr>
          <w:p w14:paraId="121F439D" w14:textId="77777777" w:rsidR="00CD28E3" w:rsidRPr="00541ABB" w:rsidRDefault="00CD28E3" w:rsidP="00CD28E3">
            <w:pPr>
              <w:jc w:val="left"/>
              <w:rPr>
                <w:szCs w:val="22"/>
                <w:lang w:eastAsia="zh-CN"/>
              </w:rPr>
            </w:pPr>
            <w:r>
              <w:rPr>
                <w:szCs w:val="22"/>
              </w:rPr>
              <w:t>Bhoutan</w:t>
            </w:r>
          </w:p>
        </w:tc>
        <w:tc>
          <w:tcPr>
            <w:tcW w:w="1720" w:type="dxa"/>
            <w:tcBorders>
              <w:top w:val="nil"/>
              <w:left w:val="nil"/>
              <w:bottom w:val="single" w:sz="4" w:space="0" w:color="auto"/>
              <w:right w:val="single" w:sz="4" w:space="0" w:color="auto"/>
            </w:tcBorders>
            <w:shd w:val="clear" w:color="auto" w:fill="auto"/>
            <w:vAlign w:val="center"/>
            <w:hideMark/>
          </w:tcPr>
          <w:p w14:paraId="5471A118"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263E055D"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34608CFD" w14:textId="77777777" w:rsidR="00CD28E3" w:rsidRPr="00541ABB" w:rsidRDefault="00CD28E3" w:rsidP="00CD28E3">
            <w:pPr>
              <w:jc w:val="right"/>
              <w:rPr>
                <w:szCs w:val="22"/>
                <w:lang w:eastAsia="zh-CN"/>
              </w:rPr>
            </w:pPr>
            <w:r>
              <w:rPr>
                <w:szCs w:val="22"/>
              </w:rPr>
              <w:t>28</w:t>
            </w:r>
          </w:p>
        </w:tc>
      </w:tr>
      <w:tr w:rsidR="0033145B" w:rsidRPr="004D5F9F" w14:paraId="6B9CF7D3"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26CC66" w14:textId="434A224C" w:rsidR="00CD28E3" w:rsidRPr="00541ABB" w:rsidRDefault="00BE24F1" w:rsidP="00CD28E3">
            <w:pPr>
              <w:jc w:val="center"/>
              <w:rPr>
                <w:szCs w:val="22"/>
                <w:lang w:eastAsia="zh-CN"/>
              </w:rPr>
            </w:pPr>
            <w:r>
              <w:rPr>
                <w:szCs w:val="22"/>
              </w:rPr>
              <w:t>14</w:t>
            </w:r>
          </w:p>
        </w:tc>
        <w:tc>
          <w:tcPr>
            <w:tcW w:w="3380" w:type="dxa"/>
            <w:tcBorders>
              <w:top w:val="nil"/>
              <w:left w:val="nil"/>
              <w:bottom w:val="single" w:sz="4" w:space="0" w:color="auto"/>
              <w:right w:val="single" w:sz="4" w:space="0" w:color="auto"/>
            </w:tcBorders>
            <w:shd w:val="clear" w:color="auto" w:fill="auto"/>
            <w:vAlign w:val="center"/>
            <w:hideMark/>
          </w:tcPr>
          <w:p w14:paraId="6E7C3BE5" w14:textId="77777777" w:rsidR="00CD28E3" w:rsidRPr="00541ABB" w:rsidRDefault="00CD28E3" w:rsidP="00CD28E3">
            <w:pPr>
              <w:jc w:val="left"/>
              <w:rPr>
                <w:szCs w:val="22"/>
                <w:lang w:eastAsia="zh-CN"/>
              </w:rPr>
            </w:pPr>
            <w:r>
              <w:rPr>
                <w:szCs w:val="22"/>
              </w:rPr>
              <w:t>Bolivie (État plurinational de)</w:t>
            </w:r>
          </w:p>
        </w:tc>
        <w:tc>
          <w:tcPr>
            <w:tcW w:w="1720" w:type="dxa"/>
            <w:tcBorders>
              <w:top w:val="nil"/>
              <w:left w:val="nil"/>
              <w:bottom w:val="single" w:sz="4" w:space="0" w:color="auto"/>
              <w:right w:val="single" w:sz="4" w:space="0" w:color="auto"/>
            </w:tcBorders>
            <w:shd w:val="clear" w:color="auto" w:fill="auto"/>
            <w:vAlign w:val="center"/>
            <w:hideMark/>
          </w:tcPr>
          <w:p w14:paraId="2F12AE0A" w14:textId="77777777" w:rsidR="00CD28E3" w:rsidRPr="00541ABB" w:rsidRDefault="00CD28E3" w:rsidP="00CD28E3">
            <w:pPr>
              <w:jc w:val="center"/>
              <w:rPr>
                <w:szCs w:val="22"/>
                <w:lang w:eastAsia="zh-CN"/>
              </w:rPr>
            </w:pPr>
            <w:r>
              <w:rPr>
                <w:szCs w:val="22"/>
              </w:rPr>
              <w:t>0,016</w:t>
            </w:r>
          </w:p>
        </w:tc>
        <w:tc>
          <w:tcPr>
            <w:tcW w:w="1720" w:type="dxa"/>
            <w:tcBorders>
              <w:top w:val="nil"/>
              <w:left w:val="nil"/>
              <w:bottom w:val="single" w:sz="4" w:space="0" w:color="auto"/>
              <w:right w:val="single" w:sz="4" w:space="0" w:color="auto"/>
            </w:tcBorders>
            <w:shd w:val="clear" w:color="auto" w:fill="auto"/>
            <w:noWrap/>
            <w:vAlign w:val="center"/>
            <w:hideMark/>
          </w:tcPr>
          <w:p w14:paraId="7AAB7432" w14:textId="77777777" w:rsidR="00CD28E3" w:rsidRPr="00541ABB" w:rsidRDefault="00CD28E3" w:rsidP="00CD28E3">
            <w:pPr>
              <w:jc w:val="center"/>
              <w:rPr>
                <w:szCs w:val="22"/>
                <w:lang w:eastAsia="zh-CN"/>
              </w:rPr>
            </w:pPr>
            <w:r>
              <w:rPr>
                <w:szCs w:val="22"/>
              </w:rPr>
              <w:t>0,026</w:t>
            </w:r>
          </w:p>
        </w:tc>
        <w:tc>
          <w:tcPr>
            <w:tcW w:w="1720" w:type="dxa"/>
            <w:tcBorders>
              <w:top w:val="nil"/>
              <w:left w:val="nil"/>
              <w:bottom w:val="single" w:sz="4" w:space="0" w:color="auto"/>
              <w:right w:val="single" w:sz="4" w:space="0" w:color="auto"/>
            </w:tcBorders>
            <w:shd w:val="clear" w:color="auto" w:fill="auto"/>
            <w:noWrap/>
            <w:vAlign w:val="center"/>
            <w:hideMark/>
          </w:tcPr>
          <w:p w14:paraId="1E9595B5" w14:textId="77777777" w:rsidR="00CD28E3" w:rsidRPr="00541ABB" w:rsidRDefault="00CD28E3" w:rsidP="00CD28E3">
            <w:pPr>
              <w:jc w:val="right"/>
              <w:rPr>
                <w:szCs w:val="22"/>
                <w:lang w:eastAsia="zh-CN"/>
              </w:rPr>
            </w:pPr>
            <w:r>
              <w:rPr>
                <w:szCs w:val="22"/>
              </w:rPr>
              <w:t>444</w:t>
            </w:r>
          </w:p>
        </w:tc>
      </w:tr>
      <w:tr w:rsidR="0033145B" w:rsidRPr="004D5F9F" w14:paraId="3FAFD85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DC46E5" w14:textId="4CBA20B8" w:rsidR="00CD28E3" w:rsidRPr="00541ABB" w:rsidRDefault="00BE24F1" w:rsidP="00CD28E3">
            <w:pPr>
              <w:jc w:val="center"/>
              <w:rPr>
                <w:szCs w:val="22"/>
                <w:lang w:eastAsia="zh-CN"/>
              </w:rPr>
            </w:pPr>
            <w:r>
              <w:rPr>
                <w:szCs w:val="22"/>
              </w:rPr>
              <w:t>15</w:t>
            </w:r>
          </w:p>
        </w:tc>
        <w:tc>
          <w:tcPr>
            <w:tcW w:w="3380" w:type="dxa"/>
            <w:tcBorders>
              <w:top w:val="nil"/>
              <w:left w:val="nil"/>
              <w:bottom w:val="single" w:sz="4" w:space="0" w:color="auto"/>
              <w:right w:val="single" w:sz="4" w:space="0" w:color="auto"/>
            </w:tcBorders>
            <w:shd w:val="clear" w:color="auto" w:fill="auto"/>
            <w:vAlign w:val="center"/>
            <w:hideMark/>
          </w:tcPr>
          <w:p w14:paraId="4098B91A" w14:textId="77777777" w:rsidR="00CD28E3" w:rsidRPr="00541ABB" w:rsidRDefault="00CD28E3" w:rsidP="00CD28E3">
            <w:pPr>
              <w:jc w:val="left"/>
              <w:rPr>
                <w:szCs w:val="22"/>
                <w:lang w:eastAsia="zh-CN"/>
              </w:rPr>
            </w:pPr>
            <w:r>
              <w:rPr>
                <w:szCs w:val="22"/>
              </w:rPr>
              <w:t>Botswana</w:t>
            </w:r>
          </w:p>
        </w:tc>
        <w:tc>
          <w:tcPr>
            <w:tcW w:w="1720" w:type="dxa"/>
            <w:tcBorders>
              <w:top w:val="nil"/>
              <w:left w:val="nil"/>
              <w:bottom w:val="single" w:sz="4" w:space="0" w:color="auto"/>
              <w:right w:val="single" w:sz="4" w:space="0" w:color="auto"/>
            </w:tcBorders>
            <w:shd w:val="clear" w:color="auto" w:fill="auto"/>
            <w:vAlign w:val="center"/>
            <w:hideMark/>
          </w:tcPr>
          <w:p w14:paraId="3E01E24D" w14:textId="77777777" w:rsidR="00CD28E3" w:rsidRPr="00541ABB" w:rsidRDefault="00CD28E3" w:rsidP="00CD28E3">
            <w:pPr>
              <w:jc w:val="center"/>
              <w:rPr>
                <w:szCs w:val="22"/>
                <w:lang w:eastAsia="zh-CN"/>
              </w:rPr>
            </w:pPr>
            <w:r>
              <w:rPr>
                <w:szCs w:val="22"/>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6953853A" w14:textId="77777777" w:rsidR="00CD28E3" w:rsidRPr="00541ABB" w:rsidRDefault="00CD28E3" w:rsidP="00CD28E3">
            <w:pPr>
              <w:jc w:val="center"/>
              <w:rPr>
                <w:szCs w:val="22"/>
                <w:lang w:eastAsia="zh-CN"/>
              </w:rPr>
            </w:pPr>
            <w:r>
              <w:rPr>
                <w:szCs w:val="22"/>
              </w:rPr>
              <w:t>0,022</w:t>
            </w:r>
          </w:p>
        </w:tc>
        <w:tc>
          <w:tcPr>
            <w:tcW w:w="1720" w:type="dxa"/>
            <w:tcBorders>
              <w:top w:val="nil"/>
              <w:left w:val="nil"/>
              <w:bottom w:val="single" w:sz="4" w:space="0" w:color="auto"/>
              <w:right w:val="single" w:sz="4" w:space="0" w:color="auto"/>
            </w:tcBorders>
            <w:shd w:val="clear" w:color="auto" w:fill="auto"/>
            <w:noWrap/>
            <w:vAlign w:val="center"/>
            <w:hideMark/>
          </w:tcPr>
          <w:p w14:paraId="442AF96E" w14:textId="77777777" w:rsidR="00CD28E3" w:rsidRPr="00541ABB" w:rsidRDefault="00CD28E3" w:rsidP="00CD28E3">
            <w:pPr>
              <w:jc w:val="right"/>
              <w:rPr>
                <w:szCs w:val="22"/>
                <w:lang w:eastAsia="zh-CN"/>
              </w:rPr>
            </w:pPr>
            <w:r>
              <w:rPr>
                <w:szCs w:val="22"/>
              </w:rPr>
              <w:t>389</w:t>
            </w:r>
          </w:p>
        </w:tc>
      </w:tr>
      <w:tr w:rsidR="0033145B" w:rsidRPr="004D5F9F" w14:paraId="76F15937"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0C34BC" w14:textId="58912BF0" w:rsidR="00CD28E3" w:rsidRPr="00541ABB" w:rsidRDefault="00BE24F1" w:rsidP="00CD28E3">
            <w:pPr>
              <w:jc w:val="center"/>
              <w:rPr>
                <w:szCs w:val="22"/>
                <w:lang w:eastAsia="zh-CN"/>
              </w:rPr>
            </w:pPr>
            <w:r>
              <w:rPr>
                <w:szCs w:val="22"/>
              </w:rPr>
              <w:t>16</w:t>
            </w:r>
          </w:p>
        </w:tc>
        <w:tc>
          <w:tcPr>
            <w:tcW w:w="3380" w:type="dxa"/>
            <w:tcBorders>
              <w:top w:val="nil"/>
              <w:left w:val="nil"/>
              <w:bottom w:val="single" w:sz="4" w:space="0" w:color="auto"/>
              <w:right w:val="single" w:sz="4" w:space="0" w:color="auto"/>
            </w:tcBorders>
            <w:shd w:val="clear" w:color="auto" w:fill="auto"/>
            <w:vAlign w:val="center"/>
            <w:hideMark/>
          </w:tcPr>
          <w:p w14:paraId="674FFF0A" w14:textId="77777777" w:rsidR="00CD28E3" w:rsidRPr="00541ABB" w:rsidRDefault="00CD28E3" w:rsidP="00CD28E3">
            <w:pPr>
              <w:jc w:val="left"/>
              <w:rPr>
                <w:szCs w:val="22"/>
                <w:lang w:eastAsia="zh-CN"/>
              </w:rPr>
            </w:pPr>
            <w:r>
              <w:rPr>
                <w:szCs w:val="22"/>
              </w:rPr>
              <w:t>Brésil</w:t>
            </w:r>
          </w:p>
        </w:tc>
        <w:tc>
          <w:tcPr>
            <w:tcW w:w="1720" w:type="dxa"/>
            <w:tcBorders>
              <w:top w:val="nil"/>
              <w:left w:val="nil"/>
              <w:bottom w:val="single" w:sz="4" w:space="0" w:color="auto"/>
              <w:right w:val="single" w:sz="4" w:space="0" w:color="auto"/>
            </w:tcBorders>
            <w:shd w:val="clear" w:color="auto" w:fill="auto"/>
            <w:vAlign w:val="center"/>
            <w:hideMark/>
          </w:tcPr>
          <w:p w14:paraId="02F80E4F" w14:textId="77777777" w:rsidR="00CD28E3" w:rsidRPr="00541ABB" w:rsidRDefault="00CD28E3" w:rsidP="00CD28E3">
            <w:pPr>
              <w:jc w:val="center"/>
              <w:rPr>
                <w:szCs w:val="22"/>
                <w:lang w:eastAsia="zh-CN"/>
              </w:rPr>
            </w:pPr>
            <w:r>
              <w:rPr>
                <w:szCs w:val="22"/>
              </w:rPr>
              <w:t>2,948</w:t>
            </w:r>
          </w:p>
        </w:tc>
        <w:tc>
          <w:tcPr>
            <w:tcW w:w="1720" w:type="dxa"/>
            <w:tcBorders>
              <w:top w:val="nil"/>
              <w:left w:val="nil"/>
              <w:bottom w:val="single" w:sz="4" w:space="0" w:color="auto"/>
              <w:right w:val="single" w:sz="4" w:space="0" w:color="auto"/>
            </w:tcBorders>
            <w:shd w:val="clear" w:color="auto" w:fill="auto"/>
            <w:noWrap/>
            <w:vAlign w:val="center"/>
            <w:hideMark/>
          </w:tcPr>
          <w:p w14:paraId="0149A0DA" w14:textId="77777777" w:rsidR="00CD28E3" w:rsidRPr="00541ABB" w:rsidRDefault="00CD28E3" w:rsidP="00CD28E3">
            <w:pPr>
              <w:jc w:val="center"/>
              <w:rPr>
                <w:szCs w:val="22"/>
                <w:lang w:eastAsia="zh-CN"/>
              </w:rPr>
            </w:pPr>
            <w:r>
              <w:rPr>
                <w:szCs w:val="22"/>
              </w:rPr>
              <w:t>4,736</w:t>
            </w:r>
          </w:p>
        </w:tc>
        <w:tc>
          <w:tcPr>
            <w:tcW w:w="1720" w:type="dxa"/>
            <w:tcBorders>
              <w:top w:val="nil"/>
              <w:left w:val="nil"/>
              <w:bottom w:val="single" w:sz="4" w:space="0" w:color="auto"/>
              <w:right w:val="single" w:sz="4" w:space="0" w:color="auto"/>
            </w:tcBorders>
            <w:shd w:val="clear" w:color="auto" w:fill="auto"/>
            <w:noWrap/>
            <w:vAlign w:val="center"/>
            <w:hideMark/>
          </w:tcPr>
          <w:p w14:paraId="00AC8EDD" w14:textId="77777777" w:rsidR="00CD28E3" w:rsidRPr="00541ABB" w:rsidRDefault="00CD28E3" w:rsidP="00CD28E3">
            <w:pPr>
              <w:jc w:val="right"/>
              <w:rPr>
                <w:szCs w:val="22"/>
                <w:lang w:eastAsia="zh-CN"/>
              </w:rPr>
            </w:pPr>
            <w:r>
              <w:rPr>
                <w:szCs w:val="22"/>
              </w:rPr>
              <w:t>81 865</w:t>
            </w:r>
          </w:p>
        </w:tc>
      </w:tr>
      <w:tr w:rsidR="0033145B" w:rsidRPr="004D5F9F" w14:paraId="79790C11"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F8951D" w14:textId="5BE691E6" w:rsidR="00CD28E3" w:rsidRPr="00541ABB" w:rsidRDefault="00BE24F1" w:rsidP="00CD28E3">
            <w:pPr>
              <w:jc w:val="center"/>
              <w:rPr>
                <w:szCs w:val="22"/>
                <w:lang w:eastAsia="zh-CN"/>
              </w:rPr>
            </w:pPr>
            <w:r>
              <w:rPr>
                <w:szCs w:val="22"/>
              </w:rPr>
              <w:t>17</w:t>
            </w:r>
          </w:p>
        </w:tc>
        <w:tc>
          <w:tcPr>
            <w:tcW w:w="3380" w:type="dxa"/>
            <w:tcBorders>
              <w:top w:val="nil"/>
              <w:left w:val="nil"/>
              <w:bottom w:val="single" w:sz="4" w:space="0" w:color="auto"/>
              <w:right w:val="single" w:sz="4" w:space="0" w:color="auto"/>
            </w:tcBorders>
            <w:shd w:val="clear" w:color="auto" w:fill="auto"/>
            <w:vAlign w:val="center"/>
            <w:hideMark/>
          </w:tcPr>
          <w:p w14:paraId="127D4870" w14:textId="77777777" w:rsidR="00CD28E3" w:rsidRPr="00541ABB" w:rsidRDefault="00CD28E3" w:rsidP="00CD28E3">
            <w:pPr>
              <w:jc w:val="left"/>
              <w:rPr>
                <w:szCs w:val="22"/>
                <w:lang w:eastAsia="zh-CN"/>
              </w:rPr>
            </w:pPr>
            <w:r>
              <w:rPr>
                <w:szCs w:val="22"/>
              </w:rPr>
              <w:t>Bulgarie</w:t>
            </w:r>
          </w:p>
        </w:tc>
        <w:tc>
          <w:tcPr>
            <w:tcW w:w="1720" w:type="dxa"/>
            <w:tcBorders>
              <w:top w:val="nil"/>
              <w:left w:val="nil"/>
              <w:bottom w:val="single" w:sz="4" w:space="0" w:color="auto"/>
              <w:right w:val="single" w:sz="4" w:space="0" w:color="auto"/>
            </w:tcBorders>
            <w:shd w:val="clear" w:color="auto" w:fill="auto"/>
            <w:vAlign w:val="center"/>
            <w:hideMark/>
          </w:tcPr>
          <w:p w14:paraId="6B50AE6D" w14:textId="77777777" w:rsidR="00CD28E3" w:rsidRPr="00541ABB" w:rsidRDefault="00CD28E3" w:rsidP="00CD28E3">
            <w:pPr>
              <w:jc w:val="center"/>
              <w:rPr>
                <w:szCs w:val="22"/>
                <w:lang w:eastAsia="zh-CN"/>
              </w:rPr>
            </w:pPr>
            <w:r>
              <w:rPr>
                <w:szCs w:val="22"/>
              </w:rPr>
              <w:t>0,046</w:t>
            </w:r>
          </w:p>
        </w:tc>
        <w:tc>
          <w:tcPr>
            <w:tcW w:w="1720" w:type="dxa"/>
            <w:tcBorders>
              <w:top w:val="nil"/>
              <w:left w:val="nil"/>
              <w:bottom w:val="single" w:sz="4" w:space="0" w:color="auto"/>
              <w:right w:val="single" w:sz="4" w:space="0" w:color="auto"/>
            </w:tcBorders>
            <w:shd w:val="clear" w:color="auto" w:fill="auto"/>
            <w:noWrap/>
            <w:vAlign w:val="center"/>
            <w:hideMark/>
          </w:tcPr>
          <w:p w14:paraId="11407F37" w14:textId="77777777" w:rsidR="00CD28E3" w:rsidRPr="00541ABB" w:rsidRDefault="00CD28E3" w:rsidP="00CD28E3">
            <w:pPr>
              <w:jc w:val="center"/>
              <w:rPr>
                <w:szCs w:val="22"/>
                <w:lang w:eastAsia="zh-CN"/>
              </w:rPr>
            </w:pPr>
            <w:r>
              <w:rPr>
                <w:szCs w:val="22"/>
              </w:rPr>
              <w:t>0,074</w:t>
            </w:r>
          </w:p>
        </w:tc>
        <w:tc>
          <w:tcPr>
            <w:tcW w:w="1720" w:type="dxa"/>
            <w:tcBorders>
              <w:top w:val="nil"/>
              <w:left w:val="nil"/>
              <w:bottom w:val="single" w:sz="4" w:space="0" w:color="auto"/>
              <w:right w:val="single" w:sz="4" w:space="0" w:color="auto"/>
            </w:tcBorders>
            <w:shd w:val="clear" w:color="auto" w:fill="auto"/>
            <w:noWrap/>
            <w:vAlign w:val="center"/>
            <w:hideMark/>
          </w:tcPr>
          <w:p w14:paraId="725D1EF2" w14:textId="77777777" w:rsidR="00CD28E3" w:rsidRPr="00541ABB" w:rsidRDefault="00CD28E3" w:rsidP="00CD28E3">
            <w:pPr>
              <w:jc w:val="right"/>
              <w:rPr>
                <w:szCs w:val="22"/>
                <w:lang w:eastAsia="zh-CN"/>
              </w:rPr>
            </w:pPr>
            <w:r>
              <w:rPr>
                <w:szCs w:val="22"/>
              </w:rPr>
              <w:t>1 277</w:t>
            </w:r>
          </w:p>
        </w:tc>
      </w:tr>
      <w:tr w:rsidR="0033145B" w:rsidRPr="004D5F9F" w14:paraId="6CEFB833"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D0E695" w14:textId="010B301B" w:rsidR="00CD28E3" w:rsidRPr="00541ABB" w:rsidRDefault="00BE24F1" w:rsidP="00CD28E3">
            <w:pPr>
              <w:jc w:val="center"/>
              <w:rPr>
                <w:szCs w:val="22"/>
                <w:lang w:eastAsia="zh-CN"/>
              </w:rPr>
            </w:pPr>
            <w:r>
              <w:rPr>
                <w:szCs w:val="22"/>
              </w:rPr>
              <w:t>18</w:t>
            </w:r>
          </w:p>
        </w:tc>
        <w:tc>
          <w:tcPr>
            <w:tcW w:w="3380" w:type="dxa"/>
            <w:tcBorders>
              <w:top w:val="nil"/>
              <w:left w:val="nil"/>
              <w:bottom w:val="single" w:sz="4" w:space="0" w:color="auto"/>
              <w:right w:val="single" w:sz="4" w:space="0" w:color="auto"/>
            </w:tcBorders>
            <w:shd w:val="clear" w:color="auto" w:fill="auto"/>
            <w:vAlign w:val="center"/>
            <w:hideMark/>
          </w:tcPr>
          <w:p w14:paraId="702AA616" w14:textId="77777777" w:rsidR="00CD28E3" w:rsidRPr="00541ABB" w:rsidRDefault="00CD28E3" w:rsidP="00CD28E3">
            <w:pPr>
              <w:jc w:val="left"/>
              <w:rPr>
                <w:szCs w:val="22"/>
                <w:lang w:eastAsia="zh-CN"/>
              </w:rPr>
            </w:pPr>
            <w:r>
              <w:rPr>
                <w:szCs w:val="22"/>
              </w:rPr>
              <w:t>Burkina Faso</w:t>
            </w:r>
          </w:p>
        </w:tc>
        <w:tc>
          <w:tcPr>
            <w:tcW w:w="1720" w:type="dxa"/>
            <w:tcBorders>
              <w:top w:val="nil"/>
              <w:left w:val="nil"/>
              <w:bottom w:val="single" w:sz="4" w:space="0" w:color="auto"/>
              <w:right w:val="single" w:sz="4" w:space="0" w:color="auto"/>
            </w:tcBorders>
            <w:shd w:val="clear" w:color="auto" w:fill="auto"/>
            <w:vAlign w:val="center"/>
            <w:hideMark/>
          </w:tcPr>
          <w:p w14:paraId="2F329088"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1DF72AB"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343EEBFA" w14:textId="77777777" w:rsidR="00CD28E3" w:rsidRPr="00541ABB" w:rsidRDefault="00CD28E3" w:rsidP="00CD28E3">
            <w:pPr>
              <w:jc w:val="right"/>
              <w:rPr>
                <w:szCs w:val="22"/>
                <w:lang w:eastAsia="zh-CN"/>
              </w:rPr>
            </w:pPr>
            <w:r>
              <w:rPr>
                <w:szCs w:val="22"/>
              </w:rPr>
              <w:t>83</w:t>
            </w:r>
          </w:p>
        </w:tc>
      </w:tr>
      <w:tr w:rsidR="0033145B" w:rsidRPr="004D5F9F" w14:paraId="4BFF115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7A6953" w14:textId="5D12613E" w:rsidR="00CD28E3" w:rsidRPr="00541ABB" w:rsidRDefault="00BE24F1" w:rsidP="00CD28E3">
            <w:pPr>
              <w:jc w:val="center"/>
              <w:rPr>
                <w:szCs w:val="22"/>
                <w:lang w:eastAsia="zh-CN"/>
              </w:rPr>
            </w:pPr>
            <w:r>
              <w:rPr>
                <w:szCs w:val="22"/>
              </w:rPr>
              <w:t>19</w:t>
            </w:r>
          </w:p>
        </w:tc>
        <w:tc>
          <w:tcPr>
            <w:tcW w:w="3380" w:type="dxa"/>
            <w:tcBorders>
              <w:top w:val="nil"/>
              <w:left w:val="nil"/>
              <w:bottom w:val="single" w:sz="4" w:space="0" w:color="auto"/>
              <w:right w:val="single" w:sz="4" w:space="0" w:color="auto"/>
            </w:tcBorders>
            <w:shd w:val="clear" w:color="auto" w:fill="auto"/>
            <w:vAlign w:val="center"/>
            <w:hideMark/>
          </w:tcPr>
          <w:p w14:paraId="4A27651A" w14:textId="77777777" w:rsidR="00CD28E3" w:rsidRPr="00541ABB" w:rsidRDefault="00CD28E3" w:rsidP="00CD28E3">
            <w:pPr>
              <w:jc w:val="left"/>
              <w:rPr>
                <w:szCs w:val="22"/>
                <w:lang w:eastAsia="zh-CN"/>
              </w:rPr>
            </w:pPr>
            <w:r>
              <w:rPr>
                <w:szCs w:val="22"/>
              </w:rPr>
              <w:t>Burundi</w:t>
            </w:r>
          </w:p>
        </w:tc>
        <w:tc>
          <w:tcPr>
            <w:tcW w:w="1720" w:type="dxa"/>
            <w:tcBorders>
              <w:top w:val="nil"/>
              <w:left w:val="nil"/>
              <w:bottom w:val="single" w:sz="4" w:space="0" w:color="auto"/>
              <w:right w:val="single" w:sz="4" w:space="0" w:color="auto"/>
            </w:tcBorders>
            <w:shd w:val="clear" w:color="auto" w:fill="auto"/>
            <w:vAlign w:val="center"/>
            <w:hideMark/>
          </w:tcPr>
          <w:p w14:paraId="645E6904"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14EF9EBD"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47A97BCC" w14:textId="77777777" w:rsidR="00CD28E3" w:rsidRPr="00541ABB" w:rsidRDefault="00CD28E3" w:rsidP="00CD28E3">
            <w:pPr>
              <w:jc w:val="right"/>
              <w:rPr>
                <w:szCs w:val="22"/>
                <w:lang w:eastAsia="zh-CN"/>
              </w:rPr>
            </w:pPr>
            <w:r>
              <w:rPr>
                <w:szCs w:val="22"/>
              </w:rPr>
              <w:t>28</w:t>
            </w:r>
          </w:p>
        </w:tc>
      </w:tr>
      <w:tr w:rsidR="0033145B" w:rsidRPr="004D5F9F" w14:paraId="7781063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49BE82" w14:textId="12C7C73D" w:rsidR="00CD28E3" w:rsidRPr="00541ABB" w:rsidRDefault="00BE24F1" w:rsidP="00CD28E3">
            <w:pPr>
              <w:jc w:val="center"/>
              <w:rPr>
                <w:szCs w:val="22"/>
                <w:lang w:eastAsia="zh-CN"/>
              </w:rPr>
            </w:pPr>
            <w:r>
              <w:rPr>
                <w:szCs w:val="22"/>
              </w:rPr>
              <w:t>20</w:t>
            </w:r>
          </w:p>
        </w:tc>
        <w:tc>
          <w:tcPr>
            <w:tcW w:w="3380" w:type="dxa"/>
            <w:tcBorders>
              <w:top w:val="nil"/>
              <w:left w:val="nil"/>
              <w:bottom w:val="single" w:sz="4" w:space="0" w:color="auto"/>
              <w:right w:val="single" w:sz="4" w:space="0" w:color="auto"/>
            </w:tcBorders>
            <w:shd w:val="clear" w:color="auto" w:fill="auto"/>
            <w:vAlign w:val="center"/>
            <w:hideMark/>
          </w:tcPr>
          <w:p w14:paraId="0F1E2AAA" w14:textId="77777777" w:rsidR="00CD28E3" w:rsidRPr="00541ABB" w:rsidRDefault="00CD28E3" w:rsidP="00CD28E3">
            <w:pPr>
              <w:jc w:val="left"/>
              <w:rPr>
                <w:szCs w:val="22"/>
                <w:lang w:eastAsia="zh-CN"/>
              </w:rPr>
            </w:pPr>
            <w:r>
              <w:rPr>
                <w:szCs w:val="22"/>
              </w:rPr>
              <w:t>Cambodge</w:t>
            </w:r>
          </w:p>
        </w:tc>
        <w:tc>
          <w:tcPr>
            <w:tcW w:w="1720" w:type="dxa"/>
            <w:tcBorders>
              <w:top w:val="nil"/>
              <w:left w:val="nil"/>
              <w:bottom w:val="single" w:sz="4" w:space="0" w:color="auto"/>
              <w:right w:val="single" w:sz="4" w:space="0" w:color="auto"/>
            </w:tcBorders>
            <w:shd w:val="clear" w:color="auto" w:fill="auto"/>
            <w:vAlign w:val="center"/>
            <w:hideMark/>
          </w:tcPr>
          <w:p w14:paraId="13578065"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1EE564DB"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615AE7F1" w14:textId="77777777" w:rsidR="00CD28E3" w:rsidRPr="00541ABB" w:rsidRDefault="00CD28E3" w:rsidP="00CD28E3">
            <w:pPr>
              <w:jc w:val="right"/>
              <w:rPr>
                <w:szCs w:val="22"/>
                <w:lang w:eastAsia="zh-CN"/>
              </w:rPr>
            </w:pPr>
            <w:r>
              <w:rPr>
                <w:szCs w:val="22"/>
              </w:rPr>
              <w:t>167</w:t>
            </w:r>
          </w:p>
        </w:tc>
      </w:tr>
      <w:tr w:rsidR="0033145B" w:rsidRPr="004D5F9F" w14:paraId="2E0D2DD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D7EA2F" w14:textId="19023D72" w:rsidR="00CD28E3" w:rsidRPr="0013487A" w:rsidRDefault="00BE24F1" w:rsidP="00CD28E3">
            <w:pPr>
              <w:jc w:val="center"/>
              <w:rPr>
                <w:szCs w:val="22"/>
                <w:lang w:eastAsia="zh-CN"/>
              </w:rPr>
            </w:pPr>
            <w:r w:rsidRPr="0013487A">
              <w:rPr>
                <w:szCs w:val="22"/>
              </w:rPr>
              <w:t>21</w:t>
            </w:r>
          </w:p>
        </w:tc>
        <w:tc>
          <w:tcPr>
            <w:tcW w:w="3380" w:type="dxa"/>
            <w:tcBorders>
              <w:top w:val="nil"/>
              <w:left w:val="nil"/>
              <w:bottom w:val="single" w:sz="4" w:space="0" w:color="auto"/>
              <w:right w:val="single" w:sz="4" w:space="0" w:color="auto"/>
            </w:tcBorders>
            <w:shd w:val="clear" w:color="auto" w:fill="auto"/>
            <w:vAlign w:val="center"/>
            <w:hideMark/>
          </w:tcPr>
          <w:p w14:paraId="153FD921" w14:textId="77777777" w:rsidR="00CD28E3" w:rsidRPr="0013487A" w:rsidRDefault="00CD28E3" w:rsidP="00CD28E3">
            <w:pPr>
              <w:jc w:val="left"/>
              <w:rPr>
                <w:szCs w:val="22"/>
                <w:lang w:eastAsia="zh-CN"/>
              </w:rPr>
            </w:pPr>
            <w:r w:rsidRPr="0013487A">
              <w:rPr>
                <w:szCs w:val="22"/>
              </w:rPr>
              <w:t>Cameroun</w:t>
            </w:r>
          </w:p>
        </w:tc>
        <w:tc>
          <w:tcPr>
            <w:tcW w:w="1720" w:type="dxa"/>
            <w:tcBorders>
              <w:top w:val="nil"/>
              <w:left w:val="nil"/>
              <w:bottom w:val="single" w:sz="4" w:space="0" w:color="auto"/>
              <w:right w:val="single" w:sz="4" w:space="0" w:color="auto"/>
            </w:tcBorders>
            <w:shd w:val="clear" w:color="auto" w:fill="auto"/>
            <w:vAlign w:val="center"/>
            <w:hideMark/>
          </w:tcPr>
          <w:p w14:paraId="4D79887A" w14:textId="77777777" w:rsidR="00CD28E3" w:rsidRPr="0013487A" w:rsidRDefault="00CD28E3" w:rsidP="00CD28E3">
            <w:pPr>
              <w:jc w:val="center"/>
              <w:rPr>
                <w:szCs w:val="22"/>
                <w:lang w:eastAsia="zh-CN"/>
              </w:rPr>
            </w:pPr>
            <w:r w:rsidRPr="0013487A">
              <w:rPr>
                <w:szCs w:val="22"/>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4A7580B8" w14:textId="77777777" w:rsidR="00CD28E3" w:rsidRPr="0013487A" w:rsidRDefault="00CD28E3" w:rsidP="00CD28E3">
            <w:pPr>
              <w:jc w:val="center"/>
              <w:rPr>
                <w:szCs w:val="22"/>
                <w:lang w:eastAsia="zh-CN"/>
              </w:rPr>
            </w:pPr>
            <w:r w:rsidRPr="0013487A">
              <w:rPr>
                <w:szCs w:val="22"/>
              </w:rPr>
              <w:t>0,021</w:t>
            </w:r>
          </w:p>
        </w:tc>
        <w:tc>
          <w:tcPr>
            <w:tcW w:w="1720" w:type="dxa"/>
            <w:tcBorders>
              <w:top w:val="nil"/>
              <w:left w:val="nil"/>
              <w:bottom w:val="single" w:sz="4" w:space="0" w:color="auto"/>
              <w:right w:val="single" w:sz="4" w:space="0" w:color="auto"/>
            </w:tcBorders>
            <w:shd w:val="clear" w:color="auto" w:fill="auto"/>
            <w:noWrap/>
            <w:vAlign w:val="center"/>
            <w:hideMark/>
          </w:tcPr>
          <w:p w14:paraId="18D7E8DD" w14:textId="77777777" w:rsidR="00CD28E3" w:rsidRPr="00541ABB" w:rsidRDefault="00CD28E3" w:rsidP="00CD28E3">
            <w:pPr>
              <w:jc w:val="right"/>
              <w:rPr>
                <w:szCs w:val="22"/>
                <w:lang w:eastAsia="zh-CN"/>
              </w:rPr>
            </w:pPr>
            <w:r w:rsidRPr="0013487A">
              <w:rPr>
                <w:szCs w:val="22"/>
              </w:rPr>
              <w:t>361</w:t>
            </w:r>
          </w:p>
        </w:tc>
      </w:tr>
      <w:tr w:rsidR="0033145B" w:rsidRPr="004D5F9F" w14:paraId="1FCD7B3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B5CE13" w14:textId="0741D8C9" w:rsidR="00CD28E3" w:rsidRPr="00541ABB" w:rsidRDefault="00D97B36" w:rsidP="00CD28E3">
            <w:pPr>
              <w:jc w:val="center"/>
              <w:rPr>
                <w:szCs w:val="22"/>
                <w:lang w:eastAsia="zh-CN"/>
              </w:rPr>
            </w:pPr>
            <w:r>
              <w:rPr>
                <w:szCs w:val="22"/>
              </w:rPr>
              <w:t>22</w:t>
            </w:r>
          </w:p>
        </w:tc>
        <w:tc>
          <w:tcPr>
            <w:tcW w:w="3380" w:type="dxa"/>
            <w:tcBorders>
              <w:top w:val="nil"/>
              <w:left w:val="nil"/>
              <w:bottom w:val="single" w:sz="4" w:space="0" w:color="auto"/>
              <w:right w:val="single" w:sz="4" w:space="0" w:color="auto"/>
            </w:tcBorders>
            <w:shd w:val="clear" w:color="auto" w:fill="auto"/>
            <w:vAlign w:val="center"/>
            <w:hideMark/>
          </w:tcPr>
          <w:p w14:paraId="69AF83F2" w14:textId="77777777" w:rsidR="00CD28E3" w:rsidRPr="00541ABB" w:rsidRDefault="00CD28E3" w:rsidP="00CD28E3">
            <w:pPr>
              <w:jc w:val="left"/>
              <w:rPr>
                <w:szCs w:val="22"/>
                <w:lang w:eastAsia="zh-CN"/>
              </w:rPr>
            </w:pPr>
            <w:r>
              <w:rPr>
                <w:szCs w:val="22"/>
              </w:rPr>
              <w:t>Chine</w:t>
            </w:r>
          </w:p>
        </w:tc>
        <w:tc>
          <w:tcPr>
            <w:tcW w:w="1720" w:type="dxa"/>
            <w:tcBorders>
              <w:top w:val="nil"/>
              <w:left w:val="nil"/>
              <w:bottom w:val="single" w:sz="4" w:space="0" w:color="auto"/>
              <w:right w:val="single" w:sz="4" w:space="0" w:color="auto"/>
            </w:tcBorders>
            <w:shd w:val="clear" w:color="auto" w:fill="auto"/>
            <w:vAlign w:val="center"/>
            <w:hideMark/>
          </w:tcPr>
          <w:p w14:paraId="0D65C671" w14:textId="77777777" w:rsidR="00CD28E3" w:rsidRPr="00541ABB" w:rsidRDefault="00CD28E3" w:rsidP="00CD28E3">
            <w:pPr>
              <w:jc w:val="center"/>
              <w:rPr>
                <w:szCs w:val="22"/>
                <w:lang w:eastAsia="zh-CN"/>
              </w:rPr>
            </w:pPr>
            <w:r>
              <w:rPr>
                <w:szCs w:val="22"/>
              </w:rPr>
              <w:t>12,005</w:t>
            </w:r>
          </w:p>
        </w:tc>
        <w:tc>
          <w:tcPr>
            <w:tcW w:w="1720" w:type="dxa"/>
            <w:tcBorders>
              <w:top w:val="nil"/>
              <w:left w:val="nil"/>
              <w:bottom w:val="single" w:sz="4" w:space="0" w:color="auto"/>
              <w:right w:val="single" w:sz="4" w:space="0" w:color="auto"/>
            </w:tcBorders>
            <w:shd w:val="clear" w:color="auto" w:fill="auto"/>
            <w:noWrap/>
            <w:vAlign w:val="center"/>
            <w:hideMark/>
          </w:tcPr>
          <w:p w14:paraId="147A8344" w14:textId="77777777" w:rsidR="00CD28E3" w:rsidRPr="00541ABB" w:rsidRDefault="00CD28E3" w:rsidP="00CD28E3">
            <w:pPr>
              <w:jc w:val="center"/>
              <w:rPr>
                <w:szCs w:val="22"/>
                <w:lang w:eastAsia="zh-CN"/>
              </w:rPr>
            </w:pPr>
            <w:r>
              <w:rPr>
                <w:szCs w:val="22"/>
              </w:rPr>
              <w:t>19,284</w:t>
            </w:r>
          </w:p>
        </w:tc>
        <w:tc>
          <w:tcPr>
            <w:tcW w:w="1720" w:type="dxa"/>
            <w:tcBorders>
              <w:top w:val="nil"/>
              <w:left w:val="nil"/>
              <w:bottom w:val="single" w:sz="4" w:space="0" w:color="auto"/>
              <w:right w:val="single" w:sz="4" w:space="0" w:color="auto"/>
            </w:tcBorders>
            <w:shd w:val="clear" w:color="auto" w:fill="auto"/>
            <w:noWrap/>
            <w:vAlign w:val="center"/>
            <w:hideMark/>
          </w:tcPr>
          <w:p w14:paraId="3B0A939B" w14:textId="77777777" w:rsidR="00CD28E3" w:rsidRPr="00541ABB" w:rsidRDefault="00CD28E3" w:rsidP="00CD28E3">
            <w:pPr>
              <w:jc w:val="right"/>
              <w:rPr>
                <w:szCs w:val="22"/>
                <w:lang w:eastAsia="zh-CN"/>
              </w:rPr>
            </w:pPr>
            <w:r>
              <w:rPr>
                <w:szCs w:val="22"/>
              </w:rPr>
              <w:t>333 375</w:t>
            </w:r>
          </w:p>
        </w:tc>
      </w:tr>
      <w:tr w:rsidR="0033145B" w:rsidRPr="004D5F9F" w14:paraId="78C5AF1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FD1259" w14:textId="64CC031E" w:rsidR="00CD28E3" w:rsidRPr="00541ABB" w:rsidRDefault="00D97B36" w:rsidP="00CD28E3">
            <w:pPr>
              <w:jc w:val="center"/>
              <w:rPr>
                <w:szCs w:val="22"/>
                <w:lang w:eastAsia="zh-CN"/>
              </w:rPr>
            </w:pPr>
            <w:r>
              <w:rPr>
                <w:szCs w:val="22"/>
              </w:rPr>
              <w:t>23</w:t>
            </w:r>
          </w:p>
        </w:tc>
        <w:tc>
          <w:tcPr>
            <w:tcW w:w="3380" w:type="dxa"/>
            <w:tcBorders>
              <w:top w:val="nil"/>
              <w:left w:val="nil"/>
              <w:bottom w:val="single" w:sz="4" w:space="0" w:color="auto"/>
              <w:right w:val="single" w:sz="4" w:space="0" w:color="auto"/>
            </w:tcBorders>
            <w:shd w:val="clear" w:color="auto" w:fill="auto"/>
            <w:vAlign w:val="center"/>
            <w:hideMark/>
          </w:tcPr>
          <w:p w14:paraId="0FB5B59B" w14:textId="77777777" w:rsidR="00CD28E3" w:rsidRPr="00541ABB" w:rsidRDefault="00CD28E3" w:rsidP="00CD28E3">
            <w:pPr>
              <w:jc w:val="left"/>
              <w:rPr>
                <w:szCs w:val="22"/>
                <w:lang w:eastAsia="zh-CN"/>
              </w:rPr>
            </w:pPr>
            <w:r>
              <w:rPr>
                <w:szCs w:val="22"/>
              </w:rPr>
              <w:t>Comores</w:t>
            </w:r>
          </w:p>
        </w:tc>
        <w:tc>
          <w:tcPr>
            <w:tcW w:w="1720" w:type="dxa"/>
            <w:tcBorders>
              <w:top w:val="nil"/>
              <w:left w:val="nil"/>
              <w:bottom w:val="single" w:sz="4" w:space="0" w:color="auto"/>
              <w:right w:val="single" w:sz="4" w:space="0" w:color="auto"/>
            </w:tcBorders>
            <w:shd w:val="clear" w:color="auto" w:fill="auto"/>
            <w:vAlign w:val="center"/>
            <w:hideMark/>
          </w:tcPr>
          <w:p w14:paraId="4904A38B"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5202FA17"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57412217" w14:textId="77777777" w:rsidR="00CD28E3" w:rsidRPr="00541ABB" w:rsidRDefault="00CD28E3" w:rsidP="00CD28E3">
            <w:pPr>
              <w:jc w:val="right"/>
              <w:rPr>
                <w:szCs w:val="22"/>
                <w:lang w:eastAsia="zh-CN"/>
              </w:rPr>
            </w:pPr>
            <w:r>
              <w:rPr>
                <w:szCs w:val="22"/>
              </w:rPr>
              <w:t>28</w:t>
            </w:r>
          </w:p>
        </w:tc>
      </w:tr>
      <w:tr w:rsidR="0033145B" w:rsidRPr="004D5F9F" w14:paraId="7B6BECB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DBAE72" w14:textId="3F3E87E4" w:rsidR="00CD28E3" w:rsidRPr="00541ABB" w:rsidRDefault="00D97B36" w:rsidP="00CD28E3">
            <w:pPr>
              <w:jc w:val="center"/>
              <w:rPr>
                <w:szCs w:val="22"/>
                <w:lang w:eastAsia="zh-CN"/>
              </w:rPr>
            </w:pPr>
            <w:r>
              <w:rPr>
                <w:szCs w:val="22"/>
              </w:rPr>
              <w:t>24</w:t>
            </w:r>
          </w:p>
        </w:tc>
        <w:tc>
          <w:tcPr>
            <w:tcW w:w="3380" w:type="dxa"/>
            <w:tcBorders>
              <w:top w:val="nil"/>
              <w:left w:val="nil"/>
              <w:bottom w:val="single" w:sz="4" w:space="0" w:color="auto"/>
              <w:right w:val="single" w:sz="4" w:space="0" w:color="auto"/>
            </w:tcBorders>
            <w:shd w:val="clear" w:color="auto" w:fill="auto"/>
            <w:vAlign w:val="center"/>
            <w:hideMark/>
          </w:tcPr>
          <w:p w14:paraId="50C02D32" w14:textId="77777777" w:rsidR="00CD28E3" w:rsidRPr="00541ABB" w:rsidRDefault="00CD28E3" w:rsidP="00CD28E3">
            <w:pPr>
              <w:jc w:val="left"/>
              <w:rPr>
                <w:szCs w:val="22"/>
                <w:lang w:eastAsia="zh-CN"/>
              </w:rPr>
            </w:pPr>
            <w:r>
              <w:rPr>
                <w:szCs w:val="22"/>
              </w:rPr>
              <w:t>Congo</w:t>
            </w:r>
          </w:p>
        </w:tc>
        <w:tc>
          <w:tcPr>
            <w:tcW w:w="1720" w:type="dxa"/>
            <w:tcBorders>
              <w:top w:val="nil"/>
              <w:left w:val="nil"/>
              <w:bottom w:val="single" w:sz="4" w:space="0" w:color="auto"/>
              <w:right w:val="single" w:sz="4" w:space="0" w:color="auto"/>
            </w:tcBorders>
            <w:shd w:val="clear" w:color="auto" w:fill="auto"/>
            <w:vAlign w:val="center"/>
            <w:hideMark/>
          </w:tcPr>
          <w:p w14:paraId="7792B293"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51D9A252"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2534F371" w14:textId="77777777" w:rsidR="00CD28E3" w:rsidRPr="00541ABB" w:rsidRDefault="00CD28E3" w:rsidP="00CD28E3">
            <w:pPr>
              <w:jc w:val="right"/>
              <w:rPr>
                <w:szCs w:val="22"/>
                <w:lang w:eastAsia="zh-CN"/>
              </w:rPr>
            </w:pPr>
            <w:r>
              <w:rPr>
                <w:szCs w:val="22"/>
              </w:rPr>
              <w:t>167</w:t>
            </w:r>
          </w:p>
        </w:tc>
      </w:tr>
      <w:tr w:rsidR="0033145B" w:rsidRPr="004D5F9F" w14:paraId="04A6F4B9"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664C27" w14:textId="636232AF" w:rsidR="00CD28E3" w:rsidRPr="00541ABB" w:rsidRDefault="00D97B36" w:rsidP="00CD28E3">
            <w:pPr>
              <w:jc w:val="center"/>
              <w:rPr>
                <w:szCs w:val="22"/>
                <w:lang w:eastAsia="zh-CN"/>
              </w:rPr>
            </w:pPr>
            <w:r>
              <w:rPr>
                <w:szCs w:val="22"/>
              </w:rPr>
              <w:t>25</w:t>
            </w:r>
          </w:p>
        </w:tc>
        <w:tc>
          <w:tcPr>
            <w:tcW w:w="3380" w:type="dxa"/>
            <w:tcBorders>
              <w:top w:val="nil"/>
              <w:left w:val="nil"/>
              <w:bottom w:val="single" w:sz="4" w:space="0" w:color="auto"/>
              <w:right w:val="single" w:sz="4" w:space="0" w:color="auto"/>
            </w:tcBorders>
            <w:shd w:val="clear" w:color="auto" w:fill="auto"/>
            <w:vAlign w:val="center"/>
            <w:hideMark/>
          </w:tcPr>
          <w:p w14:paraId="4D845C3E" w14:textId="3C1D0083" w:rsidR="00CD28E3" w:rsidRPr="00541ABB" w:rsidRDefault="00CD28E3" w:rsidP="00CD28E3">
            <w:pPr>
              <w:jc w:val="left"/>
              <w:rPr>
                <w:szCs w:val="22"/>
                <w:lang w:eastAsia="zh-CN"/>
              </w:rPr>
            </w:pPr>
            <w:r>
              <w:rPr>
                <w:szCs w:val="22"/>
              </w:rPr>
              <w:t>Côte d’Ivoire</w:t>
            </w:r>
          </w:p>
        </w:tc>
        <w:tc>
          <w:tcPr>
            <w:tcW w:w="1720" w:type="dxa"/>
            <w:tcBorders>
              <w:top w:val="nil"/>
              <w:left w:val="nil"/>
              <w:bottom w:val="single" w:sz="4" w:space="0" w:color="auto"/>
              <w:right w:val="single" w:sz="4" w:space="0" w:color="auto"/>
            </w:tcBorders>
            <w:shd w:val="clear" w:color="auto" w:fill="auto"/>
            <w:vAlign w:val="center"/>
            <w:hideMark/>
          </w:tcPr>
          <w:p w14:paraId="69D39BE6" w14:textId="77777777" w:rsidR="00CD28E3" w:rsidRPr="00541ABB" w:rsidRDefault="00CD28E3" w:rsidP="00CD28E3">
            <w:pPr>
              <w:jc w:val="center"/>
              <w:rPr>
                <w:szCs w:val="22"/>
                <w:lang w:eastAsia="zh-CN"/>
              </w:rPr>
            </w:pPr>
            <w:r>
              <w:rPr>
                <w:szCs w:val="22"/>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7610BD8A" w14:textId="77777777" w:rsidR="00CD28E3" w:rsidRPr="00541ABB" w:rsidRDefault="00CD28E3" w:rsidP="00CD28E3">
            <w:pPr>
              <w:jc w:val="center"/>
              <w:rPr>
                <w:szCs w:val="22"/>
                <w:lang w:eastAsia="zh-CN"/>
              </w:rPr>
            </w:pPr>
            <w:r>
              <w:rPr>
                <w:szCs w:val="22"/>
              </w:rPr>
              <w:t>0,021</w:t>
            </w:r>
          </w:p>
        </w:tc>
        <w:tc>
          <w:tcPr>
            <w:tcW w:w="1720" w:type="dxa"/>
            <w:tcBorders>
              <w:top w:val="nil"/>
              <w:left w:val="nil"/>
              <w:bottom w:val="single" w:sz="4" w:space="0" w:color="auto"/>
              <w:right w:val="single" w:sz="4" w:space="0" w:color="auto"/>
            </w:tcBorders>
            <w:shd w:val="clear" w:color="auto" w:fill="auto"/>
            <w:noWrap/>
            <w:vAlign w:val="center"/>
            <w:hideMark/>
          </w:tcPr>
          <w:p w14:paraId="7B44420D" w14:textId="77777777" w:rsidR="00CD28E3" w:rsidRPr="00541ABB" w:rsidRDefault="00CD28E3" w:rsidP="00CD28E3">
            <w:pPr>
              <w:jc w:val="right"/>
              <w:rPr>
                <w:szCs w:val="22"/>
                <w:lang w:eastAsia="zh-CN"/>
              </w:rPr>
            </w:pPr>
            <w:r>
              <w:rPr>
                <w:szCs w:val="22"/>
              </w:rPr>
              <w:t>361</w:t>
            </w:r>
          </w:p>
        </w:tc>
      </w:tr>
      <w:tr w:rsidR="0033145B" w:rsidRPr="004D5F9F" w14:paraId="6ADF581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070466" w14:textId="5336896A" w:rsidR="00CD28E3" w:rsidRPr="00541ABB" w:rsidRDefault="00D97B36" w:rsidP="00CD28E3">
            <w:pPr>
              <w:jc w:val="center"/>
              <w:rPr>
                <w:szCs w:val="22"/>
                <w:lang w:eastAsia="zh-CN"/>
              </w:rPr>
            </w:pPr>
            <w:r>
              <w:rPr>
                <w:szCs w:val="22"/>
              </w:rPr>
              <w:t>26</w:t>
            </w:r>
          </w:p>
        </w:tc>
        <w:tc>
          <w:tcPr>
            <w:tcW w:w="3380" w:type="dxa"/>
            <w:tcBorders>
              <w:top w:val="nil"/>
              <w:left w:val="nil"/>
              <w:bottom w:val="single" w:sz="4" w:space="0" w:color="auto"/>
              <w:right w:val="single" w:sz="4" w:space="0" w:color="auto"/>
            </w:tcBorders>
            <w:shd w:val="clear" w:color="auto" w:fill="auto"/>
            <w:vAlign w:val="center"/>
            <w:hideMark/>
          </w:tcPr>
          <w:p w14:paraId="6C407074" w14:textId="77777777" w:rsidR="00CD28E3" w:rsidRPr="00541ABB" w:rsidRDefault="00CD28E3" w:rsidP="00CD28E3">
            <w:pPr>
              <w:jc w:val="left"/>
              <w:rPr>
                <w:szCs w:val="22"/>
                <w:lang w:eastAsia="zh-CN"/>
              </w:rPr>
            </w:pPr>
            <w:r>
              <w:rPr>
                <w:szCs w:val="22"/>
              </w:rPr>
              <w:t>Croatie</w:t>
            </w:r>
          </w:p>
        </w:tc>
        <w:tc>
          <w:tcPr>
            <w:tcW w:w="1720" w:type="dxa"/>
            <w:tcBorders>
              <w:top w:val="nil"/>
              <w:left w:val="nil"/>
              <w:bottom w:val="single" w:sz="4" w:space="0" w:color="auto"/>
              <w:right w:val="single" w:sz="4" w:space="0" w:color="auto"/>
            </w:tcBorders>
            <w:shd w:val="clear" w:color="auto" w:fill="auto"/>
            <w:vAlign w:val="center"/>
            <w:hideMark/>
          </w:tcPr>
          <w:p w14:paraId="7F270334" w14:textId="77777777" w:rsidR="00CD28E3" w:rsidRPr="00541ABB" w:rsidRDefault="00CD28E3" w:rsidP="00CD28E3">
            <w:pPr>
              <w:jc w:val="center"/>
              <w:rPr>
                <w:szCs w:val="22"/>
                <w:lang w:eastAsia="zh-CN"/>
              </w:rPr>
            </w:pPr>
            <w:r>
              <w:rPr>
                <w:szCs w:val="22"/>
              </w:rPr>
              <w:t>0,077</w:t>
            </w:r>
          </w:p>
        </w:tc>
        <w:tc>
          <w:tcPr>
            <w:tcW w:w="1720" w:type="dxa"/>
            <w:tcBorders>
              <w:top w:val="nil"/>
              <w:left w:val="nil"/>
              <w:bottom w:val="single" w:sz="4" w:space="0" w:color="auto"/>
              <w:right w:val="single" w:sz="4" w:space="0" w:color="auto"/>
            </w:tcBorders>
            <w:shd w:val="clear" w:color="auto" w:fill="auto"/>
            <w:noWrap/>
            <w:vAlign w:val="center"/>
            <w:hideMark/>
          </w:tcPr>
          <w:p w14:paraId="16B2E5D8" w14:textId="77777777" w:rsidR="00CD28E3" w:rsidRPr="00541ABB" w:rsidRDefault="00CD28E3" w:rsidP="00CD28E3">
            <w:pPr>
              <w:jc w:val="center"/>
              <w:rPr>
                <w:szCs w:val="22"/>
                <w:lang w:eastAsia="zh-CN"/>
              </w:rPr>
            </w:pPr>
            <w:r>
              <w:rPr>
                <w:szCs w:val="22"/>
              </w:rPr>
              <w:t>0,124</w:t>
            </w:r>
          </w:p>
        </w:tc>
        <w:tc>
          <w:tcPr>
            <w:tcW w:w="1720" w:type="dxa"/>
            <w:tcBorders>
              <w:top w:val="nil"/>
              <w:left w:val="nil"/>
              <w:bottom w:val="single" w:sz="4" w:space="0" w:color="auto"/>
              <w:right w:val="single" w:sz="4" w:space="0" w:color="auto"/>
            </w:tcBorders>
            <w:shd w:val="clear" w:color="auto" w:fill="auto"/>
            <w:noWrap/>
            <w:vAlign w:val="center"/>
            <w:hideMark/>
          </w:tcPr>
          <w:p w14:paraId="68283DFF" w14:textId="77777777" w:rsidR="00CD28E3" w:rsidRPr="00541ABB" w:rsidRDefault="00CD28E3" w:rsidP="00CD28E3">
            <w:pPr>
              <w:jc w:val="right"/>
              <w:rPr>
                <w:szCs w:val="22"/>
                <w:lang w:eastAsia="zh-CN"/>
              </w:rPr>
            </w:pPr>
            <w:r>
              <w:rPr>
                <w:szCs w:val="22"/>
              </w:rPr>
              <w:t>2 138</w:t>
            </w:r>
          </w:p>
        </w:tc>
      </w:tr>
      <w:tr w:rsidR="0033145B" w:rsidRPr="004D5F9F" w14:paraId="16096F7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447A1A" w14:textId="7AD33F58" w:rsidR="00CD28E3" w:rsidRPr="00541ABB" w:rsidRDefault="00D97B36" w:rsidP="00CD28E3">
            <w:pPr>
              <w:jc w:val="center"/>
              <w:rPr>
                <w:szCs w:val="22"/>
                <w:lang w:eastAsia="zh-CN"/>
              </w:rPr>
            </w:pPr>
            <w:r>
              <w:rPr>
                <w:szCs w:val="22"/>
              </w:rPr>
              <w:t>27</w:t>
            </w:r>
          </w:p>
        </w:tc>
        <w:tc>
          <w:tcPr>
            <w:tcW w:w="3380" w:type="dxa"/>
            <w:tcBorders>
              <w:top w:val="nil"/>
              <w:left w:val="nil"/>
              <w:bottom w:val="single" w:sz="4" w:space="0" w:color="auto"/>
              <w:right w:val="single" w:sz="4" w:space="0" w:color="auto"/>
            </w:tcBorders>
            <w:shd w:val="clear" w:color="auto" w:fill="auto"/>
            <w:vAlign w:val="center"/>
            <w:hideMark/>
          </w:tcPr>
          <w:p w14:paraId="7F0CED04" w14:textId="77777777" w:rsidR="00CD28E3" w:rsidRPr="00541ABB" w:rsidRDefault="00CD28E3" w:rsidP="00CD28E3">
            <w:pPr>
              <w:jc w:val="left"/>
              <w:rPr>
                <w:szCs w:val="22"/>
                <w:lang w:eastAsia="zh-CN"/>
              </w:rPr>
            </w:pPr>
            <w:r>
              <w:rPr>
                <w:szCs w:val="22"/>
              </w:rPr>
              <w:t>Cuba</w:t>
            </w:r>
          </w:p>
        </w:tc>
        <w:tc>
          <w:tcPr>
            <w:tcW w:w="1720" w:type="dxa"/>
            <w:tcBorders>
              <w:top w:val="nil"/>
              <w:left w:val="nil"/>
              <w:bottom w:val="single" w:sz="4" w:space="0" w:color="auto"/>
              <w:right w:val="single" w:sz="4" w:space="0" w:color="auto"/>
            </w:tcBorders>
            <w:shd w:val="clear" w:color="auto" w:fill="auto"/>
            <w:vAlign w:val="center"/>
            <w:hideMark/>
          </w:tcPr>
          <w:p w14:paraId="2DEDADC9" w14:textId="77777777" w:rsidR="00CD28E3" w:rsidRPr="00541ABB" w:rsidRDefault="00CD28E3" w:rsidP="00CD28E3">
            <w:pPr>
              <w:jc w:val="center"/>
              <w:rPr>
                <w:szCs w:val="22"/>
                <w:lang w:eastAsia="zh-CN"/>
              </w:rPr>
            </w:pPr>
            <w:r>
              <w:rPr>
                <w:szCs w:val="22"/>
              </w:rPr>
              <w:t>0,080</w:t>
            </w:r>
          </w:p>
        </w:tc>
        <w:tc>
          <w:tcPr>
            <w:tcW w:w="1720" w:type="dxa"/>
            <w:tcBorders>
              <w:top w:val="nil"/>
              <w:left w:val="nil"/>
              <w:bottom w:val="single" w:sz="4" w:space="0" w:color="auto"/>
              <w:right w:val="single" w:sz="4" w:space="0" w:color="auto"/>
            </w:tcBorders>
            <w:shd w:val="clear" w:color="auto" w:fill="auto"/>
            <w:noWrap/>
            <w:vAlign w:val="center"/>
            <w:hideMark/>
          </w:tcPr>
          <w:p w14:paraId="1230D143" w14:textId="77777777" w:rsidR="00CD28E3" w:rsidRPr="00541ABB" w:rsidRDefault="00CD28E3" w:rsidP="00CD28E3">
            <w:pPr>
              <w:jc w:val="center"/>
              <w:rPr>
                <w:szCs w:val="22"/>
                <w:lang w:eastAsia="zh-CN"/>
              </w:rPr>
            </w:pPr>
            <w:r>
              <w:rPr>
                <w:szCs w:val="22"/>
              </w:rPr>
              <w:t>0,129</w:t>
            </w:r>
          </w:p>
        </w:tc>
        <w:tc>
          <w:tcPr>
            <w:tcW w:w="1720" w:type="dxa"/>
            <w:tcBorders>
              <w:top w:val="nil"/>
              <w:left w:val="nil"/>
              <w:bottom w:val="single" w:sz="4" w:space="0" w:color="auto"/>
              <w:right w:val="single" w:sz="4" w:space="0" w:color="auto"/>
            </w:tcBorders>
            <w:shd w:val="clear" w:color="auto" w:fill="auto"/>
            <w:noWrap/>
            <w:vAlign w:val="center"/>
            <w:hideMark/>
          </w:tcPr>
          <w:p w14:paraId="75D8B7A0" w14:textId="77777777" w:rsidR="00CD28E3" w:rsidRPr="00541ABB" w:rsidRDefault="00CD28E3" w:rsidP="00CD28E3">
            <w:pPr>
              <w:jc w:val="right"/>
              <w:rPr>
                <w:szCs w:val="22"/>
                <w:lang w:eastAsia="zh-CN"/>
              </w:rPr>
            </w:pPr>
            <w:r>
              <w:rPr>
                <w:szCs w:val="22"/>
              </w:rPr>
              <w:t>2 222</w:t>
            </w:r>
          </w:p>
        </w:tc>
      </w:tr>
      <w:tr w:rsidR="0033145B" w:rsidRPr="004D5F9F" w14:paraId="3F02193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95F805" w14:textId="2264DB41" w:rsidR="00CD28E3" w:rsidRPr="00354B72" w:rsidRDefault="00354B72" w:rsidP="00CD28E3">
            <w:pPr>
              <w:jc w:val="center"/>
              <w:rPr>
                <w:szCs w:val="22"/>
                <w:lang w:eastAsia="zh-CN"/>
              </w:rPr>
            </w:pPr>
            <w:r w:rsidRPr="00354B72">
              <w:rPr>
                <w:szCs w:val="22"/>
              </w:rPr>
              <w:t>28</w:t>
            </w:r>
          </w:p>
        </w:tc>
        <w:tc>
          <w:tcPr>
            <w:tcW w:w="3380" w:type="dxa"/>
            <w:tcBorders>
              <w:top w:val="nil"/>
              <w:left w:val="nil"/>
              <w:bottom w:val="single" w:sz="4" w:space="0" w:color="auto"/>
              <w:right w:val="single" w:sz="4" w:space="0" w:color="auto"/>
            </w:tcBorders>
            <w:shd w:val="clear" w:color="auto" w:fill="auto"/>
            <w:vAlign w:val="center"/>
            <w:hideMark/>
          </w:tcPr>
          <w:p w14:paraId="2658ACDD" w14:textId="77777777" w:rsidR="00CD28E3" w:rsidRPr="00354B72" w:rsidRDefault="00CD28E3" w:rsidP="00CD28E3">
            <w:pPr>
              <w:jc w:val="left"/>
              <w:rPr>
                <w:szCs w:val="22"/>
                <w:lang w:eastAsia="zh-CN"/>
              </w:rPr>
            </w:pPr>
            <w:r w:rsidRPr="00354B72">
              <w:rPr>
                <w:szCs w:val="22"/>
              </w:rPr>
              <w:t>Danemark</w:t>
            </w:r>
          </w:p>
        </w:tc>
        <w:tc>
          <w:tcPr>
            <w:tcW w:w="1720" w:type="dxa"/>
            <w:tcBorders>
              <w:top w:val="nil"/>
              <w:left w:val="nil"/>
              <w:bottom w:val="single" w:sz="4" w:space="0" w:color="auto"/>
              <w:right w:val="single" w:sz="4" w:space="0" w:color="auto"/>
            </w:tcBorders>
            <w:shd w:val="clear" w:color="auto" w:fill="auto"/>
            <w:vAlign w:val="center"/>
            <w:hideMark/>
          </w:tcPr>
          <w:p w14:paraId="32EC53FB" w14:textId="77777777" w:rsidR="00CD28E3" w:rsidRPr="00354B72" w:rsidRDefault="00CD28E3" w:rsidP="00CD28E3">
            <w:pPr>
              <w:jc w:val="center"/>
              <w:rPr>
                <w:szCs w:val="22"/>
                <w:lang w:eastAsia="zh-CN"/>
              </w:rPr>
            </w:pPr>
            <w:r w:rsidRPr="00354B72">
              <w:rPr>
                <w:szCs w:val="22"/>
              </w:rPr>
              <w:t>0,554</w:t>
            </w:r>
          </w:p>
        </w:tc>
        <w:tc>
          <w:tcPr>
            <w:tcW w:w="1720" w:type="dxa"/>
            <w:tcBorders>
              <w:top w:val="nil"/>
              <w:left w:val="nil"/>
              <w:bottom w:val="single" w:sz="4" w:space="0" w:color="auto"/>
              <w:right w:val="single" w:sz="4" w:space="0" w:color="auto"/>
            </w:tcBorders>
            <w:shd w:val="clear" w:color="auto" w:fill="auto"/>
            <w:noWrap/>
            <w:vAlign w:val="center"/>
            <w:hideMark/>
          </w:tcPr>
          <w:p w14:paraId="2F5E98C7" w14:textId="77777777" w:rsidR="00CD28E3" w:rsidRPr="00354B72" w:rsidRDefault="00CD28E3" w:rsidP="00CD28E3">
            <w:pPr>
              <w:jc w:val="center"/>
              <w:rPr>
                <w:szCs w:val="22"/>
                <w:lang w:eastAsia="zh-CN"/>
              </w:rPr>
            </w:pPr>
            <w:r w:rsidRPr="00354B72">
              <w:rPr>
                <w:szCs w:val="22"/>
              </w:rPr>
              <w:t>0,890</w:t>
            </w:r>
          </w:p>
        </w:tc>
        <w:tc>
          <w:tcPr>
            <w:tcW w:w="1720" w:type="dxa"/>
            <w:tcBorders>
              <w:top w:val="nil"/>
              <w:left w:val="nil"/>
              <w:bottom w:val="single" w:sz="4" w:space="0" w:color="auto"/>
              <w:right w:val="single" w:sz="4" w:space="0" w:color="auto"/>
            </w:tcBorders>
            <w:shd w:val="clear" w:color="auto" w:fill="auto"/>
            <w:noWrap/>
            <w:vAlign w:val="center"/>
            <w:hideMark/>
          </w:tcPr>
          <w:p w14:paraId="5B17E6E7" w14:textId="77777777" w:rsidR="00CD28E3" w:rsidRPr="00541ABB" w:rsidRDefault="00CD28E3" w:rsidP="00CD28E3">
            <w:pPr>
              <w:jc w:val="right"/>
              <w:rPr>
                <w:szCs w:val="22"/>
                <w:lang w:eastAsia="zh-CN"/>
              </w:rPr>
            </w:pPr>
            <w:r w:rsidRPr="00354B72">
              <w:rPr>
                <w:szCs w:val="22"/>
              </w:rPr>
              <w:t>15 384</w:t>
            </w:r>
          </w:p>
        </w:tc>
      </w:tr>
      <w:tr w:rsidR="0033145B" w:rsidRPr="004D5F9F" w14:paraId="0E90605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8F1386" w14:textId="2E736098" w:rsidR="00CD28E3" w:rsidRPr="00354B72" w:rsidRDefault="00354B72" w:rsidP="00CD28E3">
            <w:pPr>
              <w:jc w:val="center"/>
              <w:rPr>
                <w:szCs w:val="22"/>
                <w:lang w:eastAsia="zh-CN"/>
              </w:rPr>
            </w:pPr>
            <w:r>
              <w:rPr>
                <w:szCs w:val="22"/>
              </w:rPr>
              <w:t>29</w:t>
            </w:r>
          </w:p>
        </w:tc>
        <w:tc>
          <w:tcPr>
            <w:tcW w:w="3380" w:type="dxa"/>
            <w:tcBorders>
              <w:top w:val="nil"/>
              <w:left w:val="nil"/>
              <w:bottom w:val="single" w:sz="4" w:space="0" w:color="auto"/>
              <w:right w:val="single" w:sz="4" w:space="0" w:color="auto"/>
            </w:tcBorders>
            <w:shd w:val="clear" w:color="auto" w:fill="auto"/>
            <w:vAlign w:val="center"/>
            <w:hideMark/>
          </w:tcPr>
          <w:p w14:paraId="61ECD7C4" w14:textId="77777777" w:rsidR="00CD28E3" w:rsidRPr="00354B72" w:rsidRDefault="00CD28E3" w:rsidP="00CD28E3">
            <w:pPr>
              <w:jc w:val="left"/>
              <w:rPr>
                <w:szCs w:val="22"/>
                <w:lang w:eastAsia="zh-CN"/>
              </w:rPr>
            </w:pPr>
            <w:r w:rsidRPr="00354B72">
              <w:rPr>
                <w:szCs w:val="22"/>
              </w:rPr>
              <w:t>Djibouti</w:t>
            </w:r>
          </w:p>
        </w:tc>
        <w:tc>
          <w:tcPr>
            <w:tcW w:w="1720" w:type="dxa"/>
            <w:tcBorders>
              <w:top w:val="nil"/>
              <w:left w:val="nil"/>
              <w:bottom w:val="single" w:sz="4" w:space="0" w:color="auto"/>
              <w:right w:val="single" w:sz="4" w:space="0" w:color="auto"/>
            </w:tcBorders>
            <w:shd w:val="clear" w:color="auto" w:fill="auto"/>
            <w:vAlign w:val="center"/>
            <w:hideMark/>
          </w:tcPr>
          <w:p w14:paraId="561E5D1C" w14:textId="77777777" w:rsidR="00CD28E3" w:rsidRPr="00354B72" w:rsidRDefault="00CD28E3" w:rsidP="00CD28E3">
            <w:pPr>
              <w:jc w:val="center"/>
              <w:rPr>
                <w:szCs w:val="22"/>
                <w:lang w:eastAsia="zh-CN"/>
              </w:rPr>
            </w:pPr>
            <w:r w:rsidRPr="00354B72">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65E6CC04" w14:textId="77777777" w:rsidR="00CD28E3" w:rsidRPr="00354B72" w:rsidRDefault="00CD28E3" w:rsidP="00CD28E3">
            <w:pPr>
              <w:jc w:val="center"/>
              <w:rPr>
                <w:szCs w:val="22"/>
                <w:lang w:eastAsia="zh-CN"/>
              </w:rPr>
            </w:pPr>
            <w:r w:rsidRPr="00354B72">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622DB547" w14:textId="77777777" w:rsidR="00CD28E3" w:rsidRPr="00541ABB" w:rsidRDefault="00CD28E3" w:rsidP="00CD28E3">
            <w:pPr>
              <w:jc w:val="right"/>
              <w:rPr>
                <w:szCs w:val="22"/>
                <w:lang w:eastAsia="zh-CN"/>
              </w:rPr>
            </w:pPr>
            <w:r w:rsidRPr="00354B72">
              <w:rPr>
                <w:szCs w:val="22"/>
              </w:rPr>
              <w:t>28</w:t>
            </w:r>
          </w:p>
        </w:tc>
      </w:tr>
      <w:tr w:rsidR="0033145B" w:rsidRPr="002A0209" w14:paraId="133F130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017159" w14:textId="32E1D491" w:rsidR="00CD28E3" w:rsidRPr="002A0209" w:rsidRDefault="002A0209" w:rsidP="00CD28E3">
            <w:pPr>
              <w:jc w:val="center"/>
              <w:rPr>
                <w:szCs w:val="22"/>
                <w:lang w:eastAsia="zh-CN"/>
              </w:rPr>
            </w:pPr>
            <w:r w:rsidRPr="002A0209">
              <w:rPr>
                <w:szCs w:val="22"/>
              </w:rPr>
              <w:t>30</w:t>
            </w:r>
          </w:p>
        </w:tc>
        <w:tc>
          <w:tcPr>
            <w:tcW w:w="3380" w:type="dxa"/>
            <w:tcBorders>
              <w:top w:val="nil"/>
              <w:left w:val="nil"/>
              <w:bottom w:val="single" w:sz="4" w:space="0" w:color="auto"/>
              <w:right w:val="single" w:sz="4" w:space="0" w:color="auto"/>
            </w:tcBorders>
            <w:shd w:val="clear" w:color="auto" w:fill="auto"/>
            <w:vAlign w:val="center"/>
            <w:hideMark/>
          </w:tcPr>
          <w:p w14:paraId="14662858" w14:textId="77777777" w:rsidR="00CD28E3" w:rsidRPr="002A0209" w:rsidRDefault="00CD28E3" w:rsidP="00CD28E3">
            <w:pPr>
              <w:jc w:val="left"/>
              <w:rPr>
                <w:szCs w:val="22"/>
                <w:lang w:eastAsia="zh-CN"/>
              </w:rPr>
            </w:pPr>
            <w:r w:rsidRPr="002A0209">
              <w:rPr>
                <w:szCs w:val="22"/>
              </w:rPr>
              <w:t>Égypte</w:t>
            </w:r>
          </w:p>
        </w:tc>
        <w:tc>
          <w:tcPr>
            <w:tcW w:w="1720" w:type="dxa"/>
            <w:tcBorders>
              <w:top w:val="nil"/>
              <w:left w:val="nil"/>
              <w:bottom w:val="single" w:sz="4" w:space="0" w:color="auto"/>
              <w:right w:val="single" w:sz="4" w:space="0" w:color="auto"/>
            </w:tcBorders>
            <w:shd w:val="clear" w:color="auto" w:fill="auto"/>
            <w:vAlign w:val="center"/>
            <w:hideMark/>
          </w:tcPr>
          <w:p w14:paraId="2E26769C" w14:textId="77777777" w:rsidR="00CD28E3" w:rsidRPr="002A0209" w:rsidRDefault="00CD28E3" w:rsidP="00CD28E3">
            <w:pPr>
              <w:jc w:val="center"/>
              <w:rPr>
                <w:szCs w:val="22"/>
                <w:lang w:eastAsia="zh-CN"/>
              </w:rPr>
            </w:pPr>
            <w:r w:rsidRPr="002A0209">
              <w:rPr>
                <w:szCs w:val="22"/>
              </w:rPr>
              <w:t>0,186</w:t>
            </w:r>
          </w:p>
        </w:tc>
        <w:tc>
          <w:tcPr>
            <w:tcW w:w="1720" w:type="dxa"/>
            <w:tcBorders>
              <w:top w:val="nil"/>
              <w:left w:val="nil"/>
              <w:bottom w:val="single" w:sz="4" w:space="0" w:color="auto"/>
              <w:right w:val="single" w:sz="4" w:space="0" w:color="auto"/>
            </w:tcBorders>
            <w:shd w:val="clear" w:color="auto" w:fill="auto"/>
            <w:noWrap/>
            <w:vAlign w:val="center"/>
            <w:hideMark/>
          </w:tcPr>
          <w:p w14:paraId="14A112D2" w14:textId="77777777" w:rsidR="00CD28E3" w:rsidRPr="002A0209" w:rsidRDefault="00CD28E3" w:rsidP="00CD28E3">
            <w:pPr>
              <w:jc w:val="center"/>
              <w:rPr>
                <w:szCs w:val="22"/>
                <w:lang w:eastAsia="zh-CN"/>
              </w:rPr>
            </w:pPr>
            <w:r w:rsidRPr="002A0209">
              <w:rPr>
                <w:szCs w:val="22"/>
              </w:rPr>
              <w:t>0,299</w:t>
            </w:r>
          </w:p>
        </w:tc>
        <w:tc>
          <w:tcPr>
            <w:tcW w:w="1720" w:type="dxa"/>
            <w:tcBorders>
              <w:top w:val="nil"/>
              <w:left w:val="nil"/>
              <w:bottom w:val="single" w:sz="4" w:space="0" w:color="auto"/>
              <w:right w:val="single" w:sz="4" w:space="0" w:color="auto"/>
            </w:tcBorders>
            <w:shd w:val="clear" w:color="auto" w:fill="auto"/>
            <w:noWrap/>
            <w:vAlign w:val="center"/>
            <w:hideMark/>
          </w:tcPr>
          <w:p w14:paraId="025BB518" w14:textId="77777777" w:rsidR="00CD28E3" w:rsidRPr="002A0209" w:rsidRDefault="00CD28E3" w:rsidP="00CD28E3">
            <w:pPr>
              <w:jc w:val="right"/>
              <w:rPr>
                <w:szCs w:val="22"/>
                <w:lang w:eastAsia="zh-CN"/>
              </w:rPr>
            </w:pPr>
            <w:r w:rsidRPr="002A0209">
              <w:rPr>
                <w:szCs w:val="22"/>
              </w:rPr>
              <w:t>5 165</w:t>
            </w:r>
          </w:p>
        </w:tc>
      </w:tr>
      <w:tr w:rsidR="002A0209" w:rsidRPr="004D5F9F" w14:paraId="21DE2457" w14:textId="77777777" w:rsidTr="002A0209">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AD65A0" w14:textId="7C8BFE51" w:rsidR="002A0209" w:rsidRPr="002A0209" w:rsidRDefault="002A0209" w:rsidP="007A2D76">
            <w:pPr>
              <w:jc w:val="center"/>
              <w:rPr>
                <w:szCs w:val="22"/>
              </w:rPr>
            </w:pPr>
            <w:r w:rsidRPr="002A0209">
              <w:rPr>
                <w:szCs w:val="22"/>
              </w:rPr>
              <w:t>31</w:t>
            </w:r>
          </w:p>
        </w:tc>
        <w:tc>
          <w:tcPr>
            <w:tcW w:w="3380" w:type="dxa"/>
            <w:tcBorders>
              <w:top w:val="nil"/>
              <w:left w:val="nil"/>
              <w:bottom w:val="single" w:sz="4" w:space="0" w:color="auto"/>
              <w:right w:val="single" w:sz="4" w:space="0" w:color="auto"/>
            </w:tcBorders>
            <w:shd w:val="clear" w:color="auto" w:fill="auto"/>
            <w:vAlign w:val="center"/>
            <w:hideMark/>
          </w:tcPr>
          <w:p w14:paraId="7D206FAE" w14:textId="77777777" w:rsidR="002A0209" w:rsidRPr="002A0209" w:rsidRDefault="002A0209" w:rsidP="007A2D76">
            <w:pPr>
              <w:jc w:val="left"/>
              <w:rPr>
                <w:szCs w:val="22"/>
              </w:rPr>
            </w:pPr>
            <w:r w:rsidRPr="002A0209">
              <w:rPr>
                <w:szCs w:val="22"/>
              </w:rPr>
              <w:t>Émirats arabes unis</w:t>
            </w:r>
          </w:p>
        </w:tc>
        <w:tc>
          <w:tcPr>
            <w:tcW w:w="1720" w:type="dxa"/>
            <w:tcBorders>
              <w:top w:val="nil"/>
              <w:left w:val="nil"/>
              <w:bottom w:val="single" w:sz="4" w:space="0" w:color="auto"/>
              <w:right w:val="single" w:sz="4" w:space="0" w:color="auto"/>
            </w:tcBorders>
            <w:shd w:val="clear" w:color="auto" w:fill="auto"/>
            <w:vAlign w:val="center"/>
            <w:hideMark/>
          </w:tcPr>
          <w:p w14:paraId="60696E21" w14:textId="77777777" w:rsidR="002A0209" w:rsidRPr="002A0209" w:rsidRDefault="002A0209" w:rsidP="007A2D76">
            <w:pPr>
              <w:jc w:val="center"/>
              <w:rPr>
                <w:szCs w:val="22"/>
              </w:rPr>
            </w:pPr>
            <w:r w:rsidRPr="002A0209">
              <w:rPr>
                <w:szCs w:val="22"/>
              </w:rPr>
              <w:t>0,616</w:t>
            </w:r>
          </w:p>
        </w:tc>
        <w:tc>
          <w:tcPr>
            <w:tcW w:w="1720" w:type="dxa"/>
            <w:tcBorders>
              <w:top w:val="nil"/>
              <w:left w:val="nil"/>
              <w:bottom w:val="single" w:sz="4" w:space="0" w:color="auto"/>
              <w:right w:val="single" w:sz="4" w:space="0" w:color="auto"/>
            </w:tcBorders>
            <w:shd w:val="clear" w:color="auto" w:fill="auto"/>
            <w:noWrap/>
            <w:vAlign w:val="center"/>
            <w:hideMark/>
          </w:tcPr>
          <w:p w14:paraId="47B2D502" w14:textId="77777777" w:rsidR="002A0209" w:rsidRPr="002A0209" w:rsidRDefault="002A0209" w:rsidP="007A2D76">
            <w:pPr>
              <w:jc w:val="center"/>
              <w:rPr>
                <w:szCs w:val="22"/>
              </w:rPr>
            </w:pPr>
            <w:r w:rsidRPr="002A0209">
              <w:rPr>
                <w:szCs w:val="22"/>
              </w:rPr>
              <w:t>0,990</w:t>
            </w:r>
          </w:p>
        </w:tc>
        <w:tc>
          <w:tcPr>
            <w:tcW w:w="1720" w:type="dxa"/>
            <w:tcBorders>
              <w:top w:val="nil"/>
              <w:left w:val="nil"/>
              <w:bottom w:val="single" w:sz="4" w:space="0" w:color="auto"/>
              <w:right w:val="single" w:sz="4" w:space="0" w:color="auto"/>
            </w:tcBorders>
            <w:shd w:val="clear" w:color="auto" w:fill="auto"/>
            <w:noWrap/>
            <w:vAlign w:val="center"/>
            <w:hideMark/>
          </w:tcPr>
          <w:p w14:paraId="32A29295" w14:textId="77777777" w:rsidR="002A0209" w:rsidRPr="002A0209" w:rsidRDefault="002A0209" w:rsidP="007A2D76">
            <w:pPr>
              <w:jc w:val="right"/>
              <w:rPr>
                <w:szCs w:val="22"/>
              </w:rPr>
            </w:pPr>
            <w:r w:rsidRPr="002A0209">
              <w:rPr>
                <w:szCs w:val="22"/>
              </w:rPr>
              <w:t>17 106</w:t>
            </w:r>
          </w:p>
        </w:tc>
      </w:tr>
      <w:tr w:rsidR="002A0209" w:rsidRPr="004D5F9F" w14:paraId="6EA12424" w14:textId="77777777" w:rsidTr="002A0209">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DBCF5F" w14:textId="449E36DE" w:rsidR="002A0209" w:rsidRPr="00541ABB" w:rsidRDefault="002A0209" w:rsidP="007A2D76">
            <w:pPr>
              <w:jc w:val="center"/>
              <w:rPr>
                <w:szCs w:val="22"/>
              </w:rPr>
            </w:pPr>
            <w:r>
              <w:rPr>
                <w:szCs w:val="22"/>
              </w:rPr>
              <w:t>32</w:t>
            </w:r>
          </w:p>
        </w:tc>
        <w:tc>
          <w:tcPr>
            <w:tcW w:w="3380" w:type="dxa"/>
            <w:tcBorders>
              <w:top w:val="nil"/>
              <w:left w:val="nil"/>
              <w:bottom w:val="single" w:sz="4" w:space="0" w:color="auto"/>
              <w:right w:val="single" w:sz="4" w:space="0" w:color="auto"/>
            </w:tcBorders>
            <w:shd w:val="clear" w:color="auto" w:fill="auto"/>
            <w:vAlign w:val="center"/>
            <w:hideMark/>
          </w:tcPr>
          <w:p w14:paraId="66AF22C3" w14:textId="77777777" w:rsidR="002A0209" w:rsidRPr="00541ABB" w:rsidRDefault="002A0209" w:rsidP="007A2D76">
            <w:pPr>
              <w:jc w:val="left"/>
              <w:rPr>
                <w:szCs w:val="22"/>
              </w:rPr>
            </w:pPr>
            <w:r>
              <w:rPr>
                <w:szCs w:val="22"/>
              </w:rPr>
              <w:t>Équateur</w:t>
            </w:r>
          </w:p>
        </w:tc>
        <w:tc>
          <w:tcPr>
            <w:tcW w:w="1720" w:type="dxa"/>
            <w:tcBorders>
              <w:top w:val="nil"/>
              <w:left w:val="nil"/>
              <w:bottom w:val="single" w:sz="4" w:space="0" w:color="auto"/>
              <w:right w:val="single" w:sz="4" w:space="0" w:color="auto"/>
            </w:tcBorders>
            <w:shd w:val="clear" w:color="auto" w:fill="auto"/>
            <w:vAlign w:val="center"/>
            <w:hideMark/>
          </w:tcPr>
          <w:p w14:paraId="67D575F8" w14:textId="77777777" w:rsidR="002A0209" w:rsidRPr="00541ABB" w:rsidRDefault="002A0209" w:rsidP="007A2D76">
            <w:pPr>
              <w:jc w:val="center"/>
              <w:rPr>
                <w:szCs w:val="22"/>
              </w:rPr>
            </w:pPr>
            <w:r>
              <w:rPr>
                <w:szCs w:val="22"/>
              </w:rPr>
              <w:t>0,080</w:t>
            </w:r>
          </w:p>
        </w:tc>
        <w:tc>
          <w:tcPr>
            <w:tcW w:w="1720" w:type="dxa"/>
            <w:tcBorders>
              <w:top w:val="nil"/>
              <w:left w:val="nil"/>
              <w:bottom w:val="single" w:sz="4" w:space="0" w:color="auto"/>
              <w:right w:val="single" w:sz="4" w:space="0" w:color="auto"/>
            </w:tcBorders>
            <w:shd w:val="clear" w:color="auto" w:fill="auto"/>
            <w:noWrap/>
            <w:vAlign w:val="center"/>
            <w:hideMark/>
          </w:tcPr>
          <w:p w14:paraId="031B90DA" w14:textId="77777777" w:rsidR="002A0209" w:rsidRPr="00541ABB" w:rsidRDefault="002A0209" w:rsidP="007A2D76">
            <w:pPr>
              <w:jc w:val="center"/>
              <w:rPr>
                <w:szCs w:val="22"/>
              </w:rPr>
            </w:pPr>
            <w:r>
              <w:rPr>
                <w:szCs w:val="22"/>
              </w:rPr>
              <w:t>0,129</w:t>
            </w:r>
          </w:p>
        </w:tc>
        <w:tc>
          <w:tcPr>
            <w:tcW w:w="1720" w:type="dxa"/>
            <w:tcBorders>
              <w:top w:val="nil"/>
              <w:left w:val="nil"/>
              <w:bottom w:val="single" w:sz="4" w:space="0" w:color="auto"/>
              <w:right w:val="single" w:sz="4" w:space="0" w:color="auto"/>
            </w:tcBorders>
            <w:shd w:val="clear" w:color="auto" w:fill="auto"/>
            <w:noWrap/>
            <w:vAlign w:val="center"/>
            <w:hideMark/>
          </w:tcPr>
          <w:p w14:paraId="5390A1EF" w14:textId="77777777" w:rsidR="002A0209" w:rsidRPr="00541ABB" w:rsidRDefault="002A0209" w:rsidP="007A2D76">
            <w:pPr>
              <w:jc w:val="right"/>
              <w:rPr>
                <w:szCs w:val="22"/>
              </w:rPr>
            </w:pPr>
            <w:r>
              <w:rPr>
                <w:szCs w:val="22"/>
              </w:rPr>
              <w:t>2 222</w:t>
            </w:r>
          </w:p>
        </w:tc>
      </w:tr>
      <w:tr w:rsidR="0033145B" w:rsidRPr="002A0209" w14:paraId="62C1CEC1"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CA3EBF" w14:textId="16307B95" w:rsidR="00CD28E3" w:rsidRPr="002A0209" w:rsidRDefault="002A0209" w:rsidP="00CD28E3">
            <w:pPr>
              <w:jc w:val="center"/>
              <w:rPr>
                <w:szCs w:val="22"/>
                <w:lang w:eastAsia="zh-CN"/>
              </w:rPr>
            </w:pPr>
            <w:r w:rsidRPr="002A0209">
              <w:rPr>
                <w:szCs w:val="22"/>
              </w:rPr>
              <w:t>33</w:t>
            </w:r>
          </w:p>
        </w:tc>
        <w:tc>
          <w:tcPr>
            <w:tcW w:w="3380" w:type="dxa"/>
            <w:tcBorders>
              <w:top w:val="nil"/>
              <w:left w:val="nil"/>
              <w:bottom w:val="single" w:sz="4" w:space="0" w:color="auto"/>
              <w:right w:val="single" w:sz="4" w:space="0" w:color="auto"/>
            </w:tcBorders>
            <w:shd w:val="clear" w:color="auto" w:fill="auto"/>
            <w:vAlign w:val="center"/>
            <w:hideMark/>
          </w:tcPr>
          <w:p w14:paraId="6AD62D9B" w14:textId="77777777" w:rsidR="00CD28E3" w:rsidRPr="002A0209" w:rsidRDefault="00CD28E3" w:rsidP="00CD28E3">
            <w:pPr>
              <w:jc w:val="left"/>
              <w:rPr>
                <w:szCs w:val="22"/>
                <w:lang w:eastAsia="zh-CN"/>
              </w:rPr>
            </w:pPr>
            <w:r w:rsidRPr="002A0209">
              <w:rPr>
                <w:szCs w:val="22"/>
              </w:rPr>
              <w:t>Érythrée</w:t>
            </w:r>
          </w:p>
        </w:tc>
        <w:tc>
          <w:tcPr>
            <w:tcW w:w="1720" w:type="dxa"/>
            <w:tcBorders>
              <w:top w:val="nil"/>
              <w:left w:val="nil"/>
              <w:bottom w:val="single" w:sz="4" w:space="0" w:color="auto"/>
              <w:right w:val="single" w:sz="4" w:space="0" w:color="auto"/>
            </w:tcBorders>
            <w:shd w:val="clear" w:color="auto" w:fill="auto"/>
            <w:vAlign w:val="center"/>
            <w:hideMark/>
          </w:tcPr>
          <w:p w14:paraId="35A075D7" w14:textId="77777777" w:rsidR="00CD28E3" w:rsidRPr="002A0209" w:rsidRDefault="00CD28E3" w:rsidP="00CD28E3">
            <w:pPr>
              <w:jc w:val="center"/>
              <w:rPr>
                <w:szCs w:val="22"/>
                <w:lang w:eastAsia="zh-CN"/>
              </w:rPr>
            </w:pPr>
            <w:r w:rsidRPr="002A0209">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67D58D8C" w14:textId="77777777" w:rsidR="00CD28E3" w:rsidRPr="002A0209" w:rsidRDefault="00CD28E3" w:rsidP="00CD28E3">
            <w:pPr>
              <w:jc w:val="center"/>
              <w:rPr>
                <w:szCs w:val="22"/>
                <w:lang w:eastAsia="zh-CN"/>
              </w:rPr>
            </w:pPr>
            <w:r w:rsidRPr="002A0209">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6A428E7" w14:textId="77777777" w:rsidR="00CD28E3" w:rsidRPr="002A0209" w:rsidRDefault="00CD28E3" w:rsidP="00CD28E3">
            <w:pPr>
              <w:jc w:val="right"/>
              <w:rPr>
                <w:szCs w:val="22"/>
                <w:lang w:eastAsia="zh-CN"/>
              </w:rPr>
            </w:pPr>
            <w:r w:rsidRPr="002A0209">
              <w:rPr>
                <w:szCs w:val="22"/>
              </w:rPr>
              <w:t>28</w:t>
            </w:r>
          </w:p>
        </w:tc>
      </w:tr>
      <w:tr w:rsidR="002A0209" w:rsidRPr="004D5F9F" w14:paraId="4B546A00" w14:textId="77777777" w:rsidTr="002A0209">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1ECB68" w14:textId="71560936" w:rsidR="002A0209" w:rsidRPr="002A0209" w:rsidRDefault="002A0209" w:rsidP="007A2D76">
            <w:pPr>
              <w:jc w:val="center"/>
              <w:rPr>
                <w:szCs w:val="22"/>
              </w:rPr>
            </w:pPr>
            <w:r w:rsidRPr="002A0209">
              <w:rPr>
                <w:szCs w:val="22"/>
              </w:rPr>
              <w:t>34</w:t>
            </w:r>
          </w:p>
        </w:tc>
        <w:tc>
          <w:tcPr>
            <w:tcW w:w="3380" w:type="dxa"/>
            <w:tcBorders>
              <w:top w:val="nil"/>
              <w:left w:val="nil"/>
              <w:bottom w:val="single" w:sz="4" w:space="0" w:color="auto"/>
              <w:right w:val="single" w:sz="4" w:space="0" w:color="auto"/>
            </w:tcBorders>
            <w:shd w:val="clear" w:color="auto" w:fill="auto"/>
            <w:vAlign w:val="center"/>
            <w:hideMark/>
          </w:tcPr>
          <w:p w14:paraId="1E6E0483" w14:textId="77777777" w:rsidR="002A0209" w:rsidRPr="002A0209" w:rsidRDefault="002A0209" w:rsidP="007A2D76">
            <w:pPr>
              <w:jc w:val="left"/>
              <w:rPr>
                <w:szCs w:val="22"/>
              </w:rPr>
            </w:pPr>
            <w:r w:rsidRPr="002A0209">
              <w:rPr>
                <w:szCs w:val="22"/>
              </w:rPr>
              <w:t>Espagne</w:t>
            </w:r>
          </w:p>
        </w:tc>
        <w:tc>
          <w:tcPr>
            <w:tcW w:w="1720" w:type="dxa"/>
            <w:tcBorders>
              <w:top w:val="nil"/>
              <w:left w:val="nil"/>
              <w:bottom w:val="single" w:sz="4" w:space="0" w:color="auto"/>
              <w:right w:val="single" w:sz="4" w:space="0" w:color="auto"/>
            </w:tcBorders>
            <w:shd w:val="clear" w:color="auto" w:fill="auto"/>
            <w:vAlign w:val="center"/>
            <w:hideMark/>
          </w:tcPr>
          <w:p w14:paraId="7DAFE41C" w14:textId="77777777" w:rsidR="002A0209" w:rsidRPr="002A0209" w:rsidRDefault="002A0209" w:rsidP="007A2D76">
            <w:pPr>
              <w:jc w:val="center"/>
              <w:rPr>
                <w:szCs w:val="22"/>
              </w:rPr>
            </w:pPr>
            <w:r w:rsidRPr="002A0209">
              <w:rPr>
                <w:szCs w:val="22"/>
              </w:rPr>
              <w:t>2,146</w:t>
            </w:r>
          </w:p>
        </w:tc>
        <w:tc>
          <w:tcPr>
            <w:tcW w:w="1720" w:type="dxa"/>
            <w:tcBorders>
              <w:top w:val="nil"/>
              <w:left w:val="nil"/>
              <w:bottom w:val="single" w:sz="4" w:space="0" w:color="auto"/>
              <w:right w:val="single" w:sz="4" w:space="0" w:color="auto"/>
            </w:tcBorders>
            <w:shd w:val="clear" w:color="auto" w:fill="auto"/>
            <w:noWrap/>
            <w:vAlign w:val="center"/>
            <w:hideMark/>
          </w:tcPr>
          <w:p w14:paraId="5FCF1429" w14:textId="77777777" w:rsidR="002A0209" w:rsidRPr="002A0209" w:rsidRDefault="002A0209" w:rsidP="007A2D76">
            <w:pPr>
              <w:jc w:val="center"/>
              <w:rPr>
                <w:szCs w:val="22"/>
              </w:rPr>
            </w:pPr>
            <w:r w:rsidRPr="002A0209">
              <w:rPr>
                <w:szCs w:val="22"/>
              </w:rPr>
              <w:t>3,447</w:t>
            </w:r>
          </w:p>
        </w:tc>
        <w:tc>
          <w:tcPr>
            <w:tcW w:w="1720" w:type="dxa"/>
            <w:tcBorders>
              <w:top w:val="nil"/>
              <w:left w:val="nil"/>
              <w:bottom w:val="single" w:sz="4" w:space="0" w:color="auto"/>
              <w:right w:val="single" w:sz="4" w:space="0" w:color="auto"/>
            </w:tcBorders>
            <w:shd w:val="clear" w:color="auto" w:fill="auto"/>
            <w:noWrap/>
            <w:vAlign w:val="center"/>
            <w:hideMark/>
          </w:tcPr>
          <w:p w14:paraId="26454AD4" w14:textId="77777777" w:rsidR="002A0209" w:rsidRPr="002A0209" w:rsidRDefault="002A0209" w:rsidP="007A2D76">
            <w:pPr>
              <w:jc w:val="right"/>
              <w:rPr>
                <w:szCs w:val="22"/>
              </w:rPr>
            </w:pPr>
            <w:r w:rsidRPr="002A0209">
              <w:rPr>
                <w:szCs w:val="22"/>
              </w:rPr>
              <w:t>59 594</w:t>
            </w:r>
          </w:p>
        </w:tc>
      </w:tr>
      <w:tr w:rsidR="0033145B" w:rsidRPr="004D5F9F" w14:paraId="55E690F5"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259BBA" w14:textId="69060BA1" w:rsidR="00CD28E3" w:rsidRPr="00541ABB" w:rsidRDefault="002A0209" w:rsidP="00CD28E3">
            <w:pPr>
              <w:jc w:val="center"/>
              <w:rPr>
                <w:szCs w:val="22"/>
                <w:lang w:eastAsia="zh-CN"/>
              </w:rPr>
            </w:pPr>
            <w:r>
              <w:rPr>
                <w:szCs w:val="22"/>
              </w:rPr>
              <w:t>35</w:t>
            </w:r>
          </w:p>
        </w:tc>
        <w:tc>
          <w:tcPr>
            <w:tcW w:w="3380" w:type="dxa"/>
            <w:tcBorders>
              <w:top w:val="nil"/>
              <w:left w:val="nil"/>
              <w:bottom w:val="single" w:sz="4" w:space="0" w:color="auto"/>
              <w:right w:val="single" w:sz="4" w:space="0" w:color="auto"/>
            </w:tcBorders>
            <w:shd w:val="clear" w:color="auto" w:fill="auto"/>
            <w:vAlign w:val="center"/>
            <w:hideMark/>
          </w:tcPr>
          <w:p w14:paraId="7DD411B2" w14:textId="77777777" w:rsidR="00CD28E3" w:rsidRPr="00541ABB" w:rsidRDefault="00CD28E3" w:rsidP="00CD28E3">
            <w:pPr>
              <w:jc w:val="left"/>
              <w:rPr>
                <w:szCs w:val="22"/>
                <w:lang w:eastAsia="zh-CN"/>
              </w:rPr>
            </w:pPr>
            <w:r>
              <w:rPr>
                <w:szCs w:val="22"/>
              </w:rPr>
              <w:t>Estonie</w:t>
            </w:r>
          </w:p>
        </w:tc>
        <w:tc>
          <w:tcPr>
            <w:tcW w:w="1720" w:type="dxa"/>
            <w:tcBorders>
              <w:top w:val="nil"/>
              <w:left w:val="nil"/>
              <w:bottom w:val="single" w:sz="4" w:space="0" w:color="auto"/>
              <w:right w:val="single" w:sz="4" w:space="0" w:color="auto"/>
            </w:tcBorders>
            <w:shd w:val="clear" w:color="auto" w:fill="auto"/>
            <w:vAlign w:val="center"/>
            <w:hideMark/>
          </w:tcPr>
          <w:p w14:paraId="4BB7E5C8" w14:textId="77777777" w:rsidR="00CD28E3" w:rsidRPr="00541ABB" w:rsidRDefault="00CD28E3" w:rsidP="00CD28E3">
            <w:pPr>
              <w:jc w:val="center"/>
              <w:rPr>
                <w:szCs w:val="22"/>
                <w:lang w:eastAsia="zh-CN"/>
              </w:rPr>
            </w:pPr>
            <w:r>
              <w:rPr>
                <w:szCs w:val="22"/>
              </w:rPr>
              <w:t>0,039</w:t>
            </w:r>
          </w:p>
        </w:tc>
        <w:tc>
          <w:tcPr>
            <w:tcW w:w="1720" w:type="dxa"/>
            <w:tcBorders>
              <w:top w:val="nil"/>
              <w:left w:val="nil"/>
              <w:bottom w:val="single" w:sz="4" w:space="0" w:color="auto"/>
              <w:right w:val="single" w:sz="4" w:space="0" w:color="auto"/>
            </w:tcBorders>
            <w:shd w:val="clear" w:color="auto" w:fill="auto"/>
            <w:noWrap/>
            <w:vAlign w:val="center"/>
            <w:hideMark/>
          </w:tcPr>
          <w:p w14:paraId="68F6F6E8" w14:textId="77777777" w:rsidR="00CD28E3" w:rsidRPr="00541ABB" w:rsidRDefault="00CD28E3" w:rsidP="00CD28E3">
            <w:pPr>
              <w:jc w:val="center"/>
              <w:rPr>
                <w:szCs w:val="22"/>
                <w:lang w:eastAsia="zh-CN"/>
              </w:rPr>
            </w:pPr>
            <w:r>
              <w:rPr>
                <w:szCs w:val="22"/>
              </w:rPr>
              <w:t>0,063</w:t>
            </w:r>
          </w:p>
        </w:tc>
        <w:tc>
          <w:tcPr>
            <w:tcW w:w="1720" w:type="dxa"/>
            <w:tcBorders>
              <w:top w:val="nil"/>
              <w:left w:val="nil"/>
              <w:bottom w:val="single" w:sz="4" w:space="0" w:color="auto"/>
              <w:right w:val="single" w:sz="4" w:space="0" w:color="auto"/>
            </w:tcBorders>
            <w:shd w:val="clear" w:color="auto" w:fill="auto"/>
            <w:noWrap/>
            <w:vAlign w:val="center"/>
            <w:hideMark/>
          </w:tcPr>
          <w:p w14:paraId="656B0689" w14:textId="77777777" w:rsidR="00CD28E3" w:rsidRPr="00541ABB" w:rsidRDefault="00CD28E3" w:rsidP="00CD28E3">
            <w:pPr>
              <w:jc w:val="right"/>
              <w:rPr>
                <w:szCs w:val="22"/>
                <w:lang w:eastAsia="zh-CN"/>
              </w:rPr>
            </w:pPr>
            <w:r>
              <w:rPr>
                <w:szCs w:val="22"/>
              </w:rPr>
              <w:t>1 083</w:t>
            </w:r>
          </w:p>
        </w:tc>
      </w:tr>
      <w:tr w:rsidR="0033145B" w:rsidRPr="004D5F9F" w14:paraId="70401C5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DDE23A" w14:textId="44D60240" w:rsidR="00CD28E3" w:rsidRPr="00DD0621" w:rsidRDefault="002A0209" w:rsidP="00CD28E3">
            <w:pPr>
              <w:jc w:val="center"/>
              <w:rPr>
                <w:szCs w:val="22"/>
                <w:lang w:eastAsia="zh-CN"/>
              </w:rPr>
            </w:pPr>
            <w:r w:rsidRPr="00DD0621">
              <w:rPr>
                <w:szCs w:val="22"/>
              </w:rPr>
              <w:t>36</w:t>
            </w:r>
          </w:p>
        </w:tc>
        <w:tc>
          <w:tcPr>
            <w:tcW w:w="3380" w:type="dxa"/>
            <w:tcBorders>
              <w:top w:val="nil"/>
              <w:left w:val="nil"/>
              <w:bottom w:val="single" w:sz="4" w:space="0" w:color="auto"/>
              <w:right w:val="single" w:sz="4" w:space="0" w:color="auto"/>
            </w:tcBorders>
            <w:shd w:val="clear" w:color="auto" w:fill="auto"/>
            <w:vAlign w:val="center"/>
            <w:hideMark/>
          </w:tcPr>
          <w:p w14:paraId="123C8CA3" w14:textId="77777777" w:rsidR="00CD28E3" w:rsidRPr="00DD0621" w:rsidRDefault="00CD28E3" w:rsidP="00CD28E3">
            <w:pPr>
              <w:jc w:val="left"/>
              <w:rPr>
                <w:szCs w:val="22"/>
                <w:lang w:eastAsia="zh-CN"/>
              </w:rPr>
            </w:pPr>
            <w:r w:rsidRPr="00DD0621">
              <w:rPr>
                <w:szCs w:val="22"/>
              </w:rPr>
              <w:t>Éthiopie</w:t>
            </w:r>
          </w:p>
        </w:tc>
        <w:tc>
          <w:tcPr>
            <w:tcW w:w="1720" w:type="dxa"/>
            <w:tcBorders>
              <w:top w:val="nil"/>
              <w:left w:val="nil"/>
              <w:bottom w:val="single" w:sz="4" w:space="0" w:color="auto"/>
              <w:right w:val="single" w:sz="4" w:space="0" w:color="auto"/>
            </w:tcBorders>
            <w:shd w:val="clear" w:color="auto" w:fill="auto"/>
            <w:vAlign w:val="center"/>
            <w:hideMark/>
          </w:tcPr>
          <w:p w14:paraId="37EBFA38" w14:textId="77777777" w:rsidR="00CD28E3" w:rsidRPr="00DD0621" w:rsidRDefault="00CD28E3" w:rsidP="00CD28E3">
            <w:pPr>
              <w:jc w:val="center"/>
              <w:rPr>
                <w:szCs w:val="22"/>
                <w:lang w:eastAsia="zh-CN"/>
              </w:rPr>
            </w:pPr>
            <w:r w:rsidRPr="00DD0621">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2EB083D" w14:textId="77777777" w:rsidR="00CD28E3" w:rsidRPr="00DD0621" w:rsidRDefault="00CD28E3" w:rsidP="00CD28E3">
            <w:pPr>
              <w:jc w:val="center"/>
              <w:rPr>
                <w:szCs w:val="22"/>
                <w:lang w:eastAsia="zh-CN"/>
              </w:rPr>
            </w:pPr>
            <w:r w:rsidRPr="00DD0621">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DA7FA74" w14:textId="77777777" w:rsidR="00CD28E3" w:rsidRPr="00541ABB" w:rsidRDefault="00CD28E3" w:rsidP="00CD28E3">
            <w:pPr>
              <w:jc w:val="right"/>
              <w:rPr>
                <w:szCs w:val="22"/>
                <w:lang w:eastAsia="zh-CN"/>
              </w:rPr>
            </w:pPr>
            <w:r w:rsidRPr="00DD0621">
              <w:rPr>
                <w:szCs w:val="22"/>
              </w:rPr>
              <w:t>173</w:t>
            </w:r>
          </w:p>
        </w:tc>
      </w:tr>
      <w:tr w:rsidR="0033145B" w:rsidRPr="004D5F9F" w14:paraId="49CC33E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8FFF0B" w14:textId="523FD3B8" w:rsidR="00CD28E3" w:rsidRPr="00541ABB" w:rsidRDefault="00DD0621" w:rsidP="00CD28E3">
            <w:pPr>
              <w:jc w:val="center"/>
              <w:rPr>
                <w:szCs w:val="22"/>
                <w:lang w:eastAsia="zh-CN"/>
              </w:rPr>
            </w:pPr>
            <w:r>
              <w:rPr>
                <w:szCs w:val="22"/>
              </w:rPr>
              <w:t>37</w:t>
            </w:r>
          </w:p>
        </w:tc>
        <w:tc>
          <w:tcPr>
            <w:tcW w:w="3380" w:type="dxa"/>
            <w:tcBorders>
              <w:top w:val="nil"/>
              <w:left w:val="nil"/>
              <w:bottom w:val="single" w:sz="4" w:space="0" w:color="auto"/>
              <w:right w:val="single" w:sz="4" w:space="0" w:color="auto"/>
            </w:tcBorders>
            <w:shd w:val="clear" w:color="auto" w:fill="auto"/>
            <w:vAlign w:val="center"/>
            <w:hideMark/>
          </w:tcPr>
          <w:p w14:paraId="0F3830C6" w14:textId="77777777" w:rsidR="00CD28E3" w:rsidRPr="00541ABB" w:rsidRDefault="00CD28E3" w:rsidP="00CD28E3">
            <w:pPr>
              <w:jc w:val="left"/>
              <w:rPr>
                <w:szCs w:val="22"/>
                <w:lang w:eastAsia="zh-CN"/>
              </w:rPr>
            </w:pPr>
            <w:r>
              <w:rPr>
                <w:szCs w:val="22"/>
              </w:rPr>
              <w:t>Fidji</w:t>
            </w:r>
          </w:p>
        </w:tc>
        <w:tc>
          <w:tcPr>
            <w:tcW w:w="1720" w:type="dxa"/>
            <w:tcBorders>
              <w:top w:val="nil"/>
              <w:left w:val="nil"/>
              <w:bottom w:val="single" w:sz="4" w:space="0" w:color="auto"/>
              <w:right w:val="single" w:sz="4" w:space="0" w:color="auto"/>
            </w:tcBorders>
            <w:shd w:val="clear" w:color="auto" w:fill="auto"/>
            <w:vAlign w:val="center"/>
            <w:hideMark/>
          </w:tcPr>
          <w:p w14:paraId="79B3E55B"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0572D491"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21515F92" w14:textId="77777777" w:rsidR="00CD28E3" w:rsidRPr="00541ABB" w:rsidRDefault="00CD28E3" w:rsidP="00CD28E3">
            <w:pPr>
              <w:jc w:val="right"/>
              <w:rPr>
                <w:szCs w:val="22"/>
                <w:lang w:eastAsia="zh-CN"/>
              </w:rPr>
            </w:pPr>
            <w:r>
              <w:rPr>
                <w:szCs w:val="22"/>
              </w:rPr>
              <w:t>83</w:t>
            </w:r>
          </w:p>
        </w:tc>
      </w:tr>
      <w:tr w:rsidR="0033145B" w:rsidRPr="004D5F9F" w14:paraId="53290EA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0639C" w14:textId="2FF5E4C4" w:rsidR="00CD28E3" w:rsidRPr="00541ABB" w:rsidRDefault="00DD0621" w:rsidP="00CD28E3">
            <w:pPr>
              <w:jc w:val="center"/>
              <w:rPr>
                <w:szCs w:val="22"/>
                <w:lang w:eastAsia="zh-CN"/>
              </w:rPr>
            </w:pPr>
            <w:r>
              <w:rPr>
                <w:szCs w:val="22"/>
              </w:rPr>
              <w:t>38</w:t>
            </w:r>
          </w:p>
        </w:tc>
        <w:tc>
          <w:tcPr>
            <w:tcW w:w="3380" w:type="dxa"/>
            <w:tcBorders>
              <w:top w:val="nil"/>
              <w:left w:val="nil"/>
              <w:bottom w:val="single" w:sz="4" w:space="0" w:color="auto"/>
              <w:right w:val="single" w:sz="4" w:space="0" w:color="auto"/>
            </w:tcBorders>
            <w:shd w:val="clear" w:color="auto" w:fill="auto"/>
            <w:vAlign w:val="center"/>
            <w:hideMark/>
          </w:tcPr>
          <w:p w14:paraId="562A3C13" w14:textId="77777777" w:rsidR="00CD28E3" w:rsidRPr="00541ABB" w:rsidRDefault="00CD28E3" w:rsidP="00CD28E3">
            <w:pPr>
              <w:jc w:val="left"/>
              <w:rPr>
                <w:szCs w:val="22"/>
                <w:lang w:eastAsia="zh-CN"/>
              </w:rPr>
            </w:pPr>
            <w:r>
              <w:rPr>
                <w:szCs w:val="22"/>
              </w:rPr>
              <w:t>Finlande</w:t>
            </w:r>
          </w:p>
        </w:tc>
        <w:tc>
          <w:tcPr>
            <w:tcW w:w="1720" w:type="dxa"/>
            <w:tcBorders>
              <w:top w:val="nil"/>
              <w:left w:val="nil"/>
              <w:bottom w:val="single" w:sz="4" w:space="0" w:color="auto"/>
              <w:right w:val="single" w:sz="4" w:space="0" w:color="auto"/>
            </w:tcBorders>
            <w:shd w:val="clear" w:color="auto" w:fill="auto"/>
            <w:vAlign w:val="center"/>
            <w:hideMark/>
          </w:tcPr>
          <w:p w14:paraId="2D4F8E07" w14:textId="77777777" w:rsidR="00CD28E3" w:rsidRPr="00541ABB" w:rsidRDefault="00CD28E3" w:rsidP="00CD28E3">
            <w:pPr>
              <w:jc w:val="center"/>
              <w:rPr>
                <w:szCs w:val="22"/>
                <w:lang w:eastAsia="zh-CN"/>
              </w:rPr>
            </w:pPr>
            <w:r>
              <w:rPr>
                <w:szCs w:val="22"/>
              </w:rPr>
              <w:t>0,421</w:t>
            </w:r>
          </w:p>
        </w:tc>
        <w:tc>
          <w:tcPr>
            <w:tcW w:w="1720" w:type="dxa"/>
            <w:tcBorders>
              <w:top w:val="nil"/>
              <w:left w:val="nil"/>
              <w:bottom w:val="single" w:sz="4" w:space="0" w:color="auto"/>
              <w:right w:val="single" w:sz="4" w:space="0" w:color="auto"/>
            </w:tcBorders>
            <w:shd w:val="clear" w:color="auto" w:fill="auto"/>
            <w:noWrap/>
            <w:vAlign w:val="center"/>
            <w:hideMark/>
          </w:tcPr>
          <w:p w14:paraId="60087650" w14:textId="77777777" w:rsidR="00CD28E3" w:rsidRPr="00541ABB" w:rsidRDefault="00CD28E3" w:rsidP="00CD28E3">
            <w:pPr>
              <w:jc w:val="center"/>
              <w:rPr>
                <w:szCs w:val="22"/>
                <w:lang w:eastAsia="zh-CN"/>
              </w:rPr>
            </w:pPr>
            <w:r>
              <w:rPr>
                <w:szCs w:val="22"/>
              </w:rPr>
              <w:t>0,676</w:t>
            </w:r>
          </w:p>
        </w:tc>
        <w:tc>
          <w:tcPr>
            <w:tcW w:w="1720" w:type="dxa"/>
            <w:tcBorders>
              <w:top w:val="nil"/>
              <w:left w:val="nil"/>
              <w:bottom w:val="single" w:sz="4" w:space="0" w:color="auto"/>
              <w:right w:val="single" w:sz="4" w:space="0" w:color="auto"/>
            </w:tcBorders>
            <w:shd w:val="clear" w:color="auto" w:fill="auto"/>
            <w:noWrap/>
            <w:vAlign w:val="center"/>
            <w:hideMark/>
          </w:tcPr>
          <w:p w14:paraId="3FAFB7C0" w14:textId="77777777" w:rsidR="00CD28E3" w:rsidRPr="00541ABB" w:rsidRDefault="00CD28E3" w:rsidP="00CD28E3">
            <w:pPr>
              <w:jc w:val="right"/>
              <w:rPr>
                <w:szCs w:val="22"/>
                <w:lang w:eastAsia="zh-CN"/>
              </w:rPr>
            </w:pPr>
            <w:r>
              <w:rPr>
                <w:szCs w:val="22"/>
              </w:rPr>
              <w:t>11 691</w:t>
            </w:r>
          </w:p>
        </w:tc>
      </w:tr>
      <w:tr w:rsidR="0033145B" w:rsidRPr="004D5F9F" w14:paraId="6300F86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24D917" w14:textId="5F334575" w:rsidR="00CD28E3" w:rsidRPr="00541ABB" w:rsidRDefault="00DD0621" w:rsidP="00CD28E3">
            <w:pPr>
              <w:jc w:val="center"/>
              <w:rPr>
                <w:szCs w:val="22"/>
                <w:lang w:eastAsia="zh-CN"/>
              </w:rPr>
            </w:pPr>
            <w:r>
              <w:rPr>
                <w:szCs w:val="22"/>
              </w:rPr>
              <w:t>39</w:t>
            </w:r>
          </w:p>
        </w:tc>
        <w:tc>
          <w:tcPr>
            <w:tcW w:w="3380" w:type="dxa"/>
            <w:tcBorders>
              <w:top w:val="nil"/>
              <w:left w:val="nil"/>
              <w:bottom w:val="single" w:sz="4" w:space="0" w:color="auto"/>
              <w:right w:val="single" w:sz="4" w:space="0" w:color="auto"/>
            </w:tcBorders>
            <w:shd w:val="clear" w:color="auto" w:fill="auto"/>
            <w:vAlign w:val="center"/>
            <w:hideMark/>
          </w:tcPr>
          <w:p w14:paraId="45A923D1" w14:textId="77777777" w:rsidR="00CD28E3" w:rsidRPr="00541ABB" w:rsidRDefault="00CD28E3" w:rsidP="00CD28E3">
            <w:pPr>
              <w:jc w:val="left"/>
              <w:rPr>
                <w:szCs w:val="22"/>
                <w:lang w:eastAsia="zh-CN"/>
              </w:rPr>
            </w:pPr>
            <w:r>
              <w:rPr>
                <w:szCs w:val="22"/>
              </w:rPr>
              <w:t>France</w:t>
            </w:r>
          </w:p>
        </w:tc>
        <w:tc>
          <w:tcPr>
            <w:tcW w:w="1720" w:type="dxa"/>
            <w:tcBorders>
              <w:top w:val="nil"/>
              <w:left w:val="nil"/>
              <w:bottom w:val="single" w:sz="4" w:space="0" w:color="auto"/>
              <w:right w:val="single" w:sz="4" w:space="0" w:color="auto"/>
            </w:tcBorders>
            <w:shd w:val="clear" w:color="auto" w:fill="auto"/>
            <w:vAlign w:val="center"/>
            <w:hideMark/>
          </w:tcPr>
          <w:p w14:paraId="04CFE850" w14:textId="77777777" w:rsidR="00CD28E3" w:rsidRPr="00541ABB" w:rsidRDefault="00CD28E3" w:rsidP="00CD28E3">
            <w:pPr>
              <w:jc w:val="center"/>
              <w:rPr>
                <w:szCs w:val="22"/>
                <w:lang w:eastAsia="zh-CN"/>
              </w:rPr>
            </w:pPr>
            <w:r>
              <w:rPr>
                <w:szCs w:val="22"/>
              </w:rPr>
              <w:t>4,427</w:t>
            </w:r>
          </w:p>
        </w:tc>
        <w:tc>
          <w:tcPr>
            <w:tcW w:w="1720" w:type="dxa"/>
            <w:tcBorders>
              <w:top w:val="nil"/>
              <w:left w:val="nil"/>
              <w:bottom w:val="single" w:sz="4" w:space="0" w:color="auto"/>
              <w:right w:val="single" w:sz="4" w:space="0" w:color="auto"/>
            </w:tcBorders>
            <w:shd w:val="clear" w:color="auto" w:fill="auto"/>
            <w:noWrap/>
            <w:vAlign w:val="center"/>
            <w:hideMark/>
          </w:tcPr>
          <w:p w14:paraId="3710014E" w14:textId="77777777" w:rsidR="00CD28E3" w:rsidRPr="00541ABB" w:rsidRDefault="00CD28E3" w:rsidP="00CD28E3">
            <w:pPr>
              <w:jc w:val="center"/>
              <w:rPr>
                <w:szCs w:val="22"/>
                <w:lang w:eastAsia="zh-CN"/>
              </w:rPr>
            </w:pPr>
            <w:r>
              <w:rPr>
                <w:szCs w:val="22"/>
              </w:rPr>
              <w:t>7,111</w:t>
            </w:r>
          </w:p>
        </w:tc>
        <w:tc>
          <w:tcPr>
            <w:tcW w:w="1720" w:type="dxa"/>
            <w:tcBorders>
              <w:top w:val="nil"/>
              <w:left w:val="nil"/>
              <w:bottom w:val="single" w:sz="4" w:space="0" w:color="auto"/>
              <w:right w:val="single" w:sz="4" w:space="0" w:color="auto"/>
            </w:tcBorders>
            <w:shd w:val="clear" w:color="auto" w:fill="auto"/>
            <w:noWrap/>
            <w:vAlign w:val="center"/>
            <w:hideMark/>
          </w:tcPr>
          <w:p w14:paraId="7C0EE8AC" w14:textId="77777777" w:rsidR="00CD28E3" w:rsidRPr="00541ABB" w:rsidRDefault="00CD28E3" w:rsidP="00CD28E3">
            <w:pPr>
              <w:jc w:val="right"/>
              <w:rPr>
                <w:szCs w:val="22"/>
                <w:lang w:eastAsia="zh-CN"/>
              </w:rPr>
            </w:pPr>
            <w:r>
              <w:rPr>
                <w:szCs w:val="22"/>
              </w:rPr>
              <w:t>122 936</w:t>
            </w:r>
          </w:p>
        </w:tc>
      </w:tr>
      <w:tr w:rsidR="0033145B" w:rsidRPr="004D5F9F" w14:paraId="5A060F5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478E2B" w14:textId="45BA53B4" w:rsidR="00CD28E3" w:rsidRPr="00541ABB" w:rsidRDefault="00DD0621" w:rsidP="00CD28E3">
            <w:pPr>
              <w:jc w:val="center"/>
              <w:rPr>
                <w:szCs w:val="22"/>
                <w:lang w:eastAsia="zh-CN"/>
              </w:rPr>
            </w:pPr>
            <w:r>
              <w:rPr>
                <w:szCs w:val="22"/>
              </w:rPr>
              <w:t>40</w:t>
            </w:r>
          </w:p>
        </w:tc>
        <w:tc>
          <w:tcPr>
            <w:tcW w:w="3380" w:type="dxa"/>
            <w:tcBorders>
              <w:top w:val="nil"/>
              <w:left w:val="nil"/>
              <w:bottom w:val="single" w:sz="4" w:space="0" w:color="auto"/>
              <w:right w:val="single" w:sz="4" w:space="0" w:color="auto"/>
            </w:tcBorders>
            <w:shd w:val="clear" w:color="auto" w:fill="auto"/>
            <w:vAlign w:val="center"/>
            <w:hideMark/>
          </w:tcPr>
          <w:p w14:paraId="4F25EB46" w14:textId="77777777" w:rsidR="00CD28E3" w:rsidRPr="00541ABB" w:rsidRDefault="00CD28E3" w:rsidP="00CD28E3">
            <w:pPr>
              <w:jc w:val="left"/>
              <w:rPr>
                <w:szCs w:val="22"/>
                <w:lang w:eastAsia="zh-CN"/>
              </w:rPr>
            </w:pPr>
            <w:r>
              <w:rPr>
                <w:szCs w:val="22"/>
              </w:rPr>
              <w:t>Gabon</w:t>
            </w:r>
          </w:p>
        </w:tc>
        <w:tc>
          <w:tcPr>
            <w:tcW w:w="1720" w:type="dxa"/>
            <w:tcBorders>
              <w:top w:val="nil"/>
              <w:left w:val="nil"/>
              <w:bottom w:val="single" w:sz="4" w:space="0" w:color="auto"/>
              <w:right w:val="single" w:sz="4" w:space="0" w:color="auto"/>
            </w:tcBorders>
            <w:shd w:val="clear" w:color="auto" w:fill="auto"/>
            <w:vAlign w:val="center"/>
            <w:hideMark/>
          </w:tcPr>
          <w:p w14:paraId="7CBFCC98" w14:textId="77777777" w:rsidR="00CD28E3" w:rsidRPr="00541ABB" w:rsidRDefault="00CD28E3" w:rsidP="00CD28E3">
            <w:pPr>
              <w:jc w:val="center"/>
              <w:rPr>
                <w:szCs w:val="22"/>
                <w:lang w:eastAsia="zh-CN"/>
              </w:rPr>
            </w:pPr>
            <w:r>
              <w:rPr>
                <w:szCs w:val="22"/>
              </w:rPr>
              <w:t>0,015</w:t>
            </w:r>
          </w:p>
        </w:tc>
        <w:tc>
          <w:tcPr>
            <w:tcW w:w="1720" w:type="dxa"/>
            <w:tcBorders>
              <w:top w:val="nil"/>
              <w:left w:val="nil"/>
              <w:bottom w:val="single" w:sz="4" w:space="0" w:color="auto"/>
              <w:right w:val="single" w:sz="4" w:space="0" w:color="auto"/>
            </w:tcBorders>
            <w:shd w:val="clear" w:color="auto" w:fill="auto"/>
            <w:noWrap/>
            <w:vAlign w:val="center"/>
            <w:hideMark/>
          </w:tcPr>
          <w:p w14:paraId="6518E032" w14:textId="77777777" w:rsidR="00CD28E3" w:rsidRPr="00541ABB" w:rsidRDefault="00CD28E3" w:rsidP="00CD28E3">
            <w:pPr>
              <w:jc w:val="center"/>
              <w:rPr>
                <w:szCs w:val="22"/>
                <w:lang w:eastAsia="zh-CN"/>
              </w:rPr>
            </w:pPr>
            <w:r>
              <w:rPr>
                <w:szCs w:val="22"/>
              </w:rPr>
              <w:t>0,024</w:t>
            </w:r>
          </w:p>
        </w:tc>
        <w:tc>
          <w:tcPr>
            <w:tcW w:w="1720" w:type="dxa"/>
            <w:tcBorders>
              <w:top w:val="nil"/>
              <w:left w:val="nil"/>
              <w:bottom w:val="single" w:sz="4" w:space="0" w:color="auto"/>
              <w:right w:val="single" w:sz="4" w:space="0" w:color="auto"/>
            </w:tcBorders>
            <w:shd w:val="clear" w:color="auto" w:fill="auto"/>
            <w:noWrap/>
            <w:vAlign w:val="center"/>
            <w:hideMark/>
          </w:tcPr>
          <w:p w14:paraId="065DDD79" w14:textId="77777777" w:rsidR="00CD28E3" w:rsidRPr="00541ABB" w:rsidRDefault="00CD28E3" w:rsidP="00CD28E3">
            <w:pPr>
              <w:jc w:val="right"/>
              <w:rPr>
                <w:szCs w:val="22"/>
                <w:lang w:eastAsia="zh-CN"/>
              </w:rPr>
            </w:pPr>
            <w:r>
              <w:rPr>
                <w:szCs w:val="22"/>
              </w:rPr>
              <w:t>417</w:t>
            </w:r>
          </w:p>
        </w:tc>
      </w:tr>
      <w:tr w:rsidR="0033145B" w:rsidRPr="004D5F9F" w14:paraId="0F86520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8893FE" w14:textId="5AF790BD" w:rsidR="00CD28E3" w:rsidRPr="00541ABB" w:rsidRDefault="00DD0621" w:rsidP="00CD28E3">
            <w:pPr>
              <w:jc w:val="center"/>
              <w:rPr>
                <w:szCs w:val="22"/>
                <w:lang w:eastAsia="zh-CN"/>
              </w:rPr>
            </w:pPr>
            <w:r>
              <w:rPr>
                <w:szCs w:val="22"/>
              </w:rPr>
              <w:t>41</w:t>
            </w:r>
          </w:p>
        </w:tc>
        <w:tc>
          <w:tcPr>
            <w:tcW w:w="3380" w:type="dxa"/>
            <w:tcBorders>
              <w:top w:val="nil"/>
              <w:left w:val="nil"/>
              <w:bottom w:val="single" w:sz="4" w:space="0" w:color="auto"/>
              <w:right w:val="single" w:sz="4" w:space="0" w:color="auto"/>
            </w:tcBorders>
            <w:shd w:val="clear" w:color="auto" w:fill="auto"/>
            <w:vAlign w:val="center"/>
            <w:hideMark/>
          </w:tcPr>
          <w:p w14:paraId="53A24101" w14:textId="77777777" w:rsidR="00CD28E3" w:rsidRPr="00541ABB" w:rsidRDefault="00CD28E3" w:rsidP="00CD28E3">
            <w:pPr>
              <w:jc w:val="left"/>
              <w:rPr>
                <w:szCs w:val="22"/>
                <w:lang w:eastAsia="zh-CN"/>
              </w:rPr>
            </w:pPr>
            <w:r>
              <w:rPr>
                <w:szCs w:val="22"/>
              </w:rPr>
              <w:t>Gambie</w:t>
            </w:r>
          </w:p>
        </w:tc>
        <w:tc>
          <w:tcPr>
            <w:tcW w:w="1720" w:type="dxa"/>
            <w:tcBorders>
              <w:top w:val="nil"/>
              <w:left w:val="nil"/>
              <w:bottom w:val="single" w:sz="4" w:space="0" w:color="auto"/>
              <w:right w:val="single" w:sz="4" w:space="0" w:color="auto"/>
            </w:tcBorders>
            <w:shd w:val="clear" w:color="auto" w:fill="auto"/>
            <w:vAlign w:val="center"/>
            <w:hideMark/>
          </w:tcPr>
          <w:p w14:paraId="12A49304"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4EA8B726"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39871D93" w14:textId="77777777" w:rsidR="00CD28E3" w:rsidRPr="00541ABB" w:rsidRDefault="00CD28E3" w:rsidP="00CD28E3">
            <w:pPr>
              <w:jc w:val="right"/>
              <w:rPr>
                <w:szCs w:val="22"/>
                <w:lang w:eastAsia="zh-CN"/>
              </w:rPr>
            </w:pPr>
            <w:r>
              <w:rPr>
                <w:szCs w:val="22"/>
              </w:rPr>
              <w:t>28</w:t>
            </w:r>
          </w:p>
        </w:tc>
      </w:tr>
      <w:tr w:rsidR="0033145B" w:rsidRPr="004D5F9F" w14:paraId="01D86DE1"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F8D854" w14:textId="01F52F13" w:rsidR="00CD28E3" w:rsidRPr="00541ABB" w:rsidRDefault="00DD0621" w:rsidP="00CD28E3">
            <w:pPr>
              <w:jc w:val="center"/>
              <w:rPr>
                <w:szCs w:val="22"/>
                <w:lang w:eastAsia="zh-CN"/>
              </w:rPr>
            </w:pPr>
            <w:r>
              <w:rPr>
                <w:szCs w:val="22"/>
              </w:rPr>
              <w:t>42</w:t>
            </w:r>
          </w:p>
        </w:tc>
        <w:tc>
          <w:tcPr>
            <w:tcW w:w="3380" w:type="dxa"/>
            <w:tcBorders>
              <w:top w:val="nil"/>
              <w:left w:val="nil"/>
              <w:bottom w:val="single" w:sz="4" w:space="0" w:color="auto"/>
              <w:right w:val="single" w:sz="4" w:space="0" w:color="auto"/>
            </w:tcBorders>
            <w:shd w:val="clear" w:color="auto" w:fill="auto"/>
            <w:vAlign w:val="center"/>
            <w:hideMark/>
          </w:tcPr>
          <w:p w14:paraId="4F8FF4B8" w14:textId="77777777" w:rsidR="00CD28E3" w:rsidRPr="00541ABB" w:rsidRDefault="00CD28E3" w:rsidP="00CD28E3">
            <w:pPr>
              <w:jc w:val="left"/>
              <w:rPr>
                <w:szCs w:val="22"/>
                <w:lang w:eastAsia="zh-CN"/>
              </w:rPr>
            </w:pPr>
            <w:r>
              <w:rPr>
                <w:szCs w:val="22"/>
              </w:rPr>
              <w:t>Ghana</w:t>
            </w:r>
          </w:p>
        </w:tc>
        <w:tc>
          <w:tcPr>
            <w:tcW w:w="1720" w:type="dxa"/>
            <w:tcBorders>
              <w:top w:val="nil"/>
              <w:left w:val="nil"/>
              <w:bottom w:val="single" w:sz="4" w:space="0" w:color="auto"/>
              <w:right w:val="single" w:sz="4" w:space="0" w:color="auto"/>
            </w:tcBorders>
            <w:shd w:val="clear" w:color="auto" w:fill="auto"/>
            <w:vAlign w:val="center"/>
            <w:hideMark/>
          </w:tcPr>
          <w:p w14:paraId="60AC0764" w14:textId="77777777" w:rsidR="00CD28E3" w:rsidRPr="00541ABB" w:rsidRDefault="00CD28E3" w:rsidP="00CD28E3">
            <w:pPr>
              <w:jc w:val="center"/>
              <w:rPr>
                <w:szCs w:val="22"/>
                <w:lang w:eastAsia="zh-CN"/>
              </w:rPr>
            </w:pPr>
            <w:r>
              <w:rPr>
                <w:szCs w:val="22"/>
              </w:rPr>
              <w:t>0,015</w:t>
            </w:r>
          </w:p>
        </w:tc>
        <w:tc>
          <w:tcPr>
            <w:tcW w:w="1720" w:type="dxa"/>
            <w:tcBorders>
              <w:top w:val="nil"/>
              <w:left w:val="nil"/>
              <w:bottom w:val="single" w:sz="4" w:space="0" w:color="auto"/>
              <w:right w:val="single" w:sz="4" w:space="0" w:color="auto"/>
            </w:tcBorders>
            <w:shd w:val="clear" w:color="auto" w:fill="auto"/>
            <w:noWrap/>
            <w:vAlign w:val="center"/>
            <w:hideMark/>
          </w:tcPr>
          <w:p w14:paraId="42A46B48" w14:textId="77777777" w:rsidR="00CD28E3" w:rsidRPr="00541ABB" w:rsidRDefault="00CD28E3" w:rsidP="00CD28E3">
            <w:pPr>
              <w:jc w:val="center"/>
              <w:rPr>
                <w:szCs w:val="22"/>
                <w:lang w:eastAsia="zh-CN"/>
              </w:rPr>
            </w:pPr>
            <w:r>
              <w:rPr>
                <w:szCs w:val="22"/>
              </w:rPr>
              <w:t>0,024</w:t>
            </w:r>
          </w:p>
        </w:tc>
        <w:tc>
          <w:tcPr>
            <w:tcW w:w="1720" w:type="dxa"/>
            <w:tcBorders>
              <w:top w:val="nil"/>
              <w:left w:val="nil"/>
              <w:bottom w:val="single" w:sz="4" w:space="0" w:color="auto"/>
              <w:right w:val="single" w:sz="4" w:space="0" w:color="auto"/>
            </w:tcBorders>
            <w:shd w:val="clear" w:color="auto" w:fill="auto"/>
            <w:noWrap/>
            <w:vAlign w:val="center"/>
            <w:hideMark/>
          </w:tcPr>
          <w:p w14:paraId="38B48ED6" w14:textId="77777777" w:rsidR="00CD28E3" w:rsidRPr="00541ABB" w:rsidRDefault="00CD28E3" w:rsidP="00CD28E3">
            <w:pPr>
              <w:jc w:val="right"/>
              <w:rPr>
                <w:szCs w:val="22"/>
                <w:lang w:eastAsia="zh-CN"/>
              </w:rPr>
            </w:pPr>
            <w:r>
              <w:rPr>
                <w:szCs w:val="22"/>
              </w:rPr>
              <w:t>417</w:t>
            </w:r>
          </w:p>
        </w:tc>
      </w:tr>
      <w:tr w:rsidR="0033145B" w:rsidRPr="004D5F9F" w14:paraId="53DF654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FC04D0" w14:textId="06D29F6D" w:rsidR="00CD28E3" w:rsidRPr="00541ABB" w:rsidRDefault="00DD0621" w:rsidP="00CD28E3">
            <w:pPr>
              <w:jc w:val="center"/>
              <w:rPr>
                <w:szCs w:val="22"/>
                <w:lang w:eastAsia="zh-CN"/>
              </w:rPr>
            </w:pPr>
            <w:r>
              <w:rPr>
                <w:szCs w:val="22"/>
              </w:rPr>
              <w:t>43</w:t>
            </w:r>
          </w:p>
        </w:tc>
        <w:tc>
          <w:tcPr>
            <w:tcW w:w="3380" w:type="dxa"/>
            <w:tcBorders>
              <w:top w:val="nil"/>
              <w:left w:val="nil"/>
              <w:bottom w:val="single" w:sz="4" w:space="0" w:color="auto"/>
              <w:right w:val="single" w:sz="4" w:space="0" w:color="auto"/>
            </w:tcBorders>
            <w:shd w:val="clear" w:color="auto" w:fill="auto"/>
            <w:vAlign w:val="center"/>
            <w:hideMark/>
          </w:tcPr>
          <w:p w14:paraId="6D51829E" w14:textId="77777777" w:rsidR="00CD28E3" w:rsidRPr="00541ABB" w:rsidRDefault="00CD28E3" w:rsidP="00CD28E3">
            <w:pPr>
              <w:jc w:val="left"/>
              <w:rPr>
                <w:szCs w:val="22"/>
                <w:lang w:eastAsia="zh-CN"/>
              </w:rPr>
            </w:pPr>
            <w:r>
              <w:rPr>
                <w:szCs w:val="22"/>
              </w:rPr>
              <w:t>Grèce</w:t>
            </w:r>
          </w:p>
        </w:tc>
        <w:tc>
          <w:tcPr>
            <w:tcW w:w="1720" w:type="dxa"/>
            <w:tcBorders>
              <w:top w:val="nil"/>
              <w:left w:val="nil"/>
              <w:bottom w:val="single" w:sz="4" w:space="0" w:color="auto"/>
              <w:right w:val="single" w:sz="4" w:space="0" w:color="auto"/>
            </w:tcBorders>
            <w:shd w:val="clear" w:color="auto" w:fill="auto"/>
            <w:vAlign w:val="center"/>
            <w:hideMark/>
          </w:tcPr>
          <w:p w14:paraId="6B0CDD2F" w14:textId="77777777" w:rsidR="00CD28E3" w:rsidRPr="00541ABB" w:rsidRDefault="00CD28E3" w:rsidP="00CD28E3">
            <w:pPr>
              <w:jc w:val="center"/>
              <w:rPr>
                <w:szCs w:val="22"/>
                <w:lang w:eastAsia="zh-CN"/>
              </w:rPr>
            </w:pPr>
            <w:r>
              <w:rPr>
                <w:szCs w:val="22"/>
              </w:rPr>
              <w:t>0,366</w:t>
            </w:r>
          </w:p>
        </w:tc>
        <w:tc>
          <w:tcPr>
            <w:tcW w:w="1720" w:type="dxa"/>
            <w:tcBorders>
              <w:top w:val="nil"/>
              <w:left w:val="nil"/>
              <w:bottom w:val="single" w:sz="4" w:space="0" w:color="auto"/>
              <w:right w:val="single" w:sz="4" w:space="0" w:color="auto"/>
            </w:tcBorders>
            <w:shd w:val="clear" w:color="auto" w:fill="auto"/>
            <w:noWrap/>
            <w:vAlign w:val="center"/>
            <w:hideMark/>
          </w:tcPr>
          <w:p w14:paraId="678E4297" w14:textId="77777777" w:rsidR="00CD28E3" w:rsidRPr="00541ABB" w:rsidRDefault="00CD28E3" w:rsidP="00CD28E3">
            <w:pPr>
              <w:jc w:val="center"/>
              <w:rPr>
                <w:szCs w:val="22"/>
                <w:lang w:eastAsia="zh-CN"/>
              </w:rPr>
            </w:pPr>
            <w:r>
              <w:rPr>
                <w:szCs w:val="22"/>
              </w:rPr>
              <w:t>0,588</w:t>
            </w:r>
          </w:p>
        </w:tc>
        <w:tc>
          <w:tcPr>
            <w:tcW w:w="1720" w:type="dxa"/>
            <w:tcBorders>
              <w:top w:val="nil"/>
              <w:left w:val="nil"/>
              <w:bottom w:val="single" w:sz="4" w:space="0" w:color="auto"/>
              <w:right w:val="single" w:sz="4" w:space="0" w:color="auto"/>
            </w:tcBorders>
            <w:shd w:val="clear" w:color="auto" w:fill="auto"/>
            <w:noWrap/>
            <w:vAlign w:val="center"/>
            <w:hideMark/>
          </w:tcPr>
          <w:p w14:paraId="579D980F" w14:textId="77777777" w:rsidR="00CD28E3" w:rsidRPr="00541ABB" w:rsidRDefault="00CD28E3" w:rsidP="00CD28E3">
            <w:pPr>
              <w:jc w:val="right"/>
              <w:rPr>
                <w:szCs w:val="22"/>
                <w:lang w:eastAsia="zh-CN"/>
              </w:rPr>
            </w:pPr>
            <w:r>
              <w:rPr>
                <w:szCs w:val="22"/>
              </w:rPr>
              <w:t>10 164</w:t>
            </w:r>
          </w:p>
        </w:tc>
      </w:tr>
      <w:tr w:rsidR="0033145B" w:rsidRPr="004D5F9F" w14:paraId="60C481B6"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3DD306" w14:textId="64ED2FF7" w:rsidR="00CD28E3" w:rsidRPr="00541ABB" w:rsidRDefault="004F4561" w:rsidP="00CD28E3">
            <w:pPr>
              <w:jc w:val="center"/>
              <w:rPr>
                <w:szCs w:val="22"/>
                <w:lang w:eastAsia="zh-CN"/>
              </w:rPr>
            </w:pPr>
            <w:r>
              <w:rPr>
                <w:szCs w:val="22"/>
              </w:rPr>
              <w:t>44</w:t>
            </w:r>
          </w:p>
        </w:tc>
        <w:tc>
          <w:tcPr>
            <w:tcW w:w="3380" w:type="dxa"/>
            <w:tcBorders>
              <w:top w:val="nil"/>
              <w:left w:val="nil"/>
              <w:bottom w:val="single" w:sz="4" w:space="0" w:color="auto"/>
              <w:right w:val="single" w:sz="4" w:space="0" w:color="auto"/>
            </w:tcBorders>
            <w:shd w:val="clear" w:color="auto" w:fill="auto"/>
            <w:vAlign w:val="center"/>
            <w:hideMark/>
          </w:tcPr>
          <w:p w14:paraId="2AD572C9" w14:textId="77777777" w:rsidR="00CD28E3" w:rsidRPr="00541ABB" w:rsidRDefault="00CD28E3" w:rsidP="00CD28E3">
            <w:pPr>
              <w:jc w:val="left"/>
              <w:rPr>
                <w:szCs w:val="22"/>
                <w:lang w:eastAsia="zh-CN"/>
              </w:rPr>
            </w:pPr>
            <w:r>
              <w:rPr>
                <w:szCs w:val="22"/>
              </w:rPr>
              <w:t>Guatemala</w:t>
            </w:r>
          </w:p>
        </w:tc>
        <w:tc>
          <w:tcPr>
            <w:tcW w:w="1720" w:type="dxa"/>
            <w:tcBorders>
              <w:top w:val="nil"/>
              <w:left w:val="nil"/>
              <w:bottom w:val="single" w:sz="4" w:space="0" w:color="auto"/>
              <w:right w:val="single" w:sz="4" w:space="0" w:color="auto"/>
            </w:tcBorders>
            <w:shd w:val="clear" w:color="auto" w:fill="auto"/>
            <w:vAlign w:val="center"/>
            <w:hideMark/>
          </w:tcPr>
          <w:p w14:paraId="59A1482F" w14:textId="77777777" w:rsidR="00CD28E3" w:rsidRPr="00541ABB" w:rsidRDefault="00CD28E3" w:rsidP="00CD28E3">
            <w:pPr>
              <w:jc w:val="center"/>
              <w:rPr>
                <w:szCs w:val="22"/>
                <w:lang w:eastAsia="zh-CN"/>
              </w:rPr>
            </w:pPr>
            <w:r>
              <w:rPr>
                <w:szCs w:val="22"/>
              </w:rPr>
              <w:t>0,036</w:t>
            </w:r>
          </w:p>
        </w:tc>
        <w:tc>
          <w:tcPr>
            <w:tcW w:w="1720" w:type="dxa"/>
            <w:tcBorders>
              <w:top w:val="nil"/>
              <w:left w:val="nil"/>
              <w:bottom w:val="single" w:sz="4" w:space="0" w:color="auto"/>
              <w:right w:val="single" w:sz="4" w:space="0" w:color="auto"/>
            </w:tcBorders>
            <w:shd w:val="clear" w:color="auto" w:fill="auto"/>
            <w:noWrap/>
            <w:vAlign w:val="center"/>
            <w:hideMark/>
          </w:tcPr>
          <w:p w14:paraId="1B5B11A3" w14:textId="77777777" w:rsidR="00CD28E3" w:rsidRPr="00541ABB" w:rsidRDefault="00CD28E3" w:rsidP="00CD28E3">
            <w:pPr>
              <w:jc w:val="center"/>
              <w:rPr>
                <w:szCs w:val="22"/>
                <w:lang w:eastAsia="zh-CN"/>
              </w:rPr>
            </w:pPr>
            <w:r>
              <w:rPr>
                <w:szCs w:val="22"/>
              </w:rPr>
              <w:t>0,058</w:t>
            </w:r>
          </w:p>
        </w:tc>
        <w:tc>
          <w:tcPr>
            <w:tcW w:w="1720" w:type="dxa"/>
            <w:tcBorders>
              <w:top w:val="nil"/>
              <w:left w:val="nil"/>
              <w:bottom w:val="single" w:sz="4" w:space="0" w:color="auto"/>
              <w:right w:val="single" w:sz="4" w:space="0" w:color="auto"/>
            </w:tcBorders>
            <w:shd w:val="clear" w:color="auto" w:fill="auto"/>
            <w:noWrap/>
            <w:vAlign w:val="center"/>
            <w:hideMark/>
          </w:tcPr>
          <w:p w14:paraId="0FC05689" w14:textId="77777777" w:rsidR="00CD28E3" w:rsidRPr="00541ABB" w:rsidRDefault="00CD28E3" w:rsidP="00CD28E3">
            <w:pPr>
              <w:jc w:val="right"/>
              <w:rPr>
                <w:szCs w:val="22"/>
                <w:lang w:eastAsia="zh-CN"/>
              </w:rPr>
            </w:pPr>
            <w:r>
              <w:rPr>
                <w:szCs w:val="22"/>
              </w:rPr>
              <w:t>1 000</w:t>
            </w:r>
          </w:p>
        </w:tc>
      </w:tr>
      <w:tr w:rsidR="0033145B" w:rsidRPr="004D5F9F" w14:paraId="4E02814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B108F1" w14:textId="4C3F6389" w:rsidR="00CD28E3" w:rsidRPr="00541ABB" w:rsidRDefault="004F4561" w:rsidP="00CD28E3">
            <w:pPr>
              <w:jc w:val="center"/>
              <w:rPr>
                <w:szCs w:val="22"/>
                <w:lang w:eastAsia="zh-CN"/>
              </w:rPr>
            </w:pPr>
            <w:r>
              <w:rPr>
                <w:szCs w:val="22"/>
              </w:rPr>
              <w:t>45</w:t>
            </w:r>
          </w:p>
        </w:tc>
        <w:tc>
          <w:tcPr>
            <w:tcW w:w="3380" w:type="dxa"/>
            <w:tcBorders>
              <w:top w:val="nil"/>
              <w:left w:val="nil"/>
              <w:bottom w:val="single" w:sz="4" w:space="0" w:color="auto"/>
              <w:right w:val="single" w:sz="4" w:space="0" w:color="auto"/>
            </w:tcBorders>
            <w:shd w:val="clear" w:color="auto" w:fill="auto"/>
            <w:vAlign w:val="center"/>
            <w:hideMark/>
          </w:tcPr>
          <w:p w14:paraId="3BB0FFFC" w14:textId="77777777" w:rsidR="00CD28E3" w:rsidRPr="00541ABB" w:rsidRDefault="00CD28E3" w:rsidP="00CD28E3">
            <w:pPr>
              <w:jc w:val="left"/>
              <w:rPr>
                <w:szCs w:val="22"/>
                <w:lang w:eastAsia="zh-CN"/>
              </w:rPr>
            </w:pPr>
            <w:r>
              <w:rPr>
                <w:szCs w:val="22"/>
              </w:rPr>
              <w:t>Guinée</w:t>
            </w:r>
          </w:p>
        </w:tc>
        <w:tc>
          <w:tcPr>
            <w:tcW w:w="1720" w:type="dxa"/>
            <w:tcBorders>
              <w:top w:val="nil"/>
              <w:left w:val="nil"/>
              <w:bottom w:val="single" w:sz="4" w:space="0" w:color="auto"/>
              <w:right w:val="single" w:sz="4" w:space="0" w:color="auto"/>
            </w:tcBorders>
            <w:shd w:val="clear" w:color="auto" w:fill="auto"/>
            <w:vAlign w:val="center"/>
            <w:hideMark/>
          </w:tcPr>
          <w:p w14:paraId="105938E5"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9E87492"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75CCD489" w14:textId="77777777" w:rsidR="00CD28E3" w:rsidRPr="00541ABB" w:rsidRDefault="00CD28E3" w:rsidP="00CD28E3">
            <w:pPr>
              <w:jc w:val="right"/>
              <w:rPr>
                <w:szCs w:val="22"/>
                <w:lang w:eastAsia="zh-CN"/>
              </w:rPr>
            </w:pPr>
            <w:r>
              <w:rPr>
                <w:szCs w:val="22"/>
              </w:rPr>
              <w:t>83</w:t>
            </w:r>
          </w:p>
        </w:tc>
      </w:tr>
      <w:tr w:rsidR="0033145B" w:rsidRPr="004D5F9F" w14:paraId="3F92AD8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25939F" w14:textId="2DCA2756" w:rsidR="00CD28E3" w:rsidRPr="00541ABB" w:rsidRDefault="004F4561" w:rsidP="00CD28E3">
            <w:pPr>
              <w:jc w:val="center"/>
              <w:rPr>
                <w:szCs w:val="22"/>
                <w:lang w:eastAsia="zh-CN"/>
              </w:rPr>
            </w:pPr>
            <w:r>
              <w:rPr>
                <w:szCs w:val="22"/>
              </w:rPr>
              <w:t>46</w:t>
            </w:r>
          </w:p>
        </w:tc>
        <w:tc>
          <w:tcPr>
            <w:tcW w:w="3380" w:type="dxa"/>
            <w:tcBorders>
              <w:top w:val="nil"/>
              <w:left w:val="nil"/>
              <w:bottom w:val="single" w:sz="4" w:space="0" w:color="auto"/>
              <w:right w:val="single" w:sz="4" w:space="0" w:color="auto"/>
            </w:tcBorders>
            <w:shd w:val="clear" w:color="auto" w:fill="auto"/>
            <w:vAlign w:val="center"/>
            <w:hideMark/>
          </w:tcPr>
          <w:p w14:paraId="299D2204" w14:textId="77777777" w:rsidR="00CD28E3" w:rsidRPr="00541ABB" w:rsidRDefault="00CD28E3" w:rsidP="00CD28E3">
            <w:pPr>
              <w:jc w:val="left"/>
              <w:rPr>
                <w:szCs w:val="22"/>
                <w:lang w:eastAsia="zh-CN"/>
              </w:rPr>
            </w:pPr>
            <w:r>
              <w:rPr>
                <w:szCs w:val="22"/>
              </w:rPr>
              <w:t>Guinée-Bissau</w:t>
            </w:r>
          </w:p>
        </w:tc>
        <w:tc>
          <w:tcPr>
            <w:tcW w:w="1720" w:type="dxa"/>
            <w:tcBorders>
              <w:top w:val="nil"/>
              <w:left w:val="nil"/>
              <w:bottom w:val="single" w:sz="4" w:space="0" w:color="auto"/>
              <w:right w:val="single" w:sz="4" w:space="0" w:color="auto"/>
            </w:tcBorders>
            <w:shd w:val="clear" w:color="auto" w:fill="auto"/>
            <w:vAlign w:val="center"/>
            <w:hideMark/>
          </w:tcPr>
          <w:p w14:paraId="0C2EB279"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76817637"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5FA106E7" w14:textId="77777777" w:rsidR="00CD28E3" w:rsidRPr="00541ABB" w:rsidRDefault="00CD28E3" w:rsidP="00CD28E3">
            <w:pPr>
              <w:jc w:val="right"/>
              <w:rPr>
                <w:szCs w:val="22"/>
                <w:lang w:eastAsia="zh-CN"/>
              </w:rPr>
            </w:pPr>
            <w:r>
              <w:rPr>
                <w:szCs w:val="22"/>
              </w:rPr>
              <w:t>28</w:t>
            </w:r>
          </w:p>
        </w:tc>
      </w:tr>
      <w:tr w:rsidR="0033145B" w:rsidRPr="004D5F9F" w14:paraId="41573876"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18C7B2" w14:textId="7C50053B" w:rsidR="00CD28E3" w:rsidRPr="00541ABB" w:rsidRDefault="004F4561" w:rsidP="00CD28E3">
            <w:pPr>
              <w:jc w:val="center"/>
              <w:rPr>
                <w:szCs w:val="22"/>
                <w:lang w:eastAsia="zh-CN"/>
              </w:rPr>
            </w:pPr>
            <w:r>
              <w:rPr>
                <w:szCs w:val="22"/>
              </w:rPr>
              <w:t>47</w:t>
            </w:r>
          </w:p>
        </w:tc>
        <w:tc>
          <w:tcPr>
            <w:tcW w:w="3380" w:type="dxa"/>
            <w:tcBorders>
              <w:top w:val="nil"/>
              <w:left w:val="nil"/>
              <w:bottom w:val="single" w:sz="4" w:space="0" w:color="auto"/>
              <w:right w:val="single" w:sz="4" w:space="0" w:color="auto"/>
            </w:tcBorders>
            <w:shd w:val="clear" w:color="auto" w:fill="auto"/>
            <w:vAlign w:val="center"/>
            <w:hideMark/>
          </w:tcPr>
          <w:p w14:paraId="46B1F0D3" w14:textId="77777777" w:rsidR="00CD28E3" w:rsidRPr="00541ABB" w:rsidRDefault="00CD28E3" w:rsidP="00CD28E3">
            <w:pPr>
              <w:jc w:val="left"/>
              <w:rPr>
                <w:szCs w:val="22"/>
                <w:lang w:eastAsia="zh-CN"/>
              </w:rPr>
            </w:pPr>
            <w:r>
              <w:rPr>
                <w:szCs w:val="22"/>
              </w:rPr>
              <w:t>Guyana</w:t>
            </w:r>
          </w:p>
        </w:tc>
        <w:tc>
          <w:tcPr>
            <w:tcW w:w="1720" w:type="dxa"/>
            <w:tcBorders>
              <w:top w:val="nil"/>
              <w:left w:val="nil"/>
              <w:bottom w:val="single" w:sz="4" w:space="0" w:color="auto"/>
              <w:right w:val="single" w:sz="4" w:space="0" w:color="auto"/>
            </w:tcBorders>
            <w:shd w:val="clear" w:color="auto" w:fill="auto"/>
            <w:vAlign w:val="center"/>
            <w:hideMark/>
          </w:tcPr>
          <w:p w14:paraId="33709D8E"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2590E55"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2D8779C5" w14:textId="77777777" w:rsidR="00CD28E3" w:rsidRPr="00541ABB" w:rsidRDefault="00CD28E3" w:rsidP="00CD28E3">
            <w:pPr>
              <w:jc w:val="right"/>
              <w:rPr>
                <w:szCs w:val="22"/>
                <w:lang w:eastAsia="zh-CN"/>
              </w:rPr>
            </w:pPr>
            <w:r>
              <w:rPr>
                <w:szCs w:val="22"/>
              </w:rPr>
              <w:t>56</w:t>
            </w:r>
          </w:p>
        </w:tc>
      </w:tr>
      <w:tr w:rsidR="0033145B" w:rsidRPr="004D5F9F" w14:paraId="15E9DCD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1DD2B2" w14:textId="396BB12C" w:rsidR="00CD28E3" w:rsidRPr="00541ABB" w:rsidRDefault="004F4561" w:rsidP="00CD28E3">
            <w:pPr>
              <w:jc w:val="center"/>
              <w:rPr>
                <w:szCs w:val="22"/>
                <w:lang w:eastAsia="zh-CN"/>
              </w:rPr>
            </w:pPr>
            <w:r>
              <w:rPr>
                <w:szCs w:val="22"/>
              </w:rPr>
              <w:t>48</w:t>
            </w:r>
          </w:p>
        </w:tc>
        <w:tc>
          <w:tcPr>
            <w:tcW w:w="3380" w:type="dxa"/>
            <w:tcBorders>
              <w:top w:val="nil"/>
              <w:left w:val="nil"/>
              <w:bottom w:val="single" w:sz="4" w:space="0" w:color="auto"/>
              <w:right w:val="single" w:sz="4" w:space="0" w:color="auto"/>
            </w:tcBorders>
            <w:shd w:val="clear" w:color="auto" w:fill="auto"/>
            <w:vAlign w:val="center"/>
            <w:hideMark/>
          </w:tcPr>
          <w:p w14:paraId="7528C99B" w14:textId="77777777" w:rsidR="00CD28E3" w:rsidRPr="00541ABB" w:rsidRDefault="00CD28E3" w:rsidP="00CD28E3">
            <w:pPr>
              <w:jc w:val="left"/>
              <w:rPr>
                <w:szCs w:val="22"/>
                <w:lang w:eastAsia="zh-CN"/>
              </w:rPr>
            </w:pPr>
            <w:r>
              <w:rPr>
                <w:szCs w:val="22"/>
              </w:rPr>
              <w:t>Honduras</w:t>
            </w:r>
          </w:p>
        </w:tc>
        <w:tc>
          <w:tcPr>
            <w:tcW w:w="1720" w:type="dxa"/>
            <w:tcBorders>
              <w:top w:val="nil"/>
              <w:left w:val="nil"/>
              <w:bottom w:val="single" w:sz="4" w:space="0" w:color="auto"/>
              <w:right w:val="single" w:sz="4" w:space="0" w:color="auto"/>
            </w:tcBorders>
            <w:shd w:val="clear" w:color="auto" w:fill="auto"/>
            <w:vAlign w:val="center"/>
            <w:hideMark/>
          </w:tcPr>
          <w:p w14:paraId="38CB426F" w14:textId="77777777" w:rsidR="00CD28E3" w:rsidRPr="00541ABB" w:rsidRDefault="00CD28E3" w:rsidP="00CD28E3">
            <w:pPr>
              <w:jc w:val="center"/>
              <w:rPr>
                <w:szCs w:val="22"/>
                <w:lang w:eastAsia="zh-CN"/>
              </w:rPr>
            </w:pPr>
            <w:r>
              <w:rPr>
                <w:szCs w:val="22"/>
              </w:rPr>
              <w:t>0,009</w:t>
            </w:r>
          </w:p>
        </w:tc>
        <w:tc>
          <w:tcPr>
            <w:tcW w:w="1720" w:type="dxa"/>
            <w:tcBorders>
              <w:top w:val="nil"/>
              <w:left w:val="nil"/>
              <w:bottom w:val="single" w:sz="4" w:space="0" w:color="auto"/>
              <w:right w:val="single" w:sz="4" w:space="0" w:color="auto"/>
            </w:tcBorders>
            <w:shd w:val="clear" w:color="auto" w:fill="auto"/>
            <w:noWrap/>
            <w:vAlign w:val="center"/>
            <w:hideMark/>
          </w:tcPr>
          <w:p w14:paraId="68C0715E" w14:textId="77777777" w:rsidR="00CD28E3" w:rsidRPr="00541ABB" w:rsidRDefault="00CD28E3" w:rsidP="00CD28E3">
            <w:pPr>
              <w:jc w:val="center"/>
              <w:rPr>
                <w:szCs w:val="22"/>
                <w:lang w:eastAsia="zh-CN"/>
              </w:rPr>
            </w:pPr>
            <w:r>
              <w:rPr>
                <w:szCs w:val="22"/>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39CA0335" w14:textId="77777777" w:rsidR="00CD28E3" w:rsidRPr="00541ABB" w:rsidRDefault="00CD28E3" w:rsidP="00CD28E3">
            <w:pPr>
              <w:jc w:val="right"/>
              <w:rPr>
                <w:szCs w:val="22"/>
                <w:lang w:eastAsia="zh-CN"/>
              </w:rPr>
            </w:pPr>
            <w:r>
              <w:rPr>
                <w:szCs w:val="22"/>
              </w:rPr>
              <w:t>250</w:t>
            </w:r>
          </w:p>
        </w:tc>
      </w:tr>
      <w:tr w:rsidR="0033145B" w:rsidRPr="00404415" w14:paraId="462911C7"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CA4D71" w14:textId="579CC6FC" w:rsidR="00CD28E3" w:rsidRPr="00404415" w:rsidRDefault="004F4561" w:rsidP="00CD28E3">
            <w:pPr>
              <w:jc w:val="center"/>
              <w:rPr>
                <w:szCs w:val="22"/>
                <w:lang w:eastAsia="zh-CN"/>
              </w:rPr>
            </w:pPr>
            <w:r w:rsidRPr="00404415">
              <w:rPr>
                <w:szCs w:val="22"/>
                <w:lang w:eastAsia="zh-CN"/>
              </w:rPr>
              <w:t>49</w:t>
            </w:r>
          </w:p>
        </w:tc>
        <w:tc>
          <w:tcPr>
            <w:tcW w:w="3380" w:type="dxa"/>
            <w:tcBorders>
              <w:top w:val="nil"/>
              <w:left w:val="nil"/>
              <w:bottom w:val="single" w:sz="4" w:space="0" w:color="auto"/>
              <w:right w:val="single" w:sz="4" w:space="0" w:color="auto"/>
            </w:tcBorders>
            <w:shd w:val="clear" w:color="auto" w:fill="auto"/>
            <w:vAlign w:val="center"/>
            <w:hideMark/>
          </w:tcPr>
          <w:p w14:paraId="3709D55F" w14:textId="77777777" w:rsidR="00CD28E3" w:rsidRPr="00404415" w:rsidRDefault="00CD28E3" w:rsidP="00CD28E3">
            <w:pPr>
              <w:jc w:val="left"/>
              <w:rPr>
                <w:szCs w:val="22"/>
                <w:lang w:eastAsia="zh-CN"/>
              </w:rPr>
            </w:pPr>
            <w:r w:rsidRPr="00404415">
              <w:rPr>
                <w:szCs w:val="22"/>
              </w:rPr>
              <w:t>Hongrie</w:t>
            </w:r>
          </w:p>
        </w:tc>
        <w:tc>
          <w:tcPr>
            <w:tcW w:w="1720" w:type="dxa"/>
            <w:tcBorders>
              <w:top w:val="nil"/>
              <w:left w:val="nil"/>
              <w:bottom w:val="single" w:sz="4" w:space="0" w:color="auto"/>
              <w:right w:val="single" w:sz="4" w:space="0" w:color="auto"/>
            </w:tcBorders>
            <w:shd w:val="clear" w:color="auto" w:fill="auto"/>
            <w:vAlign w:val="center"/>
            <w:hideMark/>
          </w:tcPr>
          <w:p w14:paraId="0F4B77E1" w14:textId="77777777" w:rsidR="00CD28E3" w:rsidRPr="00404415" w:rsidRDefault="00CD28E3" w:rsidP="00CD28E3">
            <w:pPr>
              <w:jc w:val="center"/>
              <w:rPr>
                <w:szCs w:val="22"/>
                <w:lang w:eastAsia="zh-CN"/>
              </w:rPr>
            </w:pPr>
            <w:r w:rsidRPr="00404415">
              <w:rPr>
                <w:szCs w:val="22"/>
              </w:rPr>
              <w:t>0,206</w:t>
            </w:r>
          </w:p>
        </w:tc>
        <w:tc>
          <w:tcPr>
            <w:tcW w:w="1720" w:type="dxa"/>
            <w:tcBorders>
              <w:top w:val="nil"/>
              <w:left w:val="nil"/>
              <w:bottom w:val="single" w:sz="4" w:space="0" w:color="auto"/>
              <w:right w:val="single" w:sz="4" w:space="0" w:color="auto"/>
            </w:tcBorders>
            <w:shd w:val="clear" w:color="auto" w:fill="auto"/>
            <w:noWrap/>
            <w:vAlign w:val="center"/>
            <w:hideMark/>
          </w:tcPr>
          <w:p w14:paraId="5D42A876" w14:textId="77777777" w:rsidR="00CD28E3" w:rsidRPr="00404415" w:rsidRDefault="00CD28E3" w:rsidP="00CD28E3">
            <w:pPr>
              <w:jc w:val="center"/>
              <w:rPr>
                <w:szCs w:val="22"/>
                <w:lang w:eastAsia="zh-CN"/>
              </w:rPr>
            </w:pPr>
            <w:r w:rsidRPr="00404415">
              <w:rPr>
                <w:szCs w:val="22"/>
              </w:rPr>
              <w:t>0,331</w:t>
            </w:r>
          </w:p>
        </w:tc>
        <w:tc>
          <w:tcPr>
            <w:tcW w:w="1720" w:type="dxa"/>
            <w:tcBorders>
              <w:top w:val="nil"/>
              <w:left w:val="nil"/>
              <w:bottom w:val="single" w:sz="4" w:space="0" w:color="auto"/>
              <w:right w:val="single" w:sz="4" w:space="0" w:color="auto"/>
            </w:tcBorders>
            <w:shd w:val="clear" w:color="auto" w:fill="auto"/>
            <w:noWrap/>
            <w:vAlign w:val="center"/>
            <w:hideMark/>
          </w:tcPr>
          <w:p w14:paraId="614599C5" w14:textId="77777777" w:rsidR="00CD28E3" w:rsidRPr="00404415" w:rsidRDefault="00CD28E3" w:rsidP="00CD28E3">
            <w:pPr>
              <w:jc w:val="right"/>
              <w:rPr>
                <w:szCs w:val="22"/>
                <w:lang w:eastAsia="zh-CN"/>
              </w:rPr>
            </w:pPr>
            <w:r w:rsidRPr="00404415">
              <w:rPr>
                <w:szCs w:val="22"/>
              </w:rPr>
              <w:t>5 721</w:t>
            </w:r>
          </w:p>
        </w:tc>
      </w:tr>
      <w:tr w:rsidR="00404415" w:rsidRPr="00404415" w14:paraId="1706BE48" w14:textId="77777777" w:rsidTr="00404415">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4F5AA2" w14:textId="18023C65" w:rsidR="00404415" w:rsidRPr="00404415" w:rsidRDefault="00404415" w:rsidP="007A2D76">
            <w:pPr>
              <w:jc w:val="center"/>
              <w:rPr>
                <w:szCs w:val="22"/>
                <w:lang w:eastAsia="zh-CN"/>
              </w:rPr>
            </w:pPr>
            <w:r w:rsidRPr="00404415">
              <w:rPr>
                <w:szCs w:val="22"/>
                <w:lang w:eastAsia="zh-CN"/>
              </w:rPr>
              <w:t>50</w:t>
            </w:r>
          </w:p>
        </w:tc>
        <w:tc>
          <w:tcPr>
            <w:tcW w:w="3380" w:type="dxa"/>
            <w:tcBorders>
              <w:top w:val="nil"/>
              <w:left w:val="nil"/>
              <w:bottom w:val="single" w:sz="4" w:space="0" w:color="auto"/>
              <w:right w:val="single" w:sz="4" w:space="0" w:color="auto"/>
            </w:tcBorders>
            <w:shd w:val="clear" w:color="auto" w:fill="auto"/>
            <w:vAlign w:val="center"/>
            <w:hideMark/>
          </w:tcPr>
          <w:p w14:paraId="3154EAAB" w14:textId="77777777" w:rsidR="00404415" w:rsidRPr="00404415" w:rsidRDefault="00404415" w:rsidP="007A2D76">
            <w:pPr>
              <w:jc w:val="left"/>
              <w:rPr>
                <w:szCs w:val="22"/>
              </w:rPr>
            </w:pPr>
            <w:r w:rsidRPr="00404415">
              <w:rPr>
                <w:szCs w:val="22"/>
              </w:rPr>
              <w:t>Îles Marshall</w:t>
            </w:r>
          </w:p>
        </w:tc>
        <w:tc>
          <w:tcPr>
            <w:tcW w:w="1720" w:type="dxa"/>
            <w:tcBorders>
              <w:top w:val="nil"/>
              <w:left w:val="nil"/>
              <w:bottom w:val="single" w:sz="4" w:space="0" w:color="auto"/>
              <w:right w:val="single" w:sz="4" w:space="0" w:color="auto"/>
            </w:tcBorders>
            <w:shd w:val="clear" w:color="auto" w:fill="auto"/>
            <w:vAlign w:val="center"/>
            <w:hideMark/>
          </w:tcPr>
          <w:p w14:paraId="21BB7897" w14:textId="77777777" w:rsidR="00404415" w:rsidRPr="00404415" w:rsidRDefault="00404415" w:rsidP="007A2D76">
            <w:pPr>
              <w:jc w:val="center"/>
              <w:rPr>
                <w:szCs w:val="22"/>
              </w:rPr>
            </w:pPr>
            <w:r w:rsidRPr="00404415">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300E03DC" w14:textId="77777777" w:rsidR="00404415" w:rsidRPr="00404415" w:rsidRDefault="00404415" w:rsidP="007A2D76">
            <w:pPr>
              <w:jc w:val="center"/>
              <w:rPr>
                <w:szCs w:val="22"/>
              </w:rPr>
            </w:pPr>
            <w:r w:rsidRPr="00404415">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4B6E1F2" w14:textId="77777777" w:rsidR="00404415" w:rsidRPr="00404415" w:rsidRDefault="00404415" w:rsidP="007A2D76">
            <w:pPr>
              <w:jc w:val="right"/>
              <w:rPr>
                <w:szCs w:val="22"/>
              </w:rPr>
            </w:pPr>
            <w:r w:rsidRPr="00404415">
              <w:rPr>
                <w:szCs w:val="22"/>
              </w:rPr>
              <w:t>28</w:t>
            </w:r>
          </w:p>
        </w:tc>
      </w:tr>
      <w:tr w:rsidR="00404415" w:rsidRPr="004D5F9F" w14:paraId="73363136" w14:textId="77777777" w:rsidTr="00404415">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82BEAB" w14:textId="7B2533DB" w:rsidR="00404415" w:rsidRPr="00404415" w:rsidRDefault="00404415" w:rsidP="007A2D76">
            <w:pPr>
              <w:jc w:val="center"/>
              <w:rPr>
                <w:szCs w:val="22"/>
                <w:lang w:eastAsia="zh-CN"/>
              </w:rPr>
            </w:pPr>
            <w:r w:rsidRPr="00404415">
              <w:rPr>
                <w:szCs w:val="22"/>
                <w:lang w:eastAsia="zh-CN"/>
              </w:rPr>
              <w:t>51</w:t>
            </w:r>
          </w:p>
        </w:tc>
        <w:tc>
          <w:tcPr>
            <w:tcW w:w="3380" w:type="dxa"/>
            <w:tcBorders>
              <w:top w:val="nil"/>
              <w:left w:val="nil"/>
              <w:bottom w:val="single" w:sz="4" w:space="0" w:color="auto"/>
              <w:right w:val="single" w:sz="4" w:space="0" w:color="auto"/>
            </w:tcBorders>
            <w:shd w:val="clear" w:color="auto" w:fill="auto"/>
            <w:vAlign w:val="center"/>
            <w:hideMark/>
          </w:tcPr>
          <w:p w14:paraId="45D96AFB" w14:textId="77777777" w:rsidR="00404415" w:rsidRPr="00404415" w:rsidRDefault="00404415" w:rsidP="007A2D76">
            <w:pPr>
              <w:jc w:val="left"/>
              <w:rPr>
                <w:szCs w:val="22"/>
              </w:rPr>
            </w:pPr>
            <w:r w:rsidRPr="00404415">
              <w:rPr>
                <w:szCs w:val="22"/>
              </w:rPr>
              <w:t>Îles Salomon</w:t>
            </w:r>
          </w:p>
        </w:tc>
        <w:tc>
          <w:tcPr>
            <w:tcW w:w="1720" w:type="dxa"/>
            <w:tcBorders>
              <w:top w:val="nil"/>
              <w:left w:val="nil"/>
              <w:bottom w:val="single" w:sz="4" w:space="0" w:color="auto"/>
              <w:right w:val="single" w:sz="4" w:space="0" w:color="auto"/>
            </w:tcBorders>
            <w:shd w:val="clear" w:color="auto" w:fill="auto"/>
            <w:vAlign w:val="center"/>
            <w:hideMark/>
          </w:tcPr>
          <w:p w14:paraId="40E9F640" w14:textId="77777777" w:rsidR="00404415" w:rsidRPr="00404415" w:rsidRDefault="00404415" w:rsidP="007A2D76">
            <w:pPr>
              <w:jc w:val="center"/>
              <w:rPr>
                <w:szCs w:val="22"/>
              </w:rPr>
            </w:pPr>
            <w:r w:rsidRPr="00404415">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6A98D1A2" w14:textId="77777777" w:rsidR="00404415" w:rsidRPr="00404415" w:rsidRDefault="00404415" w:rsidP="007A2D76">
            <w:pPr>
              <w:jc w:val="center"/>
              <w:rPr>
                <w:szCs w:val="22"/>
              </w:rPr>
            </w:pPr>
            <w:r w:rsidRPr="00404415">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3AF32A2" w14:textId="77777777" w:rsidR="00404415" w:rsidRPr="00404415" w:rsidRDefault="00404415" w:rsidP="007A2D76">
            <w:pPr>
              <w:jc w:val="right"/>
              <w:rPr>
                <w:szCs w:val="22"/>
              </w:rPr>
            </w:pPr>
            <w:r w:rsidRPr="00404415">
              <w:rPr>
                <w:szCs w:val="22"/>
              </w:rPr>
              <w:t>28</w:t>
            </w:r>
          </w:p>
        </w:tc>
      </w:tr>
      <w:tr w:rsidR="0033145B" w:rsidRPr="004D5F9F" w14:paraId="1E35A2F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9BD8C2" w14:textId="17B46BC7" w:rsidR="00CD28E3" w:rsidRPr="00541ABB" w:rsidRDefault="00404415" w:rsidP="00CD28E3">
            <w:pPr>
              <w:jc w:val="center"/>
              <w:rPr>
                <w:szCs w:val="22"/>
                <w:lang w:eastAsia="zh-CN"/>
              </w:rPr>
            </w:pPr>
            <w:r>
              <w:rPr>
                <w:szCs w:val="22"/>
              </w:rPr>
              <w:t>52</w:t>
            </w:r>
          </w:p>
        </w:tc>
        <w:tc>
          <w:tcPr>
            <w:tcW w:w="3380" w:type="dxa"/>
            <w:tcBorders>
              <w:top w:val="nil"/>
              <w:left w:val="nil"/>
              <w:bottom w:val="single" w:sz="4" w:space="0" w:color="auto"/>
              <w:right w:val="single" w:sz="4" w:space="0" w:color="auto"/>
            </w:tcBorders>
            <w:shd w:val="clear" w:color="auto" w:fill="auto"/>
            <w:vAlign w:val="center"/>
            <w:hideMark/>
          </w:tcPr>
          <w:p w14:paraId="65D75FAB" w14:textId="77777777" w:rsidR="00CD28E3" w:rsidRPr="00541ABB" w:rsidRDefault="00CD28E3" w:rsidP="00CD28E3">
            <w:pPr>
              <w:jc w:val="left"/>
              <w:rPr>
                <w:szCs w:val="22"/>
                <w:lang w:eastAsia="zh-CN"/>
              </w:rPr>
            </w:pPr>
            <w:r>
              <w:rPr>
                <w:szCs w:val="22"/>
              </w:rPr>
              <w:t>Inde</w:t>
            </w:r>
          </w:p>
        </w:tc>
        <w:tc>
          <w:tcPr>
            <w:tcW w:w="1720" w:type="dxa"/>
            <w:tcBorders>
              <w:top w:val="nil"/>
              <w:left w:val="nil"/>
              <w:bottom w:val="single" w:sz="4" w:space="0" w:color="auto"/>
              <w:right w:val="single" w:sz="4" w:space="0" w:color="auto"/>
            </w:tcBorders>
            <w:shd w:val="clear" w:color="auto" w:fill="auto"/>
            <w:vAlign w:val="center"/>
            <w:hideMark/>
          </w:tcPr>
          <w:p w14:paraId="127E111E" w14:textId="77777777" w:rsidR="00CD28E3" w:rsidRPr="00541ABB" w:rsidRDefault="00CD28E3" w:rsidP="00CD28E3">
            <w:pPr>
              <w:jc w:val="center"/>
              <w:rPr>
                <w:szCs w:val="22"/>
                <w:lang w:eastAsia="zh-CN"/>
              </w:rPr>
            </w:pPr>
            <w:r>
              <w:rPr>
                <w:szCs w:val="22"/>
              </w:rPr>
              <w:t>0,834</w:t>
            </w:r>
          </w:p>
        </w:tc>
        <w:tc>
          <w:tcPr>
            <w:tcW w:w="1720" w:type="dxa"/>
            <w:tcBorders>
              <w:top w:val="nil"/>
              <w:left w:val="nil"/>
              <w:bottom w:val="single" w:sz="4" w:space="0" w:color="auto"/>
              <w:right w:val="single" w:sz="4" w:space="0" w:color="auto"/>
            </w:tcBorders>
            <w:shd w:val="clear" w:color="auto" w:fill="auto"/>
            <w:noWrap/>
            <w:vAlign w:val="center"/>
            <w:hideMark/>
          </w:tcPr>
          <w:p w14:paraId="09637841" w14:textId="77777777" w:rsidR="00CD28E3" w:rsidRPr="00541ABB" w:rsidRDefault="00CD28E3" w:rsidP="00CD28E3">
            <w:pPr>
              <w:jc w:val="center"/>
              <w:rPr>
                <w:szCs w:val="22"/>
                <w:lang w:eastAsia="zh-CN"/>
              </w:rPr>
            </w:pPr>
            <w:r>
              <w:rPr>
                <w:szCs w:val="22"/>
              </w:rPr>
              <w:t>1,340</w:t>
            </w:r>
          </w:p>
        </w:tc>
        <w:tc>
          <w:tcPr>
            <w:tcW w:w="1720" w:type="dxa"/>
            <w:tcBorders>
              <w:top w:val="nil"/>
              <w:left w:val="nil"/>
              <w:bottom w:val="single" w:sz="4" w:space="0" w:color="auto"/>
              <w:right w:val="single" w:sz="4" w:space="0" w:color="auto"/>
            </w:tcBorders>
            <w:shd w:val="clear" w:color="auto" w:fill="auto"/>
            <w:noWrap/>
            <w:vAlign w:val="center"/>
            <w:hideMark/>
          </w:tcPr>
          <w:p w14:paraId="48090C9C" w14:textId="77777777" w:rsidR="00CD28E3" w:rsidRPr="00541ABB" w:rsidRDefault="00CD28E3" w:rsidP="00CD28E3">
            <w:pPr>
              <w:jc w:val="right"/>
              <w:rPr>
                <w:szCs w:val="22"/>
                <w:lang w:eastAsia="zh-CN"/>
              </w:rPr>
            </w:pPr>
            <w:r>
              <w:rPr>
                <w:szCs w:val="22"/>
              </w:rPr>
              <w:t>23 160</w:t>
            </w:r>
          </w:p>
        </w:tc>
      </w:tr>
      <w:tr w:rsidR="0033145B" w:rsidRPr="004D5F9F" w14:paraId="6B69989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B91BCC" w14:textId="38CB0EA7" w:rsidR="00CD28E3" w:rsidRPr="00541ABB" w:rsidRDefault="00404415" w:rsidP="00CD28E3">
            <w:pPr>
              <w:jc w:val="center"/>
              <w:rPr>
                <w:szCs w:val="22"/>
                <w:lang w:eastAsia="zh-CN"/>
              </w:rPr>
            </w:pPr>
            <w:r>
              <w:rPr>
                <w:szCs w:val="22"/>
              </w:rPr>
              <w:t>53</w:t>
            </w:r>
          </w:p>
        </w:tc>
        <w:tc>
          <w:tcPr>
            <w:tcW w:w="3380" w:type="dxa"/>
            <w:tcBorders>
              <w:top w:val="nil"/>
              <w:left w:val="nil"/>
              <w:bottom w:val="single" w:sz="4" w:space="0" w:color="auto"/>
              <w:right w:val="single" w:sz="4" w:space="0" w:color="auto"/>
            </w:tcBorders>
            <w:shd w:val="clear" w:color="auto" w:fill="auto"/>
            <w:vAlign w:val="center"/>
            <w:hideMark/>
          </w:tcPr>
          <w:p w14:paraId="7A6C1A93" w14:textId="77777777" w:rsidR="00CD28E3" w:rsidRPr="00541ABB" w:rsidRDefault="00CD28E3" w:rsidP="00CD28E3">
            <w:pPr>
              <w:jc w:val="left"/>
              <w:rPr>
                <w:szCs w:val="22"/>
                <w:lang w:eastAsia="zh-CN"/>
              </w:rPr>
            </w:pPr>
            <w:r>
              <w:rPr>
                <w:szCs w:val="22"/>
              </w:rPr>
              <w:t>Indonésie</w:t>
            </w:r>
          </w:p>
        </w:tc>
        <w:tc>
          <w:tcPr>
            <w:tcW w:w="1720" w:type="dxa"/>
            <w:tcBorders>
              <w:top w:val="nil"/>
              <w:left w:val="nil"/>
              <w:bottom w:val="single" w:sz="4" w:space="0" w:color="auto"/>
              <w:right w:val="single" w:sz="4" w:space="0" w:color="auto"/>
            </w:tcBorders>
            <w:shd w:val="clear" w:color="auto" w:fill="auto"/>
            <w:vAlign w:val="center"/>
            <w:hideMark/>
          </w:tcPr>
          <w:p w14:paraId="204485D2" w14:textId="77777777" w:rsidR="00CD28E3" w:rsidRPr="00541ABB" w:rsidRDefault="00CD28E3" w:rsidP="00CD28E3">
            <w:pPr>
              <w:jc w:val="center"/>
              <w:rPr>
                <w:szCs w:val="22"/>
                <w:lang w:eastAsia="zh-CN"/>
              </w:rPr>
            </w:pPr>
            <w:r>
              <w:rPr>
                <w:szCs w:val="22"/>
              </w:rPr>
              <w:t>0,543</w:t>
            </w:r>
          </w:p>
        </w:tc>
        <w:tc>
          <w:tcPr>
            <w:tcW w:w="1720" w:type="dxa"/>
            <w:tcBorders>
              <w:top w:val="nil"/>
              <w:left w:val="nil"/>
              <w:bottom w:val="single" w:sz="4" w:space="0" w:color="auto"/>
              <w:right w:val="single" w:sz="4" w:space="0" w:color="auto"/>
            </w:tcBorders>
            <w:shd w:val="clear" w:color="auto" w:fill="auto"/>
            <w:noWrap/>
            <w:vAlign w:val="center"/>
            <w:hideMark/>
          </w:tcPr>
          <w:p w14:paraId="7FCE8C0C" w14:textId="77777777" w:rsidR="00CD28E3" w:rsidRPr="00541ABB" w:rsidRDefault="00CD28E3" w:rsidP="00CD28E3">
            <w:pPr>
              <w:jc w:val="center"/>
              <w:rPr>
                <w:szCs w:val="22"/>
                <w:lang w:eastAsia="zh-CN"/>
              </w:rPr>
            </w:pPr>
            <w:r>
              <w:rPr>
                <w:szCs w:val="22"/>
              </w:rPr>
              <w:t>0,872</w:t>
            </w:r>
          </w:p>
        </w:tc>
        <w:tc>
          <w:tcPr>
            <w:tcW w:w="1720" w:type="dxa"/>
            <w:tcBorders>
              <w:top w:val="nil"/>
              <w:left w:val="nil"/>
              <w:bottom w:val="single" w:sz="4" w:space="0" w:color="auto"/>
              <w:right w:val="single" w:sz="4" w:space="0" w:color="auto"/>
            </w:tcBorders>
            <w:shd w:val="clear" w:color="auto" w:fill="auto"/>
            <w:noWrap/>
            <w:vAlign w:val="center"/>
            <w:hideMark/>
          </w:tcPr>
          <w:p w14:paraId="31DFA27E" w14:textId="77777777" w:rsidR="00CD28E3" w:rsidRPr="00541ABB" w:rsidRDefault="00CD28E3" w:rsidP="00CD28E3">
            <w:pPr>
              <w:jc w:val="right"/>
              <w:rPr>
                <w:szCs w:val="22"/>
                <w:lang w:eastAsia="zh-CN"/>
              </w:rPr>
            </w:pPr>
            <w:r>
              <w:rPr>
                <w:szCs w:val="22"/>
              </w:rPr>
              <w:t>15 079</w:t>
            </w:r>
          </w:p>
        </w:tc>
      </w:tr>
      <w:tr w:rsidR="0033145B" w:rsidRPr="004D5F9F" w14:paraId="11C2E97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107489" w14:textId="0D4CE920" w:rsidR="00CD28E3" w:rsidRPr="00541ABB" w:rsidRDefault="00404415" w:rsidP="00CD28E3">
            <w:pPr>
              <w:jc w:val="center"/>
              <w:rPr>
                <w:szCs w:val="22"/>
                <w:lang w:eastAsia="zh-CN"/>
              </w:rPr>
            </w:pPr>
            <w:r>
              <w:rPr>
                <w:szCs w:val="22"/>
              </w:rPr>
              <w:t>54</w:t>
            </w:r>
          </w:p>
        </w:tc>
        <w:tc>
          <w:tcPr>
            <w:tcW w:w="3380" w:type="dxa"/>
            <w:tcBorders>
              <w:top w:val="nil"/>
              <w:left w:val="nil"/>
              <w:bottom w:val="single" w:sz="4" w:space="0" w:color="auto"/>
              <w:right w:val="single" w:sz="4" w:space="0" w:color="auto"/>
            </w:tcBorders>
            <w:shd w:val="clear" w:color="auto" w:fill="auto"/>
            <w:vAlign w:val="center"/>
            <w:hideMark/>
          </w:tcPr>
          <w:p w14:paraId="0B5379EC" w14:textId="77777777" w:rsidR="00CD28E3" w:rsidRPr="00541ABB" w:rsidRDefault="00CD28E3" w:rsidP="00CD28E3">
            <w:pPr>
              <w:jc w:val="left"/>
              <w:rPr>
                <w:szCs w:val="22"/>
                <w:lang w:eastAsia="zh-CN"/>
              </w:rPr>
            </w:pPr>
            <w:r>
              <w:rPr>
                <w:szCs w:val="22"/>
              </w:rPr>
              <w:t>Japon</w:t>
            </w:r>
          </w:p>
        </w:tc>
        <w:tc>
          <w:tcPr>
            <w:tcW w:w="1720" w:type="dxa"/>
            <w:tcBorders>
              <w:top w:val="nil"/>
              <w:left w:val="nil"/>
              <w:bottom w:val="single" w:sz="4" w:space="0" w:color="auto"/>
              <w:right w:val="single" w:sz="4" w:space="0" w:color="auto"/>
            </w:tcBorders>
            <w:shd w:val="clear" w:color="auto" w:fill="auto"/>
            <w:noWrap/>
            <w:vAlign w:val="center"/>
            <w:hideMark/>
          </w:tcPr>
          <w:p w14:paraId="1C791785" w14:textId="77777777" w:rsidR="00CD28E3" w:rsidRPr="00541ABB" w:rsidRDefault="00CD28E3" w:rsidP="00CD28E3">
            <w:pPr>
              <w:jc w:val="center"/>
              <w:rPr>
                <w:szCs w:val="22"/>
                <w:lang w:eastAsia="zh-CN"/>
              </w:rPr>
            </w:pPr>
            <w:r>
              <w:rPr>
                <w:szCs w:val="22"/>
              </w:rPr>
              <w:t>8,564</w:t>
            </w:r>
          </w:p>
        </w:tc>
        <w:tc>
          <w:tcPr>
            <w:tcW w:w="1720" w:type="dxa"/>
            <w:tcBorders>
              <w:top w:val="nil"/>
              <w:left w:val="nil"/>
              <w:bottom w:val="single" w:sz="4" w:space="0" w:color="auto"/>
              <w:right w:val="single" w:sz="4" w:space="0" w:color="auto"/>
            </w:tcBorders>
            <w:shd w:val="clear" w:color="auto" w:fill="auto"/>
            <w:noWrap/>
            <w:vAlign w:val="center"/>
            <w:hideMark/>
          </w:tcPr>
          <w:p w14:paraId="6C88196A" w14:textId="77777777" w:rsidR="00CD28E3" w:rsidRPr="00541ABB" w:rsidRDefault="00CD28E3" w:rsidP="00CD28E3">
            <w:pPr>
              <w:jc w:val="center"/>
              <w:rPr>
                <w:szCs w:val="22"/>
                <w:lang w:eastAsia="zh-CN"/>
              </w:rPr>
            </w:pPr>
            <w:r>
              <w:rPr>
                <w:szCs w:val="22"/>
              </w:rPr>
              <w:t>13,757</w:t>
            </w:r>
          </w:p>
        </w:tc>
        <w:tc>
          <w:tcPr>
            <w:tcW w:w="1720" w:type="dxa"/>
            <w:tcBorders>
              <w:top w:val="nil"/>
              <w:left w:val="nil"/>
              <w:bottom w:val="single" w:sz="4" w:space="0" w:color="auto"/>
              <w:right w:val="single" w:sz="4" w:space="0" w:color="auto"/>
            </w:tcBorders>
            <w:shd w:val="clear" w:color="auto" w:fill="auto"/>
            <w:noWrap/>
            <w:vAlign w:val="center"/>
            <w:hideMark/>
          </w:tcPr>
          <w:p w14:paraId="3C43D804" w14:textId="77777777" w:rsidR="00CD28E3" w:rsidRPr="00541ABB" w:rsidRDefault="00CD28E3" w:rsidP="00CD28E3">
            <w:pPr>
              <w:jc w:val="right"/>
              <w:rPr>
                <w:szCs w:val="22"/>
                <w:lang w:eastAsia="zh-CN"/>
              </w:rPr>
            </w:pPr>
            <w:r>
              <w:rPr>
                <w:szCs w:val="22"/>
              </w:rPr>
              <w:t>237 820</w:t>
            </w:r>
          </w:p>
        </w:tc>
      </w:tr>
      <w:tr w:rsidR="0033145B" w:rsidRPr="004D5F9F" w14:paraId="425A3F11"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847105" w14:textId="299C812E" w:rsidR="00CD28E3" w:rsidRPr="00541ABB" w:rsidRDefault="00404415" w:rsidP="00CD28E3">
            <w:pPr>
              <w:jc w:val="center"/>
              <w:rPr>
                <w:szCs w:val="22"/>
                <w:lang w:eastAsia="zh-CN"/>
              </w:rPr>
            </w:pPr>
            <w:r>
              <w:rPr>
                <w:szCs w:val="22"/>
              </w:rPr>
              <w:t>55</w:t>
            </w:r>
          </w:p>
        </w:tc>
        <w:tc>
          <w:tcPr>
            <w:tcW w:w="3380" w:type="dxa"/>
            <w:tcBorders>
              <w:top w:val="nil"/>
              <w:left w:val="nil"/>
              <w:bottom w:val="single" w:sz="4" w:space="0" w:color="auto"/>
              <w:right w:val="single" w:sz="4" w:space="0" w:color="auto"/>
            </w:tcBorders>
            <w:shd w:val="clear" w:color="auto" w:fill="auto"/>
            <w:vAlign w:val="center"/>
            <w:hideMark/>
          </w:tcPr>
          <w:p w14:paraId="5CF0BC62" w14:textId="77777777" w:rsidR="00CD28E3" w:rsidRPr="00541ABB" w:rsidRDefault="00CD28E3" w:rsidP="00CD28E3">
            <w:pPr>
              <w:jc w:val="left"/>
              <w:rPr>
                <w:szCs w:val="22"/>
                <w:lang w:eastAsia="zh-CN"/>
              </w:rPr>
            </w:pPr>
            <w:r>
              <w:rPr>
                <w:szCs w:val="22"/>
              </w:rPr>
              <w:t>Jordanie</w:t>
            </w:r>
          </w:p>
        </w:tc>
        <w:tc>
          <w:tcPr>
            <w:tcW w:w="1720" w:type="dxa"/>
            <w:tcBorders>
              <w:top w:val="nil"/>
              <w:left w:val="nil"/>
              <w:bottom w:val="single" w:sz="4" w:space="0" w:color="auto"/>
              <w:right w:val="single" w:sz="4" w:space="0" w:color="auto"/>
            </w:tcBorders>
            <w:shd w:val="clear" w:color="auto" w:fill="auto"/>
            <w:vAlign w:val="center"/>
            <w:hideMark/>
          </w:tcPr>
          <w:p w14:paraId="1A77E747" w14:textId="77777777" w:rsidR="00CD28E3" w:rsidRPr="00541ABB" w:rsidRDefault="00CD28E3" w:rsidP="00CD28E3">
            <w:pPr>
              <w:jc w:val="center"/>
              <w:rPr>
                <w:szCs w:val="22"/>
                <w:lang w:eastAsia="zh-CN"/>
              </w:rPr>
            </w:pPr>
            <w:r>
              <w:rPr>
                <w:szCs w:val="22"/>
              </w:rPr>
              <w:t>0,021</w:t>
            </w:r>
          </w:p>
        </w:tc>
        <w:tc>
          <w:tcPr>
            <w:tcW w:w="1720" w:type="dxa"/>
            <w:tcBorders>
              <w:top w:val="nil"/>
              <w:left w:val="nil"/>
              <w:bottom w:val="single" w:sz="4" w:space="0" w:color="auto"/>
              <w:right w:val="single" w:sz="4" w:space="0" w:color="auto"/>
            </w:tcBorders>
            <w:shd w:val="clear" w:color="auto" w:fill="auto"/>
            <w:noWrap/>
            <w:vAlign w:val="center"/>
            <w:hideMark/>
          </w:tcPr>
          <w:p w14:paraId="04F042F2" w14:textId="77777777" w:rsidR="00CD28E3" w:rsidRPr="00541ABB" w:rsidRDefault="00CD28E3" w:rsidP="00CD28E3">
            <w:pPr>
              <w:jc w:val="center"/>
              <w:rPr>
                <w:szCs w:val="22"/>
                <w:lang w:eastAsia="zh-CN"/>
              </w:rPr>
            </w:pPr>
            <w:r>
              <w:rPr>
                <w:szCs w:val="22"/>
              </w:rPr>
              <w:t>0,034</w:t>
            </w:r>
          </w:p>
        </w:tc>
        <w:tc>
          <w:tcPr>
            <w:tcW w:w="1720" w:type="dxa"/>
            <w:tcBorders>
              <w:top w:val="nil"/>
              <w:left w:val="nil"/>
              <w:bottom w:val="single" w:sz="4" w:space="0" w:color="auto"/>
              <w:right w:val="single" w:sz="4" w:space="0" w:color="auto"/>
            </w:tcBorders>
            <w:shd w:val="clear" w:color="auto" w:fill="auto"/>
            <w:noWrap/>
            <w:vAlign w:val="center"/>
            <w:hideMark/>
          </w:tcPr>
          <w:p w14:paraId="10450194" w14:textId="77777777" w:rsidR="00CD28E3" w:rsidRPr="00541ABB" w:rsidRDefault="00CD28E3" w:rsidP="00CD28E3">
            <w:pPr>
              <w:jc w:val="right"/>
              <w:rPr>
                <w:szCs w:val="22"/>
                <w:lang w:eastAsia="zh-CN"/>
              </w:rPr>
            </w:pPr>
            <w:r>
              <w:rPr>
                <w:szCs w:val="22"/>
              </w:rPr>
              <w:t>583</w:t>
            </w:r>
          </w:p>
        </w:tc>
      </w:tr>
      <w:tr w:rsidR="0033145B" w:rsidRPr="004D5F9F" w14:paraId="6F9907C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3240C6" w14:textId="62CABBFB" w:rsidR="00CD28E3" w:rsidRPr="00541ABB" w:rsidRDefault="00404415" w:rsidP="00CD28E3">
            <w:pPr>
              <w:jc w:val="center"/>
              <w:rPr>
                <w:szCs w:val="22"/>
                <w:lang w:eastAsia="zh-CN"/>
              </w:rPr>
            </w:pPr>
            <w:r>
              <w:rPr>
                <w:szCs w:val="22"/>
              </w:rPr>
              <w:t>56</w:t>
            </w:r>
          </w:p>
        </w:tc>
        <w:tc>
          <w:tcPr>
            <w:tcW w:w="3380" w:type="dxa"/>
            <w:tcBorders>
              <w:top w:val="nil"/>
              <w:left w:val="nil"/>
              <w:bottom w:val="single" w:sz="4" w:space="0" w:color="auto"/>
              <w:right w:val="single" w:sz="4" w:space="0" w:color="auto"/>
            </w:tcBorders>
            <w:shd w:val="clear" w:color="auto" w:fill="auto"/>
            <w:vAlign w:val="center"/>
            <w:hideMark/>
          </w:tcPr>
          <w:p w14:paraId="71EBBE59" w14:textId="77777777" w:rsidR="00CD28E3" w:rsidRPr="00541ABB" w:rsidRDefault="00CD28E3" w:rsidP="00CD28E3">
            <w:pPr>
              <w:jc w:val="left"/>
              <w:rPr>
                <w:szCs w:val="22"/>
                <w:lang w:eastAsia="zh-CN"/>
              </w:rPr>
            </w:pPr>
            <w:r>
              <w:rPr>
                <w:szCs w:val="22"/>
              </w:rPr>
              <w:t>Kazakhstan</w:t>
            </w:r>
          </w:p>
        </w:tc>
        <w:tc>
          <w:tcPr>
            <w:tcW w:w="1720" w:type="dxa"/>
            <w:tcBorders>
              <w:top w:val="nil"/>
              <w:left w:val="nil"/>
              <w:bottom w:val="single" w:sz="4" w:space="0" w:color="auto"/>
              <w:right w:val="single" w:sz="4" w:space="0" w:color="auto"/>
            </w:tcBorders>
            <w:shd w:val="clear" w:color="auto" w:fill="auto"/>
            <w:vAlign w:val="center"/>
            <w:hideMark/>
          </w:tcPr>
          <w:p w14:paraId="7BF2550A" w14:textId="77777777" w:rsidR="00CD28E3" w:rsidRPr="00541ABB" w:rsidRDefault="00CD28E3" w:rsidP="00CD28E3">
            <w:pPr>
              <w:jc w:val="center"/>
              <w:rPr>
                <w:szCs w:val="22"/>
                <w:lang w:eastAsia="zh-CN"/>
              </w:rPr>
            </w:pPr>
            <w:r>
              <w:rPr>
                <w:szCs w:val="22"/>
              </w:rPr>
              <w:t>0,178</w:t>
            </w:r>
          </w:p>
        </w:tc>
        <w:tc>
          <w:tcPr>
            <w:tcW w:w="1720" w:type="dxa"/>
            <w:tcBorders>
              <w:top w:val="nil"/>
              <w:left w:val="nil"/>
              <w:bottom w:val="single" w:sz="4" w:space="0" w:color="auto"/>
              <w:right w:val="single" w:sz="4" w:space="0" w:color="auto"/>
            </w:tcBorders>
            <w:shd w:val="clear" w:color="auto" w:fill="auto"/>
            <w:noWrap/>
            <w:vAlign w:val="center"/>
            <w:hideMark/>
          </w:tcPr>
          <w:p w14:paraId="1AB55274" w14:textId="77777777" w:rsidR="00CD28E3" w:rsidRPr="00541ABB" w:rsidRDefault="00CD28E3" w:rsidP="00CD28E3">
            <w:pPr>
              <w:jc w:val="center"/>
              <w:rPr>
                <w:szCs w:val="22"/>
                <w:lang w:eastAsia="zh-CN"/>
              </w:rPr>
            </w:pPr>
            <w:r>
              <w:rPr>
                <w:szCs w:val="22"/>
              </w:rPr>
              <w:t>0,286</w:t>
            </w:r>
          </w:p>
        </w:tc>
        <w:tc>
          <w:tcPr>
            <w:tcW w:w="1720" w:type="dxa"/>
            <w:tcBorders>
              <w:top w:val="nil"/>
              <w:left w:val="nil"/>
              <w:bottom w:val="single" w:sz="4" w:space="0" w:color="auto"/>
              <w:right w:val="single" w:sz="4" w:space="0" w:color="auto"/>
            </w:tcBorders>
            <w:shd w:val="clear" w:color="auto" w:fill="auto"/>
            <w:noWrap/>
            <w:vAlign w:val="center"/>
            <w:hideMark/>
          </w:tcPr>
          <w:p w14:paraId="3928DC52" w14:textId="77777777" w:rsidR="00CD28E3" w:rsidRPr="00541ABB" w:rsidRDefault="00CD28E3" w:rsidP="00CD28E3">
            <w:pPr>
              <w:jc w:val="right"/>
              <w:rPr>
                <w:szCs w:val="22"/>
                <w:lang w:eastAsia="zh-CN"/>
              </w:rPr>
            </w:pPr>
            <w:r>
              <w:rPr>
                <w:szCs w:val="22"/>
              </w:rPr>
              <w:t>4 943</w:t>
            </w:r>
          </w:p>
        </w:tc>
      </w:tr>
      <w:tr w:rsidR="0033145B" w:rsidRPr="004D5F9F" w14:paraId="643B661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CB92BD" w14:textId="11964E94" w:rsidR="00CD28E3" w:rsidRPr="00541ABB" w:rsidRDefault="00404415" w:rsidP="00CD28E3">
            <w:pPr>
              <w:jc w:val="center"/>
              <w:rPr>
                <w:szCs w:val="22"/>
                <w:lang w:eastAsia="zh-CN"/>
              </w:rPr>
            </w:pPr>
            <w:r>
              <w:rPr>
                <w:szCs w:val="22"/>
              </w:rPr>
              <w:t>57</w:t>
            </w:r>
          </w:p>
        </w:tc>
        <w:tc>
          <w:tcPr>
            <w:tcW w:w="3380" w:type="dxa"/>
            <w:tcBorders>
              <w:top w:val="nil"/>
              <w:left w:val="nil"/>
              <w:bottom w:val="single" w:sz="4" w:space="0" w:color="auto"/>
              <w:right w:val="single" w:sz="4" w:space="0" w:color="auto"/>
            </w:tcBorders>
            <w:shd w:val="clear" w:color="auto" w:fill="auto"/>
            <w:vAlign w:val="center"/>
            <w:hideMark/>
          </w:tcPr>
          <w:p w14:paraId="08C940D8" w14:textId="77777777" w:rsidR="00CD28E3" w:rsidRPr="00541ABB" w:rsidRDefault="00CD28E3" w:rsidP="00CD28E3">
            <w:pPr>
              <w:jc w:val="left"/>
              <w:rPr>
                <w:szCs w:val="22"/>
                <w:lang w:eastAsia="zh-CN"/>
              </w:rPr>
            </w:pPr>
            <w:r>
              <w:rPr>
                <w:szCs w:val="22"/>
              </w:rPr>
              <w:t>Kenya</w:t>
            </w:r>
          </w:p>
        </w:tc>
        <w:tc>
          <w:tcPr>
            <w:tcW w:w="1720" w:type="dxa"/>
            <w:tcBorders>
              <w:top w:val="nil"/>
              <w:left w:val="nil"/>
              <w:bottom w:val="single" w:sz="4" w:space="0" w:color="auto"/>
              <w:right w:val="single" w:sz="4" w:space="0" w:color="auto"/>
            </w:tcBorders>
            <w:shd w:val="clear" w:color="auto" w:fill="auto"/>
            <w:vAlign w:val="center"/>
            <w:hideMark/>
          </w:tcPr>
          <w:p w14:paraId="2BC94C54" w14:textId="77777777" w:rsidR="00CD28E3" w:rsidRPr="00541ABB" w:rsidRDefault="00CD28E3" w:rsidP="00CD28E3">
            <w:pPr>
              <w:jc w:val="center"/>
              <w:rPr>
                <w:szCs w:val="22"/>
                <w:lang w:eastAsia="zh-CN"/>
              </w:rPr>
            </w:pPr>
            <w:r>
              <w:rPr>
                <w:szCs w:val="22"/>
              </w:rPr>
              <w:t>0,024</w:t>
            </w:r>
          </w:p>
        </w:tc>
        <w:tc>
          <w:tcPr>
            <w:tcW w:w="1720" w:type="dxa"/>
            <w:tcBorders>
              <w:top w:val="nil"/>
              <w:left w:val="nil"/>
              <w:bottom w:val="single" w:sz="4" w:space="0" w:color="auto"/>
              <w:right w:val="single" w:sz="4" w:space="0" w:color="auto"/>
            </w:tcBorders>
            <w:shd w:val="clear" w:color="auto" w:fill="auto"/>
            <w:noWrap/>
            <w:vAlign w:val="center"/>
            <w:hideMark/>
          </w:tcPr>
          <w:p w14:paraId="6481EC49" w14:textId="77777777" w:rsidR="00CD28E3" w:rsidRPr="00541ABB" w:rsidRDefault="00CD28E3" w:rsidP="00CD28E3">
            <w:pPr>
              <w:jc w:val="center"/>
              <w:rPr>
                <w:szCs w:val="22"/>
                <w:lang w:eastAsia="zh-CN"/>
              </w:rPr>
            </w:pPr>
            <w:r>
              <w:rPr>
                <w:szCs w:val="22"/>
              </w:rPr>
              <w:t>0,039</w:t>
            </w:r>
          </w:p>
        </w:tc>
        <w:tc>
          <w:tcPr>
            <w:tcW w:w="1720" w:type="dxa"/>
            <w:tcBorders>
              <w:top w:val="nil"/>
              <w:left w:val="nil"/>
              <w:bottom w:val="single" w:sz="4" w:space="0" w:color="auto"/>
              <w:right w:val="single" w:sz="4" w:space="0" w:color="auto"/>
            </w:tcBorders>
            <w:shd w:val="clear" w:color="auto" w:fill="auto"/>
            <w:noWrap/>
            <w:vAlign w:val="center"/>
            <w:hideMark/>
          </w:tcPr>
          <w:p w14:paraId="67528814" w14:textId="77777777" w:rsidR="00CD28E3" w:rsidRPr="00541ABB" w:rsidRDefault="00CD28E3" w:rsidP="00CD28E3">
            <w:pPr>
              <w:jc w:val="right"/>
              <w:rPr>
                <w:szCs w:val="22"/>
                <w:lang w:eastAsia="zh-CN"/>
              </w:rPr>
            </w:pPr>
            <w:r>
              <w:rPr>
                <w:szCs w:val="22"/>
              </w:rPr>
              <w:t>666</w:t>
            </w:r>
          </w:p>
        </w:tc>
      </w:tr>
      <w:tr w:rsidR="00404415" w:rsidRPr="004D5F9F" w14:paraId="3E960DF0" w14:textId="77777777" w:rsidTr="00404415">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0E1507" w14:textId="3D663341" w:rsidR="00404415" w:rsidRPr="00541ABB" w:rsidRDefault="00404415" w:rsidP="007A2D76">
            <w:pPr>
              <w:jc w:val="center"/>
              <w:rPr>
                <w:szCs w:val="22"/>
              </w:rPr>
            </w:pPr>
            <w:r>
              <w:rPr>
                <w:szCs w:val="22"/>
              </w:rPr>
              <w:t>58</w:t>
            </w:r>
          </w:p>
        </w:tc>
        <w:tc>
          <w:tcPr>
            <w:tcW w:w="3380" w:type="dxa"/>
            <w:tcBorders>
              <w:top w:val="nil"/>
              <w:left w:val="nil"/>
              <w:bottom w:val="single" w:sz="4" w:space="0" w:color="auto"/>
              <w:right w:val="single" w:sz="4" w:space="0" w:color="auto"/>
            </w:tcBorders>
            <w:shd w:val="clear" w:color="auto" w:fill="auto"/>
            <w:vAlign w:val="center"/>
            <w:hideMark/>
          </w:tcPr>
          <w:p w14:paraId="4A4981D6" w14:textId="77777777" w:rsidR="00404415" w:rsidRPr="00541ABB" w:rsidRDefault="00404415" w:rsidP="007A2D76">
            <w:pPr>
              <w:jc w:val="left"/>
              <w:rPr>
                <w:szCs w:val="22"/>
              </w:rPr>
            </w:pPr>
            <w:r>
              <w:rPr>
                <w:szCs w:val="22"/>
              </w:rPr>
              <w:t>Kirghizistan</w:t>
            </w:r>
          </w:p>
        </w:tc>
        <w:tc>
          <w:tcPr>
            <w:tcW w:w="1720" w:type="dxa"/>
            <w:tcBorders>
              <w:top w:val="nil"/>
              <w:left w:val="nil"/>
              <w:bottom w:val="single" w:sz="4" w:space="0" w:color="auto"/>
              <w:right w:val="single" w:sz="4" w:space="0" w:color="auto"/>
            </w:tcBorders>
            <w:shd w:val="clear" w:color="auto" w:fill="auto"/>
            <w:vAlign w:val="center"/>
            <w:hideMark/>
          </w:tcPr>
          <w:p w14:paraId="0106D5D9" w14:textId="77777777" w:rsidR="00404415" w:rsidRPr="00541ABB" w:rsidRDefault="00404415" w:rsidP="007A2D76">
            <w:pPr>
              <w:jc w:val="center"/>
              <w:rPr>
                <w:szCs w:val="22"/>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E4696E8" w14:textId="77777777" w:rsidR="00404415" w:rsidRPr="00541ABB" w:rsidRDefault="00404415" w:rsidP="007A2D76">
            <w:pPr>
              <w:jc w:val="center"/>
              <w:rPr>
                <w:szCs w:val="22"/>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75184182" w14:textId="77777777" w:rsidR="00404415" w:rsidRPr="00541ABB" w:rsidRDefault="00404415" w:rsidP="007A2D76">
            <w:pPr>
              <w:jc w:val="right"/>
              <w:rPr>
                <w:szCs w:val="22"/>
              </w:rPr>
            </w:pPr>
            <w:r>
              <w:rPr>
                <w:szCs w:val="22"/>
              </w:rPr>
              <w:t>56</w:t>
            </w:r>
          </w:p>
        </w:tc>
      </w:tr>
      <w:tr w:rsidR="0033145B" w:rsidRPr="004D5F9F" w14:paraId="7394202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C97A98" w14:textId="0E87F846" w:rsidR="00CD28E3" w:rsidRPr="00541ABB" w:rsidRDefault="00404415" w:rsidP="00CD28E3">
            <w:pPr>
              <w:jc w:val="center"/>
              <w:rPr>
                <w:szCs w:val="22"/>
                <w:lang w:eastAsia="zh-CN"/>
              </w:rPr>
            </w:pPr>
            <w:r>
              <w:rPr>
                <w:szCs w:val="22"/>
              </w:rPr>
              <w:t>59</w:t>
            </w:r>
          </w:p>
        </w:tc>
        <w:tc>
          <w:tcPr>
            <w:tcW w:w="3380" w:type="dxa"/>
            <w:tcBorders>
              <w:top w:val="nil"/>
              <w:left w:val="nil"/>
              <w:bottom w:val="single" w:sz="4" w:space="0" w:color="auto"/>
              <w:right w:val="single" w:sz="4" w:space="0" w:color="auto"/>
            </w:tcBorders>
            <w:shd w:val="clear" w:color="auto" w:fill="auto"/>
            <w:vAlign w:val="center"/>
            <w:hideMark/>
          </w:tcPr>
          <w:p w14:paraId="2D70F010" w14:textId="77777777" w:rsidR="00CD28E3" w:rsidRPr="00541ABB" w:rsidRDefault="00CD28E3" w:rsidP="00CD28E3">
            <w:pPr>
              <w:jc w:val="left"/>
              <w:rPr>
                <w:szCs w:val="22"/>
                <w:lang w:eastAsia="zh-CN"/>
              </w:rPr>
            </w:pPr>
            <w:r>
              <w:rPr>
                <w:szCs w:val="22"/>
              </w:rPr>
              <w:t>Kiribati</w:t>
            </w:r>
          </w:p>
        </w:tc>
        <w:tc>
          <w:tcPr>
            <w:tcW w:w="1720" w:type="dxa"/>
            <w:tcBorders>
              <w:top w:val="nil"/>
              <w:left w:val="nil"/>
              <w:bottom w:val="single" w:sz="4" w:space="0" w:color="auto"/>
              <w:right w:val="single" w:sz="4" w:space="0" w:color="auto"/>
            </w:tcBorders>
            <w:shd w:val="clear" w:color="auto" w:fill="auto"/>
            <w:vAlign w:val="center"/>
            <w:hideMark/>
          </w:tcPr>
          <w:p w14:paraId="60B65D4B"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4F25EB06"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CB62AC7" w14:textId="77777777" w:rsidR="00CD28E3" w:rsidRPr="00541ABB" w:rsidRDefault="00CD28E3" w:rsidP="00CD28E3">
            <w:pPr>
              <w:jc w:val="right"/>
              <w:rPr>
                <w:szCs w:val="22"/>
                <w:lang w:eastAsia="zh-CN"/>
              </w:rPr>
            </w:pPr>
            <w:r>
              <w:rPr>
                <w:szCs w:val="22"/>
              </w:rPr>
              <w:t>28</w:t>
            </w:r>
          </w:p>
        </w:tc>
      </w:tr>
      <w:tr w:rsidR="0033145B" w:rsidRPr="00793740" w14:paraId="6F976B0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A389B6" w14:textId="11D97969" w:rsidR="00CD28E3" w:rsidRPr="00793740" w:rsidRDefault="00404415" w:rsidP="00CD28E3">
            <w:pPr>
              <w:jc w:val="center"/>
              <w:rPr>
                <w:szCs w:val="22"/>
                <w:lang w:eastAsia="zh-CN"/>
              </w:rPr>
            </w:pPr>
            <w:r w:rsidRPr="00793740">
              <w:rPr>
                <w:szCs w:val="22"/>
              </w:rPr>
              <w:t>60</w:t>
            </w:r>
          </w:p>
        </w:tc>
        <w:tc>
          <w:tcPr>
            <w:tcW w:w="3380" w:type="dxa"/>
            <w:tcBorders>
              <w:top w:val="nil"/>
              <w:left w:val="nil"/>
              <w:bottom w:val="single" w:sz="4" w:space="0" w:color="auto"/>
              <w:right w:val="single" w:sz="4" w:space="0" w:color="auto"/>
            </w:tcBorders>
            <w:shd w:val="clear" w:color="auto" w:fill="auto"/>
            <w:vAlign w:val="center"/>
            <w:hideMark/>
          </w:tcPr>
          <w:p w14:paraId="60E6CE7A" w14:textId="77777777" w:rsidR="00CD28E3" w:rsidRPr="00793740" w:rsidRDefault="00CD28E3" w:rsidP="00CD28E3">
            <w:pPr>
              <w:jc w:val="left"/>
              <w:rPr>
                <w:szCs w:val="22"/>
                <w:lang w:eastAsia="zh-CN"/>
              </w:rPr>
            </w:pPr>
            <w:r w:rsidRPr="00793740">
              <w:rPr>
                <w:szCs w:val="22"/>
              </w:rPr>
              <w:t>Koweït</w:t>
            </w:r>
          </w:p>
        </w:tc>
        <w:tc>
          <w:tcPr>
            <w:tcW w:w="1720" w:type="dxa"/>
            <w:tcBorders>
              <w:top w:val="nil"/>
              <w:left w:val="nil"/>
              <w:bottom w:val="single" w:sz="4" w:space="0" w:color="auto"/>
              <w:right w:val="single" w:sz="4" w:space="0" w:color="auto"/>
            </w:tcBorders>
            <w:shd w:val="clear" w:color="auto" w:fill="auto"/>
            <w:vAlign w:val="center"/>
            <w:hideMark/>
          </w:tcPr>
          <w:p w14:paraId="118C037A" w14:textId="77777777" w:rsidR="00CD28E3" w:rsidRPr="00793740" w:rsidRDefault="00CD28E3" w:rsidP="00CD28E3">
            <w:pPr>
              <w:jc w:val="center"/>
              <w:rPr>
                <w:szCs w:val="22"/>
                <w:lang w:eastAsia="zh-CN"/>
              </w:rPr>
            </w:pPr>
            <w:r w:rsidRPr="00793740">
              <w:rPr>
                <w:szCs w:val="22"/>
              </w:rPr>
              <w:t>0,252</w:t>
            </w:r>
          </w:p>
        </w:tc>
        <w:tc>
          <w:tcPr>
            <w:tcW w:w="1720" w:type="dxa"/>
            <w:tcBorders>
              <w:top w:val="nil"/>
              <w:left w:val="nil"/>
              <w:bottom w:val="single" w:sz="4" w:space="0" w:color="auto"/>
              <w:right w:val="single" w:sz="4" w:space="0" w:color="auto"/>
            </w:tcBorders>
            <w:shd w:val="clear" w:color="auto" w:fill="auto"/>
            <w:noWrap/>
            <w:vAlign w:val="center"/>
            <w:hideMark/>
          </w:tcPr>
          <w:p w14:paraId="436E1B0A" w14:textId="77777777" w:rsidR="00CD28E3" w:rsidRPr="00793740" w:rsidRDefault="00CD28E3" w:rsidP="00CD28E3">
            <w:pPr>
              <w:jc w:val="center"/>
              <w:rPr>
                <w:szCs w:val="22"/>
                <w:lang w:eastAsia="zh-CN"/>
              </w:rPr>
            </w:pPr>
            <w:r w:rsidRPr="00793740">
              <w:rPr>
                <w:szCs w:val="22"/>
              </w:rPr>
              <w:t>0,405</w:t>
            </w:r>
          </w:p>
        </w:tc>
        <w:tc>
          <w:tcPr>
            <w:tcW w:w="1720" w:type="dxa"/>
            <w:tcBorders>
              <w:top w:val="nil"/>
              <w:left w:val="nil"/>
              <w:bottom w:val="single" w:sz="4" w:space="0" w:color="auto"/>
              <w:right w:val="single" w:sz="4" w:space="0" w:color="auto"/>
            </w:tcBorders>
            <w:shd w:val="clear" w:color="auto" w:fill="auto"/>
            <w:noWrap/>
            <w:vAlign w:val="center"/>
            <w:hideMark/>
          </w:tcPr>
          <w:p w14:paraId="72101F8D" w14:textId="77777777" w:rsidR="00CD28E3" w:rsidRPr="00793740" w:rsidRDefault="00CD28E3" w:rsidP="00CD28E3">
            <w:pPr>
              <w:jc w:val="right"/>
              <w:rPr>
                <w:szCs w:val="22"/>
                <w:lang w:eastAsia="zh-CN"/>
              </w:rPr>
            </w:pPr>
            <w:r w:rsidRPr="00793740">
              <w:rPr>
                <w:szCs w:val="22"/>
              </w:rPr>
              <w:t>6 998</w:t>
            </w:r>
          </w:p>
        </w:tc>
      </w:tr>
      <w:tr w:rsidR="00793740" w:rsidRPr="004D5F9F" w14:paraId="1B11182D" w14:textId="77777777" w:rsidTr="00793740">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638371" w14:textId="1E47EA8D" w:rsidR="00793740" w:rsidRPr="00793740" w:rsidRDefault="00793740" w:rsidP="007A2D76">
            <w:pPr>
              <w:jc w:val="center"/>
              <w:rPr>
                <w:szCs w:val="22"/>
              </w:rPr>
            </w:pPr>
            <w:r w:rsidRPr="00793740">
              <w:rPr>
                <w:szCs w:val="22"/>
              </w:rPr>
              <w:t>61</w:t>
            </w:r>
          </w:p>
        </w:tc>
        <w:tc>
          <w:tcPr>
            <w:tcW w:w="3380" w:type="dxa"/>
            <w:tcBorders>
              <w:top w:val="nil"/>
              <w:left w:val="nil"/>
              <w:bottom w:val="single" w:sz="4" w:space="0" w:color="auto"/>
              <w:right w:val="single" w:sz="4" w:space="0" w:color="auto"/>
            </w:tcBorders>
            <w:shd w:val="clear" w:color="auto" w:fill="auto"/>
            <w:vAlign w:val="center"/>
            <w:hideMark/>
          </w:tcPr>
          <w:p w14:paraId="03B643B9" w14:textId="77777777" w:rsidR="00793740" w:rsidRPr="00793740" w:rsidRDefault="00793740" w:rsidP="007A2D76">
            <w:pPr>
              <w:jc w:val="left"/>
              <w:rPr>
                <w:szCs w:val="22"/>
              </w:rPr>
            </w:pPr>
            <w:r w:rsidRPr="00793740">
              <w:rPr>
                <w:szCs w:val="22"/>
              </w:rPr>
              <w:t>Lesotho</w:t>
            </w:r>
          </w:p>
        </w:tc>
        <w:tc>
          <w:tcPr>
            <w:tcW w:w="1720" w:type="dxa"/>
            <w:tcBorders>
              <w:top w:val="nil"/>
              <w:left w:val="nil"/>
              <w:bottom w:val="single" w:sz="4" w:space="0" w:color="auto"/>
              <w:right w:val="single" w:sz="4" w:space="0" w:color="auto"/>
            </w:tcBorders>
            <w:shd w:val="clear" w:color="auto" w:fill="auto"/>
            <w:vAlign w:val="center"/>
            <w:hideMark/>
          </w:tcPr>
          <w:p w14:paraId="0250B021" w14:textId="77777777" w:rsidR="00793740" w:rsidRPr="00793740" w:rsidRDefault="00793740" w:rsidP="007A2D76">
            <w:pPr>
              <w:jc w:val="center"/>
              <w:rPr>
                <w:szCs w:val="22"/>
              </w:rPr>
            </w:pPr>
            <w:r w:rsidRPr="00793740">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6C81A3FF" w14:textId="77777777" w:rsidR="00793740" w:rsidRPr="00793740" w:rsidRDefault="00793740" w:rsidP="007A2D76">
            <w:pPr>
              <w:jc w:val="center"/>
              <w:rPr>
                <w:szCs w:val="22"/>
              </w:rPr>
            </w:pPr>
            <w:r w:rsidRPr="00793740">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447D6ED1" w14:textId="77777777" w:rsidR="00793740" w:rsidRPr="00793740" w:rsidRDefault="00793740" w:rsidP="007A2D76">
            <w:pPr>
              <w:jc w:val="right"/>
              <w:rPr>
                <w:szCs w:val="22"/>
              </w:rPr>
            </w:pPr>
            <w:r w:rsidRPr="00793740">
              <w:rPr>
                <w:szCs w:val="22"/>
              </w:rPr>
              <w:t>28</w:t>
            </w:r>
          </w:p>
        </w:tc>
      </w:tr>
      <w:tr w:rsidR="0033145B" w:rsidRPr="004D5F9F" w14:paraId="6BEB4CA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9BA823" w14:textId="6FAED0D1" w:rsidR="00CD28E3" w:rsidRPr="00541ABB" w:rsidRDefault="00793740" w:rsidP="00CD28E3">
            <w:pPr>
              <w:jc w:val="center"/>
              <w:rPr>
                <w:szCs w:val="22"/>
                <w:lang w:eastAsia="zh-CN"/>
              </w:rPr>
            </w:pPr>
            <w:r>
              <w:rPr>
                <w:szCs w:val="22"/>
              </w:rPr>
              <w:t>62</w:t>
            </w:r>
          </w:p>
        </w:tc>
        <w:tc>
          <w:tcPr>
            <w:tcW w:w="3380" w:type="dxa"/>
            <w:tcBorders>
              <w:top w:val="nil"/>
              <w:left w:val="nil"/>
              <w:bottom w:val="single" w:sz="4" w:space="0" w:color="auto"/>
              <w:right w:val="single" w:sz="4" w:space="0" w:color="auto"/>
            </w:tcBorders>
            <w:shd w:val="clear" w:color="auto" w:fill="auto"/>
            <w:vAlign w:val="center"/>
            <w:hideMark/>
          </w:tcPr>
          <w:p w14:paraId="698E0BA6" w14:textId="77777777" w:rsidR="00CD28E3" w:rsidRPr="00541ABB" w:rsidRDefault="00CD28E3" w:rsidP="00CD28E3">
            <w:pPr>
              <w:jc w:val="left"/>
              <w:rPr>
                <w:szCs w:val="22"/>
                <w:lang w:eastAsia="zh-CN"/>
              </w:rPr>
            </w:pPr>
            <w:r>
              <w:rPr>
                <w:szCs w:val="22"/>
              </w:rPr>
              <w:t>Liban</w:t>
            </w:r>
          </w:p>
        </w:tc>
        <w:tc>
          <w:tcPr>
            <w:tcW w:w="1720" w:type="dxa"/>
            <w:tcBorders>
              <w:top w:val="nil"/>
              <w:left w:val="nil"/>
              <w:bottom w:val="single" w:sz="4" w:space="0" w:color="auto"/>
              <w:right w:val="single" w:sz="4" w:space="0" w:color="auto"/>
            </w:tcBorders>
            <w:shd w:val="clear" w:color="auto" w:fill="auto"/>
            <w:vAlign w:val="center"/>
            <w:hideMark/>
          </w:tcPr>
          <w:p w14:paraId="0961BD58" w14:textId="77777777" w:rsidR="00CD28E3" w:rsidRPr="00541ABB" w:rsidRDefault="00CD28E3" w:rsidP="00CD28E3">
            <w:pPr>
              <w:jc w:val="center"/>
              <w:rPr>
                <w:szCs w:val="22"/>
                <w:lang w:eastAsia="zh-CN"/>
              </w:rPr>
            </w:pPr>
            <w:r>
              <w:rPr>
                <w:szCs w:val="22"/>
              </w:rPr>
              <w:t>0,047</w:t>
            </w:r>
          </w:p>
        </w:tc>
        <w:tc>
          <w:tcPr>
            <w:tcW w:w="1720" w:type="dxa"/>
            <w:tcBorders>
              <w:top w:val="nil"/>
              <w:left w:val="nil"/>
              <w:bottom w:val="single" w:sz="4" w:space="0" w:color="auto"/>
              <w:right w:val="single" w:sz="4" w:space="0" w:color="auto"/>
            </w:tcBorders>
            <w:shd w:val="clear" w:color="auto" w:fill="auto"/>
            <w:noWrap/>
            <w:vAlign w:val="center"/>
            <w:hideMark/>
          </w:tcPr>
          <w:p w14:paraId="05A98AE0" w14:textId="77777777" w:rsidR="00CD28E3" w:rsidRPr="00541ABB" w:rsidRDefault="00CD28E3" w:rsidP="00CD28E3">
            <w:pPr>
              <w:jc w:val="center"/>
              <w:rPr>
                <w:szCs w:val="22"/>
                <w:lang w:eastAsia="zh-CN"/>
              </w:rPr>
            </w:pPr>
            <w:r>
              <w:rPr>
                <w:szCs w:val="22"/>
              </w:rPr>
              <w:t>0,075</w:t>
            </w:r>
          </w:p>
        </w:tc>
        <w:tc>
          <w:tcPr>
            <w:tcW w:w="1720" w:type="dxa"/>
            <w:tcBorders>
              <w:top w:val="nil"/>
              <w:left w:val="nil"/>
              <w:bottom w:val="single" w:sz="4" w:space="0" w:color="auto"/>
              <w:right w:val="single" w:sz="4" w:space="0" w:color="auto"/>
            </w:tcBorders>
            <w:shd w:val="clear" w:color="auto" w:fill="auto"/>
            <w:noWrap/>
            <w:vAlign w:val="center"/>
            <w:hideMark/>
          </w:tcPr>
          <w:p w14:paraId="544165CD" w14:textId="77777777" w:rsidR="00CD28E3" w:rsidRPr="00541ABB" w:rsidRDefault="00CD28E3" w:rsidP="00CD28E3">
            <w:pPr>
              <w:jc w:val="right"/>
              <w:rPr>
                <w:szCs w:val="22"/>
                <w:lang w:eastAsia="zh-CN"/>
              </w:rPr>
            </w:pPr>
            <w:r>
              <w:rPr>
                <w:szCs w:val="22"/>
              </w:rPr>
              <w:t>1 305</w:t>
            </w:r>
          </w:p>
        </w:tc>
      </w:tr>
      <w:tr w:rsidR="0033145B" w:rsidRPr="004D5F9F" w14:paraId="2172CEA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101557" w14:textId="65B26855" w:rsidR="00CD28E3" w:rsidRPr="00541ABB" w:rsidRDefault="00793740" w:rsidP="00CD28E3">
            <w:pPr>
              <w:jc w:val="center"/>
              <w:rPr>
                <w:szCs w:val="22"/>
                <w:lang w:eastAsia="zh-CN"/>
              </w:rPr>
            </w:pPr>
            <w:r>
              <w:rPr>
                <w:szCs w:val="22"/>
              </w:rPr>
              <w:t>63</w:t>
            </w:r>
          </w:p>
        </w:tc>
        <w:tc>
          <w:tcPr>
            <w:tcW w:w="3380" w:type="dxa"/>
            <w:tcBorders>
              <w:top w:val="nil"/>
              <w:left w:val="nil"/>
              <w:bottom w:val="single" w:sz="4" w:space="0" w:color="auto"/>
              <w:right w:val="single" w:sz="4" w:space="0" w:color="auto"/>
            </w:tcBorders>
            <w:shd w:val="clear" w:color="auto" w:fill="auto"/>
            <w:vAlign w:val="center"/>
            <w:hideMark/>
          </w:tcPr>
          <w:p w14:paraId="450F6E7E" w14:textId="77777777" w:rsidR="00CD28E3" w:rsidRPr="00541ABB" w:rsidRDefault="00CD28E3" w:rsidP="00CD28E3">
            <w:pPr>
              <w:jc w:val="left"/>
              <w:rPr>
                <w:szCs w:val="22"/>
                <w:lang w:eastAsia="zh-CN"/>
              </w:rPr>
            </w:pPr>
            <w:r>
              <w:rPr>
                <w:szCs w:val="22"/>
              </w:rPr>
              <w:t>Liberia</w:t>
            </w:r>
          </w:p>
        </w:tc>
        <w:tc>
          <w:tcPr>
            <w:tcW w:w="1720" w:type="dxa"/>
            <w:tcBorders>
              <w:top w:val="nil"/>
              <w:left w:val="nil"/>
              <w:bottom w:val="single" w:sz="4" w:space="0" w:color="auto"/>
              <w:right w:val="single" w:sz="4" w:space="0" w:color="auto"/>
            </w:tcBorders>
            <w:shd w:val="clear" w:color="auto" w:fill="auto"/>
            <w:vAlign w:val="center"/>
            <w:hideMark/>
          </w:tcPr>
          <w:p w14:paraId="7C0EA0FA"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5842826B"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A92166B" w14:textId="77777777" w:rsidR="00CD28E3" w:rsidRPr="00541ABB" w:rsidRDefault="00CD28E3" w:rsidP="00CD28E3">
            <w:pPr>
              <w:jc w:val="right"/>
              <w:rPr>
                <w:szCs w:val="22"/>
                <w:lang w:eastAsia="zh-CN"/>
              </w:rPr>
            </w:pPr>
            <w:r>
              <w:rPr>
                <w:szCs w:val="22"/>
              </w:rPr>
              <w:t>28</w:t>
            </w:r>
          </w:p>
        </w:tc>
      </w:tr>
      <w:tr w:rsidR="0033145B" w:rsidRPr="004D5F9F" w14:paraId="2EA3F4D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6EB6F5" w14:textId="27EA6F89" w:rsidR="00CD28E3" w:rsidRPr="00541ABB" w:rsidRDefault="00793740" w:rsidP="00CD28E3">
            <w:pPr>
              <w:jc w:val="center"/>
              <w:rPr>
                <w:szCs w:val="22"/>
                <w:lang w:eastAsia="zh-CN"/>
              </w:rPr>
            </w:pPr>
            <w:r>
              <w:rPr>
                <w:szCs w:val="22"/>
              </w:rPr>
              <w:t>64</w:t>
            </w:r>
          </w:p>
        </w:tc>
        <w:tc>
          <w:tcPr>
            <w:tcW w:w="3380" w:type="dxa"/>
            <w:tcBorders>
              <w:top w:val="nil"/>
              <w:left w:val="nil"/>
              <w:bottom w:val="single" w:sz="4" w:space="0" w:color="auto"/>
              <w:right w:val="single" w:sz="4" w:space="0" w:color="auto"/>
            </w:tcBorders>
            <w:shd w:val="clear" w:color="auto" w:fill="auto"/>
            <w:vAlign w:val="center"/>
            <w:hideMark/>
          </w:tcPr>
          <w:p w14:paraId="4E6DAA1F" w14:textId="77777777" w:rsidR="00CD28E3" w:rsidRPr="00541ABB" w:rsidRDefault="00CD28E3" w:rsidP="00CD28E3">
            <w:pPr>
              <w:jc w:val="left"/>
              <w:rPr>
                <w:szCs w:val="22"/>
                <w:lang w:eastAsia="zh-CN"/>
              </w:rPr>
            </w:pPr>
            <w:r>
              <w:rPr>
                <w:szCs w:val="22"/>
              </w:rPr>
              <w:t>Luxembourg</w:t>
            </w:r>
          </w:p>
        </w:tc>
        <w:tc>
          <w:tcPr>
            <w:tcW w:w="1720" w:type="dxa"/>
            <w:tcBorders>
              <w:top w:val="nil"/>
              <w:left w:val="nil"/>
              <w:bottom w:val="single" w:sz="4" w:space="0" w:color="auto"/>
              <w:right w:val="single" w:sz="4" w:space="0" w:color="auto"/>
            </w:tcBorders>
            <w:shd w:val="clear" w:color="auto" w:fill="auto"/>
            <w:vAlign w:val="center"/>
            <w:hideMark/>
          </w:tcPr>
          <w:p w14:paraId="60244E49" w14:textId="77777777" w:rsidR="00CD28E3" w:rsidRPr="00541ABB" w:rsidRDefault="00CD28E3" w:rsidP="00CD28E3">
            <w:pPr>
              <w:jc w:val="center"/>
              <w:rPr>
                <w:szCs w:val="22"/>
                <w:lang w:eastAsia="zh-CN"/>
              </w:rPr>
            </w:pPr>
            <w:r>
              <w:rPr>
                <w:szCs w:val="22"/>
              </w:rPr>
              <w:t>0,067</w:t>
            </w:r>
          </w:p>
        </w:tc>
        <w:tc>
          <w:tcPr>
            <w:tcW w:w="1720" w:type="dxa"/>
            <w:tcBorders>
              <w:top w:val="nil"/>
              <w:left w:val="nil"/>
              <w:bottom w:val="single" w:sz="4" w:space="0" w:color="auto"/>
              <w:right w:val="single" w:sz="4" w:space="0" w:color="auto"/>
            </w:tcBorders>
            <w:shd w:val="clear" w:color="auto" w:fill="auto"/>
            <w:noWrap/>
            <w:vAlign w:val="center"/>
            <w:hideMark/>
          </w:tcPr>
          <w:p w14:paraId="6BDC3D5A" w14:textId="77777777" w:rsidR="00CD28E3" w:rsidRPr="00541ABB" w:rsidRDefault="00CD28E3" w:rsidP="00CD28E3">
            <w:pPr>
              <w:jc w:val="center"/>
              <w:rPr>
                <w:szCs w:val="22"/>
                <w:lang w:eastAsia="zh-CN"/>
              </w:rPr>
            </w:pPr>
            <w:r>
              <w:rPr>
                <w:szCs w:val="22"/>
              </w:rPr>
              <w:t>0,108</w:t>
            </w:r>
          </w:p>
        </w:tc>
        <w:tc>
          <w:tcPr>
            <w:tcW w:w="1720" w:type="dxa"/>
            <w:tcBorders>
              <w:top w:val="nil"/>
              <w:left w:val="nil"/>
              <w:bottom w:val="single" w:sz="4" w:space="0" w:color="auto"/>
              <w:right w:val="single" w:sz="4" w:space="0" w:color="auto"/>
            </w:tcBorders>
            <w:shd w:val="clear" w:color="auto" w:fill="auto"/>
            <w:noWrap/>
            <w:vAlign w:val="center"/>
            <w:hideMark/>
          </w:tcPr>
          <w:p w14:paraId="7B2AA90B" w14:textId="77777777" w:rsidR="00CD28E3" w:rsidRPr="00541ABB" w:rsidRDefault="00CD28E3" w:rsidP="00CD28E3">
            <w:pPr>
              <w:jc w:val="right"/>
              <w:rPr>
                <w:szCs w:val="22"/>
                <w:lang w:eastAsia="zh-CN"/>
              </w:rPr>
            </w:pPr>
            <w:r>
              <w:rPr>
                <w:szCs w:val="22"/>
              </w:rPr>
              <w:t>1 861</w:t>
            </w:r>
          </w:p>
        </w:tc>
      </w:tr>
      <w:tr w:rsidR="0033145B" w:rsidRPr="004D5F9F" w14:paraId="7AAF251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F5DBD0" w14:textId="5DDBFF3E" w:rsidR="00CD28E3" w:rsidRPr="00541ABB" w:rsidRDefault="00793740" w:rsidP="00CD28E3">
            <w:pPr>
              <w:jc w:val="center"/>
              <w:rPr>
                <w:szCs w:val="22"/>
                <w:lang w:eastAsia="zh-CN"/>
              </w:rPr>
            </w:pPr>
            <w:r>
              <w:rPr>
                <w:szCs w:val="22"/>
              </w:rPr>
              <w:t>65</w:t>
            </w:r>
          </w:p>
        </w:tc>
        <w:tc>
          <w:tcPr>
            <w:tcW w:w="3380" w:type="dxa"/>
            <w:tcBorders>
              <w:top w:val="nil"/>
              <w:left w:val="nil"/>
              <w:bottom w:val="single" w:sz="4" w:space="0" w:color="auto"/>
              <w:right w:val="single" w:sz="4" w:space="0" w:color="auto"/>
            </w:tcBorders>
            <w:shd w:val="clear" w:color="auto" w:fill="auto"/>
            <w:vAlign w:val="center"/>
            <w:hideMark/>
          </w:tcPr>
          <w:p w14:paraId="0CFE9B60" w14:textId="77777777" w:rsidR="00CD28E3" w:rsidRPr="00541ABB" w:rsidRDefault="00CD28E3" w:rsidP="00CD28E3">
            <w:pPr>
              <w:jc w:val="left"/>
              <w:rPr>
                <w:szCs w:val="22"/>
                <w:lang w:eastAsia="zh-CN"/>
              </w:rPr>
            </w:pPr>
            <w:r>
              <w:rPr>
                <w:szCs w:val="22"/>
              </w:rPr>
              <w:t>Madagascar</w:t>
            </w:r>
          </w:p>
        </w:tc>
        <w:tc>
          <w:tcPr>
            <w:tcW w:w="1720" w:type="dxa"/>
            <w:tcBorders>
              <w:top w:val="nil"/>
              <w:left w:val="nil"/>
              <w:bottom w:val="single" w:sz="4" w:space="0" w:color="auto"/>
              <w:right w:val="single" w:sz="4" w:space="0" w:color="auto"/>
            </w:tcBorders>
            <w:shd w:val="clear" w:color="auto" w:fill="auto"/>
            <w:vAlign w:val="center"/>
            <w:hideMark/>
          </w:tcPr>
          <w:p w14:paraId="1E9B5911" w14:textId="77777777" w:rsidR="00CD28E3" w:rsidRPr="00541ABB" w:rsidRDefault="00CD28E3" w:rsidP="00CD28E3">
            <w:pPr>
              <w:jc w:val="center"/>
              <w:rPr>
                <w:szCs w:val="22"/>
                <w:lang w:eastAsia="zh-CN"/>
              </w:rPr>
            </w:pPr>
            <w:r>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48B49494"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52B4BC78" w14:textId="77777777" w:rsidR="00CD28E3" w:rsidRPr="00541ABB" w:rsidRDefault="00CD28E3" w:rsidP="00CD28E3">
            <w:pPr>
              <w:jc w:val="right"/>
              <w:rPr>
                <w:szCs w:val="22"/>
                <w:lang w:eastAsia="zh-CN"/>
              </w:rPr>
            </w:pPr>
            <w:r>
              <w:rPr>
                <w:szCs w:val="22"/>
              </w:rPr>
              <w:t>111</w:t>
            </w:r>
          </w:p>
        </w:tc>
      </w:tr>
      <w:tr w:rsidR="00FA6AA0" w:rsidRPr="004D5F9F" w14:paraId="660A00E3" w14:textId="77777777" w:rsidTr="00FA6AA0">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5D1469" w14:textId="275E8A0A" w:rsidR="00FA6AA0" w:rsidRPr="00541ABB" w:rsidRDefault="00FA6AA0" w:rsidP="007A2D76">
            <w:pPr>
              <w:jc w:val="center"/>
              <w:rPr>
                <w:szCs w:val="22"/>
              </w:rPr>
            </w:pPr>
            <w:r>
              <w:rPr>
                <w:szCs w:val="22"/>
              </w:rPr>
              <w:t>66</w:t>
            </w:r>
          </w:p>
        </w:tc>
        <w:tc>
          <w:tcPr>
            <w:tcW w:w="3380" w:type="dxa"/>
            <w:tcBorders>
              <w:top w:val="nil"/>
              <w:left w:val="nil"/>
              <w:bottom w:val="single" w:sz="4" w:space="0" w:color="auto"/>
              <w:right w:val="single" w:sz="4" w:space="0" w:color="auto"/>
            </w:tcBorders>
            <w:shd w:val="clear" w:color="auto" w:fill="auto"/>
            <w:vAlign w:val="center"/>
            <w:hideMark/>
          </w:tcPr>
          <w:p w14:paraId="6AE4ADC6" w14:textId="77777777" w:rsidR="00FA6AA0" w:rsidRPr="00541ABB" w:rsidRDefault="00FA6AA0" w:rsidP="007A2D76">
            <w:pPr>
              <w:jc w:val="left"/>
              <w:rPr>
                <w:szCs w:val="22"/>
              </w:rPr>
            </w:pPr>
            <w:r>
              <w:rPr>
                <w:szCs w:val="22"/>
              </w:rPr>
              <w:t>Malaisie</w:t>
            </w:r>
          </w:p>
        </w:tc>
        <w:tc>
          <w:tcPr>
            <w:tcW w:w="1720" w:type="dxa"/>
            <w:tcBorders>
              <w:top w:val="nil"/>
              <w:left w:val="nil"/>
              <w:bottom w:val="single" w:sz="4" w:space="0" w:color="auto"/>
              <w:right w:val="single" w:sz="4" w:space="0" w:color="auto"/>
            </w:tcBorders>
            <w:shd w:val="clear" w:color="auto" w:fill="auto"/>
            <w:vAlign w:val="center"/>
            <w:hideMark/>
          </w:tcPr>
          <w:p w14:paraId="61EB7685" w14:textId="77777777" w:rsidR="00FA6AA0" w:rsidRPr="00541ABB" w:rsidRDefault="00FA6AA0" w:rsidP="007A2D76">
            <w:pPr>
              <w:jc w:val="center"/>
              <w:rPr>
                <w:szCs w:val="22"/>
              </w:rPr>
            </w:pPr>
            <w:r>
              <w:rPr>
                <w:szCs w:val="22"/>
              </w:rPr>
              <w:t>0,341</w:t>
            </w:r>
          </w:p>
        </w:tc>
        <w:tc>
          <w:tcPr>
            <w:tcW w:w="1720" w:type="dxa"/>
            <w:tcBorders>
              <w:top w:val="nil"/>
              <w:left w:val="nil"/>
              <w:bottom w:val="single" w:sz="4" w:space="0" w:color="auto"/>
              <w:right w:val="single" w:sz="4" w:space="0" w:color="auto"/>
            </w:tcBorders>
            <w:shd w:val="clear" w:color="auto" w:fill="auto"/>
            <w:noWrap/>
            <w:vAlign w:val="center"/>
            <w:hideMark/>
          </w:tcPr>
          <w:p w14:paraId="212EBFC8" w14:textId="77777777" w:rsidR="00FA6AA0" w:rsidRPr="00541ABB" w:rsidRDefault="00FA6AA0" w:rsidP="007A2D76">
            <w:pPr>
              <w:jc w:val="center"/>
              <w:rPr>
                <w:szCs w:val="22"/>
              </w:rPr>
            </w:pPr>
            <w:r>
              <w:rPr>
                <w:szCs w:val="22"/>
              </w:rPr>
              <w:t>0,548</w:t>
            </w:r>
          </w:p>
        </w:tc>
        <w:tc>
          <w:tcPr>
            <w:tcW w:w="1720" w:type="dxa"/>
            <w:tcBorders>
              <w:top w:val="nil"/>
              <w:left w:val="nil"/>
              <w:bottom w:val="single" w:sz="4" w:space="0" w:color="auto"/>
              <w:right w:val="single" w:sz="4" w:space="0" w:color="auto"/>
            </w:tcBorders>
            <w:shd w:val="clear" w:color="auto" w:fill="auto"/>
            <w:noWrap/>
            <w:vAlign w:val="center"/>
            <w:hideMark/>
          </w:tcPr>
          <w:p w14:paraId="198031FA" w14:textId="77777777" w:rsidR="00FA6AA0" w:rsidRPr="00541ABB" w:rsidRDefault="00FA6AA0" w:rsidP="007A2D76">
            <w:pPr>
              <w:jc w:val="right"/>
              <w:rPr>
                <w:szCs w:val="22"/>
              </w:rPr>
            </w:pPr>
            <w:r>
              <w:rPr>
                <w:szCs w:val="22"/>
              </w:rPr>
              <w:t>9 469</w:t>
            </w:r>
          </w:p>
        </w:tc>
      </w:tr>
      <w:tr w:rsidR="0033145B" w:rsidRPr="004D5F9F" w14:paraId="5A5EFAE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2F4AA9" w14:textId="50960296" w:rsidR="00CD28E3" w:rsidRPr="00541ABB" w:rsidRDefault="00FA6AA0" w:rsidP="00CD28E3">
            <w:pPr>
              <w:jc w:val="center"/>
              <w:rPr>
                <w:szCs w:val="22"/>
                <w:lang w:eastAsia="zh-CN"/>
              </w:rPr>
            </w:pPr>
            <w:r>
              <w:rPr>
                <w:szCs w:val="22"/>
              </w:rPr>
              <w:t>67</w:t>
            </w:r>
          </w:p>
        </w:tc>
        <w:tc>
          <w:tcPr>
            <w:tcW w:w="3380" w:type="dxa"/>
            <w:tcBorders>
              <w:top w:val="nil"/>
              <w:left w:val="nil"/>
              <w:bottom w:val="single" w:sz="4" w:space="0" w:color="auto"/>
              <w:right w:val="single" w:sz="4" w:space="0" w:color="auto"/>
            </w:tcBorders>
            <w:shd w:val="clear" w:color="auto" w:fill="auto"/>
            <w:vAlign w:val="center"/>
            <w:hideMark/>
          </w:tcPr>
          <w:p w14:paraId="2D5004BF" w14:textId="77777777" w:rsidR="00CD28E3" w:rsidRPr="00541ABB" w:rsidRDefault="00CD28E3" w:rsidP="00CD28E3">
            <w:pPr>
              <w:jc w:val="left"/>
              <w:rPr>
                <w:szCs w:val="22"/>
                <w:lang w:eastAsia="zh-CN"/>
              </w:rPr>
            </w:pPr>
            <w:r>
              <w:rPr>
                <w:szCs w:val="22"/>
              </w:rPr>
              <w:t>Malawi</w:t>
            </w:r>
          </w:p>
        </w:tc>
        <w:tc>
          <w:tcPr>
            <w:tcW w:w="1720" w:type="dxa"/>
            <w:tcBorders>
              <w:top w:val="nil"/>
              <w:left w:val="nil"/>
              <w:bottom w:val="single" w:sz="4" w:space="0" w:color="auto"/>
              <w:right w:val="single" w:sz="4" w:space="0" w:color="auto"/>
            </w:tcBorders>
            <w:shd w:val="clear" w:color="auto" w:fill="auto"/>
            <w:vAlign w:val="center"/>
            <w:hideMark/>
          </w:tcPr>
          <w:p w14:paraId="71D2D492"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4031E64A"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555C8B75" w14:textId="77777777" w:rsidR="00CD28E3" w:rsidRPr="00541ABB" w:rsidRDefault="00CD28E3" w:rsidP="00CD28E3">
            <w:pPr>
              <w:jc w:val="right"/>
              <w:rPr>
                <w:szCs w:val="22"/>
                <w:lang w:eastAsia="zh-CN"/>
              </w:rPr>
            </w:pPr>
            <w:r>
              <w:rPr>
                <w:szCs w:val="22"/>
              </w:rPr>
              <w:t>56</w:t>
            </w:r>
          </w:p>
        </w:tc>
      </w:tr>
      <w:tr w:rsidR="0033145B" w:rsidRPr="004D5F9F" w14:paraId="7A66C56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270846" w14:textId="6594120B" w:rsidR="00CD28E3" w:rsidRPr="00541ABB" w:rsidRDefault="00FA6AA0" w:rsidP="00CD28E3">
            <w:pPr>
              <w:jc w:val="center"/>
              <w:rPr>
                <w:szCs w:val="22"/>
                <w:lang w:eastAsia="zh-CN"/>
              </w:rPr>
            </w:pPr>
            <w:r>
              <w:rPr>
                <w:szCs w:val="22"/>
              </w:rPr>
              <w:t>68</w:t>
            </w:r>
          </w:p>
        </w:tc>
        <w:tc>
          <w:tcPr>
            <w:tcW w:w="3380" w:type="dxa"/>
            <w:tcBorders>
              <w:top w:val="nil"/>
              <w:left w:val="nil"/>
              <w:bottom w:val="single" w:sz="4" w:space="0" w:color="auto"/>
              <w:right w:val="single" w:sz="4" w:space="0" w:color="auto"/>
            </w:tcBorders>
            <w:shd w:val="clear" w:color="auto" w:fill="auto"/>
            <w:vAlign w:val="center"/>
            <w:hideMark/>
          </w:tcPr>
          <w:p w14:paraId="33753FB8" w14:textId="77777777" w:rsidR="00CD28E3" w:rsidRPr="00541ABB" w:rsidRDefault="00CD28E3" w:rsidP="00CD28E3">
            <w:pPr>
              <w:jc w:val="left"/>
              <w:rPr>
                <w:szCs w:val="22"/>
                <w:lang w:eastAsia="zh-CN"/>
              </w:rPr>
            </w:pPr>
            <w:r>
              <w:rPr>
                <w:szCs w:val="22"/>
              </w:rPr>
              <w:t>Maldives</w:t>
            </w:r>
          </w:p>
        </w:tc>
        <w:tc>
          <w:tcPr>
            <w:tcW w:w="1720" w:type="dxa"/>
            <w:tcBorders>
              <w:top w:val="nil"/>
              <w:left w:val="nil"/>
              <w:bottom w:val="single" w:sz="4" w:space="0" w:color="auto"/>
              <w:right w:val="single" w:sz="4" w:space="0" w:color="auto"/>
            </w:tcBorders>
            <w:shd w:val="clear" w:color="auto" w:fill="auto"/>
            <w:vAlign w:val="center"/>
            <w:hideMark/>
          </w:tcPr>
          <w:p w14:paraId="341A4AF7" w14:textId="77777777" w:rsidR="00CD28E3" w:rsidRPr="00541ABB" w:rsidRDefault="00CD28E3" w:rsidP="00CD28E3">
            <w:pPr>
              <w:jc w:val="center"/>
              <w:rPr>
                <w:szCs w:val="22"/>
                <w:lang w:eastAsia="zh-CN"/>
              </w:rPr>
            </w:pPr>
            <w:r>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6FBAA664"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668E412A" w14:textId="77777777" w:rsidR="00CD28E3" w:rsidRPr="00541ABB" w:rsidRDefault="00CD28E3" w:rsidP="00CD28E3">
            <w:pPr>
              <w:jc w:val="right"/>
              <w:rPr>
                <w:szCs w:val="22"/>
                <w:lang w:eastAsia="zh-CN"/>
              </w:rPr>
            </w:pPr>
            <w:r>
              <w:rPr>
                <w:szCs w:val="22"/>
              </w:rPr>
              <w:t>111</w:t>
            </w:r>
          </w:p>
        </w:tc>
      </w:tr>
      <w:tr w:rsidR="0033145B" w:rsidRPr="004D5F9F" w14:paraId="15600239"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AF8510" w14:textId="591D281C" w:rsidR="00CD28E3" w:rsidRPr="00541ABB" w:rsidRDefault="00FA6AA0" w:rsidP="00CD28E3">
            <w:pPr>
              <w:jc w:val="center"/>
              <w:rPr>
                <w:szCs w:val="22"/>
                <w:lang w:eastAsia="zh-CN"/>
              </w:rPr>
            </w:pPr>
            <w:r>
              <w:rPr>
                <w:szCs w:val="22"/>
              </w:rPr>
              <w:t>69</w:t>
            </w:r>
          </w:p>
        </w:tc>
        <w:tc>
          <w:tcPr>
            <w:tcW w:w="3380" w:type="dxa"/>
            <w:tcBorders>
              <w:top w:val="nil"/>
              <w:left w:val="nil"/>
              <w:bottom w:val="single" w:sz="4" w:space="0" w:color="auto"/>
              <w:right w:val="single" w:sz="4" w:space="0" w:color="auto"/>
            </w:tcBorders>
            <w:shd w:val="clear" w:color="auto" w:fill="auto"/>
            <w:vAlign w:val="center"/>
            <w:hideMark/>
          </w:tcPr>
          <w:p w14:paraId="0F909AD8" w14:textId="77777777" w:rsidR="00CD28E3" w:rsidRPr="00541ABB" w:rsidRDefault="00CD28E3" w:rsidP="00CD28E3">
            <w:pPr>
              <w:jc w:val="left"/>
              <w:rPr>
                <w:szCs w:val="22"/>
                <w:lang w:eastAsia="zh-CN"/>
              </w:rPr>
            </w:pPr>
            <w:r>
              <w:rPr>
                <w:szCs w:val="22"/>
              </w:rPr>
              <w:t>Mali</w:t>
            </w:r>
          </w:p>
        </w:tc>
        <w:tc>
          <w:tcPr>
            <w:tcW w:w="1720" w:type="dxa"/>
            <w:tcBorders>
              <w:top w:val="nil"/>
              <w:left w:val="nil"/>
              <w:bottom w:val="single" w:sz="4" w:space="0" w:color="auto"/>
              <w:right w:val="single" w:sz="4" w:space="0" w:color="auto"/>
            </w:tcBorders>
            <w:shd w:val="clear" w:color="auto" w:fill="auto"/>
            <w:vAlign w:val="center"/>
            <w:hideMark/>
          </w:tcPr>
          <w:p w14:paraId="399116C1" w14:textId="77777777" w:rsidR="00CD28E3" w:rsidRPr="00541ABB" w:rsidRDefault="00CD28E3" w:rsidP="00CD28E3">
            <w:pPr>
              <w:jc w:val="center"/>
              <w:rPr>
                <w:szCs w:val="22"/>
                <w:lang w:eastAsia="zh-CN"/>
              </w:rPr>
            </w:pPr>
            <w:r>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0E22AC21"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63322270" w14:textId="77777777" w:rsidR="00CD28E3" w:rsidRPr="00541ABB" w:rsidRDefault="00CD28E3" w:rsidP="00CD28E3">
            <w:pPr>
              <w:jc w:val="right"/>
              <w:rPr>
                <w:szCs w:val="22"/>
                <w:lang w:eastAsia="zh-CN"/>
              </w:rPr>
            </w:pPr>
            <w:r>
              <w:rPr>
                <w:szCs w:val="22"/>
              </w:rPr>
              <w:t>111</w:t>
            </w:r>
          </w:p>
        </w:tc>
      </w:tr>
      <w:tr w:rsidR="0033145B" w:rsidRPr="004D5F9F" w14:paraId="0FAC6D2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420EE3" w14:textId="122D412A" w:rsidR="00CD28E3" w:rsidRPr="00541ABB" w:rsidRDefault="00FA6AA0" w:rsidP="00CD28E3">
            <w:pPr>
              <w:jc w:val="center"/>
              <w:rPr>
                <w:szCs w:val="22"/>
                <w:lang w:eastAsia="zh-CN"/>
              </w:rPr>
            </w:pPr>
            <w:r>
              <w:rPr>
                <w:szCs w:val="22"/>
              </w:rPr>
              <w:t>70</w:t>
            </w:r>
          </w:p>
        </w:tc>
        <w:tc>
          <w:tcPr>
            <w:tcW w:w="3380" w:type="dxa"/>
            <w:tcBorders>
              <w:top w:val="nil"/>
              <w:left w:val="nil"/>
              <w:bottom w:val="single" w:sz="4" w:space="0" w:color="auto"/>
              <w:right w:val="single" w:sz="4" w:space="0" w:color="auto"/>
            </w:tcBorders>
            <w:shd w:val="clear" w:color="auto" w:fill="auto"/>
            <w:vAlign w:val="center"/>
            <w:hideMark/>
          </w:tcPr>
          <w:p w14:paraId="4441ED8F" w14:textId="77777777" w:rsidR="00CD28E3" w:rsidRPr="00541ABB" w:rsidRDefault="00CD28E3" w:rsidP="00CD28E3">
            <w:pPr>
              <w:jc w:val="left"/>
              <w:rPr>
                <w:szCs w:val="22"/>
                <w:lang w:eastAsia="zh-CN"/>
              </w:rPr>
            </w:pPr>
            <w:r>
              <w:rPr>
                <w:szCs w:val="22"/>
              </w:rPr>
              <w:t>Malte</w:t>
            </w:r>
          </w:p>
        </w:tc>
        <w:tc>
          <w:tcPr>
            <w:tcW w:w="1720" w:type="dxa"/>
            <w:tcBorders>
              <w:top w:val="nil"/>
              <w:left w:val="nil"/>
              <w:bottom w:val="single" w:sz="4" w:space="0" w:color="auto"/>
              <w:right w:val="single" w:sz="4" w:space="0" w:color="auto"/>
            </w:tcBorders>
            <w:shd w:val="clear" w:color="auto" w:fill="auto"/>
            <w:vAlign w:val="center"/>
            <w:hideMark/>
          </w:tcPr>
          <w:p w14:paraId="304371A6" w14:textId="77777777" w:rsidR="00CD28E3" w:rsidRPr="00541ABB" w:rsidRDefault="00CD28E3" w:rsidP="00CD28E3">
            <w:pPr>
              <w:jc w:val="center"/>
              <w:rPr>
                <w:szCs w:val="22"/>
                <w:lang w:eastAsia="zh-CN"/>
              </w:rPr>
            </w:pPr>
            <w:r>
              <w:rPr>
                <w:szCs w:val="22"/>
              </w:rPr>
              <w:t>0,017</w:t>
            </w:r>
          </w:p>
        </w:tc>
        <w:tc>
          <w:tcPr>
            <w:tcW w:w="1720" w:type="dxa"/>
            <w:tcBorders>
              <w:top w:val="nil"/>
              <w:left w:val="nil"/>
              <w:bottom w:val="single" w:sz="4" w:space="0" w:color="auto"/>
              <w:right w:val="single" w:sz="4" w:space="0" w:color="auto"/>
            </w:tcBorders>
            <w:shd w:val="clear" w:color="auto" w:fill="auto"/>
            <w:noWrap/>
            <w:vAlign w:val="center"/>
            <w:hideMark/>
          </w:tcPr>
          <w:p w14:paraId="266BB9F5" w14:textId="77777777" w:rsidR="00CD28E3" w:rsidRPr="00541ABB" w:rsidRDefault="00CD28E3" w:rsidP="00CD28E3">
            <w:pPr>
              <w:jc w:val="center"/>
              <w:rPr>
                <w:szCs w:val="22"/>
                <w:lang w:eastAsia="zh-CN"/>
              </w:rPr>
            </w:pPr>
            <w:r>
              <w:rPr>
                <w:szCs w:val="22"/>
              </w:rPr>
              <w:t>0,027</w:t>
            </w:r>
          </w:p>
        </w:tc>
        <w:tc>
          <w:tcPr>
            <w:tcW w:w="1720" w:type="dxa"/>
            <w:tcBorders>
              <w:top w:val="nil"/>
              <w:left w:val="nil"/>
              <w:bottom w:val="single" w:sz="4" w:space="0" w:color="auto"/>
              <w:right w:val="single" w:sz="4" w:space="0" w:color="auto"/>
            </w:tcBorders>
            <w:shd w:val="clear" w:color="auto" w:fill="auto"/>
            <w:noWrap/>
            <w:vAlign w:val="center"/>
            <w:hideMark/>
          </w:tcPr>
          <w:p w14:paraId="0DC9BEE1" w14:textId="77777777" w:rsidR="00CD28E3" w:rsidRPr="00541ABB" w:rsidRDefault="00CD28E3" w:rsidP="00CD28E3">
            <w:pPr>
              <w:jc w:val="right"/>
              <w:rPr>
                <w:szCs w:val="22"/>
                <w:lang w:eastAsia="zh-CN"/>
              </w:rPr>
            </w:pPr>
            <w:r>
              <w:rPr>
                <w:szCs w:val="22"/>
              </w:rPr>
              <w:t>472</w:t>
            </w:r>
          </w:p>
        </w:tc>
      </w:tr>
      <w:tr w:rsidR="005F6516" w:rsidRPr="004D5F9F" w14:paraId="2A3AA3C2" w14:textId="77777777" w:rsidTr="005F6516">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3EB9FD" w14:textId="2843D5BD" w:rsidR="005F6516" w:rsidRPr="00541ABB" w:rsidRDefault="005F6516" w:rsidP="007A2D76">
            <w:pPr>
              <w:jc w:val="center"/>
              <w:rPr>
                <w:szCs w:val="22"/>
              </w:rPr>
            </w:pPr>
            <w:r>
              <w:rPr>
                <w:szCs w:val="22"/>
              </w:rPr>
              <w:t>71</w:t>
            </w:r>
          </w:p>
        </w:tc>
        <w:tc>
          <w:tcPr>
            <w:tcW w:w="3380" w:type="dxa"/>
            <w:tcBorders>
              <w:top w:val="nil"/>
              <w:left w:val="nil"/>
              <w:bottom w:val="single" w:sz="4" w:space="0" w:color="auto"/>
              <w:right w:val="single" w:sz="4" w:space="0" w:color="auto"/>
            </w:tcBorders>
            <w:shd w:val="clear" w:color="auto" w:fill="auto"/>
            <w:vAlign w:val="center"/>
            <w:hideMark/>
          </w:tcPr>
          <w:p w14:paraId="1471F023" w14:textId="77777777" w:rsidR="005F6516" w:rsidRPr="00541ABB" w:rsidRDefault="005F6516" w:rsidP="007A2D76">
            <w:pPr>
              <w:jc w:val="left"/>
              <w:rPr>
                <w:szCs w:val="22"/>
              </w:rPr>
            </w:pPr>
            <w:r>
              <w:rPr>
                <w:szCs w:val="22"/>
              </w:rPr>
              <w:t>Maurice</w:t>
            </w:r>
          </w:p>
        </w:tc>
        <w:tc>
          <w:tcPr>
            <w:tcW w:w="1720" w:type="dxa"/>
            <w:tcBorders>
              <w:top w:val="nil"/>
              <w:left w:val="nil"/>
              <w:bottom w:val="single" w:sz="4" w:space="0" w:color="auto"/>
              <w:right w:val="single" w:sz="4" w:space="0" w:color="auto"/>
            </w:tcBorders>
            <w:shd w:val="clear" w:color="auto" w:fill="auto"/>
            <w:vAlign w:val="center"/>
            <w:hideMark/>
          </w:tcPr>
          <w:p w14:paraId="72161E4B" w14:textId="77777777" w:rsidR="005F6516" w:rsidRPr="00541ABB" w:rsidRDefault="005F6516" w:rsidP="007A2D76">
            <w:pPr>
              <w:jc w:val="center"/>
              <w:rPr>
                <w:szCs w:val="22"/>
              </w:rPr>
            </w:pPr>
            <w:r>
              <w:rPr>
                <w:szCs w:val="22"/>
              </w:rPr>
              <w:t>0,011</w:t>
            </w:r>
          </w:p>
        </w:tc>
        <w:tc>
          <w:tcPr>
            <w:tcW w:w="1720" w:type="dxa"/>
            <w:tcBorders>
              <w:top w:val="nil"/>
              <w:left w:val="nil"/>
              <w:bottom w:val="single" w:sz="4" w:space="0" w:color="auto"/>
              <w:right w:val="single" w:sz="4" w:space="0" w:color="auto"/>
            </w:tcBorders>
            <w:shd w:val="clear" w:color="auto" w:fill="auto"/>
            <w:noWrap/>
            <w:vAlign w:val="center"/>
            <w:hideMark/>
          </w:tcPr>
          <w:p w14:paraId="55950A32" w14:textId="77777777" w:rsidR="005F6516" w:rsidRPr="00541ABB" w:rsidRDefault="005F6516" w:rsidP="007A2D76">
            <w:pPr>
              <w:jc w:val="center"/>
              <w:rPr>
                <w:szCs w:val="22"/>
              </w:rPr>
            </w:pPr>
            <w:r>
              <w:rPr>
                <w:szCs w:val="22"/>
              </w:rPr>
              <w:t>0,018</w:t>
            </w:r>
          </w:p>
        </w:tc>
        <w:tc>
          <w:tcPr>
            <w:tcW w:w="1720" w:type="dxa"/>
            <w:tcBorders>
              <w:top w:val="nil"/>
              <w:left w:val="nil"/>
              <w:bottom w:val="single" w:sz="4" w:space="0" w:color="auto"/>
              <w:right w:val="single" w:sz="4" w:space="0" w:color="auto"/>
            </w:tcBorders>
            <w:shd w:val="clear" w:color="auto" w:fill="auto"/>
            <w:noWrap/>
            <w:vAlign w:val="center"/>
            <w:hideMark/>
          </w:tcPr>
          <w:p w14:paraId="51B5102E" w14:textId="77777777" w:rsidR="005F6516" w:rsidRPr="00541ABB" w:rsidRDefault="005F6516" w:rsidP="007A2D76">
            <w:pPr>
              <w:jc w:val="right"/>
              <w:rPr>
                <w:szCs w:val="22"/>
              </w:rPr>
            </w:pPr>
            <w:r>
              <w:rPr>
                <w:szCs w:val="22"/>
              </w:rPr>
              <w:t>305</w:t>
            </w:r>
          </w:p>
        </w:tc>
      </w:tr>
      <w:tr w:rsidR="0033145B" w:rsidRPr="004D5F9F" w14:paraId="3451FAD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36F611" w14:textId="5A8EEFBA" w:rsidR="00CD28E3" w:rsidRPr="00541ABB" w:rsidRDefault="005F6516" w:rsidP="00CD28E3">
            <w:pPr>
              <w:jc w:val="center"/>
              <w:rPr>
                <w:szCs w:val="22"/>
                <w:lang w:eastAsia="zh-CN"/>
              </w:rPr>
            </w:pPr>
            <w:r>
              <w:rPr>
                <w:szCs w:val="22"/>
              </w:rPr>
              <w:t>72</w:t>
            </w:r>
          </w:p>
        </w:tc>
        <w:tc>
          <w:tcPr>
            <w:tcW w:w="3380" w:type="dxa"/>
            <w:tcBorders>
              <w:top w:val="nil"/>
              <w:left w:val="nil"/>
              <w:bottom w:val="single" w:sz="4" w:space="0" w:color="auto"/>
              <w:right w:val="single" w:sz="4" w:space="0" w:color="auto"/>
            </w:tcBorders>
            <w:shd w:val="clear" w:color="auto" w:fill="auto"/>
            <w:vAlign w:val="center"/>
            <w:hideMark/>
          </w:tcPr>
          <w:p w14:paraId="2A8AE715" w14:textId="77777777" w:rsidR="00CD28E3" w:rsidRPr="00541ABB" w:rsidRDefault="00CD28E3" w:rsidP="00CD28E3">
            <w:pPr>
              <w:jc w:val="left"/>
              <w:rPr>
                <w:szCs w:val="22"/>
                <w:lang w:eastAsia="zh-CN"/>
              </w:rPr>
            </w:pPr>
            <w:r>
              <w:rPr>
                <w:szCs w:val="22"/>
              </w:rPr>
              <w:t>Mauritanie</w:t>
            </w:r>
          </w:p>
        </w:tc>
        <w:tc>
          <w:tcPr>
            <w:tcW w:w="1720" w:type="dxa"/>
            <w:tcBorders>
              <w:top w:val="nil"/>
              <w:left w:val="nil"/>
              <w:bottom w:val="single" w:sz="4" w:space="0" w:color="auto"/>
              <w:right w:val="single" w:sz="4" w:space="0" w:color="auto"/>
            </w:tcBorders>
            <w:shd w:val="clear" w:color="auto" w:fill="auto"/>
            <w:vAlign w:val="center"/>
            <w:hideMark/>
          </w:tcPr>
          <w:p w14:paraId="2DCFE2AD"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B37DCB8"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91B3877" w14:textId="77777777" w:rsidR="00CD28E3" w:rsidRPr="00541ABB" w:rsidRDefault="00CD28E3" w:rsidP="00CD28E3">
            <w:pPr>
              <w:jc w:val="right"/>
              <w:rPr>
                <w:szCs w:val="22"/>
                <w:lang w:eastAsia="zh-CN"/>
              </w:rPr>
            </w:pPr>
            <w:r>
              <w:rPr>
                <w:szCs w:val="22"/>
              </w:rPr>
              <w:t>56</w:t>
            </w:r>
          </w:p>
        </w:tc>
      </w:tr>
      <w:tr w:rsidR="0033145B" w:rsidRPr="004D5F9F" w14:paraId="53065E4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DE356B" w14:textId="0B44E688" w:rsidR="00CD28E3" w:rsidRPr="00541ABB" w:rsidRDefault="00E02228" w:rsidP="00CD28E3">
            <w:pPr>
              <w:jc w:val="center"/>
              <w:rPr>
                <w:szCs w:val="22"/>
                <w:lang w:eastAsia="zh-CN"/>
              </w:rPr>
            </w:pPr>
            <w:r>
              <w:rPr>
                <w:szCs w:val="22"/>
              </w:rPr>
              <w:t>73</w:t>
            </w:r>
          </w:p>
        </w:tc>
        <w:tc>
          <w:tcPr>
            <w:tcW w:w="3380" w:type="dxa"/>
            <w:tcBorders>
              <w:top w:val="nil"/>
              <w:left w:val="nil"/>
              <w:bottom w:val="single" w:sz="4" w:space="0" w:color="auto"/>
              <w:right w:val="single" w:sz="4" w:space="0" w:color="auto"/>
            </w:tcBorders>
            <w:shd w:val="clear" w:color="auto" w:fill="auto"/>
            <w:vAlign w:val="center"/>
            <w:hideMark/>
          </w:tcPr>
          <w:p w14:paraId="2BB415B3" w14:textId="77777777" w:rsidR="00CD28E3" w:rsidRPr="00541ABB" w:rsidRDefault="00CD28E3" w:rsidP="00CD28E3">
            <w:pPr>
              <w:jc w:val="left"/>
              <w:rPr>
                <w:szCs w:val="22"/>
                <w:lang w:eastAsia="zh-CN"/>
              </w:rPr>
            </w:pPr>
            <w:r>
              <w:rPr>
                <w:szCs w:val="22"/>
              </w:rPr>
              <w:t>Mexique</w:t>
            </w:r>
          </w:p>
        </w:tc>
        <w:tc>
          <w:tcPr>
            <w:tcW w:w="1720" w:type="dxa"/>
            <w:tcBorders>
              <w:top w:val="nil"/>
              <w:left w:val="nil"/>
              <w:bottom w:val="single" w:sz="4" w:space="0" w:color="auto"/>
              <w:right w:val="single" w:sz="4" w:space="0" w:color="auto"/>
            </w:tcBorders>
            <w:shd w:val="clear" w:color="auto" w:fill="auto"/>
            <w:vAlign w:val="center"/>
            <w:hideMark/>
          </w:tcPr>
          <w:p w14:paraId="36B146F9" w14:textId="77777777" w:rsidR="00CD28E3" w:rsidRPr="00541ABB" w:rsidRDefault="00CD28E3" w:rsidP="00CD28E3">
            <w:pPr>
              <w:jc w:val="center"/>
              <w:rPr>
                <w:szCs w:val="22"/>
                <w:lang w:eastAsia="zh-CN"/>
              </w:rPr>
            </w:pPr>
            <w:r>
              <w:rPr>
                <w:szCs w:val="22"/>
              </w:rPr>
              <w:t>1,292</w:t>
            </w:r>
          </w:p>
        </w:tc>
        <w:tc>
          <w:tcPr>
            <w:tcW w:w="1720" w:type="dxa"/>
            <w:tcBorders>
              <w:top w:val="nil"/>
              <w:left w:val="nil"/>
              <w:bottom w:val="single" w:sz="4" w:space="0" w:color="auto"/>
              <w:right w:val="single" w:sz="4" w:space="0" w:color="auto"/>
            </w:tcBorders>
            <w:shd w:val="clear" w:color="auto" w:fill="auto"/>
            <w:noWrap/>
            <w:vAlign w:val="center"/>
            <w:hideMark/>
          </w:tcPr>
          <w:p w14:paraId="49FC9B38" w14:textId="77777777" w:rsidR="00CD28E3" w:rsidRPr="00541ABB" w:rsidRDefault="00CD28E3" w:rsidP="00CD28E3">
            <w:pPr>
              <w:jc w:val="center"/>
              <w:rPr>
                <w:szCs w:val="22"/>
                <w:lang w:eastAsia="zh-CN"/>
              </w:rPr>
            </w:pPr>
            <w:r>
              <w:rPr>
                <w:szCs w:val="22"/>
              </w:rPr>
              <w:t>2,075</w:t>
            </w:r>
          </w:p>
        </w:tc>
        <w:tc>
          <w:tcPr>
            <w:tcW w:w="1720" w:type="dxa"/>
            <w:tcBorders>
              <w:top w:val="nil"/>
              <w:left w:val="nil"/>
              <w:bottom w:val="single" w:sz="4" w:space="0" w:color="auto"/>
              <w:right w:val="single" w:sz="4" w:space="0" w:color="auto"/>
            </w:tcBorders>
            <w:shd w:val="clear" w:color="auto" w:fill="auto"/>
            <w:noWrap/>
            <w:vAlign w:val="center"/>
            <w:hideMark/>
          </w:tcPr>
          <w:p w14:paraId="7ADB883C" w14:textId="77777777" w:rsidR="00CD28E3" w:rsidRPr="00541ABB" w:rsidRDefault="00CD28E3" w:rsidP="00CD28E3">
            <w:pPr>
              <w:jc w:val="right"/>
              <w:rPr>
                <w:szCs w:val="22"/>
                <w:lang w:eastAsia="zh-CN"/>
              </w:rPr>
            </w:pPr>
            <w:r>
              <w:rPr>
                <w:szCs w:val="22"/>
              </w:rPr>
              <w:t>35 878</w:t>
            </w:r>
          </w:p>
        </w:tc>
      </w:tr>
      <w:tr w:rsidR="0033145B" w:rsidRPr="004D5F9F" w14:paraId="6140183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5BCCFE" w14:textId="4F7193B8" w:rsidR="00CD28E3" w:rsidRPr="00541ABB" w:rsidRDefault="00E02228" w:rsidP="00CD28E3">
            <w:pPr>
              <w:jc w:val="center"/>
              <w:rPr>
                <w:szCs w:val="22"/>
                <w:lang w:eastAsia="zh-CN"/>
              </w:rPr>
            </w:pPr>
            <w:r>
              <w:rPr>
                <w:szCs w:val="22"/>
              </w:rPr>
              <w:t>74</w:t>
            </w:r>
          </w:p>
        </w:tc>
        <w:tc>
          <w:tcPr>
            <w:tcW w:w="3380" w:type="dxa"/>
            <w:tcBorders>
              <w:top w:val="nil"/>
              <w:left w:val="nil"/>
              <w:bottom w:val="single" w:sz="4" w:space="0" w:color="auto"/>
              <w:right w:val="single" w:sz="4" w:space="0" w:color="auto"/>
            </w:tcBorders>
            <w:shd w:val="clear" w:color="auto" w:fill="auto"/>
            <w:vAlign w:val="center"/>
            <w:hideMark/>
          </w:tcPr>
          <w:p w14:paraId="7AD40822" w14:textId="41D08BC5" w:rsidR="00CD28E3" w:rsidRPr="00541ABB" w:rsidRDefault="00CD28E3" w:rsidP="00CD28E3">
            <w:pPr>
              <w:jc w:val="left"/>
              <w:rPr>
                <w:szCs w:val="22"/>
                <w:lang w:eastAsia="zh-CN"/>
              </w:rPr>
            </w:pPr>
            <w:r>
              <w:rPr>
                <w:szCs w:val="22"/>
              </w:rPr>
              <w:t>Micronésie (États fédérés de)</w:t>
            </w:r>
          </w:p>
        </w:tc>
        <w:tc>
          <w:tcPr>
            <w:tcW w:w="1720" w:type="dxa"/>
            <w:tcBorders>
              <w:top w:val="nil"/>
              <w:left w:val="nil"/>
              <w:bottom w:val="single" w:sz="4" w:space="0" w:color="auto"/>
              <w:right w:val="single" w:sz="4" w:space="0" w:color="auto"/>
            </w:tcBorders>
            <w:shd w:val="clear" w:color="auto" w:fill="auto"/>
            <w:vAlign w:val="center"/>
            <w:hideMark/>
          </w:tcPr>
          <w:p w14:paraId="3348F4B7"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10E0EDC5"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00E5784" w14:textId="77777777" w:rsidR="00CD28E3" w:rsidRPr="00541ABB" w:rsidRDefault="00CD28E3" w:rsidP="00CD28E3">
            <w:pPr>
              <w:jc w:val="right"/>
              <w:rPr>
                <w:szCs w:val="22"/>
                <w:lang w:eastAsia="zh-CN"/>
              </w:rPr>
            </w:pPr>
            <w:r>
              <w:rPr>
                <w:szCs w:val="22"/>
              </w:rPr>
              <w:t>28</w:t>
            </w:r>
          </w:p>
        </w:tc>
      </w:tr>
      <w:tr w:rsidR="0033145B" w:rsidRPr="004D5F9F" w14:paraId="19B2ECE6"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EE4887" w14:textId="7D1185B3" w:rsidR="00CD28E3" w:rsidRPr="00541ABB" w:rsidRDefault="00E02228" w:rsidP="00CD28E3">
            <w:pPr>
              <w:jc w:val="center"/>
              <w:rPr>
                <w:szCs w:val="22"/>
                <w:lang w:eastAsia="zh-CN"/>
              </w:rPr>
            </w:pPr>
            <w:r>
              <w:rPr>
                <w:szCs w:val="22"/>
              </w:rPr>
              <w:t>75</w:t>
            </w:r>
          </w:p>
        </w:tc>
        <w:tc>
          <w:tcPr>
            <w:tcW w:w="3380" w:type="dxa"/>
            <w:tcBorders>
              <w:top w:val="nil"/>
              <w:left w:val="nil"/>
              <w:bottom w:val="single" w:sz="4" w:space="0" w:color="auto"/>
              <w:right w:val="single" w:sz="4" w:space="0" w:color="auto"/>
            </w:tcBorders>
            <w:shd w:val="clear" w:color="auto" w:fill="auto"/>
            <w:vAlign w:val="center"/>
            <w:hideMark/>
          </w:tcPr>
          <w:p w14:paraId="3A614C9E" w14:textId="77777777" w:rsidR="00CD28E3" w:rsidRPr="00541ABB" w:rsidRDefault="00CD28E3" w:rsidP="00CD28E3">
            <w:pPr>
              <w:jc w:val="left"/>
              <w:rPr>
                <w:szCs w:val="22"/>
                <w:lang w:eastAsia="zh-CN"/>
              </w:rPr>
            </w:pPr>
            <w:r>
              <w:rPr>
                <w:szCs w:val="22"/>
              </w:rPr>
              <w:t>Mongolie</w:t>
            </w:r>
          </w:p>
        </w:tc>
        <w:tc>
          <w:tcPr>
            <w:tcW w:w="1720" w:type="dxa"/>
            <w:tcBorders>
              <w:top w:val="nil"/>
              <w:left w:val="nil"/>
              <w:bottom w:val="single" w:sz="4" w:space="0" w:color="auto"/>
              <w:right w:val="single" w:sz="4" w:space="0" w:color="auto"/>
            </w:tcBorders>
            <w:shd w:val="clear" w:color="auto" w:fill="auto"/>
            <w:vAlign w:val="center"/>
            <w:hideMark/>
          </w:tcPr>
          <w:p w14:paraId="41C520B1"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4283F13B" w14:textId="77777777" w:rsidR="00CD28E3" w:rsidRPr="00541ABB" w:rsidRDefault="00CD28E3" w:rsidP="00CD28E3">
            <w:pPr>
              <w:jc w:val="center"/>
              <w:rPr>
                <w:szCs w:val="22"/>
                <w:lang w:eastAsia="zh-CN"/>
              </w:rPr>
            </w:pPr>
            <w:r>
              <w:rPr>
                <w:szCs w:val="22"/>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5ACA307C" w14:textId="77777777" w:rsidR="00CD28E3" w:rsidRPr="00541ABB" w:rsidRDefault="00CD28E3" w:rsidP="00CD28E3">
            <w:pPr>
              <w:jc w:val="right"/>
              <w:rPr>
                <w:szCs w:val="22"/>
                <w:lang w:eastAsia="zh-CN"/>
              </w:rPr>
            </w:pPr>
            <w:r>
              <w:rPr>
                <w:szCs w:val="22"/>
              </w:rPr>
              <w:t>139</w:t>
            </w:r>
          </w:p>
        </w:tc>
      </w:tr>
      <w:tr w:rsidR="0033145B" w:rsidRPr="004D5F9F" w14:paraId="504A044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3703F5" w14:textId="419A0371" w:rsidR="00CD28E3" w:rsidRPr="00541ABB" w:rsidRDefault="008F01D7" w:rsidP="00CD28E3">
            <w:pPr>
              <w:jc w:val="center"/>
              <w:rPr>
                <w:szCs w:val="22"/>
                <w:lang w:eastAsia="zh-CN"/>
              </w:rPr>
            </w:pPr>
            <w:r>
              <w:rPr>
                <w:szCs w:val="22"/>
              </w:rPr>
              <w:t>76</w:t>
            </w:r>
          </w:p>
        </w:tc>
        <w:tc>
          <w:tcPr>
            <w:tcW w:w="3380" w:type="dxa"/>
            <w:tcBorders>
              <w:top w:val="nil"/>
              <w:left w:val="nil"/>
              <w:bottom w:val="single" w:sz="4" w:space="0" w:color="auto"/>
              <w:right w:val="single" w:sz="4" w:space="0" w:color="auto"/>
            </w:tcBorders>
            <w:shd w:val="clear" w:color="auto" w:fill="auto"/>
            <w:vAlign w:val="center"/>
            <w:hideMark/>
          </w:tcPr>
          <w:p w14:paraId="599F7DA8" w14:textId="77777777" w:rsidR="00CD28E3" w:rsidRPr="00541ABB" w:rsidRDefault="00CD28E3" w:rsidP="00CD28E3">
            <w:pPr>
              <w:jc w:val="left"/>
              <w:rPr>
                <w:szCs w:val="22"/>
                <w:lang w:eastAsia="zh-CN"/>
              </w:rPr>
            </w:pPr>
            <w:r>
              <w:rPr>
                <w:szCs w:val="22"/>
              </w:rPr>
              <w:t>Monténégro</w:t>
            </w:r>
          </w:p>
        </w:tc>
        <w:tc>
          <w:tcPr>
            <w:tcW w:w="1720" w:type="dxa"/>
            <w:tcBorders>
              <w:top w:val="nil"/>
              <w:left w:val="nil"/>
              <w:bottom w:val="single" w:sz="4" w:space="0" w:color="auto"/>
              <w:right w:val="single" w:sz="4" w:space="0" w:color="auto"/>
            </w:tcBorders>
            <w:shd w:val="clear" w:color="auto" w:fill="auto"/>
            <w:vAlign w:val="center"/>
            <w:hideMark/>
          </w:tcPr>
          <w:p w14:paraId="56A483F4" w14:textId="77777777" w:rsidR="00CD28E3" w:rsidRPr="00541ABB" w:rsidRDefault="00CD28E3" w:rsidP="00CD28E3">
            <w:pPr>
              <w:jc w:val="center"/>
              <w:rPr>
                <w:szCs w:val="22"/>
                <w:lang w:eastAsia="zh-CN"/>
              </w:rPr>
            </w:pPr>
            <w:r>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0066FB6A"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09C7C7D6" w14:textId="77777777" w:rsidR="00CD28E3" w:rsidRPr="00541ABB" w:rsidRDefault="00CD28E3" w:rsidP="00CD28E3">
            <w:pPr>
              <w:jc w:val="right"/>
              <w:rPr>
                <w:szCs w:val="22"/>
                <w:lang w:eastAsia="zh-CN"/>
              </w:rPr>
            </w:pPr>
            <w:r>
              <w:rPr>
                <w:szCs w:val="22"/>
              </w:rPr>
              <w:t>111</w:t>
            </w:r>
          </w:p>
        </w:tc>
      </w:tr>
      <w:tr w:rsidR="0033145B" w:rsidRPr="004D5F9F" w14:paraId="4C99DA11"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9408F5" w14:textId="2E5DBC58" w:rsidR="00CD28E3" w:rsidRPr="00541ABB" w:rsidRDefault="008F01D7" w:rsidP="00CD28E3">
            <w:pPr>
              <w:jc w:val="center"/>
              <w:rPr>
                <w:szCs w:val="22"/>
                <w:lang w:eastAsia="zh-CN"/>
              </w:rPr>
            </w:pPr>
            <w:r>
              <w:rPr>
                <w:szCs w:val="22"/>
              </w:rPr>
              <w:t>77</w:t>
            </w:r>
          </w:p>
        </w:tc>
        <w:tc>
          <w:tcPr>
            <w:tcW w:w="3380" w:type="dxa"/>
            <w:tcBorders>
              <w:top w:val="nil"/>
              <w:left w:val="nil"/>
              <w:bottom w:val="single" w:sz="4" w:space="0" w:color="auto"/>
              <w:right w:val="single" w:sz="4" w:space="0" w:color="auto"/>
            </w:tcBorders>
            <w:shd w:val="clear" w:color="auto" w:fill="auto"/>
            <w:vAlign w:val="center"/>
            <w:hideMark/>
          </w:tcPr>
          <w:p w14:paraId="44286762" w14:textId="77777777" w:rsidR="00CD28E3" w:rsidRPr="00541ABB" w:rsidRDefault="00CD28E3" w:rsidP="00CD28E3">
            <w:pPr>
              <w:jc w:val="left"/>
              <w:rPr>
                <w:szCs w:val="22"/>
                <w:lang w:eastAsia="zh-CN"/>
              </w:rPr>
            </w:pPr>
            <w:r>
              <w:rPr>
                <w:szCs w:val="22"/>
              </w:rPr>
              <w:t>Mozambique</w:t>
            </w:r>
          </w:p>
        </w:tc>
        <w:tc>
          <w:tcPr>
            <w:tcW w:w="1720" w:type="dxa"/>
            <w:tcBorders>
              <w:top w:val="nil"/>
              <w:left w:val="nil"/>
              <w:bottom w:val="single" w:sz="4" w:space="0" w:color="auto"/>
              <w:right w:val="single" w:sz="4" w:space="0" w:color="auto"/>
            </w:tcBorders>
            <w:shd w:val="clear" w:color="auto" w:fill="auto"/>
            <w:vAlign w:val="center"/>
            <w:hideMark/>
          </w:tcPr>
          <w:p w14:paraId="5D130646" w14:textId="77777777" w:rsidR="00CD28E3" w:rsidRPr="00541ABB" w:rsidRDefault="00CD28E3" w:rsidP="00CD28E3">
            <w:pPr>
              <w:jc w:val="center"/>
              <w:rPr>
                <w:szCs w:val="22"/>
                <w:lang w:eastAsia="zh-CN"/>
              </w:rPr>
            </w:pPr>
            <w:r>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3DE485F2"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02F35894" w14:textId="77777777" w:rsidR="00CD28E3" w:rsidRPr="00541ABB" w:rsidRDefault="00CD28E3" w:rsidP="00CD28E3">
            <w:pPr>
              <w:jc w:val="right"/>
              <w:rPr>
                <w:szCs w:val="22"/>
                <w:lang w:eastAsia="zh-CN"/>
              </w:rPr>
            </w:pPr>
            <w:r>
              <w:rPr>
                <w:szCs w:val="22"/>
              </w:rPr>
              <w:t>111</w:t>
            </w:r>
          </w:p>
        </w:tc>
      </w:tr>
      <w:tr w:rsidR="0033145B" w:rsidRPr="004D5F9F" w14:paraId="2958274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4F8FC6" w14:textId="49E7F99D" w:rsidR="00CD28E3" w:rsidRPr="00541ABB" w:rsidRDefault="008F01D7" w:rsidP="00CD28E3">
            <w:pPr>
              <w:jc w:val="center"/>
              <w:rPr>
                <w:szCs w:val="22"/>
                <w:lang w:eastAsia="zh-CN"/>
              </w:rPr>
            </w:pPr>
            <w:r>
              <w:rPr>
                <w:szCs w:val="22"/>
              </w:rPr>
              <w:t>78</w:t>
            </w:r>
          </w:p>
        </w:tc>
        <w:tc>
          <w:tcPr>
            <w:tcW w:w="3380" w:type="dxa"/>
            <w:tcBorders>
              <w:top w:val="nil"/>
              <w:left w:val="nil"/>
              <w:bottom w:val="single" w:sz="4" w:space="0" w:color="auto"/>
              <w:right w:val="single" w:sz="4" w:space="0" w:color="auto"/>
            </w:tcBorders>
            <w:shd w:val="clear" w:color="auto" w:fill="auto"/>
            <w:vAlign w:val="center"/>
            <w:hideMark/>
          </w:tcPr>
          <w:p w14:paraId="184B885B" w14:textId="77777777" w:rsidR="00CD28E3" w:rsidRPr="00541ABB" w:rsidRDefault="00CD28E3" w:rsidP="00CD28E3">
            <w:pPr>
              <w:jc w:val="left"/>
              <w:rPr>
                <w:szCs w:val="22"/>
                <w:lang w:eastAsia="zh-CN"/>
              </w:rPr>
            </w:pPr>
            <w:r>
              <w:rPr>
                <w:szCs w:val="22"/>
              </w:rPr>
              <w:t>Myanmar</w:t>
            </w:r>
          </w:p>
        </w:tc>
        <w:tc>
          <w:tcPr>
            <w:tcW w:w="1720" w:type="dxa"/>
            <w:tcBorders>
              <w:top w:val="nil"/>
              <w:left w:val="nil"/>
              <w:bottom w:val="single" w:sz="4" w:space="0" w:color="auto"/>
              <w:right w:val="single" w:sz="4" w:space="0" w:color="auto"/>
            </w:tcBorders>
            <w:shd w:val="clear" w:color="auto" w:fill="auto"/>
            <w:vAlign w:val="center"/>
            <w:hideMark/>
          </w:tcPr>
          <w:p w14:paraId="24BAD457"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2E70D9CF"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A60A9A0" w14:textId="77777777" w:rsidR="00CD28E3" w:rsidRPr="00541ABB" w:rsidRDefault="00CD28E3" w:rsidP="00CD28E3">
            <w:pPr>
              <w:jc w:val="right"/>
              <w:rPr>
                <w:szCs w:val="22"/>
                <w:lang w:eastAsia="zh-CN"/>
              </w:rPr>
            </w:pPr>
            <w:r>
              <w:rPr>
                <w:szCs w:val="22"/>
              </w:rPr>
              <w:t>173</w:t>
            </w:r>
          </w:p>
        </w:tc>
      </w:tr>
      <w:tr w:rsidR="0033145B" w:rsidRPr="004D5F9F" w14:paraId="58EB23E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E7CBED" w14:textId="65566FCD" w:rsidR="00CD28E3" w:rsidRPr="00541ABB" w:rsidRDefault="008F01D7" w:rsidP="00CD28E3">
            <w:pPr>
              <w:jc w:val="center"/>
              <w:rPr>
                <w:szCs w:val="22"/>
                <w:lang w:eastAsia="zh-CN"/>
              </w:rPr>
            </w:pPr>
            <w:r>
              <w:rPr>
                <w:szCs w:val="22"/>
              </w:rPr>
              <w:t>79</w:t>
            </w:r>
          </w:p>
        </w:tc>
        <w:tc>
          <w:tcPr>
            <w:tcW w:w="3380" w:type="dxa"/>
            <w:tcBorders>
              <w:top w:val="nil"/>
              <w:left w:val="nil"/>
              <w:bottom w:val="single" w:sz="4" w:space="0" w:color="auto"/>
              <w:right w:val="single" w:sz="4" w:space="0" w:color="auto"/>
            </w:tcBorders>
            <w:shd w:val="clear" w:color="auto" w:fill="auto"/>
            <w:vAlign w:val="center"/>
            <w:hideMark/>
          </w:tcPr>
          <w:p w14:paraId="1887039D" w14:textId="77777777" w:rsidR="00CD28E3" w:rsidRPr="00541ABB" w:rsidRDefault="00CD28E3" w:rsidP="00CD28E3">
            <w:pPr>
              <w:jc w:val="left"/>
              <w:rPr>
                <w:szCs w:val="22"/>
                <w:lang w:eastAsia="zh-CN"/>
              </w:rPr>
            </w:pPr>
            <w:r>
              <w:rPr>
                <w:szCs w:val="22"/>
              </w:rPr>
              <w:t>Namibie</w:t>
            </w:r>
          </w:p>
        </w:tc>
        <w:tc>
          <w:tcPr>
            <w:tcW w:w="1720" w:type="dxa"/>
            <w:tcBorders>
              <w:top w:val="nil"/>
              <w:left w:val="nil"/>
              <w:bottom w:val="single" w:sz="4" w:space="0" w:color="auto"/>
              <w:right w:val="single" w:sz="4" w:space="0" w:color="auto"/>
            </w:tcBorders>
            <w:shd w:val="clear" w:color="auto" w:fill="auto"/>
            <w:vAlign w:val="center"/>
            <w:hideMark/>
          </w:tcPr>
          <w:p w14:paraId="0EA26093" w14:textId="77777777" w:rsidR="00CD28E3" w:rsidRPr="00541ABB" w:rsidRDefault="00CD28E3" w:rsidP="00CD28E3">
            <w:pPr>
              <w:jc w:val="center"/>
              <w:rPr>
                <w:szCs w:val="22"/>
                <w:lang w:eastAsia="zh-CN"/>
              </w:rPr>
            </w:pPr>
            <w:r>
              <w:rPr>
                <w:szCs w:val="22"/>
              </w:rPr>
              <w:t>0,009</w:t>
            </w:r>
          </w:p>
        </w:tc>
        <w:tc>
          <w:tcPr>
            <w:tcW w:w="1720" w:type="dxa"/>
            <w:tcBorders>
              <w:top w:val="nil"/>
              <w:left w:val="nil"/>
              <w:bottom w:val="single" w:sz="4" w:space="0" w:color="auto"/>
              <w:right w:val="single" w:sz="4" w:space="0" w:color="auto"/>
            </w:tcBorders>
            <w:shd w:val="clear" w:color="auto" w:fill="auto"/>
            <w:noWrap/>
            <w:vAlign w:val="center"/>
            <w:hideMark/>
          </w:tcPr>
          <w:p w14:paraId="065FA645" w14:textId="77777777" w:rsidR="00CD28E3" w:rsidRPr="00541ABB" w:rsidRDefault="00CD28E3" w:rsidP="00CD28E3">
            <w:pPr>
              <w:jc w:val="center"/>
              <w:rPr>
                <w:szCs w:val="22"/>
                <w:lang w:eastAsia="zh-CN"/>
              </w:rPr>
            </w:pPr>
            <w:r>
              <w:rPr>
                <w:szCs w:val="22"/>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1E7A67C1" w14:textId="77777777" w:rsidR="00CD28E3" w:rsidRPr="00541ABB" w:rsidRDefault="00CD28E3" w:rsidP="00CD28E3">
            <w:pPr>
              <w:jc w:val="right"/>
              <w:rPr>
                <w:szCs w:val="22"/>
                <w:lang w:eastAsia="zh-CN"/>
              </w:rPr>
            </w:pPr>
            <w:r>
              <w:rPr>
                <w:szCs w:val="22"/>
              </w:rPr>
              <w:t>250</w:t>
            </w:r>
          </w:p>
        </w:tc>
      </w:tr>
      <w:tr w:rsidR="0033145B" w:rsidRPr="004D5F9F" w14:paraId="293A7533"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CDA8D1" w14:textId="6BE0B1E3" w:rsidR="00CD28E3" w:rsidRPr="00541ABB" w:rsidRDefault="008F01D7" w:rsidP="00CD28E3">
            <w:pPr>
              <w:jc w:val="center"/>
              <w:rPr>
                <w:szCs w:val="22"/>
                <w:lang w:eastAsia="zh-CN"/>
              </w:rPr>
            </w:pPr>
            <w:r>
              <w:rPr>
                <w:szCs w:val="22"/>
              </w:rPr>
              <w:t>80</w:t>
            </w:r>
          </w:p>
        </w:tc>
        <w:tc>
          <w:tcPr>
            <w:tcW w:w="3380" w:type="dxa"/>
            <w:tcBorders>
              <w:top w:val="nil"/>
              <w:left w:val="nil"/>
              <w:bottom w:val="single" w:sz="4" w:space="0" w:color="auto"/>
              <w:right w:val="single" w:sz="4" w:space="0" w:color="auto"/>
            </w:tcBorders>
            <w:shd w:val="clear" w:color="auto" w:fill="auto"/>
            <w:vAlign w:val="center"/>
            <w:hideMark/>
          </w:tcPr>
          <w:p w14:paraId="1FD2277B" w14:textId="77777777" w:rsidR="00CD28E3" w:rsidRPr="00541ABB" w:rsidRDefault="00CD28E3" w:rsidP="00CD28E3">
            <w:pPr>
              <w:jc w:val="left"/>
              <w:rPr>
                <w:szCs w:val="22"/>
                <w:lang w:eastAsia="zh-CN"/>
              </w:rPr>
            </w:pPr>
            <w:r>
              <w:rPr>
                <w:szCs w:val="22"/>
              </w:rPr>
              <w:t>Népal</w:t>
            </w:r>
          </w:p>
        </w:tc>
        <w:tc>
          <w:tcPr>
            <w:tcW w:w="1720" w:type="dxa"/>
            <w:tcBorders>
              <w:top w:val="nil"/>
              <w:left w:val="nil"/>
              <w:bottom w:val="single" w:sz="4" w:space="0" w:color="auto"/>
              <w:right w:val="single" w:sz="4" w:space="0" w:color="auto"/>
            </w:tcBorders>
            <w:shd w:val="clear" w:color="auto" w:fill="auto"/>
            <w:vAlign w:val="center"/>
            <w:hideMark/>
          </w:tcPr>
          <w:p w14:paraId="5C414D15" w14:textId="77777777" w:rsidR="00CD28E3" w:rsidRPr="00541ABB" w:rsidRDefault="00CD28E3" w:rsidP="00CD28E3">
            <w:pPr>
              <w:jc w:val="center"/>
              <w:rPr>
                <w:szCs w:val="22"/>
                <w:lang w:eastAsia="zh-CN"/>
              </w:rPr>
            </w:pPr>
            <w:r>
              <w:rPr>
                <w:szCs w:val="22"/>
              </w:rPr>
              <w:t>0,007</w:t>
            </w:r>
          </w:p>
        </w:tc>
        <w:tc>
          <w:tcPr>
            <w:tcW w:w="1720" w:type="dxa"/>
            <w:tcBorders>
              <w:top w:val="nil"/>
              <w:left w:val="nil"/>
              <w:bottom w:val="single" w:sz="4" w:space="0" w:color="auto"/>
              <w:right w:val="single" w:sz="4" w:space="0" w:color="auto"/>
            </w:tcBorders>
            <w:shd w:val="clear" w:color="auto" w:fill="auto"/>
            <w:noWrap/>
            <w:vAlign w:val="center"/>
            <w:hideMark/>
          </w:tcPr>
          <w:p w14:paraId="50370FB2"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6B61FD2C" w14:textId="77777777" w:rsidR="00CD28E3" w:rsidRPr="00541ABB" w:rsidRDefault="00CD28E3" w:rsidP="00CD28E3">
            <w:pPr>
              <w:jc w:val="right"/>
              <w:rPr>
                <w:szCs w:val="22"/>
                <w:lang w:eastAsia="zh-CN"/>
              </w:rPr>
            </w:pPr>
            <w:r>
              <w:rPr>
                <w:szCs w:val="22"/>
              </w:rPr>
              <w:t>173</w:t>
            </w:r>
          </w:p>
        </w:tc>
      </w:tr>
      <w:tr w:rsidR="0033145B" w:rsidRPr="004D5F9F" w14:paraId="4ED7A031"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E622AD" w14:textId="0881CC72" w:rsidR="00CD28E3" w:rsidRPr="00541ABB" w:rsidRDefault="00D46BC1" w:rsidP="00CD28E3">
            <w:pPr>
              <w:jc w:val="center"/>
              <w:rPr>
                <w:szCs w:val="22"/>
                <w:lang w:eastAsia="zh-CN"/>
              </w:rPr>
            </w:pPr>
            <w:r>
              <w:rPr>
                <w:szCs w:val="22"/>
              </w:rPr>
              <w:t>81</w:t>
            </w:r>
          </w:p>
        </w:tc>
        <w:tc>
          <w:tcPr>
            <w:tcW w:w="3380" w:type="dxa"/>
            <w:tcBorders>
              <w:top w:val="nil"/>
              <w:left w:val="nil"/>
              <w:bottom w:val="single" w:sz="4" w:space="0" w:color="auto"/>
              <w:right w:val="single" w:sz="4" w:space="0" w:color="auto"/>
            </w:tcBorders>
            <w:shd w:val="clear" w:color="auto" w:fill="auto"/>
            <w:vAlign w:val="center"/>
            <w:hideMark/>
          </w:tcPr>
          <w:p w14:paraId="71CCFAEC" w14:textId="77777777" w:rsidR="00CD28E3" w:rsidRPr="00541ABB" w:rsidRDefault="00CD28E3" w:rsidP="00CD28E3">
            <w:pPr>
              <w:jc w:val="left"/>
              <w:rPr>
                <w:szCs w:val="22"/>
                <w:lang w:eastAsia="zh-CN"/>
              </w:rPr>
            </w:pPr>
            <w:r>
              <w:rPr>
                <w:szCs w:val="22"/>
              </w:rPr>
              <w:t>Nicaragua</w:t>
            </w:r>
          </w:p>
        </w:tc>
        <w:tc>
          <w:tcPr>
            <w:tcW w:w="1720" w:type="dxa"/>
            <w:tcBorders>
              <w:top w:val="nil"/>
              <w:left w:val="nil"/>
              <w:bottom w:val="single" w:sz="4" w:space="0" w:color="auto"/>
              <w:right w:val="single" w:sz="4" w:space="0" w:color="auto"/>
            </w:tcBorders>
            <w:shd w:val="clear" w:color="auto" w:fill="auto"/>
            <w:vAlign w:val="center"/>
            <w:hideMark/>
          </w:tcPr>
          <w:p w14:paraId="5FC312CA"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59B4AE51" w14:textId="77777777" w:rsidR="00CD28E3" w:rsidRPr="00541ABB" w:rsidRDefault="00CD28E3" w:rsidP="00CD28E3">
            <w:pPr>
              <w:jc w:val="center"/>
              <w:rPr>
                <w:szCs w:val="22"/>
                <w:lang w:eastAsia="zh-CN"/>
              </w:rPr>
            </w:pPr>
            <w:r>
              <w:rPr>
                <w:szCs w:val="22"/>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03903897" w14:textId="77777777" w:rsidR="00CD28E3" w:rsidRPr="00541ABB" w:rsidRDefault="00CD28E3" w:rsidP="00CD28E3">
            <w:pPr>
              <w:jc w:val="right"/>
              <w:rPr>
                <w:szCs w:val="22"/>
                <w:lang w:eastAsia="zh-CN"/>
              </w:rPr>
            </w:pPr>
            <w:r>
              <w:rPr>
                <w:szCs w:val="22"/>
              </w:rPr>
              <w:t>139</w:t>
            </w:r>
          </w:p>
        </w:tc>
      </w:tr>
      <w:tr w:rsidR="0033145B" w:rsidRPr="004D5F9F" w14:paraId="587C274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295F80" w14:textId="66F07C28" w:rsidR="00CD28E3" w:rsidRPr="00541ABB" w:rsidRDefault="00D46BC1" w:rsidP="00CD28E3">
            <w:pPr>
              <w:jc w:val="center"/>
              <w:rPr>
                <w:szCs w:val="22"/>
                <w:lang w:eastAsia="zh-CN"/>
              </w:rPr>
            </w:pPr>
            <w:r>
              <w:rPr>
                <w:szCs w:val="22"/>
              </w:rPr>
              <w:t>82</w:t>
            </w:r>
          </w:p>
        </w:tc>
        <w:tc>
          <w:tcPr>
            <w:tcW w:w="3380" w:type="dxa"/>
            <w:tcBorders>
              <w:top w:val="nil"/>
              <w:left w:val="nil"/>
              <w:bottom w:val="single" w:sz="4" w:space="0" w:color="auto"/>
              <w:right w:val="single" w:sz="4" w:space="0" w:color="auto"/>
            </w:tcBorders>
            <w:shd w:val="clear" w:color="auto" w:fill="auto"/>
            <w:vAlign w:val="center"/>
            <w:hideMark/>
          </w:tcPr>
          <w:p w14:paraId="6B419A53" w14:textId="77777777" w:rsidR="00CD28E3" w:rsidRPr="00541ABB" w:rsidRDefault="00CD28E3" w:rsidP="00CD28E3">
            <w:pPr>
              <w:jc w:val="left"/>
              <w:rPr>
                <w:szCs w:val="22"/>
                <w:lang w:eastAsia="zh-CN"/>
              </w:rPr>
            </w:pPr>
            <w:r>
              <w:rPr>
                <w:szCs w:val="22"/>
              </w:rPr>
              <w:t>Niger</w:t>
            </w:r>
          </w:p>
        </w:tc>
        <w:tc>
          <w:tcPr>
            <w:tcW w:w="1720" w:type="dxa"/>
            <w:tcBorders>
              <w:top w:val="nil"/>
              <w:left w:val="nil"/>
              <w:bottom w:val="single" w:sz="4" w:space="0" w:color="auto"/>
              <w:right w:val="single" w:sz="4" w:space="0" w:color="auto"/>
            </w:tcBorders>
            <w:shd w:val="clear" w:color="auto" w:fill="auto"/>
            <w:vAlign w:val="center"/>
            <w:hideMark/>
          </w:tcPr>
          <w:p w14:paraId="4ECA4069"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4015E977"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23AA5499" w14:textId="77777777" w:rsidR="00CD28E3" w:rsidRPr="00541ABB" w:rsidRDefault="00CD28E3" w:rsidP="00CD28E3">
            <w:pPr>
              <w:jc w:val="right"/>
              <w:rPr>
                <w:szCs w:val="22"/>
                <w:lang w:eastAsia="zh-CN"/>
              </w:rPr>
            </w:pPr>
            <w:r>
              <w:rPr>
                <w:szCs w:val="22"/>
              </w:rPr>
              <w:t>56</w:t>
            </w:r>
          </w:p>
        </w:tc>
      </w:tr>
      <w:tr w:rsidR="0033145B" w:rsidRPr="004D5F9F" w14:paraId="4F485B5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FCBE3E" w14:textId="09F3D5B5" w:rsidR="00CD28E3" w:rsidRPr="00541ABB" w:rsidRDefault="00D46BC1" w:rsidP="00CD28E3">
            <w:pPr>
              <w:jc w:val="center"/>
              <w:rPr>
                <w:szCs w:val="22"/>
                <w:lang w:eastAsia="zh-CN"/>
              </w:rPr>
            </w:pPr>
            <w:r>
              <w:rPr>
                <w:szCs w:val="22"/>
              </w:rPr>
              <w:t>83</w:t>
            </w:r>
          </w:p>
        </w:tc>
        <w:tc>
          <w:tcPr>
            <w:tcW w:w="3380" w:type="dxa"/>
            <w:tcBorders>
              <w:top w:val="nil"/>
              <w:left w:val="nil"/>
              <w:bottom w:val="single" w:sz="4" w:space="0" w:color="auto"/>
              <w:right w:val="single" w:sz="4" w:space="0" w:color="auto"/>
            </w:tcBorders>
            <w:shd w:val="clear" w:color="auto" w:fill="auto"/>
            <w:vAlign w:val="center"/>
            <w:hideMark/>
          </w:tcPr>
          <w:p w14:paraId="541B215F" w14:textId="77777777" w:rsidR="00CD28E3" w:rsidRPr="00541ABB" w:rsidRDefault="00CD28E3" w:rsidP="00CD28E3">
            <w:pPr>
              <w:jc w:val="left"/>
              <w:rPr>
                <w:szCs w:val="22"/>
                <w:lang w:eastAsia="zh-CN"/>
              </w:rPr>
            </w:pPr>
            <w:r>
              <w:rPr>
                <w:szCs w:val="22"/>
              </w:rPr>
              <w:t>Norvège</w:t>
            </w:r>
          </w:p>
        </w:tc>
        <w:tc>
          <w:tcPr>
            <w:tcW w:w="1720" w:type="dxa"/>
            <w:tcBorders>
              <w:top w:val="nil"/>
              <w:left w:val="nil"/>
              <w:bottom w:val="single" w:sz="4" w:space="0" w:color="auto"/>
              <w:right w:val="single" w:sz="4" w:space="0" w:color="auto"/>
            </w:tcBorders>
            <w:shd w:val="clear" w:color="auto" w:fill="auto"/>
            <w:vAlign w:val="center"/>
            <w:hideMark/>
          </w:tcPr>
          <w:p w14:paraId="2FDC12FA" w14:textId="77777777" w:rsidR="00CD28E3" w:rsidRPr="00541ABB" w:rsidRDefault="00CD28E3" w:rsidP="00CD28E3">
            <w:pPr>
              <w:jc w:val="center"/>
              <w:rPr>
                <w:szCs w:val="22"/>
                <w:lang w:eastAsia="zh-CN"/>
              </w:rPr>
            </w:pPr>
            <w:r>
              <w:rPr>
                <w:szCs w:val="22"/>
              </w:rPr>
              <w:t>0,754</w:t>
            </w:r>
          </w:p>
        </w:tc>
        <w:tc>
          <w:tcPr>
            <w:tcW w:w="1720" w:type="dxa"/>
            <w:tcBorders>
              <w:top w:val="nil"/>
              <w:left w:val="nil"/>
              <w:bottom w:val="single" w:sz="4" w:space="0" w:color="auto"/>
              <w:right w:val="single" w:sz="4" w:space="0" w:color="auto"/>
            </w:tcBorders>
            <w:shd w:val="clear" w:color="auto" w:fill="auto"/>
            <w:noWrap/>
            <w:vAlign w:val="center"/>
            <w:hideMark/>
          </w:tcPr>
          <w:p w14:paraId="28D0D604" w14:textId="77777777" w:rsidR="00CD28E3" w:rsidRPr="00541ABB" w:rsidRDefault="00CD28E3" w:rsidP="00CD28E3">
            <w:pPr>
              <w:jc w:val="center"/>
              <w:rPr>
                <w:szCs w:val="22"/>
                <w:lang w:eastAsia="zh-CN"/>
              </w:rPr>
            </w:pPr>
            <w:r>
              <w:rPr>
                <w:szCs w:val="22"/>
              </w:rPr>
              <w:t>1,211</w:t>
            </w:r>
          </w:p>
        </w:tc>
        <w:tc>
          <w:tcPr>
            <w:tcW w:w="1720" w:type="dxa"/>
            <w:tcBorders>
              <w:top w:val="nil"/>
              <w:left w:val="nil"/>
              <w:bottom w:val="single" w:sz="4" w:space="0" w:color="auto"/>
              <w:right w:val="single" w:sz="4" w:space="0" w:color="auto"/>
            </w:tcBorders>
            <w:shd w:val="clear" w:color="auto" w:fill="auto"/>
            <w:noWrap/>
            <w:vAlign w:val="center"/>
            <w:hideMark/>
          </w:tcPr>
          <w:p w14:paraId="6EAF1F15" w14:textId="77777777" w:rsidR="00CD28E3" w:rsidRPr="00541ABB" w:rsidRDefault="00CD28E3" w:rsidP="00CD28E3">
            <w:pPr>
              <w:jc w:val="right"/>
              <w:rPr>
                <w:szCs w:val="22"/>
                <w:lang w:eastAsia="zh-CN"/>
              </w:rPr>
            </w:pPr>
            <w:r>
              <w:rPr>
                <w:szCs w:val="22"/>
              </w:rPr>
              <w:t>20 938</w:t>
            </w:r>
          </w:p>
        </w:tc>
      </w:tr>
      <w:tr w:rsidR="0033145B" w:rsidRPr="00655B33" w14:paraId="2F8A7C27"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E51C68" w14:textId="006F6D54" w:rsidR="00CD28E3" w:rsidRPr="00655B33" w:rsidRDefault="00D46BC1" w:rsidP="00CD28E3">
            <w:pPr>
              <w:jc w:val="center"/>
              <w:rPr>
                <w:szCs w:val="22"/>
                <w:lang w:eastAsia="zh-CN"/>
              </w:rPr>
            </w:pPr>
            <w:r w:rsidRPr="00655B33">
              <w:rPr>
                <w:szCs w:val="22"/>
              </w:rPr>
              <w:t>84</w:t>
            </w:r>
          </w:p>
        </w:tc>
        <w:tc>
          <w:tcPr>
            <w:tcW w:w="3380" w:type="dxa"/>
            <w:tcBorders>
              <w:top w:val="nil"/>
              <w:left w:val="nil"/>
              <w:bottom w:val="single" w:sz="4" w:space="0" w:color="auto"/>
              <w:right w:val="single" w:sz="4" w:space="0" w:color="auto"/>
            </w:tcBorders>
            <w:shd w:val="clear" w:color="auto" w:fill="auto"/>
            <w:vAlign w:val="center"/>
            <w:hideMark/>
          </w:tcPr>
          <w:p w14:paraId="617F88A9" w14:textId="77777777" w:rsidR="00CD28E3" w:rsidRPr="00655B33" w:rsidRDefault="00CD28E3" w:rsidP="00CD28E3">
            <w:pPr>
              <w:jc w:val="left"/>
              <w:rPr>
                <w:szCs w:val="22"/>
                <w:lang w:eastAsia="zh-CN"/>
              </w:rPr>
            </w:pPr>
            <w:r w:rsidRPr="00655B33">
              <w:rPr>
                <w:szCs w:val="22"/>
              </w:rPr>
              <w:t>Oman</w:t>
            </w:r>
          </w:p>
        </w:tc>
        <w:tc>
          <w:tcPr>
            <w:tcW w:w="1720" w:type="dxa"/>
            <w:tcBorders>
              <w:top w:val="nil"/>
              <w:left w:val="nil"/>
              <w:bottom w:val="single" w:sz="4" w:space="0" w:color="auto"/>
              <w:right w:val="single" w:sz="4" w:space="0" w:color="auto"/>
            </w:tcBorders>
            <w:shd w:val="clear" w:color="auto" w:fill="auto"/>
            <w:vAlign w:val="center"/>
            <w:hideMark/>
          </w:tcPr>
          <w:p w14:paraId="74AAB526" w14:textId="77777777" w:rsidR="00CD28E3" w:rsidRPr="00655B33" w:rsidRDefault="00CD28E3" w:rsidP="00CD28E3">
            <w:pPr>
              <w:jc w:val="center"/>
              <w:rPr>
                <w:szCs w:val="22"/>
                <w:lang w:eastAsia="zh-CN"/>
              </w:rPr>
            </w:pPr>
            <w:r w:rsidRPr="00655B33">
              <w:rPr>
                <w:szCs w:val="22"/>
              </w:rPr>
              <w:t>0,115</w:t>
            </w:r>
          </w:p>
        </w:tc>
        <w:tc>
          <w:tcPr>
            <w:tcW w:w="1720" w:type="dxa"/>
            <w:tcBorders>
              <w:top w:val="nil"/>
              <w:left w:val="nil"/>
              <w:bottom w:val="single" w:sz="4" w:space="0" w:color="auto"/>
              <w:right w:val="single" w:sz="4" w:space="0" w:color="auto"/>
            </w:tcBorders>
            <w:shd w:val="clear" w:color="auto" w:fill="auto"/>
            <w:noWrap/>
            <w:vAlign w:val="center"/>
            <w:hideMark/>
          </w:tcPr>
          <w:p w14:paraId="53F47960" w14:textId="77777777" w:rsidR="00CD28E3" w:rsidRPr="00655B33" w:rsidRDefault="00CD28E3" w:rsidP="00CD28E3">
            <w:pPr>
              <w:jc w:val="center"/>
              <w:rPr>
                <w:szCs w:val="22"/>
                <w:lang w:eastAsia="zh-CN"/>
              </w:rPr>
            </w:pPr>
            <w:r w:rsidRPr="00655B33">
              <w:rPr>
                <w:szCs w:val="22"/>
              </w:rPr>
              <w:t>0,185</w:t>
            </w:r>
          </w:p>
        </w:tc>
        <w:tc>
          <w:tcPr>
            <w:tcW w:w="1720" w:type="dxa"/>
            <w:tcBorders>
              <w:top w:val="nil"/>
              <w:left w:val="nil"/>
              <w:bottom w:val="single" w:sz="4" w:space="0" w:color="auto"/>
              <w:right w:val="single" w:sz="4" w:space="0" w:color="auto"/>
            </w:tcBorders>
            <w:shd w:val="clear" w:color="auto" w:fill="auto"/>
            <w:noWrap/>
            <w:vAlign w:val="center"/>
            <w:hideMark/>
          </w:tcPr>
          <w:p w14:paraId="64E13A67" w14:textId="77777777" w:rsidR="00CD28E3" w:rsidRPr="00655B33" w:rsidRDefault="00CD28E3" w:rsidP="00CD28E3">
            <w:pPr>
              <w:jc w:val="right"/>
              <w:rPr>
                <w:szCs w:val="22"/>
                <w:lang w:eastAsia="zh-CN"/>
              </w:rPr>
            </w:pPr>
            <w:r w:rsidRPr="00655B33">
              <w:rPr>
                <w:szCs w:val="22"/>
              </w:rPr>
              <w:t>3 194</w:t>
            </w:r>
          </w:p>
        </w:tc>
      </w:tr>
      <w:tr w:rsidR="00D46BC1" w:rsidRPr="004D5F9F" w14:paraId="74A2AB46" w14:textId="77777777" w:rsidTr="00D46BC1">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9F505D" w14:textId="5E1DFFA7" w:rsidR="00D46BC1" w:rsidRPr="00655B33" w:rsidRDefault="00D46BC1" w:rsidP="007A2D76">
            <w:pPr>
              <w:jc w:val="center"/>
              <w:rPr>
                <w:szCs w:val="22"/>
              </w:rPr>
            </w:pPr>
            <w:r w:rsidRPr="00655B33">
              <w:rPr>
                <w:szCs w:val="22"/>
              </w:rPr>
              <w:t>85</w:t>
            </w:r>
          </w:p>
        </w:tc>
        <w:tc>
          <w:tcPr>
            <w:tcW w:w="3380" w:type="dxa"/>
            <w:tcBorders>
              <w:top w:val="nil"/>
              <w:left w:val="nil"/>
              <w:bottom w:val="single" w:sz="4" w:space="0" w:color="auto"/>
              <w:right w:val="single" w:sz="4" w:space="0" w:color="auto"/>
            </w:tcBorders>
            <w:shd w:val="clear" w:color="auto" w:fill="auto"/>
            <w:vAlign w:val="center"/>
            <w:hideMark/>
          </w:tcPr>
          <w:p w14:paraId="78DAC324" w14:textId="77777777" w:rsidR="00D46BC1" w:rsidRPr="00655B33" w:rsidRDefault="00D46BC1" w:rsidP="007A2D76">
            <w:pPr>
              <w:jc w:val="left"/>
              <w:rPr>
                <w:szCs w:val="22"/>
              </w:rPr>
            </w:pPr>
            <w:r w:rsidRPr="00655B33">
              <w:rPr>
                <w:szCs w:val="22"/>
              </w:rPr>
              <w:t>Ouganda</w:t>
            </w:r>
          </w:p>
        </w:tc>
        <w:tc>
          <w:tcPr>
            <w:tcW w:w="1720" w:type="dxa"/>
            <w:tcBorders>
              <w:top w:val="nil"/>
              <w:left w:val="nil"/>
              <w:bottom w:val="single" w:sz="4" w:space="0" w:color="auto"/>
              <w:right w:val="single" w:sz="4" w:space="0" w:color="auto"/>
            </w:tcBorders>
            <w:shd w:val="clear" w:color="auto" w:fill="auto"/>
            <w:vAlign w:val="center"/>
            <w:hideMark/>
          </w:tcPr>
          <w:p w14:paraId="7B7D4797" w14:textId="77777777" w:rsidR="00D46BC1" w:rsidRPr="00655B33" w:rsidRDefault="00D46BC1" w:rsidP="007A2D76">
            <w:pPr>
              <w:jc w:val="center"/>
              <w:rPr>
                <w:szCs w:val="22"/>
              </w:rPr>
            </w:pPr>
            <w:r w:rsidRPr="00655B33">
              <w:rPr>
                <w:szCs w:val="22"/>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10307474" w14:textId="77777777" w:rsidR="00D46BC1" w:rsidRPr="00655B33" w:rsidRDefault="00D46BC1" w:rsidP="007A2D76">
            <w:pPr>
              <w:jc w:val="center"/>
              <w:rPr>
                <w:szCs w:val="22"/>
              </w:rPr>
            </w:pPr>
            <w:r w:rsidRPr="00655B33">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2DF03EB7" w14:textId="77777777" w:rsidR="00D46BC1" w:rsidRPr="00655B33" w:rsidRDefault="00D46BC1" w:rsidP="007A2D76">
            <w:pPr>
              <w:jc w:val="right"/>
              <w:rPr>
                <w:szCs w:val="22"/>
              </w:rPr>
            </w:pPr>
            <w:r w:rsidRPr="00655B33">
              <w:rPr>
                <w:szCs w:val="22"/>
              </w:rPr>
              <w:t>173</w:t>
            </w:r>
          </w:p>
        </w:tc>
      </w:tr>
      <w:tr w:rsidR="0033145B" w:rsidRPr="004D5F9F" w14:paraId="4C5B157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C9ABDF" w14:textId="1FBE455E" w:rsidR="00CD28E3" w:rsidRPr="00541ABB" w:rsidRDefault="005E1481" w:rsidP="00CD28E3">
            <w:pPr>
              <w:jc w:val="center"/>
              <w:rPr>
                <w:szCs w:val="22"/>
                <w:lang w:eastAsia="zh-CN"/>
              </w:rPr>
            </w:pPr>
            <w:r>
              <w:rPr>
                <w:szCs w:val="22"/>
              </w:rPr>
              <w:t>86</w:t>
            </w:r>
          </w:p>
        </w:tc>
        <w:tc>
          <w:tcPr>
            <w:tcW w:w="3380" w:type="dxa"/>
            <w:tcBorders>
              <w:top w:val="nil"/>
              <w:left w:val="nil"/>
              <w:bottom w:val="single" w:sz="4" w:space="0" w:color="auto"/>
              <w:right w:val="single" w:sz="4" w:space="0" w:color="auto"/>
            </w:tcBorders>
            <w:shd w:val="clear" w:color="auto" w:fill="auto"/>
            <w:vAlign w:val="center"/>
            <w:hideMark/>
          </w:tcPr>
          <w:p w14:paraId="49D383B2" w14:textId="77777777" w:rsidR="00CD28E3" w:rsidRPr="00541ABB" w:rsidRDefault="00CD28E3" w:rsidP="00CD28E3">
            <w:pPr>
              <w:jc w:val="left"/>
              <w:rPr>
                <w:szCs w:val="22"/>
                <w:lang w:eastAsia="zh-CN"/>
              </w:rPr>
            </w:pPr>
            <w:r>
              <w:rPr>
                <w:szCs w:val="22"/>
              </w:rPr>
              <w:t>Pakistan</w:t>
            </w:r>
          </w:p>
        </w:tc>
        <w:tc>
          <w:tcPr>
            <w:tcW w:w="1720" w:type="dxa"/>
            <w:tcBorders>
              <w:top w:val="nil"/>
              <w:left w:val="nil"/>
              <w:bottom w:val="single" w:sz="4" w:space="0" w:color="auto"/>
              <w:right w:val="single" w:sz="4" w:space="0" w:color="auto"/>
            </w:tcBorders>
            <w:shd w:val="clear" w:color="auto" w:fill="auto"/>
            <w:vAlign w:val="center"/>
            <w:hideMark/>
          </w:tcPr>
          <w:p w14:paraId="52701CE7" w14:textId="77777777" w:rsidR="00CD28E3" w:rsidRPr="00541ABB" w:rsidRDefault="00CD28E3" w:rsidP="00CD28E3">
            <w:pPr>
              <w:jc w:val="center"/>
              <w:rPr>
                <w:szCs w:val="22"/>
                <w:lang w:eastAsia="zh-CN"/>
              </w:rPr>
            </w:pPr>
            <w:r>
              <w:rPr>
                <w:szCs w:val="22"/>
              </w:rPr>
              <w:t>0,115</w:t>
            </w:r>
          </w:p>
        </w:tc>
        <w:tc>
          <w:tcPr>
            <w:tcW w:w="1720" w:type="dxa"/>
            <w:tcBorders>
              <w:top w:val="nil"/>
              <w:left w:val="nil"/>
              <w:bottom w:val="single" w:sz="4" w:space="0" w:color="auto"/>
              <w:right w:val="single" w:sz="4" w:space="0" w:color="auto"/>
            </w:tcBorders>
            <w:shd w:val="clear" w:color="auto" w:fill="auto"/>
            <w:noWrap/>
            <w:vAlign w:val="center"/>
            <w:hideMark/>
          </w:tcPr>
          <w:p w14:paraId="3211B092" w14:textId="77777777" w:rsidR="00CD28E3" w:rsidRPr="00541ABB" w:rsidRDefault="00CD28E3" w:rsidP="00CD28E3">
            <w:pPr>
              <w:jc w:val="center"/>
              <w:rPr>
                <w:szCs w:val="22"/>
                <w:lang w:eastAsia="zh-CN"/>
              </w:rPr>
            </w:pPr>
            <w:r>
              <w:rPr>
                <w:szCs w:val="22"/>
              </w:rPr>
              <w:t>0,185</w:t>
            </w:r>
          </w:p>
        </w:tc>
        <w:tc>
          <w:tcPr>
            <w:tcW w:w="1720" w:type="dxa"/>
            <w:tcBorders>
              <w:top w:val="nil"/>
              <w:left w:val="nil"/>
              <w:bottom w:val="single" w:sz="4" w:space="0" w:color="auto"/>
              <w:right w:val="single" w:sz="4" w:space="0" w:color="auto"/>
            </w:tcBorders>
            <w:shd w:val="clear" w:color="auto" w:fill="auto"/>
            <w:noWrap/>
            <w:vAlign w:val="center"/>
            <w:hideMark/>
          </w:tcPr>
          <w:p w14:paraId="6BAFA508" w14:textId="77777777" w:rsidR="00CD28E3" w:rsidRPr="00541ABB" w:rsidRDefault="00CD28E3" w:rsidP="00CD28E3">
            <w:pPr>
              <w:jc w:val="right"/>
              <w:rPr>
                <w:szCs w:val="22"/>
                <w:lang w:eastAsia="zh-CN"/>
              </w:rPr>
            </w:pPr>
            <w:r>
              <w:rPr>
                <w:szCs w:val="22"/>
              </w:rPr>
              <w:t>3 194</w:t>
            </w:r>
          </w:p>
        </w:tc>
      </w:tr>
      <w:tr w:rsidR="0033145B" w:rsidRPr="004D5F9F" w14:paraId="7FCDF0D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549110" w14:textId="539EC430" w:rsidR="00CD28E3" w:rsidRPr="00541ABB" w:rsidRDefault="005E1481" w:rsidP="00CD28E3">
            <w:pPr>
              <w:jc w:val="center"/>
              <w:rPr>
                <w:szCs w:val="22"/>
                <w:lang w:eastAsia="zh-CN"/>
              </w:rPr>
            </w:pPr>
            <w:r>
              <w:rPr>
                <w:szCs w:val="22"/>
              </w:rPr>
              <w:t>87</w:t>
            </w:r>
          </w:p>
        </w:tc>
        <w:tc>
          <w:tcPr>
            <w:tcW w:w="3380" w:type="dxa"/>
            <w:tcBorders>
              <w:top w:val="nil"/>
              <w:left w:val="nil"/>
              <w:bottom w:val="single" w:sz="4" w:space="0" w:color="auto"/>
              <w:right w:val="single" w:sz="4" w:space="0" w:color="auto"/>
            </w:tcBorders>
            <w:shd w:val="clear" w:color="auto" w:fill="auto"/>
            <w:vAlign w:val="center"/>
            <w:hideMark/>
          </w:tcPr>
          <w:p w14:paraId="104DEA2F" w14:textId="77777777" w:rsidR="00CD28E3" w:rsidRPr="00541ABB" w:rsidRDefault="00CD28E3" w:rsidP="00CD28E3">
            <w:pPr>
              <w:jc w:val="left"/>
              <w:rPr>
                <w:szCs w:val="22"/>
                <w:lang w:eastAsia="zh-CN"/>
              </w:rPr>
            </w:pPr>
            <w:r>
              <w:rPr>
                <w:szCs w:val="22"/>
              </w:rPr>
              <w:t>Palaos</w:t>
            </w:r>
          </w:p>
        </w:tc>
        <w:tc>
          <w:tcPr>
            <w:tcW w:w="1720" w:type="dxa"/>
            <w:tcBorders>
              <w:top w:val="nil"/>
              <w:left w:val="nil"/>
              <w:bottom w:val="single" w:sz="4" w:space="0" w:color="auto"/>
              <w:right w:val="single" w:sz="4" w:space="0" w:color="auto"/>
            </w:tcBorders>
            <w:shd w:val="clear" w:color="auto" w:fill="auto"/>
            <w:vAlign w:val="center"/>
            <w:hideMark/>
          </w:tcPr>
          <w:p w14:paraId="181DB89C"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4740009A"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D63FC2B" w14:textId="77777777" w:rsidR="00CD28E3" w:rsidRPr="00541ABB" w:rsidRDefault="00CD28E3" w:rsidP="00CD28E3">
            <w:pPr>
              <w:jc w:val="right"/>
              <w:rPr>
                <w:szCs w:val="22"/>
                <w:lang w:eastAsia="zh-CN"/>
              </w:rPr>
            </w:pPr>
            <w:r>
              <w:rPr>
                <w:szCs w:val="22"/>
              </w:rPr>
              <w:t>28</w:t>
            </w:r>
          </w:p>
        </w:tc>
      </w:tr>
      <w:tr w:rsidR="0033145B" w:rsidRPr="004D5F9F" w14:paraId="7235A42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9E0FDA" w14:textId="54FAB805" w:rsidR="00CD28E3" w:rsidRPr="00541ABB" w:rsidRDefault="005E1481" w:rsidP="00CD28E3">
            <w:pPr>
              <w:jc w:val="center"/>
              <w:rPr>
                <w:szCs w:val="22"/>
                <w:lang w:eastAsia="zh-CN"/>
              </w:rPr>
            </w:pPr>
            <w:r>
              <w:rPr>
                <w:szCs w:val="22"/>
              </w:rPr>
              <w:t>88</w:t>
            </w:r>
          </w:p>
        </w:tc>
        <w:tc>
          <w:tcPr>
            <w:tcW w:w="3380" w:type="dxa"/>
            <w:tcBorders>
              <w:top w:val="nil"/>
              <w:left w:val="nil"/>
              <w:bottom w:val="single" w:sz="4" w:space="0" w:color="auto"/>
              <w:right w:val="single" w:sz="4" w:space="0" w:color="auto"/>
            </w:tcBorders>
            <w:shd w:val="clear" w:color="auto" w:fill="auto"/>
            <w:vAlign w:val="center"/>
            <w:hideMark/>
          </w:tcPr>
          <w:p w14:paraId="3CD2CF46" w14:textId="77777777" w:rsidR="00CD28E3" w:rsidRPr="00541ABB" w:rsidRDefault="00CD28E3" w:rsidP="00CD28E3">
            <w:pPr>
              <w:jc w:val="left"/>
              <w:rPr>
                <w:szCs w:val="22"/>
                <w:lang w:eastAsia="zh-CN"/>
              </w:rPr>
            </w:pPr>
            <w:r>
              <w:rPr>
                <w:szCs w:val="22"/>
              </w:rPr>
              <w:t>Panama</w:t>
            </w:r>
          </w:p>
        </w:tc>
        <w:tc>
          <w:tcPr>
            <w:tcW w:w="1720" w:type="dxa"/>
            <w:tcBorders>
              <w:top w:val="nil"/>
              <w:left w:val="nil"/>
              <w:bottom w:val="single" w:sz="4" w:space="0" w:color="auto"/>
              <w:right w:val="single" w:sz="4" w:space="0" w:color="auto"/>
            </w:tcBorders>
            <w:shd w:val="clear" w:color="auto" w:fill="auto"/>
            <w:vAlign w:val="center"/>
            <w:hideMark/>
          </w:tcPr>
          <w:p w14:paraId="7E66894B" w14:textId="77777777" w:rsidR="00CD28E3" w:rsidRPr="00541ABB" w:rsidRDefault="00CD28E3" w:rsidP="00CD28E3">
            <w:pPr>
              <w:jc w:val="center"/>
              <w:rPr>
                <w:szCs w:val="22"/>
                <w:lang w:eastAsia="zh-CN"/>
              </w:rPr>
            </w:pPr>
            <w:r>
              <w:rPr>
                <w:szCs w:val="22"/>
              </w:rPr>
              <w:t>0,045</w:t>
            </w:r>
          </w:p>
        </w:tc>
        <w:tc>
          <w:tcPr>
            <w:tcW w:w="1720" w:type="dxa"/>
            <w:tcBorders>
              <w:top w:val="nil"/>
              <w:left w:val="nil"/>
              <w:bottom w:val="single" w:sz="4" w:space="0" w:color="auto"/>
              <w:right w:val="single" w:sz="4" w:space="0" w:color="auto"/>
            </w:tcBorders>
            <w:shd w:val="clear" w:color="auto" w:fill="auto"/>
            <w:noWrap/>
            <w:vAlign w:val="center"/>
            <w:hideMark/>
          </w:tcPr>
          <w:p w14:paraId="3EADEC6B" w14:textId="77777777" w:rsidR="00CD28E3" w:rsidRPr="00541ABB" w:rsidRDefault="00CD28E3" w:rsidP="00CD28E3">
            <w:pPr>
              <w:jc w:val="center"/>
              <w:rPr>
                <w:szCs w:val="22"/>
                <w:lang w:eastAsia="zh-CN"/>
              </w:rPr>
            </w:pPr>
            <w:r>
              <w:rPr>
                <w:szCs w:val="22"/>
              </w:rPr>
              <w:t>0,072</w:t>
            </w:r>
          </w:p>
        </w:tc>
        <w:tc>
          <w:tcPr>
            <w:tcW w:w="1720" w:type="dxa"/>
            <w:tcBorders>
              <w:top w:val="nil"/>
              <w:left w:val="nil"/>
              <w:bottom w:val="single" w:sz="4" w:space="0" w:color="auto"/>
              <w:right w:val="single" w:sz="4" w:space="0" w:color="auto"/>
            </w:tcBorders>
            <w:shd w:val="clear" w:color="auto" w:fill="auto"/>
            <w:noWrap/>
            <w:vAlign w:val="center"/>
            <w:hideMark/>
          </w:tcPr>
          <w:p w14:paraId="3153AD8C" w14:textId="77777777" w:rsidR="00CD28E3" w:rsidRPr="00541ABB" w:rsidRDefault="00CD28E3" w:rsidP="00CD28E3">
            <w:pPr>
              <w:jc w:val="right"/>
              <w:rPr>
                <w:szCs w:val="22"/>
                <w:lang w:eastAsia="zh-CN"/>
              </w:rPr>
            </w:pPr>
            <w:r>
              <w:rPr>
                <w:szCs w:val="22"/>
              </w:rPr>
              <w:t>1 250</w:t>
            </w:r>
          </w:p>
        </w:tc>
      </w:tr>
      <w:tr w:rsidR="008F01D7" w:rsidRPr="004D5F9F" w14:paraId="7F2ABCD0" w14:textId="77777777" w:rsidTr="008F01D7">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CC33A9" w14:textId="1C7165B4" w:rsidR="008F01D7" w:rsidRPr="00541ABB" w:rsidRDefault="00C55247" w:rsidP="007A2D76">
            <w:pPr>
              <w:jc w:val="center"/>
              <w:rPr>
                <w:szCs w:val="22"/>
              </w:rPr>
            </w:pPr>
            <w:r>
              <w:rPr>
                <w:szCs w:val="22"/>
              </w:rPr>
              <w:t>89</w:t>
            </w:r>
          </w:p>
        </w:tc>
        <w:tc>
          <w:tcPr>
            <w:tcW w:w="3380" w:type="dxa"/>
            <w:tcBorders>
              <w:top w:val="nil"/>
              <w:left w:val="nil"/>
              <w:bottom w:val="single" w:sz="4" w:space="0" w:color="auto"/>
              <w:right w:val="single" w:sz="4" w:space="0" w:color="auto"/>
            </w:tcBorders>
            <w:shd w:val="clear" w:color="auto" w:fill="auto"/>
            <w:vAlign w:val="center"/>
            <w:hideMark/>
          </w:tcPr>
          <w:p w14:paraId="50E6BF06" w14:textId="77777777" w:rsidR="008F01D7" w:rsidRPr="00541ABB" w:rsidRDefault="008F01D7" w:rsidP="007A2D76">
            <w:pPr>
              <w:jc w:val="left"/>
              <w:rPr>
                <w:szCs w:val="22"/>
              </w:rPr>
            </w:pPr>
            <w:r>
              <w:rPr>
                <w:szCs w:val="22"/>
              </w:rPr>
              <w:t>Pays-Bas</w:t>
            </w:r>
          </w:p>
        </w:tc>
        <w:tc>
          <w:tcPr>
            <w:tcW w:w="1720" w:type="dxa"/>
            <w:tcBorders>
              <w:top w:val="nil"/>
              <w:left w:val="nil"/>
              <w:bottom w:val="single" w:sz="4" w:space="0" w:color="auto"/>
              <w:right w:val="single" w:sz="4" w:space="0" w:color="auto"/>
            </w:tcBorders>
            <w:shd w:val="clear" w:color="auto" w:fill="auto"/>
            <w:vAlign w:val="center"/>
            <w:hideMark/>
          </w:tcPr>
          <w:p w14:paraId="3F3B20D9" w14:textId="77777777" w:rsidR="008F01D7" w:rsidRPr="00541ABB" w:rsidRDefault="008F01D7" w:rsidP="007A2D76">
            <w:pPr>
              <w:jc w:val="center"/>
              <w:rPr>
                <w:szCs w:val="22"/>
              </w:rPr>
            </w:pPr>
            <w:r>
              <w:rPr>
                <w:szCs w:val="22"/>
              </w:rPr>
              <w:t>1,356</w:t>
            </w:r>
          </w:p>
        </w:tc>
        <w:tc>
          <w:tcPr>
            <w:tcW w:w="1720" w:type="dxa"/>
            <w:tcBorders>
              <w:top w:val="nil"/>
              <w:left w:val="nil"/>
              <w:bottom w:val="single" w:sz="4" w:space="0" w:color="auto"/>
              <w:right w:val="single" w:sz="4" w:space="0" w:color="auto"/>
            </w:tcBorders>
            <w:shd w:val="clear" w:color="auto" w:fill="auto"/>
            <w:noWrap/>
            <w:vAlign w:val="center"/>
            <w:hideMark/>
          </w:tcPr>
          <w:p w14:paraId="5A67EC3D" w14:textId="77777777" w:rsidR="008F01D7" w:rsidRPr="00541ABB" w:rsidRDefault="008F01D7" w:rsidP="007A2D76">
            <w:pPr>
              <w:jc w:val="center"/>
              <w:rPr>
                <w:szCs w:val="22"/>
              </w:rPr>
            </w:pPr>
            <w:r>
              <w:rPr>
                <w:szCs w:val="22"/>
              </w:rPr>
              <w:t>2,178</w:t>
            </w:r>
          </w:p>
        </w:tc>
        <w:tc>
          <w:tcPr>
            <w:tcW w:w="1720" w:type="dxa"/>
            <w:tcBorders>
              <w:top w:val="nil"/>
              <w:left w:val="nil"/>
              <w:bottom w:val="single" w:sz="4" w:space="0" w:color="auto"/>
              <w:right w:val="single" w:sz="4" w:space="0" w:color="auto"/>
            </w:tcBorders>
            <w:shd w:val="clear" w:color="auto" w:fill="auto"/>
            <w:noWrap/>
            <w:vAlign w:val="center"/>
            <w:hideMark/>
          </w:tcPr>
          <w:p w14:paraId="5FDEBDF8" w14:textId="77777777" w:rsidR="008F01D7" w:rsidRPr="00541ABB" w:rsidRDefault="008F01D7" w:rsidP="007A2D76">
            <w:pPr>
              <w:jc w:val="right"/>
              <w:rPr>
                <w:szCs w:val="22"/>
              </w:rPr>
            </w:pPr>
            <w:r>
              <w:rPr>
                <w:szCs w:val="22"/>
              </w:rPr>
              <w:t>37 656</w:t>
            </w:r>
          </w:p>
        </w:tc>
      </w:tr>
      <w:tr w:rsidR="0033145B" w:rsidRPr="004D5F9F" w14:paraId="4989D26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E86E20" w14:textId="3D203915" w:rsidR="00CD28E3" w:rsidRPr="00541ABB" w:rsidRDefault="00446FFE" w:rsidP="00CD28E3">
            <w:pPr>
              <w:jc w:val="center"/>
              <w:rPr>
                <w:szCs w:val="22"/>
                <w:lang w:eastAsia="zh-CN"/>
              </w:rPr>
            </w:pPr>
            <w:r>
              <w:rPr>
                <w:szCs w:val="22"/>
              </w:rPr>
              <w:t>90</w:t>
            </w:r>
          </w:p>
        </w:tc>
        <w:tc>
          <w:tcPr>
            <w:tcW w:w="3380" w:type="dxa"/>
            <w:tcBorders>
              <w:top w:val="nil"/>
              <w:left w:val="nil"/>
              <w:bottom w:val="single" w:sz="4" w:space="0" w:color="auto"/>
              <w:right w:val="single" w:sz="4" w:space="0" w:color="auto"/>
            </w:tcBorders>
            <w:shd w:val="clear" w:color="auto" w:fill="auto"/>
            <w:vAlign w:val="center"/>
            <w:hideMark/>
          </w:tcPr>
          <w:p w14:paraId="05D58D62" w14:textId="77777777" w:rsidR="00CD28E3" w:rsidRPr="00541ABB" w:rsidRDefault="00CD28E3" w:rsidP="00CD28E3">
            <w:pPr>
              <w:jc w:val="left"/>
              <w:rPr>
                <w:szCs w:val="22"/>
                <w:lang w:eastAsia="zh-CN"/>
              </w:rPr>
            </w:pPr>
            <w:r>
              <w:rPr>
                <w:szCs w:val="22"/>
              </w:rPr>
              <w:t>Pérou</w:t>
            </w:r>
          </w:p>
        </w:tc>
        <w:tc>
          <w:tcPr>
            <w:tcW w:w="1720" w:type="dxa"/>
            <w:tcBorders>
              <w:top w:val="nil"/>
              <w:left w:val="nil"/>
              <w:bottom w:val="single" w:sz="4" w:space="0" w:color="auto"/>
              <w:right w:val="single" w:sz="4" w:space="0" w:color="auto"/>
            </w:tcBorders>
            <w:shd w:val="clear" w:color="auto" w:fill="auto"/>
            <w:vAlign w:val="center"/>
            <w:hideMark/>
          </w:tcPr>
          <w:p w14:paraId="6C9D8E37" w14:textId="77777777" w:rsidR="00CD28E3" w:rsidRPr="00541ABB" w:rsidRDefault="00CD28E3" w:rsidP="00CD28E3">
            <w:pPr>
              <w:jc w:val="center"/>
              <w:rPr>
                <w:szCs w:val="22"/>
                <w:lang w:eastAsia="zh-CN"/>
              </w:rPr>
            </w:pPr>
            <w:r>
              <w:rPr>
                <w:szCs w:val="22"/>
              </w:rPr>
              <w:t>0,152</w:t>
            </w:r>
          </w:p>
        </w:tc>
        <w:tc>
          <w:tcPr>
            <w:tcW w:w="1720" w:type="dxa"/>
            <w:tcBorders>
              <w:top w:val="nil"/>
              <w:left w:val="nil"/>
              <w:bottom w:val="single" w:sz="4" w:space="0" w:color="auto"/>
              <w:right w:val="single" w:sz="4" w:space="0" w:color="auto"/>
            </w:tcBorders>
            <w:shd w:val="clear" w:color="auto" w:fill="auto"/>
            <w:noWrap/>
            <w:vAlign w:val="center"/>
            <w:hideMark/>
          </w:tcPr>
          <w:p w14:paraId="7365B4DC" w14:textId="77777777" w:rsidR="00CD28E3" w:rsidRPr="00541ABB" w:rsidRDefault="00CD28E3" w:rsidP="00CD28E3">
            <w:pPr>
              <w:jc w:val="center"/>
              <w:rPr>
                <w:szCs w:val="22"/>
                <w:lang w:eastAsia="zh-CN"/>
              </w:rPr>
            </w:pPr>
            <w:r>
              <w:rPr>
                <w:szCs w:val="22"/>
              </w:rPr>
              <w:t>0,244</w:t>
            </w:r>
          </w:p>
        </w:tc>
        <w:tc>
          <w:tcPr>
            <w:tcW w:w="1720" w:type="dxa"/>
            <w:tcBorders>
              <w:top w:val="nil"/>
              <w:left w:val="nil"/>
              <w:bottom w:val="single" w:sz="4" w:space="0" w:color="auto"/>
              <w:right w:val="single" w:sz="4" w:space="0" w:color="auto"/>
            </w:tcBorders>
            <w:shd w:val="clear" w:color="auto" w:fill="auto"/>
            <w:noWrap/>
            <w:vAlign w:val="center"/>
            <w:hideMark/>
          </w:tcPr>
          <w:p w14:paraId="1FD856E2" w14:textId="77777777" w:rsidR="00CD28E3" w:rsidRPr="00541ABB" w:rsidRDefault="00CD28E3" w:rsidP="00CD28E3">
            <w:pPr>
              <w:jc w:val="right"/>
              <w:rPr>
                <w:szCs w:val="22"/>
                <w:lang w:eastAsia="zh-CN"/>
              </w:rPr>
            </w:pPr>
            <w:r>
              <w:rPr>
                <w:szCs w:val="22"/>
              </w:rPr>
              <w:t>4 221</w:t>
            </w:r>
          </w:p>
        </w:tc>
      </w:tr>
      <w:tr w:rsidR="0033145B" w:rsidRPr="004D5F9F" w14:paraId="3C78C73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5A6D86" w14:textId="7BE16C15" w:rsidR="00CD28E3" w:rsidRPr="00541ABB" w:rsidRDefault="00446FFE" w:rsidP="00CD28E3">
            <w:pPr>
              <w:jc w:val="center"/>
              <w:rPr>
                <w:szCs w:val="22"/>
                <w:lang w:eastAsia="zh-CN"/>
              </w:rPr>
            </w:pPr>
            <w:r>
              <w:rPr>
                <w:szCs w:val="22"/>
              </w:rPr>
              <w:t>91</w:t>
            </w:r>
          </w:p>
        </w:tc>
        <w:tc>
          <w:tcPr>
            <w:tcW w:w="3380" w:type="dxa"/>
            <w:tcBorders>
              <w:top w:val="nil"/>
              <w:left w:val="nil"/>
              <w:bottom w:val="single" w:sz="4" w:space="0" w:color="auto"/>
              <w:right w:val="single" w:sz="4" w:space="0" w:color="auto"/>
            </w:tcBorders>
            <w:shd w:val="clear" w:color="auto" w:fill="auto"/>
            <w:vAlign w:val="center"/>
            <w:hideMark/>
          </w:tcPr>
          <w:p w14:paraId="732883EB" w14:textId="77777777" w:rsidR="00CD28E3" w:rsidRPr="00541ABB" w:rsidRDefault="00CD28E3" w:rsidP="00CD28E3">
            <w:pPr>
              <w:jc w:val="left"/>
              <w:rPr>
                <w:szCs w:val="22"/>
                <w:lang w:eastAsia="zh-CN"/>
              </w:rPr>
            </w:pPr>
            <w:r>
              <w:rPr>
                <w:szCs w:val="22"/>
              </w:rPr>
              <w:t>Philippines</w:t>
            </w:r>
          </w:p>
        </w:tc>
        <w:tc>
          <w:tcPr>
            <w:tcW w:w="1720" w:type="dxa"/>
            <w:tcBorders>
              <w:top w:val="nil"/>
              <w:left w:val="nil"/>
              <w:bottom w:val="single" w:sz="4" w:space="0" w:color="auto"/>
              <w:right w:val="single" w:sz="4" w:space="0" w:color="auto"/>
            </w:tcBorders>
            <w:shd w:val="clear" w:color="auto" w:fill="auto"/>
            <w:vAlign w:val="center"/>
            <w:hideMark/>
          </w:tcPr>
          <w:p w14:paraId="7459D131" w14:textId="77777777" w:rsidR="00CD28E3" w:rsidRPr="00541ABB" w:rsidRDefault="00CD28E3" w:rsidP="00CD28E3">
            <w:pPr>
              <w:jc w:val="center"/>
              <w:rPr>
                <w:szCs w:val="22"/>
                <w:lang w:eastAsia="zh-CN"/>
              </w:rPr>
            </w:pPr>
            <w:r>
              <w:rPr>
                <w:szCs w:val="22"/>
              </w:rPr>
              <w:t>0,205</w:t>
            </w:r>
          </w:p>
        </w:tc>
        <w:tc>
          <w:tcPr>
            <w:tcW w:w="1720" w:type="dxa"/>
            <w:tcBorders>
              <w:top w:val="nil"/>
              <w:left w:val="nil"/>
              <w:bottom w:val="single" w:sz="4" w:space="0" w:color="auto"/>
              <w:right w:val="single" w:sz="4" w:space="0" w:color="auto"/>
            </w:tcBorders>
            <w:shd w:val="clear" w:color="auto" w:fill="auto"/>
            <w:noWrap/>
            <w:vAlign w:val="center"/>
            <w:hideMark/>
          </w:tcPr>
          <w:p w14:paraId="34BB4AB3" w14:textId="77777777" w:rsidR="00CD28E3" w:rsidRPr="00541ABB" w:rsidRDefault="00CD28E3" w:rsidP="00CD28E3">
            <w:pPr>
              <w:jc w:val="center"/>
              <w:rPr>
                <w:szCs w:val="22"/>
                <w:lang w:eastAsia="zh-CN"/>
              </w:rPr>
            </w:pPr>
            <w:r>
              <w:rPr>
                <w:szCs w:val="22"/>
              </w:rPr>
              <w:t>0,329</w:t>
            </w:r>
          </w:p>
        </w:tc>
        <w:tc>
          <w:tcPr>
            <w:tcW w:w="1720" w:type="dxa"/>
            <w:tcBorders>
              <w:top w:val="nil"/>
              <w:left w:val="nil"/>
              <w:bottom w:val="single" w:sz="4" w:space="0" w:color="auto"/>
              <w:right w:val="single" w:sz="4" w:space="0" w:color="auto"/>
            </w:tcBorders>
            <w:shd w:val="clear" w:color="auto" w:fill="auto"/>
            <w:noWrap/>
            <w:vAlign w:val="center"/>
            <w:hideMark/>
          </w:tcPr>
          <w:p w14:paraId="102D7F49" w14:textId="77777777" w:rsidR="00CD28E3" w:rsidRPr="00541ABB" w:rsidRDefault="00CD28E3" w:rsidP="00CD28E3">
            <w:pPr>
              <w:jc w:val="right"/>
              <w:rPr>
                <w:szCs w:val="22"/>
                <w:lang w:eastAsia="zh-CN"/>
              </w:rPr>
            </w:pPr>
            <w:r>
              <w:rPr>
                <w:szCs w:val="22"/>
              </w:rPr>
              <w:t>5 693</w:t>
            </w:r>
          </w:p>
        </w:tc>
      </w:tr>
      <w:tr w:rsidR="0033145B" w:rsidRPr="004D5F9F" w14:paraId="251C3109"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7F95ED" w14:textId="3D1AFA10" w:rsidR="00CD28E3" w:rsidRPr="00541ABB" w:rsidRDefault="00446FFE" w:rsidP="00CD28E3">
            <w:pPr>
              <w:jc w:val="center"/>
              <w:rPr>
                <w:szCs w:val="22"/>
                <w:lang w:eastAsia="zh-CN"/>
              </w:rPr>
            </w:pPr>
            <w:r>
              <w:rPr>
                <w:szCs w:val="22"/>
              </w:rPr>
              <w:t>92</w:t>
            </w:r>
          </w:p>
        </w:tc>
        <w:tc>
          <w:tcPr>
            <w:tcW w:w="3380" w:type="dxa"/>
            <w:tcBorders>
              <w:top w:val="nil"/>
              <w:left w:val="nil"/>
              <w:bottom w:val="single" w:sz="4" w:space="0" w:color="auto"/>
              <w:right w:val="single" w:sz="4" w:space="0" w:color="auto"/>
            </w:tcBorders>
            <w:shd w:val="clear" w:color="auto" w:fill="auto"/>
            <w:vAlign w:val="center"/>
            <w:hideMark/>
          </w:tcPr>
          <w:p w14:paraId="39A74BC3" w14:textId="77777777" w:rsidR="00CD28E3" w:rsidRPr="00541ABB" w:rsidRDefault="00CD28E3" w:rsidP="00CD28E3">
            <w:pPr>
              <w:jc w:val="left"/>
              <w:rPr>
                <w:szCs w:val="22"/>
                <w:lang w:eastAsia="zh-CN"/>
              </w:rPr>
            </w:pPr>
            <w:r>
              <w:rPr>
                <w:szCs w:val="22"/>
              </w:rPr>
              <w:t>Portugal</w:t>
            </w:r>
          </w:p>
        </w:tc>
        <w:tc>
          <w:tcPr>
            <w:tcW w:w="1720" w:type="dxa"/>
            <w:tcBorders>
              <w:top w:val="nil"/>
              <w:left w:val="nil"/>
              <w:bottom w:val="single" w:sz="4" w:space="0" w:color="auto"/>
              <w:right w:val="single" w:sz="4" w:space="0" w:color="auto"/>
            </w:tcBorders>
            <w:shd w:val="clear" w:color="auto" w:fill="auto"/>
            <w:vAlign w:val="center"/>
            <w:hideMark/>
          </w:tcPr>
          <w:p w14:paraId="62124730" w14:textId="77777777" w:rsidR="00CD28E3" w:rsidRPr="00541ABB" w:rsidRDefault="00CD28E3" w:rsidP="00CD28E3">
            <w:pPr>
              <w:jc w:val="center"/>
              <w:rPr>
                <w:szCs w:val="22"/>
                <w:lang w:eastAsia="zh-CN"/>
              </w:rPr>
            </w:pPr>
            <w:r>
              <w:rPr>
                <w:szCs w:val="22"/>
              </w:rPr>
              <w:t>0,350</w:t>
            </w:r>
          </w:p>
        </w:tc>
        <w:tc>
          <w:tcPr>
            <w:tcW w:w="1720" w:type="dxa"/>
            <w:tcBorders>
              <w:top w:val="nil"/>
              <w:left w:val="nil"/>
              <w:bottom w:val="single" w:sz="4" w:space="0" w:color="auto"/>
              <w:right w:val="single" w:sz="4" w:space="0" w:color="auto"/>
            </w:tcBorders>
            <w:shd w:val="clear" w:color="auto" w:fill="auto"/>
            <w:noWrap/>
            <w:vAlign w:val="center"/>
            <w:hideMark/>
          </w:tcPr>
          <w:p w14:paraId="7241EF73" w14:textId="77777777" w:rsidR="00CD28E3" w:rsidRPr="00541ABB" w:rsidRDefault="00CD28E3" w:rsidP="00CD28E3">
            <w:pPr>
              <w:jc w:val="center"/>
              <w:rPr>
                <w:szCs w:val="22"/>
                <w:lang w:eastAsia="zh-CN"/>
              </w:rPr>
            </w:pPr>
            <w:r>
              <w:rPr>
                <w:szCs w:val="22"/>
              </w:rPr>
              <w:t>0,562</w:t>
            </w:r>
          </w:p>
        </w:tc>
        <w:tc>
          <w:tcPr>
            <w:tcW w:w="1720" w:type="dxa"/>
            <w:tcBorders>
              <w:top w:val="nil"/>
              <w:left w:val="nil"/>
              <w:bottom w:val="single" w:sz="4" w:space="0" w:color="auto"/>
              <w:right w:val="single" w:sz="4" w:space="0" w:color="auto"/>
            </w:tcBorders>
            <w:shd w:val="clear" w:color="auto" w:fill="auto"/>
            <w:noWrap/>
            <w:vAlign w:val="center"/>
            <w:hideMark/>
          </w:tcPr>
          <w:p w14:paraId="668C0802" w14:textId="77777777" w:rsidR="00CD28E3" w:rsidRPr="00541ABB" w:rsidRDefault="00CD28E3" w:rsidP="00CD28E3">
            <w:pPr>
              <w:jc w:val="right"/>
              <w:rPr>
                <w:szCs w:val="22"/>
                <w:lang w:eastAsia="zh-CN"/>
              </w:rPr>
            </w:pPr>
            <w:r>
              <w:rPr>
                <w:szCs w:val="22"/>
              </w:rPr>
              <w:t>9 719</w:t>
            </w:r>
          </w:p>
        </w:tc>
      </w:tr>
      <w:tr w:rsidR="0033145B" w:rsidRPr="004D5F9F" w14:paraId="5E048B7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91E6DC" w14:textId="33472AB6" w:rsidR="00CD28E3" w:rsidRPr="00541ABB" w:rsidRDefault="00446FFE" w:rsidP="00CD28E3">
            <w:pPr>
              <w:jc w:val="center"/>
              <w:rPr>
                <w:szCs w:val="22"/>
                <w:lang w:eastAsia="zh-CN"/>
              </w:rPr>
            </w:pPr>
            <w:r>
              <w:rPr>
                <w:szCs w:val="22"/>
              </w:rPr>
              <w:t>93</w:t>
            </w:r>
          </w:p>
        </w:tc>
        <w:tc>
          <w:tcPr>
            <w:tcW w:w="3380" w:type="dxa"/>
            <w:tcBorders>
              <w:top w:val="nil"/>
              <w:left w:val="nil"/>
              <w:bottom w:val="single" w:sz="4" w:space="0" w:color="auto"/>
              <w:right w:val="single" w:sz="4" w:space="0" w:color="auto"/>
            </w:tcBorders>
            <w:shd w:val="clear" w:color="auto" w:fill="auto"/>
            <w:vAlign w:val="center"/>
            <w:hideMark/>
          </w:tcPr>
          <w:p w14:paraId="09524F6E" w14:textId="77777777" w:rsidR="00CD28E3" w:rsidRPr="00541ABB" w:rsidRDefault="00CD28E3" w:rsidP="00CD28E3">
            <w:pPr>
              <w:jc w:val="left"/>
              <w:rPr>
                <w:szCs w:val="22"/>
                <w:lang w:eastAsia="zh-CN"/>
              </w:rPr>
            </w:pPr>
            <w:r>
              <w:rPr>
                <w:szCs w:val="22"/>
              </w:rPr>
              <w:t>Qatar</w:t>
            </w:r>
          </w:p>
        </w:tc>
        <w:tc>
          <w:tcPr>
            <w:tcW w:w="1720" w:type="dxa"/>
            <w:tcBorders>
              <w:top w:val="nil"/>
              <w:left w:val="nil"/>
              <w:bottom w:val="single" w:sz="4" w:space="0" w:color="auto"/>
              <w:right w:val="single" w:sz="4" w:space="0" w:color="auto"/>
            </w:tcBorders>
            <w:shd w:val="clear" w:color="auto" w:fill="auto"/>
            <w:vAlign w:val="center"/>
            <w:hideMark/>
          </w:tcPr>
          <w:p w14:paraId="35BDE9B5" w14:textId="77777777" w:rsidR="00CD28E3" w:rsidRPr="00541ABB" w:rsidRDefault="00CD28E3" w:rsidP="00CD28E3">
            <w:pPr>
              <w:jc w:val="center"/>
              <w:rPr>
                <w:szCs w:val="22"/>
                <w:lang w:eastAsia="zh-CN"/>
              </w:rPr>
            </w:pPr>
            <w:r>
              <w:rPr>
                <w:szCs w:val="22"/>
              </w:rPr>
              <w:t>0,282</w:t>
            </w:r>
          </w:p>
        </w:tc>
        <w:tc>
          <w:tcPr>
            <w:tcW w:w="1720" w:type="dxa"/>
            <w:tcBorders>
              <w:top w:val="nil"/>
              <w:left w:val="nil"/>
              <w:bottom w:val="single" w:sz="4" w:space="0" w:color="auto"/>
              <w:right w:val="single" w:sz="4" w:space="0" w:color="auto"/>
            </w:tcBorders>
            <w:shd w:val="clear" w:color="auto" w:fill="auto"/>
            <w:noWrap/>
            <w:vAlign w:val="center"/>
            <w:hideMark/>
          </w:tcPr>
          <w:p w14:paraId="51BB87D0" w14:textId="77777777" w:rsidR="00CD28E3" w:rsidRPr="00541ABB" w:rsidRDefault="00CD28E3" w:rsidP="00CD28E3">
            <w:pPr>
              <w:jc w:val="center"/>
              <w:rPr>
                <w:szCs w:val="22"/>
                <w:lang w:eastAsia="zh-CN"/>
              </w:rPr>
            </w:pPr>
            <w:r>
              <w:rPr>
                <w:szCs w:val="22"/>
              </w:rPr>
              <w:t>0,453</w:t>
            </w:r>
          </w:p>
        </w:tc>
        <w:tc>
          <w:tcPr>
            <w:tcW w:w="1720" w:type="dxa"/>
            <w:tcBorders>
              <w:top w:val="nil"/>
              <w:left w:val="nil"/>
              <w:bottom w:val="single" w:sz="4" w:space="0" w:color="auto"/>
              <w:right w:val="single" w:sz="4" w:space="0" w:color="auto"/>
            </w:tcBorders>
            <w:shd w:val="clear" w:color="auto" w:fill="auto"/>
            <w:noWrap/>
            <w:vAlign w:val="center"/>
            <w:hideMark/>
          </w:tcPr>
          <w:p w14:paraId="22562635" w14:textId="77777777" w:rsidR="00CD28E3" w:rsidRPr="00541ABB" w:rsidRDefault="00CD28E3" w:rsidP="00CD28E3">
            <w:pPr>
              <w:jc w:val="right"/>
              <w:rPr>
                <w:szCs w:val="22"/>
                <w:lang w:eastAsia="zh-CN"/>
              </w:rPr>
            </w:pPr>
            <w:r>
              <w:rPr>
                <w:szCs w:val="22"/>
              </w:rPr>
              <w:t>7 831</w:t>
            </w:r>
          </w:p>
        </w:tc>
      </w:tr>
      <w:tr w:rsidR="00446FFE" w:rsidRPr="004D5F9F" w14:paraId="779D2DE0" w14:textId="77777777" w:rsidTr="00446FFE">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463366" w14:textId="4E3C8B24" w:rsidR="00446FFE" w:rsidRPr="00541ABB" w:rsidRDefault="00446FFE" w:rsidP="007A2D76">
            <w:pPr>
              <w:jc w:val="center"/>
              <w:rPr>
                <w:szCs w:val="22"/>
              </w:rPr>
            </w:pPr>
            <w:r>
              <w:rPr>
                <w:szCs w:val="22"/>
              </w:rPr>
              <w:t>94</w:t>
            </w:r>
          </w:p>
        </w:tc>
        <w:tc>
          <w:tcPr>
            <w:tcW w:w="3380" w:type="dxa"/>
            <w:tcBorders>
              <w:top w:val="nil"/>
              <w:left w:val="nil"/>
              <w:bottom w:val="single" w:sz="4" w:space="0" w:color="auto"/>
              <w:right w:val="single" w:sz="4" w:space="0" w:color="auto"/>
            </w:tcBorders>
            <w:shd w:val="clear" w:color="auto" w:fill="auto"/>
            <w:vAlign w:val="center"/>
            <w:hideMark/>
          </w:tcPr>
          <w:p w14:paraId="3E2EABC4" w14:textId="77777777" w:rsidR="00446FFE" w:rsidRPr="00541ABB" w:rsidRDefault="00446FFE" w:rsidP="007A2D76">
            <w:pPr>
              <w:jc w:val="left"/>
              <w:rPr>
                <w:szCs w:val="22"/>
              </w:rPr>
            </w:pPr>
            <w:r>
              <w:rPr>
                <w:szCs w:val="22"/>
              </w:rPr>
              <w:t>République arabe syrienne</w:t>
            </w:r>
          </w:p>
        </w:tc>
        <w:tc>
          <w:tcPr>
            <w:tcW w:w="1720" w:type="dxa"/>
            <w:tcBorders>
              <w:top w:val="nil"/>
              <w:left w:val="nil"/>
              <w:bottom w:val="single" w:sz="4" w:space="0" w:color="auto"/>
              <w:right w:val="single" w:sz="4" w:space="0" w:color="auto"/>
            </w:tcBorders>
            <w:shd w:val="clear" w:color="auto" w:fill="auto"/>
            <w:vAlign w:val="center"/>
            <w:hideMark/>
          </w:tcPr>
          <w:p w14:paraId="1F8064A2" w14:textId="77777777" w:rsidR="00446FFE" w:rsidRPr="00541ABB" w:rsidRDefault="00446FFE" w:rsidP="007A2D76">
            <w:pPr>
              <w:jc w:val="center"/>
              <w:rPr>
                <w:szCs w:val="22"/>
              </w:rPr>
            </w:pPr>
            <w:r>
              <w:rPr>
                <w:szCs w:val="22"/>
              </w:rPr>
              <w:t>0,011</w:t>
            </w:r>
          </w:p>
        </w:tc>
        <w:tc>
          <w:tcPr>
            <w:tcW w:w="1720" w:type="dxa"/>
            <w:tcBorders>
              <w:top w:val="nil"/>
              <w:left w:val="nil"/>
              <w:bottom w:val="single" w:sz="4" w:space="0" w:color="auto"/>
              <w:right w:val="single" w:sz="4" w:space="0" w:color="auto"/>
            </w:tcBorders>
            <w:shd w:val="clear" w:color="auto" w:fill="auto"/>
            <w:noWrap/>
            <w:vAlign w:val="center"/>
            <w:hideMark/>
          </w:tcPr>
          <w:p w14:paraId="1BA159F2" w14:textId="77777777" w:rsidR="00446FFE" w:rsidRPr="00541ABB" w:rsidRDefault="00446FFE" w:rsidP="007A2D76">
            <w:pPr>
              <w:jc w:val="center"/>
              <w:rPr>
                <w:szCs w:val="22"/>
              </w:rPr>
            </w:pPr>
            <w:r>
              <w:rPr>
                <w:szCs w:val="22"/>
              </w:rPr>
              <w:t>0,018</w:t>
            </w:r>
          </w:p>
        </w:tc>
        <w:tc>
          <w:tcPr>
            <w:tcW w:w="1720" w:type="dxa"/>
            <w:tcBorders>
              <w:top w:val="nil"/>
              <w:left w:val="nil"/>
              <w:bottom w:val="single" w:sz="4" w:space="0" w:color="auto"/>
              <w:right w:val="single" w:sz="4" w:space="0" w:color="auto"/>
            </w:tcBorders>
            <w:shd w:val="clear" w:color="auto" w:fill="auto"/>
            <w:noWrap/>
            <w:vAlign w:val="center"/>
            <w:hideMark/>
          </w:tcPr>
          <w:p w14:paraId="18044A25" w14:textId="77777777" w:rsidR="00446FFE" w:rsidRPr="00541ABB" w:rsidRDefault="00446FFE" w:rsidP="007A2D76">
            <w:pPr>
              <w:jc w:val="right"/>
              <w:rPr>
                <w:szCs w:val="22"/>
              </w:rPr>
            </w:pPr>
            <w:r>
              <w:rPr>
                <w:szCs w:val="22"/>
              </w:rPr>
              <w:t>305</w:t>
            </w:r>
          </w:p>
        </w:tc>
      </w:tr>
      <w:tr w:rsidR="00446FFE" w:rsidRPr="004D5F9F" w14:paraId="092DB874" w14:textId="77777777" w:rsidTr="00446FFE">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CB1933" w14:textId="4049D436" w:rsidR="00446FFE" w:rsidRPr="00541ABB" w:rsidRDefault="00446FFE" w:rsidP="007A2D76">
            <w:pPr>
              <w:jc w:val="center"/>
              <w:rPr>
                <w:szCs w:val="22"/>
              </w:rPr>
            </w:pPr>
            <w:r>
              <w:rPr>
                <w:szCs w:val="22"/>
              </w:rPr>
              <w:t>95</w:t>
            </w:r>
          </w:p>
        </w:tc>
        <w:tc>
          <w:tcPr>
            <w:tcW w:w="3380" w:type="dxa"/>
            <w:tcBorders>
              <w:top w:val="nil"/>
              <w:left w:val="nil"/>
              <w:bottom w:val="single" w:sz="4" w:space="0" w:color="auto"/>
              <w:right w:val="single" w:sz="4" w:space="0" w:color="auto"/>
            </w:tcBorders>
            <w:shd w:val="clear" w:color="auto" w:fill="auto"/>
            <w:vAlign w:val="center"/>
            <w:hideMark/>
          </w:tcPr>
          <w:p w14:paraId="67926CED" w14:textId="77777777" w:rsidR="00446FFE" w:rsidRPr="00541ABB" w:rsidRDefault="00446FFE" w:rsidP="007A2D76">
            <w:pPr>
              <w:jc w:val="left"/>
              <w:rPr>
                <w:szCs w:val="22"/>
              </w:rPr>
            </w:pPr>
            <w:r>
              <w:rPr>
                <w:szCs w:val="22"/>
              </w:rPr>
              <w:t>République centrafricaine</w:t>
            </w:r>
          </w:p>
        </w:tc>
        <w:tc>
          <w:tcPr>
            <w:tcW w:w="1720" w:type="dxa"/>
            <w:tcBorders>
              <w:top w:val="nil"/>
              <w:left w:val="nil"/>
              <w:bottom w:val="single" w:sz="4" w:space="0" w:color="auto"/>
              <w:right w:val="single" w:sz="4" w:space="0" w:color="auto"/>
            </w:tcBorders>
            <w:shd w:val="clear" w:color="auto" w:fill="auto"/>
            <w:vAlign w:val="center"/>
            <w:hideMark/>
          </w:tcPr>
          <w:p w14:paraId="7769B12A" w14:textId="77777777" w:rsidR="00446FFE" w:rsidRPr="00541ABB" w:rsidRDefault="00446FFE" w:rsidP="007A2D76">
            <w:pPr>
              <w:jc w:val="center"/>
              <w:rPr>
                <w:szCs w:val="22"/>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2CBE8CC6" w14:textId="77777777" w:rsidR="00446FFE" w:rsidRPr="00541ABB" w:rsidRDefault="00446FFE" w:rsidP="007A2D76">
            <w:pPr>
              <w:jc w:val="center"/>
              <w:rPr>
                <w:szCs w:val="22"/>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52B4CCA" w14:textId="77777777" w:rsidR="00446FFE" w:rsidRPr="00541ABB" w:rsidRDefault="00446FFE" w:rsidP="007A2D76">
            <w:pPr>
              <w:jc w:val="right"/>
              <w:rPr>
                <w:szCs w:val="22"/>
              </w:rPr>
            </w:pPr>
            <w:r>
              <w:rPr>
                <w:szCs w:val="22"/>
              </w:rPr>
              <w:t>28</w:t>
            </w:r>
          </w:p>
        </w:tc>
      </w:tr>
      <w:tr w:rsidR="0033145B" w:rsidRPr="004D5F9F" w14:paraId="42AD2FC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66D6ED" w14:textId="58C5464B" w:rsidR="00CD28E3" w:rsidRPr="00541ABB" w:rsidRDefault="009D39F3" w:rsidP="00CD28E3">
            <w:pPr>
              <w:jc w:val="center"/>
              <w:rPr>
                <w:szCs w:val="22"/>
                <w:lang w:eastAsia="zh-CN"/>
              </w:rPr>
            </w:pPr>
            <w:r>
              <w:rPr>
                <w:szCs w:val="22"/>
              </w:rPr>
              <w:t>96</w:t>
            </w:r>
          </w:p>
        </w:tc>
        <w:tc>
          <w:tcPr>
            <w:tcW w:w="3380" w:type="dxa"/>
            <w:tcBorders>
              <w:top w:val="nil"/>
              <w:left w:val="nil"/>
              <w:bottom w:val="single" w:sz="4" w:space="0" w:color="auto"/>
              <w:right w:val="single" w:sz="4" w:space="0" w:color="auto"/>
            </w:tcBorders>
            <w:shd w:val="clear" w:color="auto" w:fill="auto"/>
            <w:vAlign w:val="center"/>
            <w:hideMark/>
          </w:tcPr>
          <w:p w14:paraId="5750309E" w14:textId="77777777" w:rsidR="00CD28E3" w:rsidRPr="00541ABB" w:rsidRDefault="00CD28E3" w:rsidP="00CD28E3">
            <w:pPr>
              <w:jc w:val="left"/>
              <w:rPr>
                <w:szCs w:val="22"/>
                <w:lang w:eastAsia="zh-CN"/>
              </w:rPr>
            </w:pPr>
            <w:r>
              <w:rPr>
                <w:szCs w:val="22"/>
              </w:rPr>
              <w:t>République de Corée</w:t>
            </w:r>
          </w:p>
        </w:tc>
        <w:tc>
          <w:tcPr>
            <w:tcW w:w="1720" w:type="dxa"/>
            <w:tcBorders>
              <w:top w:val="nil"/>
              <w:left w:val="nil"/>
              <w:bottom w:val="single" w:sz="4" w:space="0" w:color="auto"/>
              <w:right w:val="single" w:sz="4" w:space="0" w:color="auto"/>
            </w:tcBorders>
            <w:shd w:val="clear" w:color="auto" w:fill="auto"/>
            <w:vAlign w:val="center"/>
            <w:hideMark/>
          </w:tcPr>
          <w:p w14:paraId="3A65F43E" w14:textId="77777777" w:rsidR="00CD28E3" w:rsidRPr="00541ABB" w:rsidRDefault="00CD28E3" w:rsidP="00CD28E3">
            <w:pPr>
              <w:jc w:val="center"/>
              <w:rPr>
                <w:szCs w:val="22"/>
                <w:lang w:eastAsia="zh-CN"/>
              </w:rPr>
            </w:pPr>
            <w:r>
              <w:rPr>
                <w:szCs w:val="22"/>
              </w:rPr>
              <w:t>2,267</w:t>
            </w:r>
          </w:p>
        </w:tc>
        <w:tc>
          <w:tcPr>
            <w:tcW w:w="1720" w:type="dxa"/>
            <w:tcBorders>
              <w:top w:val="nil"/>
              <w:left w:val="nil"/>
              <w:bottom w:val="single" w:sz="4" w:space="0" w:color="auto"/>
              <w:right w:val="single" w:sz="4" w:space="0" w:color="auto"/>
            </w:tcBorders>
            <w:shd w:val="clear" w:color="auto" w:fill="auto"/>
            <w:noWrap/>
            <w:vAlign w:val="center"/>
            <w:hideMark/>
          </w:tcPr>
          <w:p w14:paraId="7457B601" w14:textId="77777777" w:rsidR="00CD28E3" w:rsidRPr="00541ABB" w:rsidRDefault="00CD28E3" w:rsidP="00CD28E3">
            <w:pPr>
              <w:jc w:val="center"/>
              <w:rPr>
                <w:szCs w:val="22"/>
                <w:lang w:eastAsia="zh-CN"/>
              </w:rPr>
            </w:pPr>
            <w:r>
              <w:rPr>
                <w:szCs w:val="22"/>
              </w:rPr>
              <w:t>3,642</w:t>
            </w:r>
          </w:p>
        </w:tc>
        <w:tc>
          <w:tcPr>
            <w:tcW w:w="1720" w:type="dxa"/>
            <w:tcBorders>
              <w:top w:val="nil"/>
              <w:left w:val="nil"/>
              <w:bottom w:val="single" w:sz="4" w:space="0" w:color="auto"/>
              <w:right w:val="single" w:sz="4" w:space="0" w:color="auto"/>
            </w:tcBorders>
            <w:shd w:val="clear" w:color="auto" w:fill="auto"/>
            <w:noWrap/>
            <w:vAlign w:val="center"/>
            <w:hideMark/>
          </w:tcPr>
          <w:p w14:paraId="63EE2924" w14:textId="77777777" w:rsidR="00CD28E3" w:rsidRPr="00541ABB" w:rsidRDefault="00CD28E3" w:rsidP="00CD28E3">
            <w:pPr>
              <w:jc w:val="right"/>
              <w:rPr>
                <w:szCs w:val="22"/>
                <w:lang w:eastAsia="zh-CN"/>
              </w:rPr>
            </w:pPr>
            <w:r>
              <w:rPr>
                <w:szCs w:val="22"/>
              </w:rPr>
              <w:t>62 954</w:t>
            </w:r>
          </w:p>
        </w:tc>
      </w:tr>
      <w:tr w:rsidR="0033145B" w:rsidRPr="004D5F9F" w14:paraId="1C5CE66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0DEB9D" w14:textId="70E1C344" w:rsidR="00CD28E3" w:rsidRPr="00541ABB" w:rsidRDefault="009D39F3" w:rsidP="00CD28E3">
            <w:pPr>
              <w:jc w:val="center"/>
              <w:rPr>
                <w:szCs w:val="22"/>
                <w:lang w:eastAsia="zh-CN"/>
              </w:rPr>
            </w:pPr>
            <w:r>
              <w:rPr>
                <w:szCs w:val="22"/>
              </w:rPr>
              <w:t>97</w:t>
            </w:r>
          </w:p>
        </w:tc>
        <w:tc>
          <w:tcPr>
            <w:tcW w:w="3380" w:type="dxa"/>
            <w:tcBorders>
              <w:top w:val="nil"/>
              <w:left w:val="nil"/>
              <w:bottom w:val="single" w:sz="4" w:space="0" w:color="auto"/>
              <w:right w:val="single" w:sz="4" w:space="0" w:color="auto"/>
            </w:tcBorders>
            <w:shd w:val="clear" w:color="auto" w:fill="auto"/>
            <w:vAlign w:val="center"/>
            <w:hideMark/>
          </w:tcPr>
          <w:p w14:paraId="76149A1B" w14:textId="77777777" w:rsidR="00CD28E3" w:rsidRPr="00541ABB" w:rsidRDefault="00CD28E3" w:rsidP="00CD28E3">
            <w:pPr>
              <w:jc w:val="left"/>
              <w:rPr>
                <w:szCs w:val="22"/>
                <w:lang w:eastAsia="zh-CN"/>
              </w:rPr>
            </w:pPr>
            <w:r>
              <w:rPr>
                <w:szCs w:val="22"/>
              </w:rPr>
              <w:t>République de Moldova</w:t>
            </w:r>
          </w:p>
        </w:tc>
        <w:tc>
          <w:tcPr>
            <w:tcW w:w="1720" w:type="dxa"/>
            <w:tcBorders>
              <w:top w:val="nil"/>
              <w:left w:val="nil"/>
              <w:bottom w:val="single" w:sz="4" w:space="0" w:color="auto"/>
              <w:right w:val="single" w:sz="4" w:space="0" w:color="auto"/>
            </w:tcBorders>
            <w:shd w:val="clear" w:color="auto" w:fill="auto"/>
            <w:vAlign w:val="center"/>
            <w:hideMark/>
          </w:tcPr>
          <w:p w14:paraId="0F69073B"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B471B01"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01E3D487" w14:textId="77777777" w:rsidR="00CD28E3" w:rsidRPr="00541ABB" w:rsidRDefault="00CD28E3" w:rsidP="00CD28E3">
            <w:pPr>
              <w:jc w:val="right"/>
              <w:rPr>
                <w:szCs w:val="22"/>
                <w:lang w:eastAsia="zh-CN"/>
              </w:rPr>
            </w:pPr>
            <w:r>
              <w:rPr>
                <w:szCs w:val="22"/>
              </w:rPr>
              <w:t>83</w:t>
            </w:r>
          </w:p>
        </w:tc>
      </w:tr>
      <w:tr w:rsidR="009D39F3" w:rsidRPr="004D5F9F" w14:paraId="681E9A4B" w14:textId="77777777" w:rsidTr="009D39F3">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48C248" w14:textId="25C02188" w:rsidR="009D39F3" w:rsidRPr="00541ABB" w:rsidRDefault="009D39F3" w:rsidP="007A2D76">
            <w:pPr>
              <w:jc w:val="center"/>
              <w:rPr>
                <w:szCs w:val="22"/>
              </w:rPr>
            </w:pPr>
            <w:r>
              <w:rPr>
                <w:szCs w:val="22"/>
              </w:rPr>
              <w:t>98</w:t>
            </w:r>
          </w:p>
        </w:tc>
        <w:tc>
          <w:tcPr>
            <w:tcW w:w="3380" w:type="dxa"/>
            <w:tcBorders>
              <w:top w:val="nil"/>
              <w:left w:val="nil"/>
              <w:bottom w:val="single" w:sz="4" w:space="0" w:color="auto"/>
              <w:right w:val="single" w:sz="4" w:space="0" w:color="auto"/>
            </w:tcBorders>
            <w:shd w:val="clear" w:color="auto" w:fill="auto"/>
            <w:vAlign w:val="center"/>
            <w:hideMark/>
          </w:tcPr>
          <w:p w14:paraId="3F5227D0" w14:textId="77777777" w:rsidR="009D39F3" w:rsidRPr="00541ABB" w:rsidRDefault="009D39F3" w:rsidP="007A2D76">
            <w:pPr>
              <w:jc w:val="left"/>
              <w:rPr>
                <w:szCs w:val="22"/>
              </w:rPr>
            </w:pPr>
            <w:r>
              <w:rPr>
                <w:szCs w:val="22"/>
              </w:rPr>
              <w:t>République démocratique du Congo</w:t>
            </w:r>
          </w:p>
        </w:tc>
        <w:tc>
          <w:tcPr>
            <w:tcW w:w="1720" w:type="dxa"/>
            <w:tcBorders>
              <w:top w:val="nil"/>
              <w:left w:val="nil"/>
              <w:bottom w:val="single" w:sz="4" w:space="0" w:color="auto"/>
              <w:right w:val="single" w:sz="4" w:space="0" w:color="auto"/>
            </w:tcBorders>
            <w:shd w:val="clear" w:color="auto" w:fill="auto"/>
            <w:vAlign w:val="center"/>
            <w:hideMark/>
          </w:tcPr>
          <w:p w14:paraId="4DCE205E" w14:textId="77777777" w:rsidR="009D39F3" w:rsidRPr="00541ABB" w:rsidRDefault="009D39F3" w:rsidP="007A2D76">
            <w:pPr>
              <w:jc w:val="center"/>
              <w:rPr>
                <w:szCs w:val="22"/>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7BC8CC3" w14:textId="77777777" w:rsidR="009D39F3" w:rsidRPr="00541ABB" w:rsidRDefault="009D39F3" w:rsidP="007A2D76">
            <w:pPr>
              <w:jc w:val="center"/>
              <w:rPr>
                <w:szCs w:val="22"/>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17711425" w14:textId="77777777" w:rsidR="009D39F3" w:rsidRPr="00541ABB" w:rsidRDefault="009D39F3" w:rsidP="007A2D76">
            <w:pPr>
              <w:jc w:val="right"/>
              <w:rPr>
                <w:szCs w:val="22"/>
              </w:rPr>
            </w:pPr>
            <w:r>
              <w:rPr>
                <w:szCs w:val="22"/>
              </w:rPr>
              <w:t>173</w:t>
            </w:r>
          </w:p>
        </w:tc>
      </w:tr>
      <w:tr w:rsidR="009D39F3" w:rsidRPr="004D5F9F" w14:paraId="7BA35FEE" w14:textId="77777777" w:rsidTr="009D39F3">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270CC5" w14:textId="766B0C10" w:rsidR="009D39F3" w:rsidRPr="00541ABB" w:rsidRDefault="009D39F3" w:rsidP="007A2D76">
            <w:pPr>
              <w:jc w:val="center"/>
              <w:rPr>
                <w:szCs w:val="22"/>
              </w:rPr>
            </w:pPr>
            <w:r>
              <w:rPr>
                <w:szCs w:val="22"/>
              </w:rPr>
              <w:t>99</w:t>
            </w:r>
          </w:p>
        </w:tc>
        <w:tc>
          <w:tcPr>
            <w:tcW w:w="3380" w:type="dxa"/>
            <w:tcBorders>
              <w:top w:val="nil"/>
              <w:left w:val="nil"/>
              <w:bottom w:val="single" w:sz="4" w:space="0" w:color="auto"/>
              <w:right w:val="single" w:sz="4" w:space="0" w:color="auto"/>
            </w:tcBorders>
            <w:shd w:val="clear" w:color="auto" w:fill="auto"/>
            <w:vAlign w:val="center"/>
            <w:hideMark/>
          </w:tcPr>
          <w:p w14:paraId="0621C3CD" w14:textId="77777777" w:rsidR="009D39F3" w:rsidRPr="00541ABB" w:rsidRDefault="009D39F3" w:rsidP="007A2D76">
            <w:pPr>
              <w:jc w:val="left"/>
              <w:rPr>
                <w:szCs w:val="22"/>
              </w:rPr>
            </w:pPr>
            <w:r>
              <w:rPr>
                <w:szCs w:val="22"/>
              </w:rPr>
              <w:t>République démocratique populaire lao</w:t>
            </w:r>
          </w:p>
        </w:tc>
        <w:tc>
          <w:tcPr>
            <w:tcW w:w="1720" w:type="dxa"/>
            <w:tcBorders>
              <w:top w:val="nil"/>
              <w:left w:val="nil"/>
              <w:bottom w:val="single" w:sz="4" w:space="0" w:color="auto"/>
              <w:right w:val="single" w:sz="4" w:space="0" w:color="auto"/>
            </w:tcBorders>
            <w:shd w:val="clear" w:color="auto" w:fill="auto"/>
            <w:vAlign w:val="center"/>
            <w:hideMark/>
          </w:tcPr>
          <w:p w14:paraId="586147F8" w14:textId="77777777" w:rsidR="009D39F3" w:rsidRPr="00541ABB" w:rsidRDefault="009D39F3" w:rsidP="007A2D76">
            <w:pPr>
              <w:jc w:val="center"/>
              <w:rPr>
                <w:szCs w:val="22"/>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2712CD49" w14:textId="77777777" w:rsidR="009D39F3" w:rsidRPr="00541ABB" w:rsidRDefault="009D39F3" w:rsidP="007A2D76">
            <w:pPr>
              <w:jc w:val="center"/>
              <w:rPr>
                <w:szCs w:val="22"/>
              </w:rPr>
            </w:pPr>
            <w:r>
              <w:rPr>
                <w:szCs w:val="22"/>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175A3B58" w14:textId="77777777" w:rsidR="009D39F3" w:rsidRPr="00541ABB" w:rsidRDefault="009D39F3" w:rsidP="007A2D76">
            <w:pPr>
              <w:jc w:val="right"/>
              <w:rPr>
                <w:szCs w:val="22"/>
              </w:rPr>
            </w:pPr>
            <w:r>
              <w:rPr>
                <w:szCs w:val="22"/>
              </w:rPr>
              <w:t>139</w:t>
            </w:r>
          </w:p>
        </w:tc>
      </w:tr>
      <w:tr w:rsidR="009D39F3" w:rsidRPr="004D5F9F" w14:paraId="1A0E6EFA" w14:textId="77777777" w:rsidTr="009D39F3">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007BAC" w14:textId="753DE677" w:rsidR="009D39F3" w:rsidRPr="00AC794F" w:rsidRDefault="009D39F3" w:rsidP="007A2D76">
            <w:pPr>
              <w:jc w:val="center"/>
              <w:rPr>
                <w:szCs w:val="22"/>
              </w:rPr>
            </w:pPr>
            <w:r w:rsidRPr="00AC794F">
              <w:rPr>
                <w:szCs w:val="22"/>
              </w:rPr>
              <w:t>100</w:t>
            </w:r>
          </w:p>
        </w:tc>
        <w:tc>
          <w:tcPr>
            <w:tcW w:w="3380" w:type="dxa"/>
            <w:tcBorders>
              <w:top w:val="nil"/>
              <w:left w:val="nil"/>
              <w:bottom w:val="single" w:sz="4" w:space="0" w:color="auto"/>
              <w:right w:val="single" w:sz="4" w:space="0" w:color="auto"/>
            </w:tcBorders>
            <w:shd w:val="clear" w:color="auto" w:fill="auto"/>
            <w:vAlign w:val="center"/>
            <w:hideMark/>
          </w:tcPr>
          <w:p w14:paraId="32955B9D" w14:textId="77777777" w:rsidR="009D39F3" w:rsidRPr="00AC794F" w:rsidRDefault="009D39F3" w:rsidP="007A2D76">
            <w:pPr>
              <w:jc w:val="left"/>
              <w:rPr>
                <w:szCs w:val="22"/>
              </w:rPr>
            </w:pPr>
            <w:r w:rsidRPr="00AC794F">
              <w:rPr>
                <w:szCs w:val="22"/>
              </w:rPr>
              <w:t>République dominicaine</w:t>
            </w:r>
          </w:p>
        </w:tc>
        <w:tc>
          <w:tcPr>
            <w:tcW w:w="1720" w:type="dxa"/>
            <w:tcBorders>
              <w:top w:val="nil"/>
              <w:left w:val="nil"/>
              <w:bottom w:val="single" w:sz="4" w:space="0" w:color="auto"/>
              <w:right w:val="single" w:sz="4" w:space="0" w:color="auto"/>
            </w:tcBorders>
            <w:shd w:val="clear" w:color="auto" w:fill="auto"/>
            <w:vAlign w:val="center"/>
            <w:hideMark/>
          </w:tcPr>
          <w:p w14:paraId="26E85F9E" w14:textId="77777777" w:rsidR="009D39F3" w:rsidRPr="00AC794F" w:rsidRDefault="009D39F3" w:rsidP="007A2D76">
            <w:pPr>
              <w:jc w:val="center"/>
              <w:rPr>
                <w:szCs w:val="22"/>
              </w:rPr>
            </w:pPr>
            <w:r w:rsidRPr="00AC794F">
              <w:rPr>
                <w:szCs w:val="22"/>
              </w:rPr>
              <w:t>0,053</w:t>
            </w:r>
          </w:p>
        </w:tc>
        <w:tc>
          <w:tcPr>
            <w:tcW w:w="1720" w:type="dxa"/>
            <w:tcBorders>
              <w:top w:val="nil"/>
              <w:left w:val="nil"/>
              <w:bottom w:val="single" w:sz="4" w:space="0" w:color="auto"/>
              <w:right w:val="single" w:sz="4" w:space="0" w:color="auto"/>
            </w:tcBorders>
            <w:shd w:val="clear" w:color="auto" w:fill="auto"/>
            <w:noWrap/>
            <w:vAlign w:val="center"/>
            <w:hideMark/>
          </w:tcPr>
          <w:p w14:paraId="3BA8F21C" w14:textId="77777777" w:rsidR="009D39F3" w:rsidRPr="00AC794F" w:rsidRDefault="009D39F3" w:rsidP="007A2D76">
            <w:pPr>
              <w:jc w:val="center"/>
              <w:rPr>
                <w:szCs w:val="22"/>
              </w:rPr>
            </w:pPr>
            <w:r w:rsidRPr="00AC794F">
              <w:rPr>
                <w:szCs w:val="22"/>
              </w:rPr>
              <w:t>0,085</w:t>
            </w:r>
          </w:p>
        </w:tc>
        <w:tc>
          <w:tcPr>
            <w:tcW w:w="1720" w:type="dxa"/>
            <w:tcBorders>
              <w:top w:val="nil"/>
              <w:left w:val="nil"/>
              <w:bottom w:val="single" w:sz="4" w:space="0" w:color="auto"/>
              <w:right w:val="single" w:sz="4" w:space="0" w:color="auto"/>
            </w:tcBorders>
            <w:shd w:val="clear" w:color="auto" w:fill="auto"/>
            <w:noWrap/>
            <w:vAlign w:val="center"/>
            <w:hideMark/>
          </w:tcPr>
          <w:p w14:paraId="5B5D0179" w14:textId="77777777" w:rsidR="009D39F3" w:rsidRPr="00541ABB" w:rsidRDefault="009D39F3" w:rsidP="007A2D76">
            <w:pPr>
              <w:jc w:val="right"/>
              <w:rPr>
                <w:szCs w:val="22"/>
              </w:rPr>
            </w:pPr>
            <w:r w:rsidRPr="00AC794F">
              <w:rPr>
                <w:szCs w:val="22"/>
              </w:rPr>
              <w:t>1 472</w:t>
            </w:r>
          </w:p>
        </w:tc>
      </w:tr>
      <w:tr w:rsidR="00D97B36" w:rsidRPr="004D5F9F" w14:paraId="782D9BFF" w14:textId="77777777" w:rsidTr="00D97B36">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9C71FC" w14:textId="0D7F64E3" w:rsidR="00D97B36" w:rsidRPr="00541ABB" w:rsidRDefault="007F6409" w:rsidP="007A2D76">
            <w:pPr>
              <w:jc w:val="center"/>
              <w:rPr>
                <w:szCs w:val="22"/>
              </w:rPr>
            </w:pPr>
            <w:r>
              <w:rPr>
                <w:szCs w:val="22"/>
              </w:rPr>
              <w:t>101</w:t>
            </w:r>
          </w:p>
        </w:tc>
        <w:tc>
          <w:tcPr>
            <w:tcW w:w="3380" w:type="dxa"/>
            <w:tcBorders>
              <w:top w:val="nil"/>
              <w:left w:val="nil"/>
              <w:bottom w:val="single" w:sz="4" w:space="0" w:color="auto"/>
              <w:right w:val="single" w:sz="4" w:space="0" w:color="auto"/>
            </w:tcBorders>
            <w:shd w:val="clear" w:color="auto" w:fill="auto"/>
            <w:vAlign w:val="center"/>
            <w:hideMark/>
          </w:tcPr>
          <w:p w14:paraId="10CDAAB0" w14:textId="77777777" w:rsidR="00D97B36" w:rsidRPr="00541ABB" w:rsidRDefault="00D97B36" w:rsidP="007A2D76">
            <w:pPr>
              <w:jc w:val="left"/>
              <w:rPr>
                <w:szCs w:val="22"/>
              </w:rPr>
            </w:pPr>
            <w:r>
              <w:rPr>
                <w:szCs w:val="22"/>
              </w:rPr>
              <w:t>République populaire démocratique de Corée</w:t>
            </w:r>
          </w:p>
        </w:tc>
        <w:tc>
          <w:tcPr>
            <w:tcW w:w="1720" w:type="dxa"/>
            <w:tcBorders>
              <w:top w:val="nil"/>
              <w:left w:val="nil"/>
              <w:bottom w:val="single" w:sz="4" w:space="0" w:color="auto"/>
              <w:right w:val="single" w:sz="4" w:space="0" w:color="auto"/>
            </w:tcBorders>
            <w:shd w:val="clear" w:color="auto" w:fill="auto"/>
            <w:vAlign w:val="center"/>
            <w:hideMark/>
          </w:tcPr>
          <w:p w14:paraId="3D19E91F" w14:textId="77777777" w:rsidR="00D97B36" w:rsidRPr="00541ABB" w:rsidRDefault="00D97B36" w:rsidP="007A2D76">
            <w:pPr>
              <w:jc w:val="center"/>
              <w:rPr>
                <w:szCs w:val="22"/>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2611132B" w14:textId="77777777" w:rsidR="00D97B36" w:rsidRPr="00541ABB" w:rsidRDefault="00D97B36" w:rsidP="007A2D76">
            <w:pPr>
              <w:jc w:val="center"/>
              <w:rPr>
                <w:szCs w:val="22"/>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8192857" w14:textId="77777777" w:rsidR="00D97B36" w:rsidRPr="00541ABB" w:rsidRDefault="00D97B36" w:rsidP="007A2D76">
            <w:pPr>
              <w:jc w:val="right"/>
              <w:rPr>
                <w:szCs w:val="22"/>
              </w:rPr>
            </w:pPr>
            <w:r>
              <w:rPr>
                <w:szCs w:val="22"/>
              </w:rPr>
              <w:t>167</w:t>
            </w:r>
          </w:p>
        </w:tc>
      </w:tr>
      <w:tr w:rsidR="007F6409" w:rsidRPr="004D5F9F" w14:paraId="5B03C3DA" w14:textId="77777777" w:rsidTr="007F6409">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B14D1D" w14:textId="76A62E03" w:rsidR="007F6409" w:rsidRPr="00541ABB" w:rsidRDefault="007F6409" w:rsidP="007A2D76">
            <w:pPr>
              <w:jc w:val="center"/>
              <w:rPr>
                <w:szCs w:val="22"/>
              </w:rPr>
            </w:pPr>
            <w:r>
              <w:rPr>
                <w:szCs w:val="22"/>
              </w:rPr>
              <w:t>102</w:t>
            </w:r>
          </w:p>
        </w:tc>
        <w:tc>
          <w:tcPr>
            <w:tcW w:w="3380" w:type="dxa"/>
            <w:tcBorders>
              <w:top w:val="nil"/>
              <w:left w:val="nil"/>
              <w:bottom w:val="single" w:sz="4" w:space="0" w:color="auto"/>
              <w:right w:val="single" w:sz="4" w:space="0" w:color="auto"/>
            </w:tcBorders>
            <w:shd w:val="clear" w:color="auto" w:fill="auto"/>
            <w:vAlign w:val="center"/>
            <w:hideMark/>
          </w:tcPr>
          <w:p w14:paraId="40E804F0" w14:textId="77777777" w:rsidR="007F6409" w:rsidRPr="00541ABB" w:rsidRDefault="007F6409" w:rsidP="007A2D76">
            <w:pPr>
              <w:jc w:val="left"/>
              <w:rPr>
                <w:szCs w:val="22"/>
              </w:rPr>
            </w:pPr>
            <w:r>
              <w:rPr>
                <w:szCs w:val="22"/>
              </w:rPr>
              <w:t>République tchèque</w:t>
            </w:r>
          </w:p>
        </w:tc>
        <w:tc>
          <w:tcPr>
            <w:tcW w:w="1720" w:type="dxa"/>
            <w:tcBorders>
              <w:top w:val="nil"/>
              <w:left w:val="nil"/>
              <w:bottom w:val="single" w:sz="4" w:space="0" w:color="auto"/>
              <w:right w:val="single" w:sz="4" w:space="0" w:color="auto"/>
            </w:tcBorders>
            <w:shd w:val="clear" w:color="auto" w:fill="auto"/>
            <w:vAlign w:val="center"/>
            <w:hideMark/>
          </w:tcPr>
          <w:p w14:paraId="201235E5" w14:textId="77777777" w:rsidR="007F6409" w:rsidRPr="00541ABB" w:rsidRDefault="007F6409" w:rsidP="007A2D76">
            <w:pPr>
              <w:jc w:val="center"/>
              <w:rPr>
                <w:szCs w:val="22"/>
              </w:rPr>
            </w:pPr>
            <w:r>
              <w:rPr>
                <w:szCs w:val="22"/>
              </w:rPr>
              <w:t>0,311</w:t>
            </w:r>
          </w:p>
        </w:tc>
        <w:tc>
          <w:tcPr>
            <w:tcW w:w="1720" w:type="dxa"/>
            <w:tcBorders>
              <w:top w:val="nil"/>
              <w:left w:val="nil"/>
              <w:bottom w:val="single" w:sz="4" w:space="0" w:color="auto"/>
              <w:right w:val="single" w:sz="4" w:space="0" w:color="auto"/>
            </w:tcBorders>
            <w:shd w:val="clear" w:color="auto" w:fill="auto"/>
            <w:noWrap/>
            <w:vAlign w:val="center"/>
            <w:hideMark/>
          </w:tcPr>
          <w:p w14:paraId="75AA4956" w14:textId="77777777" w:rsidR="007F6409" w:rsidRPr="00541ABB" w:rsidRDefault="007F6409" w:rsidP="007A2D76">
            <w:pPr>
              <w:jc w:val="center"/>
              <w:rPr>
                <w:szCs w:val="22"/>
              </w:rPr>
            </w:pPr>
            <w:r>
              <w:rPr>
                <w:szCs w:val="22"/>
              </w:rPr>
              <w:t>0,500</w:t>
            </w:r>
          </w:p>
        </w:tc>
        <w:tc>
          <w:tcPr>
            <w:tcW w:w="1720" w:type="dxa"/>
            <w:tcBorders>
              <w:top w:val="nil"/>
              <w:left w:val="nil"/>
              <w:bottom w:val="single" w:sz="4" w:space="0" w:color="auto"/>
              <w:right w:val="single" w:sz="4" w:space="0" w:color="auto"/>
            </w:tcBorders>
            <w:shd w:val="clear" w:color="auto" w:fill="auto"/>
            <w:noWrap/>
            <w:vAlign w:val="center"/>
            <w:hideMark/>
          </w:tcPr>
          <w:p w14:paraId="20CC5C75" w14:textId="77777777" w:rsidR="007F6409" w:rsidRPr="00541ABB" w:rsidRDefault="007F6409" w:rsidP="007A2D76">
            <w:pPr>
              <w:jc w:val="right"/>
              <w:rPr>
                <w:szCs w:val="22"/>
              </w:rPr>
            </w:pPr>
            <w:r>
              <w:rPr>
                <w:szCs w:val="22"/>
              </w:rPr>
              <w:t>8 636</w:t>
            </w:r>
          </w:p>
        </w:tc>
      </w:tr>
      <w:tr w:rsidR="007F6409" w:rsidRPr="004D5F9F" w14:paraId="70425A90" w14:textId="77777777" w:rsidTr="007F6409">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DBEAA3" w14:textId="66F2A472" w:rsidR="007F6409" w:rsidRPr="00541ABB" w:rsidRDefault="007F6409" w:rsidP="007A2D76">
            <w:pPr>
              <w:jc w:val="center"/>
              <w:rPr>
                <w:szCs w:val="22"/>
              </w:rPr>
            </w:pPr>
            <w:r>
              <w:rPr>
                <w:szCs w:val="22"/>
              </w:rPr>
              <w:t>103</w:t>
            </w:r>
          </w:p>
        </w:tc>
        <w:tc>
          <w:tcPr>
            <w:tcW w:w="3380" w:type="dxa"/>
            <w:tcBorders>
              <w:top w:val="nil"/>
              <w:left w:val="nil"/>
              <w:bottom w:val="single" w:sz="4" w:space="0" w:color="auto"/>
              <w:right w:val="single" w:sz="4" w:space="0" w:color="auto"/>
            </w:tcBorders>
            <w:shd w:val="clear" w:color="auto" w:fill="auto"/>
            <w:vAlign w:val="center"/>
            <w:hideMark/>
          </w:tcPr>
          <w:p w14:paraId="24C52910" w14:textId="77777777" w:rsidR="007F6409" w:rsidRPr="00541ABB" w:rsidRDefault="007F6409" w:rsidP="007A2D76">
            <w:pPr>
              <w:jc w:val="left"/>
              <w:rPr>
                <w:szCs w:val="22"/>
              </w:rPr>
            </w:pPr>
            <w:r>
              <w:rPr>
                <w:szCs w:val="22"/>
              </w:rPr>
              <w:t>République-Unie de Tanzanie</w:t>
            </w:r>
          </w:p>
        </w:tc>
        <w:tc>
          <w:tcPr>
            <w:tcW w:w="1720" w:type="dxa"/>
            <w:tcBorders>
              <w:top w:val="nil"/>
              <w:left w:val="nil"/>
              <w:bottom w:val="single" w:sz="4" w:space="0" w:color="auto"/>
              <w:right w:val="single" w:sz="4" w:space="0" w:color="auto"/>
            </w:tcBorders>
            <w:shd w:val="clear" w:color="auto" w:fill="auto"/>
            <w:vAlign w:val="center"/>
            <w:hideMark/>
          </w:tcPr>
          <w:p w14:paraId="3AC506FB" w14:textId="77777777" w:rsidR="007F6409" w:rsidRPr="00541ABB" w:rsidRDefault="007F6409" w:rsidP="007A2D76">
            <w:pPr>
              <w:jc w:val="center"/>
              <w:rPr>
                <w:szCs w:val="22"/>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3A99F8E" w14:textId="77777777" w:rsidR="007F6409" w:rsidRPr="00541ABB" w:rsidRDefault="007F6409" w:rsidP="007A2D76">
            <w:pPr>
              <w:jc w:val="center"/>
              <w:rPr>
                <w:szCs w:val="22"/>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0D5AD24C" w14:textId="77777777" w:rsidR="007F6409" w:rsidRPr="00541ABB" w:rsidRDefault="007F6409" w:rsidP="007A2D76">
            <w:pPr>
              <w:jc w:val="right"/>
              <w:rPr>
                <w:szCs w:val="22"/>
              </w:rPr>
            </w:pPr>
            <w:r>
              <w:rPr>
                <w:szCs w:val="22"/>
              </w:rPr>
              <w:t>173</w:t>
            </w:r>
          </w:p>
        </w:tc>
      </w:tr>
      <w:tr w:rsidR="0033145B" w:rsidRPr="004D5F9F" w14:paraId="6F12DE6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FEFEF1" w14:textId="4110B014" w:rsidR="00CD28E3" w:rsidRPr="00541ABB" w:rsidRDefault="00AC794F" w:rsidP="00CD28E3">
            <w:pPr>
              <w:jc w:val="center"/>
              <w:rPr>
                <w:szCs w:val="22"/>
                <w:lang w:eastAsia="zh-CN"/>
              </w:rPr>
            </w:pPr>
            <w:r>
              <w:rPr>
                <w:szCs w:val="22"/>
              </w:rPr>
              <w:t>104</w:t>
            </w:r>
          </w:p>
        </w:tc>
        <w:tc>
          <w:tcPr>
            <w:tcW w:w="3380" w:type="dxa"/>
            <w:tcBorders>
              <w:top w:val="nil"/>
              <w:left w:val="nil"/>
              <w:bottom w:val="single" w:sz="4" w:space="0" w:color="auto"/>
              <w:right w:val="single" w:sz="4" w:space="0" w:color="auto"/>
            </w:tcBorders>
            <w:shd w:val="clear" w:color="auto" w:fill="auto"/>
            <w:vAlign w:val="center"/>
            <w:hideMark/>
          </w:tcPr>
          <w:p w14:paraId="7B873D03" w14:textId="77777777" w:rsidR="00CD28E3" w:rsidRPr="00541ABB" w:rsidRDefault="00CD28E3" w:rsidP="00CD28E3">
            <w:pPr>
              <w:jc w:val="left"/>
              <w:rPr>
                <w:szCs w:val="22"/>
                <w:lang w:eastAsia="zh-CN"/>
              </w:rPr>
            </w:pPr>
            <w:r>
              <w:rPr>
                <w:szCs w:val="22"/>
              </w:rPr>
              <w:t>Roumanie</w:t>
            </w:r>
          </w:p>
        </w:tc>
        <w:tc>
          <w:tcPr>
            <w:tcW w:w="1720" w:type="dxa"/>
            <w:tcBorders>
              <w:top w:val="nil"/>
              <w:left w:val="nil"/>
              <w:bottom w:val="single" w:sz="4" w:space="0" w:color="auto"/>
              <w:right w:val="single" w:sz="4" w:space="0" w:color="auto"/>
            </w:tcBorders>
            <w:shd w:val="clear" w:color="auto" w:fill="auto"/>
            <w:vAlign w:val="center"/>
            <w:hideMark/>
          </w:tcPr>
          <w:p w14:paraId="0E3C97A6" w14:textId="77777777" w:rsidR="00CD28E3" w:rsidRPr="00541ABB" w:rsidRDefault="00CD28E3" w:rsidP="00CD28E3">
            <w:pPr>
              <w:jc w:val="center"/>
              <w:rPr>
                <w:szCs w:val="22"/>
                <w:lang w:eastAsia="zh-CN"/>
              </w:rPr>
            </w:pPr>
            <w:r>
              <w:rPr>
                <w:szCs w:val="22"/>
              </w:rPr>
              <w:t>0,198</w:t>
            </w:r>
          </w:p>
        </w:tc>
        <w:tc>
          <w:tcPr>
            <w:tcW w:w="1720" w:type="dxa"/>
            <w:tcBorders>
              <w:top w:val="nil"/>
              <w:left w:val="nil"/>
              <w:bottom w:val="single" w:sz="4" w:space="0" w:color="auto"/>
              <w:right w:val="single" w:sz="4" w:space="0" w:color="auto"/>
            </w:tcBorders>
            <w:shd w:val="clear" w:color="auto" w:fill="auto"/>
            <w:noWrap/>
            <w:vAlign w:val="center"/>
            <w:hideMark/>
          </w:tcPr>
          <w:p w14:paraId="45928303" w14:textId="77777777" w:rsidR="00CD28E3" w:rsidRPr="00541ABB" w:rsidRDefault="00CD28E3" w:rsidP="00CD28E3">
            <w:pPr>
              <w:jc w:val="center"/>
              <w:rPr>
                <w:szCs w:val="22"/>
                <w:lang w:eastAsia="zh-CN"/>
              </w:rPr>
            </w:pPr>
            <w:r>
              <w:rPr>
                <w:szCs w:val="22"/>
              </w:rPr>
              <w:t>0,318</w:t>
            </w:r>
          </w:p>
        </w:tc>
        <w:tc>
          <w:tcPr>
            <w:tcW w:w="1720" w:type="dxa"/>
            <w:tcBorders>
              <w:top w:val="nil"/>
              <w:left w:val="nil"/>
              <w:bottom w:val="single" w:sz="4" w:space="0" w:color="auto"/>
              <w:right w:val="single" w:sz="4" w:space="0" w:color="auto"/>
            </w:tcBorders>
            <w:shd w:val="clear" w:color="auto" w:fill="auto"/>
            <w:noWrap/>
            <w:vAlign w:val="center"/>
            <w:hideMark/>
          </w:tcPr>
          <w:p w14:paraId="20B8DD6A" w14:textId="77777777" w:rsidR="00CD28E3" w:rsidRPr="00541ABB" w:rsidRDefault="00CD28E3" w:rsidP="00CD28E3">
            <w:pPr>
              <w:jc w:val="right"/>
              <w:rPr>
                <w:szCs w:val="22"/>
                <w:lang w:eastAsia="zh-CN"/>
              </w:rPr>
            </w:pPr>
            <w:r>
              <w:rPr>
                <w:szCs w:val="22"/>
              </w:rPr>
              <w:t>5 498</w:t>
            </w:r>
          </w:p>
        </w:tc>
      </w:tr>
      <w:tr w:rsidR="00AC794F" w:rsidRPr="004D5F9F" w14:paraId="77001131" w14:textId="77777777" w:rsidTr="00AC794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35CE19" w14:textId="0F657E67" w:rsidR="00AC794F" w:rsidRPr="00541ABB" w:rsidRDefault="00AC794F" w:rsidP="007A2D76">
            <w:pPr>
              <w:jc w:val="center"/>
              <w:rPr>
                <w:szCs w:val="22"/>
              </w:rPr>
            </w:pPr>
            <w:r>
              <w:rPr>
                <w:szCs w:val="22"/>
              </w:rPr>
              <w:t>105</w:t>
            </w:r>
          </w:p>
        </w:tc>
        <w:tc>
          <w:tcPr>
            <w:tcW w:w="3380" w:type="dxa"/>
            <w:tcBorders>
              <w:top w:val="nil"/>
              <w:left w:val="nil"/>
              <w:bottom w:val="single" w:sz="4" w:space="0" w:color="auto"/>
              <w:right w:val="single" w:sz="4" w:space="0" w:color="auto"/>
            </w:tcBorders>
            <w:shd w:val="clear" w:color="auto" w:fill="auto"/>
            <w:vAlign w:val="center"/>
            <w:hideMark/>
          </w:tcPr>
          <w:p w14:paraId="3E305825" w14:textId="77777777" w:rsidR="00AC794F" w:rsidRPr="00541ABB" w:rsidRDefault="00AC794F" w:rsidP="007A2D76">
            <w:pPr>
              <w:jc w:val="left"/>
              <w:rPr>
                <w:szCs w:val="22"/>
              </w:rPr>
            </w:pPr>
            <w:r>
              <w:rPr>
                <w:szCs w:val="22"/>
              </w:rPr>
              <w:t>Royaume-Uni de Grande-Bretagne et d’Irlande du Nord</w:t>
            </w:r>
          </w:p>
        </w:tc>
        <w:tc>
          <w:tcPr>
            <w:tcW w:w="1720" w:type="dxa"/>
            <w:tcBorders>
              <w:top w:val="nil"/>
              <w:left w:val="nil"/>
              <w:bottom w:val="single" w:sz="4" w:space="0" w:color="auto"/>
              <w:right w:val="single" w:sz="4" w:space="0" w:color="auto"/>
            </w:tcBorders>
            <w:shd w:val="clear" w:color="auto" w:fill="auto"/>
            <w:vAlign w:val="center"/>
            <w:hideMark/>
          </w:tcPr>
          <w:p w14:paraId="5FB24CB8" w14:textId="77777777" w:rsidR="00AC794F" w:rsidRPr="00541ABB" w:rsidRDefault="00AC794F" w:rsidP="007A2D76">
            <w:pPr>
              <w:jc w:val="center"/>
              <w:rPr>
                <w:szCs w:val="22"/>
              </w:rPr>
            </w:pPr>
            <w:r>
              <w:rPr>
                <w:szCs w:val="22"/>
              </w:rPr>
              <w:t>4,567</w:t>
            </w:r>
          </w:p>
        </w:tc>
        <w:tc>
          <w:tcPr>
            <w:tcW w:w="1720" w:type="dxa"/>
            <w:tcBorders>
              <w:top w:val="nil"/>
              <w:left w:val="nil"/>
              <w:bottom w:val="single" w:sz="4" w:space="0" w:color="auto"/>
              <w:right w:val="single" w:sz="4" w:space="0" w:color="auto"/>
            </w:tcBorders>
            <w:shd w:val="clear" w:color="auto" w:fill="auto"/>
            <w:noWrap/>
            <w:vAlign w:val="center"/>
            <w:hideMark/>
          </w:tcPr>
          <w:p w14:paraId="56362168" w14:textId="77777777" w:rsidR="00AC794F" w:rsidRPr="00541ABB" w:rsidRDefault="00AC794F" w:rsidP="007A2D76">
            <w:pPr>
              <w:jc w:val="center"/>
              <w:rPr>
                <w:szCs w:val="22"/>
              </w:rPr>
            </w:pPr>
            <w:r>
              <w:rPr>
                <w:szCs w:val="22"/>
              </w:rPr>
              <w:t>7,336</w:t>
            </w:r>
          </w:p>
        </w:tc>
        <w:tc>
          <w:tcPr>
            <w:tcW w:w="1720" w:type="dxa"/>
            <w:tcBorders>
              <w:top w:val="nil"/>
              <w:left w:val="nil"/>
              <w:bottom w:val="single" w:sz="4" w:space="0" w:color="auto"/>
              <w:right w:val="single" w:sz="4" w:space="0" w:color="auto"/>
            </w:tcBorders>
            <w:shd w:val="clear" w:color="auto" w:fill="auto"/>
            <w:noWrap/>
            <w:vAlign w:val="center"/>
            <w:hideMark/>
          </w:tcPr>
          <w:p w14:paraId="75AC8891" w14:textId="77777777" w:rsidR="00AC794F" w:rsidRPr="00541ABB" w:rsidRDefault="00AC794F" w:rsidP="007A2D76">
            <w:pPr>
              <w:jc w:val="right"/>
              <w:rPr>
                <w:szCs w:val="22"/>
              </w:rPr>
            </w:pPr>
            <w:r>
              <w:rPr>
                <w:szCs w:val="22"/>
              </w:rPr>
              <w:t>126 824</w:t>
            </w:r>
          </w:p>
        </w:tc>
      </w:tr>
      <w:tr w:rsidR="0033145B" w:rsidRPr="004D5F9F" w14:paraId="375F3C5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EA3C41" w14:textId="159470ED" w:rsidR="00CD28E3" w:rsidRPr="00541ABB" w:rsidRDefault="00AC794F" w:rsidP="00CD28E3">
            <w:pPr>
              <w:jc w:val="center"/>
              <w:rPr>
                <w:szCs w:val="22"/>
                <w:lang w:eastAsia="zh-CN"/>
              </w:rPr>
            </w:pPr>
            <w:r>
              <w:rPr>
                <w:szCs w:val="22"/>
              </w:rPr>
              <w:t>106</w:t>
            </w:r>
          </w:p>
        </w:tc>
        <w:tc>
          <w:tcPr>
            <w:tcW w:w="3380" w:type="dxa"/>
            <w:tcBorders>
              <w:top w:val="nil"/>
              <w:left w:val="nil"/>
              <w:bottom w:val="single" w:sz="4" w:space="0" w:color="auto"/>
              <w:right w:val="single" w:sz="4" w:space="0" w:color="auto"/>
            </w:tcBorders>
            <w:shd w:val="clear" w:color="auto" w:fill="auto"/>
            <w:vAlign w:val="center"/>
            <w:hideMark/>
          </w:tcPr>
          <w:p w14:paraId="52165DC2" w14:textId="77777777" w:rsidR="00CD28E3" w:rsidRPr="00541ABB" w:rsidRDefault="00CD28E3" w:rsidP="00CD28E3">
            <w:pPr>
              <w:jc w:val="left"/>
              <w:rPr>
                <w:szCs w:val="22"/>
                <w:lang w:eastAsia="zh-CN"/>
              </w:rPr>
            </w:pPr>
            <w:r>
              <w:rPr>
                <w:szCs w:val="22"/>
              </w:rPr>
              <w:t>Rwanda</w:t>
            </w:r>
          </w:p>
        </w:tc>
        <w:tc>
          <w:tcPr>
            <w:tcW w:w="1720" w:type="dxa"/>
            <w:tcBorders>
              <w:top w:val="nil"/>
              <w:left w:val="nil"/>
              <w:bottom w:val="single" w:sz="4" w:space="0" w:color="auto"/>
              <w:right w:val="single" w:sz="4" w:space="0" w:color="auto"/>
            </w:tcBorders>
            <w:shd w:val="clear" w:color="auto" w:fill="auto"/>
            <w:vAlign w:val="center"/>
            <w:hideMark/>
          </w:tcPr>
          <w:p w14:paraId="3F17B4A4"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0B79D744"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5C43FD74" w14:textId="77777777" w:rsidR="00CD28E3" w:rsidRPr="00541ABB" w:rsidRDefault="00CD28E3" w:rsidP="00CD28E3">
            <w:pPr>
              <w:jc w:val="right"/>
              <w:rPr>
                <w:szCs w:val="22"/>
                <w:lang w:eastAsia="zh-CN"/>
              </w:rPr>
            </w:pPr>
            <w:r>
              <w:rPr>
                <w:szCs w:val="22"/>
              </w:rPr>
              <w:t>83</w:t>
            </w:r>
          </w:p>
        </w:tc>
      </w:tr>
      <w:tr w:rsidR="0033145B" w:rsidRPr="004D5F9F" w14:paraId="1DDAC4F3"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9B5A81" w14:textId="009360BD" w:rsidR="00CD28E3" w:rsidRPr="00541ABB" w:rsidRDefault="00AC794F" w:rsidP="00CD28E3">
            <w:pPr>
              <w:jc w:val="center"/>
              <w:rPr>
                <w:szCs w:val="22"/>
                <w:lang w:eastAsia="zh-CN"/>
              </w:rPr>
            </w:pPr>
            <w:r>
              <w:rPr>
                <w:szCs w:val="22"/>
              </w:rPr>
              <w:t>107</w:t>
            </w:r>
          </w:p>
        </w:tc>
        <w:tc>
          <w:tcPr>
            <w:tcW w:w="3380" w:type="dxa"/>
            <w:tcBorders>
              <w:top w:val="nil"/>
              <w:left w:val="nil"/>
              <w:bottom w:val="single" w:sz="4" w:space="0" w:color="auto"/>
              <w:right w:val="single" w:sz="4" w:space="0" w:color="auto"/>
            </w:tcBorders>
            <w:shd w:val="clear" w:color="auto" w:fill="auto"/>
            <w:vAlign w:val="center"/>
            <w:hideMark/>
          </w:tcPr>
          <w:p w14:paraId="71EBF2D5" w14:textId="77777777" w:rsidR="00CD28E3" w:rsidRPr="00541ABB" w:rsidRDefault="00CD28E3" w:rsidP="00CD28E3">
            <w:pPr>
              <w:jc w:val="left"/>
              <w:rPr>
                <w:szCs w:val="22"/>
                <w:lang w:eastAsia="zh-CN"/>
              </w:rPr>
            </w:pPr>
            <w:r>
              <w:rPr>
                <w:szCs w:val="22"/>
              </w:rPr>
              <w:t>Saint-Kitts-et-Nevis</w:t>
            </w:r>
          </w:p>
        </w:tc>
        <w:tc>
          <w:tcPr>
            <w:tcW w:w="1720" w:type="dxa"/>
            <w:tcBorders>
              <w:top w:val="nil"/>
              <w:left w:val="nil"/>
              <w:bottom w:val="single" w:sz="4" w:space="0" w:color="auto"/>
              <w:right w:val="single" w:sz="4" w:space="0" w:color="auto"/>
            </w:tcBorders>
            <w:shd w:val="clear" w:color="auto" w:fill="auto"/>
            <w:vAlign w:val="center"/>
            <w:hideMark/>
          </w:tcPr>
          <w:p w14:paraId="03CFCBC5"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55C8F7BE"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9D51030" w14:textId="77777777" w:rsidR="00CD28E3" w:rsidRPr="00541ABB" w:rsidRDefault="00CD28E3" w:rsidP="00CD28E3">
            <w:pPr>
              <w:jc w:val="right"/>
              <w:rPr>
                <w:szCs w:val="22"/>
                <w:lang w:eastAsia="zh-CN"/>
              </w:rPr>
            </w:pPr>
            <w:r>
              <w:rPr>
                <w:szCs w:val="22"/>
              </w:rPr>
              <w:t>28</w:t>
            </w:r>
          </w:p>
        </w:tc>
      </w:tr>
      <w:tr w:rsidR="0033145B" w:rsidRPr="004D5F9F" w14:paraId="13AA2E3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C26B00" w14:textId="47A65D1B" w:rsidR="00CD28E3" w:rsidRPr="00541ABB" w:rsidRDefault="00AC794F" w:rsidP="00CD28E3">
            <w:pPr>
              <w:jc w:val="center"/>
              <w:rPr>
                <w:szCs w:val="22"/>
                <w:lang w:eastAsia="zh-CN"/>
              </w:rPr>
            </w:pPr>
            <w:r>
              <w:rPr>
                <w:szCs w:val="22"/>
              </w:rPr>
              <w:t>108</w:t>
            </w:r>
          </w:p>
        </w:tc>
        <w:tc>
          <w:tcPr>
            <w:tcW w:w="3380" w:type="dxa"/>
            <w:tcBorders>
              <w:top w:val="nil"/>
              <w:left w:val="nil"/>
              <w:bottom w:val="single" w:sz="4" w:space="0" w:color="auto"/>
              <w:right w:val="single" w:sz="4" w:space="0" w:color="auto"/>
            </w:tcBorders>
            <w:shd w:val="clear" w:color="auto" w:fill="auto"/>
            <w:vAlign w:val="center"/>
            <w:hideMark/>
          </w:tcPr>
          <w:p w14:paraId="798FDF33" w14:textId="77777777" w:rsidR="00CD28E3" w:rsidRPr="00541ABB" w:rsidRDefault="00CD28E3" w:rsidP="00CD28E3">
            <w:pPr>
              <w:jc w:val="left"/>
              <w:rPr>
                <w:szCs w:val="22"/>
                <w:lang w:eastAsia="zh-CN"/>
              </w:rPr>
            </w:pPr>
            <w:r>
              <w:rPr>
                <w:szCs w:val="22"/>
              </w:rPr>
              <w:t>Samoa</w:t>
            </w:r>
          </w:p>
        </w:tc>
        <w:tc>
          <w:tcPr>
            <w:tcW w:w="1720" w:type="dxa"/>
            <w:tcBorders>
              <w:top w:val="nil"/>
              <w:left w:val="nil"/>
              <w:bottom w:val="single" w:sz="4" w:space="0" w:color="auto"/>
              <w:right w:val="single" w:sz="4" w:space="0" w:color="auto"/>
            </w:tcBorders>
            <w:shd w:val="clear" w:color="auto" w:fill="auto"/>
            <w:vAlign w:val="center"/>
            <w:hideMark/>
          </w:tcPr>
          <w:p w14:paraId="1F729FA4"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0B6310A7"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2828160" w14:textId="77777777" w:rsidR="00CD28E3" w:rsidRPr="00541ABB" w:rsidRDefault="00CD28E3" w:rsidP="00CD28E3">
            <w:pPr>
              <w:jc w:val="right"/>
              <w:rPr>
                <w:szCs w:val="22"/>
                <w:lang w:eastAsia="zh-CN"/>
              </w:rPr>
            </w:pPr>
            <w:r>
              <w:rPr>
                <w:szCs w:val="22"/>
              </w:rPr>
              <w:t>28</w:t>
            </w:r>
          </w:p>
        </w:tc>
      </w:tr>
      <w:tr w:rsidR="0033145B" w:rsidRPr="004D5F9F" w14:paraId="3F7424C7"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BCEFCC" w14:textId="3EAC755C" w:rsidR="00CD28E3" w:rsidRPr="00541ABB" w:rsidRDefault="00AC794F" w:rsidP="00CD28E3">
            <w:pPr>
              <w:jc w:val="center"/>
              <w:rPr>
                <w:szCs w:val="22"/>
                <w:lang w:eastAsia="zh-CN"/>
              </w:rPr>
            </w:pPr>
            <w:r>
              <w:rPr>
                <w:szCs w:val="22"/>
              </w:rPr>
              <w:t>109</w:t>
            </w:r>
          </w:p>
        </w:tc>
        <w:tc>
          <w:tcPr>
            <w:tcW w:w="3380" w:type="dxa"/>
            <w:tcBorders>
              <w:top w:val="nil"/>
              <w:left w:val="nil"/>
              <w:bottom w:val="single" w:sz="4" w:space="0" w:color="auto"/>
              <w:right w:val="single" w:sz="4" w:space="0" w:color="auto"/>
            </w:tcBorders>
            <w:shd w:val="clear" w:color="auto" w:fill="auto"/>
            <w:vAlign w:val="center"/>
            <w:hideMark/>
          </w:tcPr>
          <w:p w14:paraId="25480E79" w14:textId="77777777" w:rsidR="00CD28E3" w:rsidRPr="00541ABB" w:rsidRDefault="00CD28E3" w:rsidP="00CD28E3">
            <w:pPr>
              <w:jc w:val="left"/>
              <w:rPr>
                <w:szCs w:val="22"/>
                <w:lang w:eastAsia="zh-CN"/>
              </w:rPr>
            </w:pPr>
            <w:r>
              <w:rPr>
                <w:szCs w:val="22"/>
              </w:rPr>
              <w:t>Sao Tomé-et-Principe</w:t>
            </w:r>
          </w:p>
        </w:tc>
        <w:tc>
          <w:tcPr>
            <w:tcW w:w="1720" w:type="dxa"/>
            <w:tcBorders>
              <w:top w:val="nil"/>
              <w:left w:val="nil"/>
              <w:bottom w:val="single" w:sz="4" w:space="0" w:color="auto"/>
              <w:right w:val="single" w:sz="4" w:space="0" w:color="auto"/>
            </w:tcBorders>
            <w:shd w:val="clear" w:color="auto" w:fill="auto"/>
            <w:vAlign w:val="center"/>
            <w:hideMark/>
          </w:tcPr>
          <w:p w14:paraId="585FF5A0"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745ED868"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5A11373" w14:textId="77777777" w:rsidR="00CD28E3" w:rsidRPr="00541ABB" w:rsidRDefault="00CD28E3" w:rsidP="00CD28E3">
            <w:pPr>
              <w:jc w:val="right"/>
              <w:rPr>
                <w:szCs w:val="22"/>
                <w:lang w:eastAsia="zh-CN"/>
              </w:rPr>
            </w:pPr>
            <w:r>
              <w:rPr>
                <w:szCs w:val="22"/>
              </w:rPr>
              <w:t>28</w:t>
            </w:r>
          </w:p>
        </w:tc>
      </w:tr>
      <w:tr w:rsidR="0033145B" w:rsidRPr="004D5F9F" w14:paraId="71678C4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4F774F" w14:textId="65B985F5" w:rsidR="00CD28E3" w:rsidRPr="00E92D9B" w:rsidRDefault="00AC794F" w:rsidP="00CD28E3">
            <w:pPr>
              <w:jc w:val="center"/>
              <w:rPr>
                <w:szCs w:val="22"/>
                <w:lang w:eastAsia="zh-CN"/>
              </w:rPr>
            </w:pPr>
            <w:r w:rsidRPr="00E92D9B">
              <w:rPr>
                <w:szCs w:val="22"/>
              </w:rPr>
              <w:t>110</w:t>
            </w:r>
          </w:p>
        </w:tc>
        <w:tc>
          <w:tcPr>
            <w:tcW w:w="3380" w:type="dxa"/>
            <w:tcBorders>
              <w:top w:val="nil"/>
              <w:left w:val="nil"/>
              <w:bottom w:val="single" w:sz="4" w:space="0" w:color="auto"/>
              <w:right w:val="single" w:sz="4" w:space="0" w:color="auto"/>
            </w:tcBorders>
            <w:shd w:val="clear" w:color="auto" w:fill="auto"/>
            <w:vAlign w:val="center"/>
            <w:hideMark/>
          </w:tcPr>
          <w:p w14:paraId="75A0C459" w14:textId="77777777" w:rsidR="00CD28E3" w:rsidRPr="00E92D9B" w:rsidRDefault="00CD28E3" w:rsidP="00CD28E3">
            <w:pPr>
              <w:jc w:val="left"/>
              <w:rPr>
                <w:szCs w:val="22"/>
                <w:lang w:eastAsia="zh-CN"/>
              </w:rPr>
            </w:pPr>
            <w:r w:rsidRPr="00E92D9B">
              <w:rPr>
                <w:szCs w:val="22"/>
              </w:rPr>
              <w:t>Sénégal</w:t>
            </w:r>
          </w:p>
        </w:tc>
        <w:tc>
          <w:tcPr>
            <w:tcW w:w="1720" w:type="dxa"/>
            <w:tcBorders>
              <w:top w:val="nil"/>
              <w:left w:val="nil"/>
              <w:bottom w:val="single" w:sz="4" w:space="0" w:color="auto"/>
              <w:right w:val="single" w:sz="4" w:space="0" w:color="auto"/>
            </w:tcBorders>
            <w:shd w:val="clear" w:color="auto" w:fill="auto"/>
            <w:vAlign w:val="center"/>
            <w:hideMark/>
          </w:tcPr>
          <w:p w14:paraId="33998271" w14:textId="77777777" w:rsidR="00CD28E3" w:rsidRPr="00E92D9B" w:rsidRDefault="00CD28E3" w:rsidP="00CD28E3">
            <w:pPr>
              <w:jc w:val="center"/>
              <w:rPr>
                <w:szCs w:val="22"/>
                <w:lang w:eastAsia="zh-CN"/>
              </w:rPr>
            </w:pPr>
            <w:r w:rsidRPr="00E92D9B">
              <w:rPr>
                <w:szCs w:val="22"/>
              </w:rPr>
              <w:t>0,007</w:t>
            </w:r>
          </w:p>
        </w:tc>
        <w:tc>
          <w:tcPr>
            <w:tcW w:w="1720" w:type="dxa"/>
            <w:tcBorders>
              <w:top w:val="nil"/>
              <w:left w:val="nil"/>
              <w:bottom w:val="single" w:sz="4" w:space="0" w:color="auto"/>
              <w:right w:val="single" w:sz="4" w:space="0" w:color="auto"/>
            </w:tcBorders>
            <w:shd w:val="clear" w:color="auto" w:fill="auto"/>
            <w:noWrap/>
            <w:vAlign w:val="center"/>
            <w:hideMark/>
          </w:tcPr>
          <w:p w14:paraId="232E097C" w14:textId="77777777" w:rsidR="00CD28E3" w:rsidRPr="00E92D9B" w:rsidRDefault="00CD28E3" w:rsidP="00CD28E3">
            <w:pPr>
              <w:jc w:val="center"/>
              <w:rPr>
                <w:szCs w:val="22"/>
                <w:lang w:eastAsia="zh-CN"/>
              </w:rPr>
            </w:pPr>
            <w:r w:rsidRPr="00E92D9B">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82EAB1F" w14:textId="77777777" w:rsidR="00CD28E3" w:rsidRPr="00541ABB" w:rsidRDefault="00CD28E3" w:rsidP="00CD28E3">
            <w:pPr>
              <w:jc w:val="right"/>
              <w:rPr>
                <w:szCs w:val="22"/>
                <w:lang w:eastAsia="zh-CN"/>
              </w:rPr>
            </w:pPr>
            <w:r w:rsidRPr="00E92D9B">
              <w:rPr>
                <w:szCs w:val="22"/>
              </w:rPr>
              <w:t>173</w:t>
            </w:r>
          </w:p>
        </w:tc>
      </w:tr>
      <w:tr w:rsidR="0033145B" w:rsidRPr="004D5F9F" w14:paraId="5DA0D3F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7CFBE6" w14:textId="2D369B7D" w:rsidR="00CD28E3" w:rsidRPr="00541ABB" w:rsidRDefault="00646514" w:rsidP="00CD28E3">
            <w:pPr>
              <w:jc w:val="center"/>
              <w:rPr>
                <w:szCs w:val="22"/>
                <w:lang w:eastAsia="zh-CN"/>
              </w:rPr>
            </w:pPr>
            <w:r>
              <w:rPr>
                <w:szCs w:val="22"/>
              </w:rPr>
              <w:t>111</w:t>
            </w:r>
          </w:p>
        </w:tc>
        <w:tc>
          <w:tcPr>
            <w:tcW w:w="3380" w:type="dxa"/>
            <w:tcBorders>
              <w:top w:val="nil"/>
              <w:left w:val="nil"/>
              <w:bottom w:val="single" w:sz="4" w:space="0" w:color="auto"/>
              <w:right w:val="single" w:sz="4" w:space="0" w:color="auto"/>
            </w:tcBorders>
            <w:shd w:val="clear" w:color="auto" w:fill="auto"/>
            <w:vAlign w:val="center"/>
            <w:hideMark/>
          </w:tcPr>
          <w:p w14:paraId="51D86F4F" w14:textId="77777777" w:rsidR="00CD28E3" w:rsidRPr="00541ABB" w:rsidRDefault="00CD28E3" w:rsidP="00CD28E3">
            <w:pPr>
              <w:jc w:val="left"/>
              <w:rPr>
                <w:szCs w:val="22"/>
                <w:lang w:eastAsia="zh-CN"/>
              </w:rPr>
            </w:pPr>
            <w:r>
              <w:rPr>
                <w:szCs w:val="22"/>
              </w:rPr>
              <w:t>Serbie</w:t>
            </w:r>
          </w:p>
        </w:tc>
        <w:tc>
          <w:tcPr>
            <w:tcW w:w="1720" w:type="dxa"/>
            <w:tcBorders>
              <w:top w:val="nil"/>
              <w:left w:val="nil"/>
              <w:bottom w:val="single" w:sz="4" w:space="0" w:color="auto"/>
              <w:right w:val="single" w:sz="4" w:space="0" w:color="auto"/>
            </w:tcBorders>
            <w:shd w:val="clear" w:color="auto" w:fill="auto"/>
            <w:vAlign w:val="center"/>
            <w:hideMark/>
          </w:tcPr>
          <w:p w14:paraId="773311D9" w14:textId="77777777" w:rsidR="00CD28E3" w:rsidRPr="00541ABB" w:rsidRDefault="00CD28E3" w:rsidP="00CD28E3">
            <w:pPr>
              <w:jc w:val="center"/>
              <w:rPr>
                <w:szCs w:val="22"/>
                <w:lang w:eastAsia="zh-CN"/>
              </w:rPr>
            </w:pPr>
            <w:r>
              <w:rPr>
                <w:szCs w:val="22"/>
              </w:rPr>
              <w:t>0,028</w:t>
            </w:r>
          </w:p>
        </w:tc>
        <w:tc>
          <w:tcPr>
            <w:tcW w:w="1720" w:type="dxa"/>
            <w:tcBorders>
              <w:top w:val="nil"/>
              <w:left w:val="nil"/>
              <w:bottom w:val="single" w:sz="4" w:space="0" w:color="auto"/>
              <w:right w:val="single" w:sz="4" w:space="0" w:color="auto"/>
            </w:tcBorders>
            <w:shd w:val="clear" w:color="auto" w:fill="auto"/>
            <w:noWrap/>
            <w:vAlign w:val="center"/>
            <w:hideMark/>
          </w:tcPr>
          <w:p w14:paraId="7D409E1A" w14:textId="77777777" w:rsidR="00CD28E3" w:rsidRPr="00541ABB" w:rsidRDefault="00CD28E3" w:rsidP="00CD28E3">
            <w:pPr>
              <w:jc w:val="center"/>
              <w:rPr>
                <w:szCs w:val="22"/>
                <w:lang w:eastAsia="zh-CN"/>
              </w:rPr>
            </w:pPr>
            <w:r>
              <w:rPr>
                <w:szCs w:val="22"/>
              </w:rPr>
              <w:t>0,045</w:t>
            </w:r>
          </w:p>
        </w:tc>
        <w:tc>
          <w:tcPr>
            <w:tcW w:w="1720" w:type="dxa"/>
            <w:tcBorders>
              <w:top w:val="nil"/>
              <w:left w:val="nil"/>
              <w:bottom w:val="single" w:sz="4" w:space="0" w:color="auto"/>
              <w:right w:val="single" w:sz="4" w:space="0" w:color="auto"/>
            </w:tcBorders>
            <w:shd w:val="clear" w:color="auto" w:fill="auto"/>
            <w:noWrap/>
            <w:vAlign w:val="center"/>
            <w:hideMark/>
          </w:tcPr>
          <w:p w14:paraId="32FE376B" w14:textId="77777777" w:rsidR="00CD28E3" w:rsidRPr="00541ABB" w:rsidRDefault="00CD28E3" w:rsidP="00CD28E3">
            <w:pPr>
              <w:jc w:val="right"/>
              <w:rPr>
                <w:szCs w:val="22"/>
                <w:lang w:eastAsia="zh-CN"/>
              </w:rPr>
            </w:pPr>
            <w:r>
              <w:rPr>
                <w:szCs w:val="22"/>
              </w:rPr>
              <w:t>778</w:t>
            </w:r>
          </w:p>
        </w:tc>
      </w:tr>
      <w:tr w:rsidR="0033145B" w:rsidRPr="004D5F9F" w14:paraId="3F030AE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F0B199" w14:textId="2C9AAF31" w:rsidR="00CD28E3" w:rsidRPr="00541ABB" w:rsidRDefault="00646514" w:rsidP="00CD28E3">
            <w:pPr>
              <w:jc w:val="center"/>
              <w:rPr>
                <w:szCs w:val="22"/>
                <w:lang w:eastAsia="zh-CN"/>
              </w:rPr>
            </w:pPr>
            <w:r>
              <w:rPr>
                <w:szCs w:val="22"/>
              </w:rPr>
              <w:t>112</w:t>
            </w:r>
          </w:p>
        </w:tc>
        <w:tc>
          <w:tcPr>
            <w:tcW w:w="3380" w:type="dxa"/>
            <w:tcBorders>
              <w:top w:val="nil"/>
              <w:left w:val="nil"/>
              <w:bottom w:val="single" w:sz="4" w:space="0" w:color="auto"/>
              <w:right w:val="single" w:sz="4" w:space="0" w:color="auto"/>
            </w:tcBorders>
            <w:shd w:val="clear" w:color="auto" w:fill="auto"/>
            <w:vAlign w:val="center"/>
            <w:hideMark/>
          </w:tcPr>
          <w:p w14:paraId="15DA38FD" w14:textId="77777777" w:rsidR="00CD28E3" w:rsidRPr="00541ABB" w:rsidRDefault="00CD28E3" w:rsidP="00CD28E3">
            <w:pPr>
              <w:jc w:val="left"/>
              <w:rPr>
                <w:szCs w:val="22"/>
                <w:lang w:eastAsia="zh-CN"/>
              </w:rPr>
            </w:pPr>
            <w:r>
              <w:rPr>
                <w:szCs w:val="22"/>
              </w:rPr>
              <w:t>Seychelles</w:t>
            </w:r>
          </w:p>
        </w:tc>
        <w:tc>
          <w:tcPr>
            <w:tcW w:w="1720" w:type="dxa"/>
            <w:tcBorders>
              <w:top w:val="nil"/>
              <w:left w:val="nil"/>
              <w:bottom w:val="single" w:sz="4" w:space="0" w:color="auto"/>
              <w:right w:val="single" w:sz="4" w:space="0" w:color="auto"/>
            </w:tcBorders>
            <w:shd w:val="clear" w:color="auto" w:fill="auto"/>
            <w:vAlign w:val="center"/>
            <w:hideMark/>
          </w:tcPr>
          <w:p w14:paraId="6FC905DE"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DF30C30"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0274EB3" w14:textId="77777777" w:rsidR="00CD28E3" w:rsidRPr="00541ABB" w:rsidRDefault="00CD28E3" w:rsidP="00CD28E3">
            <w:pPr>
              <w:jc w:val="right"/>
              <w:rPr>
                <w:szCs w:val="22"/>
                <w:lang w:eastAsia="zh-CN"/>
              </w:rPr>
            </w:pPr>
            <w:r>
              <w:rPr>
                <w:szCs w:val="22"/>
              </w:rPr>
              <w:t>56</w:t>
            </w:r>
          </w:p>
        </w:tc>
      </w:tr>
      <w:tr w:rsidR="0033145B" w:rsidRPr="004D5F9F" w14:paraId="1C75007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C5627B" w14:textId="6B8B856B" w:rsidR="00CD28E3" w:rsidRPr="00541ABB" w:rsidRDefault="00646514" w:rsidP="00CD28E3">
            <w:pPr>
              <w:jc w:val="center"/>
              <w:rPr>
                <w:szCs w:val="22"/>
                <w:lang w:eastAsia="zh-CN"/>
              </w:rPr>
            </w:pPr>
            <w:r>
              <w:rPr>
                <w:szCs w:val="22"/>
              </w:rPr>
              <w:t>113</w:t>
            </w:r>
          </w:p>
        </w:tc>
        <w:tc>
          <w:tcPr>
            <w:tcW w:w="3380" w:type="dxa"/>
            <w:tcBorders>
              <w:top w:val="nil"/>
              <w:left w:val="nil"/>
              <w:bottom w:val="single" w:sz="4" w:space="0" w:color="auto"/>
              <w:right w:val="single" w:sz="4" w:space="0" w:color="auto"/>
            </w:tcBorders>
            <w:shd w:val="clear" w:color="auto" w:fill="auto"/>
            <w:vAlign w:val="center"/>
            <w:hideMark/>
          </w:tcPr>
          <w:p w14:paraId="195FF57B" w14:textId="77777777" w:rsidR="00CD28E3" w:rsidRPr="00541ABB" w:rsidRDefault="00CD28E3" w:rsidP="00CD28E3">
            <w:pPr>
              <w:jc w:val="left"/>
              <w:rPr>
                <w:szCs w:val="22"/>
                <w:lang w:eastAsia="zh-CN"/>
              </w:rPr>
            </w:pPr>
            <w:r>
              <w:rPr>
                <w:szCs w:val="22"/>
              </w:rPr>
              <w:t>Sierra Leone</w:t>
            </w:r>
          </w:p>
        </w:tc>
        <w:tc>
          <w:tcPr>
            <w:tcW w:w="1720" w:type="dxa"/>
            <w:tcBorders>
              <w:top w:val="nil"/>
              <w:left w:val="nil"/>
              <w:bottom w:val="single" w:sz="4" w:space="0" w:color="auto"/>
              <w:right w:val="single" w:sz="4" w:space="0" w:color="auto"/>
            </w:tcBorders>
            <w:shd w:val="clear" w:color="auto" w:fill="auto"/>
            <w:vAlign w:val="center"/>
            <w:hideMark/>
          </w:tcPr>
          <w:p w14:paraId="11593FA3"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27EAFC6D"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CE29B84" w14:textId="77777777" w:rsidR="00CD28E3" w:rsidRPr="00541ABB" w:rsidRDefault="00CD28E3" w:rsidP="00CD28E3">
            <w:pPr>
              <w:jc w:val="right"/>
              <w:rPr>
                <w:szCs w:val="22"/>
                <w:lang w:eastAsia="zh-CN"/>
              </w:rPr>
            </w:pPr>
            <w:r>
              <w:rPr>
                <w:szCs w:val="22"/>
              </w:rPr>
              <w:t>28</w:t>
            </w:r>
          </w:p>
        </w:tc>
      </w:tr>
      <w:tr w:rsidR="0033145B" w:rsidRPr="004D5F9F" w14:paraId="504B5C5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9F3263" w14:textId="6015BFD3" w:rsidR="00CD28E3" w:rsidRPr="00541ABB" w:rsidRDefault="00646514" w:rsidP="00CD28E3">
            <w:pPr>
              <w:jc w:val="center"/>
              <w:rPr>
                <w:szCs w:val="22"/>
                <w:lang w:eastAsia="zh-CN"/>
              </w:rPr>
            </w:pPr>
            <w:r>
              <w:rPr>
                <w:szCs w:val="22"/>
              </w:rPr>
              <w:t>114</w:t>
            </w:r>
          </w:p>
        </w:tc>
        <w:tc>
          <w:tcPr>
            <w:tcW w:w="3380" w:type="dxa"/>
            <w:tcBorders>
              <w:top w:val="nil"/>
              <w:left w:val="nil"/>
              <w:bottom w:val="single" w:sz="4" w:space="0" w:color="auto"/>
              <w:right w:val="single" w:sz="4" w:space="0" w:color="auto"/>
            </w:tcBorders>
            <w:shd w:val="clear" w:color="auto" w:fill="auto"/>
            <w:vAlign w:val="center"/>
            <w:hideMark/>
          </w:tcPr>
          <w:p w14:paraId="295CEE69" w14:textId="77777777" w:rsidR="00CD28E3" w:rsidRPr="00541ABB" w:rsidRDefault="00CD28E3" w:rsidP="00CD28E3">
            <w:pPr>
              <w:jc w:val="left"/>
              <w:rPr>
                <w:szCs w:val="22"/>
                <w:lang w:eastAsia="zh-CN"/>
              </w:rPr>
            </w:pPr>
            <w:r>
              <w:rPr>
                <w:szCs w:val="22"/>
              </w:rPr>
              <w:t>Slovaquie</w:t>
            </w:r>
          </w:p>
        </w:tc>
        <w:tc>
          <w:tcPr>
            <w:tcW w:w="1720" w:type="dxa"/>
            <w:tcBorders>
              <w:top w:val="nil"/>
              <w:left w:val="nil"/>
              <w:bottom w:val="single" w:sz="4" w:space="0" w:color="auto"/>
              <w:right w:val="single" w:sz="4" w:space="0" w:color="auto"/>
            </w:tcBorders>
            <w:shd w:val="clear" w:color="auto" w:fill="auto"/>
            <w:vAlign w:val="center"/>
            <w:hideMark/>
          </w:tcPr>
          <w:p w14:paraId="6D3301F1" w14:textId="77777777" w:rsidR="00CD28E3" w:rsidRPr="00541ABB" w:rsidRDefault="00CD28E3" w:rsidP="00CD28E3">
            <w:pPr>
              <w:jc w:val="center"/>
              <w:rPr>
                <w:szCs w:val="22"/>
                <w:lang w:eastAsia="zh-CN"/>
              </w:rPr>
            </w:pPr>
            <w:r>
              <w:rPr>
                <w:szCs w:val="22"/>
              </w:rPr>
              <w:t>0,153</w:t>
            </w:r>
          </w:p>
        </w:tc>
        <w:tc>
          <w:tcPr>
            <w:tcW w:w="1720" w:type="dxa"/>
            <w:tcBorders>
              <w:top w:val="nil"/>
              <w:left w:val="nil"/>
              <w:bottom w:val="single" w:sz="4" w:space="0" w:color="auto"/>
              <w:right w:val="single" w:sz="4" w:space="0" w:color="auto"/>
            </w:tcBorders>
            <w:shd w:val="clear" w:color="auto" w:fill="auto"/>
            <w:noWrap/>
            <w:vAlign w:val="center"/>
            <w:hideMark/>
          </w:tcPr>
          <w:p w14:paraId="58DE658C" w14:textId="77777777" w:rsidR="00CD28E3" w:rsidRPr="00541ABB" w:rsidRDefault="00CD28E3" w:rsidP="00CD28E3">
            <w:pPr>
              <w:jc w:val="center"/>
              <w:rPr>
                <w:szCs w:val="22"/>
                <w:lang w:eastAsia="zh-CN"/>
              </w:rPr>
            </w:pPr>
            <w:r>
              <w:rPr>
                <w:szCs w:val="22"/>
              </w:rPr>
              <w:t>0,246</w:t>
            </w:r>
          </w:p>
        </w:tc>
        <w:tc>
          <w:tcPr>
            <w:tcW w:w="1720" w:type="dxa"/>
            <w:tcBorders>
              <w:top w:val="nil"/>
              <w:left w:val="nil"/>
              <w:bottom w:val="single" w:sz="4" w:space="0" w:color="auto"/>
              <w:right w:val="single" w:sz="4" w:space="0" w:color="auto"/>
            </w:tcBorders>
            <w:shd w:val="clear" w:color="auto" w:fill="auto"/>
            <w:noWrap/>
            <w:vAlign w:val="center"/>
            <w:hideMark/>
          </w:tcPr>
          <w:p w14:paraId="66EA9462" w14:textId="77777777" w:rsidR="00CD28E3" w:rsidRPr="00541ABB" w:rsidRDefault="00CD28E3" w:rsidP="00CD28E3">
            <w:pPr>
              <w:jc w:val="right"/>
              <w:rPr>
                <w:szCs w:val="22"/>
                <w:lang w:eastAsia="zh-CN"/>
              </w:rPr>
            </w:pPr>
            <w:r>
              <w:rPr>
                <w:szCs w:val="22"/>
              </w:rPr>
              <w:t>4 249</w:t>
            </w:r>
          </w:p>
        </w:tc>
      </w:tr>
      <w:tr w:rsidR="0033145B" w:rsidRPr="004D5F9F" w14:paraId="309E31D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D34BA9" w14:textId="5CFD7444" w:rsidR="00CD28E3" w:rsidRPr="00541ABB" w:rsidRDefault="00646514" w:rsidP="00CD28E3">
            <w:pPr>
              <w:jc w:val="center"/>
              <w:rPr>
                <w:szCs w:val="22"/>
                <w:lang w:eastAsia="zh-CN"/>
              </w:rPr>
            </w:pPr>
            <w:r>
              <w:rPr>
                <w:szCs w:val="22"/>
              </w:rPr>
              <w:t>115</w:t>
            </w:r>
          </w:p>
        </w:tc>
        <w:tc>
          <w:tcPr>
            <w:tcW w:w="3380" w:type="dxa"/>
            <w:tcBorders>
              <w:top w:val="nil"/>
              <w:left w:val="nil"/>
              <w:bottom w:val="single" w:sz="4" w:space="0" w:color="auto"/>
              <w:right w:val="single" w:sz="4" w:space="0" w:color="auto"/>
            </w:tcBorders>
            <w:shd w:val="clear" w:color="auto" w:fill="auto"/>
            <w:vAlign w:val="center"/>
            <w:hideMark/>
          </w:tcPr>
          <w:p w14:paraId="750A73CC" w14:textId="77777777" w:rsidR="00CD28E3" w:rsidRPr="00541ABB" w:rsidRDefault="00CD28E3" w:rsidP="00CD28E3">
            <w:pPr>
              <w:jc w:val="left"/>
              <w:rPr>
                <w:szCs w:val="22"/>
                <w:lang w:eastAsia="zh-CN"/>
              </w:rPr>
            </w:pPr>
            <w:r>
              <w:rPr>
                <w:szCs w:val="22"/>
              </w:rPr>
              <w:t>Soudan</w:t>
            </w:r>
          </w:p>
        </w:tc>
        <w:tc>
          <w:tcPr>
            <w:tcW w:w="1720" w:type="dxa"/>
            <w:tcBorders>
              <w:top w:val="nil"/>
              <w:left w:val="nil"/>
              <w:bottom w:val="single" w:sz="4" w:space="0" w:color="auto"/>
              <w:right w:val="single" w:sz="4" w:space="0" w:color="auto"/>
            </w:tcBorders>
            <w:shd w:val="clear" w:color="auto" w:fill="auto"/>
            <w:vAlign w:val="center"/>
            <w:hideMark/>
          </w:tcPr>
          <w:p w14:paraId="2D095E69"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5B779B04"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1682BD20" w14:textId="77777777" w:rsidR="00CD28E3" w:rsidRPr="00541ABB" w:rsidRDefault="00CD28E3" w:rsidP="00CD28E3">
            <w:pPr>
              <w:jc w:val="right"/>
              <w:rPr>
                <w:szCs w:val="22"/>
                <w:lang w:eastAsia="zh-CN"/>
              </w:rPr>
            </w:pPr>
            <w:r>
              <w:rPr>
                <w:szCs w:val="22"/>
              </w:rPr>
              <w:t>173</w:t>
            </w:r>
          </w:p>
        </w:tc>
      </w:tr>
      <w:tr w:rsidR="0033145B" w:rsidRPr="004D5F9F" w14:paraId="79E5A6D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EAEE4E" w14:textId="697E212E" w:rsidR="00CD28E3" w:rsidRPr="00541ABB" w:rsidRDefault="00646514" w:rsidP="00CD28E3">
            <w:pPr>
              <w:jc w:val="center"/>
              <w:rPr>
                <w:szCs w:val="22"/>
                <w:lang w:eastAsia="zh-CN"/>
              </w:rPr>
            </w:pPr>
            <w:r>
              <w:rPr>
                <w:szCs w:val="22"/>
              </w:rPr>
              <w:t>116</w:t>
            </w:r>
          </w:p>
        </w:tc>
        <w:tc>
          <w:tcPr>
            <w:tcW w:w="3380" w:type="dxa"/>
            <w:tcBorders>
              <w:top w:val="nil"/>
              <w:left w:val="nil"/>
              <w:bottom w:val="single" w:sz="4" w:space="0" w:color="auto"/>
              <w:right w:val="single" w:sz="4" w:space="0" w:color="auto"/>
            </w:tcBorders>
            <w:shd w:val="clear" w:color="auto" w:fill="auto"/>
            <w:vAlign w:val="center"/>
            <w:hideMark/>
          </w:tcPr>
          <w:p w14:paraId="32C50113" w14:textId="77777777" w:rsidR="00CD28E3" w:rsidRPr="00541ABB" w:rsidRDefault="00CD28E3" w:rsidP="00CD28E3">
            <w:pPr>
              <w:jc w:val="left"/>
              <w:rPr>
                <w:szCs w:val="22"/>
                <w:lang w:eastAsia="zh-CN"/>
              </w:rPr>
            </w:pPr>
            <w:r>
              <w:rPr>
                <w:szCs w:val="22"/>
              </w:rPr>
              <w:t>Suède</w:t>
            </w:r>
          </w:p>
        </w:tc>
        <w:tc>
          <w:tcPr>
            <w:tcW w:w="1720" w:type="dxa"/>
            <w:tcBorders>
              <w:top w:val="nil"/>
              <w:left w:val="nil"/>
              <w:bottom w:val="single" w:sz="4" w:space="0" w:color="auto"/>
              <w:right w:val="single" w:sz="4" w:space="0" w:color="auto"/>
            </w:tcBorders>
            <w:shd w:val="clear" w:color="auto" w:fill="auto"/>
            <w:vAlign w:val="center"/>
            <w:hideMark/>
          </w:tcPr>
          <w:p w14:paraId="4AC70E78" w14:textId="77777777" w:rsidR="00CD28E3" w:rsidRPr="00541ABB" w:rsidRDefault="00CD28E3" w:rsidP="00CD28E3">
            <w:pPr>
              <w:jc w:val="center"/>
              <w:rPr>
                <w:szCs w:val="22"/>
                <w:lang w:eastAsia="zh-CN"/>
              </w:rPr>
            </w:pPr>
            <w:r>
              <w:rPr>
                <w:szCs w:val="22"/>
              </w:rPr>
              <w:t>0,906</w:t>
            </w:r>
          </w:p>
        </w:tc>
        <w:tc>
          <w:tcPr>
            <w:tcW w:w="1720" w:type="dxa"/>
            <w:tcBorders>
              <w:top w:val="nil"/>
              <w:left w:val="nil"/>
              <w:bottom w:val="single" w:sz="4" w:space="0" w:color="auto"/>
              <w:right w:val="single" w:sz="4" w:space="0" w:color="auto"/>
            </w:tcBorders>
            <w:shd w:val="clear" w:color="auto" w:fill="auto"/>
            <w:noWrap/>
            <w:vAlign w:val="center"/>
            <w:hideMark/>
          </w:tcPr>
          <w:p w14:paraId="5182DFE5" w14:textId="77777777" w:rsidR="00CD28E3" w:rsidRPr="00541ABB" w:rsidRDefault="00CD28E3" w:rsidP="00CD28E3">
            <w:pPr>
              <w:jc w:val="center"/>
              <w:rPr>
                <w:szCs w:val="22"/>
                <w:lang w:eastAsia="zh-CN"/>
              </w:rPr>
            </w:pPr>
            <w:r>
              <w:rPr>
                <w:szCs w:val="22"/>
              </w:rPr>
              <w:t>1,455</w:t>
            </w:r>
          </w:p>
        </w:tc>
        <w:tc>
          <w:tcPr>
            <w:tcW w:w="1720" w:type="dxa"/>
            <w:tcBorders>
              <w:top w:val="nil"/>
              <w:left w:val="nil"/>
              <w:bottom w:val="single" w:sz="4" w:space="0" w:color="auto"/>
              <w:right w:val="single" w:sz="4" w:space="0" w:color="auto"/>
            </w:tcBorders>
            <w:shd w:val="clear" w:color="auto" w:fill="auto"/>
            <w:noWrap/>
            <w:vAlign w:val="center"/>
            <w:hideMark/>
          </w:tcPr>
          <w:p w14:paraId="24D426EA" w14:textId="77777777" w:rsidR="00CD28E3" w:rsidRPr="00541ABB" w:rsidRDefault="00CD28E3" w:rsidP="00CD28E3">
            <w:pPr>
              <w:jc w:val="right"/>
              <w:rPr>
                <w:szCs w:val="22"/>
                <w:lang w:eastAsia="zh-CN"/>
              </w:rPr>
            </w:pPr>
            <w:r>
              <w:rPr>
                <w:szCs w:val="22"/>
              </w:rPr>
              <w:t>25 159</w:t>
            </w:r>
          </w:p>
        </w:tc>
      </w:tr>
      <w:tr w:rsidR="0033145B" w:rsidRPr="004D5F9F" w14:paraId="5B493F4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3F4D8A" w14:textId="6B408C8F" w:rsidR="00CD28E3" w:rsidRPr="00541ABB" w:rsidRDefault="00646514" w:rsidP="00CD28E3">
            <w:pPr>
              <w:jc w:val="center"/>
              <w:rPr>
                <w:szCs w:val="22"/>
                <w:lang w:eastAsia="zh-CN"/>
              </w:rPr>
            </w:pPr>
            <w:r>
              <w:rPr>
                <w:szCs w:val="22"/>
              </w:rPr>
              <w:t>117</w:t>
            </w:r>
          </w:p>
        </w:tc>
        <w:tc>
          <w:tcPr>
            <w:tcW w:w="3380" w:type="dxa"/>
            <w:tcBorders>
              <w:top w:val="nil"/>
              <w:left w:val="nil"/>
              <w:bottom w:val="single" w:sz="4" w:space="0" w:color="auto"/>
              <w:right w:val="single" w:sz="4" w:space="0" w:color="auto"/>
            </w:tcBorders>
            <w:shd w:val="clear" w:color="auto" w:fill="auto"/>
            <w:vAlign w:val="center"/>
            <w:hideMark/>
          </w:tcPr>
          <w:p w14:paraId="698E9EA4" w14:textId="77777777" w:rsidR="00CD28E3" w:rsidRPr="00541ABB" w:rsidRDefault="00CD28E3" w:rsidP="00CD28E3">
            <w:pPr>
              <w:jc w:val="left"/>
              <w:rPr>
                <w:szCs w:val="22"/>
                <w:lang w:eastAsia="zh-CN"/>
              </w:rPr>
            </w:pPr>
            <w:r>
              <w:rPr>
                <w:szCs w:val="22"/>
              </w:rPr>
              <w:t xml:space="preserve">Suisse </w:t>
            </w:r>
          </w:p>
        </w:tc>
        <w:tc>
          <w:tcPr>
            <w:tcW w:w="1720" w:type="dxa"/>
            <w:tcBorders>
              <w:top w:val="nil"/>
              <w:left w:val="nil"/>
              <w:bottom w:val="single" w:sz="4" w:space="0" w:color="auto"/>
              <w:right w:val="single" w:sz="4" w:space="0" w:color="auto"/>
            </w:tcBorders>
            <w:shd w:val="clear" w:color="auto" w:fill="auto"/>
            <w:vAlign w:val="center"/>
            <w:hideMark/>
          </w:tcPr>
          <w:p w14:paraId="1F68EEFE" w14:textId="77777777" w:rsidR="00CD28E3" w:rsidRPr="00541ABB" w:rsidRDefault="00CD28E3" w:rsidP="00CD28E3">
            <w:pPr>
              <w:jc w:val="center"/>
              <w:rPr>
                <w:szCs w:val="22"/>
                <w:lang w:eastAsia="zh-CN"/>
              </w:rPr>
            </w:pPr>
            <w:r>
              <w:rPr>
                <w:szCs w:val="22"/>
              </w:rPr>
              <w:t>1,151</w:t>
            </w:r>
          </w:p>
        </w:tc>
        <w:tc>
          <w:tcPr>
            <w:tcW w:w="1720" w:type="dxa"/>
            <w:tcBorders>
              <w:top w:val="nil"/>
              <w:left w:val="nil"/>
              <w:bottom w:val="single" w:sz="4" w:space="0" w:color="auto"/>
              <w:right w:val="single" w:sz="4" w:space="0" w:color="auto"/>
            </w:tcBorders>
            <w:shd w:val="clear" w:color="auto" w:fill="auto"/>
            <w:noWrap/>
            <w:vAlign w:val="center"/>
            <w:hideMark/>
          </w:tcPr>
          <w:p w14:paraId="17A551F4" w14:textId="77777777" w:rsidR="00CD28E3" w:rsidRPr="00541ABB" w:rsidRDefault="00CD28E3" w:rsidP="00CD28E3">
            <w:pPr>
              <w:jc w:val="center"/>
              <w:rPr>
                <w:szCs w:val="22"/>
                <w:lang w:eastAsia="zh-CN"/>
              </w:rPr>
            </w:pPr>
            <w:r>
              <w:rPr>
                <w:szCs w:val="22"/>
              </w:rPr>
              <w:t>1,849</w:t>
            </w:r>
          </w:p>
        </w:tc>
        <w:tc>
          <w:tcPr>
            <w:tcW w:w="1720" w:type="dxa"/>
            <w:tcBorders>
              <w:top w:val="nil"/>
              <w:left w:val="nil"/>
              <w:bottom w:val="single" w:sz="4" w:space="0" w:color="auto"/>
              <w:right w:val="single" w:sz="4" w:space="0" w:color="auto"/>
            </w:tcBorders>
            <w:shd w:val="clear" w:color="auto" w:fill="auto"/>
            <w:noWrap/>
            <w:vAlign w:val="center"/>
            <w:hideMark/>
          </w:tcPr>
          <w:p w14:paraId="3C45C2A6" w14:textId="77777777" w:rsidR="00CD28E3" w:rsidRPr="00541ABB" w:rsidRDefault="00CD28E3" w:rsidP="00CD28E3">
            <w:pPr>
              <w:jc w:val="right"/>
              <w:rPr>
                <w:szCs w:val="22"/>
                <w:lang w:eastAsia="zh-CN"/>
              </w:rPr>
            </w:pPr>
            <w:r>
              <w:rPr>
                <w:szCs w:val="22"/>
              </w:rPr>
              <w:t>31 963</w:t>
            </w:r>
          </w:p>
        </w:tc>
      </w:tr>
      <w:tr w:rsidR="002A0209" w:rsidRPr="004D5F9F" w14:paraId="3192CE45" w14:textId="77777777" w:rsidTr="002A0209">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DE3B78" w14:textId="1D2B8FFD" w:rsidR="002A0209" w:rsidRPr="00541ABB" w:rsidRDefault="00646514" w:rsidP="007A2D76">
            <w:pPr>
              <w:jc w:val="center"/>
              <w:rPr>
                <w:szCs w:val="22"/>
              </w:rPr>
            </w:pPr>
            <w:r>
              <w:rPr>
                <w:szCs w:val="22"/>
              </w:rPr>
              <w:t>118</w:t>
            </w:r>
          </w:p>
        </w:tc>
        <w:tc>
          <w:tcPr>
            <w:tcW w:w="3380" w:type="dxa"/>
            <w:tcBorders>
              <w:top w:val="nil"/>
              <w:left w:val="nil"/>
              <w:bottom w:val="single" w:sz="4" w:space="0" w:color="auto"/>
              <w:right w:val="single" w:sz="4" w:space="0" w:color="auto"/>
            </w:tcBorders>
            <w:shd w:val="clear" w:color="auto" w:fill="auto"/>
            <w:vAlign w:val="center"/>
            <w:hideMark/>
          </w:tcPr>
          <w:p w14:paraId="529C5A50" w14:textId="77777777" w:rsidR="002A0209" w:rsidRPr="00541ABB" w:rsidRDefault="002A0209" w:rsidP="007A2D76">
            <w:pPr>
              <w:jc w:val="left"/>
              <w:rPr>
                <w:szCs w:val="22"/>
              </w:rPr>
            </w:pPr>
            <w:r>
              <w:rPr>
                <w:szCs w:val="22"/>
              </w:rPr>
              <w:t>Swaziland</w:t>
            </w:r>
          </w:p>
        </w:tc>
        <w:tc>
          <w:tcPr>
            <w:tcW w:w="1720" w:type="dxa"/>
            <w:tcBorders>
              <w:top w:val="nil"/>
              <w:left w:val="nil"/>
              <w:bottom w:val="single" w:sz="4" w:space="0" w:color="auto"/>
              <w:right w:val="single" w:sz="4" w:space="0" w:color="auto"/>
            </w:tcBorders>
            <w:shd w:val="clear" w:color="auto" w:fill="auto"/>
            <w:vAlign w:val="center"/>
            <w:hideMark/>
          </w:tcPr>
          <w:p w14:paraId="5341824F" w14:textId="77777777" w:rsidR="002A0209" w:rsidRPr="00541ABB" w:rsidRDefault="002A0209" w:rsidP="007A2D76">
            <w:pPr>
              <w:jc w:val="center"/>
              <w:rPr>
                <w:szCs w:val="22"/>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330E2F9" w14:textId="77777777" w:rsidR="002A0209" w:rsidRPr="00541ABB" w:rsidRDefault="002A0209" w:rsidP="007A2D76">
            <w:pPr>
              <w:jc w:val="center"/>
              <w:rPr>
                <w:szCs w:val="22"/>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55802EDE" w14:textId="77777777" w:rsidR="002A0209" w:rsidRPr="00541ABB" w:rsidRDefault="002A0209" w:rsidP="007A2D76">
            <w:pPr>
              <w:jc w:val="right"/>
              <w:rPr>
                <w:szCs w:val="22"/>
              </w:rPr>
            </w:pPr>
            <w:r>
              <w:rPr>
                <w:szCs w:val="22"/>
              </w:rPr>
              <w:t>56</w:t>
            </w:r>
          </w:p>
        </w:tc>
      </w:tr>
      <w:tr w:rsidR="00646514" w:rsidRPr="004D5F9F" w14:paraId="512CC7E7" w14:textId="77777777" w:rsidTr="00646514">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4A72FF" w14:textId="276DE4C4" w:rsidR="00646514" w:rsidRPr="00541ABB" w:rsidRDefault="00646514" w:rsidP="007A2D76">
            <w:pPr>
              <w:jc w:val="center"/>
              <w:rPr>
                <w:szCs w:val="22"/>
              </w:rPr>
            </w:pPr>
            <w:r>
              <w:rPr>
                <w:szCs w:val="22"/>
              </w:rPr>
              <w:t>119</w:t>
            </w:r>
          </w:p>
        </w:tc>
        <w:tc>
          <w:tcPr>
            <w:tcW w:w="3380" w:type="dxa"/>
            <w:tcBorders>
              <w:top w:val="nil"/>
              <w:left w:val="nil"/>
              <w:bottom w:val="single" w:sz="4" w:space="0" w:color="auto"/>
              <w:right w:val="single" w:sz="4" w:space="0" w:color="auto"/>
            </w:tcBorders>
            <w:shd w:val="clear" w:color="auto" w:fill="auto"/>
            <w:vAlign w:val="center"/>
            <w:hideMark/>
          </w:tcPr>
          <w:p w14:paraId="1C2A77EE" w14:textId="77777777" w:rsidR="00646514" w:rsidRPr="00541ABB" w:rsidRDefault="00646514" w:rsidP="007A2D76">
            <w:pPr>
              <w:jc w:val="left"/>
              <w:rPr>
                <w:szCs w:val="22"/>
              </w:rPr>
            </w:pPr>
            <w:r>
              <w:rPr>
                <w:szCs w:val="22"/>
              </w:rPr>
              <w:t>Tadjikistan</w:t>
            </w:r>
          </w:p>
        </w:tc>
        <w:tc>
          <w:tcPr>
            <w:tcW w:w="1720" w:type="dxa"/>
            <w:tcBorders>
              <w:top w:val="nil"/>
              <w:left w:val="nil"/>
              <w:bottom w:val="single" w:sz="4" w:space="0" w:color="auto"/>
              <w:right w:val="single" w:sz="4" w:space="0" w:color="auto"/>
            </w:tcBorders>
            <w:shd w:val="clear" w:color="auto" w:fill="auto"/>
            <w:vAlign w:val="center"/>
            <w:hideMark/>
          </w:tcPr>
          <w:p w14:paraId="2447B064" w14:textId="77777777" w:rsidR="00646514" w:rsidRPr="00541ABB" w:rsidRDefault="00646514" w:rsidP="007A2D76">
            <w:pPr>
              <w:jc w:val="center"/>
              <w:rPr>
                <w:szCs w:val="22"/>
              </w:rPr>
            </w:pPr>
            <w:r>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6D46B861" w14:textId="77777777" w:rsidR="00646514" w:rsidRPr="00541ABB" w:rsidRDefault="00646514" w:rsidP="007A2D76">
            <w:pPr>
              <w:jc w:val="center"/>
              <w:rPr>
                <w:szCs w:val="22"/>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4D1C4917" w14:textId="77777777" w:rsidR="00646514" w:rsidRPr="00541ABB" w:rsidRDefault="00646514" w:rsidP="007A2D76">
            <w:pPr>
              <w:jc w:val="right"/>
              <w:rPr>
                <w:szCs w:val="22"/>
              </w:rPr>
            </w:pPr>
            <w:r>
              <w:rPr>
                <w:szCs w:val="22"/>
              </w:rPr>
              <w:t>111</w:t>
            </w:r>
          </w:p>
        </w:tc>
      </w:tr>
      <w:tr w:rsidR="0013487A" w:rsidRPr="004D5F9F" w14:paraId="32FFD7C0" w14:textId="77777777" w:rsidTr="0013487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AF5851" w14:textId="477F62DC" w:rsidR="0013487A" w:rsidRPr="00E92D9B" w:rsidRDefault="00E92D9B" w:rsidP="007A2D76">
            <w:pPr>
              <w:jc w:val="center"/>
              <w:rPr>
                <w:szCs w:val="22"/>
              </w:rPr>
            </w:pPr>
            <w:r w:rsidRPr="00E92D9B">
              <w:rPr>
                <w:szCs w:val="22"/>
              </w:rPr>
              <w:t>120</w:t>
            </w:r>
          </w:p>
        </w:tc>
        <w:tc>
          <w:tcPr>
            <w:tcW w:w="3380" w:type="dxa"/>
            <w:tcBorders>
              <w:top w:val="nil"/>
              <w:left w:val="nil"/>
              <w:bottom w:val="single" w:sz="4" w:space="0" w:color="auto"/>
              <w:right w:val="single" w:sz="4" w:space="0" w:color="auto"/>
            </w:tcBorders>
            <w:shd w:val="clear" w:color="auto" w:fill="auto"/>
            <w:vAlign w:val="center"/>
            <w:hideMark/>
          </w:tcPr>
          <w:p w14:paraId="5ADC0466" w14:textId="77777777" w:rsidR="0013487A" w:rsidRPr="00E92D9B" w:rsidRDefault="0013487A" w:rsidP="007A2D76">
            <w:pPr>
              <w:jc w:val="left"/>
              <w:rPr>
                <w:szCs w:val="22"/>
              </w:rPr>
            </w:pPr>
            <w:r w:rsidRPr="00E92D9B">
              <w:rPr>
                <w:szCs w:val="22"/>
              </w:rPr>
              <w:t>Tchad</w:t>
            </w:r>
          </w:p>
        </w:tc>
        <w:tc>
          <w:tcPr>
            <w:tcW w:w="1720" w:type="dxa"/>
            <w:tcBorders>
              <w:top w:val="nil"/>
              <w:left w:val="nil"/>
              <w:bottom w:val="single" w:sz="4" w:space="0" w:color="auto"/>
              <w:right w:val="single" w:sz="4" w:space="0" w:color="auto"/>
            </w:tcBorders>
            <w:shd w:val="clear" w:color="auto" w:fill="auto"/>
            <w:vAlign w:val="center"/>
            <w:hideMark/>
          </w:tcPr>
          <w:p w14:paraId="45A1A940" w14:textId="77777777" w:rsidR="0013487A" w:rsidRPr="00E92D9B" w:rsidRDefault="0013487A" w:rsidP="007A2D76">
            <w:pPr>
              <w:jc w:val="center"/>
              <w:rPr>
                <w:szCs w:val="22"/>
              </w:rPr>
            </w:pPr>
            <w:r w:rsidRPr="00E92D9B">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65E6E12D" w14:textId="77777777" w:rsidR="0013487A" w:rsidRPr="00E92D9B" w:rsidRDefault="0013487A" w:rsidP="007A2D76">
            <w:pPr>
              <w:jc w:val="center"/>
              <w:rPr>
                <w:szCs w:val="22"/>
              </w:rPr>
            </w:pPr>
            <w:r w:rsidRPr="00E92D9B">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65596EE3" w14:textId="77777777" w:rsidR="0013487A" w:rsidRPr="00541ABB" w:rsidRDefault="0013487A" w:rsidP="007A2D76">
            <w:pPr>
              <w:jc w:val="right"/>
              <w:rPr>
                <w:szCs w:val="22"/>
              </w:rPr>
            </w:pPr>
            <w:r w:rsidRPr="00E92D9B">
              <w:rPr>
                <w:szCs w:val="22"/>
              </w:rPr>
              <w:t>111</w:t>
            </w:r>
          </w:p>
        </w:tc>
      </w:tr>
      <w:tr w:rsidR="0033145B" w:rsidRPr="004D5F9F" w14:paraId="46538D7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02A31A" w14:textId="735865D4" w:rsidR="00CD28E3" w:rsidRPr="00541ABB" w:rsidRDefault="00E92D9B" w:rsidP="00CD28E3">
            <w:pPr>
              <w:jc w:val="center"/>
              <w:rPr>
                <w:szCs w:val="22"/>
                <w:lang w:eastAsia="zh-CN"/>
              </w:rPr>
            </w:pPr>
            <w:r>
              <w:rPr>
                <w:szCs w:val="22"/>
              </w:rPr>
              <w:t>121</w:t>
            </w:r>
          </w:p>
        </w:tc>
        <w:tc>
          <w:tcPr>
            <w:tcW w:w="3380" w:type="dxa"/>
            <w:tcBorders>
              <w:top w:val="nil"/>
              <w:left w:val="nil"/>
              <w:bottom w:val="single" w:sz="4" w:space="0" w:color="auto"/>
              <w:right w:val="single" w:sz="4" w:space="0" w:color="auto"/>
            </w:tcBorders>
            <w:shd w:val="clear" w:color="auto" w:fill="auto"/>
            <w:vAlign w:val="center"/>
            <w:hideMark/>
          </w:tcPr>
          <w:p w14:paraId="1437E19B" w14:textId="77777777" w:rsidR="00CD28E3" w:rsidRPr="00541ABB" w:rsidRDefault="00CD28E3" w:rsidP="00CD28E3">
            <w:pPr>
              <w:jc w:val="left"/>
              <w:rPr>
                <w:szCs w:val="22"/>
                <w:lang w:eastAsia="zh-CN"/>
              </w:rPr>
            </w:pPr>
            <w:r>
              <w:rPr>
                <w:szCs w:val="22"/>
              </w:rPr>
              <w:t>Togo</w:t>
            </w:r>
          </w:p>
        </w:tc>
        <w:tc>
          <w:tcPr>
            <w:tcW w:w="1720" w:type="dxa"/>
            <w:tcBorders>
              <w:top w:val="nil"/>
              <w:left w:val="nil"/>
              <w:bottom w:val="single" w:sz="4" w:space="0" w:color="auto"/>
              <w:right w:val="single" w:sz="4" w:space="0" w:color="auto"/>
            </w:tcBorders>
            <w:shd w:val="clear" w:color="auto" w:fill="auto"/>
            <w:vAlign w:val="center"/>
            <w:hideMark/>
          </w:tcPr>
          <w:p w14:paraId="3ED6C3E3"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5025A75E"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F929B10" w14:textId="77777777" w:rsidR="00CD28E3" w:rsidRPr="00541ABB" w:rsidRDefault="00CD28E3" w:rsidP="00CD28E3">
            <w:pPr>
              <w:jc w:val="right"/>
              <w:rPr>
                <w:szCs w:val="22"/>
                <w:lang w:eastAsia="zh-CN"/>
              </w:rPr>
            </w:pPr>
            <w:r>
              <w:rPr>
                <w:szCs w:val="22"/>
              </w:rPr>
              <w:t>56</w:t>
            </w:r>
          </w:p>
        </w:tc>
      </w:tr>
      <w:tr w:rsidR="0033145B" w:rsidRPr="004D5F9F" w14:paraId="6D5AA415"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66706A" w14:textId="0BFAC80E" w:rsidR="00CD28E3" w:rsidRPr="00541ABB" w:rsidRDefault="00E92D9B" w:rsidP="00CD28E3">
            <w:pPr>
              <w:jc w:val="center"/>
              <w:rPr>
                <w:szCs w:val="22"/>
                <w:lang w:eastAsia="zh-CN"/>
              </w:rPr>
            </w:pPr>
            <w:r>
              <w:rPr>
                <w:szCs w:val="22"/>
              </w:rPr>
              <w:t>122</w:t>
            </w:r>
          </w:p>
        </w:tc>
        <w:tc>
          <w:tcPr>
            <w:tcW w:w="3380" w:type="dxa"/>
            <w:tcBorders>
              <w:top w:val="nil"/>
              <w:left w:val="nil"/>
              <w:bottom w:val="single" w:sz="4" w:space="0" w:color="auto"/>
              <w:right w:val="single" w:sz="4" w:space="0" w:color="auto"/>
            </w:tcBorders>
            <w:shd w:val="clear" w:color="auto" w:fill="auto"/>
            <w:vAlign w:val="center"/>
            <w:hideMark/>
          </w:tcPr>
          <w:p w14:paraId="0AF33ABF" w14:textId="77777777" w:rsidR="00CD28E3" w:rsidRPr="00541ABB" w:rsidRDefault="00CD28E3" w:rsidP="00CD28E3">
            <w:pPr>
              <w:jc w:val="left"/>
              <w:rPr>
                <w:szCs w:val="22"/>
                <w:lang w:eastAsia="zh-CN"/>
              </w:rPr>
            </w:pPr>
            <w:r>
              <w:rPr>
                <w:szCs w:val="22"/>
              </w:rPr>
              <w:t>Tonga</w:t>
            </w:r>
          </w:p>
        </w:tc>
        <w:tc>
          <w:tcPr>
            <w:tcW w:w="1720" w:type="dxa"/>
            <w:tcBorders>
              <w:top w:val="nil"/>
              <w:left w:val="nil"/>
              <w:bottom w:val="single" w:sz="4" w:space="0" w:color="auto"/>
              <w:right w:val="single" w:sz="4" w:space="0" w:color="auto"/>
            </w:tcBorders>
            <w:shd w:val="clear" w:color="auto" w:fill="auto"/>
            <w:vAlign w:val="center"/>
            <w:hideMark/>
          </w:tcPr>
          <w:p w14:paraId="3021799E"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0F438023"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B977B1C" w14:textId="77777777" w:rsidR="00CD28E3" w:rsidRPr="00541ABB" w:rsidRDefault="00CD28E3" w:rsidP="00CD28E3">
            <w:pPr>
              <w:jc w:val="right"/>
              <w:rPr>
                <w:szCs w:val="22"/>
                <w:lang w:eastAsia="zh-CN"/>
              </w:rPr>
            </w:pPr>
            <w:r>
              <w:rPr>
                <w:szCs w:val="22"/>
              </w:rPr>
              <w:t>28</w:t>
            </w:r>
          </w:p>
        </w:tc>
      </w:tr>
      <w:tr w:rsidR="00E92D9B" w:rsidRPr="004D5F9F" w14:paraId="568D7E40" w14:textId="77777777" w:rsidTr="00E92D9B">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540A4B" w14:textId="573DC0C5" w:rsidR="00E92D9B" w:rsidRPr="00541ABB" w:rsidRDefault="00E92D9B" w:rsidP="007A2D76">
            <w:pPr>
              <w:jc w:val="center"/>
              <w:rPr>
                <w:szCs w:val="22"/>
              </w:rPr>
            </w:pPr>
            <w:r>
              <w:rPr>
                <w:szCs w:val="22"/>
              </w:rPr>
              <w:t>123</w:t>
            </w:r>
          </w:p>
        </w:tc>
        <w:tc>
          <w:tcPr>
            <w:tcW w:w="3380" w:type="dxa"/>
            <w:tcBorders>
              <w:top w:val="nil"/>
              <w:left w:val="nil"/>
              <w:bottom w:val="single" w:sz="4" w:space="0" w:color="auto"/>
              <w:right w:val="single" w:sz="4" w:space="0" w:color="auto"/>
            </w:tcBorders>
            <w:shd w:val="clear" w:color="auto" w:fill="auto"/>
            <w:vAlign w:val="center"/>
            <w:hideMark/>
          </w:tcPr>
          <w:p w14:paraId="5A1BD269" w14:textId="77777777" w:rsidR="00E92D9B" w:rsidRPr="00541ABB" w:rsidRDefault="00E92D9B" w:rsidP="007A2D76">
            <w:pPr>
              <w:jc w:val="left"/>
              <w:rPr>
                <w:szCs w:val="22"/>
              </w:rPr>
            </w:pPr>
            <w:r>
              <w:rPr>
                <w:szCs w:val="22"/>
              </w:rPr>
              <w:t>Tunisie</w:t>
            </w:r>
          </w:p>
        </w:tc>
        <w:tc>
          <w:tcPr>
            <w:tcW w:w="1720" w:type="dxa"/>
            <w:tcBorders>
              <w:top w:val="nil"/>
              <w:left w:val="nil"/>
              <w:bottom w:val="single" w:sz="4" w:space="0" w:color="auto"/>
              <w:right w:val="single" w:sz="4" w:space="0" w:color="auto"/>
            </w:tcBorders>
            <w:shd w:val="clear" w:color="auto" w:fill="auto"/>
            <w:vAlign w:val="center"/>
            <w:hideMark/>
          </w:tcPr>
          <w:p w14:paraId="7863E6F3" w14:textId="77777777" w:rsidR="00E92D9B" w:rsidRPr="00541ABB" w:rsidRDefault="00E92D9B" w:rsidP="007A2D76">
            <w:pPr>
              <w:jc w:val="center"/>
              <w:rPr>
                <w:szCs w:val="22"/>
              </w:rPr>
            </w:pPr>
            <w:r>
              <w:rPr>
                <w:szCs w:val="22"/>
              </w:rPr>
              <w:t>0,025</w:t>
            </w:r>
          </w:p>
        </w:tc>
        <w:tc>
          <w:tcPr>
            <w:tcW w:w="1720" w:type="dxa"/>
            <w:tcBorders>
              <w:top w:val="nil"/>
              <w:left w:val="nil"/>
              <w:bottom w:val="single" w:sz="4" w:space="0" w:color="auto"/>
              <w:right w:val="single" w:sz="4" w:space="0" w:color="auto"/>
            </w:tcBorders>
            <w:shd w:val="clear" w:color="auto" w:fill="auto"/>
            <w:noWrap/>
            <w:vAlign w:val="center"/>
            <w:hideMark/>
          </w:tcPr>
          <w:p w14:paraId="2B9FEC31" w14:textId="77777777" w:rsidR="00E92D9B" w:rsidRPr="00541ABB" w:rsidRDefault="00E92D9B" w:rsidP="007A2D76">
            <w:pPr>
              <w:jc w:val="center"/>
              <w:rPr>
                <w:szCs w:val="22"/>
              </w:rPr>
            </w:pPr>
            <w:r>
              <w:rPr>
                <w:szCs w:val="22"/>
              </w:rPr>
              <w:t>0,040</w:t>
            </w:r>
          </w:p>
        </w:tc>
        <w:tc>
          <w:tcPr>
            <w:tcW w:w="1720" w:type="dxa"/>
            <w:tcBorders>
              <w:top w:val="nil"/>
              <w:left w:val="nil"/>
              <w:bottom w:val="single" w:sz="4" w:space="0" w:color="auto"/>
              <w:right w:val="single" w:sz="4" w:space="0" w:color="auto"/>
            </w:tcBorders>
            <w:shd w:val="clear" w:color="auto" w:fill="auto"/>
            <w:noWrap/>
            <w:vAlign w:val="center"/>
            <w:hideMark/>
          </w:tcPr>
          <w:p w14:paraId="3134EDA4" w14:textId="77777777" w:rsidR="00E92D9B" w:rsidRPr="00541ABB" w:rsidRDefault="00E92D9B" w:rsidP="007A2D76">
            <w:pPr>
              <w:jc w:val="right"/>
              <w:rPr>
                <w:szCs w:val="22"/>
              </w:rPr>
            </w:pPr>
            <w:r>
              <w:rPr>
                <w:szCs w:val="22"/>
              </w:rPr>
              <w:t>694</w:t>
            </w:r>
          </w:p>
        </w:tc>
      </w:tr>
      <w:tr w:rsidR="0033145B" w:rsidRPr="004D5F9F" w14:paraId="5BEFE00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559B56" w14:textId="25B7B91D" w:rsidR="00CD28E3" w:rsidRPr="00541ABB" w:rsidRDefault="00E92D9B" w:rsidP="00CD28E3">
            <w:pPr>
              <w:jc w:val="center"/>
              <w:rPr>
                <w:szCs w:val="22"/>
                <w:lang w:eastAsia="zh-CN"/>
              </w:rPr>
            </w:pPr>
            <w:r>
              <w:rPr>
                <w:szCs w:val="22"/>
              </w:rPr>
              <w:t>124</w:t>
            </w:r>
          </w:p>
        </w:tc>
        <w:tc>
          <w:tcPr>
            <w:tcW w:w="3380" w:type="dxa"/>
            <w:tcBorders>
              <w:top w:val="nil"/>
              <w:left w:val="nil"/>
              <w:bottom w:val="single" w:sz="4" w:space="0" w:color="auto"/>
              <w:right w:val="single" w:sz="4" w:space="0" w:color="auto"/>
            </w:tcBorders>
            <w:shd w:val="clear" w:color="auto" w:fill="auto"/>
            <w:vAlign w:val="center"/>
            <w:hideMark/>
          </w:tcPr>
          <w:p w14:paraId="743506AF" w14:textId="788EEED0" w:rsidR="00CD28E3" w:rsidRPr="00541ABB" w:rsidRDefault="00CD28E3" w:rsidP="00CD28E3">
            <w:pPr>
              <w:jc w:val="left"/>
              <w:rPr>
                <w:szCs w:val="22"/>
                <w:lang w:eastAsia="zh-CN"/>
              </w:rPr>
            </w:pPr>
            <w:r>
              <w:rPr>
                <w:szCs w:val="22"/>
              </w:rPr>
              <w:t>Turkménistan</w:t>
            </w:r>
          </w:p>
        </w:tc>
        <w:tc>
          <w:tcPr>
            <w:tcW w:w="1720" w:type="dxa"/>
            <w:tcBorders>
              <w:top w:val="nil"/>
              <w:left w:val="nil"/>
              <w:bottom w:val="single" w:sz="4" w:space="0" w:color="auto"/>
              <w:right w:val="single" w:sz="4" w:space="0" w:color="auto"/>
            </w:tcBorders>
            <w:shd w:val="clear" w:color="auto" w:fill="auto"/>
            <w:vAlign w:val="center"/>
            <w:hideMark/>
          </w:tcPr>
          <w:p w14:paraId="314E5C9D" w14:textId="77777777" w:rsidR="00CD28E3" w:rsidRPr="00541ABB" w:rsidRDefault="00CD28E3" w:rsidP="00CD28E3">
            <w:pPr>
              <w:jc w:val="center"/>
              <w:rPr>
                <w:szCs w:val="22"/>
                <w:lang w:eastAsia="zh-CN"/>
              </w:rPr>
            </w:pPr>
            <w:r>
              <w:rPr>
                <w:szCs w:val="22"/>
              </w:rPr>
              <w:t>0,033</w:t>
            </w:r>
          </w:p>
        </w:tc>
        <w:tc>
          <w:tcPr>
            <w:tcW w:w="1720" w:type="dxa"/>
            <w:tcBorders>
              <w:top w:val="nil"/>
              <w:left w:val="nil"/>
              <w:bottom w:val="single" w:sz="4" w:space="0" w:color="auto"/>
              <w:right w:val="single" w:sz="4" w:space="0" w:color="auto"/>
            </w:tcBorders>
            <w:shd w:val="clear" w:color="auto" w:fill="auto"/>
            <w:noWrap/>
            <w:vAlign w:val="center"/>
            <w:hideMark/>
          </w:tcPr>
          <w:p w14:paraId="2643C263" w14:textId="77777777" w:rsidR="00CD28E3" w:rsidRPr="00541ABB" w:rsidRDefault="00CD28E3" w:rsidP="00CD28E3">
            <w:pPr>
              <w:jc w:val="center"/>
              <w:rPr>
                <w:szCs w:val="22"/>
                <w:lang w:eastAsia="zh-CN"/>
              </w:rPr>
            </w:pPr>
            <w:r>
              <w:rPr>
                <w:szCs w:val="22"/>
              </w:rPr>
              <w:t>0,053</w:t>
            </w:r>
          </w:p>
        </w:tc>
        <w:tc>
          <w:tcPr>
            <w:tcW w:w="1720" w:type="dxa"/>
            <w:tcBorders>
              <w:top w:val="nil"/>
              <w:left w:val="nil"/>
              <w:bottom w:val="single" w:sz="4" w:space="0" w:color="auto"/>
              <w:right w:val="single" w:sz="4" w:space="0" w:color="auto"/>
            </w:tcBorders>
            <w:shd w:val="clear" w:color="auto" w:fill="auto"/>
            <w:noWrap/>
            <w:vAlign w:val="center"/>
            <w:hideMark/>
          </w:tcPr>
          <w:p w14:paraId="10851128" w14:textId="77777777" w:rsidR="00CD28E3" w:rsidRPr="00541ABB" w:rsidRDefault="00CD28E3" w:rsidP="00CD28E3">
            <w:pPr>
              <w:jc w:val="right"/>
              <w:rPr>
                <w:szCs w:val="22"/>
                <w:lang w:eastAsia="zh-CN"/>
              </w:rPr>
            </w:pPr>
            <w:r>
              <w:rPr>
                <w:szCs w:val="22"/>
              </w:rPr>
              <w:t>916</w:t>
            </w:r>
          </w:p>
        </w:tc>
      </w:tr>
      <w:tr w:rsidR="0033145B" w:rsidRPr="004D5F9F" w14:paraId="3A9DF19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735F97" w14:textId="7929A67B" w:rsidR="00CD28E3" w:rsidRPr="00541ABB" w:rsidRDefault="00E92D9B" w:rsidP="00CD28E3">
            <w:pPr>
              <w:jc w:val="center"/>
              <w:rPr>
                <w:szCs w:val="22"/>
                <w:lang w:eastAsia="zh-CN"/>
              </w:rPr>
            </w:pPr>
            <w:r>
              <w:rPr>
                <w:szCs w:val="22"/>
              </w:rPr>
              <w:t>125</w:t>
            </w:r>
          </w:p>
        </w:tc>
        <w:tc>
          <w:tcPr>
            <w:tcW w:w="3380" w:type="dxa"/>
            <w:tcBorders>
              <w:top w:val="nil"/>
              <w:left w:val="nil"/>
              <w:bottom w:val="single" w:sz="4" w:space="0" w:color="auto"/>
              <w:right w:val="single" w:sz="4" w:space="0" w:color="auto"/>
            </w:tcBorders>
            <w:shd w:val="clear" w:color="auto" w:fill="auto"/>
            <w:vAlign w:val="center"/>
            <w:hideMark/>
          </w:tcPr>
          <w:p w14:paraId="1126E9EB" w14:textId="77777777" w:rsidR="00CD28E3" w:rsidRPr="00541ABB" w:rsidRDefault="00CD28E3" w:rsidP="00CD28E3">
            <w:pPr>
              <w:jc w:val="left"/>
              <w:rPr>
                <w:szCs w:val="22"/>
                <w:lang w:eastAsia="zh-CN"/>
              </w:rPr>
            </w:pPr>
            <w:r>
              <w:rPr>
                <w:szCs w:val="22"/>
              </w:rPr>
              <w:t>Tuvalu</w:t>
            </w:r>
          </w:p>
        </w:tc>
        <w:tc>
          <w:tcPr>
            <w:tcW w:w="1720" w:type="dxa"/>
            <w:tcBorders>
              <w:top w:val="nil"/>
              <w:left w:val="nil"/>
              <w:bottom w:val="single" w:sz="4" w:space="0" w:color="auto"/>
              <w:right w:val="single" w:sz="4" w:space="0" w:color="auto"/>
            </w:tcBorders>
            <w:shd w:val="clear" w:color="auto" w:fill="auto"/>
            <w:vAlign w:val="center"/>
            <w:hideMark/>
          </w:tcPr>
          <w:p w14:paraId="1CE8897B"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1FEEF480"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D268A8C" w14:textId="77777777" w:rsidR="00CD28E3" w:rsidRPr="00541ABB" w:rsidRDefault="00CD28E3" w:rsidP="00CD28E3">
            <w:pPr>
              <w:jc w:val="right"/>
              <w:rPr>
                <w:szCs w:val="22"/>
                <w:lang w:eastAsia="zh-CN"/>
              </w:rPr>
            </w:pPr>
            <w:r>
              <w:rPr>
                <w:szCs w:val="22"/>
              </w:rPr>
              <w:t>28</w:t>
            </w:r>
          </w:p>
        </w:tc>
      </w:tr>
      <w:tr w:rsidR="00DD0621" w:rsidRPr="004D5F9F" w14:paraId="4119296A" w14:textId="77777777" w:rsidTr="00DD0621">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761161" w14:textId="114B822B" w:rsidR="00DD0621" w:rsidRPr="00541ABB" w:rsidRDefault="00E92D9B" w:rsidP="007A2D76">
            <w:pPr>
              <w:jc w:val="center"/>
              <w:rPr>
                <w:szCs w:val="22"/>
              </w:rPr>
            </w:pPr>
            <w:r>
              <w:rPr>
                <w:szCs w:val="22"/>
              </w:rPr>
              <w:t>126</w:t>
            </w:r>
          </w:p>
        </w:tc>
        <w:tc>
          <w:tcPr>
            <w:tcW w:w="3380" w:type="dxa"/>
            <w:tcBorders>
              <w:top w:val="nil"/>
              <w:left w:val="nil"/>
              <w:bottom w:val="single" w:sz="4" w:space="0" w:color="auto"/>
              <w:right w:val="single" w:sz="4" w:space="0" w:color="auto"/>
            </w:tcBorders>
            <w:shd w:val="clear" w:color="auto" w:fill="auto"/>
            <w:vAlign w:val="center"/>
            <w:hideMark/>
          </w:tcPr>
          <w:p w14:paraId="4B8562AC" w14:textId="77777777" w:rsidR="00DD0621" w:rsidRPr="00541ABB" w:rsidRDefault="00DD0621" w:rsidP="007A2D76">
            <w:pPr>
              <w:jc w:val="left"/>
              <w:rPr>
                <w:szCs w:val="22"/>
              </w:rPr>
            </w:pPr>
            <w:r>
              <w:rPr>
                <w:szCs w:val="22"/>
              </w:rPr>
              <w:t>Union européenne</w:t>
            </w:r>
          </w:p>
        </w:tc>
        <w:tc>
          <w:tcPr>
            <w:tcW w:w="1720" w:type="dxa"/>
            <w:tcBorders>
              <w:top w:val="nil"/>
              <w:left w:val="nil"/>
              <w:bottom w:val="single" w:sz="4" w:space="0" w:color="auto"/>
              <w:right w:val="single" w:sz="4" w:space="0" w:color="auto"/>
            </w:tcBorders>
            <w:shd w:val="clear" w:color="auto" w:fill="auto"/>
            <w:vAlign w:val="center"/>
            <w:hideMark/>
          </w:tcPr>
          <w:p w14:paraId="57272F4F" w14:textId="77777777" w:rsidR="00DD0621" w:rsidRPr="00541ABB" w:rsidRDefault="00DD0621" w:rsidP="007A2D76">
            <w:pPr>
              <w:jc w:val="center"/>
              <w:rPr>
                <w:szCs w:val="22"/>
              </w:rPr>
            </w:pPr>
          </w:p>
        </w:tc>
        <w:tc>
          <w:tcPr>
            <w:tcW w:w="1720" w:type="dxa"/>
            <w:tcBorders>
              <w:top w:val="nil"/>
              <w:left w:val="nil"/>
              <w:bottom w:val="single" w:sz="4" w:space="0" w:color="auto"/>
              <w:right w:val="single" w:sz="4" w:space="0" w:color="auto"/>
            </w:tcBorders>
            <w:shd w:val="clear" w:color="auto" w:fill="auto"/>
            <w:noWrap/>
            <w:vAlign w:val="center"/>
            <w:hideMark/>
          </w:tcPr>
          <w:p w14:paraId="154EC6D7" w14:textId="77777777" w:rsidR="00DD0621" w:rsidRPr="00541ABB" w:rsidRDefault="00DD0621" w:rsidP="007A2D76">
            <w:pPr>
              <w:jc w:val="center"/>
              <w:rPr>
                <w:szCs w:val="22"/>
              </w:rPr>
            </w:pPr>
            <w:r>
              <w:rPr>
                <w:szCs w:val="22"/>
              </w:rPr>
              <w:t>2,500</w:t>
            </w:r>
          </w:p>
        </w:tc>
        <w:tc>
          <w:tcPr>
            <w:tcW w:w="1720" w:type="dxa"/>
            <w:tcBorders>
              <w:top w:val="nil"/>
              <w:left w:val="nil"/>
              <w:bottom w:val="single" w:sz="4" w:space="0" w:color="auto"/>
              <w:right w:val="single" w:sz="4" w:space="0" w:color="auto"/>
            </w:tcBorders>
            <w:shd w:val="clear" w:color="auto" w:fill="auto"/>
            <w:noWrap/>
            <w:vAlign w:val="center"/>
            <w:hideMark/>
          </w:tcPr>
          <w:p w14:paraId="0A2ED11E" w14:textId="77777777" w:rsidR="00DD0621" w:rsidRPr="00541ABB" w:rsidRDefault="00DD0621" w:rsidP="007A2D76">
            <w:pPr>
              <w:jc w:val="right"/>
              <w:rPr>
                <w:szCs w:val="22"/>
              </w:rPr>
            </w:pPr>
            <w:r>
              <w:rPr>
                <w:szCs w:val="22"/>
              </w:rPr>
              <w:t>43 218</w:t>
            </w:r>
          </w:p>
        </w:tc>
      </w:tr>
      <w:tr w:rsidR="0033145B" w:rsidRPr="004D5F9F" w14:paraId="4FCBE72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7707F0" w14:textId="77777777" w:rsidR="00CD28E3" w:rsidRPr="00541ABB" w:rsidRDefault="00CD28E3" w:rsidP="00CD28E3">
            <w:pPr>
              <w:jc w:val="center"/>
              <w:rPr>
                <w:szCs w:val="22"/>
                <w:lang w:eastAsia="zh-CN"/>
              </w:rPr>
            </w:pPr>
            <w:r>
              <w:rPr>
                <w:szCs w:val="22"/>
              </w:rPr>
              <w:t>127</w:t>
            </w:r>
          </w:p>
        </w:tc>
        <w:tc>
          <w:tcPr>
            <w:tcW w:w="3380" w:type="dxa"/>
            <w:tcBorders>
              <w:top w:val="nil"/>
              <w:left w:val="nil"/>
              <w:bottom w:val="single" w:sz="4" w:space="0" w:color="auto"/>
              <w:right w:val="single" w:sz="4" w:space="0" w:color="auto"/>
            </w:tcBorders>
            <w:shd w:val="clear" w:color="auto" w:fill="auto"/>
            <w:vAlign w:val="center"/>
            <w:hideMark/>
          </w:tcPr>
          <w:p w14:paraId="61784C24" w14:textId="77777777" w:rsidR="00CD28E3" w:rsidRPr="00541ABB" w:rsidRDefault="00CD28E3" w:rsidP="00CD28E3">
            <w:pPr>
              <w:jc w:val="left"/>
              <w:rPr>
                <w:szCs w:val="22"/>
                <w:lang w:eastAsia="zh-CN"/>
              </w:rPr>
            </w:pPr>
            <w:r>
              <w:rPr>
                <w:szCs w:val="22"/>
              </w:rPr>
              <w:t>Uruguay</w:t>
            </w:r>
          </w:p>
        </w:tc>
        <w:tc>
          <w:tcPr>
            <w:tcW w:w="1720" w:type="dxa"/>
            <w:tcBorders>
              <w:top w:val="nil"/>
              <w:left w:val="nil"/>
              <w:bottom w:val="single" w:sz="4" w:space="0" w:color="auto"/>
              <w:right w:val="single" w:sz="4" w:space="0" w:color="auto"/>
            </w:tcBorders>
            <w:shd w:val="clear" w:color="auto" w:fill="auto"/>
            <w:vAlign w:val="center"/>
            <w:hideMark/>
          </w:tcPr>
          <w:p w14:paraId="5F0DE5A1" w14:textId="77777777" w:rsidR="00CD28E3" w:rsidRPr="00541ABB" w:rsidRDefault="00CD28E3" w:rsidP="00CD28E3">
            <w:pPr>
              <w:jc w:val="center"/>
              <w:rPr>
                <w:szCs w:val="22"/>
                <w:lang w:eastAsia="zh-CN"/>
              </w:rPr>
            </w:pPr>
            <w:r>
              <w:rPr>
                <w:szCs w:val="22"/>
              </w:rPr>
              <w:t>0,087</w:t>
            </w:r>
          </w:p>
        </w:tc>
        <w:tc>
          <w:tcPr>
            <w:tcW w:w="1720" w:type="dxa"/>
            <w:tcBorders>
              <w:top w:val="nil"/>
              <w:left w:val="nil"/>
              <w:bottom w:val="single" w:sz="4" w:space="0" w:color="auto"/>
              <w:right w:val="single" w:sz="4" w:space="0" w:color="auto"/>
            </w:tcBorders>
            <w:shd w:val="clear" w:color="auto" w:fill="auto"/>
            <w:noWrap/>
            <w:vAlign w:val="center"/>
            <w:hideMark/>
          </w:tcPr>
          <w:p w14:paraId="332F488D" w14:textId="77777777" w:rsidR="00CD28E3" w:rsidRPr="00541ABB" w:rsidRDefault="00CD28E3" w:rsidP="00CD28E3">
            <w:pPr>
              <w:jc w:val="center"/>
              <w:rPr>
                <w:szCs w:val="22"/>
                <w:lang w:eastAsia="zh-CN"/>
              </w:rPr>
            </w:pPr>
            <w:r>
              <w:rPr>
                <w:szCs w:val="22"/>
              </w:rPr>
              <w:t>0,140</w:t>
            </w:r>
          </w:p>
        </w:tc>
        <w:tc>
          <w:tcPr>
            <w:tcW w:w="1720" w:type="dxa"/>
            <w:tcBorders>
              <w:top w:val="nil"/>
              <w:left w:val="nil"/>
              <w:bottom w:val="single" w:sz="4" w:space="0" w:color="auto"/>
              <w:right w:val="single" w:sz="4" w:space="0" w:color="auto"/>
            </w:tcBorders>
            <w:shd w:val="clear" w:color="auto" w:fill="auto"/>
            <w:noWrap/>
            <w:vAlign w:val="center"/>
            <w:hideMark/>
          </w:tcPr>
          <w:p w14:paraId="37FF14C0" w14:textId="77777777" w:rsidR="00CD28E3" w:rsidRPr="00541ABB" w:rsidRDefault="00CD28E3" w:rsidP="00CD28E3">
            <w:pPr>
              <w:jc w:val="right"/>
              <w:rPr>
                <w:szCs w:val="22"/>
                <w:lang w:eastAsia="zh-CN"/>
              </w:rPr>
            </w:pPr>
            <w:r>
              <w:rPr>
                <w:szCs w:val="22"/>
              </w:rPr>
              <w:t>2 416</w:t>
            </w:r>
          </w:p>
        </w:tc>
      </w:tr>
      <w:tr w:rsidR="0033145B" w:rsidRPr="004D5F9F" w14:paraId="4500D95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70E351" w14:textId="77777777" w:rsidR="00CD28E3" w:rsidRPr="00541ABB" w:rsidRDefault="00CD28E3" w:rsidP="00CD28E3">
            <w:pPr>
              <w:jc w:val="center"/>
              <w:rPr>
                <w:szCs w:val="22"/>
                <w:lang w:eastAsia="zh-CN"/>
              </w:rPr>
            </w:pPr>
            <w:r>
              <w:rPr>
                <w:szCs w:val="22"/>
              </w:rPr>
              <w:t>128</w:t>
            </w:r>
          </w:p>
        </w:tc>
        <w:tc>
          <w:tcPr>
            <w:tcW w:w="3380" w:type="dxa"/>
            <w:tcBorders>
              <w:top w:val="nil"/>
              <w:left w:val="nil"/>
              <w:bottom w:val="single" w:sz="4" w:space="0" w:color="auto"/>
              <w:right w:val="single" w:sz="4" w:space="0" w:color="auto"/>
            </w:tcBorders>
            <w:shd w:val="clear" w:color="auto" w:fill="auto"/>
            <w:vAlign w:val="center"/>
            <w:hideMark/>
          </w:tcPr>
          <w:p w14:paraId="71CD942E" w14:textId="77777777" w:rsidR="00CD28E3" w:rsidRPr="00541ABB" w:rsidRDefault="00CD28E3" w:rsidP="00CD28E3">
            <w:pPr>
              <w:jc w:val="left"/>
              <w:rPr>
                <w:szCs w:val="22"/>
                <w:lang w:eastAsia="zh-CN"/>
              </w:rPr>
            </w:pPr>
            <w:r>
              <w:rPr>
                <w:szCs w:val="22"/>
              </w:rPr>
              <w:t>Vanuatu</w:t>
            </w:r>
          </w:p>
        </w:tc>
        <w:tc>
          <w:tcPr>
            <w:tcW w:w="1720" w:type="dxa"/>
            <w:tcBorders>
              <w:top w:val="nil"/>
              <w:left w:val="nil"/>
              <w:bottom w:val="single" w:sz="4" w:space="0" w:color="auto"/>
              <w:right w:val="single" w:sz="4" w:space="0" w:color="auto"/>
            </w:tcBorders>
            <w:shd w:val="clear" w:color="auto" w:fill="auto"/>
            <w:vAlign w:val="center"/>
            <w:hideMark/>
          </w:tcPr>
          <w:p w14:paraId="76BAAF47"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72E33FAF"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30F1762" w14:textId="77777777" w:rsidR="00CD28E3" w:rsidRPr="00541ABB" w:rsidRDefault="00CD28E3" w:rsidP="00CD28E3">
            <w:pPr>
              <w:jc w:val="right"/>
              <w:rPr>
                <w:szCs w:val="22"/>
                <w:lang w:eastAsia="zh-CN"/>
              </w:rPr>
            </w:pPr>
            <w:r>
              <w:rPr>
                <w:szCs w:val="22"/>
              </w:rPr>
              <w:t>28</w:t>
            </w:r>
          </w:p>
        </w:tc>
      </w:tr>
      <w:tr w:rsidR="0033145B" w:rsidRPr="004D5F9F" w14:paraId="353B106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9F27DD" w14:textId="77777777" w:rsidR="00CD28E3" w:rsidRPr="00541ABB" w:rsidRDefault="00CD28E3" w:rsidP="00CD28E3">
            <w:pPr>
              <w:jc w:val="center"/>
              <w:rPr>
                <w:szCs w:val="22"/>
                <w:lang w:eastAsia="zh-CN"/>
              </w:rPr>
            </w:pPr>
            <w:r>
              <w:rPr>
                <w:szCs w:val="22"/>
              </w:rPr>
              <w:t>129</w:t>
            </w:r>
          </w:p>
        </w:tc>
        <w:tc>
          <w:tcPr>
            <w:tcW w:w="3380" w:type="dxa"/>
            <w:tcBorders>
              <w:top w:val="nil"/>
              <w:left w:val="nil"/>
              <w:bottom w:val="single" w:sz="4" w:space="0" w:color="auto"/>
              <w:right w:val="single" w:sz="4" w:space="0" w:color="auto"/>
            </w:tcBorders>
            <w:shd w:val="clear" w:color="auto" w:fill="auto"/>
            <w:vAlign w:val="center"/>
            <w:hideMark/>
          </w:tcPr>
          <w:p w14:paraId="10C91EC8" w14:textId="77777777" w:rsidR="00CD28E3" w:rsidRPr="00541ABB" w:rsidRDefault="00CD28E3" w:rsidP="00CD28E3">
            <w:pPr>
              <w:jc w:val="left"/>
              <w:rPr>
                <w:szCs w:val="22"/>
                <w:lang w:eastAsia="zh-CN"/>
              </w:rPr>
            </w:pPr>
            <w:r>
              <w:rPr>
                <w:szCs w:val="22"/>
              </w:rPr>
              <w:t>Venezuela</w:t>
            </w:r>
          </w:p>
        </w:tc>
        <w:tc>
          <w:tcPr>
            <w:tcW w:w="1720" w:type="dxa"/>
            <w:tcBorders>
              <w:top w:val="nil"/>
              <w:left w:val="nil"/>
              <w:bottom w:val="single" w:sz="4" w:space="0" w:color="auto"/>
              <w:right w:val="single" w:sz="4" w:space="0" w:color="auto"/>
            </w:tcBorders>
            <w:shd w:val="clear" w:color="auto" w:fill="auto"/>
            <w:vAlign w:val="center"/>
            <w:hideMark/>
          </w:tcPr>
          <w:p w14:paraId="0EAE9BCD" w14:textId="77777777" w:rsidR="00CD28E3" w:rsidRPr="00541ABB" w:rsidRDefault="00CD28E3" w:rsidP="00CD28E3">
            <w:pPr>
              <w:jc w:val="center"/>
              <w:rPr>
                <w:szCs w:val="22"/>
                <w:lang w:eastAsia="zh-CN"/>
              </w:rPr>
            </w:pPr>
            <w:r>
              <w:rPr>
                <w:szCs w:val="22"/>
              </w:rPr>
              <w:t>0,728</w:t>
            </w:r>
          </w:p>
        </w:tc>
        <w:tc>
          <w:tcPr>
            <w:tcW w:w="1720" w:type="dxa"/>
            <w:tcBorders>
              <w:top w:val="nil"/>
              <w:left w:val="nil"/>
              <w:bottom w:val="single" w:sz="4" w:space="0" w:color="auto"/>
              <w:right w:val="single" w:sz="4" w:space="0" w:color="auto"/>
            </w:tcBorders>
            <w:shd w:val="clear" w:color="auto" w:fill="auto"/>
            <w:noWrap/>
            <w:vAlign w:val="center"/>
            <w:hideMark/>
          </w:tcPr>
          <w:p w14:paraId="5B9BC357" w14:textId="77777777" w:rsidR="00CD28E3" w:rsidRPr="00541ABB" w:rsidRDefault="00CD28E3" w:rsidP="00CD28E3">
            <w:pPr>
              <w:jc w:val="center"/>
              <w:rPr>
                <w:szCs w:val="22"/>
                <w:lang w:eastAsia="zh-CN"/>
              </w:rPr>
            </w:pPr>
            <w:r>
              <w:rPr>
                <w:szCs w:val="22"/>
              </w:rPr>
              <w:t>1,169</w:t>
            </w:r>
          </w:p>
        </w:tc>
        <w:tc>
          <w:tcPr>
            <w:tcW w:w="1720" w:type="dxa"/>
            <w:tcBorders>
              <w:top w:val="nil"/>
              <w:left w:val="nil"/>
              <w:bottom w:val="single" w:sz="4" w:space="0" w:color="auto"/>
              <w:right w:val="single" w:sz="4" w:space="0" w:color="auto"/>
            </w:tcBorders>
            <w:shd w:val="clear" w:color="auto" w:fill="auto"/>
            <w:noWrap/>
            <w:vAlign w:val="center"/>
            <w:hideMark/>
          </w:tcPr>
          <w:p w14:paraId="01A1BF78" w14:textId="77777777" w:rsidR="00CD28E3" w:rsidRPr="00541ABB" w:rsidRDefault="00CD28E3" w:rsidP="00CD28E3">
            <w:pPr>
              <w:jc w:val="right"/>
              <w:rPr>
                <w:szCs w:val="22"/>
                <w:lang w:eastAsia="zh-CN"/>
              </w:rPr>
            </w:pPr>
            <w:r>
              <w:rPr>
                <w:szCs w:val="22"/>
              </w:rPr>
              <w:t>20 216</w:t>
            </w:r>
          </w:p>
        </w:tc>
      </w:tr>
      <w:tr w:rsidR="0033145B" w:rsidRPr="004D5F9F" w14:paraId="3FF213B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F1D10F" w14:textId="77777777" w:rsidR="00CD28E3" w:rsidRPr="00541ABB" w:rsidRDefault="00CD28E3" w:rsidP="00CD28E3">
            <w:pPr>
              <w:jc w:val="center"/>
              <w:rPr>
                <w:szCs w:val="22"/>
                <w:lang w:eastAsia="zh-CN"/>
              </w:rPr>
            </w:pPr>
            <w:r>
              <w:rPr>
                <w:szCs w:val="22"/>
              </w:rPr>
              <w:t>130</w:t>
            </w:r>
          </w:p>
        </w:tc>
        <w:tc>
          <w:tcPr>
            <w:tcW w:w="3380" w:type="dxa"/>
            <w:tcBorders>
              <w:top w:val="nil"/>
              <w:left w:val="nil"/>
              <w:bottom w:val="single" w:sz="4" w:space="0" w:color="auto"/>
              <w:right w:val="single" w:sz="4" w:space="0" w:color="auto"/>
            </w:tcBorders>
            <w:shd w:val="clear" w:color="auto" w:fill="auto"/>
            <w:vAlign w:val="center"/>
            <w:hideMark/>
          </w:tcPr>
          <w:p w14:paraId="18EDF8EB" w14:textId="77777777" w:rsidR="00CD28E3" w:rsidRPr="00541ABB" w:rsidRDefault="00CD28E3" w:rsidP="00CD28E3">
            <w:pPr>
              <w:jc w:val="left"/>
              <w:rPr>
                <w:szCs w:val="22"/>
                <w:lang w:eastAsia="zh-CN"/>
              </w:rPr>
            </w:pPr>
            <w:r>
              <w:rPr>
                <w:szCs w:val="22"/>
              </w:rPr>
              <w:t>Viet Nam</w:t>
            </w:r>
          </w:p>
        </w:tc>
        <w:tc>
          <w:tcPr>
            <w:tcW w:w="1720" w:type="dxa"/>
            <w:tcBorders>
              <w:top w:val="nil"/>
              <w:left w:val="nil"/>
              <w:bottom w:val="single" w:sz="4" w:space="0" w:color="auto"/>
              <w:right w:val="single" w:sz="4" w:space="0" w:color="auto"/>
            </w:tcBorders>
            <w:shd w:val="clear" w:color="auto" w:fill="auto"/>
            <w:vAlign w:val="center"/>
            <w:hideMark/>
          </w:tcPr>
          <w:p w14:paraId="7C72FDAC" w14:textId="77777777" w:rsidR="00CD28E3" w:rsidRPr="00541ABB" w:rsidRDefault="00CD28E3" w:rsidP="00CD28E3">
            <w:pPr>
              <w:jc w:val="center"/>
              <w:rPr>
                <w:szCs w:val="22"/>
                <w:lang w:eastAsia="zh-CN"/>
              </w:rPr>
            </w:pPr>
            <w:r>
              <w:rPr>
                <w:szCs w:val="22"/>
              </w:rPr>
              <w:t>0,077</w:t>
            </w:r>
          </w:p>
        </w:tc>
        <w:tc>
          <w:tcPr>
            <w:tcW w:w="1720" w:type="dxa"/>
            <w:tcBorders>
              <w:top w:val="nil"/>
              <w:left w:val="nil"/>
              <w:bottom w:val="single" w:sz="4" w:space="0" w:color="auto"/>
              <w:right w:val="single" w:sz="4" w:space="0" w:color="auto"/>
            </w:tcBorders>
            <w:shd w:val="clear" w:color="auto" w:fill="auto"/>
            <w:noWrap/>
            <w:vAlign w:val="center"/>
            <w:hideMark/>
          </w:tcPr>
          <w:p w14:paraId="627AB96D" w14:textId="77777777" w:rsidR="00CD28E3" w:rsidRPr="00541ABB" w:rsidRDefault="00CD28E3" w:rsidP="00CD28E3">
            <w:pPr>
              <w:jc w:val="center"/>
              <w:rPr>
                <w:szCs w:val="22"/>
                <w:lang w:eastAsia="zh-CN"/>
              </w:rPr>
            </w:pPr>
            <w:r>
              <w:rPr>
                <w:szCs w:val="22"/>
              </w:rPr>
              <w:t>0,124</w:t>
            </w:r>
          </w:p>
        </w:tc>
        <w:tc>
          <w:tcPr>
            <w:tcW w:w="1720" w:type="dxa"/>
            <w:tcBorders>
              <w:top w:val="nil"/>
              <w:left w:val="nil"/>
              <w:bottom w:val="single" w:sz="4" w:space="0" w:color="auto"/>
              <w:right w:val="single" w:sz="4" w:space="0" w:color="auto"/>
            </w:tcBorders>
            <w:shd w:val="clear" w:color="auto" w:fill="auto"/>
            <w:noWrap/>
            <w:vAlign w:val="center"/>
            <w:hideMark/>
          </w:tcPr>
          <w:p w14:paraId="192873E0" w14:textId="77777777" w:rsidR="00CD28E3" w:rsidRPr="00541ABB" w:rsidRDefault="00CD28E3" w:rsidP="00CD28E3">
            <w:pPr>
              <w:jc w:val="right"/>
              <w:rPr>
                <w:szCs w:val="22"/>
                <w:lang w:eastAsia="zh-CN"/>
              </w:rPr>
            </w:pPr>
            <w:r>
              <w:rPr>
                <w:szCs w:val="22"/>
              </w:rPr>
              <w:t>2 138</w:t>
            </w:r>
          </w:p>
        </w:tc>
      </w:tr>
      <w:tr w:rsidR="0033145B" w:rsidRPr="004D5F9F" w14:paraId="6FDC20C0"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EB4E4A" w14:textId="77777777" w:rsidR="00CD28E3" w:rsidRPr="00541ABB" w:rsidRDefault="00CD28E3" w:rsidP="00CD28E3">
            <w:pPr>
              <w:jc w:val="center"/>
              <w:rPr>
                <w:szCs w:val="22"/>
                <w:lang w:eastAsia="zh-CN"/>
              </w:rPr>
            </w:pPr>
            <w:r>
              <w:rPr>
                <w:szCs w:val="22"/>
              </w:rPr>
              <w:t>131</w:t>
            </w:r>
          </w:p>
        </w:tc>
        <w:tc>
          <w:tcPr>
            <w:tcW w:w="3380" w:type="dxa"/>
            <w:tcBorders>
              <w:top w:val="nil"/>
              <w:left w:val="nil"/>
              <w:bottom w:val="single" w:sz="4" w:space="0" w:color="auto"/>
              <w:right w:val="single" w:sz="4" w:space="0" w:color="auto"/>
            </w:tcBorders>
            <w:shd w:val="clear" w:color="auto" w:fill="auto"/>
            <w:vAlign w:val="center"/>
            <w:hideMark/>
          </w:tcPr>
          <w:p w14:paraId="12273B90" w14:textId="77777777" w:rsidR="00CD28E3" w:rsidRPr="00541ABB" w:rsidRDefault="00CD28E3" w:rsidP="00CD28E3">
            <w:pPr>
              <w:jc w:val="left"/>
              <w:rPr>
                <w:szCs w:val="22"/>
                <w:lang w:eastAsia="zh-CN"/>
              </w:rPr>
            </w:pPr>
            <w:r>
              <w:rPr>
                <w:szCs w:val="22"/>
              </w:rPr>
              <w:t>Zambie</w:t>
            </w:r>
          </w:p>
        </w:tc>
        <w:tc>
          <w:tcPr>
            <w:tcW w:w="1720" w:type="dxa"/>
            <w:tcBorders>
              <w:top w:val="nil"/>
              <w:left w:val="nil"/>
              <w:bottom w:val="single" w:sz="4" w:space="0" w:color="auto"/>
              <w:right w:val="single" w:sz="4" w:space="0" w:color="auto"/>
            </w:tcBorders>
            <w:shd w:val="clear" w:color="auto" w:fill="auto"/>
            <w:vAlign w:val="center"/>
            <w:hideMark/>
          </w:tcPr>
          <w:p w14:paraId="0624AC27" w14:textId="77777777" w:rsidR="00CD28E3" w:rsidRPr="00541ABB" w:rsidRDefault="00CD28E3" w:rsidP="00CD28E3">
            <w:pPr>
              <w:jc w:val="center"/>
              <w:rPr>
                <w:szCs w:val="22"/>
                <w:lang w:eastAsia="zh-CN"/>
              </w:rPr>
            </w:pPr>
            <w:r>
              <w:rPr>
                <w:szCs w:val="22"/>
              </w:rPr>
              <w:t>0,009</w:t>
            </w:r>
          </w:p>
        </w:tc>
        <w:tc>
          <w:tcPr>
            <w:tcW w:w="1720" w:type="dxa"/>
            <w:tcBorders>
              <w:top w:val="nil"/>
              <w:left w:val="nil"/>
              <w:bottom w:val="single" w:sz="2" w:space="0" w:color="auto"/>
              <w:right w:val="single" w:sz="4" w:space="0" w:color="auto"/>
            </w:tcBorders>
            <w:shd w:val="clear" w:color="auto" w:fill="auto"/>
            <w:noWrap/>
            <w:vAlign w:val="center"/>
            <w:hideMark/>
          </w:tcPr>
          <w:p w14:paraId="47ED076B" w14:textId="77777777" w:rsidR="00CD28E3" w:rsidRPr="00541ABB" w:rsidRDefault="00CD28E3" w:rsidP="00CD28E3">
            <w:pPr>
              <w:jc w:val="center"/>
              <w:rPr>
                <w:szCs w:val="22"/>
                <w:lang w:eastAsia="zh-CN"/>
              </w:rPr>
            </w:pPr>
            <w:r>
              <w:rPr>
                <w:szCs w:val="22"/>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6B427700" w14:textId="77777777" w:rsidR="00CD28E3" w:rsidRPr="00541ABB" w:rsidRDefault="00CD28E3" w:rsidP="00CD28E3">
            <w:pPr>
              <w:jc w:val="right"/>
              <w:rPr>
                <w:szCs w:val="22"/>
                <w:lang w:eastAsia="zh-CN"/>
              </w:rPr>
            </w:pPr>
            <w:r>
              <w:rPr>
                <w:szCs w:val="22"/>
              </w:rPr>
              <w:t>250</w:t>
            </w:r>
          </w:p>
        </w:tc>
      </w:tr>
      <w:tr w:rsidR="0033145B" w:rsidRPr="004D5F9F" w14:paraId="1D8FC730"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E1595D" w14:textId="77777777" w:rsidR="00CD28E3" w:rsidRPr="00541ABB" w:rsidRDefault="00CD28E3" w:rsidP="00CD28E3">
            <w:pPr>
              <w:jc w:val="center"/>
              <w:rPr>
                <w:szCs w:val="22"/>
                <w:lang w:eastAsia="zh-CN"/>
              </w:rPr>
            </w:pPr>
            <w:r>
              <w:rPr>
                <w:szCs w:val="22"/>
              </w:rPr>
              <w:t>132</w:t>
            </w:r>
          </w:p>
        </w:tc>
        <w:tc>
          <w:tcPr>
            <w:tcW w:w="3380" w:type="dxa"/>
            <w:tcBorders>
              <w:top w:val="nil"/>
              <w:left w:val="nil"/>
              <w:bottom w:val="single" w:sz="4" w:space="0" w:color="auto"/>
              <w:right w:val="single" w:sz="4" w:space="0" w:color="auto"/>
            </w:tcBorders>
            <w:shd w:val="clear" w:color="auto" w:fill="auto"/>
            <w:vAlign w:val="center"/>
            <w:hideMark/>
          </w:tcPr>
          <w:p w14:paraId="622E291D" w14:textId="77777777" w:rsidR="00CD28E3" w:rsidRPr="00541ABB" w:rsidRDefault="00CD28E3" w:rsidP="00CD28E3">
            <w:pPr>
              <w:jc w:val="left"/>
              <w:rPr>
                <w:szCs w:val="22"/>
                <w:lang w:eastAsia="zh-CN"/>
              </w:rPr>
            </w:pPr>
            <w:r>
              <w:rPr>
                <w:szCs w:val="22"/>
              </w:rPr>
              <w:t>Zimbabwe</w:t>
            </w:r>
          </w:p>
        </w:tc>
        <w:tc>
          <w:tcPr>
            <w:tcW w:w="1720" w:type="dxa"/>
            <w:tcBorders>
              <w:top w:val="nil"/>
              <w:left w:val="nil"/>
              <w:bottom w:val="single" w:sz="4" w:space="0" w:color="auto"/>
              <w:right w:val="single" w:sz="2" w:space="0" w:color="auto"/>
            </w:tcBorders>
            <w:shd w:val="clear" w:color="auto" w:fill="auto"/>
            <w:vAlign w:val="center"/>
            <w:hideMark/>
          </w:tcPr>
          <w:p w14:paraId="1FEC1FC5" w14:textId="77777777" w:rsidR="00CD28E3" w:rsidRPr="00541ABB" w:rsidRDefault="00CD28E3" w:rsidP="00CD28E3">
            <w:pPr>
              <w:jc w:val="center"/>
              <w:rPr>
                <w:szCs w:val="22"/>
                <w:lang w:eastAsia="zh-CN"/>
              </w:rPr>
            </w:pPr>
            <w:r>
              <w:rPr>
                <w:szCs w:val="22"/>
              </w:rPr>
              <w:t>0,005</w:t>
            </w:r>
          </w:p>
        </w:tc>
        <w:tc>
          <w:tcPr>
            <w:tcW w:w="1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08B8110" w14:textId="77777777" w:rsidR="00CD28E3" w:rsidRPr="00541ABB" w:rsidRDefault="00CD28E3" w:rsidP="00CD28E3">
            <w:pPr>
              <w:jc w:val="center"/>
              <w:rPr>
                <w:szCs w:val="22"/>
                <w:lang w:eastAsia="zh-CN"/>
              </w:rPr>
            </w:pPr>
            <w:r>
              <w:rPr>
                <w:szCs w:val="22"/>
              </w:rPr>
              <w:t>0,008</w:t>
            </w:r>
          </w:p>
        </w:tc>
        <w:tc>
          <w:tcPr>
            <w:tcW w:w="1720" w:type="dxa"/>
            <w:tcBorders>
              <w:top w:val="nil"/>
              <w:left w:val="single" w:sz="2" w:space="0" w:color="auto"/>
              <w:bottom w:val="single" w:sz="4" w:space="0" w:color="auto"/>
              <w:right w:val="single" w:sz="4" w:space="0" w:color="auto"/>
            </w:tcBorders>
            <w:shd w:val="clear" w:color="auto" w:fill="auto"/>
            <w:noWrap/>
            <w:vAlign w:val="center"/>
            <w:hideMark/>
          </w:tcPr>
          <w:p w14:paraId="42E31B01" w14:textId="77777777" w:rsidR="00CD28E3" w:rsidRPr="00541ABB" w:rsidRDefault="00CD28E3" w:rsidP="00CD28E3">
            <w:pPr>
              <w:jc w:val="right"/>
              <w:rPr>
                <w:szCs w:val="22"/>
                <w:lang w:eastAsia="zh-CN"/>
              </w:rPr>
            </w:pPr>
            <w:r>
              <w:rPr>
                <w:szCs w:val="22"/>
              </w:rPr>
              <w:t>139</w:t>
            </w:r>
          </w:p>
        </w:tc>
      </w:tr>
      <w:tr w:rsidR="0033145B" w:rsidRPr="004D5F9F" w14:paraId="0B9033C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D93D67" w14:textId="1E6C9122" w:rsidR="00CD28E3" w:rsidRPr="00541ABB" w:rsidRDefault="00CD28E3" w:rsidP="00CD28E3">
            <w:pPr>
              <w:jc w:val="center"/>
              <w:rPr>
                <w:szCs w:val="22"/>
                <w:lang w:eastAsia="zh-CN"/>
              </w:rPr>
            </w:pPr>
          </w:p>
        </w:tc>
        <w:tc>
          <w:tcPr>
            <w:tcW w:w="3380" w:type="dxa"/>
            <w:tcBorders>
              <w:top w:val="nil"/>
              <w:left w:val="nil"/>
              <w:bottom w:val="single" w:sz="4" w:space="0" w:color="auto"/>
              <w:right w:val="single" w:sz="4" w:space="0" w:color="auto"/>
            </w:tcBorders>
            <w:shd w:val="clear" w:color="auto" w:fill="auto"/>
            <w:noWrap/>
            <w:vAlign w:val="center"/>
            <w:hideMark/>
          </w:tcPr>
          <w:p w14:paraId="3C155E67" w14:textId="77777777" w:rsidR="00CD28E3" w:rsidRPr="00541ABB" w:rsidRDefault="00CD28E3" w:rsidP="00CD28E3">
            <w:pPr>
              <w:jc w:val="left"/>
              <w:rPr>
                <w:b/>
                <w:bCs/>
                <w:szCs w:val="22"/>
                <w:lang w:eastAsia="zh-CN"/>
              </w:rPr>
            </w:pPr>
            <w:r>
              <w:rPr>
                <w:b/>
                <w:bCs/>
                <w:szCs w:val="22"/>
              </w:rPr>
              <w:t>Total</w:t>
            </w:r>
          </w:p>
        </w:tc>
        <w:tc>
          <w:tcPr>
            <w:tcW w:w="1720" w:type="dxa"/>
            <w:tcBorders>
              <w:top w:val="nil"/>
              <w:left w:val="nil"/>
              <w:bottom w:val="single" w:sz="4" w:space="0" w:color="auto"/>
              <w:right w:val="single" w:sz="4" w:space="0" w:color="auto"/>
            </w:tcBorders>
            <w:shd w:val="clear" w:color="auto" w:fill="auto"/>
            <w:vAlign w:val="center"/>
            <w:hideMark/>
          </w:tcPr>
          <w:p w14:paraId="1AD361EC" w14:textId="77777777" w:rsidR="00CD28E3" w:rsidRPr="00541ABB" w:rsidRDefault="00CD28E3" w:rsidP="00CD28E3">
            <w:pPr>
              <w:jc w:val="center"/>
              <w:rPr>
                <w:b/>
                <w:bCs/>
                <w:szCs w:val="22"/>
                <w:lang w:eastAsia="zh-CN"/>
              </w:rPr>
            </w:pPr>
            <w:r>
              <w:rPr>
                <w:b/>
                <w:bCs/>
                <w:szCs w:val="22"/>
              </w:rPr>
              <w:t>60,723</w:t>
            </w:r>
          </w:p>
        </w:tc>
        <w:tc>
          <w:tcPr>
            <w:tcW w:w="1720" w:type="dxa"/>
            <w:tcBorders>
              <w:top w:val="single" w:sz="2" w:space="0" w:color="auto"/>
              <w:left w:val="nil"/>
              <w:bottom w:val="single" w:sz="4" w:space="0" w:color="auto"/>
              <w:right w:val="single" w:sz="4" w:space="0" w:color="auto"/>
            </w:tcBorders>
            <w:shd w:val="clear" w:color="auto" w:fill="auto"/>
            <w:noWrap/>
            <w:vAlign w:val="center"/>
            <w:hideMark/>
          </w:tcPr>
          <w:p w14:paraId="3A605FAB" w14:textId="77777777" w:rsidR="00CD28E3" w:rsidRPr="00541ABB" w:rsidRDefault="00CD28E3" w:rsidP="00CD28E3">
            <w:pPr>
              <w:jc w:val="center"/>
              <w:rPr>
                <w:b/>
                <w:bCs/>
                <w:szCs w:val="22"/>
                <w:lang w:eastAsia="zh-CN"/>
              </w:rPr>
            </w:pPr>
            <w:r>
              <w:rPr>
                <w:b/>
                <w:bCs/>
                <w:szCs w:val="22"/>
              </w:rPr>
              <w:t>100,000</w:t>
            </w:r>
          </w:p>
        </w:tc>
        <w:tc>
          <w:tcPr>
            <w:tcW w:w="1720" w:type="dxa"/>
            <w:tcBorders>
              <w:top w:val="nil"/>
              <w:left w:val="nil"/>
              <w:bottom w:val="single" w:sz="4" w:space="0" w:color="auto"/>
              <w:right w:val="single" w:sz="4" w:space="0" w:color="auto"/>
            </w:tcBorders>
            <w:shd w:val="clear" w:color="auto" w:fill="auto"/>
            <w:noWrap/>
            <w:vAlign w:val="center"/>
            <w:hideMark/>
          </w:tcPr>
          <w:p w14:paraId="1E430129" w14:textId="77777777" w:rsidR="00CD28E3" w:rsidRPr="00541ABB" w:rsidRDefault="00CD28E3" w:rsidP="00CD28E3">
            <w:pPr>
              <w:jc w:val="right"/>
              <w:rPr>
                <w:b/>
                <w:bCs/>
                <w:szCs w:val="22"/>
                <w:lang w:eastAsia="zh-CN"/>
              </w:rPr>
            </w:pPr>
            <w:r>
              <w:rPr>
                <w:b/>
                <w:bCs/>
                <w:szCs w:val="22"/>
              </w:rPr>
              <w:t>1 728 734</w:t>
            </w:r>
          </w:p>
        </w:tc>
      </w:tr>
    </w:tbl>
    <w:p w14:paraId="5B2C6A73" w14:textId="77777777" w:rsidR="00CD28E3" w:rsidRPr="004D5F9F" w:rsidRDefault="00CD28E3" w:rsidP="00650A1B">
      <w:pPr>
        <w:rPr>
          <w:kern w:val="22"/>
        </w:rPr>
      </w:pPr>
    </w:p>
    <w:p w14:paraId="1E29E61F" w14:textId="193F613A" w:rsidR="00736BC2" w:rsidRPr="0033145B" w:rsidRDefault="00CA6B87" w:rsidP="00541ABB">
      <w:pPr>
        <w:jc w:val="center"/>
        <w:rPr>
          <w:bCs/>
          <w:snapToGrid w:val="0"/>
          <w:kern w:val="22"/>
          <w:szCs w:val="22"/>
        </w:rPr>
      </w:pPr>
      <w:r>
        <w:rPr>
          <w:bCs/>
          <w:snapToGrid w:val="0"/>
          <w:kern w:val="22"/>
          <w:szCs w:val="22"/>
        </w:rPr>
        <w:t>__________</w:t>
      </w:r>
    </w:p>
    <w:sectPr w:rsidR="00736BC2" w:rsidRPr="0033145B" w:rsidSect="00CA1572">
      <w:headerReference w:type="even" r:id="rId15"/>
      <w:headerReference w:type="default" r:id="rId16"/>
      <w:headerReference w:type="first" r:id="rId17"/>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43882" w14:textId="77777777" w:rsidR="0056609E" w:rsidRDefault="0056609E">
      <w:r>
        <w:separator/>
      </w:r>
    </w:p>
  </w:endnote>
  <w:endnote w:type="continuationSeparator" w:id="0">
    <w:p w14:paraId="72F22EA0" w14:textId="77777777" w:rsidR="0056609E" w:rsidRDefault="0056609E">
      <w:r>
        <w:continuationSeparator/>
      </w:r>
    </w:p>
  </w:endnote>
  <w:endnote w:type="continuationNotice" w:id="1">
    <w:p w14:paraId="505653FE" w14:textId="77777777" w:rsidR="0056609E" w:rsidRDefault="00566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338CD" w14:textId="77777777" w:rsidR="0056609E" w:rsidRDefault="0056609E">
      <w:r>
        <w:separator/>
      </w:r>
    </w:p>
  </w:footnote>
  <w:footnote w:type="continuationSeparator" w:id="0">
    <w:p w14:paraId="34805564" w14:textId="77777777" w:rsidR="0056609E" w:rsidRDefault="0056609E">
      <w:r>
        <w:continuationSeparator/>
      </w:r>
    </w:p>
  </w:footnote>
  <w:footnote w:type="continuationNotice" w:id="1">
    <w:p w14:paraId="77A307DC" w14:textId="77777777" w:rsidR="0056609E" w:rsidRDefault="0056609E"/>
  </w:footnote>
  <w:footnote w:id="2">
    <w:p w14:paraId="6431161A" w14:textId="77777777" w:rsidR="000B3130" w:rsidRPr="00A52D60" w:rsidRDefault="000B3130" w:rsidP="00541ABB">
      <w:pPr>
        <w:pStyle w:val="FootnoteText"/>
        <w:kinsoku w:val="0"/>
        <w:overflowPunct w:val="0"/>
        <w:autoSpaceDE w:val="0"/>
        <w:autoSpaceDN w:val="0"/>
        <w:ind w:firstLine="0"/>
        <w:jc w:val="left"/>
        <w:rPr>
          <w:kern w:val="18"/>
          <w:szCs w:val="18"/>
        </w:rPr>
      </w:pPr>
      <w:r>
        <w:rPr>
          <w:rStyle w:val="FootnoteReference"/>
          <w:kern w:val="18"/>
          <w:szCs w:val="18"/>
          <w:u w:val="none"/>
          <w:vertAlign w:val="superscript"/>
        </w:rPr>
        <w:footnoteRef/>
      </w:r>
      <w:r>
        <w:rPr>
          <w:kern w:val="18"/>
          <w:szCs w:val="18"/>
        </w:rPr>
        <w:t xml:space="preserve"> </w:t>
      </w:r>
      <w:r>
        <w:rPr>
          <w:iCs/>
          <w:kern w:val="18"/>
          <w:szCs w:val="18"/>
        </w:rPr>
        <w:t>CBD/NP/MOP/4/3</w:t>
      </w:r>
      <w:r>
        <w:rPr>
          <w:kern w:val="18"/>
          <w:szCs w:val="18"/>
        </w:rPr>
        <w:t>.</w:t>
      </w:r>
    </w:p>
  </w:footnote>
  <w:footnote w:id="3">
    <w:p w14:paraId="161DFAEE" w14:textId="034A529B" w:rsidR="004A56EB" w:rsidRPr="00A52D60" w:rsidRDefault="004A56EB" w:rsidP="00541ABB">
      <w:pPr>
        <w:pStyle w:val="FootnoteText"/>
        <w:ind w:firstLine="0"/>
        <w:jc w:val="left"/>
      </w:pPr>
      <w:r>
        <w:rPr>
          <w:rStyle w:val="FootnoteReference"/>
          <w:u w:val="none"/>
          <w:vertAlign w:val="superscript"/>
        </w:rPr>
        <w:footnoteRef/>
      </w:r>
      <w:r>
        <w:t xml:space="preserve"> Voir résolution 60/283, sect. IV de l'Assemblée générale des Nations Unies.</w:t>
      </w:r>
    </w:p>
  </w:footnote>
  <w:footnote w:id="4">
    <w:p w14:paraId="51A53004" w14:textId="1F3A88FB" w:rsidR="005E6D97" w:rsidRPr="00A52D60" w:rsidRDefault="005E6D97" w:rsidP="00541ABB">
      <w:pPr>
        <w:pStyle w:val="FootnoteText"/>
        <w:ind w:firstLine="0"/>
        <w:jc w:val="left"/>
      </w:pPr>
      <w:r>
        <w:rPr>
          <w:rStyle w:val="FootnoteReference"/>
          <w:u w:val="none"/>
          <w:vertAlign w:val="superscript"/>
        </w:rPr>
        <w:footnoteRef/>
      </w:r>
      <w:r>
        <w:t xml:space="preserve"> Voir paragraphe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14:paraId="633CCA19" w14:textId="4EEDDF37" w:rsidR="000B3130" w:rsidRDefault="000B3130" w:rsidP="005440A6">
        <w:pPr>
          <w:pStyle w:val="Header"/>
          <w:tabs>
            <w:tab w:val="clear" w:pos="4320"/>
            <w:tab w:val="clear" w:pos="8640"/>
          </w:tabs>
          <w:jc w:val="left"/>
          <w:rPr>
            <w:noProof/>
            <w:kern w:val="22"/>
          </w:rPr>
        </w:pPr>
        <w:r>
          <w:rPr>
            <w:noProof/>
            <w:kern w:val="22"/>
          </w:rPr>
          <w:t>CBD/NP/MOP/4/L.2</w:t>
        </w:r>
      </w:p>
    </w:sdtContent>
  </w:sdt>
  <w:p w14:paraId="2E221153" w14:textId="0408241F" w:rsidR="000B3130" w:rsidRPr="005440A6" w:rsidRDefault="000B3130" w:rsidP="005440A6">
    <w:pPr>
      <w:pStyle w:val="Header"/>
      <w:tabs>
        <w:tab w:val="clear" w:pos="4320"/>
        <w:tab w:val="clear" w:pos="8640"/>
      </w:tabs>
      <w:jc w:val="left"/>
      <w:rPr>
        <w:noProof/>
        <w:kern w:val="22"/>
      </w:rPr>
    </w:pPr>
    <w:r>
      <w:rPr>
        <w:noProof/>
        <w:kern w:val="22"/>
      </w:rPr>
      <w:t xml:space="preserve">Page </w:t>
    </w:r>
    <w:r>
      <w:rPr>
        <w:noProof/>
        <w:kern w:val="22"/>
      </w:rPr>
      <w:fldChar w:fldCharType="begin"/>
    </w:r>
    <w:r>
      <w:rPr>
        <w:noProof/>
        <w:kern w:val="22"/>
      </w:rPr>
      <w:instrText xml:space="preserve"> PAGE   \* MERGEFORMAT </w:instrText>
    </w:r>
    <w:r>
      <w:fldChar w:fldCharType="separate"/>
    </w:r>
    <w:r>
      <w:rPr>
        <w:noProof/>
        <w:kern w:val="22"/>
      </w:rPr>
      <w:t>2</w:t>
    </w:r>
    <w:r>
      <w:fldChar w:fldCharType="end"/>
    </w:r>
  </w:p>
  <w:p w14:paraId="6BFF7ABC" w14:textId="77777777" w:rsidR="000B3130" w:rsidRPr="005440A6" w:rsidRDefault="000B3130" w:rsidP="005440A6">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599458323"/>
      <w:placeholder>
        <w:docPart w:val="6A8193A12B42491F9EFE82214EBC85A8"/>
      </w:placeholder>
      <w:dataBinding w:prefixMappings="xmlns:ns0='http://purl.org/dc/elements/1.1/' xmlns:ns1='http://schemas.openxmlformats.org/package/2006/metadata/core-properties' " w:xpath="/ns1:coreProperties[1]/ns0:subject[1]" w:storeItemID="{6C3C8BC8-F283-45AE-878A-BAB7291924A1}"/>
      <w:text/>
    </w:sdtPr>
    <w:sdtEndPr/>
    <w:sdtContent>
      <w:p w14:paraId="03852ED7" w14:textId="0CE5A219" w:rsidR="000B3130" w:rsidRPr="005440A6" w:rsidRDefault="000B3130" w:rsidP="00BE45DE">
        <w:pPr>
          <w:pStyle w:val="Header"/>
          <w:tabs>
            <w:tab w:val="clear" w:pos="4320"/>
            <w:tab w:val="clear" w:pos="8640"/>
          </w:tabs>
          <w:jc w:val="right"/>
          <w:rPr>
            <w:noProof/>
            <w:kern w:val="22"/>
          </w:rPr>
        </w:pPr>
        <w:r>
          <w:rPr>
            <w:noProof/>
            <w:kern w:val="22"/>
          </w:rPr>
          <w:t>CBD/NP/MOP/4/L.2</w:t>
        </w:r>
      </w:p>
    </w:sdtContent>
  </w:sdt>
  <w:p w14:paraId="2762A8B4" w14:textId="77777777" w:rsidR="000B3130" w:rsidRPr="005440A6" w:rsidRDefault="000B3130" w:rsidP="005440A6">
    <w:pPr>
      <w:pStyle w:val="Header"/>
      <w:tabs>
        <w:tab w:val="clear" w:pos="4320"/>
        <w:tab w:val="clear" w:pos="8640"/>
      </w:tabs>
      <w:jc w:val="right"/>
      <w:rPr>
        <w:noProof/>
        <w:kern w:val="22"/>
      </w:rPr>
    </w:pPr>
    <w:r>
      <w:rPr>
        <w:noProof/>
        <w:kern w:val="22"/>
      </w:rPr>
      <w:t xml:space="preserve">Page </w:t>
    </w:r>
    <w:r>
      <w:rPr>
        <w:noProof/>
        <w:kern w:val="22"/>
      </w:rPr>
      <w:fldChar w:fldCharType="begin"/>
    </w:r>
    <w:r>
      <w:rPr>
        <w:noProof/>
        <w:kern w:val="22"/>
      </w:rPr>
      <w:instrText xml:space="preserve"> PAGE   \* MERGEFORMAT </w:instrText>
    </w:r>
    <w:r>
      <w:fldChar w:fldCharType="separate"/>
    </w:r>
    <w:r>
      <w:rPr>
        <w:noProof/>
        <w:kern w:val="22"/>
      </w:rPr>
      <w:t>5</w:t>
    </w:r>
    <w:r>
      <w:fldChar w:fldCharType="end"/>
    </w:r>
  </w:p>
  <w:p w14:paraId="0EEEB685" w14:textId="77777777" w:rsidR="000B3130" w:rsidRPr="005440A6" w:rsidRDefault="000B3130" w:rsidP="005440A6">
    <w:pPr>
      <w:pStyle w:val="Header"/>
      <w:tabs>
        <w:tab w:val="clear" w:pos="4320"/>
        <w:tab w:val="clear" w:pos="8640"/>
      </w:tabs>
      <w:jc w:val="right"/>
      <w:rPr>
        <w:noProof/>
        <w:kern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E588" w14:textId="72F6A571" w:rsidR="000B3130" w:rsidRPr="00C77956" w:rsidRDefault="000B3130" w:rsidP="00B82689">
    <w:pPr>
      <w:pStyle w:val="Header"/>
      <w:jc w:val="right"/>
      <w:rPr>
        <w:b/>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0D15"/>
    <w:multiLevelType w:val="hybridMultilevel"/>
    <w:tmpl w:val="CE0C39C4"/>
    <w:lvl w:ilvl="0" w:tplc="2B3CF140">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5"/>
  </w:num>
  <w:num w:numId="5">
    <w:abstractNumId w:val="4"/>
  </w:num>
  <w:num w:numId="6">
    <w:abstractNumId w:val="6"/>
  </w:num>
  <w:num w:numId="7">
    <w:abstractNumId w:val="0"/>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1041F"/>
    <w:rsid w:val="00017745"/>
    <w:rsid w:val="000219AC"/>
    <w:rsid w:val="0002447B"/>
    <w:rsid w:val="00031D24"/>
    <w:rsid w:val="00037873"/>
    <w:rsid w:val="000455DE"/>
    <w:rsid w:val="00054381"/>
    <w:rsid w:val="000711E1"/>
    <w:rsid w:val="00073708"/>
    <w:rsid w:val="0008414A"/>
    <w:rsid w:val="00095378"/>
    <w:rsid w:val="000B28B6"/>
    <w:rsid w:val="000B3130"/>
    <w:rsid w:val="000C5CFC"/>
    <w:rsid w:val="000D488A"/>
    <w:rsid w:val="000D5A4B"/>
    <w:rsid w:val="000E637D"/>
    <w:rsid w:val="000E7E6A"/>
    <w:rsid w:val="000F2F99"/>
    <w:rsid w:val="000F63AB"/>
    <w:rsid w:val="0012214B"/>
    <w:rsid w:val="00127D7E"/>
    <w:rsid w:val="0013487A"/>
    <w:rsid w:val="0013534C"/>
    <w:rsid w:val="00141795"/>
    <w:rsid w:val="00144D7E"/>
    <w:rsid w:val="001608DB"/>
    <w:rsid w:val="00166367"/>
    <w:rsid w:val="00186EEA"/>
    <w:rsid w:val="00192E06"/>
    <w:rsid w:val="001930F8"/>
    <w:rsid w:val="001957BA"/>
    <w:rsid w:val="001A5072"/>
    <w:rsid w:val="001F6379"/>
    <w:rsid w:val="00204415"/>
    <w:rsid w:val="00207A6E"/>
    <w:rsid w:val="0022278A"/>
    <w:rsid w:val="00224B92"/>
    <w:rsid w:val="00231D18"/>
    <w:rsid w:val="002357E1"/>
    <w:rsid w:val="00252897"/>
    <w:rsid w:val="0026206C"/>
    <w:rsid w:val="0027202C"/>
    <w:rsid w:val="0027499A"/>
    <w:rsid w:val="00287824"/>
    <w:rsid w:val="002A0209"/>
    <w:rsid w:val="002B0942"/>
    <w:rsid w:val="002D2079"/>
    <w:rsid w:val="00303D13"/>
    <w:rsid w:val="00316F4F"/>
    <w:rsid w:val="003210FF"/>
    <w:rsid w:val="00325DE3"/>
    <w:rsid w:val="0033145B"/>
    <w:rsid w:val="00336766"/>
    <w:rsid w:val="003473E0"/>
    <w:rsid w:val="00347D61"/>
    <w:rsid w:val="00354B72"/>
    <w:rsid w:val="00374167"/>
    <w:rsid w:val="00386585"/>
    <w:rsid w:val="00393624"/>
    <w:rsid w:val="00393E9C"/>
    <w:rsid w:val="0039490F"/>
    <w:rsid w:val="00396E5B"/>
    <w:rsid w:val="003A24A4"/>
    <w:rsid w:val="003A2F66"/>
    <w:rsid w:val="003B10B9"/>
    <w:rsid w:val="003B3E95"/>
    <w:rsid w:val="003C113F"/>
    <w:rsid w:val="003C171C"/>
    <w:rsid w:val="003D30AE"/>
    <w:rsid w:val="003D7E2C"/>
    <w:rsid w:val="003E2DAE"/>
    <w:rsid w:val="003E44B0"/>
    <w:rsid w:val="003E72BF"/>
    <w:rsid w:val="003F6E44"/>
    <w:rsid w:val="00400A14"/>
    <w:rsid w:val="00401243"/>
    <w:rsid w:val="00404415"/>
    <w:rsid w:val="0040565A"/>
    <w:rsid w:val="00406BC6"/>
    <w:rsid w:val="00416969"/>
    <w:rsid w:val="00416F93"/>
    <w:rsid w:val="00422388"/>
    <w:rsid w:val="004320C3"/>
    <w:rsid w:val="00432590"/>
    <w:rsid w:val="0044424E"/>
    <w:rsid w:val="00446FFE"/>
    <w:rsid w:val="00447BD3"/>
    <w:rsid w:val="00466977"/>
    <w:rsid w:val="00491363"/>
    <w:rsid w:val="004A56EB"/>
    <w:rsid w:val="004B35B1"/>
    <w:rsid w:val="004B597A"/>
    <w:rsid w:val="004C396F"/>
    <w:rsid w:val="004C55BF"/>
    <w:rsid w:val="004D5F9F"/>
    <w:rsid w:val="004F4561"/>
    <w:rsid w:val="00500530"/>
    <w:rsid w:val="005032C9"/>
    <w:rsid w:val="0050527A"/>
    <w:rsid w:val="00516C26"/>
    <w:rsid w:val="005209FA"/>
    <w:rsid w:val="005335F8"/>
    <w:rsid w:val="00541117"/>
    <w:rsid w:val="00541ABB"/>
    <w:rsid w:val="005440A6"/>
    <w:rsid w:val="00547DF0"/>
    <w:rsid w:val="0056609E"/>
    <w:rsid w:val="00584808"/>
    <w:rsid w:val="00586B7C"/>
    <w:rsid w:val="00592D5C"/>
    <w:rsid w:val="00593B3D"/>
    <w:rsid w:val="005955D2"/>
    <w:rsid w:val="005A215C"/>
    <w:rsid w:val="005A4284"/>
    <w:rsid w:val="005B4D24"/>
    <w:rsid w:val="005C79A0"/>
    <w:rsid w:val="005D139C"/>
    <w:rsid w:val="005D1FD7"/>
    <w:rsid w:val="005D2DEB"/>
    <w:rsid w:val="005E1481"/>
    <w:rsid w:val="005E6D97"/>
    <w:rsid w:val="005F34F5"/>
    <w:rsid w:val="005F4C74"/>
    <w:rsid w:val="005F6516"/>
    <w:rsid w:val="005F7FED"/>
    <w:rsid w:val="00622241"/>
    <w:rsid w:val="006260D5"/>
    <w:rsid w:val="00646514"/>
    <w:rsid w:val="006507F2"/>
    <w:rsid w:val="00650A1B"/>
    <w:rsid w:val="00655B33"/>
    <w:rsid w:val="00665C89"/>
    <w:rsid w:val="0068455D"/>
    <w:rsid w:val="00686988"/>
    <w:rsid w:val="00690847"/>
    <w:rsid w:val="006A5942"/>
    <w:rsid w:val="006B074E"/>
    <w:rsid w:val="006B2BD5"/>
    <w:rsid w:val="006B6ED3"/>
    <w:rsid w:val="006D0E3D"/>
    <w:rsid w:val="006D23ED"/>
    <w:rsid w:val="006F284C"/>
    <w:rsid w:val="006F4F34"/>
    <w:rsid w:val="006F7227"/>
    <w:rsid w:val="00702366"/>
    <w:rsid w:val="0070285A"/>
    <w:rsid w:val="0071432E"/>
    <w:rsid w:val="007163BC"/>
    <w:rsid w:val="00730AE3"/>
    <w:rsid w:val="00732993"/>
    <w:rsid w:val="007329CF"/>
    <w:rsid w:val="00736BC2"/>
    <w:rsid w:val="0076148E"/>
    <w:rsid w:val="0076268D"/>
    <w:rsid w:val="007661E1"/>
    <w:rsid w:val="00781CDF"/>
    <w:rsid w:val="0079325E"/>
    <w:rsid w:val="00793740"/>
    <w:rsid w:val="007966F8"/>
    <w:rsid w:val="007B1587"/>
    <w:rsid w:val="007B2F94"/>
    <w:rsid w:val="007B66AF"/>
    <w:rsid w:val="007C5285"/>
    <w:rsid w:val="007C535D"/>
    <w:rsid w:val="007C633B"/>
    <w:rsid w:val="007D3182"/>
    <w:rsid w:val="007F4246"/>
    <w:rsid w:val="007F6409"/>
    <w:rsid w:val="00803DF3"/>
    <w:rsid w:val="0080670B"/>
    <w:rsid w:val="00814D13"/>
    <w:rsid w:val="0082165E"/>
    <w:rsid w:val="00825524"/>
    <w:rsid w:val="0083211E"/>
    <w:rsid w:val="00845A0B"/>
    <w:rsid w:val="0085225D"/>
    <w:rsid w:val="00870D40"/>
    <w:rsid w:val="00870FF4"/>
    <w:rsid w:val="0087139A"/>
    <w:rsid w:val="00875847"/>
    <w:rsid w:val="008B3465"/>
    <w:rsid w:val="008B7E20"/>
    <w:rsid w:val="008C013C"/>
    <w:rsid w:val="008C1E35"/>
    <w:rsid w:val="008C7EA4"/>
    <w:rsid w:val="008D5AA2"/>
    <w:rsid w:val="008E5F84"/>
    <w:rsid w:val="008E7500"/>
    <w:rsid w:val="008F01D7"/>
    <w:rsid w:val="008F5534"/>
    <w:rsid w:val="00905C42"/>
    <w:rsid w:val="009067F8"/>
    <w:rsid w:val="00921787"/>
    <w:rsid w:val="00921BAA"/>
    <w:rsid w:val="00922EAD"/>
    <w:rsid w:val="009239B7"/>
    <w:rsid w:val="0092794B"/>
    <w:rsid w:val="009322A2"/>
    <w:rsid w:val="00933A84"/>
    <w:rsid w:val="009507AF"/>
    <w:rsid w:val="00952A09"/>
    <w:rsid w:val="00953856"/>
    <w:rsid w:val="009554D5"/>
    <w:rsid w:val="00965BDA"/>
    <w:rsid w:val="00996010"/>
    <w:rsid w:val="00997E58"/>
    <w:rsid w:val="009B15E2"/>
    <w:rsid w:val="009B30C9"/>
    <w:rsid w:val="009B5E1D"/>
    <w:rsid w:val="009B726B"/>
    <w:rsid w:val="009B748D"/>
    <w:rsid w:val="009C1BB4"/>
    <w:rsid w:val="009D2F92"/>
    <w:rsid w:val="009D39F3"/>
    <w:rsid w:val="009E2B79"/>
    <w:rsid w:val="009F13E7"/>
    <w:rsid w:val="00A10051"/>
    <w:rsid w:val="00A10286"/>
    <w:rsid w:val="00A12C82"/>
    <w:rsid w:val="00A20F36"/>
    <w:rsid w:val="00A30A8E"/>
    <w:rsid w:val="00A30DAD"/>
    <w:rsid w:val="00A35FB9"/>
    <w:rsid w:val="00A50B28"/>
    <w:rsid w:val="00A52D60"/>
    <w:rsid w:val="00A5524A"/>
    <w:rsid w:val="00A642BC"/>
    <w:rsid w:val="00A7424C"/>
    <w:rsid w:val="00A82800"/>
    <w:rsid w:val="00A90998"/>
    <w:rsid w:val="00A96385"/>
    <w:rsid w:val="00AA014E"/>
    <w:rsid w:val="00AA050D"/>
    <w:rsid w:val="00AB067F"/>
    <w:rsid w:val="00AC1E69"/>
    <w:rsid w:val="00AC794F"/>
    <w:rsid w:val="00AD3964"/>
    <w:rsid w:val="00AE4056"/>
    <w:rsid w:val="00B05379"/>
    <w:rsid w:val="00B161D3"/>
    <w:rsid w:val="00B271A0"/>
    <w:rsid w:val="00B3299A"/>
    <w:rsid w:val="00B56B11"/>
    <w:rsid w:val="00B62929"/>
    <w:rsid w:val="00B82689"/>
    <w:rsid w:val="00B85F9B"/>
    <w:rsid w:val="00BA1498"/>
    <w:rsid w:val="00BA19B5"/>
    <w:rsid w:val="00BA3233"/>
    <w:rsid w:val="00BA5BE3"/>
    <w:rsid w:val="00BB4750"/>
    <w:rsid w:val="00BE24F1"/>
    <w:rsid w:val="00BE37A4"/>
    <w:rsid w:val="00BE45DE"/>
    <w:rsid w:val="00BE746B"/>
    <w:rsid w:val="00C05456"/>
    <w:rsid w:val="00C076A9"/>
    <w:rsid w:val="00C144CE"/>
    <w:rsid w:val="00C15BBB"/>
    <w:rsid w:val="00C15BF1"/>
    <w:rsid w:val="00C3131F"/>
    <w:rsid w:val="00C31FC0"/>
    <w:rsid w:val="00C37FF1"/>
    <w:rsid w:val="00C507CD"/>
    <w:rsid w:val="00C52425"/>
    <w:rsid w:val="00C55247"/>
    <w:rsid w:val="00C73DA3"/>
    <w:rsid w:val="00C77956"/>
    <w:rsid w:val="00C85EA4"/>
    <w:rsid w:val="00C87DF3"/>
    <w:rsid w:val="00C912FE"/>
    <w:rsid w:val="00C9201C"/>
    <w:rsid w:val="00CA1572"/>
    <w:rsid w:val="00CA6B87"/>
    <w:rsid w:val="00CC2031"/>
    <w:rsid w:val="00CD28E3"/>
    <w:rsid w:val="00CE2D83"/>
    <w:rsid w:val="00CE439F"/>
    <w:rsid w:val="00CE51C3"/>
    <w:rsid w:val="00CF4F69"/>
    <w:rsid w:val="00CF6553"/>
    <w:rsid w:val="00D12F04"/>
    <w:rsid w:val="00D145AC"/>
    <w:rsid w:val="00D15589"/>
    <w:rsid w:val="00D22AE8"/>
    <w:rsid w:val="00D23151"/>
    <w:rsid w:val="00D432AD"/>
    <w:rsid w:val="00D46BC1"/>
    <w:rsid w:val="00D51069"/>
    <w:rsid w:val="00D80227"/>
    <w:rsid w:val="00D811D6"/>
    <w:rsid w:val="00D8160E"/>
    <w:rsid w:val="00D84D7B"/>
    <w:rsid w:val="00D92BD0"/>
    <w:rsid w:val="00D9537D"/>
    <w:rsid w:val="00D97B36"/>
    <w:rsid w:val="00DB4E3C"/>
    <w:rsid w:val="00DD0621"/>
    <w:rsid w:val="00DD1F7A"/>
    <w:rsid w:val="00DD52CC"/>
    <w:rsid w:val="00DD7E13"/>
    <w:rsid w:val="00DE308B"/>
    <w:rsid w:val="00DE5FE6"/>
    <w:rsid w:val="00DF5403"/>
    <w:rsid w:val="00E02228"/>
    <w:rsid w:val="00E14A7F"/>
    <w:rsid w:val="00E37A7A"/>
    <w:rsid w:val="00E44DF6"/>
    <w:rsid w:val="00E47630"/>
    <w:rsid w:val="00E52FD0"/>
    <w:rsid w:val="00E55B3B"/>
    <w:rsid w:val="00E55E91"/>
    <w:rsid w:val="00E63987"/>
    <w:rsid w:val="00E664FA"/>
    <w:rsid w:val="00E70AE7"/>
    <w:rsid w:val="00E7248E"/>
    <w:rsid w:val="00E75D28"/>
    <w:rsid w:val="00E82D5B"/>
    <w:rsid w:val="00E901FD"/>
    <w:rsid w:val="00E9217E"/>
    <w:rsid w:val="00E92D9B"/>
    <w:rsid w:val="00E97707"/>
    <w:rsid w:val="00EA7525"/>
    <w:rsid w:val="00EC0891"/>
    <w:rsid w:val="00EC6768"/>
    <w:rsid w:val="00EE061E"/>
    <w:rsid w:val="00EE51DB"/>
    <w:rsid w:val="00F13DC0"/>
    <w:rsid w:val="00F14485"/>
    <w:rsid w:val="00F16F02"/>
    <w:rsid w:val="00F26A60"/>
    <w:rsid w:val="00F35CAF"/>
    <w:rsid w:val="00F465B6"/>
    <w:rsid w:val="00F500C8"/>
    <w:rsid w:val="00F601E3"/>
    <w:rsid w:val="00F6118B"/>
    <w:rsid w:val="00F64CB9"/>
    <w:rsid w:val="00F67181"/>
    <w:rsid w:val="00F77628"/>
    <w:rsid w:val="00F838DD"/>
    <w:rsid w:val="00FA21FD"/>
    <w:rsid w:val="00FA453C"/>
    <w:rsid w:val="00FA4E98"/>
    <w:rsid w:val="00FA6AA0"/>
    <w:rsid w:val="00FB29AE"/>
    <w:rsid w:val="00FB3B70"/>
    <w:rsid w:val="00FB4543"/>
    <w:rsid w:val="00FC6159"/>
    <w:rsid w:val="00FD061C"/>
    <w:rsid w:val="00FD4F33"/>
    <w:rsid w:val="00FD785E"/>
    <w:rsid w:val="00FE41D2"/>
    <w:rsid w:val="00FF0082"/>
    <w:rsid w:val="00FF2DF0"/>
    <w:rsid w:val="00FF433A"/>
    <w:rsid w:val="00FF6F6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1B6F3"/>
  <w15:docId w15:val="{30191FA6-A734-4F9C-857A-9EEC5011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rPr>
  </w:style>
  <w:style w:type="paragraph" w:styleId="Heading1">
    <w:name w:val="heading 1"/>
    <w:basedOn w:val="Normal"/>
    <w:next w:val="Heading2"/>
    <w:link w:val="Heading1Char"/>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link w:val="Heading3Char"/>
    <w:qFormat/>
    <w:pPr>
      <w:keepNext/>
      <w:tabs>
        <w:tab w:val="left" w:pos="567"/>
      </w:tabs>
      <w:spacing w:before="120" w:after="120"/>
      <w:jc w:val="center"/>
      <w:outlineLvl w:val="2"/>
    </w:pPr>
    <w:rPr>
      <w:i/>
      <w:iCs/>
    </w:rPr>
  </w:style>
  <w:style w:type="paragraph" w:styleId="Heading4">
    <w:name w:val="heading 4"/>
    <w:basedOn w:val="Normal"/>
    <w:link w:val="Heading4Char"/>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ind w:firstLine="720"/>
      <w:jc w:val="right"/>
    </w:pPr>
  </w:style>
  <w:style w:type="paragraph" w:customStyle="1" w:styleId="Para1">
    <w:name w:val="Para1"/>
    <w:basedOn w:val="Normal"/>
    <w:link w:val="Para1Char"/>
    <w:uiPriority w:val="99"/>
    <w:rsid w:val="00F13DC0"/>
    <w:pPr>
      <w:numPr>
        <w:numId w:val="2"/>
      </w:numPr>
      <w:tabs>
        <w:tab w:val="clear" w:pos="360"/>
      </w:tabs>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pPr>
      <w:keepLines/>
      <w:spacing w:after="60"/>
      <w:ind w:firstLine="720"/>
    </w:pPr>
    <w:rPr>
      <w:sz w:val="18"/>
    </w:rPr>
  </w:style>
  <w:style w:type="paragraph" w:styleId="BodyText">
    <w:name w:val="Body Text"/>
    <w:basedOn w:val="Normal"/>
    <w:link w:val="BodyTextChar"/>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Pr>
      <w:sz w:val="18"/>
      <w:u w:val="single"/>
      <w:vertAlign w:val="baseline"/>
    </w:rPr>
  </w:style>
  <w:style w:type="paragraph" w:styleId="BodyTextIndent">
    <w:name w:val="Body Text Indent"/>
    <w:basedOn w:val="Normal"/>
    <w:link w:val="BodyTextIndentChar"/>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uiPriority w:val="99"/>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rPr>
  </w:style>
  <w:style w:type="character" w:customStyle="1" w:styleId="apple-converted-space">
    <w:name w:val="apple-converted-space"/>
    <w:rsid w:val="00CF4F6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rPr>
  </w:style>
  <w:style w:type="character" w:customStyle="1" w:styleId="CommentSubjectChar">
    <w:name w:val="Comment Subject Char"/>
    <w:link w:val="CommentSubject"/>
    <w:uiPriority w:val="99"/>
    <w:semiHidden/>
    <w:rsid w:val="00D9537D"/>
    <w:rPr>
      <w:b/>
      <w:bCs/>
      <w:sz w:val="22"/>
      <w:szCs w:val="24"/>
    </w:rPr>
  </w:style>
  <w:style w:type="paragraph" w:styleId="Revision">
    <w:name w:val="Revision"/>
    <w:hidden/>
    <w:uiPriority w:val="99"/>
    <w:semiHidden/>
    <w:rsid w:val="00D9537D"/>
    <w:rPr>
      <w:sz w:val="22"/>
      <w:szCs w:val="24"/>
    </w:rPr>
  </w:style>
  <w:style w:type="character" w:styleId="PlaceholderText">
    <w:name w:val="Placeholder Text"/>
    <w:basedOn w:val="DefaultParagraphFont"/>
    <w:uiPriority w:val="99"/>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 text (no indent)"/>
    <w:basedOn w:val="Normal"/>
    <w:rsid w:val="00921787"/>
    <w:pPr>
      <w:spacing w:before="140" w:after="140"/>
      <w:ind w:left="720" w:hanging="720"/>
    </w:pPr>
  </w:style>
  <w:style w:type="character" w:customStyle="1" w:styleId="normaltextrun">
    <w:name w:val="normaltextrun"/>
    <w:basedOn w:val="DefaultParagraphFont"/>
    <w:rsid w:val="00732993"/>
    <w:rPr>
      <w:rFonts w:ascii="Times New Roman" w:hAnsi="Times New Roma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C1BB4"/>
    <w:pPr>
      <w:spacing w:after="160" w:line="240" w:lineRule="exact"/>
      <w:jc w:val="left"/>
    </w:pPr>
    <w:rPr>
      <w:sz w:val="18"/>
      <w:szCs w:val="20"/>
      <w:u w:val="single"/>
    </w:rPr>
  </w:style>
  <w:style w:type="paragraph" w:customStyle="1" w:styleId="Default">
    <w:name w:val="Default"/>
    <w:rsid w:val="00D23151"/>
    <w:pPr>
      <w:autoSpaceDE w:val="0"/>
      <w:autoSpaceDN w:val="0"/>
      <w:adjustRightInd w:val="0"/>
    </w:pPr>
    <w:rPr>
      <w:color w:val="000000"/>
      <w:sz w:val="24"/>
      <w:szCs w:val="24"/>
    </w:rPr>
  </w:style>
  <w:style w:type="character" w:customStyle="1" w:styleId="Para1Char">
    <w:name w:val="Para1 Char"/>
    <w:link w:val="Para1"/>
    <w:uiPriority w:val="99"/>
    <w:locked/>
    <w:rsid w:val="00650A1B"/>
    <w:rPr>
      <w:snapToGrid w:val="0"/>
      <w:sz w:val="22"/>
      <w:szCs w:val="18"/>
    </w:rPr>
  </w:style>
  <w:style w:type="paragraph" w:customStyle="1" w:styleId="Item">
    <w:name w:val="Item"/>
    <w:basedOn w:val="Normal"/>
    <w:qFormat/>
    <w:rsid w:val="00650A1B"/>
    <w:pPr>
      <w:keepNext/>
      <w:spacing w:before="240" w:after="120"/>
      <w:ind w:left="720" w:hanging="720"/>
      <w:jc w:val="center"/>
    </w:pPr>
    <w:rPr>
      <w:b/>
      <w:kern w:val="22"/>
    </w:rPr>
  </w:style>
  <w:style w:type="character" w:customStyle="1" w:styleId="Heading2Char">
    <w:name w:val="Heading 2 Char"/>
    <w:basedOn w:val="DefaultParagraphFont"/>
    <w:link w:val="Heading2"/>
    <w:rsid w:val="00650A1B"/>
    <w:rPr>
      <w:b/>
      <w:bCs/>
      <w:iCs/>
      <w:sz w:val="22"/>
      <w:szCs w:val="24"/>
    </w:rPr>
  </w:style>
  <w:style w:type="paragraph" w:styleId="NormalWeb">
    <w:name w:val="Normal (Web)"/>
    <w:basedOn w:val="Normal"/>
    <w:uiPriority w:val="99"/>
    <w:unhideWhenUsed/>
    <w:rsid w:val="00650A1B"/>
    <w:rPr>
      <w:rFonts w:ascii="Calibri" w:hAnsi="Calibri" w:cs="Calibri"/>
      <w:szCs w:val="22"/>
    </w:rPr>
  </w:style>
  <w:style w:type="character" w:customStyle="1" w:styleId="BodyTextChar">
    <w:name w:val="Body Text Char"/>
    <w:basedOn w:val="DefaultParagraphFont"/>
    <w:link w:val="BodyText"/>
    <w:rsid w:val="00650A1B"/>
    <w:rPr>
      <w:iCs/>
      <w:sz w:val="22"/>
      <w:szCs w:val="24"/>
    </w:rPr>
  </w:style>
  <w:style w:type="paragraph" w:styleId="NoSpacing">
    <w:name w:val="No Spacing"/>
    <w:link w:val="NoSpacingChar"/>
    <w:uiPriority w:val="1"/>
    <w:qFormat/>
    <w:rsid w:val="00650A1B"/>
    <w:rPr>
      <w:rFonts w:ascii="Calibri" w:eastAsia="Calibri" w:hAnsi="Calibri"/>
      <w:sz w:val="22"/>
      <w:szCs w:val="22"/>
    </w:rPr>
  </w:style>
  <w:style w:type="character" w:customStyle="1" w:styleId="NoSpacingChar">
    <w:name w:val="No Spacing Char"/>
    <w:basedOn w:val="DefaultParagraphFont"/>
    <w:link w:val="NoSpacing"/>
    <w:uiPriority w:val="1"/>
    <w:rsid w:val="00650A1B"/>
    <w:rPr>
      <w:rFonts w:ascii="Calibri" w:eastAsia="Calibri" w:hAnsi="Calibri"/>
      <w:sz w:val="22"/>
      <w:szCs w:val="22"/>
    </w:rPr>
  </w:style>
  <w:style w:type="character" w:customStyle="1" w:styleId="HeaderChar">
    <w:name w:val="Header Char"/>
    <w:basedOn w:val="DefaultParagraphFont"/>
    <w:link w:val="Header"/>
    <w:rsid w:val="00650A1B"/>
    <w:rPr>
      <w:sz w:val="22"/>
      <w:szCs w:val="24"/>
    </w:rPr>
  </w:style>
  <w:style w:type="character" w:customStyle="1" w:styleId="FooterChar">
    <w:name w:val="Footer Char"/>
    <w:basedOn w:val="DefaultParagraphFont"/>
    <w:link w:val="Footer"/>
    <w:rsid w:val="00650A1B"/>
    <w:rPr>
      <w:sz w:val="22"/>
      <w:szCs w:val="24"/>
    </w:rPr>
  </w:style>
  <w:style w:type="paragraph" w:customStyle="1" w:styleId="xl66">
    <w:name w:val="xl66"/>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650A1B"/>
    <w:pPr>
      <w:spacing w:before="100" w:beforeAutospacing="1" w:after="100" w:afterAutospacing="1"/>
      <w:textAlignment w:val="center"/>
    </w:pPr>
    <w:rPr>
      <w:sz w:val="20"/>
      <w:szCs w:val="20"/>
    </w:rPr>
  </w:style>
  <w:style w:type="paragraph" w:customStyle="1" w:styleId="xl68">
    <w:name w:val="xl68"/>
    <w:basedOn w:val="Normal"/>
    <w:rsid w:val="00650A1B"/>
    <w:pPr>
      <w:spacing w:before="100" w:beforeAutospacing="1" w:after="100" w:afterAutospacing="1"/>
      <w:jc w:val="center"/>
      <w:textAlignment w:val="center"/>
    </w:pPr>
    <w:rPr>
      <w:b/>
      <w:bCs/>
      <w:sz w:val="20"/>
      <w:szCs w:val="20"/>
    </w:rPr>
  </w:style>
  <w:style w:type="paragraph" w:customStyle="1" w:styleId="xl69">
    <w:name w:val="xl69"/>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650A1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650A1B"/>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650A1B"/>
    <w:rPr>
      <w:color w:val="605E5C"/>
      <w:shd w:val="clear" w:color="auto" w:fill="E1DFDD"/>
    </w:rPr>
  </w:style>
  <w:style w:type="paragraph" w:styleId="PlainText">
    <w:name w:val="Plain Text"/>
    <w:basedOn w:val="Normal"/>
    <w:link w:val="PlainTextChar"/>
    <w:uiPriority w:val="99"/>
    <w:semiHidden/>
    <w:unhideWhenUsed/>
    <w:rsid w:val="00650A1B"/>
    <w:rPr>
      <w:rFonts w:ascii="Calibri" w:eastAsiaTheme="minorHAnsi" w:hAnsi="Calibri" w:cs="Calibri"/>
    </w:rPr>
  </w:style>
  <w:style w:type="character" w:customStyle="1" w:styleId="PlainTextChar">
    <w:name w:val="Plain Text Char"/>
    <w:basedOn w:val="DefaultParagraphFont"/>
    <w:link w:val="PlainText"/>
    <w:uiPriority w:val="99"/>
    <w:semiHidden/>
    <w:rsid w:val="00650A1B"/>
    <w:rPr>
      <w:rFonts w:ascii="Calibri" w:eastAsiaTheme="minorHAnsi" w:hAnsi="Calibri" w:cs="Calibri"/>
      <w:sz w:val="22"/>
      <w:szCs w:val="24"/>
    </w:rPr>
  </w:style>
  <w:style w:type="table" w:customStyle="1" w:styleId="TableGrid1">
    <w:name w:val="Table Grid1"/>
    <w:basedOn w:val="TableNormal"/>
    <w:next w:val="TableGrid"/>
    <w:uiPriority w:val="59"/>
    <w:rsid w:val="00650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50A1B"/>
    <w:rPr>
      <w:b/>
      <w:caps/>
      <w:sz w:val="22"/>
      <w:szCs w:val="24"/>
    </w:rPr>
  </w:style>
  <w:style w:type="table" w:styleId="ListTable6Colorful">
    <w:name w:val="List Table 6 Colorful"/>
    <w:basedOn w:val="TableNormal"/>
    <w:uiPriority w:val="51"/>
    <w:rsid w:val="00650A1B"/>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rsid w:val="00650A1B"/>
    <w:rPr>
      <w:i/>
      <w:iCs/>
      <w:sz w:val="22"/>
      <w:szCs w:val="24"/>
    </w:rPr>
  </w:style>
  <w:style w:type="character" w:customStyle="1" w:styleId="BodyTextIndentChar">
    <w:name w:val="Body Text Indent Char"/>
    <w:basedOn w:val="DefaultParagraphFont"/>
    <w:link w:val="BodyTextIndent"/>
    <w:rsid w:val="00650A1B"/>
    <w:rPr>
      <w:sz w:val="22"/>
      <w:szCs w:val="24"/>
    </w:rPr>
  </w:style>
  <w:style w:type="paragraph" w:styleId="Caption">
    <w:name w:val="caption"/>
    <w:basedOn w:val="Normal"/>
    <w:next w:val="Normal"/>
    <w:uiPriority w:val="35"/>
    <w:unhideWhenUsed/>
    <w:qFormat/>
    <w:rsid w:val="00650A1B"/>
    <w:pPr>
      <w:keepNext/>
      <w:keepLines/>
      <w:spacing w:after="200"/>
    </w:pPr>
    <w:rPr>
      <w:b/>
      <w:iCs/>
      <w:szCs w:val="18"/>
    </w:rPr>
  </w:style>
  <w:style w:type="paragraph" w:customStyle="1" w:styleId="CBD-Doc">
    <w:name w:val="CBD-Doc"/>
    <w:basedOn w:val="Normal"/>
    <w:rsid w:val="00650A1B"/>
    <w:pPr>
      <w:keepLines/>
      <w:numPr>
        <w:numId w:val="8"/>
      </w:numPr>
      <w:spacing w:after="120"/>
    </w:pPr>
    <w:rPr>
      <w:rFonts w:cs="Angsana New"/>
    </w:rPr>
  </w:style>
  <w:style w:type="paragraph" w:customStyle="1" w:styleId="CBD-Doc-Type">
    <w:name w:val="CBD-Doc-Type"/>
    <w:basedOn w:val="Normal"/>
    <w:rsid w:val="00650A1B"/>
    <w:pPr>
      <w:keepLines/>
      <w:spacing w:before="240" w:after="120"/>
    </w:pPr>
    <w:rPr>
      <w:rFonts w:cs="Angsana New"/>
      <w:b/>
      <w:i/>
      <w:sz w:val="24"/>
    </w:rPr>
  </w:style>
  <w:style w:type="paragraph" w:customStyle="1" w:styleId="CBD-Para">
    <w:name w:val="CBD-Para"/>
    <w:basedOn w:val="Normal"/>
    <w:link w:val="CBD-ParaCharChar"/>
    <w:uiPriority w:val="99"/>
    <w:rsid w:val="00650A1B"/>
    <w:pPr>
      <w:keepLines/>
      <w:numPr>
        <w:numId w:val="9"/>
      </w:numPr>
      <w:spacing w:before="120" w:after="120"/>
    </w:pPr>
    <w:rPr>
      <w:szCs w:val="22"/>
    </w:rPr>
  </w:style>
  <w:style w:type="character" w:customStyle="1" w:styleId="CBD-ParaCharChar">
    <w:name w:val="CBD-Para Char Char"/>
    <w:link w:val="CBD-Para"/>
    <w:uiPriority w:val="99"/>
    <w:locked/>
    <w:rsid w:val="00650A1B"/>
    <w:rPr>
      <w:sz w:val="22"/>
      <w:szCs w:val="22"/>
    </w:rPr>
  </w:style>
  <w:style w:type="character" w:customStyle="1" w:styleId="EndnoteTextChar">
    <w:name w:val="Endnote Text Char"/>
    <w:basedOn w:val="DefaultParagraphFont"/>
    <w:link w:val="EndnoteText"/>
    <w:semiHidden/>
    <w:rsid w:val="00650A1B"/>
    <w:rPr>
      <w:rFonts w:ascii="Courier New" w:hAnsi="Courier New"/>
      <w:sz w:val="22"/>
      <w:szCs w:val="24"/>
    </w:rPr>
  </w:style>
  <w:style w:type="character" w:customStyle="1" w:styleId="Heading3Char">
    <w:name w:val="Heading 3 Char"/>
    <w:basedOn w:val="DefaultParagraphFont"/>
    <w:link w:val="Heading3"/>
    <w:rsid w:val="00650A1B"/>
    <w:rPr>
      <w:i/>
      <w:iCs/>
      <w:sz w:val="22"/>
      <w:szCs w:val="24"/>
    </w:rPr>
  </w:style>
  <w:style w:type="character" w:customStyle="1" w:styleId="Heading4Char">
    <w:name w:val="Heading 4 Char"/>
    <w:basedOn w:val="DefaultParagraphFont"/>
    <w:link w:val="Heading4"/>
    <w:rsid w:val="00650A1B"/>
    <w:rPr>
      <w:rFonts w:ascii="Times New Roman Bold" w:eastAsia="Arial Unicode MS" w:hAnsi="Times New Roman Bold" w:cs="Arial"/>
      <w:b/>
      <w:bCs/>
      <w:i/>
      <w:sz w:val="22"/>
      <w:szCs w:val="24"/>
    </w:rPr>
  </w:style>
  <w:style w:type="character" w:customStyle="1" w:styleId="Heading5Char">
    <w:name w:val="Heading 5 Char"/>
    <w:basedOn w:val="DefaultParagraphFont"/>
    <w:link w:val="Heading5"/>
    <w:rsid w:val="00650A1B"/>
    <w:rPr>
      <w:bCs/>
      <w:i/>
      <w:sz w:val="22"/>
      <w:szCs w:val="26"/>
    </w:rPr>
  </w:style>
  <w:style w:type="character" w:customStyle="1" w:styleId="Heading6Char">
    <w:name w:val="Heading 6 Char"/>
    <w:basedOn w:val="DefaultParagraphFont"/>
    <w:link w:val="Heading6"/>
    <w:rsid w:val="00650A1B"/>
    <w:rPr>
      <w:sz w:val="22"/>
      <w:szCs w:val="24"/>
      <w:u w:val="single"/>
    </w:rPr>
  </w:style>
  <w:style w:type="character" w:customStyle="1" w:styleId="Heading7Char">
    <w:name w:val="Heading 7 Char"/>
    <w:basedOn w:val="DefaultParagraphFont"/>
    <w:link w:val="Heading7"/>
    <w:rsid w:val="00650A1B"/>
    <w:rPr>
      <w:rFonts w:ascii="Univers" w:hAnsi="Univers"/>
      <w:b/>
      <w:sz w:val="28"/>
      <w:szCs w:val="24"/>
    </w:rPr>
  </w:style>
  <w:style w:type="character" w:customStyle="1" w:styleId="Heading8Char">
    <w:name w:val="Heading 8 Char"/>
    <w:basedOn w:val="DefaultParagraphFont"/>
    <w:link w:val="Heading8"/>
    <w:rsid w:val="00650A1B"/>
    <w:rPr>
      <w:rFonts w:ascii="Univers" w:hAnsi="Univers"/>
      <w:b/>
      <w:sz w:val="32"/>
      <w:szCs w:val="24"/>
    </w:rPr>
  </w:style>
  <w:style w:type="paragraph" w:styleId="Subtitle">
    <w:name w:val="Subtitle"/>
    <w:basedOn w:val="Normal"/>
    <w:next w:val="Normal"/>
    <w:link w:val="SubtitleChar"/>
    <w:uiPriority w:val="11"/>
    <w:qFormat/>
    <w:rsid w:val="00650A1B"/>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650A1B"/>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50A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0A1B"/>
    <w:rPr>
      <w:rFonts w:asciiTheme="majorHAnsi" w:eastAsiaTheme="majorEastAsia" w:hAnsiTheme="majorHAnsi" w:cstheme="majorBidi"/>
      <w:color w:val="17365D" w:themeColor="text2" w:themeShade="BF"/>
      <w:spacing w:val="5"/>
      <w:kern w:val="28"/>
      <w:sz w:val="52"/>
      <w:szCs w:val="52"/>
    </w:rPr>
  </w:style>
  <w:style w:type="character" w:customStyle="1" w:styleId="UnresolvedMention2">
    <w:name w:val="Unresolved Mention2"/>
    <w:basedOn w:val="DefaultParagraphFont"/>
    <w:uiPriority w:val="99"/>
    <w:semiHidden/>
    <w:unhideWhenUsed/>
    <w:rsid w:val="00650A1B"/>
    <w:rPr>
      <w:color w:val="605E5C"/>
      <w:shd w:val="clear" w:color="auto" w:fill="E1DFDD"/>
    </w:rPr>
  </w:style>
  <w:style w:type="character" w:customStyle="1" w:styleId="markedcontent">
    <w:name w:val="markedcontent"/>
    <w:basedOn w:val="DefaultParagraphFont"/>
    <w:rsid w:val="00650A1B"/>
    <w:rPr>
      <w:rFonts w:ascii="Times New Roman" w:hAnsi="Times New Roman"/>
    </w:rPr>
  </w:style>
  <w:style w:type="paragraph" w:customStyle="1" w:styleId="paragraph">
    <w:name w:val="paragraph"/>
    <w:basedOn w:val="Normal"/>
    <w:rsid w:val="00650A1B"/>
    <w:pPr>
      <w:spacing w:before="100" w:beforeAutospacing="1" w:after="100" w:afterAutospacing="1"/>
      <w:jc w:val="left"/>
    </w:pPr>
    <w:rPr>
      <w:sz w:val="24"/>
    </w:rPr>
  </w:style>
  <w:style w:type="character" w:customStyle="1" w:styleId="eop">
    <w:name w:val="eop"/>
    <w:basedOn w:val="DefaultParagraphFont"/>
    <w:rsid w:val="00650A1B"/>
    <w:rPr>
      <w:rFonts w:ascii="Times New Roman" w:hAnsi="Times New Roman"/>
    </w:rPr>
  </w:style>
  <w:style w:type="character" w:customStyle="1" w:styleId="tabchar">
    <w:name w:val="tabchar"/>
    <w:basedOn w:val="DefaultParagraphFont"/>
    <w:rsid w:val="00650A1B"/>
    <w:rPr>
      <w:rFonts w:ascii="Times New Roman" w:hAnsi="Times New Roman"/>
    </w:rPr>
  </w:style>
  <w:style w:type="character" w:customStyle="1" w:styleId="scxw217952631">
    <w:name w:val="scxw217952631"/>
    <w:basedOn w:val="DefaultParagraphFont"/>
    <w:rsid w:val="00650A1B"/>
    <w:rPr>
      <w:rFonts w:ascii="Times New Roman" w:hAnsi="Times New Roman"/>
    </w:rPr>
  </w:style>
  <w:style w:type="character" w:customStyle="1" w:styleId="ui-provider">
    <w:name w:val="ui-provider"/>
    <w:basedOn w:val="DefaultParagraphFont"/>
    <w:rsid w:val="00650A1B"/>
    <w:rPr>
      <w:rFonts w:ascii="Times New Roman" w:hAnsi="Times New Roman"/>
    </w:rPr>
  </w:style>
  <w:style w:type="paragraph" w:customStyle="1" w:styleId="msonormal0">
    <w:name w:val="msonormal"/>
    <w:basedOn w:val="Normal"/>
    <w:rsid w:val="00650A1B"/>
    <w:pPr>
      <w:spacing w:before="100" w:beforeAutospacing="1" w:after="100" w:afterAutospacing="1"/>
      <w:jc w:val="left"/>
    </w:pPr>
    <w:rPr>
      <w:sz w:val="24"/>
    </w:rPr>
  </w:style>
  <w:style w:type="paragraph" w:customStyle="1" w:styleId="xl65">
    <w:name w:val="xl65"/>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table" w:customStyle="1" w:styleId="ListTable6Colorful1">
    <w:name w:val="List Table 6 Colorful1"/>
    <w:basedOn w:val="TableNormal"/>
    <w:next w:val="ListTable6Colorful"/>
    <w:uiPriority w:val="51"/>
    <w:rsid w:val="00650A1B"/>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67561">
      <w:bodyDiv w:val="1"/>
      <w:marLeft w:val="0"/>
      <w:marRight w:val="0"/>
      <w:marTop w:val="0"/>
      <w:marBottom w:val="0"/>
      <w:divBdr>
        <w:top w:val="none" w:sz="0" w:space="0" w:color="auto"/>
        <w:left w:val="none" w:sz="0" w:space="0" w:color="auto"/>
        <w:bottom w:val="none" w:sz="0" w:space="0" w:color="auto"/>
        <w:right w:val="none" w:sz="0" w:space="0" w:color="auto"/>
      </w:divBdr>
    </w:div>
    <w:div w:id="1720009488">
      <w:bodyDiv w:val="1"/>
      <w:marLeft w:val="0"/>
      <w:marRight w:val="0"/>
      <w:marTop w:val="0"/>
      <w:marBottom w:val="0"/>
      <w:divBdr>
        <w:top w:val="none" w:sz="0" w:space="0" w:color="auto"/>
        <w:left w:val="none" w:sz="0" w:space="0" w:color="auto"/>
        <w:bottom w:val="none" w:sz="0" w:space="0" w:color="auto"/>
        <w:right w:val="none" w:sz="0" w:space="0" w:color="auto"/>
      </w:divBdr>
    </w:div>
    <w:div w:id="212187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3/np-mop-03-dec-16-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
      <w:docPartPr>
        <w:name w:val="6A8193A12B42491F9EFE82214EBC85A8"/>
        <w:category>
          <w:name w:val="General"/>
          <w:gallery w:val="placeholder"/>
        </w:category>
        <w:types>
          <w:type w:val="bbPlcHdr"/>
        </w:types>
        <w:behaviors>
          <w:behavior w:val="content"/>
        </w:behaviors>
        <w:guid w:val="{D3911701-6623-448F-813C-00DCE7EA9334}"/>
      </w:docPartPr>
      <w:docPartBody>
        <w:p w:rsidR="0037757D" w:rsidRDefault="001B29AF">
          <w:r w:rsidRPr="00B903A7">
            <w:rPr>
              <w:rStyle w:val="PlaceholderText"/>
            </w:rPr>
            <w:t>[Subject]</w:t>
          </w:r>
        </w:p>
      </w:docPartBody>
    </w:docPart>
    <w:docPart>
      <w:docPartPr>
        <w:name w:val="62F44C6121AB47D8A2AC27E6F16A3597"/>
        <w:category>
          <w:name w:val="General"/>
          <w:gallery w:val="placeholder"/>
        </w:category>
        <w:types>
          <w:type w:val="bbPlcHdr"/>
        </w:types>
        <w:behaviors>
          <w:behavior w:val="content"/>
        </w:behaviors>
        <w:guid w:val="{4BC300BB-4349-47ED-A70C-8582234DFA1F}"/>
      </w:docPartPr>
      <w:docPartBody>
        <w:p w:rsidR="00882404" w:rsidRDefault="00805D34" w:rsidP="00805D34">
          <w:pPr>
            <w:pStyle w:val="62F44C6121AB47D8A2AC27E6F16A3597"/>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9AF"/>
    <w:rsid w:val="0000038F"/>
    <w:rsid w:val="000030D6"/>
    <w:rsid w:val="00015BC6"/>
    <w:rsid w:val="00065DBB"/>
    <w:rsid w:val="000B40BC"/>
    <w:rsid w:val="00131EC0"/>
    <w:rsid w:val="001B29AF"/>
    <w:rsid w:val="001E1A27"/>
    <w:rsid w:val="001F0161"/>
    <w:rsid w:val="00350D1A"/>
    <w:rsid w:val="0037757D"/>
    <w:rsid w:val="00493E4F"/>
    <w:rsid w:val="004A69EC"/>
    <w:rsid w:val="004B43FA"/>
    <w:rsid w:val="005B6483"/>
    <w:rsid w:val="00600BCA"/>
    <w:rsid w:val="00621BAD"/>
    <w:rsid w:val="006F26A3"/>
    <w:rsid w:val="007A4AF0"/>
    <w:rsid w:val="007E501A"/>
    <w:rsid w:val="00805D34"/>
    <w:rsid w:val="0083264A"/>
    <w:rsid w:val="0084042A"/>
    <w:rsid w:val="00882404"/>
    <w:rsid w:val="008F6F08"/>
    <w:rsid w:val="00975CD2"/>
    <w:rsid w:val="009805F2"/>
    <w:rsid w:val="0099042D"/>
    <w:rsid w:val="00A27574"/>
    <w:rsid w:val="00B171AC"/>
    <w:rsid w:val="00B36C7B"/>
    <w:rsid w:val="00B37D01"/>
    <w:rsid w:val="00BB2CFE"/>
    <w:rsid w:val="00BD0A20"/>
    <w:rsid w:val="00BD6D77"/>
    <w:rsid w:val="00C01711"/>
    <w:rsid w:val="00C738BF"/>
    <w:rsid w:val="00D5481D"/>
    <w:rsid w:val="00D575A3"/>
    <w:rsid w:val="00EC17B5"/>
    <w:rsid w:val="00EE6614"/>
    <w:rsid w:val="00F24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5D34"/>
    <w:rPr>
      <w:color w:val="808080"/>
    </w:rPr>
  </w:style>
  <w:style w:type="paragraph" w:customStyle="1" w:styleId="62F44C6121AB47D8A2AC27E6F16A3597">
    <w:name w:val="62F44C6121AB47D8A2AC27E6F16A3597"/>
    <w:rsid w:val="00805D34"/>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2A463-5909-46DF-AA69-9D5E0A76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F16C0-67BC-44A7-AEFA-34D2AAD5A742}">
  <ds:schemaRefs>
    <ds:schemaRef ds:uri="http://schemas.microsoft.com/sharepoint/v3/contenttype/forms"/>
  </ds:schemaRefs>
</ds:datastoreItem>
</file>

<file path=customXml/itemProps3.xml><?xml version="1.0" encoding="utf-8"?>
<ds:datastoreItem xmlns:ds="http://schemas.openxmlformats.org/officeDocument/2006/customXml" ds:itemID="{82905B2A-E3CF-4297-8C6B-7FAF9C65FD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8611D2-8B92-4BA4-A0F6-A927E27C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Budget for the integrated programme of work of the Secretariat</vt:lpstr>
    </vt:vector>
  </TitlesOfParts>
  <Manager/>
  <Company>United Nations</Company>
  <LinksUpToDate>false</LinksUpToDate>
  <CharactersWithSpaces>12390</CharactersWithSpaces>
  <SharedDoc>false</SharedDoc>
  <HyperlinkBase>https://www.cbd.int/conferences/2021-2022</HyperlinkBase>
  <HLinks>
    <vt:vector size="6" baseType="variant">
      <vt:variant>
        <vt:i4>7471152</vt:i4>
      </vt:variant>
      <vt:variant>
        <vt:i4>0</vt:i4>
      </vt:variant>
      <vt:variant>
        <vt:i4>0</vt:i4>
      </vt:variant>
      <vt:variant>
        <vt:i4>5</vt:i4>
      </vt:variant>
      <vt:variant>
        <vt:lpwstr>https://www.cbd.int/doc/decisions/np-mop-03/np-mop-03-dec-16-en.pdf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for the integrated programme of work of the Secretariat</dc:title>
  <dc:subject>CBD/NP/MOP/4/L.2</dc:subject>
  <dc:creator>NP-MOP-4</dc:creator>
  <cp:keywords>Conference of the Parties to the Convention on Biological Diversity serving as the meeting of the Parties to the Nagoya Protocol on Access to Genetic Resources and the Fair and Equitable Sharing of Benefits Arising from Their Utilization, fourth meeting</cp:keywords>
  <dc:description>Draft decision submitted by the Chair of the Budget Committee</dc:description>
  <cp:lastModifiedBy>Angela Xuehe Yan</cp:lastModifiedBy>
  <cp:revision>31</cp:revision>
  <cp:lastPrinted>2019-03-11T16:25:00Z</cp:lastPrinted>
  <dcterms:created xsi:type="dcterms:W3CDTF">2021-10-12T15:32:00Z</dcterms:created>
  <dcterms:modified xsi:type="dcterms:W3CDTF">2021-10-12T19:09:00Z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*.*.CBD..*.Distr..LIMITÉE..CBD/NP/MOP/4/L.2.11 octobre 2021..FRANÇAIS .ORIGINAL : ANGLAIS...CONFÉRENCE DES PARTIES À LA CONVENTION SUR LA DIVERSITÉ BIOLOGIQUE SIÉGEANT EN TANT QUE RÉUNION DES PARTIES AU PROTOCOLE DE NAGOYA SUR L'ACCÈS AUX RESSOURCES GÉNÉ</vt:lpwstr>
  </property>
</Properties>
</file>