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8504D" w14:paraId="140D19FD" w14:textId="77777777" w:rsidTr="006732C2">
        <w:trPr>
          <w:trHeight w:val="851"/>
        </w:trPr>
        <w:tc>
          <w:tcPr>
            <w:tcW w:w="465" w:type="pct"/>
            <w:tcBorders>
              <w:bottom w:val="single" w:sz="8" w:space="0" w:color="auto"/>
            </w:tcBorders>
            <w:vAlign w:val="bottom"/>
          </w:tcPr>
          <w:p w14:paraId="09931F0C" w14:textId="799FAB9C" w:rsidR="00A96B21" w:rsidRPr="0028504D" w:rsidRDefault="00A96B21" w:rsidP="006732C2">
            <w:pPr>
              <w:spacing w:after="120"/>
              <w:jc w:val="left"/>
            </w:pPr>
            <w:bookmarkStart w:id="0" w:name="_Hlk137651738"/>
            <w:r>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543B9FB7" w:rsidR="00A96B21" w:rsidRPr="0028504D" w:rsidRDefault="00A75BDF" w:rsidP="006732C2">
            <w:pPr>
              <w:spacing w:after="120"/>
              <w:jc w:val="left"/>
            </w:pPr>
            <w:r w:rsidRPr="00A75BDF">
              <w:rPr>
                <w:noProof/>
                <w:lang w:val="es-ES_tradnl" w:eastAsia="es-ES_tradnl"/>
              </w:rPr>
              <w:drawing>
                <wp:inline distT="0" distB="0" distL="0" distR="0" wp14:anchorId="0E6B1F34" wp14:editId="3E98BAB3">
                  <wp:extent cx="866775" cy="375285"/>
                  <wp:effectExtent l="19050" t="0" r="952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5A01D9CB" w14:textId="121CE62A" w:rsidR="00A96B21" w:rsidRPr="0028504D" w:rsidRDefault="00A96B21" w:rsidP="00184909">
            <w:pPr>
              <w:spacing w:after="120"/>
              <w:ind w:left="2021"/>
              <w:jc w:val="right"/>
              <w:rPr>
                <w:szCs w:val="22"/>
              </w:rPr>
            </w:pPr>
            <w:r>
              <w:rPr>
                <w:sz w:val="40"/>
              </w:rPr>
              <w:t>CBD</w:t>
            </w:r>
            <w:r>
              <w:t>/SBSTTA/26/3/Add.1</w:t>
            </w:r>
          </w:p>
        </w:tc>
      </w:tr>
      <w:tr w:rsidR="00A96B21" w:rsidRPr="00A75BDF" w14:paraId="02BA3E68" w14:textId="77777777" w:rsidTr="006732C2">
        <w:tc>
          <w:tcPr>
            <w:tcW w:w="2297" w:type="pct"/>
            <w:gridSpan w:val="2"/>
            <w:tcBorders>
              <w:top w:val="single" w:sz="8" w:space="0" w:color="auto"/>
              <w:bottom w:val="single" w:sz="12" w:space="0" w:color="auto"/>
            </w:tcBorders>
          </w:tcPr>
          <w:p w14:paraId="55AABF33" w14:textId="478EB47F" w:rsidR="00A96B21" w:rsidRPr="0028504D" w:rsidRDefault="00A75BDF" w:rsidP="006732C2">
            <w:pPr>
              <w:pStyle w:val="Cornernotation"/>
              <w:suppressLineNumbers/>
              <w:suppressAutoHyphens/>
              <w:spacing w:after="120"/>
              <w:ind w:right="0"/>
            </w:pPr>
            <w:r w:rsidRPr="00DC4203">
              <w:rPr>
                <w:b w:val="0"/>
                <w:noProof/>
                <w:lang w:val="es-ES_tradnl" w:eastAsia="es-ES_tradnl"/>
              </w:rPr>
              <w:drawing>
                <wp:inline distT="0" distB="0" distL="0" distR="0" wp14:anchorId="48AF4D2C" wp14:editId="08305B78">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275DB86" w14:textId="77777777" w:rsidR="00A96B21" w:rsidRPr="00A75BDF" w:rsidRDefault="00A96B21" w:rsidP="00BB6518">
            <w:pPr>
              <w:spacing w:before="0"/>
              <w:ind w:left="2584"/>
              <w:rPr>
                <w:sz w:val="22"/>
                <w:szCs w:val="22"/>
                <w:lang w:val="en-US"/>
              </w:rPr>
            </w:pPr>
            <w:r w:rsidRPr="00A75BDF">
              <w:rPr>
                <w:sz w:val="22"/>
                <w:lang w:val="en-US"/>
              </w:rPr>
              <w:t>Distr.: General</w:t>
            </w:r>
          </w:p>
          <w:p w14:paraId="3D72A235" w14:textId="6757CFD8" w:rsidR="00A96B21" w:rsidRPr="00A75BDF" w:rsidRDefault="00CC4658" w:rsidP="00BB6518">
            <w:pPr>
              <w:spacing w:before="0"/>
              <w:ind w:left="2584"/>
              <w:rPr>
                <w:sz w:val="22"/>
                <w:szCs w:val="22"/>
                <w:lang w:val="en-US"/>
              </w:rPr>
            </w:pPr>
            <w:r w:rsidRPr="00A75BDF">
              <w:rPr>
                <w:sz w:val="22"/>
                <w:lang w:val="en-US"/>
              </w:rPr>
              <w:t>17 April 2024</w:t>
            </w:r>
          </w:p>
          <w:p w14:paraId="71C5A29E" w14:textId="77777777" w:rsidR="00A96B21" w:rsidRPr="00A75BDF" w:rsidRDefault="00A96B21" w:rsidP="00BB6518">
            <w:pPr>
              <w:spacing w:before="0"/>
              <w:ind w:left="2584"/>
              <w:rPr>
                <w:sz w:val="22"/>
                <w:szCs w:val="22"/>
                <w:lang w:val="en-US"/>
              </w:rPr>
            </w:pPr>
            <w:r w:rsidRPr="00A75BDF">
              <w:rPr>
                <w:sz w:val="22"/>
                <w:lang w:val="en-US"/>
              </w:rPr>
              <w:t>Russian</w:t>
            </w:r>
            <w:r w:rsidRPr="00A75BDF">
              <w:rPr>
                <w:sz w:val="22"/>
                <w:lang w:val="en-US"/>
              </w:rPr>
              <w:br/>
              <w:t>Original: English</w:t>
            </w:r>
          </w:p>
          <w:p w14:paraId="45FC7FA9" w14:textId="77777777" w:rsidR="00A96B21" w:rsidRPr="00A75BDF" w:rsidRDefault="00A96B21" w:rsidP="006732C2">
            <w:pPr>
              <w:rPr>
                <w:lang w:val="en-US"/>
              </w:rPr>
            </w:pPr>
          </w:p>
        </w:tc>
      </w:tr>
    </w:tbl>
    <w:p w14:paraId="3DF8BE40" w14:textId="77777777" w:rsidR="00874541" w:rsidRPr="00F77252" w:rsidRDefault="00BF60B0" w:rsidP="00BB6518">
      <w:pPr>
        <w:pStyle w:val="Cornernotation"/>
        <w:spacing w:before="0"/>
        <w:ind w:right="5249"/>
        <w:rPr>
          <w:bCs/>
        </w:rPr>
      </w:pPr>
      <w:r>
        <w:t>Вспомогательный орган по научным, техническим и технологическим консультациям</w:t>
      </w:r>
    </w:p>
    <w:p w14:paraId="0AA76603" w14:textId="4660A4FD" w:rsidR="00A96B21" w:rsidRPr="00B7007D" w:rsidRDefault="00D163F5" w:rsidP="00BB6518">
      <w:pPr>
        <w:pStyle w:val="Cornernotation"/>
        <w:spacing w:before="0"/>
        <w:rPr>
          <w:bCs/>
          <w:sz w:val="22"/>
          <w:szCs w:val="22"/>
        </w:rPr>
      </w:pPr>
      <w:r>
        <w:t>Двадцать шестое совещание</w:t>
      </w:r>
      <w:r>
        <w:rPr>
          <w:sz w:val="22"/>
        </w:rPr>
        <w:t xml:space="preserve"> </w:t>
      </w:r>
    </w:p>
    <w:p w14:paraId="53013384" w14:textId="391D7CA4" w:rsidR="00A96B21" w:rsidRPr="00B7007D" w:rsidRDefault="00435A96" w:rsidP="00BB6518">
      <w:pPr>
        <w:pStyle w:val="Venuedate"/>
        <w:spacing w:before="0"/>
      </w:pPr>
      <w:r>
        <w:t>Найроби, 13-18 мая 2024 года</w:t>
      </w:r>
    </w:p>
    <w:p w14:paraId="70223228" w14:textId="6FC918C4" w:rsidR="00A96B21" w:rsidRPr="00B7007D" w:rsidRDefault="00A96B21" w:rsidP="00CE5BB4">
      <w:pPr>
        <w:pStyle w:val="Cornernotation-Item"/>
        <w:spacing w:before="0"/>
        <w:rPr>
          <w:b w:val="0"/>
          <w:bCs w:val="0"/>
        </w:rPr>
      </w:pPr>
      <w:r>
        <w:rPr>
          <w:b w:val="0"/>
        </w:rPr>
        <w:t>Пункт 4 предварительной повестки дня</w:t>
      </w:r>
      <w:r>
        <w:rPr>
          <w:rStyle w:val="ab"/>
          <w:b w:val="0"/>
          <w:bCs w:val="0"/>
        </w:rPr>
        <w:footnoteReference w:customMarkFollows="1" w:id="2"/>
        <w:t>*</w:t>
      </w:r>
    </w:p>
    <w:p w14:paraId="79F21FF9" w14:textId="5281AB65" w:rsidR="002D4C0A" w:rsidRPr="00BB6518" w:rsidRDefault="00036355" w:rsidP="00BB6518">
      <w:pPr>
        <w:pStyle w:val="Cornernotation-Item"/>
        <w:spacing w:before="0"/>
        <w:ind w:right="5107"/>
      </w:pPr>
      <w:r>
        <w:t>Научно-технические потребности для поддержки осуществления Куньминско-Монреальской глобальной рамочной программы в области биоразнообразия</w:t>
      </w:r>
    </w:p>
    <w:bookmarkEnd w:id="0"/>
    <w:p w14:paraId="3196A869" w14:textId="1A2A40E8" w:rsidR="000352B3" w:rsidRPr="0028504D" w:rsidRDefault="00227C27" w:rsidP="000352B3">
      <w:pPr>
        <w:pStyle w:val="ac"/>
        <w:spacing w:after="120"/>
        <w:ind w:left="567"/>
        <w:jc w:val="left"/>
        <w:rPr>
          <w:rFonts w:eastAsiaTheme="majorEastAsia" w:cs="Times New Roman"/>
          <w:bCs/>
          <w:color w:val="auto"/>
          <w:spacing w:val="5"/>
          <w:kern w:val="28"/>
          <w:sz w:val="28"/>
          <w:szCs w:val="28"/>
          <w14:ligatures w14:val="standardContextual"/>
        </w:rPr>
      </w:pPr>
      <w:r>
        <w:rPr>
          <w:color w:val="auto"/>
          <w:sz w:val="28"/>
        </w:rPr>
        <w:t>Вопросы, связанные с программой работы Межправительственной научно-политической платформы по биоразнообразию и экосистемным услугам</w:t>
      </w:r>
      <w:r>
        <w:rPr>
          <w:rStyle w:val="ab"/>
          <w:rFonts w:eastAsiaTheme="majorEastAsia" w:cs="Times New Roman"/>
          <w:bCs/>
          <w:color w:val="auto"/>
          <w:spacing w:val="5"/>
          <w:kern w:val="28"/>
          <w:sz w:val="28"/>
          <w:szCs w:val="28"/>
        </w:rPr>
        <w:footnoteReference w:customMarkFollows="1" w:id="3"/>
        <w:t>**</w:t>
      </w:r>
    </w:p>
    <w:p w14:paraId="2987FD86" w14:textId="227FCDE3" w:rsidR="00227C27" w:rsidRPr="00227C27" w:rsidRDefault="00A96B21" w:rsidP="00227C27">
      <w:pPr>
        <w:pStyle w:val="ac"/>
        <w:spacing w:after="120"/>
        <w:ind w:left="567"/>
        <w:jc w:val="left"/>
        <w:rPr>
          <w:rFonts w:ascii="Times New Roman" w:hAnsi="Times New Roman" w:cs="Times New Roman"/>
          <w:color w:val="auto"/>
        </w:rPr>
      </w:pPr>
      <w:r>
        <w:rPr>
          <w:rFonts w:ascii="Times New Roman" w:hAnsi="Times New Roman"/>
          <w:color w:val="auto"/>
        </w:rPr>
        <w:t>Записка секретариата</w:t>
      </w:r>
    </w:p>
    <w:p w14:paraId="6115D352" w14:textId="16E98738" w:rsidR="00227C27" w:rsidRPr="003B216B" w:rsidRDefault="00227C27" w:rsidP="00F77252">
      <w:pPr>
        <w:pStyle w:val="1"/>
        <w:numPr>
          <w:ilvl w:val="0"/>
          <w:numId w:val="0"/>
        </w:numPr>
        <w:ind w:left="567" w:hanging="513"/>
      </w:pPr>
      <w:r>
        <w:t>I.</w:t>
      </w:r>
      <w:r>
        <w:tab/>
        <w:t>Введение</w:t>
      </w:r>
    </w:p>
    <w:p w14:paraId="1D58E23C" w14:textId="6208CF6F" w:rsidR="00227C27" w:rsidRPr="0030115D" w:rsidRDefault="00227C27" w:rsidP="00F77252">
      <w:pPr>
        <w:pStyle w:val="Para10"/>
        <w:rPr>
          <w:rFonts w:eastAsia="MS Mincho"/>
          <w:szCs w:val="22"/>
        </w:rPr>
      </w:pPr>
      <w:r>
        <w:t>В решении 15/19 Конференция Сторон приняла решение о программе работы Межправительственной научно-политической платформы по биоразнообразию и экосистемным услугам. В этом решении Конференция Сторон, в частности, приветствовала скользящую программу работы Платформы на период до 2030 года и утверждение Пленумом Платформы ряда последних докладов об оценке, а также предложила Платформе рассмотреть запросы в отношении второй глобальной оценки биоразнообразия и экосистемных услуг и потенциальных оперативных оценок, для включения в скользящую программу работы. Вопрос о важности предыдущих оценок Платформы и оценок, включенных в скользящую программу работы по глобальному обзору коллективного прогресса в осуществлении Куньминско-Монреальской глобальной рамочной программы в области биоразнообразия, был рассмотрен Вспомогательным органом по научным, техническим и технологическим консультациям на его 25-м совещании (см. рекомендацию 25/2).</w:t>
      </w:r>
    </w:p>
    <w:p w14:paraId="75EBCB6B" w14:textId="632B3AAE" w:rsidR="00227C27" w:rsidRPr="00862CB8" w:rsidRDefault="00227C27" w:rsidP="00F77252">
      <w:pPr>
        <w:pStyle w:val="Para10"/>
        <w:rPr>
          <w:rFonts w:eastAsia="MS Mincho"/>
        </w:rPr>
      </w:pPr>
      <w:r>
        <w:t xml:space="preserve">В решении 15/19 Конференция Сторон поручила Исполнительному секретарю регулярно и систематически проводить оценку и докладывать Вспомогательному органу о том, каким образом обеспечивать учет ожидаемых результатов в рамках всех функций и процессов Платформы, включая перспективный график и постоянный пункт повестки дня на совещаниях (пункт 13), а также собрать мнения Сторон о том, каким образом Платформа могла бы в рамках своих определенных функций по подготовке дальнейших оценок, созданию потенциала, укреплению знаний и поддержке политики внести вклад в процесс обзора и </w:t>
      </w:r>
      <w:r>
        <w:lastRenderedPageBreak/>
        <w:t>мониторинга Рамочной программы (пункт 14). В рекомендации 25/3 Вспомогательный орган по научным, техническим и технологическим консультациям предложил Сторонам, правительствам других стран, коренным народам и местным общинам, женщинам, молодежи, секретариатам конвенций, связанных с биоразнообразием, Рио-де-Жанейрским конвенциям и другим соответствующим многосторонним соглашениям и соответствующим межправительственным организациям и субъектам деятельности представить свои мнения касательно программы работы Межправительственной научно-политической платформы по биоразнообразию и экосистемным услугам и потенциального вклада Платформы в удовлетворении научно-технических потребностей в поддержку осуществления Рамочной программы и глобального обзора коллективного прогресса и поручил Исполнительному секретарю обобщить эти мнения и представить их для рассмотрения Вспомогательным органом по научным, техническим и технологическим консультациям на его 26-м совещании.</w:t>
      </w:r>
    </w:p>
    <w:p w14:paraId="71E7CDD7" w14:textId="5C105742" w:rsidR="00227C27" w:rsidRPr="00462FDF" w:rsidRDefault="00227C27" w:rsidP="00F77252">
      <w:pPr>
        <w:pStyle w:val="Para10"/>
        <w:rPr>
          <w:rFonts w:eastAsia="MS Mincho"/>
        </w:rPr>
      </w:pPr>
      <w:r>
        <w:t xml:space="preserve">В настоящей записке содержится обзор рассмотрения завершенных оценок и перспективный график рассмотрения будущих оценок (раздел II), мнения Сторон и наблюдателей относительно дополнительной оценки и иного вклада Платформы в поддержку осуществления Рамочной программы (раздел III) и предлагаемые рекомендации для рассмотрения Вспомогательным органом (раздел IV). </w:t>
      </w:r>
    </w:p>
    <w:p w14:paraId="64D0A89D" w14:textId="22313EAC" w:rsidR="00227C27" w:rsidRPr="002C7339" w:rsidRDefault="00CC4658" w:rsidP="00F77252">
      <w:pPr>
        <w:pStyle w:val="1"/>
        <w:numPr>
          <w:ilvl w:val="0"/>
          <w:numId w:val="0"/>
        </w:numPr>
        <w:ind w:left="567" w:hanging="567"/>
      </w:pPr>
      <w:r>
        <w:t xml:space="preserve">II. </w:t>
      </w:r>
      <w:r>
        <w:tab/>
        <w:t>Продолжающееся сотрудничество между Платформой и Конвенцией, обзор рассмотрения завершенных оценок и перспективный график рассмотрения будущих оценок</w:t>
      </w:r>
    </w:p>
    <w:p w14:paraId="33E18473" w14:textId="708094F8" w:rsidR="00227C27" w:rsidRPr="002C7339" w:rsidRDefault="00227C27" w:rsidP="00F77252">
      <w:pPr>
        <w:pStyle w:val="Para10"/>
        <w:rPr>
          <w:rFonts w:eastAsia="MS Mincho"/>
          <w:szCs w:val="22"/>
        </w:rPr>
      </w:pPr>
      <w:r>
        <w:t xml:space="preserve">В решениях XI/13 C и XII/25 Конференция Сторон определила условия сотрудничества между Конвенцией и Межправительственной научно-политической платформой по биоразнообразию и экосистемным услугам, в частности в отношении роли Вспомогательного органа по научным, техническим и технологическим консультациям в изучении соответствующих наработок Платформы и в подготовке рекомендаций для Конференции Сторон в отношении заявок в адрес Платформы. В этих решениях также рассматривались вопросы обмена информацией между Вспомогательным органом и Платформой, участия Председателя Вспомогательного органа в работе Многодисциплинарной группы экспертов Платформы, сотрудничества между Исполнительным секретарем и секретариатом Платформы, а также роль Исполнительного секретаря в доведении соответствующей информации Платформы до сведения Сторон.  </w:t>
      </w:r>
    </w:p>
    <w:p w14:paraId="6DA2FB74" w14:textId="3621D70B" w:rsidR="00227C27" w:rsidRPr="00027186" w:rsidRDefault="00227C27" w:rsidP="00F77252">
      <w:pPr>
        <w:pStyle w:val="Para10"/>
        <w:rPr>
          <w:rFonts w:eastAsia="MS Mincho"/>
        </w:rPr>
      </w:pPr>
      <w:r>
        <w:t>Как напомнила Конференция Сторон в преамбуле к своему решению 15/19, Вспомогательный орган систематически рассматривал доклады об оценке, подготовленные Платформой, и представлял соответствующие рекомендации на рассмотрение Конференции Сторон. В документе CBD/COP/15/13 приводится таблица, содержащая обзор результатов работы Платформы и итоги их рассмотрения Вспомогательным органом и затем Конференцией Сторон. В приложении к настоящему документу приводится обновленная информация, в то</w:t>
      </w:r>
      <w:r w:rsidR="009802FB">
        <w:t>м</w:t>
      </w:r>
      <w:r>
        <w:t xml:space="preserve"> числе </w:t>
      </w:r>
      <w:r w:rsidR="009802FB">
        <w:t xml:space="preserve">о </w:t>
      </w:r>
      <w:r>
        <w:t>тр</w:t>
      </w:r>
      <w:r w:rsidR="009802FB">
        <w:t>ех</w:t>
      </w:r>
      <w:r>
        <w:t xml:space="preserve"> новы</w:t>
      </w:r>
      <w:r w:rsidR="009802FB">
        <w:t>х</w:t>
      </w:r>
      <w:r>
        <w:t xml:space="preserve"> оценк</w:t>
      </w:r>
      <w:r w:rsidR="009802FB">
        <w:t>ах</w:t>
      </w:r>
      <w:r>
        <w:t>, утвержденны</w:t>
      </w:r>
      <w:r w:rsidR="009802FB">
        <w:t>х</w:t>
      </w:r>
      <w:r>
        <w:t xml:space="preserve"> Платформой и рассмотренны</w:t>
      </w:r>
      <w:r w:rsidR="009802FB">
        <w:t>х</w:t>
      </w:r>
      <w:r>
        <w:t xml:space="preserve"> Вспомогательным органом на его 25-м совещании. </w:t>
      </w:r>
    </w:p>
    <w:p w14:paraId="20957C84" w14:textId="6195BE4F" w:rsidR="00227C27" w:rsidRDefault="00227C27" w:rsidP="00F77252">
      <w:pPr>
        <w:pStyle w:val="Para10"/>
        <w:rPr>
          <w:rFonts w:eastAsia="MS Mincho"/>
        </w:rPr>
      </w:pPr>
      <w:r>
        <w:t xml:space="preserve">В приложении приводится также перспективный график подготовки Платформой дальнейших докладов об оценке и сроки их рассмотрения Вспомогательным органом. Сюда входят две оперативные оценки, утвержденные Платформой на ее десятой сессии во исполнение решения 15/9 Конференции Сторон. Кроме того, в таблице указана важность различных оценок в контексте тех или иных задач и других элементов Рамочной программы. </w:t>
      </w:r>
    </w:p>
    <w:p w14:paraId="21D692AC" w14:textId="29E86EAC" w:rsidR="00227C27" w:rsidRPr="00F77252" w:rsidRDefault="00227C27" w:rsidP="00F77252">
      <w:pPr>
        <w:pStyle w:val="a"/>
        <w:keepNext/>
        <w:numPr>
          <w:ilvl w:val="0"/>
          <w:numId w:val="0"/>
        </w:numPr>
        <w:tabs>
          <w:tab w:val="left" w:pos="567"/>
        </w:tabs>
        <w:snapToGrid w:val="0"/>
        <w:spacing w:after="120" w:line="240" w:lineRule="auto"/>
        <w:ind w:left="567" w:hanging="567"/>
        <w:contextualSpacing w:val="0"/>
        <w:outlineLvl w:val="0"/>
        <w:rPr>
          <w:b/>
          <w:bCs/>
          <w:caps/>
          <w:sz w:val="28"/>
          <w:szCs w:val="28"/>
        </w:rPr>
      </w:pPr>
      <w:r>
        <w:rPr>
          <w:b/>
          <w:caps/>
          <w:sz w:val="28"/>
        </w:rPr>
        <w:lastRenderedPageBreak/>
        <w:t xml:space="preserve">III. </w:t>
      </w:r>
      <w:r>
        <w:rPr>
          <w:b/>
          <w:caps/>
          <w:sz w:val="28"/>
        </w:rPr>
        <w:tab/>
      </w:r>
      <w:r>
        <w:rPr>
          <w:b/>
          <w:sz w:val="28"/>
        </w:rPr>
        <w:t>Мнения Сторон и наблюдателей относительно дополнительной оценки и иного вклада Платформы в поддержку осуществления Рамочной программы</w:t>
      </w:r>
    </w:p>
    <w:p w14:paraId="3FC5853C" w14:textId="4370E409" w:rsidR="00227C27" w:rsidRPr="006B25E0" w:rsidRDefault="00227C27" w:rsidP="00F77252">
      <w:pPr>
        <w:pStyle w:val="Para10"/>
      </w:pPr>
      <w:r>
        <w:t>В соответствии с рекомендацией 25/3 Вспомогательного органа Исполнительный секретарь в уведомлении 2024-006 предложил Сторонам и наблюдателям высказать мнения относительно программы работы служб Платформы и потенциального вклада Платформы в удовлетворение научно-технических потребностей в поддержку осуществления Рамочной программы и глобального обзора коллективного прогресса. Десять Сторон</w:t>
      </w:r>
      <w:r w:rsidRPr="0021772E">
        <w:rPr>
          <w:rStyle w:val="ab"/>
          <w:rFonts w:eastAsia="MS Mincho"/>
          <w:kern w:val="22"/>
          <w:szCs w:val="22"/>
        </w:rPr>
        <w:footnoteReference w:id="4"/>
      </w:r>
      <w:r>
        <w:t xml:space="preserve"> и восемь наблюдателей представили мнения, которые изложены ниже в кратком виде. В полном виде мнения представлены на соответствующей веб-странице</w:t>
      </w:r>
      <w:r w:rsidRPr="00F77252">
        <w:rPr>
          <w:rStyle w:val="ab"/>
          <w:rFonts w:eastAsia="MS Mincho"/>
          <w:szCs w:val="22"/>
        </w:rPr>
        <w:footnoteReference w:id="5"/>
      </w:r>
      <w:r>
        <w:t>.</w:t>
      </w:r>
    </w:p>
    <w:p w14:paraId="179523D8" w14:textId="2C9406E2" w:rsidR="00227C27" w:rsidRPr="002D1E34" w:rsidRDefault="006D426D" w:rsidP="00F77252">
      <w:pPr>
        <w:pStyle w:val="2"/>
        <w:rPr>
          <w:rFonts w:eastAsia="MS Mincho"/>
          <w:szCs w:val="22"/>
        </w:rPr>
      </w:pPr>
      <w:r>
        <w:t>A.</w:t>
      </w:r>
      <w:r>
        <w:tab/>
        <w:t>Мнения, касающиеся конкретных тем дополнительной оперативной оценки</w:t>
      </w:r>
    </w:p>
    <w:p w14:paraId="4F8CCF2A" w14:textId="7F3366A2" w:rsidR="00227C27" w:rsidRDefault="00227C27" w:rsidP="00F77252">
      <w:pPr>
        <w:pStyle w:val="Para10"/>
        <w:rPr>
          <w:rFonts w:eastAsia="MS Mincho"/>
          <w:kern w:val="22"/>
        </w:rPr>
      </w:pPr>
      <w:r>
        <w:t xml:space="preserve">В ходе 12-й сессии Пленума Платформы, которая состоится в 2025 году, Платформа определит тему будущей оперативной оценки, которая должна быть завершена к 2028 году. Поэтому Конференция Сторон должна окончательно сформулировать свои запросы на проведение этой оценки на своем 16-м совещании, принимая во внимание любые рекомендации Вспомогательного органа, вынесенные им на 26-м совещании. </w:t>
      </w:r>
    </w:p>
    <w:p w14:paraId="67F452DA" w14:textId="71F54F6E" w:rsidR="00227C27" w:rsidRPr="00F77252" w:rsidRDefault="00227C27" w:rsidP="00F77252">
      <w:pPr>
        <w:pStyle w:val="Para10"/>
        <w:rPr>
          <w:rFonts w:eastAsia="MS Mincho"/>
        </w:rPr>
      </w:pPr>
      <w:r>
        <w:t>В своих представленных материалах ряд Сторон подчеркнули, что при рассмотрении вариантов запроса в адрес Платформы Конференция Сторон должна принять во внимание проводимую в рамках данного пункта повестки дня оценку научно-технических потребностей в поддержку осуществления Куньминско-Монреальской глобальной рамочной программы в области биоразнообразия.</w:t>
      </w:r>
    </w:p>
    <w:p w14:paraId="231B51CF" w14:textId="71210E8C" w:rsidR="00227C27" w:rsidRDefault="00227C27" w:rsidP="00F77252">
      <w:pPr>
        <w:pStyle w:val="Para10"/>
        <w:rPr>
          <w:rFonts w:eastAsia="MS Mincho"/>
        </w:rPr>
      </w:pPr>
      <w:r>
        <w:t xml:space="preserve">Ряд Сторон предложили провести оценку </w:t>
      </w:r>
      <w:r>
        <w:rPr>
          <w:i/>
        </w:rPr>
        <w:t>биоразнообразия и загрязнения</w:t>
      </w:r>
      <w:r>
        <w:t>, отметив, что загрязнение является единственным прямым фактором утраты биоразнообразия, в отношении которого Платформа или Международная группа экспертов по изменению климата еще не проводили официальной оценки. Одна из Сторон</w:t>
      </w:r>
      <w:r>
        <w:rPr>
          <w:rStyle w:val="ab"/>
          <w:rFonts w:eastAsia="MS Mincho"/>
          <w:kern w:val="22"/>
          <w:szCs w:val="22"/>
        </w:rPr>
        <w:footnoteReference w:id="6"/>
      </w:r>
      <w:r>
        <w:t xml:space="preserve"> представила подробные предложения по сфере охвата такой оценки. В ходе оценки научно-технических потребностей в имеющихся средствах и руководящих указаниях был также выявлен существенный пробел, касающийся вопросов, связанных с задачей 7 (загрязнение).</w:t>
      </w:r>
    </w:p>
    <w:p w14:paraId="6A1E3927" w14:textId="77777777" w:rsidR="00227C27" w:rsidRDefault="00227C27" w:rsidP="00F77252">
      <w:pPr>
        <w:pStyle w:val="Para10"/>
        <w:rPr>
          <w:rFonts w:eastAsia="MS Mincho"/>
        </w:rPr>
      </w:pPr>
      <w:r>
        <w:t xml:space="preserve">Несколько Сторон указали в качестве потенциального пробела </w:t>
      </w:r>
      <w:r>
        <w:rPr>
          <w:i/>
        </w:rPr>
        <w:t>биоразнообразие и изменение климата</w:t>
      </w:r>
      <w:r>
        <w:t xml:space="preserve">, в то время как другие сочли, что этот вопрос уже был детально рассмотрен в рамках ряда оценок и докладов о работе семинаров Платформы и Межправительственной группы экспертов по изменению климата. Ряд Сторон призвали к активизации сотрудничества между Платформой и Межправительственной группой экспертов по изменению климата, а также к тому, чтобы любая оценка по этой теме проводилась в сотрудничестве с Межправительственной группой экспертов. </w:t>
      </w:r>
    </w:p>
    <w:p w14:paraId="24838DE6" w14:textId="6AF53574" w:rsidR="00227C27" w:rsidRPr="00A173A9" w:rsidRDefault="00227C27" w:rsidP="00F77252">
      <w:pPr>
        <w:pStyle w:val="Para10"/>
        <w:rPr>
          <w:rFonts w:eastAsia="MS Mincho"/>
        </w:rPr>
      </w:pPr>
      <w:r>
        <w:t xml:space="preserve">Одна из Сторон предложила провести оценку </w:t>
      </w:r>
      <w:r>
        <w:rPr>
          <w:i/>
        </w:rPr>
        <w:t>городов и биоразнообразия,</w:t>
      </w:r>
      <w:r>
        <w:t xml:space="preserve"> представив подробные предложения по сфере охвата такой оценки</w:t>
      </w:r>
      <w:r>
        <w:rPr>
          <w:rStyle w:val="ab"/>
          <w:rFonts w:eastAsia="MS Mincho"/>
          <w:kern w:val="22"/>
          <w:szCs w:val="22"/>
        </w:rPr>
        <w:footnoteReference w:id="7"/>
      </w:r>
      <w:r>
        <w:t>, включающую вопросы, связанные с задачами 1, 2, 4, 6, 7, 8, 11, 12, 14 и 16.</w:t>
      </w:r>
    </w:p>
    <w:p w14:paraId="65E76647" w14:textId="38271611" w:rsidR="00227C27" w:rsidRPr="00F77252" w:rsidRDefault="00227C27" w:rsidP="00F77252">
      <w:pPr>
        <w:pStyle w:val="Para10"/>
        <w:rPr>
          <w:rFonts w:eastAsia="MS Mincho"/>
        </w:rPr>
      </w:pPr>
      <w:r>
        <w:t>Одна из Сторон</w:t>
      </w:r>
      <w:r>
        <w:rPr>
          <w:rStyle w:val="ab"/>
          <w:rFonts w:eastAsia="MS Mincho"/>
          <w:kern w:val="22"/>
          <w:szCs w:val="22"/>
        </w:rPr>
        <w:footnoteReference w:id="8"/>
      </w:r>
      <w:r>
        <w:t xml:space="preserve"> предложила провести оценку </w:t>
      </w:r>
      <w:r>
        <w:rPr>
          <w:i/>
        </w:rPr>
        <w:t>биоразнообразия и нищеты,</w:t>
      </w:r>
      <w:r>
        <w:t xml:space="preserve"> включая взаимосвязи между биоразнообразием и социально-экономической уязвимостью, корреляцию между районами с высоким уровнем биоразнообразия и низким уровнем социально-экономического развития, воздействие утраты биоразнообразия на общины, зависящие от </w:t>
      </w:r>
      <w:r>
        <w:lastRenderedPageBreak/>
        <w:t>биоразнообразия, и роль коренных народов и местных общин в сохранении и устойчивом использовании биоразнообразия.</w:t>
      </w:r>
    </w:p>
    <w:p w14:paraId="794B94B2" w14:textId="4E86582E" w:rsidR="00227C27" w:rsidRDefault="00227C27" w:rsidP="00F77252">
      <w:pPr>
        <w:pStyle w:val="Para10"/>
        <w:rPr>
          <w:rFonts w:eastAsia="MS Mincho"/>
          <w:kern w:val="22"/>
        </w:rPr>
      </w:pPr>
      <w:r>
        <w:t xml:space="preserve">Несколько организаций-наблюдателей представили материалы по правам человека и подходам, основанным на правах человека, которые касаются прав владения и пользования, гендерных вопросов, коренных народов и местных общин. Эти темы, связанные в том числе со многими сквозными вопросами раздела C Рамочной программы и задачами 22 и 23, можно было бы затронуть в ходе оценки </w:t>
      </w:r>
      <w:r>
        <w:rPr>
          <w:i/>
        </w:rPr>
        <w:t>подходов, основанных на правах человека, в области сохранения и устойчивого использования биоразнообразия и совместного использования на равной основе выгод от его применения</w:t>
      </w:r>
      <w:r>
        <w:t>. В ходе оценки научно-технических потребностей в имеющихся средствах и руководящих указаниях, применяемых для содействия осуществлению Рамочной программы, был также выявлен существенный пробел, касающийся вопросов, связанных с</w:t>
      </w:r>
      <w:r w:rsidR="004A020C">
        <w:t>о</w:t>
      </w:r>
      <w:r>
        <w:t xml:space="preserve"> справедливостью и подходами, основанными на правах человека.</w:t>
      </w:r>
    </w:p>
    <w:p w14:paraId="639467E0" w14:textId="77777777" w:rsidR="00227C27" w:rsidRDefault="00227C27" w:rsidP="00F77252">
      <w:pPr>
        <w:pStyle w:val="Para10"/>
        <w:rPr>
          <w:rFonts w:eastAsia="MS Mincho"/>
        </w:rPr>
      </w:pPr>
      <w:r>
        <w:t>Один из наблюдателей отметил важность учета целостности экосистем и подчеркивания большого значения той функциональной роли, которую играет биоразнообразие во всех текущих и будущих оценках. Другой наблюдатель рекомендовал Платформе провести систематический обзор основных индикаторов для Рамочной программы.</w:t>
      </w:r>
    </w:p>
    <w:p w14:paraId="4F61D5EA" w14:textId="7F6AE9C7" w:rsidR="00227C27" w:rsidRPr="00027186" w:rsidRDefault="006D426D" w:rsidP="00F77252">
      <w:pPr>
        <w:pStyle w:val="2"/>
      </w:pPr>
      <w:r>
        <w:t>B.</w:t>
      </w:r>
      <w:r>
        <w:tab/>
        <w:t>Мнения о путях укрепления сотрудничества с Платформой</w:t>
      </w:r>
    </w:p>
    <w:p w14:paraId="77584E2B" w14:textId="737982B3" w:rsidR="00227C27" w:rsidRDefault="00227C27" w:rsidP="00F77252">
      <w:pPr>
        <w:pStyle w:val="Para10"/>
        <w:rPr>
          <w:rFonts w:eastAsia="MS Mincho"/>
        </w:rPr>
      </w:pPr>
      <w:r>
        <w:t xml:space="preserve">Стороны подчеркнули ценность Платформы в контексте осуществления Рамочной программы и Конвенции в целом. Некоторые Стороны предложили конкретные пути дальнейшего укрепления сотрудничества, отметив при этом, что любая рекомендация Вспомогательного органа должна учитывать конкретный мандат и процедуры Платформы. </w:t>
      </w:r>
    </w:p>
    <w:p w14:paraId="11BBB17F" w14:textId="77777777" w:rsidR="00227C27" w:rsidRDefault="00227C27" w:rsidP="00F77252">
      <w:pPr>
        <w:pStyle w:val="Para10"/>
        <w:rPr>
          <w:rFonts w:eastAsia="MS Mincho"/>
        </w:rPr>
      </w:pPr>
      <w:r>
        <w:t xml:space="preserve">Ряд Сторон подчеркнули, что Конференция Сторон должна рассмотреть результаты и итоги в рамках всех четырех функций Платформы. Платформа выполняет четыре функции: стимулирует генерирование новых знаний; проводит оценку существующих знаний; содействует разработке и реализации политики; создает потенциал, необходимый для достижения поставленной цели. </w:t>
      </w:r>
    </w:p>
    <w:p w14:paraId="689521F0" w14:textId="54C19237" w:rsidR="00227C27" w:rsidRPr="00D56AAB" w:rsidRDefault="00227C27" w:rsidP="00F77252">
      <w:pPr>
        <w:pStyle w:val="3"/>
      </w:pPr>
      <w:r>
        <w:t xml:space="preserve">Использование докладов об оценке Платформы </w:t>
      </w:r>
    </w:p>
    <w:p w14:paraId="3C43D4FF" w14:textId="5148DA2B" w:rsidR="00227C27" w:rsidRPr="00D372BE" w:rsidRDefault="00227C27" w:rsidP="00F77252">
      <w:pPr>
        <w:pStyle w:val="Para10"/>
        <w:rPr>
          <w:rFonts w:eastAsia="MS Mincho"/>
        </w:rPr>
      </w:pPr>
      <w:r>
        <w:t>Как отмечено в пункте 5 выше и в таблице 1, в Конвенции уже широко используются доклады об оценке. Несколько Сторон предложили Вспомогательному органу включить постоянный пункт, касающийся рассмотрения итогов работы Рамочной программы в течение каждого двухгодичного периода. Фактически Вспомогательный орган уже делает это, и в таблице 1 представлен перспективный график рассмотрения будущих оценок в соответствии с просьбой, содержащейся в решении 15/19. Когда это уместно, секретариат также доводит соответствующие доклады об оценке до сведения Вспомогательного органа в рамках других пунктов его повестки дня. Например, на 25-м совещании Вспомогательного органа оценки Платформы обсуждались в рамках различных пунктов повестки дня, в том числе касавшихся инвазивных чужеродных видов и устойчивого управления дикой природой.</w:t>
      </w:r>
    </w:p>
    <w:p w14:paraId="114F0831" w14:textId="506CE7EA" w:rsidR="00227C27" w:rsidRPr="00D372BE" w:rsidRDefault="00227C27" w:rsidP="00F77252">
      <w:pPr>
        <w:pStyle w:val="Para10"/>
        <w:rPr>
          <w:rFonts w:eastAsia="MS Mincho"/>
        </w:rPr>
      </w:pPr>
      <w:r>
        <w:t xml:space="preserve">Было отмечено, что проведенные оценки по-прежнему дают ценную информацию для целей осуществления Рамочной программы и должны учитываться при принятии решений в рамках Конвенции. Кроме того, одна из Сторон предложила, чтобы пробелы, выявленные в ходе оценки научно-технических потребностей, в соответствующих случаях устранялись в сотрудничестве с Платформой. При этом возможно использовать такие результаты деятельности, как семинары и технические документы, которые не требуют ресурсов для проведения полной оценки, и поэтому работа над ними может быть завершена в более короткие сроки. Это позволит в ближайшие годы обеспечить наличие таких продуктов, что будет способствовать осуществлению Рамочной программы. Кроме того, при разработке текущих и будущих оценок Платформы следует учитывать научно-технические потребности </w:t>
      </w:r>
      <w:r>
        <w:lastRenderedPageBreak/>
        <w:t xml:space="preserve">для поддержки осуществления Рамочной программы, представленные в документе CBD/SBSTTA/26/3. </w:t>
      </w:r>
    </w:p>
    <w:p w14:paraId="1FF9F334" w14:textId="1366CAED" w:rsidR="00227C27" w:rsidRDefault="00227C27" w:rsidP="00F77252">
      <w:pPr>
        <w:pStyle w:val="Para10"/>
        <w:rPr>
          <w:rFonts w:eastAsia="MS Mincho"/>
        </w:rPr>
      </w:pPr>
      <w:r>
        <w:t xml:space="preserve">Некоторые Стороны отметили, что процессы рассмотрения подготовки оценок Платформой дают возможность информировать авторов оценок о проблемах, с которыми сталкиваются Стороны Конвенции. </w:t>
      </w:r>
    </w:p>
    <w:p w14:paraId="52F3DC98" w14:textId="6C9E55DD" w:rsidR="00227C27" w:rsidRPr="00F77252" w:rsidRDefault="00227C27" w:rsidP="00F77252">
      <w:pPr>
        <w:pStyle w:val="Para10"/>
        <w:rPr>
          <w:rFonts w:eastAsia="MS Mincho"/>
        </w:rPr>
      </w:pPr>
      <w:r>
        <w:t xml:space="preserve">Конвенция также сотрудничает с Платформой в отношении трех других функций, </w:t>
      </w:r>
      <w:r w:rsidR="00471DD5">
        <w:t xml:space="preserve">однако </w:t>
      </w:r>
      <w:r>
        <w:t>несколько Сторон считают, что это сотрудничество следует дополнительно расширить. Особое внимание было уделено функции поддержки политики Платформы</w:t>
      </w:r>
      <w:r w:rsidRPr="00F77252">
        <w:rPr>
          <w:rStyle w:val="ab"/>
          <w:rFonts w:eastAsia="MS Mincho"/>
          <w:kern w:val="22"/>
          <w:szCs w:val="22"/>
        </w:rPr>
        <w:footnoteReference w:id="9"/>
      </w:r>
      <w:r>
        <w:t>, ее работе по созданию потенциала, а также ее целевой группе по системам знаний коренного и местного населения</w:t>
      </w:r>
      <w:r w:rsidRPr="00F77252">
        <w:rPr>
          <w:rStyle w:val="ab"/>
          <w:rFonts w:eastAsia="MS Mincho"/>
          <w:kern w:val="22"/>
          <w:szCs w:val="22"/>
        </w:rPr>
        <w:footnoteReference w:id="10"/>
      </w:r>
      <w:r>
        <w:t>. Вспомогательный орган, возможно, пожелает предложить Исполнительному секретарю сотрудничать с секретариатом Платформы, чтобы подготовить анализ способов укрепления сотрудничества между Конвенцией и Платформой по другим аспектам работы Платформы.</w:t>
      </w:r>
    </w:p>
    <w:p w14:paraId="706290BA" w14:textId="77777777" w:rsidR="00227C27" w:rsidRPr="00D56AAB" w:rsidRDefault="00227C27" w:rsidP="00F77252">
      <w:pPr>
        <w:pStyle w:val="3"/>
      </w:pPr>
      <w:r>
        <w:t>Сотрудничество в области глобального обзора и мониторинга</w:t>
      </w:r>
    </w:p>
    <w:p w14:paraId="105723CA" w14:textId="580E3108" w:rsidR="00227C27" w:rsidRPr="00F77252" w:rsidRDefault="00227C27" w:rsidP="00F77252">
      <w:pPr>
        <w:pStyle w:val="Para10"/>
        <w:rPr>
          <w:rFonts w:eastAsia="MS Mincho"/>
          <w:b/>
          <w:bCs/>
        </w:rPr>
      </w:pPr>
      <w:r>
        <w:t xml:space="preserve">Конференция Сторон в своем решении 15/19 (пункт 15) предложила Платформе содействовать работе Специальной группы технических экспертов по индикаторам Куньминско-Монреальской глобальной рамочной программы в области биоразнообразия, а Вспомогательный орган в своей рекомендации 25/2 рекомендовал предложить Платформе содействовать глобальному обзору коллективного прогресса и в этой связи подчеркнул важность второй глобальной оценки биоразнообразия и экосистемных услуг. Ряд Сторон далее подчеркнули важную роль, которую Платформа могла бы сыграть в содействии мониторингу прогресса в осуществлении Рамочной программы, включая глобальный обзор коллективного прогресса. </w:t>
      </w:r>
    </w:p>
    <w:p w14:paraId="7A04A55E" w14:textId="6C01692C" w:rsidR="00227C27" w:rsidRDefault="00227C27" w:rsidP="00F77252">
      <w:pPr>
        <w:pStyle w:val="Para10"/>
        <w:rPr>
          <w:rFonts w:eastAsia="MS Mincho"/>
        </w:rPr>
      </w:pPr>
      <w:r>
        <w:t>Если оперативная методологическая оценка мониторинга биоразнообразия и вклада природы в жизнь человека будет одобрена на сессии Пленума Платформы в период до 17-го совещания Конференции Сторон, то это может дать Сторонам дополнительную информацию при рассмотрении механизма мониторинга для Куньминско-Монреальской глобальной рамочной программы в области биоразнообразия, однако это зависит от того, будет ли запланирована сессия Пленума Платформы до совещания Конференции Сторон. Вторая глобальная оценка Платформы будет подготовлена в период до 19-го совещания Конференции Сторон и предоставит информацию, необходимую для окончательного обзора прогресса в осуществлении Рамочной программы. Сроки рассмотрения этих оценок описаны в таблице</w:t>
      </w:r>
      <w:r w:rsidR="00471DD5">
        <w:t> </w:t>
      </w:r>
      <w:r>
        <w:t xml:space="preserve">1. Вместе с тем одна из Сторон отметила, что следует избегать дублирования информации в глобальной оценке и глобальном докладе о коллективном прогрессе в осуществлении Рамочной программы, отметив, что глобальный доклад должен использоваться для оценки коллективного прогресса в осуществлении Рамочной программы. </w:t>
      </w:r>
    </w:p>
    <w:p w14:paraId="1F48EEB4" w14:textId="77777777" w:rsidR="00227C27" w:rsidRPr="00D56AAB" w:rsidRDefault="00227C27" w:rsidP="00F77252">
      <w:pPr>
        <w:pStyle w:val="3"/>
      </w:pPr>
      <w:r>
        <w:t>Совершенствование сотрудничества на всех уровнях</w:t>
      </w:r>
    </w:p>
    <w:p w14:paraId="4BFA2411" w14:textId="45C07F62" w:rsidR="00227C27" w:rsidRDefault="00227C27" w:rsidP="00F77252">
      <w:pPr>
        <w:pStyle w:val="Para10"/>
        <w:rPr>
          <w:rFonts w:eastAsia="MS Mincho"/>
        </w:rPr>
      </w:pPr>
      <w:r>
        <w:t xml:space="preserve">Некоторые Стороны отметили, что улучшение обмена информацией между координационными центрами Платформы и координационными центрами Конвенции на национальном уровне положительно отразится на процессе осуществления на национальном уровне. Кроме того, некоторые Стороны подчеркнули важность дальнейшей координации деятельности Вспомогательного органа и Платформы. </w:t>
      </w:r>
    </w:p>
    <w:p w14:paraId="56466E40" w14:textId="306567F7" w:rsidR="00227C27" w:rsidRDefault="00227C27" w:rsidP="00F77252">
      <w:pPr>
        <w:pStyle w:val="Para10"/>
        <w:rPr>
          <w:rFonts w:eastAsia="MS Mincho"/>
        </w:rPr>
      </w:pPr>
      <w:r>
        <w:lastRenderedPageBreak/>
        <w:t>Председатели Вспомогательного органа и Платформы, а также секретариаты Конвенции и Платформы регулярно сотрудничают друг с другом; Председатель Вспомогательного органа регулярно участвует в работе Многодисциплинарной группы экспертов Платформы, Председатель Платформы регулярно посещает совещания Вспомогательного органа, а секретариаты Конвенции и Платформы регулярно обмениваются информацией. Тем не менее сотрудничество можно постоянно укреплять, и председателям Вспомогательного органа и Платформы предлагается рассмотреть способы активизации обмена информацией между Вспомогательным органом по научным, техническим и технологическим консультациям и Вспомогательным органом по осуществлению с одной стороны и бюро и Многодисциплинарной группой экспертов Платформы – с другой.</w:t>
      </w:r>
    </w:p>
    <w:p w14:paraId="6700716D" w14:textId="77777777" w:rsidR="00227C27" w:rsidRPr="0013580C" w:rsidRDefault="00227C27" w:rsidP="00F77252">
      <w:pPr>
        <w:pStyle w:val="Para10"/>
        <w:rPr>
          <w:rFonts w:eastAsia="MS Mincho"/>
        </w:rPr>
      </w:pPr>
      <w:r>
        <w:t xml:space="preserve">Одна из Сторон предложила Платформе предоставить реестр экспертов для содействия работе Конвенции, когда это уместно и целесообразно. </w:t>
      </w:r>
    </w:p>
    <w:p w14:paraId="170C5D2F" w14:textId="4F484EEA" w:rsidR="00227C27" w:rsidRPr="0013580C" w:rsidRDefault="00227C27" w:rsidP="00F77252">
      <w:pPr>
        <w:pStyle w:val="Para10"/>
        <w:rPr>
          <w:rFonts w:eastAsia="MS Mincho"/>
          <w:szCs w:val="22"/>
        </w:rPr>
      </w:pPr>
      <w:r>
        <w:t xml:space="preserve">Исполнительный секретарь регулярно рассылает уведомления, чтобы информировать Стороны и наблюдателей о работе Платформы, включая предложения назначать кандидатуры авторов и предложения проводить коллегиальную оценку, а также </w:t>
      </w:r>
      <w:r w:rsidR="00471DD5">
        <w:t xml:space="preserve">сообщать </w:t>
      </w:r>
      <w:r>
        <w:t>другую информацию.</w:t>
      </w:r>
    </w:p>
    <w:p w14:paraId="7CD17307" w14:textId="4E1F7B84" w:rsidR="00227C27" w:rsidRDefault="00227C27" w:rsidP="00F77252">
      <w:pPr>
        <w:pStyle w:val="Para10"/>
      </w:pPr>
      <w:r>
        <w:t>По предложению некоторых Сторон Исполнительный секретарь мог бы также способствовать вовлечению секретариата Платформы в работу Контактной группы по связи в рамках конвенций в области биоразнообразия.</w:t>
      </w:r>
      <w:r>
        <w:rPr>
          <w:highlight w:val="yellow"/>
        </w:rPr>
        <w:t xml:space="preserve">  </w:t>
      </w:r>
    </w:p>
    <w:p w14:paraId="134EA107" w14:textId="77777777" w:rsidR="006D426D" w:rsidRDefault="006D426D" w:rsidP="006D426D">
      <w:pPr>
        <w:pStyle w:val="1"/>
        <w:numPr>
          <w:ilvl w:val="0"/>
          <w:numId w:val="0"/>
        </w:numPr>
        <w:ind w:left="567" w:hanging="567"/>
        <w:sectPr w:rsidR="006D426D" w:rsidSect="00720AA4">
          <w:headerReference w:type="even" r:id="rId14"/>
          <w:headerReference w:type="default" r:id="rId15"/>
          <w:footerReference w:type="even" r:id="rId16"/>
          <w:footerReference w:type="default" r:id="rId17"/>
          <w:pgSz w:w="12240" w:h="15840" w:code="1"/>
          <w:pgMar w:top="1134" w:right="1440" w:bottom="1134" w:left="1440" w:header="680" w:footer="720" w:gutter="0"/>
          <w:cols w:space="720"/>
          <w:titlePg/>
          <w:docGrid w:linePitch="299"/>
        </w:sectPr>
      </w:pPr>
    </w:p>
    <w:p w14:paraId="0A36D266" w14:textId="1E439EC3" w:rsidR="00227C27" w:rsidRDefault="00227C27" w:rsidP="00F77252">
      <w:pPr>
        <w:pStyle w:val="1"/>
        <w:numPr>
          <w:ilvl w:val="0"/>
          <w:numId w:val="0"/>
        </w:numPr>
        <w:ind w:left="567" w:hanging="567"/>
      </w:pPr>
      <w:r>
        <w:lastRenderedPageBreak/>
        <w:t>IV.</w:t>
      </w:r>
      <w:r>
        <w:tab/>
        <w:t>Рекомендации</w:t>
      </w:r>
    </w:p>
    <w:p w14:paraId="74325A75" w14:textId="2408378F" w:rsidR="00227C27" w:rsidRPr="00444896" w:rsidRDefault="00227C27" w:rsidP="00F77252">
      <w:pPr>
        <w:pStyle w:val="Para10"/>
      </w:pPr>
      <w:r>
        <w:t>Вспомогательному органу предлагается рассмотреть некоторые или все следующие вопросы в качестве возможных тем дальнейшей оперативной оценки:</w:t>
      </w:r>
    </w:p>
    <w:p w14:paraId="4AC53EAD" w14:textId="039777F0" w:rsidR="00227C27" w:rsidRPr="00E33BD6" w:rsidRDefault="00227C27" w:rsidP="00227C27">
      <w:pPr>
        <w:pStyle w:val="a"/>
        <w:numPr>
          <w:ilvl w:val="1"/>
          <w:numId w:val="63"/>
        </w:numPr>
        <w:tabs>
          <w:tab w:val="left" w:pos="360"/>
        </w:tabs>
        <w:snapToGrid w:val="0"/>
        <w:spacing w:after="120" w:line="240" w:lineRule="auto"/>
        <w:contextualSpacing w:val="0"/>
        <w:jc w:val="both"/>
        <w:rPr>
          <w:rFonts w:eastAsia="MS Mincho"/>
          <w:kern w:val="22"/>
        </w:rPr>
      </w:pPr>
      <w:r>
        <w:t>биоразнообразие и загрязнение;</w:t>
      </w:r>
    </w:p>
    <w:p w14:paraId="0C025C93" w14:textId="64E0D720" w:rsidR="00227C27" w:rsidRPr="00E33BD6" w:rsidRDefault="00227C27" w:rsidP="00227C27">
      <w:pPr>
        <w:pStyle w:val="a"/>
        <w:numPr>
          <w:ilvl w:val="1"/>
          <w:numId w:val="63"/>
        </w:numPr>
        <w:tabs>
          <w:tab w:val="left" w:pos="360"/>
        </w:tabs>
        <w:snapToGrid w:val="0"/>
        <w:spacing w:after="120" w:line="240" w:lineRule="auto"/>
        <w:contextualSpacing w:val="0"/>
        <w:jc w:val="both"/>
        <w:rPr>
          <w:rFonts w:eastAsia="MS Mincho"/>
          <w:kern w:val="22"/>
        </w:rPr>
      </w:pPr>
      <w:r>
        <w:t>города и биоразнообразие;</w:t>
      </w:r>
    </w:p>
    <w:p w14:paraId="51A63231" w14:textId="20A9D585" w:rsidR="00227C27" w:rsidRPr="00900226" w:rsidRDefault="00227C27" w:rsidP="00227C27">
      <w:pPr>
        <w:pStyle w:val="a"/>
        <w:numPr>
          <w:ilvl w:val="1"/>
          <w:numId w:val="63"/>
        </w:numPr>
        <w:tabs>
          <w:tab w:val="left" w:pos="360"/>
        </w:tabs>
        <w:snapToGrid w:val="0"/>
        <w:spacing w:after="120" w:line="240" w:lineRule="auto"/>
        <w:contextualSpacing w:val="0"/>
        <w:jc w:val="both"/>
        <w:rPr>
          <w:rFonts w:eastAsia="MS Mincho"/>
          <w:kern w:val="22"/>
        </w:rPr>
      </w:pPr>
      <w:r>
        <w:t>биоразнообразие и нищета;</w:t>
      </w:r>
    </w:p>
    <w:p w14:paraId="6FE063E1" w14:textId="2E712290" w:rsidR="00227C27" w:rsidRPr="00900226" w:rsidRDefault="00227C27" w:rsidP="00227C27">
      <w:pPr>
        <w:pStyle w:val="a"/>
        <w:numPr>
          <w:ilvl w:val="1"/>
          <w:numId w:val="63"/>
        </w:numPr>
        <w:tabs>
          <w:tab w:val="left" w:pos="360"/>
        </w:tabs>
        <w:snapToGrid w:val="0"/>
        <w:spacing w:after="120" w:line="240" w:lineRule="auto"/>
        <w:contextualSpacing w:val="0"/>
        <w:jc w:val="both"/>
        <w:rPr>
          <w:rFonts w:eastAsia="MS Mincho"/>
          <w:kern w:val="22"/>
        </w:rPr>
      </w:pPr>
      <w:r>
        <w:t>основанные на правах человека подходы к сохранению и устойчивому использованию биоразнообразия и совместному использованию на равной основе выгод от его применения, включая гендерные вопросы.</w:t>
      </w:r>
    </w:p>
    <w:p w14:paraId="0E64A607" w14:textId="77777777" w:rsidR="00227C27" w:rsidRPr="000E331A" w:rsidRDefault="00227C27" w:rsidP="00F77252">
      <w:pPr>
        <w:pStyle w:val="Para10"/>
      </w:pPr>
      <w:r>
        <w:t xml:space="preserve">Вспомогательному органу предлагается принять рекомендацию следующего содержания: </w:t>
      </w:r>
    </w:p>
    <w:p w14:paraId="4642149D" w14:textId="04D1E08F" w:rsidR="00227C27" w:rsidRPr="000E331A" w:rsidRDefault="00227C27" w:rsidP="00F77252">
      <w:pPr>
        <w:pStyle w:val="a"/>
        <w:numPr>
          <w:ilvl w:val="0"/>
          <w:numId w:val="0"/>
        </w:numPr>
        <w:tabs>
          <w:tab w:val="left" w:pos="1701"/>
        </w:tabs>
        <w:snapToGrid w:val="0"/>
        <w:spacing w:after="120" w:line="240" w:lineRule="auto"/>
        <w:ind w:left="567" w:firstLine="567"/>
        <w:contextualSpacing w:val="0"/>
      </w:pPr>
      <w:r>
        <w:rPr>
          <w:i/>
        </w:rPr>
        <w:t>Вспомогательный орган по научным, техническим и технологическим консультациям,</w:t>
      </w:r>
    </w:p>
    <w:p w14:paraId="701D9C1B" w14:textId="18F67F90" w:rsidR="00227C27" w:rsidRPr="000E331A" w:rsidRDefault="00227C27" w:rsidP="00F77252">
      <w:pPr>
        <w:snapToGrid w:val="0"/>
        <w:spacing w:after="120"/>
        <w:ind w:left="567" w:firstLine="567"/>
      </w:pPr>
      <w:r>
        <w:rPr>
          <w:i/>
        </w:rPr>
        <w:t>принимая к сведению</w:t>
      </w:r>
      <w:r>
        <w:t xml:space="preserve"> информацию, содержащуюся в обзоре предыдущих и будущих результатов деятельности Межправительственной научно-политической платформы по биоразнообразию и экосистемным услугам, и значимость таких результатов для принятия решений в рамках Конвенции, включая перспективный график рассмотрения результатов деятельности Вспомогательным органом, содержащийся в приложении к настоящей рекомендации,</w:t>
      </w:r>
    </w:p>
    <w:p w14:paraId="3AFAA62E" w14:textId="6BE6E0F1" w:rsidR="00227C27" w:rsidRDefault="001675BB" w:rsidP="00F77252">
      <w:pPr>
        <w:pStyle w:val="a"/>
        <w:numPr>
          <w:ilvl w:val="0"/>
          <w:numId w:val="0"/>
        </w:numPr>
        <w:tabs>
          <w:tab w:val="left" w:pos="1701"/>
        </w:tabs>
        <w:snapToGrid w:val="0"/>
        <w:spacing w:after="120" w:line="240" w:lineRule="auto"/>
        <w:ind w:left="567" w:firstLine="567"/>
        <w:contextualSpacing w:val="0"/>
        <w:jc w:val="both"/>
      </w:pPr>
      <w:r>
        <w:t>1.</w:t>
      </w:r>
      <w:r>
        <w:rPr>
          <w:i/>
        </w:rPr>
        <w:tab/>
        <w:t>отмечает</w:t>
      </w:r>
      <w:r>
        <w:t xml:space="preserve"> следующие темы для дальнейшего рассмотрения в целях проведения дополнительной оперативной оценки для потенциального запроса, адресованного Межправительственной научно-политической платформе по биоразнообразию и экосистемным услугам; [текст списка] </w:t>
      </w:r>
    </w:p>
    <w:p w14:paraId="3CC5FB9E" w14:textId="5DFFE920" w:rsidR="00227C27" w:rsidRDefault="00CD66CB" w:rsidP="00F77252">
      <w:pPr>
        <w:pStyle w:val="a"/>
        <w:numPr>
          <w:ilvl w:val="0"/>
          <w:numId w:val="0"/>
        </w:numPr>
        <w:tabs>
          <w:tab w:val="left" w:pos="1701"/>
        </w:tabs>
        <w:snapToGrid w:val="0"/>
        <w:spacing w:after="120" w:line="240" w:lineRule="auto"/>
        <w:ind w:left="567" w:firstLine="567"/>
        <w:contextualSpacing w:val="0"/>
        <w:jc w:val="both"/>
      </w:pPr>
      <w:r>
        <w:t>2.</w:t>
      </w:r>
      <w:r>
        <w:rPr>
          <w:i/>
        </w:rPr>
        <w:tab/>
        <w:t>поручает</w:t>
      </w:r>
      <w:r>
        <w:t xml:space="preserve"> секретариату Конвенции по каждой из перечисленных выше тем подготовить информацию в требуемом Платформой виде для поддержки потенциального запроса на проведение дополнительной оперативной оценки, которая будет представлена на рассмотрение Конференции Сторон Конвенции о биологическом разнообразии на ее 16-м совещании; </w:t>
      </w:r>
    </w:p>
    <w:p w14:paraId="1252AC20" w14:textId="6CFB61CF" w:rsidR="00227C27" w:rsidRPr="0036382A" w:rsidRDefault="00AC6BC9" w:rsidP="00F77252">
      <w:pPr>
        <w:pStyle w:val="a"/>
        <w:numPr>
          <w:ilvl w:val="0"/>
          <w:numId w:val="0"/>
        </w:numPr>
        <w:tabs>
          <w:tab w:val="left" w:pos="1701"/>
        </w:tabs>
        <w:snapToGrid w:val="0"/>
        <w:spacing w:after="120" w:line="240" w:lineRule="auto"/>
        <w:ind w:left="567" w:firstLine="567"/>
        <w:contextualSpacing w:val="0"/>
        <w:jc w:val="both"/>
        <w:rPr>
          <w:rFonts w:eastAsia="MS Mincho"/>
          <w:kern w:val="22"/>
        </w:rPr>
      </w:pPr>
      <w:r>
        <w:t>3.</w:t>
      </w:r>
      <w:r>
        <w:rPr>
          <w:i/>
        </w:rPr>
        <w:tab/>
        <w:t>поручает</w:t>
      </w:r>
      <w:r>
        <w:t xml:space="preserve"> Исполнительному секретарю продолжать тесное сотрудничество с Платформой и поддерживать связь с секретариатом Платформы с целью определения дополнительных путей содействия Платформы осуществлению Куньминско-Монреальской глобальной рамочной программы в области биоразнообразия и глобальному обзору коллективного прогресса, включая возможности использования всех результатов деятельности, полученных в рамках каждой из четырех функций Платформы</w:t>
      </w:r>
      <w:r w:rsidR="00471DD5">
        <w:t>;</w:t>
      </w:r>
    </w:p>
    <w:p w14:paraId="08A2054B" w14:textId="6A85D246" w:rsidR="00227C27" w:rsidRDefault="00D948F0" w:rsidP="00F77252">
      <w:pPr>
        <w:tabs>
          <w:tab w:val="left" w:pos="360"/>
          <w:tab w:val="left" w:pos="1701"/>
        </w:tabs>
        <w:snapToGrid w:val="0"/>
        <w:spacing w:after="120"/>
        <w:ind w:left="567" w:firstLine="567"/>
      </w:pPr>
      <w:r>
        <w:t>4.</w:t>
      </w:r>
      <w:r>
        <w:rPr>
          <w:i/>
        </w:rPr>
        <w:tab/>
      </w:r>
      <w:r>
        <w:rPr>
          <w:i/>
          <w:iCs/>
        </w:rPr>
        <w:t>рекомендует</w:t>
      </w:r>
      <w:r>
        <w:t xml:space="preserve"> Конференции Сторон на ее 16-м совещании принять решение следующего содержания:</w:t>
      </w:r>
    </w:p>
    <w:p w14:paraId="14226948" w14:textId="77777777" w:rsidR="00D948F0" w:rsidRPr="00462EE4" w:rsidRDefault="00D948F0" w:rsidP="00F77252">
      <w:pPr>
        <w:tabs>
          <w:tab w:val="left" w:pos="360"/>
          <w:tab w:val="left" w:pos="1481"/>
          <w:tab w:val="left" w:pos="2268"/>
        </w:tabs>
        <w:snapToGrid w:val="0"/>
        <w:spacing w:after="120"/>
        <w:ind w:left="1134" w:firstLine="567"/>
        <w:rPr>
          <w:i/>
          <w:iCs/>
        </w:rPr>
      </w:pPr>
      <w:r>
        <w:rPr>
          <w:i/>
        </w:rPr>
        <w:t>Конференция Сторон,</w:t>
      </w:r>
    </w:p>
    <w:p w14:paraId="4AB1D487" w14:textId="5D545570" w:rsidR="00227C27" w:rsidRPr="007604C5" w:rsidRDefault="00227C27" w:rsidP="00F77252">
      <w:pPr>
        <w:tabs>
          <w:tab w:val="left" w:pos="360"/>
          <w:tab w:val="left" w:pos="1481"/>
          <w:tab w:val="left" w:pos="2268"/>
        </w:tabs>
        <w:snapToGrid w:val="0"/>
        <w:spacing w:after="120"/>
        <w:ind w:left="1134" w:firstLine="567"/>
      </w:pPr>
      <w:r>
        <w:rPr>
          <w:i/>
        </w:rPr>
        <w:t>ссылаясь</w:t>
      </w:r>
      <w:r>
        <w:t xml:space="preserve"> на решения XI/13 C от 19 октября 2012 года, XII/25 от 17 октября 2014 года, 14/36 от 29 ноября 2018 года и 15/19 от 19 декабря 2022 года,</w:t>
      </w:r>
    </w:p>
    <w:p w14:paraId="2333276C" w14:textId="3AE9C0E1" w:rsidR="00227C27" w:rsidRDefault="00227C27" w:rsidP="00F77252">
      <w:pPr>
        <w:tabs>
          <w:tab w:val="left" w:pos="2268"/>
        </w:tabs>
        <w:snapToGrid w:val="0"/>
        <w:spacing w:after="120"/>
        <w:ind w:left="1134" w:firstLine="567"/>
      </w:pPr>
      <w:r>
        <w:rPr>
          <w:i/>
        </w:rPr>
        <w:t>приветствуя</w:t>
      </w:r>
      <w:r>
        <w:t xml:space="preserve"> решение Пленума Межправительственной научно-политической платформы по биоразнообразию и экосистемным услугам, принятое на его десятой сессии, о проведении оперативной методологической оценки мониторинга биоразнообразия и вклада природы в жизнь человека к 2026 году, оперативной методологической оценки комплексного территориального планирования с учетом биоразнообразия и экологических взаимосвязей к 2027 году, а также процесса аналитического исследования для второй глобальной оценки биоразнообразия и </w:t>
      </w:r>
      <w:r>
        <w:lastRenderedPageBreak/>
        <w:t>экосистемных услуг к 2024 году с целью проведения второй глобальной оценки в 2028 году в рамках скользящей программы работы Платформы на период до 2030 года</w:t>
      </w:r>
      <w:r w:rsidRPr="007604C5">
        <w:rPr>
          <w:rStyle w:val="ab"/>
          <w:rFonts w:eastAsiaTheme="majorEastAsia"/>
        </w:rPr>
        <w:footnoteReference w:id="11"/>
      </w:r>
      <w:r>
        <w:t>,</w:t>
      </w:r>
    </w:p>
    <w:p w14:paraId="7C7C0EAE" w14:textId="77777777" w:rsidR="00227C27" w:rsidRDefault="00227C27" w:rsidP="00F77252">
      <w:pPr>
        <w:tabs>
          <w:tab w:val="left" w:pos="2268"/>
        </w:tabs>
        <w:snapToGrid w:val="0"/>
        <w:spacing w:after="120"/>
        <w:ind w:left="1134" w:firstLine="567"/>
      </w:pPr>
      <w:r>
        <w:rPr>
          <w:i/>
        </w:rPr>
        <w:t>отмечая</w:t>
      </w:r>
      <w:r>
        <w:t xml:space="preserve"> продолжающееся тесное сотрудничество между Конвенцией и Платформой,</w:t>
      </w:r>
    </w:p>
    <w:p w14:paraId="3E4C2F1C" w14:textId="6DB5559F" w:rsidR="00227C27" w:rsidRPr="00626908" w:rsidRDefault="009230F7" w:rsidP="00F77252">
      <w:pPr>
        <w:tabs>
          <w:tab w:val="left" w:pos="2268"/>
        </w:tabs>
        <w:snapToGrid w:val="0"/>
        <w:spacing w:after="120"/>
        <w:ind w:left="1134" w:firstLine="567"/>
      </w:pPr>
      <w:r>
        <w:t>1</w:t>
      </w:r>
      <w:r>
        <w:rPr>
          <w:i/>
        </w:rPr>
        <w:t>.</w:t>
      </w:r>
      <w:r>
        <w:rPr>
          <w:i/>
        </w:rPr>
        <w:tab/>
        <w:t>предлагает</w:t>
      </w:r>
      <w:r>
        <w:t xml:space="preserve"> Платформе рассмотреть заявки, содержащиеся в приложении</w:t>
      </w:r>
      <w:r w:rsidR="00227C27" w:rsidRPr="00626908">
        <w:rPr>
          <w:rStyle w:val="ab"/>
          <w:rFonts w:eastAsiaTheme="majorEastAsia"/>
        </w:rPr>
        <w:footnoteReference w:id="12"/>
      </w:r>
      <w:r>
        <w:t xml:space="preserve"> к настоящему решению;</w:t>
      </w:r>
    </w:p>
    <w:p w14:paraId="0BB80F6E" w14:textId="390C59AC" w:rsidR="00227C27" w:rsidRPr="00626908" w:rsidRDefault="00977939" w:rsidP="00F77252">
      <w:pPr>
        <w:tabs>
          <w:tab w:val="left" w:pos="2268"/>
        </w:tabs>
        <w:snapToGrid w:val="0"/>
        <w:spacing w:after="120"/>
        <w:ind w:left="1134" w:firstLine="567"/>
        <w:rPr>
          <w:rFonts w:eastAsia="MS Mincho"/>
          <w:kern w:val="22"/>
          <w:szCs w:val="22"/>
        </w:rPr>
      </w:pPr>
      <w:r>
        <w:t>2.</w:t>
      </w:r>
      <w:r>
        <w:rPr>
          <w:i/>
        </w:rPr>
        <w:tab/>
        <w:t>призывает</w:t>
      </w:r>
      <w:r>
        <w:t xml:space="preserve"> Стороны в полной мере использовать результаты работы Платформы для содействия осуществлению Куньминско-Монреальской глобальной рамочной программы в области биоразнообразия, участвовать в процессах обзора для подготовки оценок Платформы и расширять коммуникацию, обмен информацией и координацию между координационными центрами Платформы и Конвенции на национальном уровне;</w:t>
      </w:r>
    </w:p>
    <w:p w14:paraId="115113F9" w14:textId="06E14950" w:rsidR="00227C27" w:rsidRPr="00493085" w:rsidRDefault="00977939" w:rsidP="00F77252">
      <w:pPr>
        <w:tabs>
          <w:tab w:val="left" w:pos="2268"/>
        </w:tabs>
        <w:snapToGrid w:val="0"/>
        <w:spacing w:after="120"/>
        <w:ind w:left="1134" w:firstLine="567"/>
        <w:rPr>
          <w:rFonts w:eastAsia="MS Mincho"/>
          <w:szCs w:val="22"/>
        </w:rPr>
      </w:pPr>
      <w:r>
        <w:t>3.</w:t>
      </w:r>
      <w:r>
        <w:rPr>
          <w:i/>
        </w:rPr>
        <w:tab/>
        <w:t>поручает</w:t>
      </w:r>
      <w:r>
        <w:t xml:space="preserve"> Исполнительному секретарю содействовать участию Исполнительного секретаря Платформы в совещаниях Контактной группы по связи в рамках конвенций в области биоразнообразия, когда это уместно. </w:t>
      </w:r>
    </w:p>
    <w:p w14:paraId="6E78047B" w14:textId="77777777" w:rsidR="00227C27" w:rsidRPr="0001005C" w:rsidRDefault="00227C27" w:rsidP="00227C27">
      <w:pPr>
        <w:snapToGrid w:val="0"/>
        <w:spacing w:after="120"/>
        <w:rPr>
          <w:rFonts w:eastAsia="MS Mincho"/>
          <w:kern w:val="22"/>
          <w:szCs w:val="22"/>
        </w:rPr>
        <w:sectPr w:rsidR="00227C27" w:rsidRPr="0001005C" w:rsidSect="00720AA4">
          <w:pgSz w:w="12240" w:h="15840" w:code="1"/>
          <w:pgMar w:top="1134" w:right="1440" w:bottom="1134" w:left="1440" w:header="454" w:footer="720" w:gutter="0"/>
          <w:cols w:space="720"/>
          <w:docGrid w:linePitch="299"/>
        </w:sectPr>
      </w:pPr>
    </w:p>
    <w:p w14:paraId="227392F6" w14:textId="77777777" w:rsidR="005E16E3" w:rsidRPr="00F77252" w:rsidRDefault="00227C27" w:rsidP="00F77252">
      <w:pPr>
        <w:keepNext/>
        <w:snapToGrid w:val="0"/>
        <w:spacing w:after="120"/>
        <w:ind w:left="567" w:hanging="11"/>
        <w:jc w:val="left"/>
        <w:rPr>
          <w:b/>
          <w:bCs/>
          <w:sz w:val="28"/>
          <w:szCs w:val="28"/>
        </w:rPr>
      </w:pPr>
      <w:r>
        <w:rPr>
          <w:b/>
          <w:sz w:val="28"/>
        </w:rPr>
        <w:lastRenderedPageBreak/>
        <w:t xml:space="preserve">Приложение </w:t>
      </w:r>
      <w:bookmarkStart w:id="1" w:name="_Hlk161737352"/>
    </w:p>
    <w:p w14:paraId="0D50D866" w14:textId="4C1816CA" w:rsidR="00227C27" w:rsidRPr="00F77252" w:rsidRDefault="00227C27" w:rsidP="00F77252">
      <w:pPr>
        <w:keepNext/>
        <w:snapToGrid w:val="0"/>
        <w:spacing w:after="120"/>
        <w:ind w:left="567" w:hanging="11"/>
        <w:jc w:val="left"/>
        <w:rPr>
          <w:b/>
          <w:bCs/>
          <w:sz w:val="28"/>
          <w:szCs w:val="28"/>
        </w:rPr>
      </w:pPr>
      <w:r>
        <w:rPr>
          <w:b/>
          <w:sz w:val="28"/>
        </w:rPr>
        <w:t>Обзор предыдущих и будущих результатов деятельности Межправительственной научно-политической платформы по биоразнообразию и экосистемным услугам и их актуальность для принятия решений в рамках Конвенции</w:t>
      </w:r>
    </w:p>
    <w:tbl>
      <w:tblPr>
        <w:tblStyle w:val="a8"/>
        <w:tblW w:w="14271" w:type="dxa"/>
        <w:jc w:val="center"/>
        <w:tblLayout w:type="fixed"/>
        <w:tblLook w:val="04A0" w:firstRow="1" w:lastRow="0" w:firstColumn="1" w:lastColumn="0" w:noHBand="0" w:noVBand="1"/>
      </w:tblPr>
      <w:tblGrid>
        <w:gridCol w:w="1696"/>
        <w:gridCol w:w="2963"/>
        <w:gridCol w:w="2424"/>
        <w:gridCol w:w="7188"/>
      </w:tblGrid>
      <w:tr w:rsidR="00896F72" w:rsidRPr="00896F72" w14:paraId="3C67C968" w14:textId="77777777" w:rsidTr="00896F72">
        <w:trPr>
          <w:tblHeader/>
          <w:jc w:val="center"/>
        </w:trPr>
        <w:tc>
          <w:tcPr>
            <w:tcW w:w="1696" w:type="dxa"/>
            <w:shd w:val="clear" w:color="auto" w:fill="D9D9D9" w:themeFill="background1" w:themeFillShade="D9"/>
          </w:tcPr>
          <w:bookmarkEnd w:id="1"/>
          <w:p w14:paraId="718A8251" w14:textId="06EEA237" w:rsidR="00227C27" w:rsidRPr="00F77252"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i/>
                <w:iCs/>
                <w:snapToGrid w:val="0"/>
                <w:kern w:val="22"/>
                <w:sz w:val="20"/>
                <w:szCs w:val="20"/>
              </w:rPr>
            </w:pPr>
            <w:r>
              <w:rPr>
                <w:rFonts w:asciiTheme="majorBidi" w:hAnsiTheme="majorBidi"/>
                <w:i/>
                <w:snapToGrid w:val="0"/>
                <w:sz w:val="20"/>
              </w:rPr>
              <w:t>Дата утверждения (или приветствия, в случае докладов о совещаниях)</w:t>
            </w:r>
          </w:p>
        </w:tc>
        <w:tc>
          <w:tcPr>
            <w:tcW w:w="2963" w:type="dxa"/>
            <w:shd w:val="clear" w:color="auto" w:fill="D9D9D9" w:themeFill="background1" w:themeFillShade="D9"/>
          </w:tcPr>
          <w:p w14:paraId="69B63F48" w14:textId="77777777" w:rsidR="00227C27" w:rsidRPr="00F77252"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snapToGrid w:val="0"/>
                <w:sz w:val="20"/>
              </w:rPr>
              <w:t xml:space="preserve">Результат деятельности </w:t>
            </w:r>
          </w:p>
        </w:tc>
        <w:tc>
          <w:tcPr>
            <w:tcW w:w="2424" w:type="dxa"/>
            <w:shd w:val="clear" w:color="auto" w:fill="D9D9D9" w:themeFill="background1" w:themeFillShade="D9"/>
          </w:tcPr>
          <w:p w14:paraId="0FA68FB1" w14:textId="757059A8" w:rsidR="00227C27" w:rsidRPr="00F77252"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snapToGrid w:val="0"/>
                <w:sz w:val="20"/>
              </w:rPr>
              <w:t xml:space="preserve">Рассмотрение Вспомогательным органом и Конференцией Сторон </w:t>
            </w:r>
          </w:p>
        </w:tc>
        <w:tc>
          <w:tcPr>
            <w:tcW w:w="7188" w:type="dxa"/>
            <w:shd w:val="clear" w:color="auto" w:fill="D9D9D9" w:themeFill="background1" w:themeFillShade="D9"/>
          </w:tcPr>
          <w:p w14:paraId="03E32750" w14:textId="77777777" w:rsidR="00227C27" w:rsidRPr="00F77252"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snapToGrid w:val="0"/>
                <w:sz w:val="20"/>
              </w:rPr>
              <w:t>Описание прошлых руководящих указаний или потенциальных возможностей для будущих руководящих указаний</w:t>
            </w:r>
            <w:r>
              <w:rPr>
                <w:rFonts w:asciiTheme="majorBidi" w:hAnsiTheme="majorBidi"/>
                <w:i/>
                <w:snapToGrid w:val="0"/>
                <w:sz w:val="20"/>
                <w:highlight w:val="yellow"/>
              </w:rPr>
              <w:t xml:space="preserve">  </w:t>
            </w:r>
          </w:p>
        </w:tc>
      </w:tr>
      <w:tr w:rsidR="00227C27" w:rsidRPr="002C7339" w14:paraId="5CBFEE73" w14:textId="77777777" w:rsidTr="00F77252">
        <w:trPr>
          <w:jc w:val="center"/>
        </w:trPr>
        <w:tc>
          <w:tcPr>
            <w:tcW w:w="1696" w:type="dxa"/>
            <w:vMerge w:val="restart"/>
          </w:tcPr>
          <w:p w14:paraId="74A66E19"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r>
              <w:rPr>
                <w:rFonts w:asciiTheme="majorBidi" w:hAnsiTheme="majorBidi"/>
                <w:b/>
                <w:snapToGrid w:val="0"/>
                <w:sz w:val="20"/>
              </w:rPr>
              <w:t>МПБЭУ-4 (2016 г.)</w:t>
            </w:r>
          </w:p>
        </w:tc>
        <w:tc>
          <w:tcPr>
            <w:tcW w:w="2963" w:type="dxa"/>
            <w:vMerge w:val="restart"/>
          </w:tcPr>
          <w:p w14:paraId="2FDAB4B0"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Доклад об оценке опылителей, опыления и производства продуктов питания</w:t>
            </w:r>
          </w:p>
          <w:p w14:paraId="7452844C" w14:textId="77777777" w:rsidR="00227C27" w:rsidRPr="00F77252" w:rsidRDefault="0000000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color w:val="0000FF"/>
                <w:kern w:val="22"/>
                <w:sz w:val="20"/>
                <w:szCs w:val="20"/>
                <w:u w:val="single"/>
              </w:rPr>
            </w:pPr>
            <w:hyperlink r:id="rId18" w:history="1">
              <w:r w:rsidR="007B1194">
                <w:rPr>
                  <w:rStyle w:val="af8"/>
                  <w:rFonts w:asciiTheme="majorBidi" w:hAnsiTheme="majorBidi"/>
                  <w:snapToGrid w:val="0"/>
                  <w:sz w:val="20"/>
                </w:rPr>
                <w:t>https://ipbes.net/assessment-reports/pollinators</w:t>
              </w:r>
            </w:hyperlink>
          </w:p>
        </w:tc>
        <w:tc>
          <w:tcPr>
            <w:tcW w:w="2424" w:type="dxa"/>
          </w:tcPr>
          <w:p w14:paraId="1CAA58F0" w14:textId="722C7C76"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Рек. XX/9 ВОНТТК</w:t>
            </w:r>
          </w:p>
          <w:p w14:paraId="4E22B672"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Решение XIII/15 КС</w:t>
            </w:r>
          </w:p>
        </w:tc>
        <w:tc>
          <w:tcPr>
            <w:tcW w:w="7188" w:type="dxa"/>
          </w:tcPr>
          <w:p w14:paraId="24BE034A" w14:textId="5D1A8705"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Конференция Сторон приветствовала резюме для директивных органов и полную версию доклада об оценке, одобрила его основные положения и призвала Стороны и других участников использовать эту оценку</w:t>
            </w:r>
            <w:r w:rsidR="00C960BE">
              <w:rPr>
                <w:rFonts w:asciiTheme="majorBidi" w:hAnsiTheme="majorBidi"/>
                <w:snapToGrid w:val="0"/>
                <w:sz w:val="20"/>
              </w:rPr>
              <w:t>.</w:t>
            </w:r>
          </w:p>
          <w:p w14:paraId="2890F97D" w14:textId="0ACA89B2"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Конференция Сторон приняла рекомендации политического характера для правительств, представителей деловых кругов и других лиц по улучшению сохранения опылителей и управлению ими, устранению факторов, вызывающих сокращение популяции опылителей, и работе над созданием устойчивых систем производства продуктов питания и сельского хозяйства.</w:t>
            </w:r>
          </w:p>
        </w:tc>
      </w:tr>
      <w:tr w:rsidR="00227C27" w:rsidRPr="002C7339" w14:paraId="37158F31" w14:textId="77777777" w:rsidTr="00F77252">
        <w:trPr>
          <w:jc w:val="center"/>
        </w:trPr>
        <w:tc>
          <w:tcPr>
            <w:tcW w:w="1696" w:type="dxa"/>
            <w:vMerge/>
          </w:tcPr>
          <w:p w14:paraId="4A2B9AE7"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tcPr>
          <w:p w14:paraId="05E263B1"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424" w:type="dxa"/>
          </w:tcPr>
          <w:p w14:paraId="5917339F"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Дальнейшее рассмотрение на ВОНТТК и КС-14 (в соответствии с решением XIII/15)</w:t>
            </w:r>
          </w:p>
        </w:tc>
        <w:tc>
          <w:tcPr>
            <w:tcW w:w="7188" w:type="dxa"/>
          </w:tcPr>
          <w:p w14:paraId="6A244F0C" w14:textId="77777777" w:rsidR="00227C27" w:rsidRPr="001F1448"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Обновление Плана действий Международной инициативы по сохранению и устойчивому использованию опылителей и подготовка проекта обновленного и упорядоченного плана действий, включая вопрос создания потенциала.</w:t>
            </w:r>
          </w:p>
          <w:p w14:paraId="0DF97BF8" w14:textId="2250CA2B" w:rsidR="00227C27" w:rsidRPr="001F1448"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Непосредственно связан с задачами 10 и 11.</w:t>
            </w:r>
          </w:p>
        </w:tc>
      </w:tr>
      <w:tr w:rsidR="00227C27" w:rsidRPr="002C7339" w14:paraId="42D4A7E9" w14:textId="77777777" w:rsidTr="00F77252">
        <w:trPr>
          <w:jc w:val="center"/>
        </w:trPr>
        <w:tc>
          <w:tcPr>
            <w:tcW w:w="1696" w:type="dxa"/>
            <w:vMerge/>
          </w:tcPr>
          <w:p w14:paraId="51232A2F"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val="restart"/>
          </w:tcPr>
          <w:p w14:paraId="4D162FAE"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b/>
                <w:snapToGrid w:val="0"/>
                <w:sz w:val="20"/>
              </w:rPr>
              <w:t>Доклад о методологической оценке сценариев и моделей биоразнообразия и экосистемных услуг</w:t>
            </w:r>
          </w:p>
          <w:p w14:paraId="6730018C" w14:textId="77777777" w:rsidR="00227C27" w:rsidRPr="001F1448" w:rsidRDefault="0000000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19" w:history="1">
              <w:r w:rsidR="007B1194">
                <w:rPr>
                  <w:rStyle w:val="af8"/>
                  <w:rFonts w:asciiTheme="majorBidi" w:hAnsiTheme="majorBidi"/>
                  <w:snapToGrid w:val="0"/>
                  <w:sz w:val="20"/>
                </w:rPr>
                <w:t>https://ipbes.net/assessment-reports/scenarios</w:t>
              </w:r>
            </w:hyperlink>
          </w:p>
        </w:tc>
        <w:tc>
          <w:tcPr>
            <w:tcW w:w="2424" w:type="dxa"/>
          </w:tcPr>
          <w:p w14:paraId="37B841CF"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Рассмотрен на ВОНТТК-20 (рек. XX/13) и КС-13 (решение XIII/29)</w:t>
            </w:r>
          </w:p>
        </w:tc>
        <w:tc>
          <w:tcPr>
            <w:tcW w:w="7188" w:type="dxa"/>
          </w:tcPr>
          <w:p w14:paraId="32C175E5" w14:textId="18A89280"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Конференция Сторон приветствовала оценку, признала ее высокую актуальность для работы в рамках Конвенции и, в частности, для пятого издания «Глобальной перспективы в области биоразнообразия»; призвала Стороны и другие субъекты к дальнейшей разработке и использованию сценариев и моделей для поддержки принятия решений и оценки мер политического характера, а также предложила научному сообществу устранить ключевые пробелы в методах моделирования воздействия факторов и политических мер на биоразнообразие и экосистемные услуги.</w:t>
            </w:r>
          </w:p>
        </w:tc>
      </w:tr>
      <w:tr w:rsidR="00227C27" w:rsidRPr="002C7339" w14:paraId="0290DC64" w14:textId="77777777" w:rsidTr="00F77252">
        <w:trPr>
          <w:jc w:val="center"/>
        </w:trPr>
        <w:tc>
          <w:tcPr>
            <w:tcW w:w="1696" w:type="dxa"/>
            <w:vMerge/>
          </w:tcPr>
          <w:p w14:paraId="733A67B0"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tcPr>
          <w:p w14:paraId="22A8C72C"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424" w:type="dxa"/>
          </w:tcPr>
          <w:p w14:paraId="3FED9CC1"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ВОНТТК-21 (рек. XXI/1)</w:t>
            </w:r>
          </w:p>
          <w:p w14:paraId="19A373AE"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КС-14 (решение 14/1)</w:t>
            </w:r>
          </w:p>
        </w:tc>
        <w:tc>
          <w:tcPr>
            <w:tcW w:w="7188" w:type="dxa"/>
          </w:tcPr>
          <w:p w14:paraId="2E998C57" w14:textId="750C2F5B" w:rsidR="00227C27" w:rsidRPr="001F1448" w:rsidRDefault="001F1448"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bCs/>
                <w:iCs/>
                <w:snapToGrid w:val="0"/>
                <w:kern w:val="22"/>
                <w:sz w:val="20"/>
                <w:szCs w:val="20"/>
              </w:rPr>
            </w:pPr>
            <w:r>
              <w:rPr>
                <w:rFonts w:asciiTheme="majorBidi" w:hAnsiTheme="majorBidi"/>
                <w:snapToGrid w:val="0"/>
                <w:sz w:val="20"/>
              </w:rPr>
              <w:t>Вспомогательный орган подготовил выводы по сценариям для Концепции в области биоразнообразия на период до 2050 года</w:t>
            </w:r>
            <w:r w:rsidR="00C960BE">
              <w:rPr>
                <w:rFonts w:asciiTheme="majorBidi" w:hAnsiTheme="majorBidi"/>
                <w:snapToGrid w:val="0"/>
                <w:sz w:val="20"/>
              </w:rPr>
              <w:t>.</w:t>
            </w:r>
          </w:p>
          <w:p w14:paraId="53A9ACF0" w14:textId="34C2C274"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bCs/>
                <w:iCs/>
                <w:snapToGrid w:val="0"/>
                <w:kern w:val="22"/>
                <w:sz w:val="20"/>
                <w:szCs w:val="20"/>
              </w:rPr>
            </w:pPr>
            <w:r>
              <w:rPr>
                <w:rFonts w:asciiTheme="majorBidi" w:hAnsiTheme="majorBidi"/>
                <w:snapToGrid w:val="0"/>
                <w:sz w:val="20"/>
              </w:rPr>
              <w:t>Конференция Сторон отметила актуальность оценки для обсуждения долгосрочных стратегических направлений в реализации Концепции в области биоразнообразия на период до 2050 года и процесса в разработке глобальной рамочной программы в области биоразнообразия на период после 2020 года.</w:t>
            </w:r>
          </w:p>
          <w:p w14:paraId="2F5C4A08" w14:textId="2EAABAB4" w:rsidR="00227C27" w:rsidRPr="001F1448"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Связан с глобальным обзором коллективного прогресса в осуществлении Рамочной программы. </w:t>
            </w:r>
          </w:p>
        </w:tc>
      </w:tr>
      <w:tr w:rsidR="00227C27" w:rsidRPr="002C7339" w14:paraId="38F16754" w14:textId="77777777" w:rsidTr="00F77252">
        <w:trPr>
          <w:jc w:val="center"/>
        </w:trPr>
        <w:tc>
          <w:tcPr>
            <w:tcW w:w="1696" w:type="dxa"/>
            <w:vMerge w:val="restart"/>
          </w:tcPr>
          <w:p w14:paraId="0A63A6BF" w14:textId="77777777" w:rsidR="00227C27" w:rsidRPr="00F77252" w:rsidRDefault="00227C27" w:rsidP="00575B65">
            <w:pPr>
              <w:suppressLineNumbers/>
              <w:suppressAutoHyphens/>
              <w:kinsoku w:val="0"/>
              <w:overflowPunct w:val="0"/>
              <w:autoSpaceDE w:val="0"/>
              <w:autoSpaceDN w:val="0"/>
              <w:adjustRightInd w:val="0"/>
              <w:snapToGrid w:val="0"/>
              <w:spacing w:after="120"/>
              <w:jc w:val="center"/>
              <w:rPr>
                <w:rStyle w:val="af8"/>
                <w:rFonts w:asciiTheme="majorBidi" w:hAnsiTheme="majorBidi" w:cstheme="majorBidi"/>
                <w:b/>
                <w:bCs/>
                <w:snapToGrid w:val="0"/>
                <w:kern w:val="22"/>
                <w:sz w:val="20"/>
                <w:szCs w:val="20"/>
              </w:rPr>
            </w:pPr>
            <w:r>
              <w:rPr>
                <w:rFonts w:asciiTheme="majorBidi" w:hAnsiTheme="majorBidi"/>
                <w:b/>
                <w:snapToGrid w:val="0"/>
                <w:sz w:val="20"/>
              </w:rPr>
              <w:t>МПБЭУ-6 (2018 г.)</w:t>
            </w:r>
          </w:p>
          <w:p w14:paraId="2C00ACA1" w14:textId="77777777" w:rsidR="00227C27" w:rsidRPr="007E756D"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val="restart"/>
          </w:tcPr>
          <w:p w14:paraId="30EB72A6" w14:textId="77777777" w:rsidR="00227C27" w:rsidRPr="00F77252" w:rsidRDefault="00227C27" w:rsidP="00575B65">
            <w:pPr>
              <w:suppressLineNumbers/>
              <w:suppressAutoHyphens/>
              <w:kinsoku w:val="0"/>
              <w:overflowPunct w:val="0"/>
              <w:autoSpaceDE w:val="0"/>
              <w:autoSpaceDN w:val="0"/>
              <w:adjustRightInd w:val="0"/>
              <w:snapToGrid w:val="0"/>
              <w:spacing w:after="120"/>
              <w:jc w:val="left"/>
              <w:rPr>
                <w:rStyle w:val="af8"/>
                <w:rFonts w:asciiTheme="majorBidi" w:hAnsiTheme="majorBidi" w:cstheme="majorBidi"/>
                <w:b/>
                <w:bCs/>
                <w:snapToGrid w:val="0"/>
                <w:kern w:val="22"/>
                <w:sz w:val="20"/>
                <w:szCs w:val="20"/>
              </w:rPr>
            </w:pPr>
            <w:r>
              <w:rPr>
                <w:rFonts w:asciiTheme="majorBidi" w:hAnsiTheme="majorBidi"/>
                <w:b/>
                <w:snapToGrid w:val="0"/>
                <w:sz w:val="20"/>
              </w:rPr>
              <w:t>Доклад об оценке деградации и восстановления земель</w:t>
            </w:r>
          </w:p>
          <w:p w14:paraId="539A108D" w14:textId="77777777" w:rsidR="00227C27" w:rsidRPr="007E756D" w:rsidRDefault="0000000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0" w:history="1">
              <w:r w:rsidR="007B1194">
                <w:rPr>
                  <w:rStyle w:val="af8"/>
                  <w:rFonts w:asciiTheme="majorBidi" w:hAnsiTheme="majorBidi"/>
                  <w:snapToGrid w:val="0"/>
                  <w:sz w:val="20"/>
                </w:rPr>
                <w:t>https://ipbes.net/assessment-reports/ldr</w:t>
              </w:r>
            </w:hyperlink>
          </w:p>
        </w:tc>
        <w:tc>
          <w:tcPr>
            <w:tcW w:w="2424" w:type="dxa"/>
          </w:tcPr>
          <w:p w14:paraId="5879C2EE" w14:textId="66C947B5"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Рекомендация 22/4 ВОНТТК </w:t>
            </w:r>
          </w:p>
          <w:p w14:paraId="5238148E"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КС-14 (решение 14/1)</w:t>
            </w:r>
          </w:p>
        </w:tc>
        <w:tc>
          <w:tcPr>
            <w:tcW w:w="7188" w:type="dxa"/>
          </w:tcPr>
          <w:p w14:paraId="4C795B3C" w14:textId="2F579E47" w:rsidR="00227C27" w:rsidRPr="002C7339" w:rsidRDefault="007E756D"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Вспомогательный орган приветствовал оценку. </w:t>
            </w:r>
          </w:p>
          <w:p w14:paraId="66ADE9DB" w14:textId="2BCF397C" w:rsidR="00227C27" w:rsidRPr="002C7339"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Конференция Сторон приветствовала оценку, настоятельно призвала Стороны и предложила другим правительствам использовать ее.</w:t>
            </w:r>
          </w:p>
        </w:tc>
      </w:tr>
      <w:tr w:rsidR="00227C27" w:rsidRPr="002C7339" w14:paraId="55122532" w14:textId="77777777" w:rsidTr="00F77252">
        <w:trPr>
          <w:jc w:val="center"/>
        </w:trPr>
        <w:tc>
          <w:tcPr>
            <w:tcW w:w="1696" w:type="dxa"/>
            <w:vMerge/>
          </w:tcPr>
          <w:p w14:paraId="2015C328"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vMerge/>
          </w:tcPr>
          <w:p w14:paraId="7DEC8D80"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424" w:type="dxa"/>
          </w:tcPr>
          <w:p w14:paraId="76FD5BA3"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Решение 14/5 КС</w:t>
            </w:r>
          </w:p>
        </w:tc>
        <w:tc>
          <w:tcPr>
            <w:tcW w:w="7188" w:type="dxa"/>
          </w:tcPr>
          <w:p w14:paraId="70B16B08" w14:textId="138F21B1" w:rsidR="00227C27" w:rsidRPr="007E756D"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iCs/>
                <w:snapToGrid w:val="0"/>
                <w:kern w:val="22"/>
                <w:sz w:val="20"/>
                <w:szCs w:val="20"/>
              </w:rPr>
            </w:pPr>
            <w:r>
              <w:rPr>
                <w:rFonts w:asciiTheme="majorBidi" w:hAnsiTheme="majorBidi"/>
                <w:snapToGrid w:val="0"/>
                <w:sz w:val="20"/>
              </w:rPr>
              <w:t>Конференция Сторон приветствовала оценку, одобрила ключевые идеи, содействующие достижению целей в области устойчивого развития путем использования экосистемных подходов к адаптации к изменению климата и смягчению его последствий, снижению риска бедствий и борьбе с деградацией земель</w:t>
            </w:r>
            <w:r w:rsidR="00C960BE">
              <w:rPr>
                <w:rFonts w:asciiTheme="majorBidi" w:hAnsiTheme="majorBidi"/>
                <w:snapToGrid w:val="0"/>
                <w:sz w:val="20"/>
              </w:rPr>
              <w:t>.</w:t>
            </w:r>
          </w:p>
          <w:p w14:paraId="6164049F" w14:textId="57A68A2F" w:rsidR="00227C27" w:rsidRPr="002C7339"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iCs/>
                <w:snapToGrid w:val="0"/>
                <w:kern w:val="22"/>
                <w:sz w:val="20"/>
                <w:szCs w:val="20"/>
              </w:rPr>
            </w:pPr>
            <w:r>
              <w:rPr>
                <w:rFonts w:asciiTheme="majorBidi" w:hAnsiTheme="majorBidi"/>
                <w:snapToGrid w:val="0"/>
                <w:sz w:val="20"/>
              </w:rPr>
              <w:t xml:space="preserve">Непосредственно связан с задачей 2 Рамочной программы, а также задачами 1, 3, 8, 10 и 11. </w:t>
            </w:r>
          </w:p>
        </w:tc>
      </w:tr>
      <w:tr w:rsidR="00227C27" w:rsidRPr="002C7339" w14:paraId="1289CD88" w14:textId="77777777" w:rsidTr="00F77252">
        <w:trPr>
          <w:jc w:val="center"/>
        </w:trPr>
        <w:tc>
          <w:tcPr>
            <w:tcW w:w="1696" w:type="dxa"/>
            <w:vMerge/>
          </w:tcPr>
          <w:p w14:paraId="3429DC69"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44F97B8A"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Региональные доклады об оценке биоразнообразия и экосистемных услуг для Северной и Южной Америки, Африки, Азиатско-Тихоокеанского региона, Европы и Центральной Азии</w:t>
            </w:r>
          </w:p>
          <w:p w14:paraId="32053D58" w14:textId="77777777" w:rsidR="00227C27" w:rsidRPr="007E756D" w:rsidRDefault="0000000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1" w:history="1">
              <w:r w:rsidR="007B1194">
                <w:rPr>
                  <w:rStyle w:val="af8"/>
                  <w:rFonts w:asciiTheme="majorBidi" w:hAnsiTheme="majorBidi"/>
                  <w:snapToGrid w:val="0"/>
                  <w:sz w:val="20"/>
                </w:rPr>
                <w:t>https://ipbes.net/regional-assessments</w:t>
              </w:r>
            </w:hyperlink>
          </w:p>
        </w:tc>
        <w:tc>
          <w:tcPr>
            <w:tcW w:w="2424" w:type="dxa"/>
          </w:tcPr>
          <w:p w14:paraId="0E0F1524"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lastRenderedPageBreak/>
              <w:t>Рек. 22/4 ВОНТТК</w:t>
            </w:r>
          </w:p>
          <w:p w14:paraId="73AAB415"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Решения 14/1 и 14/34 КС</w:t>
            </w:r>
          </w:p>
          <w:p w14:paraId="76CB77B2"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Рек. 23/1 ВОНТТК</w:t>
            </w:r>
          </w:p>
        </w:tc>
        <w:tc>
          <w:tcPr>
            <w:tcW w:w="7188" w:type="dxa"/>
          </w:tcPr>
          <w:p w14:paraId="76BBE16B" w14:textId="2358B47D" w:rsidR="00227C27" w:rsidRPr="007E756D"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Конференция Сторон приветствовала оценки и призвала использовать их при подготовке глобальной рамочной программы в области биоразнообразия на период после 2020 года.</w:t>
            </w:r>
          </w:p>
          <w:p w14:paraId="20C3CC85" w14:textId="77777777" w:rsidR="00227C27" w:rsidRPr="007E756D"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Способствуют применению Рамочной программы на региональном уровне.</w:t>
            </w:r>
          </w:p>
        </w:tc>
      </w:tr>
      <w:tr w:rsidR="00227C27" w:rsidRPr="002C7339" w14:paraId="4A70A7CD" w14:textId="77777777" w:rsidTr="00F77252">
        <w:trPr>
          <w:jc w:val="center"/>
        </w:trPr>
        <w:tc>
          <w:tcPr>
            <w:tcW w:w="1696" w:type="dxa"/>
          </w:tcPr>
          <w:p w14:paraId="4B9E8B42"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МПБЭУ-7 (2019 г.)</w:t>
            </w:r>
          </w:p>
        </w:tc>
        <w:tc>
          <w:tcPr>
            <w:tcW w:w="2963" w:type="dxa"/>
          </w:tcPr>
          <w:p w14:paraId="1C514D4D"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Доклад о глобальной оценке биоразнообразия и экосистемных услуг</w:t>
            </w:r>
          </w:p>
          <w:p w14:paraId="760F5325" w14:textId="77777777" w:rsidR="00227C27" w:rsidRPr="00097164" w:rsidRDefault="0000000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2" w:history="1">
              <w:r w:rsidR="007B1194">
                <w:rPr>
                  <w:rStyle w:val="af8"/>
                  <w:rFonts w:asciiTheme="majorBidi" w:hAnsiTheme="majorBidi"/>
                  <w:snapToGrid w:val="0"/>
                  <w:sz w:val="20"/>
                </w:rPr>
                <w:t>https://ipbes.net/global-assessment</w:t>
              </w:r>
            </w:hyperlink>
          </w:p>
        </w:tc>
        <w:tc>
          <w:tcPr>
            <w:tcW w:w="2424" w:type="dxa"/>
          </w:tcPr>
          <w:p w14:paraId="44F599EB"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Рек. 23/1 ВОНТТК</w:t>
            </w:r>
          </w:p>
        </w:tc>
        <w:tc>
          <w:tcPr>
            <w:tcW w:w="7188" w:type="dxa"/>
          </w:tcPr>
          <w:p w14:paraId="1D1EA05E" w14:textId="2CBE7A60" w:rsidR="00227C27" w:rsidRPr="00097164" w:rsidRDefault="00097164"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Вспомогательный орган приветствовал доклад о глобальной оценке и принял к сведению информацию, представленную в записке Исполнительного секретаря, которая включала обзор выводов по итогам глобальной оценки и последствий для работы Конвенции, подготовленный Исполнительным секретарем; поручил сопредседателям Рабочей группы открытого состава по глобальной рамочной программе в области биоразнообразия на период после 2020 года учесть выводы, содержащиеся в глобальной оценке, при подготовке документации для второго совещания Рабочей группы; и предложил Рабочей группе открытого состава по глобальной рамочной программе в области биоразнообразия на период после 2020 года в ходе своих обсуждений рассмотреть содержащиеся в глобальной оценке выводы.</w:t>
            </w:r>
          </w:p>
          <w:p w14:paraId="3AFB0161" w14:textId="44672D3E" w:rsidR="00227C27" w:rsidRPr="00097164"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Обеспечивает первичную научную основу Рамочной программы и способствует реализации всех ее аспектов. </w:t>
            </w:r>
          </w:p>
        </w:tc>
      </w:tr>
      <w:tr w:rsidR="00227C27" w:rsidRPr="002C7339" w14:paraId="61861751" w14:textId="77777777" w:rsidTr="00F77252">
        <w:trPr>
          <w:jc w:val="center"/>
        </w:trPr>
        <w:tc>
          <w:tcPr>
            <w:tcW w:w="1696" w:type="dxa"/>
            <w:vMerge w:val="restart"/>
          </w:tcPr>
          <w:p w14:paraId="5EE23AD6"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МПБЭУ-8 (2020 г.)</w:t>
            </w:r>
          </w:p>
        </w:tc>
        <w:tc>
          <w:tcPr>
            <w:tcW w:w="2963" w:type="dxa"/>
          </w:tcPr>
          <w:p w14:paraId="27F81C01"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 xml:space="preserve">Доклад семинара экспертов по биоразнообразию и пандемиям </w:t>
            </w:r>
          </w:p>
          <w:p w14:paraId="74571A4B" w14:textId="77777777" w:rsidR="00227C27" w:rsidRPr="00097164" w:rsidRDefault="0000000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3" w:history="1">
              <w:r w:rsidR="007B1194">
                <w:rPr>
                  <w:rStyle w:val="af8"/>
                  <w:rFonts w:asciiTheme="majorBidi" w:hAnsiTheme="majorBidi"/>
                  <w:snapToGrid w:val="0"/>
                  <w:sz w:val="20"/>
                </w:rPr>
                <w:t>https://ipbes.net/events/ipbes-workshop-biodiversity-and-pandemics</w:t>
              </w:r>
            </w:hyperlink>
          </w:p>
        </w:tc>
        <w:tc>
          <w:tcPr>
            <w:tcW w:w="2424" w:type="dxa"/>
          </w:tcPr>
          <w:p w14:paraId="4C989779"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Упоминается в рек. 24/7 ВОНТТК</w:t>
            </w:r>
          </w:p>
          <w:p w14:paraId="14F7C9E9"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Реш. 15/29 КС</w:t>
            </w:r>
          </w:p>
          <w:p w14:paraId="0109B808"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Реш. 15/19 КС</w:t>
            </w:r>
          </w:p>
        </w:tc>
        <w:tc>
          <w:tcPr>
            <w:tcW w:w="7188" w:type="dxa"/>
          </w:tcPr>
          <w:p w14:paraId="6CE5A9D9" w14:textId="2D118103" w:rsidR="00227C27" w:rsidRPr="00097164" w:rsidRDefault="00461122"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Конференция Сторон приняла к сведению Доклад о глобальной оценке биоразнообразия и экосистемных услуг 2019 года Межправительственной научно-политической платформы по биоразнообразию и экосистемным услугам, в котором говорится, что зоонозные и трансмиссивные заболевания представляют собой значительную угрозу для здоровья человека и что антропогенная деятельность может выступать усугубляющим фактором новых инфекционных заболеваний в дикой природе, у домашних животных, растений или людей</w:t>
            </w:r>
            <w:r w:rsidR="00C960BE">
              <w:rPr>
                <w:rFonts w:asciiTheme="majorBidi" w:hAnsiTheme="majorBidi"/>
                <w:snapToGrid w:val="0"/>
                <w:sz w:val="20"/>
              </w:rPr>
              <w:t>.</w:t>
            </w:r>
          </w:p>
          <w:p w14:paraId="41B1EAB6" w14:textId="7F700A26" w:rsidR="00227C27" w:rsidRPr="00097164"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Связан, среди прочего, со сквозным вопросом здравоохранения из раздела С Рамочной программы, а также задачами 1, 2, 3, 4, 5, 9, 11, 12, 16. </w:t>
            </w:r>
          </w:p>
        </w:tc>
      </w:tr>
      <w:tr w:rsidR="00227C27" w:rsidRPr="002C7339" w14:paraId="0236B5F4" w14:textId="77777777" w:rsidTr="00F77252">
        <w:trPr>
          <w:jc w:val="center"/>
        </w:trPr>
        <w:tc>
          <w:tcPr>
            <w:tcW w:w="1696" w:type="dxa"/>
            <w:vMerge/>
          </w:tcPr>
          <w:p w14:paraId="7039580A"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62F35AC3"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 xml:space="preserve">Доклад совместного семинара МПБЭУ-МГЭИК по биоразнообразию и изменению климата </w:t>
            </w:r>
            <w:r>
              <w:rPr>
                <w:rFonts w:asciiTheme="majorBidi" w:hAnsiTheme="majorBidi"/>
                <w:snapToGrid w:val="0"/>
                <w:sz w:val="20"/>
              </w:rPr>
              <w:t xml:space="preserve"> </w:t>
            </w:r>
            <w:hyperlink r:id="rId24" w:history="1">
              <w:r>
                <w:rPr>
                  <w:rStyle w:val="af8"/>
                  <w:rFonts w:asciiTheme="majorBidi" w:hAnsiTheme="majorBidi"/>
                  <w:snapToGrid w:val="0"/>
                  <w:sz w:val="20"/>
                </w:rPr>
                <w:t>https://ipbes.net/events/ipbes-ipcc-co-sponsored-workshop-biodiversity-and-climate-change</w:t>
              </w:r>
            </w:hyperlink>
          </w:p>
        </w:tc>
        <w:tc>
          <w:tcPr>
            <w:tcW w:w="2424" w:type="dxa"/>
          </w:tcPr>
          <w:p w14:paraId="2CEDD0AB" w14:textId="5F505F4E"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lastRenderedPageBreak/>
              <w:t>Упоминается в рек. 23/2 и</w:t>
            </w:r>
            <w:r w:rsidR="0064331C">
              <w:rPr>
                <w:rFonts w:asciiTheme="majorBidi" w:hAnsiTheme="majorBidi"/>
                <w:snapToGrid w:val="0"/>
                <w:sz w:val="20"/>
                <w:lang w:val="en-US"/>
              </w:rPr>
              <w:t xml:space="preserve"> </w:t>
            </w:r>
            <w:r>
              <w:rPr>
                <w:rFonts w:asciiTheme="majorBidi" w:hAnsiTheme="majorBidi"/>
                <w:snapToGrid w:val="0"/>
                <w:sz w:val="20"/>
              </w:rPr>
              <w:t>25/8 ВОНТТК</w:t>
            </w:r>
          </w:p>
          <w:p w14:paraId="3A6B0431"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Реш. 15/19 КС </w:t>
            </w:r>
          </w:p>
          <w:p w14:paraId="368C9DFF"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7188" w:type="dxa"/>
          </w:tcPr>
          <w:p w14:paraId="4B962371" w14:textId="61B1E9A2" w:rsidR="00227C27" w:rsidRPr="00097164" w:rsidRDefault="00461122"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lastRenderedPageBreak/>
              <w:t xml:space="preserve">Конференция Сторон приветствовала сотрудничество между Межправительственной научно-политической платформой по биоразнообразию и экосистемным услугам и Межправительственной группой экспертов по изменению климата и приняла к сведению доклад, отметив его итоги, и призвала </w:t>
            </w:r>
            <w:r>
              <w:rPr>
                <w:rFonts w:asciiTheme="majorBidi" w:hAnsiTheme="majorBidi"/>
                <w:snapToGrid w:val="0"/>
                <w:sz w:val="20"/>
              </w:rPr>
              <w:lastRenderedPageBreak/>
              <w:t xml:space="preserve">эти два органа к продолжению и дальнейшему укреплению сотрудничества на транспарентной основе при широком участии в целях повышения согласованности и во избежание дублирования усилий. </w:t>
            </w:r>
          </w:p>
          <w:p w14:paraId="59DA7DCA" w14:textId="620CE6F5" w:rsidR="00227C27" w:rsidRPr="00097164" w:rsidRDefault="00F14D69"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На 25-м совещании Вспомогательный орган приветствовал продолжение сотрудничества, описанное в решении 10/1 ВОНТТК.</w:t>
            </w:r>
          </w:p>
          <w:p w14:paraId="2E18A31F" w14:textId="77B8D0D8" w:rsidR="00227C27" w:rsidRPr="00097164" w:rsidRDefault="00227C27"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Непосредственно связан с задачей 8. </w:t>
            </w:r>
          </w:p>
        </w:tc>
      </w:tr>
      <w:tr w:rsidR="00227C27" w:rsidRPr="002C7339" w14:paraId="4E2369B3" w14:textId="77777777" w:rsidTr="00F77252">
        <w:trPr>
          <w:jc w:val="center"/>
        </w:trPr>
        <w:tc>
          <w:tcPr>
            <w:tcW w:w="1696" w:type="dxa"/>
            <w:vMerge w:val="restart"/>
          </w:tcPr>
          <w:p w14:paraId="07EF1561"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lastRenderedPageBreak/>
              <w:t>МПБЭУ-9 (2022 г.)</w:t>
            </w:r>
          </w:p>
        </w:tc>
        <w:tc>
          <w:tcPr>
            <w:tcW w:w="2963" w:type="dxa"/>
          </w:tcPr>
          <w:p w14:paraId="7A13E581"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Методологические оценки в отношении различной концептуализации разнообразных ценностей природы и ее благ, включая биоразнообразие и экосистемные функции и услуги</w:t>
            </w:r>
          </w:p>
          <w:p w14:paraId="685890B2" w14:textId="77777777" w:rsidR="00227C27" w:rsidRPr="0081782E" w:rsidRDefault="0000000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5" w:history="1">
              <w:r w:rsidR="007B1194">
                <w:rPr>
                  <w:rStyle w:val="af8"/>
                  <w:rFonts w:asciiTheme="majorBidi" w:hAnsiTheme="majorBidi"/>
                  <w:sz w:val="20"/>
                </w:rPr>
                <w:t>https://ipbes.net/the-values-assessment</w:t>
              </w:r>
            </w:hyperlink>
          </w:p>
        </w:tc>
        <w:tc>
          <w:tcPr>
            <w:tcW w:w="2424" w:type="dxa"/>
          </w:tcPr>
          <w:p w14:paraId="28B3DD8C"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Рек. 25/5 ВОНТТК</w:t>
            </w:r>
          </w:p>
          <w:p w14:paraId="17471862"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КС-16 (октябрь 2024 г.)</w:t>
            </w:r>
          </w:p>
        </w:tc>
        <w:tc>
          <w:tcPr>
            <w:tcW w:w="7188" w:type="dxa"/>
          </w:tcPr>
          <w:p w14:paraId="1D7F16E2" w14:textId="4A8FCC0C" w:rsidR="00227C27" w:rsidRPr="0081782E" w:rsidRDefault="00F14D69"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Вспомогательный орган рекомендовал Конференции Сторон приветствовать эту оценку и призвать Стороны принять во внимание ее результаты. В частности, признавая актуальность оценки в качестве важного вклада в реализацию программы работы по осуществлению статьи 8 (j) и других положений Конвенции и Совместной программой работы по связям между биологическим и культурным разнообразием. </w:t>
            </w:r>
          </w:p>
          <w:p w14:paraId="2F9DA72E" w14:textId="4DF47031" w:rsidR="00227C27" w:rsidRPr="0081782E" w:rsidRDefault="00227C27"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Сквозной вопрос. Непосредственно связан с задачей 14, целью B и разделом C Рамочной программы.</w:t>
            </w:r>
          </w:p>
        </w:tc>
      </w:tr>
      <w:tr w:rsidR="00227C27" w:rsidRPr="002C7339" w14:paraId="691DE9B2" w14:textId="77777777" w:rsidTr="00F77252">
        <w:trPr>
          <w:jc w:val="center"/>
        </w:trPr>
        <w:tc>
          <w:tcPr>
            <w:tcW w:w="1696" w:type="dxa"/>
            <w:vMerge/>
          </w:tcPr>
          <w:p w14:paraId="3F9AD7A3"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324F595D"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Доклад об оценке устойчивого использования диких видов</w:t>
            </w:r>
          </w:p>
          <w:p w14:paraId="292413C3" w14:textId="77777777" w:rsidR="00227C27" w:rsidRPr="0081782E" w:rsidRDefault="0000000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6" w:history="1">
              <w:r w:rsidR="007B1194">
                <w:rPr>
                  <w:rStyle w:val="af8"/>
                  <w:rFonts w:asciiTheme="majorBidi" w:hAnsiTheme="majorBidi"/>
                  <w:snapToGrid w:val="0"/>
                  <w:sz w:val="20"/>
                </w:rPr>
                <w:t>https://ipbes.net/sustainable-use-assessment</w:t>
              </w:r>
            </w:hyperlink>
          </w:p>
        </w:tc>
        <w:tc>
          <w:tcPr>
            <w:tcW w:w="2424" w:type="dxa"/>
          </w:tcPr>
          <w:p w14:paraId="6816E48C" w14:textId="3580DA99"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ВОНТТК 25/7</w:t>
            </w:r>
          </w:p>
          <w:p w14:paraId="514ABE5A"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КС-16 (октябрь 2024 г.)</w:t>
            </w:r>
          </w:p>
        </w:tc>
        <w:tc>
          <w:tcPr>
            <w:tcW w:w="7188" w:type="dxa"/>
          </w:tcPr>
          <w:p w14:paraId="3B756753" w14:textId="774CB8A0" w:rsidR="00227C27" w:rsidRPr="0081782E" w:rsidRDefault="0081782E"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Вспомогательный орган рекомендовал Конференции Сторон приветствовать резюме для директивных органов и призывает Стороны, а также другие правительства, субнациональные органы управления всех уровней, коренные народы и местные общины, женщин и соответствующие организации в соответствии с их потребностями, возможностями и условиями и согласно соответствующим международным обязательствам и в случае необходимости использовать выводы, когда это уместно.</w:t>
            </w:r>
          </w:p>
          <w:p w14:paraId="2209B2D2" w14:textId="5147082D" w:rsidR="00227C27" w:rsidRPr="0081782E" w:rsidRDefault="00227C27"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Рассматривает прямой фактор утраты биоразнообразия (чрезмерную эксплуатацию)</w:t>
            </w:r>
            <w:r w:rsidR="00C960BE">
              <w:rPr>
                <w:rFonts w:asciiTheme="majorBidi" w:hAnsiTheme="majorBidi"/>
                <w:snapToGrid w:val="0"/>
                <w:sz w:val="20"/>
              </w:rPr>
              <w:t>.</w:t>
            </w:r>
            <w:r>
              <w:rPr>
                <w:rFonts w:asciiTheme="majorBidi" w:hAnsiTheme="majorBidi"/>
                <w:snapToGrid w:val="0"/>
                <w:sz w:val="20"/>
              </w:rPr>
              <w:br/>
              <w:t>Непосредственно связан с задачами 5 и 9 и целью B Рамочной программы</w:t>
            </w:r>
            <w:r w:rsidR="00C960BE">
              <w:rPr>
                <w:rFonts w:asciiTheme="majorBidi" w:hAnsiTheme="majorBidi"/>
                <w:snapToGrid w:val="0"/>
                <w:sz w:val="20"/>
              </w:rPr>
              <w:t>.</w:t>
            </w:r>
          </w:p>
        </w:tc>
      </w:tr>
      <w:tr w:rsidR="00227C27" w:rsidRPr="002C7339" w14:paraId="745BAC3D" w14:textId="77777777" w:rsidTr="00F77252">
        <w:trPr>
          <w:jc w:val="center"/>
        </w:trPr>
        <w:tc>
          <w:tcPr>
            <w:tcW w:w="1696" w:type="dxa"/>
            <w:vMerge/>
          </w:tcPr>
          <w:p w14:paraId="3B9B2F7A"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4B791EAE"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Основы сценариев будущего развития природы, гибкий инструмент в поддержку разработки сценариев и моделей желаемого будущего для людей, природы и Матери-Земли (механизм «Будущее развитие природы»)</w:t>
            </w:r>
          </w:p>
          <w:p w14:paraId="009ADE5E" w14:textId="77777777" w:rsidR="00227C27" w:rsidRPr="0064331C" w:rsidRDefault="00000000" w:rsidP="00575B65">
            <w:pPr>
              <w:suppressLineNumbers/>
              <w:suppressAutoHyphens/>
              <w:kinsoku w:val="0"/>
              <w:overflowPunct w:val="0"/>
              <w:autoSpaceDE w:val="0"/>
              <w:autoSpaceDN w:val="0"/>
              <w:adjustRightInd w:val="0"/>
              <w:snapToGrid w:val="0"/>
              <w:spacing w:after="120"/>
              <w:jc w:val="left"/>
              <w:rPr>
                <w:b/>
                <w:bCs/>
                <w:snapToGrid w:val="0"/>
                <w:kern w:val="22"/>
                <w:sz w:val="20"/>
                <w:szCs w:val="20"/>
              </w:rPr>
            </w:pPr>
            <w:hyperlink r:id="rId27" w:history="1">
              <w:r w:rsidR="007B1194" w:rsidRPr="0064331C">
                <w:rPr>
                  <w:rStyle w:val="af8"/>
                  <w:sz w:val="20"/>
                  <w:szCs w:val="20"/>
                </w:rPr>
                <w:t>https://zenodo.org/records/8171339</w:t>
              </w:r>
            </w:hyperlink>
            <w:r w:rsidR="007B1194" w:rsidRPr="0064331C">
              <w:rPr>
                <w:sz w:val="20"/>
                <w:szCs w:val="20"/>
              </w:rPr>
              <w:t xml:space="preserve"> </w:t>
            </w:r>
          </w:p>
        </w:tc>
        <w:tc>
          <w:tcPr>
            <w:tcW w:w="2424" w:type="dxa"/>
          </w:tcPr>
          <w:p w14:paraId="505177DE"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7188" w:type="dxa"/>
          </w:tcPr>
          <w:p w14:paraId="60705092" w14:textId="77777777" w:rsidR="00227C27" w:rsidRPr="0064331C" w:rsidRDefault="00227C27"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Механизм «Будущее развитие природы» стимулирует разработку сценариев и моделей биоразнообразия и экосистемных услуг.</w:t>
            </w:r>
          </w:p>
          <w:p w14:paraId="4FCFDCEF" w14:textId="77777777" w:rsidR="00227C27" w:rsidRPr="0064331C" w:rsidRDefault="00227C27"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 xml:space="preserve">Связан с разделом С Рамочной программы. </w:t>
            </w:r>
          </w:p>
        </w:tc>
      </w:tr>
      <w:tr w:rsidR="00227C27" w:rsidRPr="002C7339" w14:paraId="4101E663" w14:textId="77777777" w:rsidTr="00F77252">
        <w:trPr>
          <w:jc w:val="center"/>
        </w:trPr>
        <w:tc>
          <w:tcPr>
            <w:tcW w:w="1696" w:type="dxa"/>
          </w:tcPr>
          <w:p w14:paraId="7BEBA42E"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МПБЭУ-10 (2023 г.)</w:t>
            </w:r>
          </w:p>
        </w:tc>
        <w:tc>
          <w:tcPr>
            <w:tcW w:w="2963" w:type="dxa"/>
          </w:tcPr>
          <w:p w14:paraId="1A067B04"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Оценка инвазивных чужеродных видов</w:t>
            </w:r>
          </w:p>
          <w:p w14:paraId="05A9F723" w14:textId="77777777" w:rsidR="00227C27" w:rsidRPr="0064331C" w:rsidRDefault="0000000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8" w:history="1">
              <w:r w:rsidR="007B1194" w:rsidRPr="0064331C">
                <w:rPr>
                  <w:rStyle w:val="af8"/>
                  <w:rFonts w:asciiTheme="majorBidi" w:hAnsiTheme="majorBidi"/>
                  <w:snapToGrid w:val="0"/>
                  <w:sz w:val="20"/>
                  <w:szCs w:val="20"/>
                </w:rPr>
                <w:t>https://ipbes.net/invasive-alien-species-assessment</w:t>
              </w:r>
            </w:hyperlink>
          </w:p>
        </w:tc>
        <w:tc>
          <w:tcPr>
            <w:tcW w:w="2424" w:type="dxa"/>
          </w:tcPr>
          <w:p w14:paraId="647AB368" w14:textId="08A336F6"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ВОНТТК 25/6 и КС-16</w:t>
            </w:r>
          </w:p>
        </w:tc>
        <w:tc>
          <w:tcPr>
            <w:tcW w:w="7188" w:type="dxa"/>
          </w:tcPr>
          <w:p w14:paraId="524197BD" w14:textId="54137A51" w:rsidR="00227C27" w:rsidRPr="0064331C" w:rsidRDefault="0081782E"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Вспомогательный орган рекомендовал Конференции Сторон приветствовать эту оценку и поощрять</w:t>
            </w:r>
            <w:r w:rsidRPr="0064331C">
              <w:rPr>
                <w:sz w:val="20"/>
                <w:szCs w:val="20"/>
              </w:rPr>
              <w:t xml:space="preserve"> </w:t>
            </w:r>
            <w:r w:rsidRPr="0064331C">
              <w:rPr>
                <w:rFonts w:asciiTheme="majorBidi" w:hAnsiTheme="majorBidi"/>
                <w:snapToGrid w:val="0"/>
                <w:sz w:val="20"/>
                <w:szCs w:val="20"/>
              </w:rPr>
              <w:t>ее использование в соответствующих случаях, в том числе при обновлении или пересмотре и осуществлении национальных стратегий и планов действий по сохранению биоразнообразия и подготовке национальных докладов.</w:t>
            </w:r>
          </w:p>
          <w:p w14:paraId="39670A46" w14:textId="1D97DD0F" w:rsidR="00227C27" w:rsidRPr="0064331C" w:rsidRDefault="00227C27"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64331C">
              <w:rPr>
                <w:rFonts w:asciiTheme="majorBidi" w:hAnsiTheme="majorBidi"/>
                <w:snapToGrid w:val="0"/>
                <w:sz w:val="20"/>
                <w:szCs w:val="20"/>
              </w:rPr>
              <w:t>Рассматривает прямой фактор утраты биоразнообразия. Непосредственно связана с задачей 6</w:t>
            </w:r>
            <w:r w:rsidR="00C960BE" w:rsidRPr="0064331C">
              <w:rPr>
                <w:rFonts w:asciiTheme="majorBidi" w:hAnsiTheme="majorBidi"/>
                <w:snapToGrid w:val="0"/>
                <w:sz w:val="20"/>
                <w:szCs w:val="20"/>
              </w:rPr>
              <w:t>.</w:t>
            </w:r>
          </w:p>
        </w:tc>
      </w:tr>
      <w:tr w:rsidR="00227C27" w:rsidRPr="002C7339" w14:paraId="1B93F89B" w14:textId="77777777" w:rsidTr="00F77252">
        <w:trPr>
          <w:jc w:val="center"/>
        </w:trPr>
        <w:tc>
          <w:tcPr>
            <w:tcW w:w="14271" w:type="dxa"/>
            <w:gridSpan w:val="4"/>
            <w:shd w:val="clear" w:color="auto" w:fill="D9D9D9" w:themeFill="background1" w:themeFillShade="D9"/>
          </w:tcPr>
          <w:p w14:paraId="00F03E55" w14:textId="2B4E9DDC" w:rsidR="00227C27" w:rsidRPr="0064331C"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Предстоящие результаты деятельности</w:t>
            </w:r>
          </w:p>
        </w:tc>
      </w:tr>
      <w:tr w:rsidR="00227C27" w:rsidRPr="002C7339" w14:paraId="457379F6" w14:textId="77777777" w:rsidTr="00F77252">
        <w:trPr>
          <w:jc w:val="center"/>
        </w:trPr>
        <w:tc>
          <w:tcPr>
            <w:tcW w:w="1696" w:type="dxa"/>
            <w:vMerge w:val="restart"/>
          </w:tcPr>
          <w:p w14:paraId="16B50EDB"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МПБЭУ-11 (2024 г.)</w:t>
            </w:r>
          </w:p>
        </w:tc>
        <w:tc>
          <w:tcPr>
            <w:tcW w:w="2963" w:type="dxa"/>
          </w:tcPr>
          <w:p w14:paraId="3B079D8C"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Тематическая оценка взаимосвязей между биоразнообразием, водными ресурсами, продовольствием и здоровьем («оценка взаимосвязей»)</w:t>
            </w:r>
          </w:p>
          <w:p w14:paraId="2E33C59C" w14:textId="77777777" w:rsidR="00227C27" w:rsidRPr="0064331C" w:rsidRDefault="0000000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9" w:history="1">
              <w:r w:rsidR="007B1194" w:rsidRPr="0064331C">
                <w:rPr>
                  <w:rStyle w:val="af8"/>
                  <w:rFonts w:asciiTheme="majorBidi" w:hAnsiTheme="majorBidi"/>
                  <w:snapToGrid w:val="0"/>
                  <w:sz w:val="20"/>
                  <w:szCs w:val="20"/>
                </w:rPr>
                <w:t>https://ipbes.net/nexus</w:t>
              </w:r>
            </w:hyperlink>
          </w:p>
        </w:tc>
        <w:tc>
          <w:tcPr>
            <w:tcW w:w="2424" w:type="dxa"/>
          </w:tcPr>
          <w:p w14:paraId="1330C73E"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Подлежит рассмотрению на совещании ВОНТТК в период до КС-17 и на КС-17 в 2026 году</w:t>
            </w:r>
          </w:p>
        </w:tc>
        <w:tc>
          <w:tcPr>
            <w:tcW w:w="7188" w:type="dxa"/>
          </w:tcPr>
          <w:p w14:paraId="515859A2" w14:textId="3FF44CE4" w:rsidR="00227C27" w:rsidRPr="0064331C"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Сквозной вопрос, касающийся взаимодействия биоразнообразия с производственными секторами, влияющего на многие прямые и косвенные факторы утраты биоразнообразия. Будет связана с задачами 4, 5, 7, 9, 10, 11, 12, 14 и 16 Рамочной программы. Существуют также взаимосвязи между биоразнообразием, водными ресурсами, продовольствием и здоровьем.</w:t>
            </w:r>
          </w:p>
        </w:tc>
      </w:tr>
      <w:tr w:rsidR="00227C27" w:rsidRPr="002C7339" w14:paraId="5E507F43" w14:textId="77777777" w:rsidTr="00F77252">
        <w:trPr>
          <w:jc w:val="center"/>
        </w:trPr>
        <w:tc>
          <w:tcPr>
            <w:tcW w:w="1696" w:type="dxa"/>
            <w:vMerge/>
          </w:tcPr>
          <w:p w14:paraId="7A1AB199"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212ADE3D" w14:textId="77777777" w:rsidR="0064331C" w:rsidRPr="0064331C" w:rsidRDefault="00227C27" w:rsidP="00575B65">
            <w:pPr>
              <w:suppressLineNumbers/>
              <w:suppressAutoHyphens/>
              <w:kinsoku w:val="0"/>
              <w:overflowPunct w:val="0"/>
              <w:autoSpaceDE w:val="0"/>
              <w:autoSpaceDN w:val="0"/>
              <w:adjustRightInd w:val="0"/>
              <w:snapToGrid w:val="0"/>
              <w:spacing w:after="120"/>
              <w:jc w:val="left"/>
              <w:rPr>
                <w:b/>
                <w:sz w:val="20"/>
                <w:szCs w:val="20"/>
              </w:rPr>
            </w:pPr>
            <w:r w:rsidRPr="0064331C">
              <w:rPr>
                <w:b/>
                <w:sz w:val="20"/>
                <w:szCs w:val="20"/>
              </w:rPr>
              <w:t>Тематическая оценка коренных причин утраты биоразнообразия, определяющих факторов преобразовательных изменений и вариантов реализации Концепции в области биоразнообразия на период до 2050 года («оценка преобразовательных изменений»)</w:t>
            </w:r>
          </w:p>
          <w:p w14:paraId="6D1C359D" w14:textId="482727B3" w:rsidR="00227C27" w:rsidRPr="0064331C" w:rsidRDefault="0064331C"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30" w:history="1">
              <w:r w:rsidRPr="0064331C">
                <w:rPr>
                  <w:rStyle w:val="af8"/>
                  <w:rFonts w:asciiTheme="majorBidi" w:hAnsiTheme="majorBidi"/>
                  <w:snapToGrid w:val="0"/>
                  <w:sz w:val="20"/>
                  <w:szCs w:val="20"/>
                </w:rPr>
                <w:t>https://ipbes.net/transformative-change</w:t>
              </w:r>
            </w:hyperlink>
          </w:p>
        </w:tc>
        <w:tc>
          <w:tcPr>
            <w:tcW w:w="2424" w:type="dxa"/>
          </w:tcPr>
          <w:p w14:paraId="6E41ABC3"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Подлежит рассмотрению на совещании ВОНТТК в период до КС-17 и на КС-17 в 2026 году</w:t>
            </w:r>
          </w:p>
        </w:tc>
        <w:tc>
          <w:tcPr>
            <w:tcW w:w="7188" w:type="dxa"/>
          </w:tcPr>
          <w:p w14:paraId="68674F0C" w14:textId="1A36967B" w:rsidR="00227C27" w:rsidRPr="0064331C"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Сквозной вопрос, касающийся косвенных факторов утраты биоразнообразия. Будет связана с задачами 14-22 Рамочной программы.</w:t>
            </w:r>
          </w:p>
        </w:tc>
      </w:tr>
      <w:tr w:rsidR="00227C27" w:rsidRPr="002C7339" w14:paraId="62D17CB0" w14:textId="77777777" w:rsidTr="00F77252">
        <w:trPr>
          <w:jc w:val="center"/>
        </w:trPr>
        <w:tc>
          <w:tcPr>
            <w:tcW w:w="1696" w:type="dxa"/>
          </w:tcPr>
          <w:p w14:paraId="512F0980"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МПБЭУ-12 (2025 г.)</w:t>
            </w:r>
          </w:p>
        </w:tc>
        <w:tc>
          <w:tcPr>
            <w:tcW w:w="2963" w:type="dxa"/>
          </w:tcPr>
          <w:p w14:paraId="148C5D60"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Методологическая оценка воздействия хозяйственной деятельности на биоразнообразие и обеспечиваемый природой вклад на благо человека и ее зависимости от них («оценка хозяйственной деятельности и биоразнообразия»)</w:t>
            </w:r>
          </w:p>
          <w:p w14:paraId="67E6F899" w14:textId="77777777" w:rsidR="00227C27" w:rsidRPr="0064331C" w:rsidRDefault="00000000"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31" w:history="1">
              <w:r w:rsidR="007B1194" w:rsidRPr="0064331C">
                <w:rPr>
                  <w:rStyle w:val="af8"/>
                  <w:rFonts w:asciiTheme="majorBidi" w:hAnsiTheme="majorBidi"/>
                  <w:snapToGrid w:val="0"/>
                  <w:sz w:val="20"/>
                  <w:szCs w:val="20"/>
                </w:rPr>
                <w:t>https://ipbes.net/business-impact</w:t>
              </w:r>
            </w:hyperlink>
          </w:p>
        </w:tc>
        <w:tc>
          <w:tcPr>
            <w:tcW w:w="2424" w:type="dxa"/>
          </w:tcPr>
          <w:p w14:paraId="22DC05C9"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Подлежит рассмотрению на совещании ВОНТТК в период до КС-17 и на КС-17 в 2026 году</w:t>
            </w:r>
          </w:p>
        </w:tc>
        <w:tc>
          <w:tcPr>
            <w:tcW w:w="7188" w:type="dxa"/>
          </w:tcPr>
          <w:p w14:paraId="6DD6C1B0" w14:textId="77777777" w:rsidR="00227C27" w:rsidRPr="0064331C"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Обзор методологических подходов к оценке воздействия и факторов зависимости предприятий. Будет непосредственно связана с задачей 15 Рамочной программы.</w:t>
            </w:r>
          </w:p>
        </w:tc>
      </w:tr>
      <w:tr w:rsidR="00227C27" w:rsidRPr="002C7339" w14:paraId="37E68544" w14:textId="77777777" w:rsidTr="00F77252">
        <w:trPr>
          <w:jc w:val="center"/>
        </w:trPr>
        <w:tc>
          <w:tcPr>
            <w:tcW w:w="1696" w:type="dxa"/>
          </w:tcPr>
          <w:p w14:paraId="19A9609A"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snapToGrid w:val="0"/>
                <w:sz w:val="20"/>
              </w:rPr>
              <w:t>МПБЭУ-13 (2026 г.)</w:t>
            </w:r>
          </w:p>
        </w:tc>
        <w:tc>
          <w:tcPr>
            <w:tcW w:w="2963" w:type="dxa"/>
          </w:tcPr>
          <w:p w14:paraId="11EBC6AB"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 xml:space="preserve">Методологическая оценка мониторинга биоразнообразия и вклада природы в жизнь человека, для рассмотрения </w:t>
            </w:r>
          </w:p>
        </w:tc>
        <w:tc>
          <w:tcPr>
            <w:tcW w:w="2424" w:type="dxa"/>
          </w:tcPr>
          <w:p w14:paraId="1D3155FB" w14:textId="6083B101"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 xml:space="preserve">Подлежит рассмотрению непосредственно на КС-17 в 2026 году с дальнейшим рассмотрением на </w:t>
            </w:r>
            <w:r w:rsidRPr="0064331C">
              <w:rPr>
                <w:rFonts w:asciiTheme="majorBidi" w:hAnsiTheme="majorBidi"/>
                <w:snapToGrid w:val="0"/>
                <w:sz w:val="20"/>
                <w:szCs w:val="20"/>
              </w:rPr>
              <w:lastRenderedPageBreak/>
              <w:t>совещании ВОНТТК в период до КС-18</w:t>
            </w:r>
          </w:p>
        </w:tc>
        <w:tc>
          <w:tcPr>
            <w:tcW w:w="7188" w:type="dxa"/>
          </w:tcPr>
          <w:p w14:paraId="08BC3915" w14:textId="6EFFDD1E" w:rsidR="00227C27" w:rsidRPr="0064331C"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lastRenderedPageBreak/>
              <w:t xml:space="preserve">Эта оценка позволит получить информацию, которая будет непосредственно способствовать внедрению механизма мониторинга Рамочной программы (принятого в решении 15/5). Полученные результаты могут способствовать оценке прогресса на основе индикаторов механизма мониторинга, который является частью глобального обзора коллективного прогресса в осуществлении Рамочной программы. Чтобы выводы были актуальны для целей глобального </w:t>
            </w:r>
            <w:r w:rsidRPr="0064331C">
              <w:rPr>
                <w:rFonts w:asciiTheme="majorBidi" w:hAnsiTheme="majorBidi"/>
                <w:snapToGrid w:val="0"/>
                <w:sz w:val="20"/>
                <w:szCs w:val="20"/>
              </w:rPr>
              <w:lastRenderedPageBreak/>
              <w:t>обзора, они должны быть представлены в период до КС-17, однако это будет зависеть от того, состоится ли МПБЭУ-13 до КС-17.</w:t>
            </w:r>
          </w:p>
        </w:tc>
      </w:tr>
      <w:tr w:rsidR="00227C27" w:rsidRPr="002C7339" w14:paraId="11462688" w14:textId="77777777" w:rsidTr="00F77252">
        <w:trPr>
          <w:jc w:val="center"/>
        </w:trPr>
        <w:tc>
          <w:tcPr>
            <w:tcW w:w="1696" w:type="dxa"/>
          </w:tcPr>
          <w:p w14:paraId="219342BE"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lastRenderedPageBreak/>
              <w:t xml:space="preserve">МПБЭУ-14 </w:t>
            </w:r>
          </w:p>
          <w:p w14:paraId="29743FFA"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(2027 г.)</w:t>
            </w:r>
          </w:p>
        </w:tc>
        <w:tc>
          <w:tcPr>
            <w:tcW w:w="2963" w:type="dxa"/>
          </w:tcPr>
          <w:p w14:paraId="6BC72233"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Методологическая оценка комплексного территориального планирования с учетом биоразнообразия и экологических взаимосвязей</w:t>
            </w:r>
          </w:p>
        </w:tc>
        <w:tc>
          <w:tcPr>
            <w:tcW w:w="2424" w:type="dxa"/>
          </w:tcPr>
          <w:p w14:paraId="5177EA33"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Подлежит рассмотрению на совещании ВОНТТК в период до КС-18 и на КС-18 в 2028 году.</w:t>
            </w:r>
          </w:p>
        </w:tc>
        <w:tc>
          <w:tcPr>
            <w:tcW w:w="7188" w:type="dxa"/>
          </w:tcPr>
          <w:p w14:paraId="0060811F" w14:textId="4EA39614" w:rsidR="00227C27" w:rsidRPr="0064331C"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 xml:space="preserve">Обзор методологических подходов к комплексному территориальному планированию с учетом биоразнообразия и экологических взаимосвязей. </w:t>
            </w:r>
            <w:r w:rsidR="009802FB" w:rsidRPr="0064331C">
              <w:rPr>
                <w:rFonts w:asciiTheme="majorBidi" w:hAnsiTheme="majorBidi"/>
                <w:snapToGrid w:val="0"/>
                <w:sz w:val="20"/>
                <w:szCs w:val="20"/>
              </w:rPr>
              <w:t>Будет н</w:t>
            </w:r>
            <w:r w:rsidRPr="0064331C">
              <w:rPr>
                <w:rFonts w:asciiTheme="majorBidi" w:hAnsiTheme="majorBidi"/>
                <w:snapToGrid w:val="0"/>
                <w:sz w:val="20"/>
                <w:szCs w:val="20"/>
              </w:rPr>
              <w:t>епосредственно связана с задачей 1 Рамочной программы, а также</w:t>
            </w:r>
            <w:r w:rsidR="009802FB" w:rsidRPr="0064331C">
              <w:rPr>
                <w:rFonts w:asciiTheme="majorBidi" w:hAnsiTheme="majorBidi"/>
                <w:snapToGrid w:val="0"/>
                <w:sz w:val="20"/>
                <w:szCs w:val="20"/>
              </w:rPr>
              <w:t xml:space="preserve"> с</w:t>
            </w:r>
            <w:r w:rsidRPr="0064331C">
              <w:rPr>
                <w:rFonts w:asciiTheme="majorBidi" w:hAnsiTheme="majorBidi"/>
                <w:snapToGrid w:val="0"/>
                <w:sz w:val="20"/>
                <w:szCs w:val="20"/>
              </w:rPr>
              <w:t xml:space="preserve"> целью A и задачами 2 и 3.</w:t>
            </w:r>
          </w:p>
        </w:tc>
      </w:tr>
      <w:tr w:rsidR="00227C27" w:rsidRPr="002C7339" w14:paraId="792C2052" w14:textId="77777777" w:rsidTr="00F77252">
        <w:trPr>
          <w:jc w:val="center"/>
        </w:trPr>
        <w:tc>
          <w:tcPr>
            <w:tcW w:w="1696" w:type="dxa"/>
          </w:tcPr>
          <w:p w14:paraId="4B40DF96" w14:textId="49768DF8"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МПБЭУ-15 (2028 г.)</w:t>
            </w:r>
          </w:p>
        </w:tc>
        <w:tc>
          <w:tcPr>
            <w:tcW w:w="2963" w:type="dxa"/>
          </w:tcPr>
          <w:p w14:paraId="12CE5DD6"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Вторая глобальная оценка</w:t>
            </w:r>
          </w:p>
        </w:tc>
        <w:tc>
          <w:tcPr>
            <w:tcW w:w="2424" w:type="dxa"/>
          </w:tcPr>
          <w:p w14:paraId="11F2865B"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Подлежит рассмотрению на совещании ВОНТТК в период до КС-19 и на КС-19 в 2030 году.</w:t>
            </w:r>
          </w:p>
        </w:tc>
        <w:tc>
          <w:tcPr>
            <w:tcW w:w="7188" w:type="dxa"/>
          </w:tcPr>
          <w:p w14:paraId="2018F999" w14:textId="343202A2" w:rsidR="00227C27" w:rsidRPr="0064331C"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Первая глобальная оценка Платформы была крайне актуальной и внесла значительный вклад в разработку Рамочной программы. Ожидается, что вторая глобальная оценка будет столь же актуальной в контексте обсуждений стратегического плана Конвенции о биологическом разнообразии на период после 2030 года.</w:t>
            </w:r>
          </w:p>
        </w:tc>
      </w:tr>
      <w:tr w:rsidR="00227C27" w:rsidRPr="001D7DAF" w14:paraId="7A978346" w14:textId="77777777" w:rsidTr="00F77252">
        <w:trPr>
          <w:jc w:val="center"/>
        </w:trPr>
        <w:tc>
          <w:tcPr>
            <w:tcW w:w="1696" w:type="dxa"/>
          </w:tcPr>
          <w:p w14:paraId="2CE0DD68"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МПБЭУ-16 (2029 г.)</w:t>
            </w:r>
          </w:p>
        </w:tc>
        <w:tc>
          <w:tcPr>
            <w:tcW w:w="2963" w:type="dxa"/>
          </w:tcPr>
          <w:p w14:paraId="499A9CBF"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64331C">
              <w:rPr>
                <w:rFonts w:asciiTheme="majorBidi" w:hAnsiTheme="majorBidi"/>
                <w:b/>
                <w:snapToGrid w:val="0"/>
                <w:sz w:val="20"/>
                <w:szCs w:val="20"/>
              </w:rPr>
              <w:t>Оценка будет определена на МПБЭУ-12 (2025 г.)</w:t>
            </w:r>
          </w:p>
        </w:tc>
        <w:tc>
          <w:tcPr>
            <w:tcW w:w="2424" w:type="dxa"/>
          </w:tcPr>
          <w:p w14:paraId="4B7C2D8B" w14:textId="77777777" w:rsidR="00227C27" w:rsidRPr="0064331C"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Подлежит рассмотрению на совещании ВОНТТК в период до КС-19 и на КС-19 в 2030 году.</w:t>
            </w:r>
          </w:p>
        </w:tc>
        <w:tc>
          <w:tcPr>
            <w:tcW w:w="7188" w:type="dxa"/>
          </w:tcPr>
          <w:p w14:paraId="75EC0562" w14:textId="77777777" w:rsidR="00227C27" w:rsidRPr="0064331C"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64331C">
              <w:rPr>
                <w:rFonts w:asciiTheme="majorBidi" w:hAnsiTheme="majorBidi"/>
                <w:snapToGrid w:val="0"/>
                <w:sz w:val="20"/>
                <w:szCs w:val="20"/>
              </w:rPr>
              <w:t>Тема оценки будет определена на МПБЭУ-12 в 2025 году.</w:t>
            </w:r>
          </w:p>
        </w:tc>
      </w:tr>
    </w:tbl>
    <w:p w14:paraId="7990227D" w14:textId="48043716" w:rsidR="00227C27" w:rsidRPr="00227C27" w:rsidRDefault="009C0EAB" w:rsidP="00F77252">
      <w:pPr>
        <w:jc w:val="center"/>
      </w:pPr>
      <w:r>
        <w:t>__________</w:t>
      </w:r>
    </w:p>
    <w:sectPr w:rsidR="00227C27" w:rsidRPr="00227C27" w:rsidSect="00720AA4">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B908BD" w14:textId="77777777" w:rsidR="00720AA4" w:rsidRDefault="00720AA4" w:rsidP="00A96B21">
      <w:r>
        <w:separator/>
      </w:r>
    </w:p>
  </w:endnote>
  <w:endnote w:type="continuationSeparator" w:id="0">
    <w:p w14:paraId="55A3AEF6" w14:textId="77777777" w:rsidR="00720AA4" w:rsidRDefault="00720AA4" w:rsidP="00A96B21">
      <w:r>
        <w:continuationSeparator/>
      </w:r>
    </w:p>
  </w:endnote>
  <w:endnote w:type="continuationNotice" w:id="1">
    <w:p w14:paraId="466A035B" w14:textId="77777777" w:rsidR="00720AA4" w:rsidRDefault="00720A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237144B4" w14:textId="523EC474" w:rsidR="00EA2C8C" w:rsidRPr="00F77252" w:rsidRDefault="006570FD" w:rsidP="00F77252">
        <w:pPr>
          <w:pStyle w:val="af1"/>
          <w:jc w:val="right"/>
          <w:rPr>
            <w:b/>
            <w:bCs/>
          </w:rP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15</w:t>
        </w:r>
        <w:r w:rsidRPr="002B559C">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0BC070A2" w14:textId="5ED0A279" w:rsidR="00EA2C8C" w:rsidRPr="00F77252" w:rsidRDefault="006570FD" w:rsidP="006570FD">
        <w:pPr>
          <w:pStyle w:val="af1"/>
          <w:rPr>
            <w:b/>
            <w:bCs/>
          </w:rP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15</w:t>
        </w:r>
        <w:r w:rsidRPr="002B559C">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41FF4D" w14:textId="77777777" w:rsidR="00720AA4" w:rsidRDefault="00720AA4" w:rsidP="00A96B21">
      <w:r>
        <w:separator/>
      </w:r>
    </w:p>
  </w:footnote>
  <w:footnote w:type="continuationSeparator" w:id="0">
    <w:p w14:paraId="32F30719" w14:textId="77777777" w:rsidR="00720AA4" w:rsidRDefault="00720AA4" w:rsidP="00A96B21">
      <w:r>
        <w:continuationSeparator/>
      </w:r>
    </w:p>
  </w:footnote>
  <w:footnote w:type="continuationNotice" w:id="1">
    <w:p w14:paraId="0D4A0055" w14:textId="77777777" w:rsidR="00720AA4" w:rsidRDefault="00720AA4"/>
  </w:footnote>
  <w:footnote w:id="2">
    <w:p w14:paraId="78417BA7" w14:textId="1437C287" w:rsidR="007C5527" w:rsidRPr="0059272C" w:rsidRDefault="007C5527" w:rsidP="0059272C">
      <w:pPr>
        <w:pStyle w:val="Footnote"/>
        <w:spacing w:before="0"/>
      </w:pPr>
      <w:r>
        <w:rPr>
          <w:rStyle w:val="ab"/>
        </w:rPr>
        <w:t>*</w:t>
      </w:r>
      <w:r>
        <w:t xml:space="preserve"> CBD/SBSTTA/26/1.</w:t>
      </w:r>
    </w:p>
  </w:footnote>
  <w:footnote w:id="3">
    <w:p w14:paraId="4F0EEEA7" w14:textId="3E0C3075" w:rsidR="0059272C" w:rsidRPr="0059272C" w:rsidRDefault="0059272C" w:rsidP="0059272C">
      <w:pPr>
        <w:pStyle w:val="a9"/>
        <w:spacing w:before="0"/>
      </w:pPr>
      <w:r>
        <w:rPr>
          <w:rStyle w:val="ab"/>
          <w:sz w:val="18"/>
        </w:rPr>
        <w:t>**</w:t>
      </w:r>
      <w:r>
        <w:rPr>
          <w:sz w:val="18"/>
        </w:rPr>
        <w:t xml:space="preserve"> Настоящий документ публикуется без официального редактирования.</w:t>
      </w:r>
    </w:p>
  </w:footnote>
  <w:footnote w:id="4">
    <w:p w14:paraId="50B46BD5" w14:textId="024DBBD3" w:rsidR="00227C27" w:rsidRPr="009802FB" w:rsidRDefault="00227C27" w:rsidP="00F77252">
      <w:pPr>
        <w:pStyle w:val="a9"/>
        <w:spacing w:before="0"/>
        <w:rPr>
          <w:sz w:val="18"/>
          <w:szCs w:val="18"/>
        </w:rPr>
      </w:pPr>
      <w:r>
        <w:rPr>
          <w:rStyle w:val="ab"/>
          <w:rFonts w:eastAsiaTheme="majorEastAsia"/>
          <w:sz w:val="18"/>
          <w:szCs w:val="18"/>
        </w:rPr>
        <w:footnoteRef/>
      </w:r>
      <w:r>
        <w:rPr>
          <w:sz w:val="18"/>
        </w:rPr>
        <w:t xml:space="preserve"> </w:t>
      </w:r>
      <w:r w:rsidRPr="009802FB">
        <w:rPr>
          <w:sz w:val="18"/>
          <w:szCs w:val="18"/>
        </w:rPr>
        <w:t xml:space="preserve">Бразилия, Германия, Европейский союз, Испания, Мексика, Соединенное Королевство Великобритании и Северной Ирландии, Франция, Швейцария, Швеция и Япония.  </w:t>
      </w:r>
    </w:p>
  </w:footnote>
  <w:footnote w:id="5">
    <w:p w14:paraId="349998D4" w14:textId="471AAD65" w:rsidR="00227C27" w:rsidRPr="009802FB" w:rsidRDefault="00227C27" w:rsidP="00F77252">
      <w:pPr>
        <w:pStyle w:val="a9"/>
        <w:spacing w:before="0"/>
        <w:rPr>
          <w:sz w:val="18"/>
          <w:szCs w:val="18"/>
        </w:rPr>
      </w:pPr>
      <w:r w:rsidRPr="009802FB">
        <w:rPr>
          <w:rStyle w:val="ab"/>
          <w:rFonts w:eastAsiaTheme="majorEastAsia"/>
          <w:sz w:val="18"/>
          <w:szCs w:val="18"/>
        </w:rPr>
        <w:footnoteRef/>
      </w:r>
      <w:r w:rsidRPr="009802FB">
        <w:rPr>
          <w:sz w:val="18"/>
          <w:szCs w:val="18"/>
        </w:rPr>
        <w:t xml:space="preserve"> </w:t>
      </w:r>
      <w:hyperlink r:id="rId1" w:history="1">
        <w:r w:rsidRPr="009802FB">
          <w:rPr>
            <w:rStyle w:val="af8"/>
            <w:sz w:val="18"/>
            <w:szCs w:val="18"/>
          </w:rPr>
          <w:t>www.cbd.int/notifications/2024-016</w:t>
        </w:r>
      </w:hyperlink>
      <w:r w:rsidRPr="009802FB">
        <w:rPr>
          <w:sz w:val="18"/>
          <w:szCs w:val="18"/>
        </w:rPr>
        <w:t>.</w:t>
      </w:r>
    </w:p>
  </w:footnote>
  <w:footnote w:id="6">
    <w:p w14:paraId="0388DDAD" w14:textId="77777777" w:rsidR="00227C27" w:rsidRPr="009802FB" w:rsidRDefault="00227C27" w:rsidP="00F77252">
      <w:pPr>
        <w:pStyle w:val="a9"/>
        <w:spacing w:before="0"/>
        <w:rPr>
          <w:sz w:val="18"/>
          <w:szCs w:val="18"/>
        </w:rPr>
      </w:pPr>
      <w:r w:rsidRPr="009802FB">
        <w:rPr>
          <w:rStyle w:val="ab"/>
          <w:rFonts w:eastAsiaTheme="majorEastAsia"/>
          <w:sz w:val="18"/>
          <w:szCs w:val="18"/>
        </w:rPr>
        <w:footnoteRef/>
      </w:r>
      <w:r w:rsidRPr="009802FB">
        <w:rPr>
          <w:sz w:val="18"/>
          <w:szCs w:val="18"/>
        </w:rPr>
        <w:t xml:space="preserve"> Соединенное Королевство. </w:t>
      </w:r>
    </w:p>
  </w:footnote>
  <w:footnote w:id="7">
    <w:p w14:paraId="34ACF576" w14:textId="01B14711" w:rsidR="00227C27" w:rsidRPr="009802FB" w:rsidRDefault="00227C27" w:rsidP="00F77252">
      <w:pPr>
        <w:pStyle w:val="a9"/>
        <w:spacing w:before="0"/>
        <w:rPr>
          <w:sz w:val="18"/>
          <w:szCs w:val="18"/>
        </w:rPr>
      </w:pPr>
      <w:r w:rsidRPr="009802FB">
        <w:rPr>
          <w:rStyle w:val="ab"/>
          <w:rFonts w:eastAsiaTheme="majorEastAsia"/>
          <w:sz w:val="18"/>
          <w:szCs w:val="18"/>
        </w:rPr>
        <w:footnoteRef/>
      </w:r>
      <w:r w:rsidRPr="009802FB">
        <w:rPr>
          <w:sz w:val="18"/>
          <w:szCs w:val="18"/>
        </w:rPr>
        <w:t xml:space="preserve"> Испания.</w:t>
      </w:r>
    </w:p>
  </w:footnote>
  <w:footnote w:id="8">
    <w:p w14:paraId="6A5191DF" w14:textId="08FFFE11" w:rsidR="00227C27" w:rsidRPr="00E22406" w:rsidRDefault="00227C27" w:rsidP="00F77252">
      <w:pPr>
        <w:pStyle w:val="a9"/>
        <w:spacing w:before="0"/>
      </w:pPr>
      <w:r w:rsidRPr="009802FB">
        <w:rPr>
          <w:rStyle w:val="ab"/>
          <w:rFonts w:eastAsiaTheme="majorEastAsia"/>
          <w:sz w:val="18"/>
          <w:szCs w:val="18"/>
        </w:rPr>
        <w:footnoteRef/>
      </w:r>
      <w:r w:rsidRPr="009802FB">
        <w:rPr>
          <w:sz w:val="18"/>
          <w:szCs w:val="18"/>
        </w:rPr>
        <w:t xml:space="preserve"> Бразилия.</w:t>
      </w:r>
    </w:p>
  </w:footnote>
  <w:footnote w:id="9">
    <w:p w14:paraId="56560854" w14:textId="5BC8F028" w:rsidR="00227C27" w:rsidRPr="00471DD5" w:rsidRDefault="00227C27" w:rsidP="00F77252">
      <w:pPr>
        <w:pStyle w:val="a9"/>
        <w:spacing w:before="0"/>
        <w:rPr>
          <w:sz w:val="18"/>
          <w:szCs w:val="18"/>
        </w:rPr>
      </w:pPr>
      <w:r w:rsidRPr="00471DD5">
        <w:rPr>
          <w:rStyle w:val="ab"/>
          <w:rFonts w:eastAsiaTheme="majorEastAsia"/>
          <w:sz w:val="18"/>
          <w:szCs w:val="18"/>
        </w:rPr>
        <w:footnoteRef/>
      </w:r>
      <w:r w:rsidRPr="00471DD5">
        <w:rPr>
          <w:sz w:val="18"/>
          <w:szCs w:val="18"/>
        </w:rPr>
        <w:t xml:space="preserve"> В этой связи секретариат обращает внимание на текущий внешний обзор концептуальной записки о будущей роли функции поддержки политики Платформы, который проводится до 31 мая 2024 года. См. уведомление EM/2024/18 на сайте: </w:t>
      </w:r>
      <w:hyperlink r:id="rId2" w:history="1">
        <w:r w:rsidRPr="00471DD5">
          <w:rPr>
            <w:rStyle w:val="af8"/>
            <w:sz w:val="18"/>
            <w:szCs w:val="18"/>
          </w:rPr>
          <w:t>www.ipbes.net/notification/external-review-concept-note-policy-support</w:t>
        </w:r>
      </w:hyperlink>
      <w:r w:rsidRPr="00471DD5">
        <w:rPr>
          <w:sz w:val="18"/>
          <w:szCs w:val="18"/>
        </w:rPr>
        <w:t>.</w:t>
      </w:r>
    </w:p>
  </w:footnote>
  <w:footnote w:id="10">
    <w:p w14:paraId="3D8A6312" w14:textId="3E5C7BD1" w:rsidR="00227C27" w:rsidRPr="00F76762" w:rsidRDefault="00227C27" w:rsidP="00F77252">
      <w:pPr>
        <w:pStyle w:val="a9"/>
        <w:spacing w:before="0"/>
      </w:pPr>
      <w:r w:rsidRPr="00471DD5">
        <w:rPr>
          <w:rStyle w:val="ab"/>
          <w:rFonts w:eastAsiaTheme="majorEastAsia"/>
          <w:sz w:val="18"/>
          <w:szCs w:val="18"/>
        </w:rPr>
        <w:footnoteRef/>
      </w:r>
      <w:r w:rsidRPr="00471DD5">
        <w:rPr>
          <w:sz w:val="18"/>
          <w:szCs w:val="18"/>
        </w:rPr>
        <w:t xml:space="preserve"> Сотрудник по программам, отвечающий в секретариате Конвенции о биологическом разнообразии за программу работы в области традиционных знаний, участвует в работе целевой группы Платформы по системам знаний коренного и местного населения.</w:t>
      </w:r>
    </w:p>
  </w:footnote>
  <w:footnote w:id="11">
    <w:p w14:paraId="01077A3E" w14:textId="7A6D3A4E" w:rsidR="00227C27" w:rsidRPr="00466FED" w:rsidRDefault="00227C27" w:rsidP="00F77252">
      <w:pPr>
        <w:pStyle w:val="a9"/>
        <w:spacing w:before="0"/>
        <w:rPr>
          <w:sz w:val="18"/>
          <w:szCs w:val="18"/>
        </w:rPr>
      </w:pPr>
      <w:r>
        <w:rPr>
          <w:rStyle w:val="ab"/>
          <w:rFonts w:eastAsiaTheme="majorEastAsia"/>
        </w:rPr>
        <w:footnoteRef/>
      </w:r>
      <w:r>
        <w:t xml:space="preserve"> </w:t>
      </w:r>
      <w:r w:rsidRPr="00466FED">
        <w:rPr>
          <w:sz w:val="18"/>
          <w:szCs w:val="18"/>
        </w:rPr>
        <w:t xml:space="preserve">Решение 10/1 Межправительственной научно-политической платформы по биоразнообразию и экосистемным услугам. </w:t>
      </w:r>
      <w:r w:rsidR="00466FED">
        <w:rPr>
          <w:i/>
          <w:sz w:val="18"/>
          <w:szCs w:val="18"/>
        </w:rPr>
        <w:t>П</w:t>
      </w:r>
      <w:r w:rsidRPr="00466FED">
        <w:rPr>
          <w:i/>
          <w:sz w:val="18"/>
          <w:szCs w:val="18"/>
        </w:rPr>
        <w:t>римечание</w:t>
      </w:r>
      <w:r w:rsidRPr="00466FED">
        <w:rPr>
          <w:sz w:val="18"/>
          <w:szCs w:val="18"/>
        </w:rPr>
        <w:t xml:space="preserve">: данный пункт преамбулы уже включен в проект решения, содержащийся в рекомендации 25/2 Вспомогательного органа, но учитывая его актуальность для темы настоящего проекта решения, предлагается включить его сюда. </w:t>
      </w:r>
    </w:p>
  </w:footnote>
  <w:footnote w:id="12">
    <w:p w14:paraId="16E941B1" w14:textId="7009F1BF" w:rsidR="00227C27" w:rsidRPr="005B29CB" w:rsidRDefault="00227C27" w:rsidP="00F77252">
      <w:pPr>
        <w:pStyle w:val="a9"/>
        <w:spacing w:before="0"/>
      </w:pPr>
      <w:r w:rsidRPr="00466FED">
        <w:rPr>
          <w:rStyle w:val="ab"/>
          <w:rFonts w:eastAsiaTheme="majorEastAsia"/>
          <w:sz w:val="18"/>
          <w:szCs w:val="18"/>
        </w:rPr>
        <w:footnoteRef/>
      </w:r>
      <w:r w:rsidRPr="00466FED">
        <w:rPr>
          <w:sz w:val="18"/>
          <w:szCs w:val="18"/>
        </w:rPr>
        <w:t xml:space="preserve"> Приложение будет </w:t>
      </w:r>
      <w:r w:rsidR="00466FED" w:rsidRPr="00466FED">
        <w:rPr>
          <w:sz w:val="18"/>
          <w:szCs w:val="18"/>
        </w:rPr>
        <w:t>подготовлено на основе результатов</w:t>
      </w:r>
      <w:r w:rsidR="00466FED" w:rsidRPr="00466FED">
        <w:rPr>
          <w:sz w:val="18"/>
          <w:szCs w:val="18"/>
        </w:rPr>
        <w:t xml:space="preserve"> </w:t>
      </w:r>
      <w:r w:rsidRPr="00466FED">
        <w:rPr>
          <w:sz w:val="18"/>
          <w:szCs w:val="18"/>
        </w:rPr>
        <w:t>межсессионной работы, изложенн</w:t>
      </w:r>
      <w:r w:rsidR="00466FED">
        <w:rPr>
          <w:sz w:val="18"/>
          <w:szCs w:val="18"/>
        </w:rPr>
        <w:t>ой</w:t>
      </w:r>
      <w:r w:rsidRPr="00466FED">
        <w:rPr>
          <w:sz w:val="18"/>
          <w:szCs w:val="18"/>
        </w:rPr>
        <w:t xml:space="preserve"> в рекомендации Вспомогательного органа, и окончательно доработано Конференцией Сторон на ее 16-м совещании.</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7C8B6741" w14:textId="5A69E9B4" w:rsidR="00227C27" w:rsidRPr="005F2EEE" w:rsidRDefault="006D426D" w:rsidP="00F77252">
        <w:pPr>
          <w:pStyle w:val="af"/>
          <w:suppressLineNumbers/>
          <w:pBdr>
            <w:bottom w:val="single" w:sz="4" w:space="1" w:color="auto"/>
          </w:pBdr>
          <w:suppressAutoHyphens/>
          <w:kinsoku w:val="0"/>
          <w:overflowPunct w:val="0"/>
          <w:autoSpaceDE w:val="0"/>
          <w:autoSpaceDN w:val="0"/>
          <w:spacing w:before="0" w:after="240"/>
          <w:jc w:val="right"/>
          <w:rPr>
            <w:kern w:val="22"/>
          </w:rPr>
        </w:pPr>
        <w:r>
          <w:rPr>
            <w:kern w:val="22"/>
          </w:rPr>
          <w:t>CBD/SBSTTA/26/3/A</w:t>
        </w:r>
        <w:r>
          <w:rPr>
            <w:caps w:val="0"/>
            <w:kern w:val="22"/>
          </w:rPr>
          <w:t>dd</w:t>
        </w:r>
        <w:r>
          <w:rPr>
            <w:kern w:val="22"/>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61366D8C" w14:textId="6FF999E3" w:rsidR="00227C27" w:rsidRDefault="006D426D" w:rsidP="00F77252">
        <w:pPr>
          <w:pStyle w:val="af"/>
          <w:pBdr>
            <w:bottom w:val="single" w:sz="4" w:space="1" w:color="auto"/>
          </w:pBdr>
          <w:spacing w:before="0" w:after="240"/>
        </w:pPr>
        <w:r>
          <w:t>CBD/SBSTTA/26/3/A</w:t>
        </w:r>
        <w:r>
          <w:rPr>
            <w:caps w:val="0"/>
          </w:rPr>
          <w:t>dd</w:t>
        </w:r>
        <w: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a"/>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2"/>
  </w:num>
  <w:num w:numId="2" w16cid:durableId="696387565">
    <w:abstractNumId w:val="41"/>
  </w:num>
  <w:num w:numId="3" w16cid:durableId="223760804">
    <w:abstractNumId w:val="43"/>
  </w:num>
  <w:num w:numId="4" w16cid:durableId="311451130">
    <w:abstractNumId w:val="60"/>
  </w:num>
  <w:num w:numId="5" w16cid:durableId="1797946420">
    <w:abstractNumId w:val="19"/>
  </w:num>
  <w:num w:numId="6" w16cid:durableId="1958903633">
    <w:abstractNumId w:val="58"/>
  </w:num>
  <w:num w:numId="7" w16cid:durableId="556741273">
    <w:abstractNumId w:val="29"/>
  </w:num>
  <w:num w:numId="8" w16cid:durableId="1667124034">
    <w:abstractNumId w:val="38"/>
  </w:num>
  <w:num w:numId="9" w16cid:durableId="511802605">
    <w:abstractNumId w:val="33"/>
  </w:num>
  <w:num w:numId="10" w16cid:durableId="133111343">
    <w:abstractNumId w:val="8"/>
  </w:num>
  <w:num w:numId="11" w16cid:durableId="1783913760">
    <w:abstractNumId w:val="34"/>
  </w:num>
  <w:num w:numId="12" w16cid:durableId="546457357">
    <w:abstractNumId w:val="26"/>
  </w:num>
  <w:num w:numId="13" w16cid:durableId="795148474">
    <w:abstractNumId w:val="37"/>
  </w:num>
  <w:num w:numId="14" w16cid:durableId="1917089701">
    <w:abstractNumId w:val="23"/>
  </w:num>
  <w:num w:numId="15" w16cid:durableId="2037580360">
    <w:abstractNumId w:val="45"/>
  </w:num>
  <w:num w:numId="16" w16cid:durableId="692804275">
    <w:abstractNumId w:val="5"/>
  </w:num>
  <w:num w:numId="17" w16cid:durableId="163328379">
    <w:abstractNumId w:val="11"/>
  </w:num>
  <w:num w:numId="18" w16cid:durableId="1960137192">
    <w:abstractNumId w:val="25"/>
  </w:num>
  <w:num w:numId="19" w16cid:durableId="2023778733">
    <w:abstractNumId w:val="36"/>
  </w:num>
  <w:num w:numId="20" w16cid:durableId="1071003589">
    <w:abstractNumId w:val="48"/>
  </w:num>
  <w:num w:numId="21" w16cid:durableId="1759477005">
    <w:abstractNumId w:val="10"/>
  </w:num>
  <w:num w:numId="22" w16cid:durableId="227956950">
    <w:abstractNumId w:val="55"/>
  </w:num>
  <w:num w:numId="23" w16cid:durableId="2096899009">
    <w:abstractNumId w:val="21"/>
  </w:num>
  <w:num w:numId="24" w16cid:durableId="274338036">
    <w:abstractNumId w:val="28"/>
  </w:num>
  <w:num w:numId="25" w16cid:durableId="57364702">
    <w:abstractNumId w:val="3"/>
  </w:num>
  <w:num w:numId="26" w16cid:durableId="48965372">
    <w:abstractNumId w:val="51"/>
  </w:num>
  <w:num w:numId="27" w16cid:durableId="745372626">
    <w:abstractNumId w:val="12"/>
  </w:num>
  <w:num w:numId="28" w16cid:durableId="934901253">
    <w:abstractNumId w:val="49"/>
    <w:lvlOverride w:ilvl="0">
      <w:startOverride w:val="1"/>
    </w:lvlOverride>
  </w:num>
  <w:num w:numId="29" w16cid:durableId="248320909">
    <w:abstractNumId w:val="42"/>
  </w:num>
  <w:num w:numId="30" w16cid:durableId="777259692">
    <w:abstractNumId w:val="50"/>
  </w:num>
  <w:num w:numId="31" w16cid:durableId="156727439">
    <w:abstractNumId w:val="24"/>
  </w:num>
  <w:num w:numId="32" w16cid:durableId="1245914105">
    <w:abstractNumId w:val="17"/>
  </w:num>
  <w:num w:numId="33" w16cid:durableId="1702166773">
    <w:abstractNumId w:val="9"/>
  </w:num>
  <w:num w:numId="34" w16cid:durableId="682709533">
    <w:abstractNumId w:val="4"/>
  </w:num>
  <w:num w:numId="35" w16cid:durableId="510224924">
    <w:abstractNumId w:val="14"/>
  </w:num>
  <w:num w:numId="36" w16cid:durableId="76557512">
    <w:abstractNumId w:val="44"/>
  </w:num>
  <w:num w:numId="37" w16cid:durableId="1688172165">
    <w:abstractNumId w:val="31"/>
  </w:num>
  <w:num w:numId="38" w16cid:durableId="1594433256">
    <w:abstractNumId w:val="13"/>
  </w:num>
  <w:num w:numId="39" w16cid:durableId="361706940">
    <w:abstractNumId w:val="27"/>
  </w:num>
  <w:num w:numId="40" w16cid:durableId="1977443739">
    <w:abstractNumId w:val="59"/>
  </w:num>
  <w:num w:numId="41" w16cid:durableId="2053533616">
    <w:abstractNumId w:val="49"/>
  </w:num>
  <w:num w:numId="42" w16cid:durableId="1803695217">
    <w:abstractNumId w:val="30"/>
  </w:num>
  <w:num w:numId="43" w16cid:durableId="482281525">
    <w:abstractNumId w:val="6"/>
  </w:num>
  <w:num w:numId="44" w16cid:durableId="362050802">
    <w:abstractNumId w:val="57"/>
  </w:num>
  <w:num w:numId="45" w16cid:durableId="1112627065">
    <w:abstractNumId w:val="20"/>
  </w:num>
  <w:num w:numId="46" w16cid:durableId="2136410782">
    <w:abstractNumId w:val="56"/>
  </w:num>
  <w:num w:numId="47" w16cid:durableId="138426868">
    <w:abstractNumId w:val="22"/>
  </w:num>
  <w:num w:numId="48" w16cid:durableId="880089598">
    <w:abstractNumId w:val="54"/>
  </w:num>
  <w:num w:numId="49" w16cid:durableId="2062709480">
    <w:abstractNumId w:val="39"/>
  </w:num>
  <w:num w:numId="50" w16cid:durableId="1494223197">
    <w:abstractNumId w:val="49"/>
  </w:num>
  <w:num w:numId="51" w16cid:durableId="936838355">
    <w:abstractNumId w:val="16"/>
  </w:num>
  <w:num w:numId="52" w16cid:durableId="119690581">
    <w:abstractNumId w:val="0"/>
  </w:num>
  <w:num w:numId="53" w16cid:durableId="1448233825">
    <w:abstractNumId w:val="15"/>
  </w:num>
  <w:num w:numId="54" w16cid:durableId="1473787413">
    <w:abstractNumId w:val="52"/>
  </w:num>
  <w:num w:numId="55" w16cid:durableId="1976451248">
    <w:abstractNumId w:val="18"/>
  </w:num>
  <w:num w:numId="56" w16cid:durableId="176233990">
    <w:abstractNumId w:val="1"/>
  </w:num>
  <w:num w:numId="57" w16cid:durableId="509373691">
    <w:abstractNumId w:val="7"/>
  </w:num>
  <w:num w:numId="58" w16cid:durableId="1624657721">
    <w:abstractNumId w:val="2"/>
  </w:num>
  <w:num w:numId="59" w16cid:durableId="222254523">
    <w:abstractNumId w:val="49"/>
    <w:lvlOverride w:ilvl="0">
      <w:startOverride w:val="1"/>
    </w:lvlOverride>
  </w:num>
  <w:num w:numId="60" w16cid:durableId="1337656085">
    <w:abstractNumId w:val="53"/>
  </w:num>
  <w:num w:numId="61" w16cid:durableId="23601007">
    <w:abstractNumId w:val="40"/>
  </w:num>
  <w:num w:numId="62" w16cid:durableId="191964801">
    <w:abstractNumId w:val="35"/>
  </w:num>
  <w:num w:numId="63" w16cid:durableId="1755784740">
    <w:abstractNumId w:val="47"/>
  </w:num>
  <w:num w:numId="64" w16cid:durableId="1192383545">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63B"/>
    <w:rsid w:val="00005E3C"/>
    <w:rsid w:val="00006538"/>
    <w:rsid w:val="0001015C"/>
    <w:rsid w:val="00011BFD"/>
    <w:rsid w:val="000126B3"/>
    <w:rsid w:val="0001298F"/>
    <w:rsid w:val="00014616"/>
    <w:rsid w:val="00015432"/>
    <w:rsid w:val="0001614D"/>
    <w:rsid w:val="0001661C"/>
    <w:rsid w:val="000200B7"/>
    <w:rsid w:val="0002156F"/>
    <w:rsid w:val="000257F6"/>
    <w:rsid w:val="00027690"/>
    <w:rsid w:val="0003195D"/>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41F2"/>
    <w:rsid w:val="00094938"/>
    <w:rsid w:val="0009543D"/>
    <w:rsid w:val="00097164"/>
    <w:rsid w:val="000A3F83"/>
    <w:rsid w:val="000A4257"/>
    <w:rsid w:val="000A5058"/>
    <w:rsid w:val="000A5C56"/>
    <w:rsid w:val="000A6C42"/>
    <w:rsid w:val="000B06F1"/>
    <w:rsid w:val="000B1292"/>
    <w:rsid w:val="000B2450"/>
    <w:rsid w:val="000B3584"/>
    <w:rsid w:val="000B363A"/>
    <w:rsid w:val="000B43DB"/>
    <w:rsid w:val="000B5687"/>
    <w:rsid w:val="000B7C43"/>
    <w:rsid w:val="000C3F7F"/>
    <w:rsid w:val="000C462B"/>
    <w:rsid w:val="000C5952"/>
    <w:rsid w:val="000C596C"/>
    <w:rsid w:val="000C6553"/>
    <w:rsid w:val="000D0134"/>
    <w:rsid w:val="000D05B3"/>
    <w:rsid w:val="000D1E2C"/>
    <w:rsid w:val="000D3B17"/>
    <w:rsid w:val="000D3E0B"/>
    <w:rsid w:val="000D5B61"/>
    <w:rsid w:val="000D6DB6"/>
    <w:rsid w:val="000D6DD7"/>
    <w:rsid w:val="000D7849"/>
    <w:rsid w:val="000E2882"/>
    <w:rsid w:val="000E2C97"/>
    <w:rsid w:val="000E331A"/>
    <w:rsid w:val="000E4F65"/>
    <w:rsid w:val="000E6FAF"/>
    <w:rsid w:val="000E703E"/>
    <w:rsid w:val="000E7BDD"/>
    <w:rsid w:val="000E7F56"/>
    <w:rsid w:val="000F4973"/>
    <w:rsid w:val="000F57DF"/>
    <w:rsid w:val="000F5864"/>
    <w:rsid w:val="000F5C6F"/>
    <w:rsid w:val="000F5E35"/>
    <w:rsid w:val="000F662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3048"/>
    <w:rsid w:val="00123ECC"/>
    <w:rsid w:val="001247B0"/>
    <w:rsid w:val="00125030"/>
    <w:rsid w:val="00127116"/>
    <w:rsid w:val="0013004D"/>
    <w:rsid w:val="00130713"/>
    <w:rsid w:val="00130FB4"/>
    <w:rsid w:val="00132581"/>
    <w:rsid w:val="001328E8"/>
    <w:rsid w:val="00132B80"/>
    <w:rsid w:val="00133C96"/>
    <w:rsid w:val="001362CF"/>
    <w:rsid w:val="001367C4"/>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7943"/>
    <w:rsid w:val="00162433"/>
    <w:rsid w:val="00163465"/>
    <w:rsid w:val="0016381D"/>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24FB"/>
    <w:rsid w:val="00193B0E"/>
    <w:rsid w:val="0019584A"/>
    <w:rsid w:val="001A1C00"/>
    <w:rsid w:val="001A373E"/>
    <w:rsid w:val="001A3A2B"/>
    <w:rsid w:val="001A4B9D"/>
    <w:rsid w:val="001A6B14"/>
    <w:rsid w:val="001A6D75"/>
    <w:rsid w:val="001A751E"/>
    <w:rsid w:val="001A79C0"/>
    <w:rsid w:val="001B03BA"/>
    <w:rsid w:val="001B0F59"/>
    <w:rsid w:val="001B21F0"/>
    <w:rsid w:val="001B7AE1"/>
    <w:rsid w:val="001B7C72"/>
    <w:rsid w:val="001C1865"/>
    <w:rsid w:val="001C24F3"/>
    <w:rsid w:val="001C3335"/>
    <w:rsid w:val="001C3A11"/>
    <w:rsid w:val="001D013E"/>
    <w:rsid w:val="001D0FCD"/>
    <w:rsid w:val="001D3B2F"/>
    <w:rsid w:val="001D6050"/>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22D1"/>
    <w:rsid w:val="001F4A1D"/>
    <w:rsid w:val="002007A7"/>
    <w:rsid w:val="00201817"/>
    <w:rsid w:val="00202BFD"/>
    <w:rsid w:val="0020361B"/>
    <w:rsid w:val="00203B07"/>
    <w:rsid w:val="00204F57"/>
    <w:rsid w:val="00206953"/>
    <w:rsid w:val="00206C89"/>
    <w:rsid w:val="00206F53"/>
    <w:rsid w:val="002118DD"/>
    <w:rsid w:val="00212178"/>
    <w:rsid w:val="002145CB"/>
    <w:rsid w:val="00216F00"/>
    <w:rsid w:val="0021772E"/>
    <w:rsid w:val="00220FA3"/>
    <w:rsid w:val="0022243D"/>
    <w:rsid w:val="00223D53"/>
    <w:rsid w:val="00224689"/>
    <w:rsid w:val="00227C27"/>
    <w:rsid w:val="0023086C"/>
    <w:rsid w:val="00231BB2"/>
    <w:rsid w:val="00231E0C"/>
    <w:rsid w:val="00232942"/>
    <w:rsid w:val="002408D9"/>
    <w:rsid w:val="002415FC"/>
    <w:rsid w:val="00244FB7"/>
    <w:rsid w:val="00247F2D"/>
    <w:rsid w:val="00251C72"/>
    <w:rsid w:val="00251F9B"/>
    <w:rsid w:val="002524B2"/>
    <w:rsid w:val="00252D16"/>
    <w:rsid w:val="00254640"/>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73F3"/>
    <w:rsid w:val="00297617"/>
    <w:rsid w:val="002A15B9"/>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2E8"/>
    <w:rsid w:val="002D2855"/>
    <w:rsid w:val="002D42B7"/>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3890"/>
    <w:rsid w:val="00323F22"/>
    <w:rsid w:val="00324798"/>
    <w:rsid w:val="00324CFC"/>
    <w:rsid w:val="00325530"/>
    <w:rsid w:val="003311EE"/>
    <w:rsid w:val="00332BA5"/>
    <w:rsid w:val="00333692"/>
    <w:rsid w:val="0033375B"/>
    <w:rsid w:val="003348A3"/>
    <w:rsid w:val="00334EE0"/>
    <w:rsid w:val="00336C21"/>
    <w:rsid w:val="0033732B"/>
    <w:rsid w:val="00341007"/>
    <w:rsid w:val="0034230C"/>
    <w:rsid w:val="003425F4"/>
    <w:rsid w:val="003437E7"/>
    <w:rsid w:val="00343A30"/>
    <w:rsid w:val="00343D2B"/>
    <w:rsid w:val="00344E07"/>
    <w:rsid w:val="00345520"/>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42D7"/>
    <w:rsid w:val="00374C32"/>
    <w:rsid w:val="0037770F"/>
    <w:rsid w:val="003803D8"/>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DB"/>
    <w:rsid w:val="003B0644"/>
    <w:rsid w:val="003B2905"/>
    <w:rsid w:val="003B4723"/>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3032"/>
    <w:rsid w:val="003D5333"/>
    <w:rsid w:val="003D6EBC"/>
    <w:rsid w:val="003E39FF"/>
    <w:rsid w:val="003E4F77"/>
    <w:rsid w:val="003E5A11"/>
    <w:rsid w:val="003E7683"/>
    <w:rsid w:val="003F0153"/>
    <w:rsid w:val="003F1AE9"/>
    <w:rsid w:val="003F3604"/>
    <w:rsid w:val="003F3710"/>
    <w:rsid w:val="003F3E40"/>
    <w:rsid w:val="003F4CD2"/>
    <w:rsid w:val="003F5518"/>
    <w:rsid w:val="003F79DB"/>
    <w:rsid w:val="003F7B50"/>
    <w:rsid w:val="0040051D"/>
    <w:rsid w:val="0040268F"/>
    <w:rsid w:val="004035FF"/>
    <w:rsid w:val="004054ED"/>
    <w:rsid w:val="0040644F"/>
    <w:rsid w:val="00406C9B"/>
    <w:rsid w:val="0040720F"/>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66FED"/>
    <w:rsid w:val="004701EE"/>
    <w:rsid w:val="00470509"/>
    <w:rsid w:val="00471B89"/>
    <w:rsid w:val="00471DD5"/>
    <w:rsid w:val="004740B0"/>
    <w:rsid w:val="00477EF4"/>
    <w:rsid w:val="00480B1C"/>
    <w:rsid w:val="004812C2"/>
    <w:rsid w:val="0048304E"/>
    <w:rsid w:val="0048407C"/>
    <w:rsid w:val="00484999"/>
    <w:rsid w:val="00484D2F"/>
    <w:rsid w:val="00486FA4"/>
    <w:rsid w:val="004875AD"/>
    <w:rsid w:val="004878E4"/>
    <w:rsid w:val="00494CDC"/>
    <w:rsid w:val="00495540"/>
    <w:rsid w:val="00497C1F"/>
    <w:rsid w:val="004A020C"/>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5AB5"/>
    <w:rsid w:val="005164B5"/>
    <w:rsid w:val="00516531"/>
    <w:rsid w:val="00517267"/>
    <w:rsid w:val="0052022C"/>
    <w:rsid w:val="00520805"/>
    <w:rsid w:val="00520D3E"/>
    <w:rsid w:val="00521F7D"/>
    <w:rsid w:val="00522D61"/>
    <w:rsid w:val="00522D88"/>
    <w:rsid w:val="00524845"/>
    <w:rsid w:val="00526106"/>
    <w:rsid w:val="0052673A"/>
    <w:rsid w:val="00532698"/>
    <w:rsid w:val="0053289E"/>
    <w:rsid w:val="00532C34"/>
    <w:rsid w:val="00532E35"/>
    <w:rsid w:val="00534F08"/>
    <w:rsid w:val="00534F11"/>
    <w:rsid w:val="00534FF9"/>
    <w:rsid w:val="005360AD"/>
    <w:rsid w:val="00536FEA"/>
    <w:rsid w:val="00537248"/>
    <w:rsid w:val="0053779B"/>
    <w:rsid w:val="00541EEA"/>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6352"/>
    <w:rsid w:val="00576356"/>
    <w:rsid w:val="0057638B"/>
    <w:rsid w:val="0057744B"/>
    <w:rsid w:val="0058160F"/>
    <w:rsid w:val="00582B10"/>
    <w:rsid w:val="00584CBC"/>
    <w:rsid w:val="00585C69"/>
    <w:rsid w:val="00587938"/>
    <w:rsid w:val="00590C10"/>
    <w:rsid w:val="00590C93"/>
    <w:rsid w:val="0059272C"/>
    <w:rsid w:val="00593255"/>
    <w:rsid w:val="005949C3"/>
    <w:rsid w:val="00597132"/>
    <w:rsid w:val="00597D46"/>
    <w:rsid w:val="005A206E"/>
    <w:rsid w:val="005A55A5"/>
    <w:rsid w:val="005B0575"/>
    <w:rsid w:val="005B0F53"/>
    <w:rsid w:val="005B1A98"/>
    <w:rsid w:val="005B224E"/>
    <w:rsid w:val="005B3265"/>
    <w:rsid w:val="005B48BC"/>
    <w:rsid w:val="005B4FD5"/>
    <w:rsid w:val="005B5675"/>
    <w:rsid w:val="005B5773"/>
    <w:rsid w:val="005C353A"/>
    <w:rsid w:val="005C3934"/>
    <w:rsid w:val="005C7609"/>
    <w:rsid w:val="005C79C5"/>
    <w:rsid w:val="005D1008"/>
    <w:rsid w:val="005D17B8"/>
    <w:rsid w:val="005D1899"/>
    <w:rsid w:val="005D2F76"/>
    <w:rsid w:val="005D788C"/>
    <w:rsid w:val="005E0ADE"/>
    <w:rsid w:val="005E0E48"/>
    <w:rsid w:val="005E16E3"/>
    <w:rsid w:val="005E2172"/>
    <w:rsid w:val="005E2605"/>
    <w:rsid w:val="005E57CD"/>
    <w:rsid w:val="005F082C"/>
    <w:rsid w:val="005F085A"/>
    <w:rsid w:val="005F0A95"/>
    <w:rsid w:val="005F0E46"/>
    <w:rsid w:val="005F237D"/>
    <w:rsid w:val="005F31D9"/>
    <w:rsid w:val="005F365B"/>
    <w:rsid w:val="00600AF2"/>
    <w:rsid w:val="00600E4A"/>
    <w:rsid w:val="00601AC5"/>
    <w:rsid w:val="00601BA9"/>
    <w:rsid w:val="00601D88"/>
    <w:rsid w:val="006024D7"/>
    <w:rsid w:val="006075CF"/>
    <w:rsid w:val="006135BE"/>
    <w:rsid w:val="0061490A"/>
    <w:rsid w:val="00614B06"/>
    <w:rsid w:val="00615583"/>
    <w:rsid w:val="006159BB"/>
    <w:rsid w:val="006159E0"/>
    <w:rsid w:val="00616CC0"/>
    <w:rsid w:val="006176C6"/>
    <w:rsid w:val="00620DD0"/>
    <w:rsid w:val="0062229C"/>
    <w:rsid w:val="006226AE"/>
    <w:rsid w:val="0062301C"/>
    <w:rsid w:val="0062341D"/>
    <w:rsid w:val="00624009"/>
    <w:rsid w:val="00624B58"/>
    <w:rsid w:val="00625284"/>
    <w:rsid w:val="00625467"/>
    <w:rsid w:val="0062567F"/>
    <w:rsid w:val="00626908"/>
    <w:rsid w:val="00627CBA"/>
    <w:rsid w:val="00631D6C"/>
    <w:rsid w:val="00634002"/>
    <w:rsid w:val="006343E2"/>
    <w:rsid w:val="00634EBC"/>
    <w:rsid w:val="00635FAC"/>
    <w:rsid w:val="0064331C"/>
    <w:rsid w:val="006442E0"/>
    <w:rsid w:val="006444A8"/>
    <w:rsid w:val="006457B5"/>
    <w:rsid w:val="006505B4"/>
    <w:rsid w:val="006515E0"/>
    <w:rsid w:val="006517C7"/>
    <w:rsid w:val="00652047"/>
    <w:rsid w:val="00653163"/>
    <w:rsid w:val="006534C8"/>
    <w:rsid w:val="00655BD6"/>
    <w:rsid w:val="006570FD"/>
    <w:rsid w:val="00657E28"/>
    <w:rsid w:val="00657ED6"/>
    <w:rsid w:val="006607E3"/>
    <w:rsid w:val="0066720C"/>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EBC"/>
    <w:rsid w:val="006A6304"/>
    <w:rsid w:val="006B0FE5"/>
    <w:rsid w:val="006B129E"/>
    <w:rsid w:val="006B2635"/>
    <w:rsid w:val="006B28E0"/>
    <w:rsid w:val="006B293D"/>
    <w:rsid w:val="006B4E3C"/>
    <w:rsid w:val="006B5190"/>
    <w:rsid w:val="006B610A"/>
    <w:rsid w:val="006B6247"/>
    <w:rsid w:val="006B6D26"/>
    <w:rsid w:val="006C0437"/>
    <w:rsid w:val="006C0A02"/>
    <w:rsid w:val="006C2B91"/>
    <w:rsid w:val="006C3331"/>
    <w:rsid w:val="006C3B2F"/>
    <w:rsid w:val="006C3D6F"/>
    <w:rsid w:val="006C61BC"/>
    <w:rsid w:val="006D084A"/>
    <w:rsid w:val="006D1BEF"/>
    <w:rsid w:val="006D2B7C"/>
    <w:rsid w:val="006D426D"/>
    <w:rsid w:val="006D5D50"/>
    <w:rsid w:val="006D6CEE"/>
    <w:rsid w:val="006E1A4B"/>
    <w:rsid w:val="006E2111"/>
    <w:rsid w:val="006E2DC5"/>
    <w:rsid w:val="006E3293"/>
    <w:rsid w:val="006F0F7E"/>
    <w:rsid w:val="006F1532"/>
    <w:rsid w:val="006F1A93"/>
    <w:rsid w:val="006F22E0"/>
    <w:rsid w:val="006F3D49"/>
    <w:rsid w:val="006F3D8C"/>
    <w:rsid w:val="006F4275"/>
    <w:rsid w:val="006F49B6"/>
    <w:rsid w:val="006F4F4A"/>
    <w:rsid w:val="006F58AB"/>
    <w:rsid w:val="006F7D66"/>
    <w:rsid w:val="007006C1"/>
    <w:rsid w:val="0070080D"/>
    <w:rsid w:val="00700CCE"/>
    <w:rsid w:val="00702AD4"/>
    <w:rsid w:val="00703EB1"/>
    <w:rsid w:val="007041DA"/>
    <w:rsid w:val="0070516B"/>
    <w:rsid w:val="00705464"/>
    <w:rsid w:val="0071069B"/>
    <w:rsid w:val="00710E37"/>
    <w:rsid w:val="007131B6"/>
    <w:rsid w:val="00713DB5"/>
    <w:rsid w:val="0071511E"/>
    <w:rsid w:val="0071564E"/>
    <w:rsid w:val="00715706"/>
    <w:rsid w:val="00717274"/>
    <w:rsid w:val="00720AA4"/>
    <w:rsid w:val="00721055"/>
    <w:rsid w:val="00721492"/>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6801"/>
    <w:rsid w:val="00770613"/>
    <w:rsid w:val="00770CA7"/>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488"/>
    <w:rsid w:val="007A7D1C"/>
    <w:rsid w:val="007B0ECA"/>
    <w:rsid w:val="007B1194"/>
    <w:rsid w:val="007B2D5B"/>
    <w:rsid w:val="007B58C0"/>
    <w:rsid w:val="007B65D6"/>
    <w:rsid w:val="007C0351"/>
    <w:rsid w:val="007C3ABF"/>
    <w:rsid w:val="007C5527"/>
    <w:rsid w:val="007C563B"/>
    <w:rsid w:val="007C5973"/>
    <w:rsid w:val="007C6138"/>
    <w:rsid w:val="007C709F"/>
    <w:rsid w:val="007C77BC"/>
    <w:rsid w:val="007D0500"/>
    <w:rsid w:val="007D0A34"/>
    <w:rsid w:val="007D2B1E"/>
    <w:rsid w:val="007D370C"/>
    <w:rsid w:val="007D4D0C"/>
    <w:rsid w:val="007D5F73"/>
    <w:rsid w:val="007D63A3"/>
    <w:rsid w:val="007E04F6"/>
    <w:rsid w:val="007E1136"/>
    <w:rsid w:val="007E157A"/>
    <w:rsid w:val="007E28D2"/>
    <w:rsid w:val="007E3908"/>
    <w:rsid w:val="007E756D"/>
    <w:rsid w:val="007F1D1E"/>
    <w:rsid w:val="007F3134"/>
    <w:rsid w:val="007F3948"/>
    <w:rsid w:val="007F5C88"/>
    <w:rsid w:val="007F6A98"/>
    <w:rsid w:val="007F7233"/>
    <w:rsid w:val="007F7AEB"/>
    <w:rsid w:val="007F7EE6"/>
    <w:rsid w:val="0080033E"/>
    <w:rsid w:val="00801587"/>
    <w:rsid w:val="00803372"/>
    <w:rsid w:val="008105E6"/>
    <w:rsid w:val="0081077B"/>
    <w:rsid w:val="008145A3"/>
    <w:rsid w:val="008158B0"/>
    <w:rsid w:val="00815EF7"/>
    <w:rsid w:val="00816391"/>
    <w:rsid w:val="0081782E"/>
    <w:rsid w:val="00820047"/>
    <w:rsid w:val="00820476"/>
    <w:rsid w:val="00822D05"/>
    <w:rsid w:val="00822D6E"/>
    <w:rsid w:val="008268AC"/>
    <w:rsid w:val="008272BA"/>
    <w:rsid w:val="00830F1B"/>
    <w:rsid w:val="00831B72"/>
    <w:rsid w:val="00831C6B"/>
    <w:rsid w:val="00831F19"/>
    <w:rsid w:val="0083428E"/>
    <w:rsid w:val="008347CA"/>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7E8C"/>
    <w:rsid w:val="00861A7F"/>
    <w:rsid w:val="00864582"/>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3F69"/>
    <w:rsid w:val="008A5024"/>
    <w:rsid w:val="008A6443"/>
    <w:rsid w:val="008A714C"/>
    <w:rsid w:val="008A7633"/>
    <w:rsid w:val="008A7BF8"/>
    <w:rsid w:val="008B0BFE"/>
    <w:rsid w:val="008B28DE"/>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13FF"/>
    <w:rsid w:val="008D14F1"/>
    <w:rsid w:val="008D2043"/>
    <w:rsid w:val="008D229C"/>
    <w:rsid w:val="008D3184"/>
    <w:rsid w:val="008D4187"/>
    <w:rsid w:val="008D768D"/>
    <w:rsid w:val="008D7A1E"/>
    <w:rsid w:val="008D7D8D"/>
    <w:rsid w:val="008E0581"/>
    <w:rsid w:val="008E188F"/>
    <w:rsid w:val="008E1C64"/>
    <w:rsid w:val="008E315A"/>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53B"/>
    <w:rsid w:val="0091070A"/>
    <w:rsid w:val="0091151F"/>
    <w:rsid w:val="00913679"/>
    <w:rsid w:val="00913F6C"/>
    <w:rsid w:val="0091436C"/>
    <w:rsid w:val="009145D8"/>
    <w:rsid w:val="00916525"/>
    <w:rsid w:val="00920215"/>
    <w:rsid w:val="00920F9E"/>
    <w:rsid w:val="00921BD3"/>
    <w:rsid w:val="009224DC"/>
    <w:rsid w:val="009230F7"/>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4B5D"/>
    <w:rsid w:val="00965609"/>
    <w:rsid w:val="0096685D"/>
    <w:rsid w:val="00967B57"/>
    <w:rsid w:val="00970DDD"/>
    <w:rsid w:val="00972138"/>
    <w:rsid w:val="00973001"/>
    <w:rsid w:val="0097335E"/>
    <w:rsid w:val="00975092"/>
    <w:rsid w:val="009761C9"/>
    <w:rsid w:val="00976D16"/>
    <w:rsid w:val="00977939"/>
    <w:rsid w:val="009802FB"/>
    <w:rsid w:val="00980375"/>
    <w:rsid w:val="00980A5F"/>
    <w:rsid w:val="00980E88"/>
    <w:rsid w:val="00980F34"/>
    <w:rsid w:val="0098390A"/>
    <w:rsid w:val="00985585"/>
    <w:rsid w:val="00985846"/>
    <w:rsid w:val="00987AD6"/>
    <w:rsid w:val="009906FF"/>
    <w:rsid w:val="00990DD6"/>
    <w:rsid w:val="00992D93"/>
    <w:rsid w:val="00995DDC"/>
    <w:rsid w:val="0099757C"/>
    <w:rsid w:val="00997E3B"/>
    <w:rsid w:val="009A2000"/>
    <w:rsid w:val="009A2118"/>
    <w:rsid w:val="009A2638"/>
    <w:rsid w:val="009A32ED"/>
    <w:rsid w:val="009A3C1E"/>
    <w:rsid w:val="009A4487"/>
    <w:rsid w:val="009A47B6"/>
    <w:rsid w:val="009A4EF8"/>
    <w:rsid w:val="009A7A16"/>
    <w:rsid w:val="009B01A4"/>
    <w:rsid w:val="009B19D4"/>
    <w:rsid w:val="009B241B"/>
    <w:rsid w:val="009B50CB"/>
    <w:rsid w:val="009B5AC7"/>
    <w:rsid w:val="009C0EAB"/>
    <w:rsid w:val="009C0F85"/>
    <w:rsid w:val="009C1114"/>
    <w:rsid w:val="009C1644"/>
    <w:rsid w:val="009C1ECC"/>
    <w:rsid w:val="009D1EAF"/>
    <w:rsid w:val="009D5128"/>
    <w:rsid w:val="009D5490"/>
    <w:rsid w:val="009E6587"/>
    <w:rsid w:val="009F0A1D"/>
    <w:rsid w:val="009F11E3"/>
    <w:rsid w:val="009F1498"/>
    <w:rsid w:val="009F2599"/>
    <w:rsid w:val="009F4900"/>
    <w:rsid w:val="00A011D3"/>
    <w:rsid w:val="00A05453"/>
    <w:rsid w:val="00A10814"/>
    <w:rsid w:val="00A10E2C"/>
    <w:rsid w:val="00A168A4"/>
    <w:rsid w:val="00A17591"/>
    <w:rsid w:val="00A21F75"/>
    <w:rsid w:val="00A22FB7"/>
    <w:rsid w:val="00A23844"/>
    <w:rsid w:val="00A23B69"/>
    <w:rsid w:val="00A261B1"/>
    <w:rsid w:val="00A2648D"/>
    <w:rsid w:val="00A3085F"/>
    <w:rsid w:val="00A30D9D"/>
    <w:rsid w:val="00A317D3"/>
    <w:rsid w:val="00A32F91"/>
    <w:rsid w:val="00A34C4C"/>
    <w:rsid w:val="00A36CC2"/>
    <w:rsid w:val="00A4069C"/>
    <w:rsid w:val="00A41426"/>
    <w:rsid w:val="00A43481"/>
    <w:rsid w:val="00A46F70"/>
    <w:rsid w:val="00A47505"/>
    <w:rsid w:val="00A50990"/>
    <w:rsid w:val="00A50A30"/>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705DB"/>
    <w:rsid w:val="00A71995"/>
    <w:rsid w:val="00A73E4C"/>
    <w:rsid w:val="00A74AF3"/>
    <w:rsid w:val="00A74CEE"/>
    <w:rsid w:val="00A75BDF"/>
    <w:rsid w:val="00A76609"/>
    <w:rsid w:val="00A805EA"/>
    <w:rsid w:val="00A819DB"/>
    <w:rsid w:val="00A84EF2"/>
    <w:rsid w:val="00A86051"/>
    <w:rsid w:val="00A8660B"/>
    <w:rsid w:val="00A8722D"/>
    <w:rsid w:val="00A87245"/>
    <w:rsid w:val="00A925CB"/>
    <w:rsid w:val="00A92F2A"/>
    <w:rsid w:val="00A93C3B"/>
    <w:rsid w:val="00A93CCA"/>
    <w:rsid w:val="00A940BF"/>
    <w:rsid w:val="00A959A6"/>
    <w:rsid w:val="00A96B21"/>
    <w:rsid w:val="00A970DD"/>
    <w:rsid w:val="00AA28B1"/>
    <w:rsid w:val="00AA56C2"/>
    <w:rsid w:val="00AA710C"/>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707"/>
    <w:rsid w:val="00AD5DA1"/>
    <w:rsid w:val="00AD7189"/>
    <w:rsid w:val="00AD71F9"/>
    <w:rsid w:val="00AE0D81"/>
    <w:rsid w:val="00AE1A95"/>
    <w:rsid w:val="00AE1CDB"/>
    <w:rsid w:val="00AE2130"/>
    <w:rsid w:val="00AE5B1F"/>
    <w:rsid w:val="00AE6558"/>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438C"/>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4725"/>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34FB"/>
    <w:rsid w:val="00BA4AA4"/>
    <w:rsid w:val="00BA5C5A"/>
    <w:rsid w:val="00BA68EA"/>
    <w:rsid w:val="00BA7507"/>
    <w:rsid w:val="00BB1A51"/>
    <w:rsid w:val="00BB225C"/>
    <w:rsid w:val="00BB32E0"/>
    <w:rsid w:val="00BB4078"/>
    <w:rsid w:val="00BB5715"/>
    <w:rsid w:val="00BB6518"/>
    <w:rsid w:val="00BB7F21"/>
    <w:rsid w:val="00BC299E"/>
    <w:rsid w:val="00BC34A8"/>
    <w:rsid w:val="00BC680B"/>
    <w:rsid w:val="00BC72E2"/>
    <w:rsid w:val="00BD126B"/>
    <w:rsid w:val="00BD1F04"/>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2C73"/>
    <w:rsid w:val="00C73E2B"/>
    <w:rsid w:val="00C74A51"/>
    <w:rsid w:val="00C74BCE"/>
    <w:rsid w:val="00C7556F"/>
    <w:rsid w:val="00C75CCF"/>
    <w:rsid w:val="00C76181"/>
    <w:rsid w:val="00C76289"/>
    <w:rsid w:val="00C76948"/>
    <w:rsid w:val="00C80CEB"/>
    <w:rsid w:val="00C820AF"/>
    <w:rsid w:val="00C826B5"/>
    <w:rsid w:val="00C83988"/>
    <w:rsid w:val="00C83A3F"/>
    <w:rsid w:val="00C90A5E"/>
    <w:rsid w:val="00C90EBA"/>
    <w:rsid w:val="00C932BD"/>
    <w:rsid w:val="00C960BE"/>
    <w:rsid w:val="00C96D1A"/>
    <w:rsid w:val="00C970D4"/>
    <w:rsid w:val="00CA02B8"/>
    <w:rsid w:val="00CA0543"/>
    <w:rsid w:val="00CA0C30"/>
    <w:rsid w:val="00CA3109"/>
    <w:rsid w:val="00CA3320"/>
    <w:rsid w:val="00CB0715"/>
    <w:rsid w:val="00CB1369"/>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E040F"/>
    <w:rsid w:val="00CE10FE"/>
    <w:rsid w:val="00CE1D2F"/>
    <w:rsid w:val="00CE29E9"/>
    <w:rsid w:val="00CE3525"/>
    <w:rsid w:val="00CE3B5F"/>
    <w:rsid w:val="00CE4545"/>
    <w:rsid w:val="00CE4E3E"/>
    <w:rsid w:val="00CE5BB4"/>
    <w:rsid w:val="00CE70B6"/>
    <w:rsid w:val="00CF03EE"/>
    <w:rsid w:val="00CF5B82"/>
    <w:rsid w:val="00CF70AB"/>
    <w:rsid w:val="00CF7926"/>
    <w:rsid w:val="00D00FA0"/>
    <w:rsid w:val="00D01775"/>
    <w:rsid w:val="00D027C9"/>
    <w:rsid w:val="00D02DFC"/>
    <w:rsid w:val="00D047E7"/>
    <w:rsid w:val="00D053A9"/>
    <w:rsid w:val="00D05D38"/>
    <w:rsid w:val="00D11CF7"/>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319E"/>
    <w:rsid w:val="00D54C7A"/>
    <w:rsid w:val="00D60046"/>
    <w:rsid w:val="00D6129E"/>
    <w:rsid w:val="00D61DA1"/>
    <w:rsid w:val="00D620A3"/>
    <w:rsid w:val="00D63515"/>
    <w:rsid w:val="00D637D5"/>
    <w:rsid w:val="00D6639F"/>
    <w:rsid w:val="00D66BB7"/>
    <w:rsid w:val="00D66DF2"/>
    <w:rsid w:val="00D67FB8"/>
    <w:rsid w:val="00D71FFB"/>
    <w:rsid w:val="00D72A4B"/>
    <w:rsid w:val="00D742E3"/>
    <w:rsid w:val="00D75778"/>
    <w:rsid w:val="00D76D13"/>
    <w:rsid w:val="00D82A6C"/>
    <w:rsid w:val="00D82C1F"/>
    <w:rsid w:val="00D8396D"/>
    <w:rsid w:val="00D84CF4"/>
    <w:rsid w:val="00D8626D"/>
    <w:rsid w:val="00D8767C"/>
    <w:rsid w:val="00D87B7E"/>
    <w:rsid w:val="00D9071C"/>
    <w:rsid w:val="00D948F0"/>
    <w:rsid w:val="00D96669"/>
    <w:rsid w:val="00D970A3"/>
    <w:rsid w:val="00D97F1C"/>
    <w:rsid w:val="00D97FBB"/>
    <w:rsid w:val="00DA112E"/>
    <w:rsid w:val="00DA11D8"/>
    <w:rsid w:val="00DA172E"/>
    <w:rsid w:val="00DA43E7"/>
    <w:rsid w:val="00DA4E23"/>
    <w:rsid w:val="00DA7051"/>
    <w:rsid w:val="00DA7691"/>
    <w:rsid w:val="00DB1E8F"/>
    <w:rsid w:val="00DB263C"/>
    <w:rsid w:val="00DB4FE9"/>
    <w:rsid w:val="00DB6A79"/>
    <w:rsid w:val="00DC01D8"/>
    <w:rsid w:val="00DC23BD"/>
    <w:rsid w:val="00DC25ED"/>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2040"/>
    <w:rsid w:val="00E13F2B"/>
    <w:rsid w:val="00E149FB"/>
    <w:rsid w:val="00E1581A"/>
    <w:rsid w:val="00E1597C"/>
    <w:rsid w:val="00E16F15"/>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50C1"/>
    <w:rsid w:val="00E650FF"/>
    <w:rsid w:val="00E6644C"/>
    <w:rsid w:val="00E72E2A"/>
    <w:rsid w:val="00E72E49"/>
    <w:rsid w:val="00E72FC9"/>
    <w:rsid w:val="00E73005"/>
    <w:rsid w:val="00E73B26"/>
    <w:rsid w:val="00E74B79"/>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6091"/>
    <w:rsid w:val="00F075CA"/>
    <w:rsid w:val="00F07B77"/>
    <w:rsid w:val="00F07F67"/>
    <w:rsid w:val="00F10A11"/>
    <w:rsid w:val="00F11091"/>
    <w:rsid w:val="00F1235F"/>
    <w:rsid w:val="00F133B0"/>
    <w:rsid w:val="00F14D69"/>
    <w:rsid w:val="00F15557"/>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7022A"/>
    <w:rsid w:val="00F70B5C"/>
    <w:rsid w:val="00F71ED5"/>
    <w:rsid w:val="00F72A13"/>
    <w:rsid w:val="00F72BD0"/>
    <w:rsid w:val="00F72CF2"/>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18C9"/>
    <w:rsid w:val="00FA1918"/>
    <w:rsid w:val="00FA2470"/>
    <w:rsid w:val="00FA4B4A"/>
    <w:rsid w:val="00FA6C21"/>
    <w:rsid w:val="00FB2202"/>
    <w:rsid w:val="00FB4030"/>
    <w:rsid w:val="00FB5762"/>
    <w:rsid w:val="00FB796B"/>
    <w:rsid w:val="00FC3B1A"/>
    <w:rsid w:val="00FC4E6D"/>
    <w:rsid w:val="00FC5107"/>
    <w:rsid w:val="00FC514A"/>
    <w:rsid w:val="00FC5711"/>
    <w:rsid w:val="00FC6729"/>
    <w:rsid w:val="00FD0CCC"/>
    <w:rsid w:val="00FD1A61"/>
    <w:rsid w:val="00FD27EE"/>
    <w:rsid w:val="00FD3FC8"/>
    <w:rsid w:val="00FD5728"/>
    <w:rsid w:val="00FD74F7"/>
    <w:rsid w:val="00FE0475"/>
    <w:rsid w:val="00FE2209"/>
    <w:rsid w:val="00FE28E0"/>
    <w:rsid w:val="00FE2F1E"/>
    <w:rsid w:val="00FE3B14"/>
    <w:rsid w:val="00FE3C62"/>
    <w:rsid w:val="00FE4218"/>
    <w:rsid w:val="00FE475C"/>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A2638"/>
    <w:pPr>
      <w:spacing w:before="120" w:after="0" w:line="240" w:lineRule="auto"/>
      <w:jc w:val="both"/>
    </w:pPr>
    <w:rPr>
      <w:rFonts w:ascii="Times New Roman" w:eastAsia="Times New Roman" w:hAnsi="Times New Roman" w:cs="Times New Roman"/>
      <w:kern w:val="0"/>
      <w:szCs w:val="24"/>
      <w14:ligatures w14:val="none"/>
    </w:rPr>
  </w:style>
  <w:style w:type="paragraph" w:styleId="1">
    <w:name w:val="heading 1"/>
    <w:basedOn w:val="a0"/>
    <w:next w:val="a0"/>
    <w:link w:val="10"/>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14:ligatures w14:val="standardContextual"/>
    </w:rPr>
  </w:style>
  <w:style w:type="paragraph" w:styleId="2">
    <w:name w:val="heading 2"/>
    <w:basedOn w:val="a0"/>
    <w:next w:val="a0"/>
    <w:link w:val="20"/>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3">
    <w:name w:val="heading 3"/>
    <w:basedOn w:val="a0"/>
    <w:next w:val="a0"/>
    <w:link w:val="30"/>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4">
    <w:name w:val="heading 4"/>
    <w:basedOn w:val="a0"/>
    <w:next w:val="a0"/>
    <w:link w:val="40"/>
    <w:unhideWhenUsed/>
    <w:qFormat/>
    <w:rsid w:val="00310608"/>
    <w:pPr>
      <w:keepNext/>
      <w:spacing w:after="120"/>
      <w:ind w:left="567" w:hanging="567"/>
      <w:outlineLvl w:val="3"/>
    </w:pPr>
    <w:rPr>
      <w:rFonts w:eastAsiaTheme="majorEastAsia"/>
      <w:b/>
      <w:bCs/>
    </w:rPr>
  </w:style>
  <w:style w:type="paragraph" w:styleId="5">
    <w:name w:val="heading 5"/>
    <w:basedOn w:val="a0"/>
    <w:next w:val="a0"/>
    <w:link w:val="50"/>
    <w:uiPriority w:val="9"/>
    <w:unhideWhenUsed/>
    <w:qFormat/>
    <w:rsid w:val="00310608"/>
    <w:pPr>
      <w:keepNext/>
      <w:spacing w:after="120"/>
      <w:ind w:left="567" w:hanging="567"/>
      <w:outlineLvl w:val="4"/>
    </w:pPr>
    <w:rPr>
      <w:rFonts w:eastAsiaTheme="majorEastAsia"/>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Item">
    <w:name w:val="Item"/>
    <w:basedOn w:val="a4"/>
    <w:qFormat/>
    <w:rsid w:val="00657ED6"/>
    <w:pPr>
      <w:suppressLineNumbers/>
      <w:suppressAutoHyphens/>
      <w:spacing w:line="240" w:lineRule="auto"/>
    </w:pPr>
    <w:rPr>
      <w:rFonts w:ascii="Times New Roman" w:eastAsia="Times New Roman" w:hAnsi="Times New Roman" w:cs="Times New Roman"/>
      <w:b/>
      <w:iCs/>
      <w:snapToGrid w:val="0"/>
      <w:kern w:val="22"/>
      <w:sz w:val="24"/>
      <w14:ligatures w14:val="none"/>
    </w:rPr>
  </w:style>
  <w:style w:type="paragraph" w:styleId="a4">
    <w:name w:val="Body Text"/>
    <w:basedOn w:val="a0"/>
    <w:link w:val="a5"/>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a5">
    <w:name w:val="Основной текст Знак"/>
    <w:basedOn w:val="a1"/>
    <w:link w:val="a4"/>
    <w:uiPriority w:val="99"/>
    <w:semiHidden/>
    <w:rsid w:val="00657ED6"/>
  </w:style>
  <w:style w:type="paragraph" w:styleId="a6">
    <w:name w:val="Title"/>
    <w:basedOn w:val="a0"/>
    <w:next w:val="a0"/>
    <w:link w:val="a7"/>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7">
    <w:name w:val="Заголовок Знак"/>
    <w:basedOn w:val="a1"/>
    <w:link w:val="a6"/>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10">
    <w:name w:val="Заголовок 1 Знак"/>
    <w:basedOn w:val="a1"/>
    <w:link w:val="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a0"/>
    <w:rsid w:val="00202BFD"/>
    <w:pPr>
      <w:ind w:right="3119"/>
      <w:jc w:val="left"/>
    </w:pPr>
    <w:rPr>
      <w:b/>
      <w:sz w:val="24"/>
    </w:rPr>
  </w:style>
  <w:style w:type="table" w:customStyle="1" w:styleId="TableGrid1">
    <w:name w:val="Table Grid1"/>
    <w:basedOn w:val="a2"/>
    <w:next w:val="a8"/>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2"/>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a9">
    <w:name w:val="footnote text"/>
    <w:aliases w:val="fn,Geneva 9,Font: Geneva 9,Boston 10,f,ft,Fotnotstext Char,ft Char,single space,footnote text,FOOTNOTES,ADB,single space1,footnote text1,FOOTNOTES1,fn1,ADB1,single space2,footnote text2,FOOTNOTES2,fn2,ADB2,single space3,fn3,footnote text3"/>
    <w:basedOn w:val="a0"/>
    <w:link w:val="aa"/>
    <w:uiPriority w:val="99"/>
    <w:unhideWhenUsed/>
    <w:qFormat/>
    <w:rsid w:val="00A96B21"/>
    <w:rPr>
      <w:sz w:val="20"/>
      <w:szCs w:val="20"/>
    </w:rPr>
  </w:style>
  <w:style w:type="character" w:customStyle="1" w:styleId="aa">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1"/>
    <w:link w:val="a9"/>
    <w:uiPriority w:val="99"/>
    <w:qFormat/>
    <w:rsid w:val="00A96B21"/>
    <w:rPr>
      <w:rFonts w:ascii="Times New Roman" w:eastAsia="Times New Roman" w:hAnsi="Times New Roman" w:cs="Times New Roman"/>
      <w:kern w:val="0"/>
      <w:sz w:val="20"/>
      <w:szCs w:val="20"/>
      <w:lang w:val="ru-RU"/>
      <w14:ligatures w14:val="none"/>
    </w:rPr>
  </w:style>
  <w:style w:type="character" w:styleId="ab">
    <w:name w:val="footnote reference"/>
    <w:aliases w:val="ftref,16 Point,Superscript 6 Point,(Ref. de nota al pie),Footnote Reference Number,fr,(NECG) Footnote Reference,Ref,de nota al pie,footnote ref,Footnote Ref in FtNote,BVI fnr,Superscript 6 Point + 11 pt,Style 24,o,SUPERS,number"/>
    <w:basedOn w:val="a1"/>
    <w:link w:val="BVIfnrChar"/>
    <w:uiPriority w:val="99"/>
    <w:unhideWhenUsed/>
    <w:qFormat/>
    <w:rsid w:val="00A96B21"/>
    <w:rPr>
      <w:vertAlign w:val="superscript"/>
    </w:rPr>
  </w:style>
  <w:style w:type="paragraph" w:customStyle="1" w:styleId="Footnote">
    <w:name w:val="Footnote"/>
    <w:basedOn w:val="a9"/>
    <w:qFormat/>
    <w:rsid w:val="00D71FFB"/>
    <w:rPr>
      <w:sz w:val="18"/>
      <w:szCs w:val="18"/>
    </w:rPr>
  </w:style>
  <w:style w:type="paragraph" w:customStyle="1" w:styleId="Cornernotation-Item">
    <w:name w:val="Corner notation - Item"/>
    <w:basedOn w:val="Venuedate"/>
    <w:qFormat/>
    <w:rsid w:val="00A96B21"/>
    <w:rPr>
      <w:b/>
    </w:rPr>
  </w:style>
  <w:style w:type="paragraph" w:styleId="ac">
    <w:name w:val="Subtitle"/>
    <w:basedOn w:val="a0"/>
    <w:next w:val="a0"/>
    <w:link w:val="ad"/>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d">
    <w:name w:val="Подзаголовок Знак"/>
    <w:basedOn w:val="a1"/>
    <w:link w:val="ac"/>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a0"/>
    <w:qFormat/>
    <w:rsid w:val="002D4C0A"/>
    <w:pPr>
      <w:numPr>
        <w:numId w:val="50"/>
      </w:numPr>
      <w:tabs>
        <w:tab w:val="left" w:pos="1134"/>
      </w:tabs>
      <w:spacing w:after="120"/>
      <w:ind w:left="567" w:firstLine="0"/>
    </w:pPr>
  </w:style>
  <w:style w:type="character" w:customStyle="1" w:styleId="20">
    <w:name w:val="Заголовок 2 Знак"/>
    <w:basedOn w:val="a1"/>
    <w:link w:val="2"/>
    <w:uiPriority w:val="9"/>
    <w:rsid w:val="007C77BC"/>
    <w:rPr>
      <w:rFonts w:ascii="Times New Roman" w:eastAsiaTheme="majorEastAsia" w:hAnsi="Times New Roman" w:cstheme="majorBidi"/>
      <w:b/>
      <w:kern w:val="0"/>
      <w:sz w:val="24"/>
      <w:szCs w:val="26"/>
      <w:lang w:val="ru-RU"/>
      <w14:ligatures w14:val="none"/>
    </w:rPr>
  </w:style>
  <w:style w:type="character" w:styleId="ae">
    <w:name w:val="Placeholder Text"/>
    <w:basedOn w:val="a1"/>
    <w:uiPriority w:val="99"/>
    <w:rsid w:val="00995DDC"/>
    <w:rPr>
      <w:color w:val="808080"/>
    </w:rPr>
  </w:style>
  <w:style w:type="paragraph" w:styleId="af">
    <w:name w:val="header"/>
    <w:basedOn w:val="a0"/>
    <w:link w:val="af0"/>
    <w:unhideWhenUsed/>
    <w:rsid w:val="00D71FFB"/>
    <w:pPr>
      <w:tabs>
        <w:tab w:val="center" w:pos="4680"/>
        <w:tab w:val="right" w:pos="9360"/>
      </w:tabs>
    </w:pPr>
    <w:rPr>
      <w:caps/>
    </w:rPr>
  </w:style>
  <w:style w:type="character" w:customStyle="1" w:styleId="af0">
    <w:name w:val="Верхний колонтитул Знак"/>
    <w:basedOn w:val="a1"/>
    <w:link w:val="af"/>
    <w:rsid w:val="00D71FFB"/>
    <w:rPr>
      <w:rFonts w:ascii="Times New Roman" w:eastAsia="Times New Roman" w:hAnsi="Times New Roman" w:cs="Times New Roman"/>
      <w:caps/>
      <w:kern w:val="0"/>
      <w:szCs w:val="24"/>
      <w:lang w:val="ru-RU"/>
      <w14:ligatures w14:val="none"/>
    </w:rPr>
  </w:style>
  <w:style w:type="paragraph" w:styleId="af1">
    <w:name w:val="footer"/>
    <w:basedOn w:val="a0"/>
    <w:link w:val="af2"/>
    <w:uiPriority w:val="99"/>
    <w:unhideWhenUsed/>
    <w:rsid w:val="002B559C"/>
    <w:pPr>
      <w:tabs>
        <w:tab w:val="center" w:pos="4680"/>
        <w:tab w:val="right" w:pos="9360"/>
      </w:tabs>
    </w:pPr>
  </w:style>
  <w:style w:type="character" w:customStyle="1" w:styleId="af2">
    <w:name w:val="Нижний колонтитул Знак"/>
    <w:basedOn w:val="a1"/>
    <w:link w:val="af1"/>
    <w:uiPriority w:val="99"/>
    <w:rsid w:val="002B559C"/>
    <w:rPr>
      <w:rFonts w:ascii="Times New Roman" w:eastAsia="Times New Roman" w:hAnsi="Times New Roman" w:cs="Times New Roman"/>
      <w:kern w:val="0"/>
      <w:szCs w:val="24"/>
      <w:lang w:val="ru-RU"/>
      <w14:ligatures w14:val="none"/>
    </w:rPr>
  </w:style>
  <w:style w:type="character" w:customStyle="1" w:styleId="30">
    <w:name w:val="Заголовок 3 Знак"/>
    <w:basedOn w:val="a1"/>
    <w:link w:val="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a0"/>
    <w:qFormat/>
    <w:rsid w:val="003C6F10"/>
    <w:rPr>
      <w:b/>
      <w:sz w:val="28"/>
    </w:rPr>
  </w:style>
  <w:style w:type="paragraph" w:customStyle="1" w:styleId="Para3">
    <w:name w:val="Para 3"/>
    <w:basedOn w:val="a0"/>
    <w:qFormat/>
    <w:rsid w:val="002B00CA"/>
    <w:pPr>
      <w:numPr>
        <w:numId w:val="4"/>
      </w:numPr>
      <w:tabs>
        <w:tab w:val="left" w:pos="1701"/>
      </w:tabs>
      <w:spacing w:after="120"/>
      <w:ind w:left="1134" w:firstLine="0"/>
    </w:pPr>
  </w:style>
  <w:style w:type="character" w:customStyle="1" w:styleId="40">
    <w:name w:val="Заголовок 4 Знак"/>
    <w:basedOn w:val="a1"/>
    <w:link w:val="4"/>
    <w:rsid w:val="00310608"/>
    <w:rPr>
      <w:rFonts w:ascii="Times New Roman" w:eastAsiaTheme="majorEastAsia" w:hAnsi="Times New Roman" w:cs="Times New Roman"/>
      <w:b/>
      <w:bCs/>
      <w:kern w:val="0"/>
      <w:szCs w:val="24"/>
      <w:lang w:val="ru-RU"/>
      <w14:ligatures w14:val="none"/>
    </w:rPr>
  </w:style>
  <w:style w:type="character" w:customStyle="1" w:styleId="50">
    <w:name w:val="Заголовок 5 Знак"/>
    <w:basedOn w:val="a1"/>
    <w:link w:val="5"/>
    <w:uiPriority w:val="9"/>
    <w:rsid w:val="00310608"/>
    <w:rPr>
      <w:rFonts w:ascii="Times New Roman" w:eastAsiaTheme="majorEastAsia" w:hAnsi="Times New Roman" w:cs="Times New Roman"/>
      <w:i/>
      <w:iCs/>
      <w:kern w:val="0"/>
      <w:szCs w:val="24"/>
      <w:lang w:val="ru-RU"/>
      <w14:ligatures w14:val="none"/>
    </w:rPr>
  </w:style>
  <w:style w:type="character" w:styleId="af3">
    <w:name w:val="annotation reference"/>
    <w:basedOn w:val="a1"/>
    <w:unhideWhenUsed/>
    <w:qFormat/>
    <w:rsid w:val="00CF70AB"/>
    <w:rPr>
      <w:sz w:val="16"/>
      <w:szCs w:val="16"/>
    </w:rPr>
  </w:style>
  <w:style w:type="paragraph" w:styleId="af4">
    <w:name w:val="annotation text"/>
    <w:basedOn w:val="a0"/>
    <w:link w:val="af5"/>
    <w:unhideWhenUsed/>
    <w:qFormat/>
    <w:rsid w:val="00CF70AB"/>
    <w:rPr>
      <w:sz w:val="20"/>
      <w:szCs w:val="20"/>
    </w:rPr>
  </w:style>
  <w:style w:type="character" w:customStyle="1" w:styleId="af5">
    <w:name w:val="Текст примечания Знак"/>
    <w:basedOn w:val="a1"/>
    <w:link w:val="af4"/>
    <w:qFormat/>
    <w:rsid w:val="00CF70AB"/>
    <w:rPr>
      <w:rFonts w:ascii="Times New Roman" w:eastAsia="Times New Roman" w:hAnsi="Times New Roman" w:cs="Times New Roman"/>
      <w:kern w:val="0"/>
      <w:sz w:val="20"/>
      <w:szCs w:val="20"/>
      <w:lang w:val="ru-RU"/>
      <w14:ligatures w14:val="none"/>
    </w:rPr>
  </w:style>
  <w:style w:type="paragraph" w:styleId="af6">
    <w:name w:val="annotation subject"/>
    <w:basedOn w:val="af4"/>
    <w:next w:val="af4"/>
    <w:link w:val="af7"/>
    <w:uiPriority w:val="99"/>
    <w:semiHidden/>
    <w:unhideWhenUsed/>
    <w:rsid w:val="00CF70AB"/>
    <w:rPr>
      <w:b/>
      <w:bCs/>
    </w:rPr>
  </w:style>
  <w:style w:type="character" w:customStyle="1" w:styleId="af7">
    <w:name w:val="Тема примечания Знак"/>
    <w:basedOn w:val="af5"/>
    <w:link w:val="af6"/>
    <w:uiPriority w:val="99"/>
    <w:semiHidden/>
    <w:rsid w:val="00CF70AB"/>
    <w:rPr>
      <w:rFonts w:ascii="Times New Roman" w:eastAsia="Times New Roman" w:hAnsi="Times New Roman" w:cs="Times New Roman"/>
      <w:b/>
      <w:bCs/>
      <w:kern w:val="0"/>
      <w:sz w:val="20"/>
      <w:szCs w:val="20"/>
      <w:lang w:val="ru-RU"/>
      <w14:ligatures w14:val="none"/>
    </w:rPr>
  </w:style>
  <w:style w:type="character" w:styleId="af8">
    <w:name w:val="Hyperlink"/>
    <w:basedOn w:val="a1"/>
    <w:uiPriority w:val="99"/>
    <w:unhideWhenUsed/>
    <w:rsid w:val="002D7251"/>
    <w:rPr>
      <w:color w:val="0563C1" w:themeColor="hyperlink"/>
      <w:u w:val="single"/>
    </w:rPr>
  </w:style>
  <w:style w:type="character" w:styleId="af9">
    <w:name w:val="FollowedHyperlink"/>
    <w:basedOn w:val="a1"/>
    <w:uiPriority w:val="99"/>
    <w:semiHidden/>
    <w:unhideWhenUsed/>
    <w:rsid w:val="007E157A"/>
    <w:rPr>
      <w:color w:val="954F72" w:themeColor="followedHyperlink"/>
      <w:u w:val="single"/>
    </w:rPr>
  </w:style>
  <w:style w:type="character" w:styleId="afa">
    <w:name w:val="Strong"/>
    <w:basedOn w:val="a1"/>
    <w:uiPriority w:val="22"/>
    <w:qFormat/>
    <w:rsid w:val="00894E5F"/>
    <w:rPr>
      <w:b/>
      <w:bCs/>
    </w:rPr>
  </w:style>
  <w:style w:type="paragraph" w:styleId="a">
    <w:name w:val="List Paragraph"/>
    <w:aliases w:val="Unordered List,List Paragraph 2,Dot pt,F5 List Paragraph,List Paragraph1,No Spacing1,List Paragraph Char Char Char,Indicator Text,Numbered Para 1,List Paragraph12,Bullet Points,MAIN CONTENT,Bullet 1,table bullets"/>
    <w:basedOn w:val="a0"/>
    <w:link w:val="afb"/>
    <w:uiPriority w:val="34"/>
    <w:qFormat/>
    <w:rsid w:val="00C32A2B"/>
    <w:pPr>
      <w:numPr>
        <w:numId w:val="56"/>
      </w:numPr>
      <w:spacing w:after="160" w:line="259" w:lineRule="auto"/>
      <w:contextualSpacing/>
      <w:jc w:val="left"/>
    </w:pPr>
    <w:rPr>
      <w:rFonts w:eastAsiaTheme="minorEastAsia" w:cstheme="minorBidi"/>
      <w:szCs w:val="22"/>
      <w:lang w:eastAsia="zh-CN"/>
    </w:rPr>
  </w:style>
  <w:style w:type="character" w:styleId="afc">
    <w:name w:val="page number"/>
    <w:basedOn w:val="a1"/>
    <w:uiPriority w:val="99"/>
    <w:semiHidden/>
    <w:unhideWhenUsed/>
    <w:rsid w:val="00894E5F"/>
  </w:style>
  <w:style w:type="character" w:customStyle="1" w:styleId="fontstyle01">
    <w:name w:val="fontstyle01"/>
    <w:basedOn w:val="a1"/>
    <w:rsid w:val="00894E5F"/>
    <w:rPr>
      <w:rFonts w:ascii="Times New Roman" w:hAnsi="Times New Roman" w:cs="Times New Roman" w:hint="default"/>
      <w:b w:val="0"/>
      <w:bCs w:val="0"/>
      <w:i w:val="0"/>
      <w:iCs w:val="0"/>
      <w:color w:val="000000"/>
      <w:sz w:val="22"/>
      <w:szCs w:val="22"/>
    </w:rPr>
  </w:style>
  <w:style w:type="character" w:styleId="afd">
    <w:name w:val="Unresolved Mention"/>
    <w:basedOn w:val="a1"/>
    <w:uiPriority w:val="99"/>
    <w:semiHidden/>
    <w:unhideWhenUsed/>
    <w:rsid w:val="00894E5F"/>
    <w:rPr>
      <w:color w:val="605E5C"/>
      <w:shd w:val="clear" w:color="auto" w:fill="E1DFDD"/>
    </w:rPr>
  </w:style>
  <w:style w:type="paragraph" w:styleId="afe">
    <w:name w:val="Normal (Web)"/>
    <w:basedOn w:val="a0"/>
    <w:uiPriority w:val="99"/>
    <w:unhideWhenUsed/>
    <w:rsid w:val="00894E5F"/>
    <w:pPr>
      <w:spacing w:before="100" w:beforeAutospacing="1" w:after="100" w:afterAutospacing="1"/>
      <w:jc w:val="left"/>
    </w:pPr>
    <w:rPr>
      <w:sz w:val="24"/>
      <w:lang w:eastAsia="zh-CN"/>
    </w:rPr>
  </w:style>
  <w:style w:type="paragraph" w:customStyle="1" w:styleId="bodytextnoindent">
    <w:name w:val="body text (no indent)"/>
    <w:basedOn w:val="a0"/>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zh-CN"/>
      <w14:ligatures w14:val="none"/>
    </w:rPr>
  </w:style>
  <w:style w:type="paragraph" w:styleId="aff">
    <w:name w:val="Revision"/>
    <w:hidden/>
    <w:uiPriority w:val="99"/>
    <w:semiHidden/>
    <w:rsid w:val="00C07B1A"/>
    <w:pPr>
      <w:spacing w:after="0" w:line="240" w:lineRule="auto"/>
    </w:pPr>
    <w:rPr>
      <w:rFonts w:ascii="Times New Roman" w:eastAsia="Times New Roman" w:hAnsi="Times New Roman" w:cs="Times New Roman"/>
      <w:kern w:val="0"/>
      <w:szCs w:val="24"/>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a1"/>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a0"/>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ru-RU"/>
      <w14:ligatures w14:val="none"/>
    </w:rPr>
  </w:style>
  <w:style w:type="paragraph" w:customStyle="1" w:styleId="CharChar12">
    <w:name w:val="Char Char12"/>
    <w:basedOn w:val="a0"/>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0"/>
    <w:link w:val="ab"/>
    <w:uiPriority w:val="99"/>
    <w:qFormat/>
    <w:rsid w:val="00406C9B"/>
    <w:pPr>
      <w:spacing w:after="160" w:line="240" w:lineRule="exact"/>
      <w:ind w:left="357"/>
    </w:pPr>
    <w:rPr>
      <w:rFonts w:asciiTheme="minorHAnsi" w:eastAsiaTheme="minorHAnsi" w:hAnsiTheme="minorHAnsi" w:cstheme="minorBidi"/>
      <w:kern w:val="2"/>
      <w:szCs w:val="22"/>
      <w:vertAlign w:val="superscript"/>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a1"/>
    <w:rsid w:val="0008488C"/>
  </w:style>
  <w:style w:type="paragraph" w:customStyle="1" w:styleId="SingleTxt">
    <w:name w:val="__Single Txt"/>
    <w:basedOn w:val="a0"/>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rPr>
  </w:style>
  <w:style w:type="numbering" w:customStyle="1" w:styleId="CurrentList18">
    <w:name w:val="Current List18"/>
    <w:uiPriority w:val="99"/>
    <w:rsid w:val="00655BD6"/>
    <w:pPr>
      <w:numPr>
        <w:numId w:val="24"/>
      </w:numPr>
    </w:pPr>
  </w:style>
  <w:style w:type="paragraph" w:customStyle="1" w:styleId="References">
    <w:name w:val="References"/>
    <w:basedOn w:val="a0"/>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a1"/>
    <w:link w:val="References"/>
    <w:rsid w:val="00427354"/>
    <w:rPr>
      <w:rFonts w:ascii="Arial" w:eastAsia="Times New Roman" w:hAnsi="Arial" w:cs="Arial"/>
      <w:kern w:val="0"/>
      <w:sz w:val="20"/>
      <w:szCs w:val="24"/>
      <w:lang w:val="ru-RU"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a1"/>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aff0">
    <w:name w:val="Intense Quote"/>
    <w:basedOn w:val="a0"/>
    <w:next w:val="a0"/>
    <w:link w:val="aff1"/>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1">
    <w:name w:val="Выделенная цитата Знак"/>
    <w:basedOn w:val="a1"/>
    <w:link w:val="aff0"/>
    <w:uiPriority w:val="30"/>
    <w:rsid w:val="00C14F84"/>
    <w:rPr>
      <w:rFonts w:ascii="Times New Roman" w:eastAsia="Times New Roman" w:hAnsi="Times New Roman" w:cs="Times New Roman"/>
      <w:i/>
      <w:iCs/>
      <w:color w:val="2F5496" w:themeColor="accent1" w:themeShade="BF"/>
      <w:kern w:val="0"/>
      <w:szCs w:val="24"/>
      <w:lang w:val="ru-RU"/>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aff2">
    <w:name w:val="Balloon Text"/>
    <w:basedOn w:val="a0"/>
    <w:link w:val="aff3"/>
    <w:uiPriority w:val="99"/>
    <w:semiHidden/>
    <w:unhideWhenUsed/>
    <w:rsid w:val="00A32F91"/>
    <w:pPr>
      <w:spacing w:before="0"/>
    </w:pPr>
    <w:rPr>
      <w:rFonts w:ascii="Segoe UI" w:hAnsi="Segoe UI" w:cs="Segoe UI"/>
      <w:sz w:val="18"/>
      <w:szCs w:val="18"/>
    </w:rPr>
  </w:style>
  <w:style w:type="character" w:customStyle="1" w:styleId="aff3">
    <w:name w:val="Текст выноски Знак"/>
    <w:basedOn w:val="a1"/>
    <w:link w:val="aff2"/>
    <w:uiPriority w:val="99"/>
    <w:semiHidden/>
    <w:rsid w:val="00A32F91"/>
    <w:rPr>
      <w:rFonts w:ascii="Segoe UI" w:eastAsia="Times New Roman" w:hAnsi="Segoe UI" w:cs="Segoe UI"/>
      <w:kern w:val="0"/>
      <w:sz w:val="18"/>
      <w:szCs w:val="18"/>
      <w:lang w:val="ru-RU"/>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afb">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
    <w:uiPriority w:val="34"/>
    <w:qFormat/>
    <w:locked/>
    <w:rsid w:val="00D41F6E"/>
    <w:rPr>
      <w:rFonts w:ascii="Times New Roman" w:eastAsiaTheme="minorEastAsia" w:hAnsi="Times New Roman"/>
      <w:kern w:val="0"/>
      <w:lang w:val="ru-RU"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ipbes.net/assessment-reports/pollinators" TargetMode="External"/><Relationship Id="rId26" Type="http://schemas.openxmlformats.org/officeDocument/2006/relationships/hyperlink" Target="https://ipbes.net/sustainable-use-assessment" TargetMode="External"/><Relationship Id="rId3" Type="http://schemas.openxmlformats.org/officeDocument/2006/relationships/customXml" Target="../customXml/item3.xml"/><Relationship Id="rId21" Type="http://schemas.openxmlformats.org/officeDocument/2006/relationships/hyperlink" Target="https://ipbes.net/regional-assessmen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ipbes.net/the-values-assessmen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assessment-reports/ldr" TargetMode="External"/><Relationship Id="rId29" Type="http://schemas.openxmlformats.org/officeDocument/2006/relationships/hyperlink" Target="https://ipbes.net/nex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ipbes.net/events/ipbes-ipcc-co-sponsored-workshop-biodiversity-and-climate-chang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ipbes.net/events/ipbes-workshop-biodiversity-and-pandemics" TargetMode="External"/><Relationship Id="rId28" Type="http://schemas.openxmlformats.org/officeDocument/2006/relationships/hyperlink" Target="https://ipbes.net/invasive-alien-species-assessment" TargetMode="External"/><Relationship Id="rId10" Type="http://schemas.openxmlformats.org/officeDocument/2006/relationships/endnotes" Target="endnotes.xml"/><Relationship Id="rId19" Type="http://schemas.openxmlformats.org/officeDocument/2006/relationships/hyperlink" Target="https://ipbes.net/assessment-reports/scenarios" TargetMode="External"/><Relationship Id="rId31" Type="http://schemas.openxmlformats.org/officeDocument/2006/relationships/hyperlink" Target="https://ipbes.net/business-impa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ipbes.net/global-assessment" TargetMode="External"/><Relationship Id="rId27" Type="http://schemas.openxmlformats.org/officeDocument/2006/relationships/hyperlink" Target="https://zenodo.org/records/8171339" TargetMode="External"/><Relationship Id="rId30" Type="http://schemas.openxmlformats.org/officeDocument/2006/relationships/hyperlink" Target="https://ipbes.net/transformative-change"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www.ipbes.net/notification/external-review-concept-note-policy-support" TargetMode="External"/><Relationship Id="rId1" Type="http://schemas.openxmlformats.org/officeDocument/2006/relationships/hyperlink" Target="http://www.cbd.int/notifications/2024-0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4.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50</TotalTime>
  <Pages>15</Pages>
  <Words>5041</Words>
  <Characters>28736</Characters>
  <Application>Microsoft Office Word</Application>
  <DocSecurity>0</DocSecurity>
  <Lines>239</Lines>
  <Paragraphs>67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33710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CBD/SBSTTA/26/3/Add.1</dc:subject>
  <dc:creator>scbd</dc:creator>
  <cp:keywords/>
  <dc:description/>
  <cp:lastModifiedBy>Sergey Leonov</cp:lastModifiedBy>
  <cp:revision>9</cp:revision>
  <cp:lastPrinted>2024-04-05T17:30:00Z</cp:lastPrinted>
  <dcterms:created xsi:type="dcterms:W3CDTF">2024-04-18T12:02:00Z</dcterms:created>
  <dcterms:modified xsi:type="dcterms:W3CDTF">2024-04-26T16:59:00Z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