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7F7A3FB9">
                  <wp:simplePos x="0" y="0"/>
                  <wp:positionH relativeFrom="column">
                    <wp:posOffset>-743712</wp:posOffset>
                  </wp:positionH>
                  <wp:positionV relativeFrom="paragraph">
                    <wp:posOffset>26125</wp:posOffset>
                  </wp:positionV>
                  <wp:extent cx="1996221" cy="540000"/>
                  <wp:effectExtent l="0" t="0" r="4445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378AA663" w:rsidR="001E3423" w:rsidRPr="005136A5" w:rsidRDefault="00432AC4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BEE9D64" wp14:editId="60E91A50">
                  <wp:simplePos x="0" y="0"/>
                  <wp:positionH relativeFrom="column">
                    <wp:posOffset>429169</wp:posOffset>
                  </wp:positionH>
                  <wp:positionV relativeFrom="paragraph">
                    <wp:posOffset>87267</wp:posOffset>
                  </wp:positionV>
                  <wp:extent cx="475615" cy="391795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2636D6B6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</w:t>
            </w:r>
            <w:r w:rsidR="00BA0FB7">
              <w:rPr>
                <w:sz w:val="22"/>
                <w:szCs w:val="22"/>
              </w:rPr>
              <w:t>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GB" w:eastAsia="en-US"/>
              </w:rPr>
              <w:alias w:val="Subject"/>
              <w:tag w:val=""/>
              <w:id w:val="-1379467044"/>
              <w:placeholder>
                <w:docPart w:val="43F19A3E0602404AB1382A00A2CC46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DF7AB3B" w14:textId="13BE5970" w:rsidR="00E550D7" w:rsidRPr="00E550D7" w:rsidRDefault="00BA0FB7" w:rsidP="00E550D7">
                <w:pPr>
                  <w:rPr>
                    <w:sz w:val="22"/>
                    <w:lang w:val="en-GB" w:eastAsia="en-US"/>
                  </w:rPr>
                </w:pPr>
                <w:r>
                  <w:rPr>
                    <w:sz w:val="22"/>
                    <w:szCs w:val="22"/>
                    <w:lang w:val="en-GB" w:eastAsia="en-US"/>
                  </w:rPr>
                  <w:t>CBD/COP/15/1/Add.5</w:t>
                </w:r>
              </w:p>
            </w:sdtContent>
          </w:sdt>
          <w:p w14:paraId="1CFA54F4" w14:textId="44487330" w:rsidR="001E3423" w:rsidRPr="00FC32BA" w:rsidRDefault="00BA0FB7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6 September 2023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540F64E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ORIGINAL:</w:t>
            </w:r>
            <w:r w:rsidR="00BA0FB7">
              <w:rPr>
                <w:sz w:val="22"/>
                <w:szCs w:val="22"/>
              </w:rPr>
              <w:t xml:space="preserve"> </w:t>
            </w:r>
            <w:r w:rsidRPr="00FC32BA">
              <w:rPr>
                <w:sz w:val="22"/>
                <w:szCs w:val="22"/>
              </w:rPr>
              <w:t>ENGLISH</w:t>
            </w:r>
            <w:r w:rsidR="00BA0F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F37119" w14:textId="20C6E1DB" w:rsidR="00A27159" w:rsidRDefault="00A27159" w:rsidP="004A5236">
      <w:pPr>
        <w:bidi/>
        <w:spacing w:before="60" w:line="21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مؤتمر</w:t>
      </w:r>
      <w:r w:rsidR="00BA0F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الأطراف</w:t>
      </w:r>
      <w:r w:rsidR="00BA0F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BA0F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71CD41BD" w14:textId="07F4A0C1" w:rsidR="001E3423" w:rsidRPr="00A27159" w:rsidRDefault="00E550D7" w:rsidP="00047397">
      <w:pPr>
        <w:bidi/>
        <w:spacing w:line="216" w:lineRule="auto"/>
        <w:ind w:left="289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الاتفاقية</w:t>
      </w:r>
      <w:r w:rsidR="00BA0F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</w:t>
      </w:r>
      <w:r w:rsidR="00BA0F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بالتنوع</w:t>
      </w:r>
      <w:r w:rsidR="00BA0F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البيولوجي</w:t>
      </w:r>
    </w:p>
    <w:p w14:paraId="6A5FE8AB" w14:textId="51689BAB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>الاجتماع</w:t>
      </w:r>
      <w:r w:rsidR="00BA0FB7">
        <w:rPr>
          <w:rFonts w:ascii="Simplified Arabic" w:hAnsi="Simplified Arabic" w:cs="Simplified Arabic"/>
          <w:rtl/>
        </w:rPr>
        <w:t xml:space="preserve"> </w:t>
      </w:r>
      <w:r w:rsidR="00E550D7">
        <w:rPr>
          <w:rFonts w:ascii="Simplified Arabic" w:hAnsi="Simplified Arabic" w:cs="Simplified Arabic" w:hint="cs"/>
          <w:rtl/>
        </w:rPr>
        <w:t>الخامس</w:t>
      </w:r>
      <w:r w:rsidR="00BA0FB7">
        <w:rPr>
          <w:rFonts w:ascii="Simplified Arabic" w:hAnsi="Simplified Arabic" w:cs="Simplified Arabic" w:hint="cs"/>
          <w:rtl/>
        </w:rPr>
        <w:t xml:space="preserve"> </w:t>
      </w:r>
      <w:r w:rsidR="00E550D7">
        <w:rPr>
          <w:rFonts w:ascii="Simplified Arabic" w:hAnsi="Simplified Arabic" w:cs="Simplified Arabic" w:hint="cs"/>
          <w:rtl/>
        </w:rPr>
        <w:t>عشر</w:t>
      </w:r>
      <w:r w:rsidR="00BA0FB7">
        <w:rPr>
          <w:rFonts w:ascii="Simplified Arabic" w:hAnsi="Simplified Arabic" w:cs="Simplified Arabic" w:hint="cs"/>
          <w:rtl/>
        </w:rPr>
        <w:t>، الجزء الثاني المستأنف</w:t>
      </w:r>
    </w:p>
    <w:p w14:paraId="77000DBD" w14:textId="3A920541" w:rsidR="00712AD8" w:rsidRDefault="00BA0FB7" w:rsidP="00BA0FB7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</w:rPr>
        <w:t>نيروبي</w:t>
      </w:r>
      <w:r w:rsidR="00FF674B" w:rsidRPr="00F15332">
        <w:rPr>
          <w:rFonts w:ascii="Simplified Arabic" w:hAnsi="Simplified Arabic" w:cs="Simplified Arabic"/>
          <w:rtl/>
        </w:rPr>
        <w:t>،</w:t>
      </w:r>
      <w:r>
        <w:rPr>
          <w:rFonts w:ascii="Simplified Arabic" w:hAnsi="Simplified Arabic" w:cs="Simplified Arabic" w:hint="cs"/>
          <w:rtl/>
        </w:rPr>
        <w:t xml:space="preserve"> 19 و20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A27159">
        <w:rPr>
          <w:rFonts w:ascii="Simplified Arabic" w:hAnsi="Simplified Arabic" w:cs="Simplified Arabic" w:hint="cs"/>
          <w:rtl/>
          <w:lang w:bidi="ar-EG"/>
        </w:rPr>
        <w:t>أكتوبر/تشرين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A27159">
        <w:rPr>
          <w:rFonts w:ascii="Simplified Arabic" w:hAnsi="Simplified Arabic" w:cs="Simplified Arabic" w:hint="cs"/>
          <w:rtl/>
          <w:lang w:bidi="ar-EG"/>
        </w:rPr>
        <w:t>الأول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D74C52">
        <w:rPr>
          <w:rFonts w:ascii="Simplified Arabic" w:hAnsi="Simplified Arabic" w:cs="Simplified Arabic" w:hint="cs"/>
          <w:rtl/>
          <w:lang w:bidi="ar-EG"/>
        </w:rPr>
        <w:t>20</w:t>
      </w:r>
      <w:r>
        <w:rPr>
          <w:rFonts w:ascii="Simplified Arabic" w:hAnsi="Simplified Arabic" w:cs="Simplified Arabic" w:hint="cs"/>
          <w:rtl/>
          <w:lang w:bidi="ar-EG"/>
        </w:rPr>
        <w:t>23</w:t>
      </w:r>
    </w:p>
    <w:p w14:paraId="3D435B44" w14:textId="4D22AD68" w:rsidR="00BA0FB7" w:rsidRPr="00F15332" w:rsidRDefault="00BA0FB7" w:rsidP="00BA0FB7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البند 2 من جدول الأعمال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29C10EC6" w:rsidR="00C5766C" w:rsidRDefault="00BA0FB7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شروح </w:t>
      </w:r>
      <w:r w:rsidR="00D74C52" w:rsidRPr="005821E4">
        <w:rPr>
          <w:rFonts w:cs="Simplified Arabic" w:hint="cs"/>
          <w:b/>
          <w:bCs/>
          <w:szCs w:val="28"/>
          <w:rtl/>
        </w:rPr>
        <w:t>جدول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D74C52" w:rsidRPr="005821E4">
        <w:rPr>
          <w:rFonts w:cs="Simplified Arabic" w:hint="cs"/>
          <w:b/>
          <w:bCs/>
          <w:szCs w:val="28"/>
          <w:rtl/>
        </w:rPr>
        <w:t>الأعمال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D74C52" w:rsidRPr="005821E4">
        <w:rPr>
          <w:rFonts w:cs="Simplified Arabic" w:hint="cs"/>
          <w:b/>
          <w:bCs/>
          <w:szCs w:val="28"/>
          <w:rtl/>
        </w:rPr>
        <w:t>المؤقت</w:t>
      </w:r>
    </w:p>
    <w:p w14:paraId="5E70CAA2" w14:textId="48C18F17" w:rsidR="00A27159" w:rsidRPr="00BA0FB7" w:rsidRDefault="00BA0FB7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  <w:rtl/>
        </w:rPr>
      </w:pPr>
      <w:r>
        <w:rPr>
          <w:rFonts w:cs="Simplified Arabic" w:hint="cs"/>
          <w:b/>
          <w:bCs/>
          <w:sz w:val="22"/>
          <w:rtl/>
        </w:rPr>
        <w:t>مقدمة</w:t>
      </w:r>
    </w:p>
    <w:p w14:paraId="3B4A59A5" w14:textId="77777777" w:rsidR="001E3423" w:rsidRPr="00B45A2D" w:rsidRDefault="001E3423" w:rsidP="00D74C52">
      <w:pPr>
        <w:bidi/>
        <w:spacing w:line="216" w:lineRule="auto"/>
        <w:rPr>
          <w:rFonts w:cs="Simplified Arabic"/>
          <w:sz w:val="22"/>
        </w:rPr>
      </w:pPr>
    </w:p>
    <w:p w14:paraId="45D75C15" w14:textId="0A9E74ED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بناء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دعوة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حكومة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الصين،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قرره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الاتفاقية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مقرره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hyperlink r:id="rId11" w:history="1">
        <w:r w:rsidRPr="003E052A">
          <w:rPr>
            <w:rStyle w:val="Hyperlink"/>
            <w:rFonts w:eastAsia="YouYuan" w:cs="Simplified Arabic"/>
            <w:kern w:val="2"/>
            <w:sz w:val="22"/>
            <w:rtl/>
            <w:lang w:val="en-US" w:eastAsia="en-US" w:bidi="ar-EG"/>
          </w:rPr>
          <w:t>13/33</w:t>
        </w:r>
      </w:hyperlink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المقرر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كونمينغ،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الصين،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</w:t>
      </w:r>
      <w:r w:rsidR="003E052A">
        <w:rPr>
          <w:rFonts w:eastAsia="YouYuan" w:cs="Simplified Arabic" w:hint="cs"/>
          <w:kern w:val="2"/>
          <w:sz w:val="22"/>
          <w:rtl/>
          <w:lang w:val="en-US" w:eastAsia="en-US" w:bidi="ar-EG"/>
        </w:rPr>
        <w:t>/تشرين 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2020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3E052A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وكان من المقرر عقد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بروتوكول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قرطاجنة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للسلامة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الأحيائية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الرابع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بروتوكول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ناغويا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بشأن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</w:t>
      </w:r>
      <w:r w:rsidR="003E052A">
        <w:rPr>
          <w:rFonts w:eastAsia="YouYuan" w:cs="Simplified Arabic" w:hint="cs"/>
          <w:kern w:val="2"/>
          <w:sz w:val="22"/>
          <w:rtl/>
          <w:lang w:val="en-US" w:eastAsia="en-US" w:bidi="ar-EG"/>
        </w:rPr>
        <w:t>ح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3E052A">
        <w:rPr>
          <w:rFonts w:eastAsia="YouYuan" w:cs="Simplified Arabic" w:hint="cs"/>
          <w:kern w:val="2"/>
          <w:sz w:val="22"/>
          <w:rtl/>
          <w:lang w:val="en-US" w:eastAsia="en-US" w:bidi="ar-EG"/>
        </w:rPr>
        <w:t>ع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الموارد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3E052A">
        <w:rPr>
          <w:rFonts w:eastAsia="YouYuan" w:cs="Simplified Arabic"/>
          <w:kern w:val="2"/>
          <w:sz w:val="22"/>
          <w:rtl/>
          <w:lang w:val="en-US" w:eastAsia="en-US" w:bidi="ar-EG"/>
        </w:rPr>
        <w:t>الجينية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والتقاسم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العادل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والمنصف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للمنافع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الناشئة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استخدامها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بالتزامن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ولكن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بسبب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جائحة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فيروس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كورونا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(كوفيد-19)،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تأجيل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71F47548" w14:textId="34574855" w:rsidR="00BA0FB7" w:rsidRPr="00BA0FB7" w:rsidRDefault="0027286F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وبناء على ا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لاتفاق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الاجتماعات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جزأين،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ومع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مراعاة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ضرورة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قبل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نهاية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عام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2022،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</w:t>
      </w:r>
      <w:r w:rsidR="003E052A">
        <w:rPr>
          <w:rFonts w:eastAsia="YouYuan" w:cs="Simplified Arabic" w:hint="cs"/>
          <w:kern w:val="2"/>
          <w:sz w:val="22"/>
          <w:rtl/>
          <w:lang w:val="en-US" w:eastAsia="en-US" w:bidi="ar-EG"/>
        </w:rPr>
        <w:t>ُ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الاجتماعات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الثلاثة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بصيغة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مختلطة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،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عبر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الإنترنت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D35F3"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بالحضور الشخصي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كونمينغ،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الفترة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11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15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/تشرين 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2021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وعُقد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بالحضور ال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شخصي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مونتريال،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كندا،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الفترة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7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19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ديسمبر</w:t>
      </w:r>
      <w:r w:rsidR="003E052A">
        <w:rPr>
          <w:rFonts w:eastAsia="YouYuan" w:cs="Simplified Arabic" w:hint="cs"/>
          <w:kern w:val="2"/>
          <w:sz w:val="22"/>
          <w:rtl/>
          <w:lang w:val="en-US" w:eastAsia="en-US" w:bidi="ar-EG"/>
        </w:rPr>
        <w:t>/كانون 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2022؛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ولكن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بسبب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عقبات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إجرائية،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تعليق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قبل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الانتهاء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بعض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بنود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4A443B53" w14:textId="4B356C69" w:rsidR="00BA0FB7" w:rsidRPr="00BA0FB7" w:rsidRDefault="0027286F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وبناء على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قرار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مكتب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الذي عُقد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31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يوليو/تموز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ُ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يومي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19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و20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أكتوبر/تشرين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نيروبي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،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بالتعاقب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والعشرين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للهيئة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الفرعية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للمشورة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العلمية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والتقنية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والتكنولوجية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36A4B5D8" w14:textId="448C9755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أُقر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أعمال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F91BD2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1"/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 وت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حتوي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هذه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الوثيقة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شروح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بنود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تناولها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تلك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يجر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فيها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إكمالها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67E0FF60" w14:textId="15B808C2" w:rsidR="00BA0FB7" w:rsidRPr="00BA0FB7" w:rsidRDefault="00BA0FB7" w:rsidP="00BA0F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lastRenderedPageBreak/>
        <w:t>أولا-</w:t>
      </w:r>
      <w:r>
        <w:rPr>
          <w:rFonts w:cs="Simplified Arabic"/>
          <w:b/>
          <w:bCs/>
          <w:szCs w:val="28"/>
          <w:rtl/>
        </w:rPr>
        <w:tab/>
      </w:r>
      <w:r w:rsidRPr="00BA0FB7">
        <w:rPr>
          <w:rFonts w:cs="Simplified Arabic"/>
          <w:b/>
          <w:bCs/>
          <w:szCs w:val="28"/>
          <w:rtl/>
        </w:rPr>
        <w:t>المسائل التنظيمية</w:t>
      </w:r>
    </w:p>
    <w:p w14:paraId="3DB1F2E5" w14:textId="7217DE7F" w:rsidR="00BA0FB7" w:rsidRPr="00BA0FB7" w:rsidRDefault="00BA0FB7" w:rsidP="00BA0F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BA0FB7">
        <w:rPr>
          <w:rFonts w:cs="Simplified Arabic"/>
          <w:b/>
          <w:bCs/>
          <w:sz w:val="22"/>
          <w:rtl/>
        </w:rPr>
        <w:t>البند 1</w:t>
      </w:r>
      <w:r>
        <w:rPr>
          <w:rFonts w:cs="Simplified Arabic" w:hint="cs"/>
          <w:b/>
          <w:bCs/>
          <w:sz w:val="22"/>
          <w:rtl/>
        </w:rPr>
        <w:t>-</w:t>
      </w:r>
      <w:r>
        <w:rPr>
          <w:rFonts w:cs="Simplified Arabic"/>
          <w:b/>
          <w:bCs/>
          <w:sz w:val="22"/>
          <w:rtl/>
        </w:rPr>
        <w:tab/>
      </w:r>
      <w:r w:rsidRPr="00BA0FB7">
        <w:rPr>
          <w:rFonts w:cs="Simplified Arabic"/>
          <w:b/>
          <w:bCs/>
          <w:sz w:val="22"/>
          <w:rtl/>
        </w:rPr>
        <w:t>افتتاح الاجتماع</w:t>
      </w:r>
    </w:p>
    <w:p w14:paraId="6EC0200B" w14:textId="150473BE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سيبدأ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الساعة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3 ظهرا يوم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19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/تشرين 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5B9A3291" w14:textId="29F564B3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سيفتتح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يمثله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4592C628" w14:textId="5E5991F4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/>
          <w:kern w:val="2"/>
          <w:sz w:val="22"/>
          <w:rtl/>
          <w:lang w:val="en-US" w:eastAsia="en-US" w:bidi="ar-EG"/>
        </w:rPr>
        <w:t>و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س</w:t>
      </w:r>
      <w:r w:rsidR="00F04E1B">
        <w:rPr>
          <w:rFonts w:eastAsia="YouYuan" w:cs="Simplified Arabic" w:hint="cs"/>
          <w:kern w:val="2"/>
          <w:sz w:val="22"/>
          <w:rtl/>
          <w:lang w:val="en-US" w:eastAsia="en-US" w:bidi="ar-EG"/>
        </w:rPr>
        <w:t>ي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لقي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التنفيذي</w:t>
      </w:r>
      <w:r w:rsidR="00F04E1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بالإنابة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كلمة أمام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المشاركين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</w:t>
      </w:r>
      <w:r w:rsidR="00F04E1B">
        <w:rPr>
          <w:rFonts w:eastAsia="YouYuan" w:cs="Simplified Arabic" w:hint="cs"/>
          <w:kern w:val="2"/>
          <w:sz w:val="22"/>
          <w:rtl/>
          <w:lang w:val="en-US" w:eastAsia="en-US" w:bidi="ar-EG"/>
        </w:rPr>
        <w:t>ي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الغرض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2AC8D26F" w14:textId="7EDBB996" w:rsidR="00BA0FB7" w:rsidRPr="00BA0FB7" w:rsidRDefault="00882FAF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وسيُفتتح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بروتوكول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قرطاجنة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الرابع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ل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بروتوكول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ناغويا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بالتزامن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افتتاح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753DC75C" w14:textId="0854697F" w:rsidR="00BA0FB7" w:rsidRPr="00BA0FB7" w:rsidRDefault="00BA0FB7" w:rsidP="00BA0F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BA0FB7">
        <w:rPr>
          <w:rFonts w:cs="Simplified Arabic"/>
          <w:b/>
          <w:bCs/>
          <w:sz w:val="22"/>
          <w:rtl/>
        </w:rPr>
        <w:t>البند 2</w:t>
      </w:r>
      <w:r>
        <w:rPr>
          <w:rFonts w:cs="Simplified Arabic" w:hint="cs"/>
          <w:b/>
          <w:bCs/>
          <w:sz w:val="22"/>
          <w:rtl/>
        </w:rPr>
        <w:t>-</w:t>
      </w:r>
      <w:r>
        <w:rPr>
          <w:rFonts w:cs="Simplified Arabic"/>
          <w:b/>
          <w:bCs/>
          <w:sz w:val="22"/>
          <w:rtl/>
        </w:rPr>
        <w:tab/>
      </w:r>
      <w:r w:rsidRPr="00BA0FB7">
        <w:rPr>
          <w:rFonts w:cs="Simplified Arabic"/>
          <w:b/>
          <w:bCs/>
          <w:sz w:val="22"/>
          <w:rtl/>
        </w:rPr>
        <w:t>المسائل التنظيمية</w:t>
      </w:r>
    </w:p>
    <w:p w14:paraId="5E1608DC" w14:textId="176ECA29" w:rsidR="00BA0FB7" w:rsidRPr="00BA0FB7" w:rsidRDefault="00BA0FB7" w:rsidP="00BA0FB7">
      <w:pPr>
        <w:keepNext/>
        <w:keepLines/>
        <w:bidi/>
        <w:spacing w:after="100" w:line="216" w:lineRule="auto"/>
        <w:jc w:val="both"/>
        <w:rPr>
          <w:rFonts w:eastAsia="YouYuan" w:cs="Simplified Arabic"/>
          <w:i/>
          <w:iCs/>
          <w:kern w:val="2"/>
          <w:sz w:val="22"/>
          <w:lang w:val="en-US" w:eastAsia="en-US" w:bidi="ar-EG"/>
        </w:rPr>
      </w:pPr>
      <w:r w:rsidRPr="00BA0FB7">
        <w:rPr>
          <w:rFonts w:eastAsia="YouYuan" w:cs="Simplified Arabic" w:hint="cs"/>
          <w:i/>
          <w:iCs/>
          <w:kern w:val="2"/>
          <w:sz w:val="22"/>
          <w:rtl/>
          <w:lang w:val="en-US" w:eastAsia="en-US" w:bidi="ar-EG"/>
        </w:rPr>
        <w:t>أعضاء المكتب</w:t>
      </w:r>
    </w:p>
    <w:p w14:paraId="0E5EC441" w14:textId="464943FC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سيستمر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وهو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وزير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الإيكولوجيا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والبيئة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الصين،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رونكيو</w:t>
      </w:r>
      <w:proofErr w:type="spellEnd"/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هوانغ،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العمل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خلال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وحتى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جديد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افتتاح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السادس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21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نظامه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الداخلي،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الرابع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10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نواب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ممثلي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الحاضرين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لفترة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عضوية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تبدأ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الرابع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وت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نتهي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ذلك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استبدال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ثلاثة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أعضاء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ظل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منصب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واحد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شاغرا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انتظار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تسمية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عضو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بديل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</w:t>
      </w:r>
      <w:r w:rsidR="00F91BD2">
        <w:rPr>
          <w:rFonts w:eastAsia="YouYuan" w:cs="Simplified Arabic" w:hint="cs"/>
          <w:kern w:val="2"/>
          <w:sz w:val="22"/>
          <w:rtl/>
          <w:lang w:val="en-US" w:eastAsia="en-US" w:bidi="ar-EG"/>
        </w:rPr>
        <w:t>بناء على ذلك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يتألف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الأعضاء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التالية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أسماؤهم،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بالإضافة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رئيسه:</w:t>
      </w:r>
    </w:p>
    <w:p w14:paraId="649BAD67" w14:textId="1A5E814F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إريك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أوكوري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(غانا)</w:t>
      </w:r>
    </w:p>
    <w:p w14:paraId="435846AC" w14:textId="756ACC06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ميليسي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ماريو (إثيوبيا)</w:t>
      </w:r>
    </w:p>
    <w:p w14:paraId="2C9C10CC" w14:textId="4F546293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راغو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كومار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كودالي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(الهند)</w:t>
      </w:r>
      <w:r w:rsidR="00F91BD2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2"/>
      </w:r>
    </w:p>
    <w:p w14:paraId="7A3D338E" w14:textId="243CF8CA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لينا العوضي (الكويت)</w:t>
      </w:r>
    </w:p>
    <w:p w14:paraId="18EFB970" w14:textId="4D086EFA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تيونا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كارشافا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(جورجيا)</w:t>
      </w:r>
    </w:p>
    <w:p w14:paraId="3FA9B210" w14:textId="424C5CF3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كلوديانا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ماريكا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(ألبانيا)</w:t>
      </w:r>
      <w:r w:rsidR="00F91BD2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3"/>
      </w:r>
    </w:p>
    <w:p w14:paraId="6C20E860" w14:textId="33142D4C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يوجينيا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أر</w:t>
      </w:r>
      <w:r w:rsidR="00277D61">
        <w:rPr>
          <w:rFonts w:eastAsia="YouYuan" w:cs="Simplified Arabic" w:hint="cs"/>
          <w:kern w:val="2"/>
          <w:sz w:val="22"/>
          <w:rtl/>
          <w:lang w:val="en-US" w:eastAsia="en-US" w:bidi="ar-EG"/>
        </w:rPr>
        <w:t>غ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ويداس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مونتيزوما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(كوستاريكا)</w:t>
      </w:r>
      <w:r w:rsidR="00277D61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4"/>
      </w:r>
    </w:p>
    <w:p w14:paraId="457F9F8A" w14:textId="7B132DCB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هيلينا جيفري براون (أنتيغوا وبربودا)</w:t>
      </w:r>
    </w:p>
    <w:p w14:paraId="4C1843EE" w14:textId="1CA8A0F7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غابرييل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أوبرماير</w:t>
      </w:r>
      <w:proofErr w:type="spellEnd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(النمسا)</w:t>
      </w:r>
    </w:p>
    <w:p w14:paraId="0E6EC768" w14:textId="7D9448D8" w:rsidR="00BA0FB7" w:rsidRPr="00BA0FB7" w:rsidRDefault="00BA0FB7" w:rsidP="00BA0FB7">
      <w:pPr>
        <w:pStyle w:val="ListParagraph"/>
        <w:numPr>
          <w:ilvl w:val="0"/>
          <w:numId w:val="7"/>
        </w:numPr>
        <w:bidi/>
        <w:spacing w:after="100" w:line="216" w:lineRule="auto"/>
        <w:ind w:left="573" w:hanging="567"/>
        <w:contextualSpacing w:val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lastRenderedPageBreak/>
        <w:t>نيوزيلندا (شاغر)</w:t>
      </w:r>
      <w:r w:rsidR="006C4CE7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5"/>
      </w:r>
    </w:p>
    <w:p w14:paraId="4701EB05" w14:textId="17714F82" w:rsidR="00BA0FB7" w:rsidRPr="00BA0FB7" w:rsidRDefault="00BA0FB7" w:rsidP="00BA0FB7">
      <w:pPr>
        <w:keepNext/>
        <w:keepLines/>
        <w:bidi/>
        <w:spacing w:after="100" w:line="216" w:lineRule="auto"/>
        <w:jc w:val="both"/>
        <w:rPr>
          <w:rFonts w:eastAsia="YouYuan" w:cs="Simplified Arabic"/>
          <w:i/>
          <w:iCs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i/>
          <w:iCs/>
          <w:kern w:val="2"/>
          <w:sz w:val="22"/>
          <w:rtl/>
          <w:lang w:val="en-US" w:eastAsia="en-US" w:bidi="ar-EG"/>
        </w:rPr>
        <w:t xml:space="preserve">جدول </w:t>
      </w:r>
      <w:r>
        <w:rPr>
          <w:rFonts w:eastAsia="YouYuan" w:cs="Simplified Arabic" w:hint="cs"/>
          <w:i/>
          <w:iCs/>
          <w:kern w:val="2"/>
          <w:sz w:val="22"/>
          <w:rtl/>
          <w:lang w:val="en-US" w:eastAsia="en-US" w:bidi="ar-EG"/>
        </w:rPr>
        <w:t>ال</w:t>
      </w:r>
      <w:r w:rsidRPr="00BA0FB7">
        <w:rPr>
          <w:rFonts w:eastAsia="YouYuan" w:cs="Simplified Arabic"/>
          <w:i/>
          <w:iCs/>
          <w:kern w:val="2"/>
          <w:sz w:val="22"/>
          <w:rtl/>
          <w:lang w:val="en-US" w:eastAsia="en-US" w:bidi="ar-EG"/>
        </w:rPr>
        <w:t>أعمال</w:t>
      </w:r>
    </w:p>
    <w:p w14:paraId="2FA208FE" w14:textId="3B69A9CB" w:rsidR="00BA0FB7" w:rsidRPr="00BA0FB7" w:rsidRDefault="00277D61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على النحو </w:t>
      </w:r>
      <w:r w:rsidR="00770ACF">
        <w:rPr>
          <w:rFonts w:eastAsia="YouYuan" w:cs="Simplified Arabic" w:hint="cs"/>
          <w:kern w:val="2"/>
          <w:sz w:val="22"/>
          <w:rtl/>
          <w:lang w:val="en-US" w:eastAsia="en-US" w:bidi="ar-EG"/>
        </w:rPr>
        <w:t>المشار إليه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الفقرة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4،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أُقر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المؤقت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أكمل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البنود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4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و6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27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الجزأين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ولكنه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ُ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كمل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البند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F0907">
        <w:rPr>
          <w:rFonts w:eastAsia="YouYuan" w:cs="Simplified Arabic" w:hint="cs"/>
          <w:kern w:val="2"/>
          <w:sz w:val="22"/>
          <w:rtl/>
          <w:lang w:val="en-US" w:eastAsia="en-US" w:bidi="ar-EG"/>
        </w:rPr>
        <w:t>فيما يتعلق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بانتخاب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أعضاء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ونتيجة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لعقد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يظل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البندان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و3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صالحين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وبالإضافة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ذلك،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بعد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انسحاب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البلد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المضيف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الذي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تعيينه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سابقا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السادس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يتعين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تحديد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بلد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مضيف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جديد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وأخيرا،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ينظر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البنود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28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30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ولذلك،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يتعين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البنود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3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و5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و28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30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هذا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763FBA82" w14:textId="7129E6F8" w:rsidR="00BA0FB7" w:rsidRPr="00BA0FB7" w:rsidRDefault="00BA0FB7" w:rsidP="00BA0FB7">
      <w:pPr>
        <w:keepNext/>
        <w:keepLines/>
        <w:bidi/>
        <w:spacing w:after="100" w:line="216" w:lineRule="auto"/>
        <w:jc w:val="both"/>
        <w:rPr>
          <w:rFonts w:eastAsia="YouYuan" w:cs="Simplified Arabic"/>
          <w:i/>
          <w:iCs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i/>
          <w:iCs/>
          <w:kern w:val="2"/>
          <w:sz w:val="22"/>
          <w:rtl/>
          <w:lang w:val="en-US" w:eastAsia="en-US" w:bidi="ar-EG"/>
        </w:rPr>
        <w:t>تنظيم العمل</w:t>
      </w:r>
    </w:p>
    <w:p w14:paraId="05E2FCF3" w14:textId="1833262C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سيُدعى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تنظيم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العمل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المقترح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الوارد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المرفق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واعتماده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ونظرا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للعدد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المحدود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والطبيعة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الإجرائية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للبنود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تناولها،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المقترح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جميع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الأعمال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جلسة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عامة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700EA328" w14:textId="30458A3F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/>
          <w:kern w:val="2"/>
          <w:sz w:val="22"/>
          <w:rtl/>
          <w:lang w:val="en-US" w:eastAsia="en-US" w:bidi="ar-EG"/>
        </w:rPr>
        <w:t>وس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تكون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الترجمة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الفورية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متاحة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للجلسات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7C962E2A" w14:textId="49751382" w:rsidR="00BA0FB7" w:rsidRPr="00BA0FB7" w:rsidRDefault="00BA0FB7" w:rsidP="00BA0FB7">
      <w:pPr>
        <w:keepNext/>
        <w:keepLines/>
        <w:bidi/>
        <w:spacing w:after="100" w:line="216" w:lineRule="auto"/>
        <w:jc w:val="both"/>
        <w:rPr>
          <w:rFonts w:eastAsia="YouYuan" w:cs="Simplified Arabic"/>
          <w:i/>
          <w:iCs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i/>
          <w:iCs/>
          <w:kern w:val="2"/>
          <w:sz w:val="22"/>
          <w:rtl/>
          <w:lang w:val="en-US" w:eastAsia="en-US" w:bidi="ar-EG"/>
        </w:rPr>
        <w:t>ال</w:t>
      </w:r>
      <w:r w:rsidRPr="00BA0FB7">
        <w:rPr>
          <w:rFonts w:eastAsia="YouYuan" w:cs="Simplified Arabic"/>
          <w:i/>
          <w:iCs/>
          <w:kern w:val="2"/>
          <w:sz w:val="22"/>
          <w:rtl/>
          <w:lang w:val="en-US" w:eastAsia="en-US" w:bidi="ar-EG"/>
        </w:rPr>
        <w:t>مقرر</w:t>
      </w:r>
    </w:p>
    <w:p w14:paraId="2875EC2F" w14:textId="2DF7C3B0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الجلسة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الافتتاحية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77D61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التي عُقدت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11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أكتوبر/تشرين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2021،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وافق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إلفانا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راماج</w:t>
      </w:r>
      <w:proofErr w:type="spellEnd"/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(ألبانيا)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مقررة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وبعد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مغادرة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السيدة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راماج</w:t>
      </w:r>
      <w:proofErr w:type="spellEnd"/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77D61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للمكتب</w:t>
      </w:r>
      <w:r w:rsidR="00277D61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في وقت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لاحق،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سيقترح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مقررا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جديدا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لينتخبه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4EF28258" w14:textId="16098CCF" w:rsidR="00BA0FB7" w:rsidRPr="00BA0FB7" w:rsidRDefault="00BA0FB7" w:rsidP="00BA0FB7">
      <w:pPr>
        <w:keepNext/>
        <w:keepLines/>
        <w:bidi/>
        <w:spacing w:after="100" w:line="216" w:lineRule="auto"/>
        <w:jc w:val="both"/>
        <w:rPr>
          <w:rFonts w:eastAsia="YouYuan" w:cs="Simplified Arabic"/>
          <w:i/>
          <w:iCs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i/>
          <w:iCs/>
          <w:kern w:val="2"/>
          <w:sz w:val="22"/>
          <w:rtl/>
          <w:lang w:val="en-US" w:eastAsia="en-US" w:bidi="ar-EG"/>
        </w:rPr>
        <w:t>ال</w:t>
      </w:r>
      <w:r w:rsidRPr="00BA0FB7">
        <w:rPr>
          <w:rFonts w:eastAsia="YouYuan" w:cs="Simplified Arabic"/>
          <w:i/>
          <w:iCs/>
          <w:kern w:val="2"/>
          <w:sz w:val="22"/>
          <w:rtl/>
          <w:lang w:val="en-US" w:eastAsia="en-US" w:bidi="ar-EG"/>
        </w:rPr>
        <w:t>انتخابات</w:t>
      </w:r>
    </w:p>
    <w:p w14:paraId="487F3772" w14:textId="57911F92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سينتخب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نوابا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جددا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وتبدأ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فترة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ولايتهم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وتنتهي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السادس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21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الداخلي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537EE335" w14:textId="351D7E33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/>
          <w:kern w:val="2"/>
          <w:sz w:val="22"/>
          <w:rtl/>
          <w:lang w:val="en-US" w:eastAsia="en-US" w:bidi="ar-EG"/>
        </w:rPr>
        <w:t>وت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نص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26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الداخلي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77D61">
        <w:rPr>
          <w:rFonts w:eastAsia="YouYuan" w:cs="Simplified Arabic" w:hint="cs"/>
          <w:kern w:val="2"/>
          <w:sz w:val="22"/>
          <w:rtl/>
          <w:lang w:val="en-US" w:eastAsia="en-US" w:bidi="ar-EG"/>
        </w:rPr>
        <w:t>ينتخب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77D61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 w:rsidR="00277D61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77D61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277D61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هيئة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فرعية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ولذلك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سيتعين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ينتخب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الهيئة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الفرعية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للمشورة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العلمية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والتقنية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والتكنولوجية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الهيئة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الفرعية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للتنفيذ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لرئاسة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الهيئتين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المعنيتين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لفترة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ولاية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تبدأ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</w:t>
      </w:r>
      <w:r w:rsidR="00277D61">
        <w:rPr>
          <w:rFonts w:eastAsia="YouYuan" w:cs="Simplified Arabic" w:hint="cs"/>
          <w:kern w:val="2"/>
          <w:sz w:val="22"/>
          <w:rtl/>
          <w:lang w:val="en-US" w:eastAsia="en-US" w:bidi="ar-EG"/>
        </w:rPr>
        <w:t>ت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نتهي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السادس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45DF5D71" w14:textId="032E51D4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للتناوب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الإقليمي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72950">
        <w:rPr>
          <w:rFonts w:eastAsia="YouYuan" w:cs="Simplified Arabic" w:hint="cs"/>
          <w:kern w:val="2"/>
          <w:sz w:val="22"/>
          <w:rtl/>
          <w:lang w:val="en-US" w:eastAsia="en-US" w:bidi="ar-EG"/>
        </w:rPr>
        <w:t>المعمول به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المتوقع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الهيئة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الفرعية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للمشورة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العلمية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والتقنية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والتكنولوجية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أوروبا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الشرقية،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الهيئة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الفرعية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للتنفيذ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مجموعة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0E0D20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دول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آسيا</w:t>
      </w:r>
      <w:r w:rsidR="000E0D20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و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المحيط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الهادئ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25109530" w14:textId="22D67380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وستتوفر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معلومات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إضافية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إجراءات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أعضاء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وثيقة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2B1416">
        <w:rPr>
          <w:rFonts w:eastAsia="YouYuan" w:cs="Simplified Arabic" w:hint="cs"/>
          <w:kern w:val="2"/>
          <w:sz w:val="22"/>
          <w:rtl/>
          <w:lang w:val="en-US" w:eastAsia="en-US" w:bidi="ar-EG"/>
        </w:rPr>
        <w:t>معلومات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lang w:val="en-US" w:eastAsia="en-US" w:bidi="ar-EG"/>
        </w:rPr>
        <w:t>CBD/COP/15/INF/28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وستقدم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الأمانة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إحاطة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بشأن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عملية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قبل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تاريخ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الانتخاب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083823D0" w14:textId="3B648736" w:rsidR="00BA0FB7" w:rsidRPr="00BA0FB7" w:rsidRDefault="00BA0FB7" w:rsidP="00BA0F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BA0FB7">
        <w:rPr>
          <w:rFonts w:cs="Simplified Arabic"/>
          <w:b/>
          <w:bCs/>
          <w:sz w:val="22"/>
          <w:rtl/>
        </w:rPr>
        <w:lastRenderedPageBreak/>
        <w:t>البند 3</w:t>
      </w:r>
      <w:r w:rsidR="00AA0666">
        <w:rPr>
          <w:rFonts w:cs="Simplified Arabic" w:hint="cs"/>
          <w:b/>
          <w:bCs/>
          <w:sz w:val="22"/>
          <w:rtl/>
        </w:rPr>
        <w:t>-</w:t>
      </w:r>
      <w:r w:rsidR="00AA0666">
        <w:rPr>
          <w:rFonts w:cs="Simplified Arabic"/>
          <w:b/>
          <w:bCs/>
          <w:sz w:val="22"/>
          <w:rtl/>
        </w:rPr>
        <w:tab/>
      </w:r>
      <w:r w:rsidRPr="00BA0FB7">
        <w:rPr>
          <w:rFonts w:cs="Simplified Arabic"/>
          <w:b/>
          <w:bCs/>
          <w:sz w:val="22"/>
          <w:rtl/>
        </w:rPr>
        <w:t>تقرير عن وثائق تفويض الممثلين لدى الاجتماع الخامس عشر لمؤتمر الأطراف</w:t>
      </w:r>
    </w:p>
    <w:p w14:paraId="6CC2A014" w14:textId="25BB3BE0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تنص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18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الداخلي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يلي:</w:t>
      </w:r>
    </w:p>
    <w:p w14:paraId="0183FDFB" w14:textId="2D13959E" w:rsidR="00BA0FB7" w:rsidRPr="00BA0FB7" w:rsidRDefault="00BA0FB7" w:rsidP="00AA0666">
      <w:pPr>
        <w:bidi/>
        <w:spacing w:after="100" w:line="216" w:lineRule="auto"/>
        <w:ind w:left="1138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تقدم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الممثلين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وأسماء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الممثلين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المناوبين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والمستشارين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التنفيذي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ممثل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التنفيذي،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أمكن،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موعد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يتجاوز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أربع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وعشرين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ساعة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افتتاح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ويجب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أيضا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تقديم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تغيير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لاحق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تكوين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الوفد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التنفيذي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ممثل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التنفيذي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وتصدر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إما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الدولة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الحكومة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وزير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الخارجية،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السلطة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المختصة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المنظمة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حالة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منظمة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تكامل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اقتصادي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إقليمية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2D6BAAC8" w14:textId="65B515A0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وتنص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19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أيضا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"يقوم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مكتب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بفحص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ويقدم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تقريره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لاتخاذ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قرار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بشأنه</w:t>
      </w:r>
      <w:r w:rsidR="00EC0B13">
        <w:rPr>
          <w:rFonts w:eastAsia="YouYuan" w:cs="Simplified Arabic" w:hint="cs"/>
          <w:kern w:val="2"/>
          <w:sz w:val="22"/>
          <w:rtl/>
          <w:lang w:val="en-US" w:eastAsia="en-US" w:bidi="ar-EG"/>
        </w:rPr>
        <w:t>ا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"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5B2E7D59" w14:textId="075E8815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أجل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مساعدة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الامتثال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لأحكام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679CA">
        <w:rPr>
          <w:rFonts w:eastAsia="YouYuan" w:cs="Simplified Arabic" w:hint="cs"/>
          <w:kern w:val="2"/>
          <w:sz w:val="22"/>
          <w:rtl/>
          <w:lang w:val="en-US" w:eastAsia="en-US" w:bidi="ar-EG"/>
        </w:rPr>
        <w:t>المادة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18،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أصدر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التنفيذي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الإخطار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رقم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2023-081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وأتاح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نماذج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المناسبة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  <w:r w:rsidR="00B239EC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6"/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وع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النحو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المحدد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الإخطار،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يجوز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قدمت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بالفعل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صالحة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لممثليها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للمشاركة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ديسمبر/كانون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2022،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تؤكد،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خلال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مذكرة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شفوية،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A275EE">
        <w:rPr>
          <w:rFonts w:eastAsia="YouYuan" w:cs="Simplified Arabic" w:hint="cs"/>
          <w:kern w:val="2"/>
          <w:sz w:val="22"/>
          <w:rtl/>
          <w:lang w:val="en-US" w:eastAsia="en-US" w:bidi="ar-EG"/>
        </w:rPr>
        <w:t>لا تزال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صالحة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لغرض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الحالي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وكما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موضح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أيضا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الإخطار،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ينبغي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يصدر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هذه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المذكرة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الشفهية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مسؤول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كبير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وزارة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خارجية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الطرف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المعني،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ويجب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تشير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بشكل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محدد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A275EE">
        <w:rPr>
          <w:rFonts w:eastAsia="YouYuan" w:cs="Simplified Arabic" w:hint="cs"/>
          <w:kern w:val="2"/>
          <w:sz w:val="22"/>
          <w:rtl/>
          <w:lang w:val="en-US" w:eastAsia="en-US" w:bidi="ar-EG"/>
        </w:rPr>
        <w:t>وثائق التفويض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المقدمة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الذي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سيعقد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AA0666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ديسمبر/كانون</w:t>
      </w:r>
      <w:r w:rsidR="00AA0666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AA0666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AA0666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2022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218BAF8A" w14:textId="539F668B" w:rsidR="00BA0FB7" w:rsidRPr="00BA0FB7" w:rsidRDefault="00AA0666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سيتعين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تقدم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تفويض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صالحة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المنعقد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ديسمبر/كانون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2022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تقدم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تفويض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حتى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تتمكن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المشاركة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صنع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القرار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خلال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الحالي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وسيتعين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سترسل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ممثلين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جدد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الحالي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تقدم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تفويضهم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06DA0805" w14:textId="43D16E3C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ويجب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تقديم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الأصلية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المذكرة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الشفوية،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حسب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الاقتضاء،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الأمانة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أقرب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وقت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ممكن،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ويفضل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يكون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ذلك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بحلول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6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</w:t>
      </w:r>
      <w:r w:rsidR="00B657C9">
        <w:rPr>
          <w:rFonts w:eastAsia="YouYuan" w:cs="Simplified Arabic" w:hint="cs"/>
          <w:kern w:val="2"/>
          <w:sz w:val="22"/>
          <w:rtl/>
          <w:lang w:val="en-US" w:eastAsia="en-US" w:bidi="ar-EG"/>
        </w:rPr>
        <w:t>/</w:t>
      </w:r>
      <w:r w:rsidR="00B657C9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تشرين</w:t>
      </w:r>
      <w:r w:rsidR="00B657C9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657C9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موعد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أقصاه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15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</w:t>
      </w:r>
      <w:r w:rsidR="00B657C9">
        <w:rPr>
          <w:rFonts w:eastAsia="YouYuan" w:cs="Simplified Arabic" w:hint="cs"/>
          <w:kern w:val="2"/>
          <w:sz w:val="22"/>
          <w:rtl/>
          <w:lang w:val="en-US" w:eastAsia="en-US" w:bidi="ar-EG"/>
        </w:rPr>
        <w:t>/</w:t>
      </w:r>
      <w:r w:rsidR="00B657C9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تشرين</w:t>
      </w:r>
      <w:r w:rsidR="00B657C9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657C9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757254D8" w14:textId="55725FCA" w:rsidR="00BA0FB7" w:rsidRPr="00BA0FB7" w:rsidRDefault="00AA0666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سيُدعى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التقرير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المتعلق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بوثائق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المقدم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إليه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المكتب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واعتماده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3E2DE90A" w14:textId="4AA53951" w:rsidR="00BA0FB7" w:rsidRPr="00BA0FB7" w:rsidRDefault="00AA0666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الجلسة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الافتتاحية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الاجتماع،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انتخاب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إريك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proofErr w:type="spellStart"/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أوكوري</w:t>
      </w:r>
      <w:proofErr w:type="spellEnd"/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(غانا)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ممثلا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للمكتب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لاستعراض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وثائق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التفويض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0252072B" w14:textId="7DFEF9DA" w:rsidR="00BA0FB7" w:rsidRPr="00AA0666" w:rsidRDefault="00BA0FB7" w:rsidP="00AA0666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AA0666">
        <w:rPr>
          <w:rFonts w:cs="Simplified Arabic"/>
          <w:b/>
          <w:bCs/>
          <w:sz w:val="22"/>
          <w:rtl/>
        </w:rPr>
        <w:t>البند 5</w:t>
      </w:r>
      <w:r w:rsidR="00AA0666">
        <w:rPr>
          <w:rFonts w:cs="Simplified Arabic" w:hint="cs"/>
          <w:b/>
          <w:bCs/>
          <w:sz w:val="22"/>
          <w:rtl/>
        </w:rPr>
        <w:t>-</w:t>
      </w:r>
      <w:r w:rsidR="00AA0666">
        <w:rPr>
          <w:rFonts w:cs="Simplified Arabic"/>
          <w:b/>
          <w:bCs/>
          <w:sz w:val="22"/>
          <w:rtl/>
        </w:rPr>
        <w:tab/>
      </w:r>
      <w:r w:rsidR="004679CA" w:rsidRPr="004679CA">
        <w:rPr>
          <w:rFonts w:cs="Simplified Arabic"/>
          <w:b/>
          <w:bCs/>
          <w:sz w:val="22"/>
          <w:rtl/>
        </w:rPr>
        <w:t>تاريخ ومكان الاجتماعات القادمة لمؤتمر الأطراف</w:t>
      </w:r>
    </w:p>
    <w:p w14:paraId="1FE9AAA1" w14:textId="65FFC5F8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للفقرة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4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نظامه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الداخلي،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يقرر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عادي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تاريخ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ومدة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العادي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التالي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4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أيضا،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تُعقد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العادية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سنتين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 وق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مقرره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13/33،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السادس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(مع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الحادي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العامل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كاجتماع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بروتوكول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قرطاجنة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العامل ك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بروتوكول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ناغويا)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تركيا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. غير 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تركيا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85EFB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أبلغت</w:t>
      </w:r>
      <w:r w:rsidR="00485EFB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الأمانة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، </w:t>
      </w:r>
      <w:r w:rsidR="00485EFB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485EFB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85EFB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25</w:t>
      </w:r>
      <w:r w:rsidR="00485EFB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85EFB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يوليو/تموز</w:t>
      </w:r>
      <w:r w:rsidR="00485EFB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85EFB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2023،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بقرارها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الانسحاب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استضافة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ورئاسة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السادس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بسبب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حالة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القوة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القاهرة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الناجمة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الزلازل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ذ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وقع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فبراير/شباط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أُرسلت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المعلومات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خلال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الإخطار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رقم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2023-82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المؤرخ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31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يوليو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/تموز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6243AA32" w14:textId="216C991A" w:rsidR="00BA0FB7" w:rsidRPr="00BA0FB7" w:rsidRDefault="00485EFB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lastRenderedPageBreak/>
        <w:t>وسيُقدم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تحديث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بشأن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هذه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المسألة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الحالي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58E52A7C" w14:textId="40C8B575" w:rsidR="00BA0FB7" w:rsidRPr="00AA0666" w:rsidRDefault="00BA0FB7" w:rsidP="00AA0666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AA0666">
        <w:rPr>
          <w:rFonts w:cs="Simplified Arabic"/>
          <w:b/>
          <w:bCs/>
          <w:szCs w:val="28"/>
          <w:rtl/>
        </w:rPr>
        <w:t>سابعا</w:t>
      </w:r>
      <w:r w:rsidR="00AA0666">
        <w:rPr>
          <w:rFonts w:cs="Simplified Arabic" w:hint="cs"/>
          <w:b/>
          <w:bCs/>
          <w:szCs w:val="28"/>
          <w:rtl/>
        </w:rPr>
        <w:t>-</w:t>
      </w:r>
      <w:r w:rsidR="00AA0666">
        <w:rPr>
          <w:rFonts w:cs="Simplified Arabic"/>
          <w:b/>
          <w:bCs/>
          <w:szCs w:val="28"/>
          <w:rtl/>
        </w:rPr>
        <w:tab/>
      </w:r>
      <w:r w:rsidR="0047600E">
        <w:rPr>
          <w:rFonts w:cs="Simplified Arabic"/>
          <w:b/>
          <w:bCs/>
          <w:szCs w:val="28"/>
          <w:rtl/>
        </w:rPr>
        <w:t>المسائل الختامية</w:t>
      </w:r>
    </w:p>
    <w:p w14:paraId="6A9BCD95" w14:textId="6A397D83" w:rsidR="00BA0FB7" w:rsidRPr="00AA0666" w:rsidRDefault="00BA0FB7" w:rsidP="00AA0666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AA0666">
        <w:rPr>
          <w:rFonts w:cs="Simplified Arabic"/>
          <w:b/>
          <w:bCs/>
          <w:sz w:val="22"/>
          <w:rtl/>
        </w:rPr>
        <w:t>البند 28</w:t>
      </w:r>
      <w:r w:rsidR="00AA0666">
        <w:rPr>
          <w:rFonts w:cs="Simplified Arabic" w:hint="cs"/>
          <w:b/>
          <w:bCs/>
          <w:sz w:val="22"/>
          <w:rtl/>
        </w:rPr>
        <w:t xml:space="preserve">- </w:t>
      </w:r>
      <w:r w:rsidRPr="00AA0666">
        <w:rPr>
          <w:rFonts w:cs="Simplified Arabic"/>
          <w:b/>
          <w:bCs/>
          <w:sz w:val="22"/>
          <w:rtl/>
        </w:rPr>
        <w:t>مسائل أخرى</w:t>
      </w:r>
    </w:p>
    <w:p w14:paraId="762AB49A" w14:textId="21658757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يرغب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المسائل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الأخرى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المثارة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والمقبولة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للمناقشة،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للمادة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12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نظامه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الداخلي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والفقرة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7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المقرر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hyperlink r:id="rId12" w:history="1">
        <w:r w:rsidR="00A27920">
          <w:rPr>
            <w:snapToGrid w:val="0"/>
            <w:color w:val="0000FF"/>
            <w:kern w:val="22"/>
            <w:szCs w:val="22"/>
            <w:u w:val="single"/>
          </w:rPr>
          <w:t>16</w:t>
        </w:r>
        <w:r w:rsidR="00A27920">
          <w:rPr>
            <w:snapToGrid w:val="0"/>
            <w:color w:val="0000FF"/>
            <w:kern w:val="22"/>
            <w:szCs w:val="22"/>
            <w:u w:val="single"/>
          </w:rPr>
          <w:t>/</w:t>
        </w:r>
      </w:hyperlink>
      <w:r w:rsidR="00A27920">
        <w:rPr>
          <w:snapToGrid w:val="0"/>
          <w:color w:val="0000FF"/>
          <w:kern w:val="22"/>
          <w:szCs w:val="22"/>
          <w:u w:val="single"/>
        </w:rPr>
        <w:t>4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5F5F723A" w14:textId="7D9812B6" w:rsidR="00BA0FB7" w:rsidRPr="00AA0666" w:rsidRDefault="00BA0FB7" w:rsidP="00AA0666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AA0666">
        <w:rPr>
          <w:rFonts w:cs="Simplified Arabic"/>
          <w:b/>
          <w:bCs/>
          <w:sz w:val="22"/>
          <w:rtl/>
        </w:rPr>
        <w:t>البند 29</w:t>
      </w:r>
      <w:r w:rsidR="00AA0666">
        <w:rPr>
          <w:rFonts w:cs="Simplified Arabic" w:hint="cs"/>
          <w:b/>
          <w:bCs/>
          <w:sz w:val="22"/>
          <w:rtl/>
        </w:rPr>
        <w:t xml:space="preserve">- </w:t>
      </w:r>
      <w:r w:rsidRPr="00AA0666">
        <w:rPr>
          <w:rFonts w:cs="Simplified Arabic"/>
          <w:b/>
          <w:bCs/>
          <w:sz w:val="22"/>
          <w:rtl/>
        </w:rPr>
        <w:t>اعتماد التقرير</w:t>
      </w:r>
    </w:p>
    <w:p w14:paraId="6BAE05B1" w14:textId="71DF6B53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/>
          <w:kern w:val="2"/>
          <w:sz w:val="22"/>
          <w:rtl/>
          <w:lang w:val="en-US" w:eastAsia="en-US" w:bidi="ar-EG"/>
        </w:rPr>
        <w:t>س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ُ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دعى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إلى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النظر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مشروع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تقرير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</w:t>
      </w:r>
      <w:r w:rsidR="00485EFB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واعتماد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ه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ُ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عده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المقرر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على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أساس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الوثيقة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lang w:val="en-US" w:eastAsia="en-US" w:bidi="ar-EG"/>
        </w:rPr>
        <w:t>CBD/COP/15/Part-II/L</w:t>
      </w:r>
      <w:r>
        <w:rPr>
          <w:rFonts w:eastAsia="YouYuan" w:cs="Simplified Arabic"/>
          <w:kern w:val="2"/>
          <w:sz w:val="22"/>
          <w:lang w:val="en-US" w:eastAsia="en-US" w:bidi="ar-EG"/>
        </w:rPr>
        <w:t>.</w:t>
      </w:r>
      <w:r w:rsidRPr="00BA0FB7">
        <w:rPr>
          <w:rFonts w:eastAsia="YouYuan" w:cs="Simplified Arabic"/>
          <w:kern w:val="2"/>
          <w:sz w:val="22"/>
          <w:lang w:val="en-US" w:eastAsia="en-US" w:bidi="ar-EG"/>
        </w:rPr>
        <w:t>1</w:t>
      </w:r>
      <w:r>
        <w:rPr>
          <w:rFonts w:eastAsia="YouYuan" w:cs="Simplified Arabic"/>
          <w:kern w:val="2"/>
          <w:sz w:val="22"/>
          <w:lang w:val="en-US" w:eastAsia="en-US" w:bidi="ar-EG"/>
        </w:rPr>
        <w:t>/</w:t>
      </w:r>
      <w:r w:rsidRPr="00BA0FB7">
        <w:rPr>
          <w:rFonts w:eastAsia="YouYuan" w:cs="Simplified Arabic"/>
          <w:kern w:val="2"/>
          <w:sz w:val="22"/>
          <w:lang w:val="en-US" w:eastAsia="en-US" w:bidi="ar-EG"/>
        </w:rPr>
        <w:t>Rev</w:t>
      </w:r>
      <w:r>
        <w:rPr>
          <w:rFonts w:eastAsia="YouYuan" w:cs="Simplified Arabic"/>
          <w:kern w:val="2"/>
          <w:sz w:val="22"/>
          <w:lang w:val="en-US" w:eastAsia="en-US" w:bidi="ar-EG"/>
        </w:rPr>
        <w:t>.</w:t>
      </w:r>
      <w:r w:rsidRPr="00BA0FB7">
        <w:rPr>
          <w:rFonts w:eastAsia="YouYuan" w:cs="Simplified Arabic"/>
          <w:kern w:val="2"/>
          <w:sz w:val="22"/>
          <w:lang w:val="en-US" w:eastAsia="en-US" w:bidi="ar-EG"/>
        </w:rPr>
        <w:t>1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بصيغته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85EFB">
        <w:rPr>
          <w:rFonts w:eastAsia="YouYuan" w:cs="Simplified Arabic" w:hint="cs"/>
          <w:kern w:val="2"/>
          <w:sz w:val="22"/>
          <w:rtl/>
          <w:lang w:val="en-US" w:eastAsia="en-US" w:bidi="ar-EG"/>
        </w:rPr>
        <w:t>النهائية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لمراعاة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وقائع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0E1D435A" w14:textId="0C232F29" w:rsidR="00BA0FB7" w:rsidRPr="00BA0FB7" w:rsidRDefault="00AA0666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سيشكل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تقريرا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الأول</w:t>
      </w:r>
      <w:r w:rsidR="00B239EC">
        <w:rPr>
          <w:rStyle w:val="FootnoteReference"/>
          <w:rFonts w:eastAsia="YouYuan" w:cs="Simplified Arabic"/>
          <w:kern w:val="2"/>
          <w:sz w:val="22"/>
          <w:rtl/>
          <w:lang w:val="en-US" w:eastAsia="en-US" w:bidi="ar-EG"/>
        </w:rPr>
        <w:footnoteReference w:id="7"/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والجزء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معا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وقائع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BA0FB7"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 w:rsidR="00BA0FB7"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13AD847A" w14:textId="6A3BBD20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يرغب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أيضا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يرفق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بمحضر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="0047600E">
        <w:rPr>
          <w:rFonts w:eastAsia="YouYuan" w:cs="Simplified Arabic" w:hint="cs"/>
          <w:kern w:val="2"/>
          <w:sz w:val="22"/>
          <w:rtl/>
          <w:lang w:val="en-US" w:eastAsia="en-US" w:bidi="ar-EG"/>
        </w:rPr>
        <w:t>الوقائع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نتائج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الرفيع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المستوى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والأحداث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الأخرى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عقدت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بالتزامن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اجتماعه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.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ووفقا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للممارسة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المتبعة،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قد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يرغب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في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الإذن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للمقرر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باستكمال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التقرير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النهائي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الاجتماع،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بتوجيه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الرئيس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ومساعدة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الأمانة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02BFF951" w14:textId="67B55874" w:rsidR="00BA0FB7" w:rsidRPr="00AA0666" w:rsidRDefault="00BA0FB7" w:rsidP="00AA0666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 w:val="22"/>
        </w:rPr>
      </w:pPr>
      <w:r w:rsidRPr="00AA0666">
        <w:rPr>
          <w:rFonts w:cs="Simplified Arabic"/>
          <w:b/>
          <w:bCs/>
          <w:sz w:val="22"/>
          <w:rtl/>
        </w:rPr>
        <w:t>البند 30</w:t>
      </w:r>
      <w:r w:rsidR="00AA0666">
        <w:rPr>
          <w:rFonts w:cs="Simplified Arabic" w:hint="cs"/>
          <w:b/>
          <w:bCs/>
          <w:sz w:val="22"/>
          <w:rtl/>
        </w:rPr>
        <w:t xml:space="preserve">- </w:t>
      </w:r>
      <w:r w:rsidRPr="00AA0666">
        <w:rPr>
          <w:rFonts w:cs="Simplified Arabic"/>
          <w:b/>
          <w:bCs/>
          <w:sz w:val="22"/>
          <w:rtl/>
        </w:rPr>
        <w:t>اختتام الاجتماع</w:t>
      </w:r>
    </w:p>
    <w:p w14:paraId="63FF99C5" w14:textId="2BFAABC1" w:rsidR="00BA0FB7" w:rsidRPr="00BA0FB7" w:rsidRDefault="00BA0FB7" w:rsidP="00BA0FB7">
      <w:pPr>
        <w:numPr>
          <w:ilvl w:val="0"/>
          <w:numId w:val="4"/>
        </w:numPr>
        <w:bidi/>
        <w:spacing w:after="100" w:line="216" w:lineRule="auto"/>
        <w:ind w:left="0" w:firstLine="0"/>
        <w:jc w:val="both"/>
        <w:rPr>
          <w:rFonts w:eastAsia="YouYuan" w:cs="Simplified Arabic"/>
          <w:kern w:val="2"/>
          <w:sz w:val="22"/>
          <w:lang w:val="en-US" w:eastAsia="en-US" w:bidi="ar-EG"/>
        </w:rPr>
      </w:pP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المتوقع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يتم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اختتام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الجزء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الثاني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المستأنف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من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الاجتماع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الخامس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عشر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لمؤتمر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الأطراف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بحلول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الساعة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الواحدة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بعد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الظهر</w:t>
      </w:r>
      <w:r w:rsidR="0057043A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من يوم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أكتوبر</w:t>
      </w:r>
      <w:r w:rsidR="00AA0666">
        <w:rPr>
          <w:rFonts w:eastAsia="YouYuan" w:cs="Simplified Arabic" w:hint="cs"/>
          <w:kern w:val="2"/>
          <w:sz w:val="22"/>
          <w:rtl/>
          <w:lang w:val="en-US" w:eastAsia="en-US" w:bidi="ar-EG"/>
        </w:rPr>
        <w:t>/تشرين الأول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</w:t>
      </w:r>
      <w:r w:rsidRPr="00BA0FB7">
        <w:rPr>
          <w:rFonts w:eastAsia="YouYuan" w:cs="Simplified Arabic"/>
          <w:kern w:val="2"/>
          <w:sz w:val="22"/>
          <w:rtl/>
          <w:lang w:val="en-US" w:eastAsia="en-US" w:bidi="ar-EG"/>
        </w:rPr>
        <w:t>2023</w:t>
      </w:r>
      <w:r>
        <w:rPr>
          <w:rFonts w:eastAsia="YouYuan" w:cs="Simplified Arabic"/>
          <w:kern w:val="2"/>
          <w:sz w:val="22"/>
          <w:rtl/>
          <w:lang w:val="en-US" w:eastAsia="en-US" w:bidi="ar-EG"/>
        </w:rPr>
        <w:t>.</w:t>
      </w:r>
    </w:p>
    <w:p w14:paraId="2F442B57" w14:textId="77777777" w:rsidR="00BA0FB7" w:rsidRDefault="00BA0FB7" w:rsidP="00BA0FB7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56C2252D" w14:textId="77777777" w:rsidR="00AA0666" w:rsidRDefault="00AA0666" w:rsidP="00AA0666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69CCD93C" w14:textId="77777777" w:rsidR="00AA0666" w:rsidRDefault="00AA0666">
      <w:pPr>
        <w:rPr>
          <w:rFonts w:eastAsia="YouYuan" w:cs="Simplified Arabic"/>
          <w:i/>
          <w:iCs/>
          <w:kern w:val="2"/>
          <w:rtl/>
          <w:lang w:val="en-US" w:eastAsia="en-US" w:bidi="ar-EG"/>
        </w:rPr>
      </w:pPr>
      <w:r>
        <w:rPr>
          <w:rFonts w:eastAsia="YouYuan" w:cs="Simplified Arabic"/>
          <w:i/>
          <w:iCs/>
          <w:kern w:val="2"/>
          <w:rtl/>
          <w:lang w:val="en-US" w:eastAsia="en-US" w:bidi="ar-EG"/>
        </w:rPr>
        <w:br w:type="page"/>
      </w:r>
    </w:p>
    <w:p w14:paraId="44115637" w14:textId="711911CD" w:rsidR="00BA0FB7" w:rsidRPr="00BA0FB7" w:rsidRDefault="00BA0FB7" w:rsidP="00BA0FB7">
      <w:pPr>
        <w:bidi/>
        <w:spacing w:after="100" w:line="197" w:lineRule="auto"/>
        <w:jc w:val="center"/>
        <w:rPr>
          <w:rFonts w:eastAsia="YouYuan" w:cs="Simplified Arabic"/>
          <w:i/>
          <w:iCs/>
          <w:kern w:val="2"/>
          <w:rtl/>
          <w:lang w:val="en-US" w:eastAsia="en-US" w:bidi="ar-EG"/>
        </w:rPr>
      </w:pPr>
      <w:r w:rsidRPr="00BA0FB7">
        <w:rPr>
          <w:rFonts w:eastAsia="YouYuan" w:cs="Simplified Arabic" w:hint="cs"/>
          <w:i/>
          <w:iCs/>
          <w:kern w:val="2"/>
          <w:rtl/>
          <w:lang w:val="en-US" w:eastAsia="en-US" w:bidi="ar-EG"/>
        </w:rPr>
        <w:lastRenderedPageBreak/>
        <w:t>المرفق</w:t>
      </w:r>
      <w:r>
        <w:rPr>
          <w:rFonts w:eastAsia="YouYuan" w:cs="Simplified Arabic" w:hint="cs"/>
          <w:i/>
          <w:iCs/>
          <w:kern w:val="2"/>
          <w:rtl/>
          <w:lang w:val="en-US" w:eastAsia="en-US" w:bidi="ar-EG"/>
        </w:rPr>
        <w:t xml:space="preserve"> </w:t>
      </w:r>
      <w:r w:rsidRPr="00BA0FB7">
        <w:rPr>
          <w:rFonts w:eastAsia="YouYuan" w:cs="Simplified Arabic" w:hint="cs"/>
          <w:i/>
          <w:iCs/>
          <w:kern w:val="2"/>
          <w:rtl/>
          <w:lang w:val="en-US" w:eastAsia="en-US" w:bidi="ar-EG"/>
        </w:rPr>
        <w:t>الأول</w:t>
      </w:r>
    </w:p>
    <w:p w14:paraId="6825452F" w14:textId="005C8E72" w:rsidR="00BA0FB7" w:rsidRPr="00BA0FB7" w:rsidRDefault="00AA0666" w:rsidP="00BA0FB7">
      <w:pPr>
        <w:bidi/>
        <w:spacing w:after="100" w:line="197" w:lineRule="auto"/>
        <w:jc w:val="center"/>
        <w:rPr>
          <w:rFonts w:eastAsia="YouYuan" w:cs="Simplified Arabic"/>
          <w:b/>
          <w:bCs/>
          <w:kern w:val="2"/>
          <w:rtl/>
          <w:lang w:val="en-US" w:eastAsia="en-US" w:bidi="ar-EG"/>
        </w:rPr>
      </w:pPr>
      <w:r>
        <w:rPr>
          <w:rFonts w:eastAsia="YouYuan" w:cs="Simplified Arabic" w:hint="cs"/>
          <w:b/>
          <w:bCs/>
          <w:kern w:val="2"/>
          <w:rtl/>
          <w:lang w:val="en-US" w:eastAsia="en-US" w:bidi="ar-EG"/>
        </w:rPr>
        <w:t>ألف-</w:t>
      </w:r>
      <w:r>
        <w:rPr>
          <w:rFonts w:eastAsia="YouYuan" w:cs="Simplified Arabic"/>
          <w:b/>
          <w:bCs/>
          <w:kern w:val="2"/>
          <w:rtl/>
          <w:lang w:val="en-US" w:eastAsia="en-US" w:bidi="ar-EG"/>
        </w:rPr>
        <w:tab/>
      </w:r>
      <w:r>
        <w:rPr>
          <w:rFonts w:eastAsia="YouYuan" w:cs="Simplified Arabic" w:hint="cs"/>
          <w:b/>
          <w:bCs/>
          <w:kern w:val="2"/>
          <w:rtl/>
          <w:lang w:val="en-US" w:eastAsia="en-US" w:bidi="ar-EG"/>
        </w:rPr>
        <w:t>وثائق العمل</w:t>
      </w:r>
    </w:p>
    <w:tbl>
      <w:tblPr>
        <w:bidiVisual/>
        <w:tblW w:w="5496" w:type="pct"/>
        <w:jc w:val="center"/>
        <w:tblLook w:val="0000" w:firstRow="0" w:lastRow="0" w:firstColumn="0" w:lastColumn="0" w:noHBand="0" w:noVBand="0"/>
      </w:tblPr>
      <w:tblGrid>
        <w:gridCol w:w="3196"/>
        <w:gridCol w:w="5529"/>
        <w:gridCol w:w="1564"/>
      </w:tblGrid>
      <w:tr w:rsidR="00BA0FB7" w:rsidRPr="00BA0FB7" w14:paraId="401EF919" w14:textId="77777777" w:rsidTr="0057043A">
        <w:trPr>
          <w:cantSplit/>
          <w:tblHeader/>
          <w:jc w:val="center"/>
        </w:trPr>
        <w:tc>
          <w:tcPr>
            <w:tcW w:w="1553" w:type="pct"/>
          </w:tcPr>
          <w:p w14:paraId="78DC07AB" w14:textId="77777777" w:rsidR="00BA0FB7" w:rsidRPr="00BA0FB7" w:rsidRDefault="00BA0FB7" w:rsidP="0047600E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rPr>
                <w:rFonts w:eastAsia="YouYuan" w:cs="Simplified Arabic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الرمز</w:t>
            </w:r>
          </w:p>
        </w:tc>
        <w:tc>
          <w:tcPr>
            <w:tcW w:w="2687" w:type="pct"/>
          </w:tcPr>
          <w:p w14:paraId="2C1F2508" w14:textId="13F5857E" w:rsidR="00BA0FB7" w:rsidRPr="00BA0FB7" w:rsidRDefault="00BA0FB7" w:rsidP="0047600E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rPr>
                <w:rFonts w:eastAsia="YouYuan" w:cs="Simplified Arabic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عنوان</w:t>
            </w:r>
            <w:r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الوثيقة</w:t>
            </w:r>
          </w:p>
        </w:tc>
        <w:tc>
          <w:tcPr>
            <w:tcW w:w="760" w:type="pct"/>
          </w:tcPr>
          <w:p w14:paraId="41DC6BC3" w14:textId="3366B5AD" w:rsidR="00BA0FB7" w:rsidRPr="00BA0FB7" w:rsidRDefault="00BA0FB7" w:rsidP="0047600E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rPr>
                <w:rFonts w:eastAsia="YouYuan" w:cs="Simplified Arabic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بند</w:t>
            </w:r>
            <w:r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جدول</w:t>
            </w:r>
            <w:r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الأعمال</w:t>
            </w:r>
          </w:p>
        </w:tc>
      </w:tr>
      <w:tr w:rsidR="0057043A" w:rsidRPr="00BA0FB7" w14:paraId="59C7E948" w14:textId="77777777" w:rsidTr="0057043A">
        <w:trPr>
          <w:cantSplit/>
          <w:jc w:val="center"/>
        </w:trPr>
        <w:tc>
          <w:tcPr>
            <w:tcW w:w="1553" w:type="pct"/>
          </w:tcPr>
          <w:p w14:paraId="7F470513" w14:textId="6BE7A278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185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  <w:t>CBD/COP/15/1/Rev.1</w:t>
            </w:r>
          </w:p>
        </w:tc>
        <w:tc>
          <w:tcPr>
            <w:tcW w:w="2687" w:type="pct"/>
          </w:tcPr>
          <w:p w14:paraId="629AB7AA" w14:textId="25A1E6D9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</w:pPr>
            <w:r w:rsidRPr="00BA0FB7"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جدول</w:t>
            </w: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الأعمال</w:t>
            </w: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المؤقت</w:t>
            </w:r>
          </w:p>
        </w:tc>
        <w:tc>
          <w:tcPr>
            <w:tcW w:w="760" w:type="pct"/>
          </w:tcPr>
          <w:p w14:paraId="6484E812" w14:textId="29D1EDC4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center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2</w:t>
            </w:r>
          </w:p>
        </w:tc>
      </w:tr>
      <w:tr w:rsidR="0057043A" w:rsidRPr="00BA0FB7" w14:paraId="60D670D6" w14:textId="77777777" w:rsidTr="0057043A">
        <w:trPr>
          <w:cantSplit/>
          <w:jc w:val="center"/>
        </w:trPr>
        <w:tc>
          <w:tcPr>
            <w:tcW w:w="1553" w:type="pct"/>
          </w:tcPr>
          <w:p w14:paraId="654D5AD4" w14:textId="28660203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185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  <w:t>CBD/COP/15/1/Add.5</w:t>
            </w:r>
          </w:p>
        </w:tc>
        <w:tc>
          <w:tcPr>
            <w:tcW w:w="2687" w:type="pct"/>
          </w:tcPr>
          <w:p w14:paraId="63A25187" w14:textId="315A3910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شروح </w:t>
            </w:r>
            <w:r w:rsidRPr="00BA0FB7"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جدول</w:t>
            </w: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الأعمال</w:t>
            </w:r>
          </w:p>
        </w:tc>
        <w:tc>
          <w:tcPr>
            <w:tcW w:w="760" w:type="pct"/>
          </w:tcPr>
          <w:p w14:paraId="651E9211" w14:textId="619ECD90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center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2</w:t>
            </w:r>
          </w:p>
        </w:tc>
      </w:tr>
      <w:tr w:rsidR="0057043A" w:rsidRPr="00BA0FB7" w14:paraId="21E09F06" w14:textId="77777777" w:rsidTr="0057043A">
        <w:trPr>
          <w:cantSplit/>
          <w:jc w:val="center"/>
        </w:trPr>
        <w:tc>
          <w:tcPr>
            <w:tcW w:w="1553" w:type="pct"/>
          </w:tcPr>
          <w:p w14:paraId="1DB3B9B4" w14:textId="6CC216EF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185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  <w:t>CBD/COP/15/4</w:t>
            </w:r>
          </w:p>
        </w:tc>
        <w:tc>
          <w:tcPr>
            <w:tcW w:w="2687" w:type="pct"/>
          </w:tcPr>
          <w:p w14:paraId="12E800D1" w14:textId="32B4D8F7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تقرير مؤتمر الأطراف في اتفاقية التنوع البيولوجي عن اجتماعه الخامس عشر (الجزء الأول)</w:t>
            </w:r>
          </w:p>
        </w:tc>
        <w:tc>
          <w:tcPr>
            <w:tcW w:w="760" w:type="pct"/>
          </w:tcPr>
          <w:p w14:paraId="6973FDE8" w14:textId="50DE600A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center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29</w:t>
            </w:r>
          </w:p>
        </w:tc>
      </w:tr>
      <w:tr w:rsidR="0057043A" w:rsidRPr="00BA0FB7" w14:paraId="3CCC76B7" w14:textId="77777777" w:rsidTr="0057043A">
        <w:trPr>
          <w:cantSplit/>
          <w:jc w:val="center"/>
        </w:trPr>
        <w:tc>
          <w:tcPr>
            <w:tcW w:w="1553" w:type="pct"/>
          </w:tcPr>
          <w:p w14:paraId="414178AE" w14:textId="51492A1F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185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  <w:t>CBD/COP/15/Part-II/L.1/Rev.1</w:t>
            </w:r>
          </w:p>
        </w:tc>
        <w:tc>
          <w:tcPr>
            <w:tcW w:w="2687" w:type="pct"/>
          </w:tcPr>
          <w:p w14:paraId="07BF7A57" w14:textId="5C28CBBD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مشروع تقرير الاجتماع</w:t>
            </w:r>
          </w:p>
        </w:tc>
        <w:tc>
          <w:tcPr>
            <w:tcW w:w="760" w:type="pct"/>
          </w:tcPr>
          <w:p w14:paraId="57C507E3" w14:textId="5BBCCBDC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center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29</w:t>
            </w:r>
          </w:p>
        </w:tc>
      </w:tr>
    </w:tbl>
    <w:p w14:paraId="2862B5C9" w14:textId="77777777" w:rsidR="00AA0666" w:rsidRDefault="00AA0666">
      <w:pPr>
        <w:bidi/>
        <w:rPr>
          <w:rtl/>
        </w:rPr>
      </w:pPr>
    </w:p>
    <w:p w14:paraId="73F821C3" w14:textId="2A1F13BF" w:rsidR="00AA0666" w:rsidRDefault="00AA0666" w:rsidP="00AA0666">
      <w:pPr>
        <w:bidi/>
        <w:jc w:val="center"/>
      </w:pPr>
      <w:r>
        <w:rPr>
          <w:rFonts w:eastAsia="YouYuan" w:cs="Simplified Arabic" w:hint="cs"/>
          <w:b/>
          <w:bCs/>
          <w:snapToGrid w:val="0"/>
          <w:color w:val="000000"/>
          <w:kern w:val="22"/>
          <w:rtl/>
          <w:lang w:val="en-GB" w:eastAsia="en-US" w:bidi="ar-EG"/>
        </w:rPr>
        <w:t>باء-</w:t>
      </w:r>
      <w:r w:rsidR="0057043A">
        <w:rPr>
          <w:rFonts w:eastAsia="YouYuan" w:cs="Simplified Arabic"/>
          <w:b/>
          <w:bCs/>
          <w:snapToGrid w:val="0"/>
          <w:color w:val="000000"/>
          <w:kern w:val="22"/>
          <w:rtl/>
          <w:lang w:val="en-GB" w:eastAsia="en-US" w:bidi="ar-EG"/>
        </w:rPr>
        <w:tab/>
      </w:r>
      <w:r w:rsidRPr="00BA0FB7">
        <w:rPr>
          <w:rFonts w:eastAsia="YouYuan" w:cs="Simplified Arabic" w:hint="cs"/>
          <w:b/>
          <w:bCs/>
          <w:snapToGrid w:val="0"/>
          <w:color w:val="000000"/>
          <w:kern w:val="22"/>
          <w:rtl/>
          <w:lang w:val="en-GB" w:eastAsia="en-US" w:bidi="ar-EG"/>
        </w:rPr>
        <w:t>وثائق</w:t>
      </w:r>
      <w:r>
        <w:rPr>
          <w:rFonts w:eastAsia="YouYuan" w:cs="Simplified Arabic" w:hint="cs"/>
          <w:b/>
          <w:bCs/>
          <w:snapToGrid w:val="0"/>
          <w:color w:val="000000"/>
          <w:kern w:val="22"/>
          <w:rtl/>
          <w:lang w:val="en-GB" w:eastAsia="en-US" w:bidi="ar-EG"/>
        </w:rPr>
        <w:t xml:space="preserve"> </w:t>
      </w:r>
      <w:r w:rsidRPr="00BA0FB7">
        <w:rPr>
          <w:rFonts w:eastAsia="YouYuan" w:cs="Simplified Arabic" w:hint="cs"/>
          <w:b/>
          <w:bCs/>
          <w:snapToGrid w:val="0"/>
          <w:color w:val="000000"/>
          <w:kern w:val="22"/>
          <w:rtl/>
          <w:lang w:val="en-GB" w:eastAsia="en-US" w:bidi="ar-EG"/>
        </w:rPr>
        <w:t>المعلومات</w:t>
      </w:r>
    </w:p>
    <w:tbl>
      <w:tblPr>
        <w:bidiVisual/>
        <w:tblW w:w="5496" w:type="pct"/>
        <w:jc w:val="center"/>
        <w:tblLook w:val="0000" w:firstRow="0" w:lastRow="0" w:firstColumn="0" w:lastColumn="0" w:noHBand="0" w:noVBand="0"/>
      </w:tblPr>
      <w:tblGrid>
        <w:gridCol w:w="3196"/>
        <w:gridCol w:w="5529"/>
        <w:gridCol w:w="1564"/>
      </w:tblGrid>
      <w:tr w:rsidR="0047600E" w:rsidRPr="00BA0FB7" w14:paraId="56136D44" w14:textId="77777777" w:rsidTr="0057043A">
        <w:trPr>
          <w:cantSplit/>
          <w:jc w:val="center"/>
        </w:trPr>
        <w:tc>
          <w:tcPr>
            <w:tcW w:w="1553" w:type="pct"/>
          </w:tcPr>
          <w:p w14:paraId="4C6889F9" w14:textId="3DB562E9" w:rsidR="0047600E" w:rsidRPr="00BA0FB7" w:rsidRDefault="0047600E" w:rsidP="0047600E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245"/>
              <w:jc w:val="right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US" w:eastAsia="en-US" w:bidi="ar-EG"/>
              </w:rPr>
            </w:pP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الرمز</w:t>
            </w:r>
          </w:p>
        </w:tc>
        <w:tc>
          <w:tcPr>
            <w:tcW w:w="2687" w:type="pct"/>
          </w:tcPr>
          <w:p w14:paraId="6181F656" w14:textId="72A04D66" w:rsidR="0047600E" w:rsidRPr="00BA0FB7" w:rsidRDefault="0047600E" w:rsidP="0047600E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right"/>
              <w:rPr>
                <w:rFonts w:eastAsia="YouYuan" w:cs="Simplified Arabic"/>
                <w:b/>
                <w:bCs/>
                <w:snapToGrid w:val="0"/>
                <w:color w:val="000000"/>
                <w:kern w:val="22"/>
                <w:rtl/>
                <w:lang w:val="en-GB" w:eastAsia="en-US" w:bidi="ar-EG"/>
              </w:rPr>
            </w:pP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عنوان</w:t>
            </w:r>
            <w:r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الوثيقة</w:t>
            </w:r>
          </w:p>
        </w:tc>
        <w:tc>
          <w:tcPr>
            <w:tcW w:w="760" w:type="pct"/>
          </w:tcPr>
          <w:p w14:paraId="51D43C20" w14:textId="6F4DF94F" w:rsidR="0047600E" w:rsidRPr="00BA0FB7" w:rsidRDefault="0047600E" w:rsidP="0047600E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right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بند</w:t>
            </w:r>
            <w:r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جدول</w:t>
            </w:r>
            <w:r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 xml:space="preserve"> </w:t>
            </w:r>
            <w:r w:rsidRPr="00BA0FB7">
              <w:rPr>
                <w:rFonts w:eastAsia="YouYuan" w:cs="Simplified Arabic" w:hint="cs"/>
                <w:b/>
                <w:i/>
                <w:iCs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الأعمال</w:t>
            </w:r>
          </w:p>
        </w:tc>
      </w:tr>
      <w:tr w:rsidR="0057043A" w:rsidRPr="00BA0FB7" w14:paraId="580BB52F" w14:textId="77777777" w:rsidTr="0057043A">
        <w:trPr>
          <w:cantSplit/>
          <w:jc w:val="center"/>
        </w:trPr>
        <w:tc>
          <w:tcPr>
            <w:tcW w:w="1553" w:type="pct"/>
          </w:tcPr>
          <w:p w14:paraId="4253BB25" w14:textId="7D89984D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185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  <w:t>CBD/COP/15/INF/27</w:t>
            </w:r>
          </w:p>
        </w:tc>
        <w:tc>
          <w:tcPr>
            <w:tcW w:w="2687" w:type="pct"/>
          </w:tcPr>
          <w:p w14:paraId="213F546F" w14:textId="49F26C81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قبول الهيئات والوكالات المؤهلة لحضور الجزء الثاني المستأنف من الاجتماع الخامس عشر لمؤتمر الأطراف والاجتماعات المتزامنة لمؤتمر الأطراف العامل كاجتماعات الأطراف في البروتوكولين</w:t>
            </w:r>
          </w:p>
        </w:tc>
        <w:tc>
          <w:tcPr>
            <w:tcW w:w="760" w:type="pct"/>
          </w:tcPr>
          <w:p w14:paraId="1596DF93" w14:textId="2A5638F9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center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GB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3</w:t>
            </w:r>
          </w:p>
        </w:tc>
      </w:tr>
      <w:tr w:rsidR="0057043A" w:rsidRPr="00BA0FB7" w14:paraId="7F0E4395" w14:textId="77777777" w:rsidTr="0057043A">
        <w:trPr>
          <w:cantSplit/>
          <w:jc w:val="center"/>
        </w:trPr>
        <w:tc>
          <w:tcPr>
            <w:tcW w:w="1553" w:type="pct"/>
          </w:tcPr>
          <w:p w14:paraId="5432C169" w14:textId="229AEE0D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spacing w:before="120" w:line="216" w:lineRule="auto"/>
              <w:ind w:left="185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1"/>
                <w:szCs w:val="21"/>
                <w:lang w:val="en-GB" w:eastAsia="en-US" w:bidi="ar-EG"/>
              </w:rPr>
              <w:t>CBD/COP/15/INF/28</w:t>
            </w:r>
          </w:p>
        </w:tc>
        <w:tc>
          <w:tcPr>
            <w:tcW w:w="2687" w:type="pct"/>
          </w:tcPr>
          <w:p w14:paraId="3A32C438" w14:textId="5C7F8D60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60" w:after="60" w:line="216" w:lineRule="auto"/>
              <w:jc w:val="lowKashida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</w:pPr>
            <w:r w:rsidRPr="0057043A"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إجراءات الانتخابات لشغل مناصب نواب رئيس مكتب مؤتمر الأطراف في الاتفاقية، ورئيس الهيئة الفرعية للمشورة العلمية والتقنية والتكنولوجية، ورئيس الهيئة الفرعية للتنفيذ</w:t>
            </w:r>
          </w:p>
        </w:tc>
        <w:tc>
          <w:tcPr>
            <w:tcW w:w="760" w:type="pct"/>
          </w:tcPr>
          <w:p w14:paraId="489E6179" w14:textId="168429BD" w:rsidR="0057043A" w:rsidRPr="00BA0FB7" w:rsidRDefault="0057043A" w:rsidP="0057043A">
            <w:pPr>
              <w:kinsoku w:val="0"/>
              <w:overflowPunct w:val="0"/>
              <w:autoSpaceDE w:val="0"/>
              <w:autoSpaceDN w:val="0"/>
              <w:bidi/>
              <w:spacing w:before="120" w:after="60" w:line="216" w:lineRule="auto"/>
              <w:jc w:val="center"/>
              <w:rPr>
                <w:rFonts w:eastAsia="YouYuan" w:cs="Simplified Arabic"/>
                <w:snapToGrid w:val="0"/>
                <w:color w:val="000000"/>
                <w:kern w:val="22"/>
                <w:sz w:val="22"/>
                <w:szCs w:val="22"/>
                <w:lang w:val="en-US" w:eastAsia="en-US" w:bidi="ar-EG"/>
              </w:rPr>
            </w:pPr>
            <w:r>
              <w:rPr>
                <w:rFonts w:eastAsia="YouYuan" w:cs="Simplified Arabic" w:hint="cs"/>
                <w:snapToGrid w:val="0"/>
                <w:color w:val="000000"/>
                <w:kern w:val="22"/>
                <w:sz w:val="22"/>
                <w:szCs w:val="22"/>
                <w:rtl/>
                <w:lang w:val="en-GB" w:eastAsia="en-US" w:bidi="ar-EG"/>
              </w:rPr>
              <w:t>2</w:t>
            </w:r>
          </w:p>
        </w:tc>
      </w:tr>
    </w:tbl>
    <w:p w14:paraId="6AF34595" w14:textId="77777777" w:rsidR="00BA0FB7" w:rsidRDefault="00BA0FB7" w:rsidP="00BA0FB7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42B43816" w14:textId="77777777" w:rsidR="00AA0666" w:rsidRDefault="00AA0666" w:rsidP="00AA0666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132C6F46" w14:textId="77777777" w:rsidR="000410D9" w:rsidRDefault="000410D9" w:rsidP="000410D9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12B45462" w14:textId="2B15FD42" w:rsidR="000410D9" w:rsidRDefault="000410D9">
      <w:pPr>
        <w:rPr>
          <w:rFonts w:eastAsia="YouYuan" w:cs="Simplified Arabic"/>
          <w:kern w:val="2"/>
          <w:sz w:val="22"/>
          <w:rtl/>
          <w:lang w:val="en-US" w:eastAsia="en-US" w:bidi="ar-EG"/>
        </w:rPr>
      </w:pPr>
      <w:r>
        <w:rPr>
          <w:rFonts w:eastAsia="YouYuan" w:cs="Simplified Arabic"/>
          <w:kern w:val="2"/>
          <w:sz w:val="22"/>
          <w:rtl/>
          <w:lang w:val="en-US" w:eastAsia="en-US" w:bidi="ar-EG"/>
        </w:rPr>
        <w:br w:type="page"/>
      </w:r>
    </w:p>
    <w:p w14:paraId="12012043" w14:textId="77777777" w:rsidR="000410D9" w:rsidRPr="0057043A" w:rsidRDefault="000410D9" w:rsidP="0057043A">
      <w:pPr>
        <w:bidi/>
        <w:spacing w:after="100" w:line="197" w:lineRule="auto"/>
        <w:jc w:val="center"/>
        <w:rPr>
          <w:rFonts w:eastAsia="YouYuan" w:cs="Simplified Arabic"/>
          <w:i/>
          <w:iCs/>
          <w:kern w:val="2"/>
          <w:lang w:val="en-US" w:eastAsia="en-US" w:bidi="ar-EG"/>
        </w:rPr>
      </w:pPr>
      <w:r w:rsidRPr="0057043A">
        <w:rPr>
          <w:rFonts w:eastAsia="YouYuan" w:cs="Simplified Arabic"/>
          <w:i/>
          <w:iCs/>
          <w:kern w:val="2"/>
          <w:rtl/>
          <w:lang w:val="en-US" w:eastAsia="en-US" w:bidi="ar-EG"/>
        </w:rPr>
        <w:lastRenderedPageBreak/>
        <w:t>المرفق الثاني</w:t>
      </w:r>
    </w:p>
    <w:p w14:paraId="05A195A9" w14:textId="44A89CDF" w:rsidR="000410D9" w:rsidRPr="0057043A" w:rsidRDefault="000410D9" w:rsidP="0047600E">
      <w:pPr>
        <w:bidi/>
        <w:spacing w:after="100" w:line="197" w:lineRule="auto"/>
        <w:jc w:val="center"/>
        <w:rPr>
          <w:rFonts w:eastAsia="YouYuan" w:cs="Simplified Arabic"/>
          <w:b/>
          <w:bCs/>
          <w:kern w:val="2"/>
          <w:rtl/>
          <w:lang w:val="en-US" w:eastAsia="en-US" w:bidi="ar-EG"/>
        </w:rPr>
      </w:pPr>
      <w:r w:rsidRPr="0057043A">
        <w:rPr>
          <w:rFonts w:eastAsia="YouYuan" w:cs="Simplified Arabic"/>
          <w:b/>
          <w:bCs/>
          <w:kern w:val="2"/>
          <w:rtl/>
          <w:lang w:val="en-US" w:eastAsia="en-US" w:bidi="ar-EG"/>
        </w:rPr>
        <w:t xml:space="preserve">تنظيم </w:t>
      </w:r>
      <w:r w:rsidR="0047600E">
        <w:rPr>
          <w:rFonts w:eastAsia="YouYuan" w:cs="Simplified Arabic" w:hint="cs"/>
          <w:b/>
          <w:bCs/>
          <w:kern w:val="2"/>
          <w:rtl/>
          <w:lang w:val="en-US" w:eastAsia="en-US" w:bidi="ar-EG"/>
        </w:rPr>
        <w:t>ا</w:t>
      </w:r>
      <w:r w:rsidR="0047600E" w:rsidRPr="0057043A">
        <w:rPr>
          <w:rFonts w:eastAsia="YouYuan" w:cs="Simplified Arabic"/>
          <w:b/>
          <w:bCs/>
          <w:kern w:val="2"/>
          <w:rtl/>
          <w:lang w:val="en-US" w:eastAsia="en-US" w:bidi="ar-EG"/>
        </w:rPr>
        <w:t xml:space="preserve">لعمل </w:t>
      </w:r>
      <w:r w:rsidRPr="0057043A">
        <w:rPr>
          <w:rFonts w:eastAsia="YouYuan" w:cs="Simplified Arabic"/>
          <w:b/>
          <w:bCs/>
          <w:kern w:val="2"/>
          <w:rtl/>
          <w:lang w:val="en-US" w:eastAsia="en-US" w:bidi="ar-EG"/>
        </w:rPr>
        <w:t>المقترح في الجزء الثاني المستأنف</w:t>
      </w:r>
      <w:r w:rsidR="0057043A">
        <w:rPr>
          <w:rFonts w:eastAsia="YouYuan" w:cs="Simplified Arabic" w:hint="cs"/>
          <w:b/>
          <w:bCs/>
          <w:kern w:val="2"/>
          <w:rtl/>
          <w:lang w:val="en-US" w:eastAsia="en-US" w:bidi="ar-EG"/>
        </w:rPr>
        <w:t xml:space="preserve"> من</w:t>
      </w:r>
      <w:r w:rsidR="0047600E">
        <w:rPr>
          <w:rFonts w:eastAsia="YouYuan" w:cs="Simplified Arabic"/>
          <w:b/>
          <w:bCs/>
          <w:kern w:val="2"/>
          <w:rtl/>
          <w:lang w:val="en-US" w:eastAsia="en-US" w:bidi="ar-EG"/>
        </w:rPr>
        <w:br/>
      </w:r>
      <w:r w:rsidRPr="0057043A">
        <w:rPr>
          <w:rFonts w:eastAsia="YouYuan" w:cs="Simplified Arabic"/>
          <w:b/>
          <w:bCs/>
          <w:kern w:val="2"/>
          <w:rtl/>
          <w:lang w:val="en-US" w:eastAsia="en-US" w:bidi="ar-EG"/>
        </w:rPr>
        <w:t>الاجتماع الخامس عشر لمؤتمر الأطراف</w:t>
      </w:r>
      <w:r w:rsidR="0057043A">
        <w:rPr>
          <w:rFonts w:eastAsia="YouYuan" w:cs="Simplified Arabic" w:hint="cs"/>
          <w:b/>
          <w:bCs/>
          <w:kern w:val="2"/>
          <w:rtl/>
          <w:lang w:val="en-US" w:eastAsia="en-US" w:bidi="ar-EG"/>
        </w:rPr>
        <w:t xml:space="preserve"> في</w:t>
      </w:r>
      <w:r w:rsidR="0047600E">
        <w:rPr>
          <w:rFonts w:eastAsia="YouYuan" w:cs="Simplified Arabic"/>
          <w:b/>
          <w:bCs/>
          <w:kern w:val="2"/>
          <w:rtl/>
          <w:lang w:val="en-US" w:eastAsia="en-US" w:bidi="ar-EG"/>
        </w:rPr>
        <w:br/>
      </w:r>
      <w:r w:rsidRPr="0057043A">
        <w:rPr>
          <w:rFonts w:eastAsia="YouYuan" w:cs="Simplified Arabic"/>
          <w:b/>
          <w:bCs/>
          <w:kern w:val="2"/>
          <w:rtl/>
          <w:lang w:val="en-US" w:eastAsia="en-US" w:bidi="ar-EG"/>
        </w:rPr>
        <w:t>اتفاقية التنوع البيولوجي</w:t>
      </w:r>
    </w:p>
    <w:tbl>
      <w:tblPr>
        <w:tblStyle w:val="TableGrid"/>
        <w:bidiVisual/>
        <w:tblW w:w="10070" w:type="dxa"/>
        <w:tblInd w:w="-40" w:type="dxa"/>
        <w:tblLook w:val="04A0" w:firstRow="1" w:lastRow="0" w:firstColumn="1" w:lastColumn="0" w:noHBand="0" w:noVBand="1"/>
      </w:tblPr>
      <w:tblGrid>
        <w:gridCol w:w="1644"/>
        <w:gridCol w:w="1060"/>
        <w:gridCol w:w="1559"/>
        <w:gridCol w:w="1701"/>
        <w:gridCol w:w="4106"/>
      </w:tblGrid>
      <w:tr w:rsidR="000E15CE" w:rsidRPr="000E15CE" w14:paraId="296564D5" w14:textId="77777777" w:rsidTr="00EB66F2">
        <w:tc>
          <w:tcPr>
            <w:tcW w:w="1644" w:type="dxa"/>
            <w:tcBorders>
              <w:left w:val="nil"/>
              <w:bottom w:val="double" w:sz="4" w:space="0" w:color="000000"/>
              <w:right w:val="dotted" w:sz="4" w:space="0" w:color="000000"/>
            </w:tcBorders>
          </w:tcPr>
          <w:p w14:paraId="0734EE5B" w14:textId="0BB5BCD5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i/>
                <w:iCs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 w:hint="cs"/>
                <w:i/>
                <w:iCs/>
                <w:kern w:val="22"/>
                <w:sz w:val="20"/>
                <w:szCs w:val="22"/>
                <w:rtl/>
              </w:rPr>
              <w:t>التاريخ</w:t>
            </w:r>
          </w:p>
        </w:tc>
        <w:tc>
          <w:tcPr>
            <w:tcW w:w="8426" w:type="dxa"/>
            <w:gridSpan w:val="4"/>
            <w:tcBorders>
              <w:left w:val="dotted" w:sz="4" w:space="0" w:color="000000"/>
              <w:bottom w:val="single" w:sz="4" w:space="0" w:color="auto"/>
              <w:right w:val="nil"/>
            </w:tcBorders>
          </w:tcPr>
          <w:p w14:paraId="14A8C39F" w14:textId="0C8B5F56" w:rsidR="000E15CE" w:rsidRPr="000E15CE" w:rsidRDefault="000E15CE" w:rsidP="000E15CE">
            <w:pPr>
              <w:bidi/>
              <w:snapToGrid w:val="0"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i/>
                <w:iCs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 w:hint="cs"/>
                <w:i/>
                <w:iCs/>
                <w:kern w:val="22"/>
                <w:sz w:val="20"/>
                <w:szCs w:val="22"/>
                <w:rtl/>
              </w:rPr>
              <w:t>بنود جدول الأعمال</w:t>
            </w:r>
          </w:p>
        </w:tc>
      </w:tr>
      <w:tr w:rsidR="00EB66F2" w:rsidRPr="000E15CE" w14:paraId="39F268CB" w14:textId="77777777" w:rsidTr="00EB66F2">
        <w:tc>
          <w:tcPr>
            <w:tcW w:w="1644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14:paraId="28041F55" w14:textId="77777777" w:rsidR="00EB66F2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  <w:rtl/>
              </w:rPr>
            </w:pP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الخميس 19 أكتوبر/تشرين الأول</w:t>
            </w:r>
          </w:p>
          <w:p w14:paraId="15B5FA26" w14:textId="2F31A92B" w:rsidR="00EB66F2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(</w:t>
            </w: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15:00-18:00</w:t>
            </w: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)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14A4CA4" w14:textId="55A3409C" w:rsidR="00EB66F2" w:rsidRPr="000E15CE" w:rsidRDefault="00EB66F2" w:rsidP="00EB66F2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اتفاقية التنوع البيولوجي</w:t>
            </w:r>
          </w:p>
        </w:tc>
        <w:tc>
          <w:tcPr>
            <w:tcW w:w="1559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6AD1F9" w14:textId="7BD2E3C4" w:rsidR="00EB66F2" w:rsidRPr="000E15CE" w:rsidRDefault="00EB66F2" w:rsidP="00EB66F2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مؤتمر الأطراف في بروتوكول قرطاجنة</w:t>
            </w:r>
          </w:p>
        </w:tc>
        <w:tc>
          <w:tcPr>
            <w:tcW w:w="1701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5FF40" w14:textId="3EC6A708" w:rsidR="00EB66F2" w:rsidRPr="000E15CE" w:rsidRDefault="00EB66F2" w:rsidP="00EB66F2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مؤتمر الأطراف في بروتوكول ناغويا</w:t>
            </w:r>
          </w:p>
        </w:tc>
        <w:tc>
          <w:tcPr>
            <w:tcW w:w="4106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</w:tcBorders>
          </w:tcPr>
          <w:p w14:paraId="741DE54B" w14:textId="77777777" w:rsidR="00EB66F2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</w:tr>
      <w:tr w:rsidR="00EB66F2" w:rsidRPr="000E15CE" w14:paraId="19D72129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23AAFD41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71C2615B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1DC97C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76368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3D3996" w14:textId="48821B30" w:rsidR="000E15CE" w:rsidRPr="000E15CE" w:rsidRDefault="00EB66F2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اختتام الاجتماع</w:t>
            </w:r>
          </w:p>
        </w:tc>
      </w:tr>
      <w:tr w:rsidR="00EB66F2" w:rsidRPr="000E15CE" w14:paraId="19045F77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6D1FEA7F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7C740AB6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CBDCA2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DBF7B6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6BAD830" w14:textId="7D6E44C6" w:rsidR="000E15CE" w:rsidRPr="000E15CE" w:rsidRDefault="00EB66F2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المسائل التنظيمية (تنظيم العمل)</w:t>
            </w:r>
          </w:p>
        </w:tc>
      </w:tr>
      <w:tr w:rsidR="00EB66F2" w:rsidRPr="000E15CE" w14:paraId="3F11C059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57CF0A48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3CCA52E2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DA8311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2EA49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3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942B474" w14:textId="3EE0BCC6" w:rsidR="000E15CE" w:rsidRPr="000E15CE" w:rsidRDefault="00EB66F2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تقرير عن تفويض ممثلي الأطراف</w:t>
            </w:r>
          </w:p>
        </w:tc>
      </w:tr>
      <w:tr w:rsidR="00EB66F2" w:rsidRPr="000E15CE" w14:paraId="7AF2DA7B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270CF9FD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bookmarkStart w:id="0" w:name="_Hlk115959280"/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37DF28B7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29CB1A" w14:textId="44F67273" w:rsidR="000E15CE" w:rsidRPr="000E15CE" w:rsidRDefault="0047600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/>
                <w:kern w:val="22"/>
                <w:sz w:val="20"/>
                <w:szCs w:val="22"/>
                <w:rtl/>
              </w:rPr>
              <w:t>لا ينطبق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615705" w14:textId="104FD3CB" w:rsidR="000E15CE" w:rsidRPr="000E15CE" w:rsidRDefault="0047600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/>
                <w:kern w:val="22"/>
                <w:sz w:val="20"/>
                <w:szCs w:val="22"/>
                <w:rtl/>
              </w:rPr>
              <w:t>لا ينطبق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544BF5" w14:textId="48387AB4" w:rsidR="000E15CE" w:rsidRPr="000E15CE" w:rsidRDefault="0047600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47600E">
              <w:rPr>
                <w:rFonts w:ascii="Times New Roman" w:hAnsi="Times New Roman" w:cs="Simplified Arabic"/>
                <w:kern w:val="22"/>
                <w:sz w:val="20"/>
                <w:szCs w:val="22"/>
                <w:rtl/>
              </w:rPr>
              <w:t>تاريخ ومكان الاجتماعات القادمة لمؤتمر الأطراف</w:t>
            </w:r>
          </w:p>
        </w:tc>
      </w:tr>
      <w:bookmarkEnd w:id="0"/>
      <w:tr w:rsidR="00EB66F2" w:rsidRPr="000E15CE" w14:paraId="57236A45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51B490C7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1722F1F2" w14:textId="53715418" w:rsidR="000E15CE" w:rsidRPr="000E15CE" w:rsidRDefault="0047600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/>
                <w:kern w:val="22"/>
                <w:sz w:val="20"/>
                <w:szCs w:val="22"/>
                <w:rtl/>
              </w:rPr>
              <w:t>لا ينطبق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A8879D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675C71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5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6521CB0" w14:textId="3AFF58FD" w:rsidR="000E15CE" w:rsidRPr="000E15CE" w:rsidRDefault="00EB66F2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تقرير لجنة الامتثال</w:t>
            </w:r>
          </w:p>
        </w:tc>
      </w:tr>
      <w:tr w:rsidR="00EB66F2" w:rsidRPr="000E15CE" w14:paraId="3E39B1F2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04B0CD36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uble" w:sz="4" w:space="0" w:color="000000"/>
              <w:right w:val="dotted" w:sz="4" w:space="0" w:color="000000"/>
            </w:tcBorders>
          </w:tcPr>
          <w:p w14:paraId="0DBD3290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14:paraId="2E497CA7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14:paraId="543FF14D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</w:tcBorders>
          </w:tcPr>
          <w:p w14:paraId="3419009F" w14:textId="64A0B816" w:rsidR="000E15CE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المسائل التنظيمية (انتخاب أعضاء المجلس)</w:t>
            </w:r>
          </w:p>
        </w:tc>
      </w:tr>
      <w:tr w:rsidR="000E15CE" w:rsidRPr="000E15CE" w14:paraId="12F4CAD4" w14:textId="77777777" w:rsidTr="00EB66F2">
        <w:tc>
          <w:tcPr>
            <w:tcW w:w="1644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6C771E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b/>
                <w:bCs/>
                <w:kern w:val="22"/>
                <w:sz w:val="20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228A72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4106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261B5F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</w:tr>
      <w:tr w:rsidR="00EB66F2" w:rsidRPr="000E15CE" w14:paraId="4620A503" w14:textId="77777777" w:rsidTr="00EB66F2">
        <w:tc>
          <w:tcPr>
            <w:tcW w:w="1644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14:paraId="68E7B370" w14:textId="06EA9859" w:rsidR="00EB66F2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  <w:rtl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الجمعة</w:t>
            </w: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20</w:t>
            </w: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 xml:space="preserve"> أكتوبر/تشرين الأول</w:t>
            </w:r>
          </w:p>
          <w:p w14:paraId="6837A53E" w14:textId="45F9507C" w:rsidR="00EB66F2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(</w:t>
            </w: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10:00-13:00</w:t>
            </w:r>
            <w:r w:rsidRPr="000E15CE"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)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39CB1E94" w14:textId="7E5B0C8E" w:rsidR="00EB66F2" w:rsidRPr="000E15CE" w:rsidRDefault="00EB66F2" w:rsidP="00EB66F2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اتفاقية التنوع البيولوجي</w:t>
            </w:r>
          </w:p>
        </w:tc>
        <w:tc>
          <w:tcPr>
            <w:tcW w:w="1559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60F28D" w14:textId="136E60CA" w:rsidR="00EB66F2" w:rsidRPr="000E15CE" w:rsidRDefault="00EB66F2" w:rsidP="00EB66F2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مؤتمر الأطراف في بروتوكول قرطاجنة</w:t>
            </w:r>
          </w:p>
        </w:tc>
        <w:tc>
          <w:tcPr>
            <w:tcW w:w="1701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5DC71" w14:textId="3803CE87" w:rsidR="00EB66F2" w:rsidRPr="000E15CE" w:rsidRDefault="00EB66F2" w:rsidP="00EB66F2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مؤتمر الأطراف في بروتوكول ناغويا</w:t>
            </w:r>
          </w:p>
        </w:tc>
        <w:tc>
          <w:tcPr>
            <w:tcW w:w="4106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</w:tcBorders>
          </w:tcPr>
          <w:p w14:paraId="2D26D75C" w14:textId="77777777" w:rsidR="00EB66F2" w:rsidRPr="000E15CE" w:rsidRDefault="00EB66F2" w:rsidP="00EB66F2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</w:tr>
      <w:tr w:rsidR="00EB66F2" w:rsidRPr="000E15CE" w14:paraId="561A18BC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6D672D98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2A4D0154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38B693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C1150D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17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B51398F" w14:textId="3C43EBEB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مسائل أخرى</w:t>
            </w:r>
          </w:p>
        </w:tc>
      </w:tr>
      <w:tr w:rsidR="00EB66F2" w:rsidRPr="000E15CE" w14:paraId="53EED1A9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4233D2D1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592B72B1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DBD72D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AC23F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18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5AD01D" w14:textId="27C00BE5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اعتماد التقرير</w:t>
            </w:r>
          </w:p>
        </w:tc>
      </w:tr>
      <w:tr w:rsidR="00EB66F2" w:rsidRPr="000E15CE" w14:paraId="6C7B2347" w14:textId="77777777" w:rsidTr="00EB66F2">
        <w:tc>
          <w:tcPr>
            <w:tcW w:w="1644" w:type="dxa"/>
            <w:vMerge/>
            <w:tcBorders>
              <w:bottom w:val="double" w:sz="4" w:space="0" w:color="000000"/>
              <w:right w:val="single" w:sz="4" w:space="0" w:color="auto"/>
            </w:tcBorders>
          </w:tcPr>
          <w:p w14:paraId="0BEE142B" w14:textId="77777777" w:rsidR="000E15CE" w:rsidRPr="000E15CE" w:rsidRDefault="000E15CE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</w:p>
        </w:tc>
        <w:tc>
          <w:tcPr>
            <w:tcW w:w="10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47886BF2" w14:textId="77777777" w:rsidR="000E15CE" w:rsidRPr="000E15CE" w:rsidRDefault="000E15CE" w:rsidP="000E15CE">
            <w:pPr>
              <w:shd w:val="clear" w:color="auto" w:fill="92D05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30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A1F0D7" w14:textId="77777777" w:rsidR="000E15CE" w:rsidRPr="000E15CE" w:rsidRDefault="000E15CE" w:rsidP="000E15CE">
            <w:pPr>
              <w:shd w:val="clear" w:color="auto" w:fill="FFC000"/>
              <w:tabs>
                <w:tab w:val="left" w:pos="154"/>
                <w:tab w:val="left" w:pos="208"/>
              </w:tabs>
              <w:bidi/>
              <w:snapToGrid w:val="0"/>
              <w:spacing w:before="40" w:after="40"/>
              <w:ind w:right="-612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20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A13E58" w14:textId="77777777" w:rsidR="000E15CE" w:rsidRPr="000E15CE" w:rsidRDefault="000E15CE" w:rsidP="000E15CE">
            <w:pPr>
              <w:shd w:val="clear" w:color="auto" w:fill="00B0F0"/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 w:rsidRPr="000E15CE">
              <w:rPr>
                <w:rFonts w:ascii="Times New Roman" w:hAnsi="Times New Roman" w:cs="Simplified Arabic"/>
                <w:kern w:val="22"/>
                <w:sz w:val="20"/>
                <w:szCs w:val="22"/>
              </w:rPr>
              <w:t>19</w:t>
            </w:r>
          </w:p>
        </w:tc>
        <w:tc>
          <w:tcPr>
            <w:tcW w:w="41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6E1B8CC" w14:textId="089F483D" w:rsidR="000E15CE" w:rsidRPr="000E15CE" w:rsidRDefault="00EB66F2" w:rsidP="000E15CE">
            <w:pPr>
              <w:bidi/>
              <w:snapToGrid w:val="0"/>
              <w:spacing w:before="40" w:after="40"/>
              <w:rPr>
                <w:rFonts w:ascii="Times New Roman" w:hAnsi="Times New Roman" w:cs="Simplified Arabic"/>
                <w:kern w:val="22"/>
                <w:sz w:val="20"/>
                <w:szCs w:val="22"/>
              </w:rPr>
            </w:pPr>
            <w:r>
              <w:rPr>
                <w:rFonts w:ascii="Times New Roman" w:hAnsi="Times New Roman" w:cs="Simplified Arabic" w:hint="cs"/>
                <w:kern w:val="22"/>
                <w:sz w:val="20"/>
                <w:szCs w:val="22"/>
                <w:rtl/>
              </w:rPr>
              <w:t>اختتام الاجتماع</w:t>
            </w:r>
          </w:p>
        </w:tc>
      </w:tr>
    </w:tbl>
    <w:p w14:paraId="6C030E45" w14:textId="77777777" w:rsidR="000410D9" w:rsidRDefault="000410D9" w:rsidP="000410D9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4E56B09B" w14:textId="16C2EBB6" w:rsidR="000410D9" w:rsidRDefault="000E15CE" w:rsidP="000410D9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  <w:r w:rsidRPr="0047600E">
        <w:rPr>
          <w:rFonts w:eastAsia="YouYuan" w:cs="Simplified Arabic" w:hint="cs"/>
          <w:i/>
          <w:iCs/>
          <w:kern w:val="2"/>
          <w:sz w:val="22"/>
          <w:rtl/>
          <w:lang w:val="en-US" w:eastAsia="en-US" w:bidi="ar-EG"/>
        </w:rPr>
        <w:t>ملاحظة</w:t>
      </w:r>
      <w:r w:rsidR="000410D9" w:rsidRPr="000410D9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: الأعمدة الخاصة بالبنود المدرجة في إطار مؤتمر الأطراف العامل كاجتماعات للأطراف في البروتوكولين مدرجة لأغراض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العلم</w:t>
      </w:r>
      <w:r w:rsidR="000410D9" w:rsidRPr="000410D9">
        <w:rPr>
          <w:rFonts w:eastAsia="YouYuan" w:cs="Simplified Arabic"/>
          <w:kern w:val="2"/>
          <w:sz w:val="22"/>
          <w:rtl/>
          <w:lang w:val="en-US" w:eastAsia="en-US" w:bidi="ar-EG"/>
        </w:rPr>
        <w:t xml:space="preserve"> ولتسهيل الرجوع إليها.</w:t>
      </w:r>
    </w:p>
    <w:p w14:paraId="7FDB1B02" w14:textId="77777777" w:rsidR="000410D9" w:rsidRDefault="000410D9" w:rsidP="000410D9">
      <w:pPr>
        <w:bidi/>
        <w:spacing w:after="100" w:line="204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4076F6">
      <w:headerReference w:type="even" r:id="rId13"/>
      <w:headerReference w:type="default" r:id="rId14"/>
      <w:headerReference w:type="first" r:id="rId15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YouYuan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  <w:footnote w:id="1">
    <w:p w14:paraId="60967670" w14:textId="4FF96571" w:rsidR="00F91BD2" w:rsidRDefault="00F91BD2" w:rsidP="006C4CE7">
      <w:pPr>
        <w:pStyle w:val="FootnoteText"/>
        <w:bidi/>
        <w:spacing w:before="60" w:after="60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F91BD2">
        <w:rPr>
          <w:snapToGrid w:val="0"/>
          <w:kern w:val="22"/>
          <w:sz w:val="22"/>
          <w:szCs w:val="22"/>
          <w:lang w:val="en-GB" w:eastAsia="en-US"/>
        </w:rPr>
        <w:t>CBD/COP/15/1/Rev.1</w:t>
      </w:r>
      <w:r>
        <w:rPr>
          <w:rFonts w:hint="cs"/>
          <w:rtl/>
        </w:rPr>
        <w:t>.</w:t>
      </w:r>
    </w:p>
  </w:footnote>
  <w:footnote w:id="2">
    <w:p w14:paraId="73567E50" w14:textId="75885F9A" w:rsidR="00F91BD2" w:rsidRDefault="00F91BD2" w:rsidP="006C4CE7">
      <w:pPr>
        <w:pStyle w:val="FootnoteText"/>
        <w:bidi/>
        <w:spacing w:before="60" w:after="60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انتُخب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سوجاتا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أرورا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(الهند) في الاجتماع الرابع عشر لمؤتمر الأطراف وحل محله بعد ذلك فينود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ماثور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، ثم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ناريش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بال </w:t>
      </w:r>
      <w:proofErr w:type="spellStart"/>
      <w:r w:rsidR="00277D61">
        <w:rPr>
          <w:rFonts w:hint="cs"/>
          <w:snapToGrid w:val="0"/>
          <w:kern w:val="22"/>
          <w:sz w:val="22"/>
          <w:szCs w:val="22"/>
          <w:rtl/>
          <w:lang w:val="en-GB" w:eastAsia="en-US"/>
        </w:rPr>
        <w:t>غ</w:t>
      </w:r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ان</w:t>
      </w:r>
      <w:r w:rsidR="00277D61">
        <w:rPr>
          <w:rFonts w:hint="cs"/>
          <w:snapToGrid w:val="0"/>
          <w:kern w:val="22"/>
          <w:sz w:val="22"/>
          <w:szCs w:val="22"/>
          <w:rtl/>
          <w:lang w:val="en-GB" w:eastAsia="en-US"/>
        </w:rPr>
        <w:t>غ</w:t>
      </w:r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وار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، ثم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راغو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كومار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كودالي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.</w:t>
      </w:r>
    </w:p>
  </w:footnote>
  <w:footnote w:id="3">
    <w:p w14:paraId="0696A82E" w14:textId="396503AF" w:rsidR="00F91BD2" w:rsidRPr="00277D61" w:rsidRDefault="00F91BD2" w:rsidP="006C4CE7">
      <w:pPr>
        <w:pStyle w:val="FootnoteText"/>
        <w:bidi/>
        <w:spacing w:before="60" w:after="60"/>
        <w:jc w:val="both"/>
        <w:rPr>
          <w:snapToGrid w:val="0"/>
          <w:kern w:val="22"/>
          <w:sz w:val="22"/>
          <w:szCs w:val="22"/>
          <w:rtl/>
          <w:lang w:val="en-GB" w:eastAsia="en-U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انتُخبت إلفانا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راماج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(ألبانيا) في الاجتماع الرابع عشر وحلت محلها بعد ذلك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كلوديانا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</w:t>
      </w:r>
      <w:proofErr w:type="spellStart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ماريكا</w:t>
      </w:r>
      <w:proofErr w:type="spellEnd"/>
      <w:r w:rsidR="00277D61" w:rsidRPr="00277D61">
        <w:rPr>
          <w:snapToGrid w:val="0"/>
          <w:kern w:val="22"/>
          <w:sz w:val="22"/>
          <w:szCs w:val="22"/>
          <w:rtl/>
          <w:lang w:val="en-GB" w:eastAsia="en-US"/>
        </w:rPr>
        <w:t>.</w:t>
      </w:r>
    </w:p>
  </w:footnote>
  <w:footnote w:id="4">
    <w:p w14:paraId="281A8C43" w14:textId="4C911967" w:rsidR="00277D61" w:rsidRDefault="00277D61" w:rsidP="006C4CE7">
      <w:pPr>
        <w:pStyle w:val="FootnoteText"/>
        <w:bidi/>
        <w:spacing w:before="60" w:after="60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انتُخب كارلوس مانويل </w:t>
      </w:r>
      <w:proofErr w:type="spellStart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>رودريغيز</w:t>
      </w:r>
      <w:proofErr w:type="spellEnd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(كوستاريكا) في الاجتماع الرابع عشر وحل محله بعد ذلك أندريا ميزا </w:t>
      </w:r>
      <w:proofErr w:type="spellStart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>موريللو</w:t>
      </w:r>
      <w:proofErr w:type="spellEnd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ثم </w:t>
      </w:r>
      <w:proofErr w:type="spellStart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>يوجينيا</w:t>
      </w:r>
      <w:proofErr w:type="spellEnd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</w:t>
      </w:r>
      <w:proofErr w:type="spellStart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>أرغويداس</w:t>
      </w:r>
      <w:proofErr w:type="spellEnd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 xml:space="preserve"> </w:t>
      </w:r>
      <w:proofErr w:type="spellStart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>مونتيزوما</w:t>
      </w:r>
      <w:proofErr w:type="spellEnd"/>
      <w:r w:rsidRPr="00277D61">
        <w:rPr>
          <w:snapToGrid w:val="0"/>
          <w:kern w:val="22"/>
          <w:sz w:val="22"/>
          <w:szCs w:val="22"/>
          <w:rtl/>
          <w:lang w:val="en-GB" w:eastAsia="en-US"/>
        </w:rPr>
        <w:t>.</w:t>
      </w:r>
    </w:p>
  </w:footnote>
  <w:footnote w:id="5">
    <w:p w14:paraId="3CBB7104" w14:textId="308D5431" w:rsidR="006C4CE7" w:rsidRDefault="006C4CE7" w:rsidP="006C4CE7">
      <w:pPr>
        <w:pStyle w:val="FootnoteText"/>
        <w:bidi/>
        <w:spacing w:before="60" w:after="60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6C4CE7">
        <w:rPr>
          <w:snapToGrid w:val="0"/>
          <w:kern w:val="22"/>
          <w:sz w:val="22"/>
          <w:szCs w:val="22"/>
          <w:rtl/>
          <w:lang w:val="en-GB" w:eastAsia="en-US"/>
        </w:rPr>
        <w:t xml:space="preserve">بعد تقاعدها من </w:t>
      </w:r>
      <w:r>
        <w:rPr>
          <w:rFonts w:hint="cs"/>
          <w:snapToGrid w:val="0"/>
          <w:kern w:val="22"/>
          <w:sz w:val="22"/>
          <w:szCs w:val="22"/>
          <w:rtl/>
          <w:lang w:val="en-GB" w:eastAsia="en-US" w:bidi="ar-EG"/>
        </w:rPr>
        <w:t xml:space="preserve">العمل في </w:t>
      </w:r>
      <w:r w:rsidRPr="006C4CE7">
        <w:rPr>
          <w:snapToGrid w:val="0"/>
          <w:kern w:val="22"/>
          <w:sz w:val="22"/>
          <w:szCs w:val="22"/>
          <w:rtl/>
          <w:lang w:val="en-GB" w:eastAsia="en-US"/>
        </w:rPr>
        <w:t xml:space="preserve">حكومة نيوزيلندا، استقالت السيدة باترسون من المكتب. وفي غضون ذلك، وفي انتظار تسمية بديل من نيوزيلندا (عملا بالمادة 24 من النظام الداخلي)، قامت ماري </w:t>
      </w:r>
      <w:proofErr w:type="spellStart"/>
      <w:r w:rsidRPr="006C4CE7">
        <w:rPr>
          <w:snapToGrid w:val="0"/>
          <w:kern w:val="22"/>
          <w:sz w:val="22"/>
          <w:szCs w:val="22"/>
          <w:rtl/>
          <w:lang w:val="en-GB" w:eastAsia="en-US"/>
        </w:rPr>
        <w:t>هارالدستاد</w:t>
      </w:r>
      <w:proofErr w:type="spellEnd"/>
      <w:r w:rsidRPr="006C4CE7">
        <w:rPr>
          <w:snapToGrid w:val="0"/>
          <w:kern w:val="22"/>
          <w:sz w:val="22"/>
          <w:szCs w:val="22"/>
          <w:rtl/>
          <w:lang w:val="en-GB" w:eastAsia="en-US"/>
        </w:rPr>
        <w:t xml:space="preserve"> (النرويج)، التي تعمل في المكتب كبديلة عن نيوزيلندا في المسائل المتعلقة ببروتوكول ناغويا، </w:t>
      </w:r>
      <w:r>
        <w:rPr>
          <w:rFonts w:hint="cs"/>
          <w:snapToGrid w:val="0"/>
          <w:kern w:val="22"/>
          <w:sz w:val="22"/>
          <w:szCs w:val="22"/>
          <w:rtl/>
          <w:lang w:val="en-GB" w:eastAsia="en-US"/>
        </w:rPr>
        <w:t>ب</w:t>
      </w:r>
      <w:r w:rsidRPr="006C4CE7">
        <w:rPr>
          <w:snapToGrid w:val="0"/>
          <w:kern w:val="22"/>
          <w:sz w:val="22"/>
          <w:szCs w:val="22"/>
          <w:rtl/>
          <w:lang w:val="en-GB" w:eastAsia="en-US"/>
        </w:rPr>
        <w:t>تقديم المساعدة في توصيل المعلومات إلى المنطقة.</w:t>
      </w:r>
    </w:p>
  </w:footnote>
  <w:footnote w:id="6">
    <w:p w14:paraId="13D713A9" w14:textId="248C5C3A" w:rsidR="00B239EC" w:rsidRDefault="00B239EC" w:rsidP="00B239EC">
      <w:pPr>
        <w:pStyle w:val="FootnoteText"/>
        <w:bidi/>
        <w:spacing w:before="60" w:after="60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snapToGrid w:val="0"/>
          <w:kern w:val="22"/>
          <w:sz w:val="22"/>
          <w:szCs w:val="22"/>
          <w:rtl/>
          <w:lang w:val="en-GB" w:eastAsia="en-US"/>
        </w:rPr>
        <w:t xml:space="preserve">انظر </w:t>
      </w:r>
      <w:r w:rsidRPr="00B239EC">
        <w:rPr>
          <w:snapToGrid w:val="0"/>
          <w:kern w:val="22"/>
          <w:sz w:val="22"/>
          <w:szCs w:val="22"/>
          <w:lang w:val="en-GB" w:eastAsia="en-US"/>
        </w:rPr>
        <w:t>www.cbd.int/doc/meetings/cop/cop-15/cop-credentials-template-en.docx</w:t>
      </w:r>
      <w:r w:rsidRPr="006C4CE7">
        <w:rPr>
          <w:snapToGrid w:val="0"/>
          <w:kern w:val="22"/>
          <w:sz w:val="22"/>
          <w:szCs w:val="22"/>
          <w:rtl/>
          <w:lang w:val="en-GB" w:eastAsia="en-US"/>
        </w:rPr>
        <w:t>.</w:t>
      </w:r>
    </w:p>
  </w:footnote>
  <w:footnote w:id="7">
    <w:p w14:paraId="3CD4E082" w14:textId="27BB2663" w:rsidR="00B239EC" w:rsidRDefault="00B239EC" w:rsidP="00B239EC">
      <w:pPr>
        <w:pStyle w:val="FootnoteText"/>
        <w:bidi/>
        <w:spacing w:before="60" w:after="60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B239EC">
        <w:rPr>
          <w:snapToGrid w:val="0"/>
          <w:kern w:val="22"/>
          <w:sz w:val="22"/>
          <w:szCs w:val="22"/>
          <w:lang w:val="en-GB" w:eastAsia="en-US"/>
        </w:rPr>
        <w:t>CBD/COP/15/4</w:t>
      </w:r>
      <w:r w:rsidRPr="006C4CE7">
        <w:rPr>
          <w:snapToGrid w:val="0"/>
          <w:kern w:val="22"/>
          <w:sz w:val="22"/>
          <w:szCs w:val="22"/>
          <w:rtl/>
          <w:lang w:val="en-GB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250095391"/>
      <w:placeholder>
        <w:docPart w:val="D2F541D2D9774D9C80D18600868033F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D9262D7" w14:textId="746ADC3F" w:rsidR="004076F6" w:rsidRPr="006D75A6" w:rsidRDefault="00BA0FB7" w:rsidP="004076F6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CBD/COP/15/1/Add.5</w:t>
        </w:r>
      </w:p>
    </w:sdtContent>
  </w:sdt>
  <w:p w14:paraId="43E6897A" w14:textId="77777777" w:rsidR="004076F6" w:rsidRPr="006D75A6" w:rsidRDefault="004076F6" w:rsidP="004076F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6D75A6">
      <w:rPr>
        <w:noProof/>
        <w:sz w:val="22"/>
        <w:szCs w:val="22"/>
      </w:rPr>
      <w:fldChar w:fldCharType="end"/>
    </w:r>
  </w:p>
  <w:p w14:paraId="544CC1D4" w14:textId="77777777" w:rsidR="004076F6" w:rsidRDefault="00407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lang w:val="en-GB" w:eastAsia="en-US"/>
      </w:rPr>
      <w:alias w:val="Subject"/>
      <w:tag w:val=""/>
      <w:id w:val="-1912071744"/>
      <w:placeholder>
        <w:docPart w:val="E53A1D3F6EF6439E81DCC12B009544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129128" w14:textId="09BFB5DA" w:rsidR="006D75A6" w:rsidRPr="006D75A6" w:rsidRDefault="00BA0FB7" w:rsidP="00AA0666">
        <w:pPr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CBD/COP/15/1/Add.5</w:t>
        </w:r>
      </w:p>
    </w:sdtContent>
  </w:sdt>
  <w:p w14:paraId="31C54EB9" w14:textId="575C1549" w:rsidR="006D75A6" w:rsidRPr="006D75A6" w:rsidRDefault="006D75A6" w:rsidP="00AA0666">
    <w:pPr>
      <w:pStyle w:val="Header"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 w:rsidRPr="006D75A6">
      <w:rPr>
        <w:noProof/>
        <w:sz w:val="22"/>
        <w:szCs w:val="22"/>
      </w:rPr>
      <w:t>1</w:t>
    </w:r>
    <w:r w:rsidRPr="006D75A6">
      <w:rPr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F7C5" w14:textId="77777777"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D18"/>
    <w:multiLevelType w:val="hybridMultilevel"/>
    <w:tmpl w:val="779041E2"/>
    <w:lvl w:ilvl="0" w:tplc="4A006CF8">
      <w:numFmt w:val="bullet"/>
      <w:lvlText w:val="-"/>
      <w:lvlJc w:val="left"/>
      <w:pPr>
        <w:ind w:left="720" w:hanging="360"/>
      </w:pPr>
      <w:rPr>
        <w:rFonts w:ascii="Simplified Arabic" w:eastAsia="YouYuan" w:hAnsi="Simplified Arabic" w:cs="Simplified Arabic" w:hint="default"/>
        <w:sz w:val="24"/>
      </w:rPr>
    </w:lvl>
    <w:lvl w:ilvl="1" w:tplc="0D0CE8F2">
      <w:numFmt w:val="bullet"/>
      <w:lvlText w:val="–"/>
      <w:lvlJc w:val="left"/>
      <w:pPr>
        <w:ind w:left="1440" w:hanging="360"/>
      </w:pPr>
      <w:rPr>
        <w:rFonts w:ascii="Simplified Arabic" w:eastAsia="YouYuan" w:hAnsi="Simplified Arabic" w:cs="Simplified Arabic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5184"/>
    <w:multiLevelType w:val="hybridMultilevel"/>
    <w:tmpl w:val="E192236C"/>
    <w:lvl w:ilvl="0" w:tplc="39BC3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2AF9"/>
    <w:multiLevelType w:val="hybridMultilevel"/>
    <w:tmpl w:val="CE5429E6"/>
    <w:lvl w:ilvl="0" w:tplc="F856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139740">
    <w:abstractNumId w:val="2"/>
  </w:num>
  <w:num w:numId="2" w16cid:durableId="1024018503">
    <w:abstractNumId w:val="6"/>
  </w:num>
  <w:num w:numId="3" w16cid:durableId="1114901491">
    <w:abstractNumId w:val="3"/>
  </w:num>
  <w:num w:numId="4" w16cid:durableId="227231108">
    <w:abstractNumId w:val="5"/>
  </w:num>
  <w:num w:numId="5" w16cid:durableId="1618176336">
    <w:abstractNumId w:val="4"/>
  </w:num>
  <w:num w:numId="6" w16cid:durableId="1984116011">
    <w:abstractNumId w:val="7"/>
  </w:num>
  <w:num w:numId="7" w16cid:durableId="1490168060">
    <w:abstractNumId w:val="1"/>
  </w:num>
  <w:num w:numId="8" w16cid:durableId="9814271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41A3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10D9"/>
    <w:rsid w:val="00042B1A"/>
    <w:rsid w:val="00045762"/>
    <w:rsid w:val="00047397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0D20"/>
    <w:rsid w:val="000E15CE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5F68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6892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7EE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86F"/>
    <w:rsid w:val="00272F2E"/>
    <w:rsid w:val="00272F77"/>
    <w:rsid w:val="002760B5"/>
    <w:rsid w:val="00276B6D"/>
    <w:rsid w:val="00277D61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1416"/>
    <w:rsid w:val="002B65CB"/>
    <w:rsid w:val="002C04FC"/>
    <w:rsid w:val="002C3088"/>
    <w:rsid w:val="002C4E10"/>
    <w:rsid w:val="002C5D87"/>
    <w:rsid w:val="002C623A"/>
    <w:rsid w:val="002D35F3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0AB0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52A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D55"/>
    <w:rsid w:val="00405F77"/>
    <w:rsid w:val="004076F6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2AC4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679CA"/>
    <w:rsid w:val="00470BE5"/>
    <w:rsid w:val="00471E92"/>
    <w:rsid w:val="0047236B"/>
    <w:rsid w:val="00472950"/>
    <w:rsid w:val="00472FC1"/>
    <w:rsid w:val="00473210"/>
    <w:rsid w:val="00473C44"/>
    <w:rsid w:val="004740F7"/>
    <w:rsid w:val="0047600E"/>
    <w:rsid w:val="00480564"/>
    <w:rsid w:val="004820B7"/>
    <w:rsid w:val="00484CEF"/>
    <w:rsid w:val="00485EFB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C7B05"/>
    <w:rsid w:val="004D45B4"/>
    <w:rsid w:val="004E29B4"/>
    <w:rsid w:val="004E67B5"/>
    <w:rsid w:val="004E72FC"/>
    <w:rsid w:val="004F0907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043A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2116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2E5A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4CE7"/>
    <w:rsid w:val="006C5C25"/>
    <w:rsid w:val="006D05DF"/>
    <w:rsid w:val="006D0753"/>
    <w:rsid w:val="006D0959"/>
    <w:rsid w:val="006D75A6"/>
    <w:rsid w:val="006D7BB5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12417"/>
    <w:rsid w:val="00712AD8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0ACF"/>
    <w:rsid w:val="0077220C"/>
    <w:rsid w:val="007744CC"/>
    <w:rsid w:val="00774776"/>
    <w:rsid w:val="007762AC"/>
    <w:rsid w:val="00776BD1"/>
    <w:rsid w:val="0077711C"/>
    <w:rsid w:val="007778E4"/>
    <w:rsid w:val="00777BC2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573EF"/>
    <w:rsid w:val="00860E67"/>
    <w:rsid w:val="00861A0B"/>
    <w:rsid w:val="008638F1"/>
    <w:rsid w:val="00866660"/>
    <w:rsid w:val="00876763"/>
    <w:rsid w:val="0087712A"/>
    <w:rsid w:val="008827CF"/>
    <w:rsid w:val="00882FA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13DF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159"/>
    <w:rsid w:val="00A275EE"/>
    <w:rsid w:val="00A27920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666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AF2F87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39EC"/>
    <w:rsid w:val="00B23B2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57C9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0FB7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E8A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25F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0D7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B66F2"/>
    <w:rsid w:val="00EC0B13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4E1B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0D46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1BD2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PlaceholderText">
    <w:name w:val="Placeholder Text"/>
    <w:basedOn w:val="DefaultParagraphFont"/>
    <w:uiPriority w:val="99"/>
    <w:semiHidden/>
    <w:rsid w:val="00E550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E05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0E15CE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d.int/decisions/cop/?m=cop-0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33-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9A3E0602404AB1382A00A2C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5193-A445-46C3-BCD4-6E113566E0D5}"/>
      </w:docPartPr>
      <w:docPartBody>
        <w:p w:rsidR="00A50574" w:rsidRDefault="00DC47EC" w:rsidP="00DC47EC">
          <w:pPr>
            <w:pStyle w:val="43F19A3E0602404AB1382A00A2CC4646"/>
          </w:pPr>
          <w:r w:rsidRPr="00C87432">
            <w:rPr>
              <w:rStyle w:val="PlaceholderText"/>
              <w:rPrChange w:id="0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E53A1D3F6EF6439E81DCC12B0095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12-0CF2-4F55-9C2A-D83A67E682DD}"/>
      </w:docPartPr>
      <w:docPartBody>
        <w:p w:rsidR="00A50574" w:rsidRDefault="00DC47EC" w:rsidP="00DC47EC">
          <w:pPr>
            <w:pStyle w:val="E53A1D3F6EF6439E81DCC12B00954438"/>
          </w:pPr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D2F541D2D9774D9C80D186008680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9121-4617-41BB-B8B4-828EC3BA9F0B}"/>
      </w:docPartPr>
      <w:docPartBody>
        <w:p w:rsidR="00F117A7" w:rsidRDefault="00CA7C61" w:rsidP="00CA7C61">
          <w:pPr>
            <w:pStyle w:val="D2F541D2D9774D9C80D18600868033FE"/>
          </w:pPr>
          <w:r w:rsidRPr="00C87432">
            <w:rPr>
              <w:rStyle w:val="PlaceholderText"/>
              <w:rPrChange w:id="2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YouYuan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C"/>
    <w:rsid w:val="003F45F8"/>
    <w:rsid w:val="00A50574"/>
    <w:rsid w:val="00CA7C61"/>
    <w:rsid w:val="00DC47EC"/>
    <w:rsid w:val="00F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C61"/>
    <w:rPr>
      <w:color w:val="808080"/>
    </w:rPr>
  </w:style>
  <w:style w:type="paragraph" w:customStyle="1" w:styleId="43F19A3E0602404AB1382A00A2CC4646">
    <w:name w:val="43F19A3E0602404AB1382A00A2CC4646"/>
    <w:rsid w:val="00DC47EC"/>
  </w:style>
  <w:style w:type="paragraph" w:customStyle="1" w:styleId="E53A1D3F6EF6439E81DCC12B00954438">
    <w:name w:val="E53A1D3F6EF6439E81DCC12B00954438"/>
    <w:rsid w:val="00DC47EC"/>
  </w:style>
  <w:style w:type="paragraph" w:customStyle="1" w:styleId="D2F541D2D9774D9C80D18600868033FE">
    <w:name w:val="D2F541D2D9774D9C80D18600868033FE"/>
    <w:rsid w:val="00CA7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1735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COP-15-1-ar</vt:lpstr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COP-15-1-ar</dc:title>
  <dc:subject>CBD/COP/15/1/Add.5</dc:subject>
  <dc:creator>SCBD</dc:creator>
  <cp:lastModifiedBy>Xue He Yan</cp:lastModifiedBy>
  <cp:revision>26</cp:revision>
  <cp:lastPrinted>2023-09-25T13:33:00Z</cp:lastPrinted>
  <dcterms:created xsi:type="dcterms:W3CDTF">2023-09-21T17:37:00Z</dcterms:created>
  <dcterms:modified xsi:type="dcterms:W3CDTF">2023-09-27T18:05:00Z</dcterms:modified>
</cp:coreProperties>
</file>