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999"/>
        <w:gridCol w:w="3835"/>
      </w:tblGrid>
      <w:tr w:rsidR="00A348A7" w:rsidTr="00471447">
        <w:trPr>
          <w:trHeight w:val="709"/>
        </w:trPr>
        <w:tc>
          <w:tcPr>
            <w:tcW w:w="976" w:type="dxa"/>
            <w:tcBorders>
              <w:bottom w:val="single" w:sz="12" w:space="0" w:color="auto"/>
            </w:tcBorders>
          </w:tcPr>
          <w:p w:rsidR="00A348A7" w:rsidRDefault="00A348A7" w:rsidP="00A348A7">
            <w:r>
              <w:rPr>
                <w:noProof/>
                <w:lang w:val="en-US"/>
              </w:rPr>
              <w:drawing>
                <wp:inline distT="0" distB="0" distL="0" distR="0" wp14:anchorId="64321D8B" wp14:editId="71A4566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999" w:type="dxa"/>
            <w:tcBorders>
              <w:bottom w:val="single" w:sz="12" w:space="0" w:color="auto"/>
            </w:tcBorders>
          </w:tcPr>
          <w:p w:rsidR="00A348A7" w:rsidRDefault="00A348A7" w:rsidP="00A348A7">
            <w:r>
              <w:rPr>
                <w:noProof/>
                <w:lang w:val="en-US"/>
              </w:rPr>
              <w:drawing>
                <wp:inline distT="0" distB="0" distL="0" distR="0" wp14:anchorId="4894B13F" wp14:editId="0B609E53">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835" w:type="dxa"/>
            <w:tcBorders>
              <w:bottom w:val="single" w:sz="12" w:space="0" w:color="auto"/>
            </w:tcBorders>
          </w:tcPr>
          <w:p w:rsidR="00A348A7" w:rsidRPr="00C9161D" w:rsidRDefault="00A348A7" w:rsidP="00A348A7">
            <w:pPr>
              <w:jc w:val="right"/>
              <w:rPr>
                <w:rFonts w:ascii="Arial" w:hAnsi="Arial" w:cs="Arial"/>
                <w:b/>
                <w:sz w:val="32"/>
                <w:szCs w:val="32"/>
              </w:rPr>
            </w:pPr>
            <w:r w:rsidRPr="00C9161D">
              <w:rPr>
                <w:rFonts w:ascii="Arial" w:hAnsi="Arial" w:cs="Arial"/>
                <w:b/>
                <w:sz w:val="32"/>
                <w:szCs w:val="32"/>
              </w:rPr>
              <w:t>CBD</w:t>
            </w:r>
          </w:p>
        </w:tc>
      </w:tr>
    </w:tbl>
    <w:tbl>
      <w:tblPr>
        <w:tblW w:w="9630" w:type="dxa"/>
        <w:tblBorders>
          <w:bottom w:val="single" w:sz="30" w:space="0" w:color="000000"/>
        </w:tblBorders>
        <w:tblLayout w:type="fixed"/>
        <w:tblLook w:val="0000" w:firstRow="0" w:lastRow="0" w:firstColumn="0" w:lastColumn="0" w:noHBand="0" w:noVBand="0"/>
      </w:tblPr>
      <w:tblGrid>
        <w:gridCol w:w="5262"/>
        <w:gridCol w:w="236"/>
        <w:gridCol w:w="4132"/>
      </w:tblGrid>
      <w:tr w:rsidR="004B783E" w:rsidRPr="00A81CFC" w:rsidTr="00471447">
        <w:trPr>
          <w:trHeight w:val="1693"/>
        </w:trPr>
        <w:tc>
          <w:tcPr>
            <w:tcW w:w="5262" w:type="dxa"/>
            <w:tcBorders>
              <w:bottom w:val="single" w:sz="30" w:space="0" w:color="000000"/>
            </w:tcBorders>
          </w:tcPr>
          <w:p w:rsidR="004B783E" w:rsidRPr="00A81CFC" w:rsidRDefault="004B783E" w:rsidP="00C8093B">
            <w:pPr>
              <w:rPr>
                <w:rFonts w:ascii="Times New Roman" w:hAnsi="Times New Roman" w:cs="Times New Roman"/>
              </w:rPr>
            </w:pPr>
            <w:r w:rsidRPr="00A81CFC">
              <w:rPr>
                <w:rFonts w:ascii="Times New Roman" w:hAnsi="Times New Roman" w:cs="Times New Roman"/>
                <w:noProof/>
              </w:rPr>
              <w:drawing>
                <wp:inline distT="0" distB="0" distL="0" distR="0" wp14:anchorId="0907DDFC" wp14:editId="137D01E7">
                  <wp:extent cx="2496185" cy="1054735"/>
                  <wp:effectExtent l="0" t="0" r="0" b="12065"/>
                  <wp:docPr id="5" name="Picture 5"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185" cy="1054735"/>
                          </a:xfrm>
                          <a:prstGeom prst="rect">
                            <a:avLst/>
                          </a:prstGeom>
                          <a:noFill/>
                          <a:ln>
                            <a:noFill/>
                          </a:ln>
                        </pic:spPr>
                      </pic:pic>
                    </a:graphicData>
                  </a:graphic>
                </wp:inline>
              </w:drawing>
            </w:r>
          </w:p>
        </w:tc>
        <w:tc>
          <w:tcPr>
            <w:tcW w:w="236" w:type="dxa"/>
            <w:tcBorders>
              <w:bottom w:val="single" w:sz="30" w:space="0" w:color="000000"/>
            </w:tcBorders>
          </w:tcPr>
          <w:p w:rsidR="004B783E" w:rsidRPr="00A81CFC" w:rsidRDefault="004B783E" w:rsidP="00C8093B">
            <w:pPr>
              <w:rPr>
                <w:rFonts w:ascii="Times New Roman" w:hAnsi="Times New Roman" w:cs="Times New Roman"/>
              </w:rPr>
            </w:pPr>
          </w:p>
        </w:tc>
        <w:tc>
          <w:tcPr>
            <w:tcW w:w="4132" w:type="dxa"/>
            <w:tcBorders>
              <w:bottom w:val="single" w:sz="30" w:space="0" w:color="000000"/>
            </w:tcBorders>
          </w:tcPr>
          <w:p w:rsidR="004B783E" w:rsidRPr="00A81CFC" w:rsidRDefault="004B783E" w:rsidP="00C8093B">
            <w:pPr>
              <w:ind w:left="1023"/>
              <w:rPr>
                <w:rFonts w:ascii="Times New Roman" w:hAnsi="Times New Roman" w:cs="Times New Roman"/>
              </w:rPr>
            </w:pPr>
            <w:r w:rsidRPr="00A81CFC">
              <w:rPr>
                <w:rFonts w:ascii="Times New Roman" w:hAnsi="Times New Roman" w:cs="Times New Roman"/>
              </w:rPr>
              <w:t>Distr.</w:t>
            </w:r>
          </w:p>
          <w:p w:rsidR="004B783E" w:rsidRPr="00A81CFC" w:rsidRDefault="004B783E" w:rsidP="00C8093B">
            <w:pPr>
              <w:ind w:left="1023"/>
              <w:rPr>
                <w:rFonts w:ascii="Times New Roman" w:hAnsi="Times New Roman" w:cs="Times New Roman"/>
              </w:rPr>
            </w:pPr>
            <w:r w:rsidRPr="00A81CFC">
              <w:rPr>
                <w:rFonts w:ascii="Times New Roman" w:hAnsi="Times New Roman" w:cs="Times New Roman"/>
              </w:rPr>
              <w:t>GENERAL</w:t>
            </w:r>
          </w:p>
          <w:p w:rsidR="004B783E" w:rsidRPr="00A81CFC" w:rsidRDefault="004B783E" w:rsidP="00C8093B">
            <w:pPr>
              <w:ind w:left="1023"/>
              <w:rPr>
                <w:rFonts w:ascii="Times New Roman" w:hAnsi="Times New Roman" w:cs="Times New Roman"/>
              </w:rPr>
            </w:pPr>
          </w:p>
          <w:p w:rsidR="004B783E" w:rsidRPr="00A81CFC" w:rsidRDefault="004B783E" w:rsidP="00C8093B">
            <w:pPr>
              <w:ind w:left="1023"/>
              <w:rPr>
                <w:rFonts w:ascii="Times New Roman" w:hAnsi="Times New Roman" w:cs="Times New Roman"/>
              </w:rPr>
            </w:pPr>
            <w:r w:rsidRPr="00A81CFC">
              <w:rPr>
                <w:rFonts w:ascii="Times New Roman" w:hAnsi="Times New Roman" w:cs="Times New Roman"/>
              </w:rPr>
              <w:t>CBD/</w:t>
            </w:r>
            <w:r w:rsidR="0072149E" w:rsidRPr="00A81CFC">
              <w:rPr>
                <w:rFonts w:ascii="Times New Roman" w:hAnsi="Times New Roman" w:cs="Times New Roman"/>
              </w:rPr>
              <w:t>HB/</w:t>
            </w:r>
            <w:r w:rsidR="006520D0" w:rsidRPr="00A81CFC">
              <w:rPr>
                <w:rFonts w:ascii="Times New Roman" w:hAnsi="Times New Roman" w:cs="Times New Roman"/>
              </w:rPr>
              <w:t>LG</w:t>
            </w:r>
            <w:r w:rsidRPr="00A81CFC">
              <w:rPr>
                <w:rFonts w:ascii="Times New Roman" w:hAnsi="Times New Roman" w:cs="Times New Roman"/>
              </w:rPr>
              <w:t>/</w:t>
            </w:r>
            <w:r w:rsidR="00BA21F9" w:rsidRPr="00A81CFC">
              <w:rPr>
                <w:rFonts w:ascii="Times New Roman" w:hAnsi="Times New Roman" w:cs="Times New Roman"/>
              </w:rPr>
              <w:t>2017/1</w:t>
            </w:r>
            <w:r w:rsidRPr="00A81CFC">
              <w:rPr>
                <w:rFonts w:ascii="Times New Roman" w:hAnsi="Times New Roman" w:cs="Times New Roman"/>
              </w:rPr>
              <w:t>/</w:t>
            </w:r>
            <w:r w:rsidR="001D5050" w:rsidRPr="00A81CFC">
              <w:rPr>
                <w:rFonts w:ascii="Times New Roman" w:hAnsi="Times New Roman" w:cs="Times New Roman"/>
              </w:rPr>
              <w:t>1</w:t>
            </w:r>
          </w:p>
          <w:p w:rsidR="004B783E" w:rsidRPr="00A81CFC" w:rsidRDefault="00825766" w:rsidP="00C8093B">
            <w:pPr>
              <w:ind w:left="1023"/>
              <w:rPr>
                <w:rFonts w:ascii="Times New Roman" w:hAnsi="Times New Roman" w:cs="Times New Roman"/>
              </w:rPr>
            </w:pPr>
            <w:r w:rsidRPr="00A81CFC">
              <w:rPr>
                <w:rFonts w:ascii="Times New Roman" w:hAnsi="Times New Roman" w:cs="Times New Roman"/>
              </w:rPr>
              <w:t>20 November 2017</w:t>
            </w:r>
          </w:p>
          <w:p w:rsidR="004B783E" w:rsidRPr="00A81CFC" w:rsidRDefault="004B783E" w:rsidP="00C8093B">
            <w:pPr>
              <w:ind w:left="1023"/>
              <w:rPr>
                <w:rFonts w:ascii="Times New Roman" w:hAnsi="Times New Roman" w:cs="Times New Roman"/>
              </w:rPr>
            </w:pPr>
          </w:p>
          <w:p w:rsidR="004B783E" w:rsidRPr="00A81CFC" w:rsidRDefault="004B783E" w:rsidP="00C8093B">
            <w:pPr>
              <w:ind w:left="1023"/>
              <w:rPr>
                <w:rFonts w:ascii="Times New Roman" w:hAnsi="Times New Roman" w:cs="Times New Roman"/>
              </w:rPr>
            </w:pPr>
            <w:r w:rsidRPr="00A81CFC">
              <w:rPr>
                <w:rFonts w:ascii="Times New Roman" w:hAnsi="Times New Roman" w:cs="Times New Roman"/>
              </w:rPr>
              <w:t>ENGLISH</w:t>
            </w:r>
            <w:r w:rsidR="00CD6DBF">
              <w:rPr>
                <w:rFonts w:ascii="Times New Roman" w:hAnsi="Times New Roman" w:cs="Times New Roman"/>
              </w:rPr>
              <w:t xml:space="preserve"> ONLY</w:t>
            </w:r>
          </w:p>
        </w:tc>
      </w:tr>
    </w:tbl>
    <w:p w:rsidR="00825766" w:rsidRPr="00A81CFC" w:rsidRDefault="00825766" w:rsidP="00A348A7">
      <w:pPr>
        <w:pStyle w:val="Cornernotation"/>
        <w:ind w:left="360" w:right="3119" w:hanging="270"/>
        <w:rPr>
          <w:szCs w:val="22"/>
        </w:rPr>
      </w:pPr>
      <w:r w:rsidRPr="00A81CFC">
        <w:rPr>
          <w:szCs w:val="22"/>
        </w:rPr>
        <w:t xml:space="preserve">FIRST MEETING OF THE INTERAGENCY </w:t>
      </w:r>
    </w:p>
    <w:p w:rsidR="00825766" w:rsidRPr="00A81CFC" w:rsidRDefault="00825766" w:rsidP="00471447">
      <w:pPr>
        <w:pStyle w:val="Cornernotation"/>
        <w:ind w:left="360" w:right="3119"/>
        <w:rPr>
          <w:szCs w:val="22"/>
        </w:rPr>
      </w:pPr>
      <w:r w:rsidRPr="00A81CFC">
        <w:rPr>
          <w:szCs w:val="22"/>
        </w:rPr>
        <w:t>LIAISON GROUP ON BIODIVERSITY AND HEALTH</w:t>
      </w:r>
    </w:p>
    <w:p w:rsidR="00825766" w:rsidRPr="00A81CFC" w:rsidRDefault="00825766" w:rsidP="00825766">
      <w:pPr>
        <w:pStyle w:val="Cornernotation"/>
        <w:ind w:left="170" w:right="3119" w:hanging="170"/>
        <w:rPr>
          <w:szCs w:val="22"/>
        </w:rPr>
      </w:pPr>
      <w:r w:rsidRPr="00A81CFC">
        <w:rPr>
          <w:szCs w:val="22"/>
        </w:rPr>
        <w:t>World Health Organization</w:t>
      </w:r>
    </w:p>
    <w:p w:rsidR="004B783E" w:rsidRPr="00A81CFC" w:rsidRDefault="00825766" w:rsidP="00825766">
      <w:pPr>
        <w:pStyle w:val="Cornernotation"/>
        <w:ind w:left="170" w:right="3119" w:hanging="170"/>
        <w:jc w:val="left"/>
        <w:rPr>
          <w:szCs w:val="22"/>
        </w:rPr>
      </w:pPr>
      <w:r w:rsidRPr="00A81CFC">
        <w:rPr>
          <w:szCs w:val="22"/>
        </w:rPr>
        <w:t>Geneva</w:t>
      </w:r>
      <w:r w:rsidR="004B783E" w:rsidRPr="00A81CFC">
        <w:rPr>
          <w:szCs w:val="22"/>
        </w:rPr>
        <w:t>,</w:t>
      </w:r>
      <w:r w:rsidRPr="00A81CFC">
        <w:rPr>
          <w:szCs w:val="22"/>
        </w:rPr>
        <w:t xml:space="preserve"> Switzerland</w:t>
      </w:r>
      <w:r w:rsidR="004B783E" w:rsidRPr="00A81CFC">
        <w:rPr>
          <w:szCs w:val="22"/>
        </w:rPr>
        <w:t xml:space="preserve"> </w:t>
      </w:r>
      <w:r w:rsidRPr="00A81CFC">
        <w:rPr>
          <w:szCs w:val="22"/>
        </w:rPr>
        <w:t>4-5 May 2017</w:t>
      </w:r>
    </w:p>
    <w:p w:rsidR="00825766" w:rsidRPr="00A81CFC" w:rsidRDefault="004B783E" w:rsidP="002554E9">
      <w:pPr>
        <w:pStyle w:val="HEADINGNOTFORTOC"/>
        <w:rPr>
          <w:szCs w:val="22"/>
        </w:rPr>
      </w:pPr>
      <w:bookmarkStart w:id="0" w:name="_GoBack"/>
      <w:r w:rsidRPr="00A81CFC">
        <w:rPr>
          <w:szCs w:val="22"/>
        </w:rPr>
        <w:t xml:space="preserve">report of the </w:t>
      </w:r>
      <w:r w:rsidR="00825766" w:rsidRPr="00A81CFC">
        <w:rPr>
          <w:szCs w:val="22"/>
        </w:rPr>
        <w:t>First Meeting of the Interagency Liaison Group on Biodiversity and Health</w:t>
      </w:r>
    </w:p>
    <w:bookmarkEnd w:id="0"/>
    <w:p w:rsidR="002554E9" w:rsidRPr="00A81CFC" w:rsidRDefault="002554E9" w:rsidP="002554E9">
      <w:pPr>
        <w:pStyle w:val="HEADINGNOTFORTOC"/>
        <w:rPr>
          <w:szCs w:val="22"/>
        </w:rPr>
      </w:pPr>
      <w:r w:rsidRPr="00A81CFC">
        <w:rPr>
          <w:szCs w:val="22"/>
        </w:rPr>
        <w:t>INTRODUCTION</w:t>
      </w:r>
    </w:p>
    <w:p w:rsidR="001402F0" w:rsidRPr="00471447" w:rsidRDefault="00D0570E"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In paragraph</w:t>
      </w:r>
      <w:r w:rsidR="002554E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29 of decision </w:t>
      </w:r>
      <w:r w:rsidR="002554E9" w:rsidRPr="00471447">
        <w:rPr>
          <w:rFonts w:ascii="Times New Roman" w:eastAsia="Cambria" w:hAnsi="Times New Roman" w:cs="Times New Roman"/>
          <w:kern w:val="22"/>
        </w:rPr>
        <w:t>X</w:t>
      </w:r>
      <w:r w:rsidRPr="00471447">
        <w:rPr>
          <w:rFonts w:ascii="Times New Roman" w:eastAsia="Cambria" w:hAnsi="Times New Roman" w:cs="Times New Roman"/>
          <w:kern w:val="22"/>
        </w:rPr>
        <w:t>I/6</w:t>
      </w:r>
      <w:r w:rsidR="002554E9" w:rsidRPr="00471447">
        <w:rPr>
          <w:rFonts w:ascii="Times New Roman" w:eastAsia="Cambria" w:hAnsi="Times New Roman" w:cs="Times New Roman"/>
          <w:kern w:val="22"/>
        </w:rPr>
        <w:t xml:space="preserve"> on </w:t>
      </w:r>
      <w:r w:rsidRPr="00471447">
        <w:rPr>
          <w:rFonts w:ascii="Times New Roman" w:eastAsia="Cambria" w:hAnsi="Times New Roman" w:cs="Times New Roman"/>
          <w:kern w:val="22"/>
        </w:rPr>
        <w:t>Cooperation with international organizations, other conventions and initiatives</w:t>
      </w:r>
      <w:r w:rsidR="002554E9" w:rsidRPr="00471447">
        <w:rPr>
          <w:rFonts w:ascii="Times New Roman" w:eastAsia="Cambria" w:hAnsi="Times New Roman" w:cs="Times New Roman"/>
          <w:kern w:val="22"/>
        </w:rPr>
        <w:t xml:space="preserve">, the Conference of the Parties requested the Executive Secretary to </w:t>
      </w:r>
      <w:r w:rsidRPr="00471447">
        <w:rPr>
          <w:rFonts w:ascii="Times New Roman" w:eastAsia="Cambria" w:hAnsi="Times New Roman" w:cs="Times New Roman"/>
          <w:kern w:val="22"/>
        </w:rPr>
        <w:t>establish a joint work programme with the World Health Organization</w:t>
      </w:r>
      <w:r w:rsidR="00A348A7">
        <w:rPr>
          <w:rFonts w:ascii="Times New Roman" w:eastAsia="Cambria" w:hAnsi="Times New Roman" w:cs="Times New Roman"/>
          <w:kern w:val="22"/>
        </w:rPr>
        <w:t xml:space="preserve"> (WHO)</w:t>
      </w:r>
      <w:r w:rsidRPr="00471447">
        <w:rPr>
          <w:rFonts w:ascii="Times New Roman" w:eastAsia="Cambria" w:hAnsi="Times New Roman" w:cs="Times New Roman"/>
          <w:kern w:val="22"/>
        </w:rPr>
        <w:t>, and, as appropriate, with other relevant organizations and initiatives, to support the contribution that the Strategic Plan for Biodiversity 2011</w:t>
      </w:r>
      <w:r w:rsidR="00A348A7">
        <w:rPr>
          <w:rFonts w:ascii="Times New Roman" w:eastAsia="Cambria" w:hAnsi="Times New Roman" w:cs="Times New Roman"/>
          <w:kern w:val="22"/>
        </w:rPr>
        <w:noBreakHyphen/>
      </w:r>
      <w:r w:rsidRPr="00471447">
        <w:rPr>
          <w:rFonts w:ascii="Times New Roman" w:eastAsia="Cambria" w:hAnsi="Times New Roman" w:cs="Times New Roman"/>
          <w:kern w:val="22"/>
        </w:rPr>
        <w:t>2020 can make to achieving human health objectives</w:t>
      </w:r>
      <w:r w:rsidR="002554E9"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The joint work programme on biodiversity and health wa</w:t>
      </w:r>
      <w:r w:rsidR="001402F0" w:rsidRPr="00471447">
        <w:rPr>
          <w:rFonts w:ascii="Times New Roman" w:eastAsia="Cambria" w:hAnsi="Times New Roman" w:cs="Times New Roman"/>
          <w:kern w:val="22"/>
        </w:rPr>
        <w:t xml:space="preserve">s accordingly established pursuant to </w:t>
      </w:r>
      <w:r w:rsidR="00A348A7">
        <w:rPr>
          <w:rFonts w:ascii="Times New Roman" w:eastAsia="Cambria" w:hAnsi="Times New Roman" w:cs="Times New Roman"/>
          <w:kern w:val="22"/>
        </w:rPr>
        <w:t>d</w:t>
      </w:r>
      <w:r w:rsidRPr="00471447">
        <w:rPr>
          <w:rFonts w:ascii="Times New Roman" w:eastAsia="Cambria" w:hAnsi="Times New Roman" w:cs="Times New Roman"/>
          <w:kern w:val="22"/>
        </w:rPr>
        <w:t xml:space="preserve">ecision </w:t>
      </w:r>
      <w:r w:rsidR="001402F0" w:rsidRPr="00471447">
        <w:rPr>
          <w:rFonts w:ascii="Times New Roman" w:eastAsia="Cambria" w:hAnsi="Times New Roman" w:cs="Times New Roman"/>
          <w:kern w:val="22"/>
        </w:rPr>
        <w:t xml:space="preserve">XI/6 </w:t>
      </w:r>
      <w:r w:rsidRPr="00471447">
        <w:rPr>
          <w:rFonts w:ascii="Times New Roman" w:eastAsia="Cambria" w:hAnsi="Times New Roman" w:cs="Times New Roman"/>
          <w:kern w:val="22"/>
        </w:rPr>
        <w:t xml:space="preserve">in 2012. In 2014, </w:t>
      </w:r>
      <w:r w:rsidR="001402F0" w:rsidRPr="00471447">
        <w:rPr>
          <w:rFonts w:ascii="Times New Roman" w:eastAsia="Cambria" w:hAnsi="Times New Roman" w:cs="Times New Roman"/>
          <w:kern w:val="22"/>
        </w:rPr>
        <w:t xml:space="preserve">the Conference of the Parties adopted </w:t>
      </w:r>
      <w:r w:rsidR="00A348A7">
        <w:rPr>
          <w:rFonts w:ascii="Times New Roman" w:eastAsia="Cambria" w:hAnsi="Times New Roman" w:cs="Times New Roman"/>
          <w:kern w:val="22"/>
        </w:rPr>
        <w:t>d</w:t>
      </w:r>
      <w:r w:rsidR="001402F0" w:rsidRPr="00471447">
        <w:rPr>
          <w:rFonts w:ascii="Times New Roman" w:eastAsia="Cambria" w:hAnsi="Times New Roman" w:cs="Times New Roman"/>
          <w:kern w:val="22"/>
        </w:rPr>
        <w:t xml:space="preserve">ecision XII/21, the first full decision on biodiversity and health under the </w:t>
      </w:r>
      <w:r w:rsidR="00CD6DBF" w:rsidRPr="009C20A3">
        <w:rPr>
          <w:rFonts w:ascii="Times New Roman" w:eastAsia="Cambria" w:hAnsi="Times New Roman" w:cs="Times New Roman"/>
          <w:kern w:val="22"/>
        </w:rPr>
        <w:t xml:space="preserve">joint work programme </w:t>
      </w:r>
      <w:r w:rsidR="001402F0" w:rsidRPr="00471447">
        <w:rPr>
          <w:rFonts w:ascii="Times New Roman" w:eastAsia="Cambria" w:hAnsi="Times New Roman" w:cs="Times New Roman"/>
          <w:kern w:val="22"/>
        </w:rPr>
        <w:t xml:space="preserve">. The </w:t>
      </w:r>
      <w:r w:rsidR="00A348A7">
        <w:rPr>
          <w:rFonts w:ascii="Times New Roman" w:eastAsia="Cambria" w:hAnsi="Times New Roman" w:cs="Times New Roman"/>
          <w:kern w:val="22"/>
        </w:rPr>
        <w:t>d</w:t>
      </w:r>
      <w:r w:rsidR="001402F0" w:rsidRPr="00471447">
        <w:rPr>
          <w:rFonts w:ascii="Times New Roman" w:eastAsia="Cambria" w:hAnsi="Times New Roman" w:cs="Times New Roman"/>
          <w:kern w:val="22"/>
        </w:rPr>
        <w:t xml:space="preserve">ecision requested the Executive Secretary, inter alia, to prepare a report on the implications of the findings of the State of Knowledge Review, </w:t>
      </w:r>
      <w:r w:rsidR="001402F0" w:rsidRPr="00471447">
        <w:rPr>
          <w:rFonts w:ascii="Times New Roman" w:eastAsia="Cambria" w:hAnsi="Times New Roman" w:cs="Times New Roman"/>
          <w:i/>
          <w:kern w:val="22"/>
        </w:rPr>
        <w:t>Connecting Global Priorities: Biodiversity and Human Health</w:t>
      </w:r>
      <w:r w:rsidR="001402F0" w:rsidRPr="00471447">
        <w:rPr>
          <w:rFonts w:ascii="Times New Roman" w:eastAsia="Cambria" w:hAnsi="Times New Roman" w:cs="Times New Roman"/>
          <w:kern w:val="22"/>
        </w:rPr>
        <w:t>, and to continue efforts under the joint work programme between the Secretariat and WHO on the interlinkages between biodiversity and human health, including</w:t>
      </w:r>
      <w:r w:rsidR="00D13BB3" w:rsidRPr="00471447">
        <w:rPr>
          <w:rFonts w:ascii="Times New Roman" w:eastAsia="Cambria" w:hAnsi="Times New Roman" w:cs="Times New Roman"/>
          <w:kern w:val="22"/>
        </w:rPr>
        <w:t xml:space="preserve"> by supporting</w:t>
      </w:r>
      <w:r w:rsidR="001402F0" w:rsidRPr="00471447">
        <w:rPr>
          <w:rFonts w:ascii="Times New Roman" w:eastAsia="Cambria" w:hAnsi="Times New Roman" w:cs="Times New Roman"/>
          <w:kern w:val="22"/>
        </w:rPr>
        <w:t xml:space="preserve"> regional capacity-building workshops in </w:t>
      </w:r>
      <w:r w:rsidR="00D13BB3" w:rsidRPr="00471447">
        <w:rPr>
          <w:rFonts w:ascii="Times New Roman" w:eastAsia="Cambria" w:hAnsi="Times New Roman" w:cs="Times New Roman"/>
          <w:kern w:val="22"/>
        </w:rPr>
        <w:t>additional</w:t>
      </w:r>
      <w:r w:rsidR="001402F0" w:rsidRPr="00471447">
        <w:rPr>
          <w:rFonts w:ascii="Times New Roman" w:eastAsia="Cambria" w:hAnsi="Times New Roman" w:cs="Times New Roman"/>
          <w:kern w:val="22"/>
        </w:rPr>
        <w:t xml:space="preserve"> regions. </w:t>
      </w:r>
    </w:p>
    <w:p w:rsidR="00D13BB3" w:rsidRPr="00471447" w:rsidRDefault="001402F0"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In 2015, the Secretariat </w:t>
      </w:r>
      <w:r w:rsidR="00A348A7">
        <w:rPr>
          <w:rFonts w:ascii="Times New Roman" w:eastAsia="Cambria" w:hAnsi="Times New Roman" w:cs="Times New Roman"/>
          <w:kern w:val="22"/>
        </w:rPr>
        <w:t xml:space="preserve">of the Convention </w:t>
      </w:r>
      <w:r w:rsidRPr="00471447">
        <w:rPr>
          <w:rFonts w:ascii="Times New Roman" w:eastAsia="Cambria" w:hAnsi="Times New Roman" w:cs="Times New Roman"/>
          <w:kern w:val="22"/>
        </w:rPr>
        <w:t xml:space="preserve">and WHO signed a memorandum of understanding to strengthen collaboration under the </w:t>
      </w:r>
      <w:r w:rsidR="00CD6DBF" w:rsidRPr="009C20A3">
        <w:rPr>
          <w:rFonts w:ascii="Times New Roman" w:eastAsia="Cambria" w:hAnsi="Times New Roman" w:cs="Times New Roman"/>
          <w:kern w:val="22"/>
        </w:rPr>
        <w:t>joint work programme</w:t>
      </w:r>
      <w:r w:rsidR="00D13BB3" w:rsidRPr="00471447">
        <w:rPr>
          <w:rFonts w:ascii="Times New Roman" w:eastAsia="Cambria" w:hAnsi="Times New Roman" w:cs="Times New Roman"/>
          <w:kern w:val="22"/>
        </w:rPr>
        <w:t>, including the establishment of an interagency liaison group on biodiversity and human health</w:t>
      </w:r>
      <w:r w:rsidRPr="00471447">
        <w:rPr>
          <w:rFonts w:ascii="Times New Roman" w:eastAsia="Cambria" w:hAnsi="Times New Roman" w:cs="Times New Roman"/>
          <w:kern w:val="22"/>
        </w:rPr>
        <w:t xml:space="preserve">. In 2016, the </w:t>
      </w:r>
      <w:r w:rsidR="00A348A7">
        <w:rPr>
          <w:rFonts w:ascii="Times New Roman" w:eastAsia="Cambria" w:hAnsi="Times New Roman" w:cs="Times New Roman"/>
          <w:kern w:val="22"/>
        </w:rPr>
        <w:t>C</w:t>
      </w:r>
      <w:r w:rsidRPr="00471447">
        <w:rPr>
          <w:rFonts w:ascii="Times New Roman" w:eastAsia="Cambria" w:hAnsi="Times New Roman" w:cs="Times New Roman"/>
          <w:kern w:val="22"/>
        </w:rPr>
        <w:t>onference of the Parties adopted decision XIII/6 welcoming the memorandum of understanding</w:t>
      </w:r>
      <w:r w:rsidR="00D13BB3" w:rsidRPr="00471447">
        <w:rPr>
          <w:rFonts w:ascii="Times New Roman" w:eastAsia="Cambria" w:hAnsi="Times New Roman" w:cs="Times New Roman"/>
          <w:kern w:val="22"/>
        </w:rPr>
        <w:t>, and considered</w:t>
      </w:r>
      <w:r w:rsidRPr="00471447">
        <w:rPr>
          <w:rFonts w:ascii="Times New Roman" w:eastAsia="Cambria" w:hAnsi="Times New Roman" w:cs="Times New Roman"/>
          <w:kern w:val="22"/>
        </w:rPr>
        <w:t xml:space="preserve"> the </w:t>
      </w:r>
      <w:r w:rsidR="00D13BB3" w:rsidRPr="00471447">
        <w:rPr>
          <w:rFonts w:ascii="Times New Roman" w:eastAsia="Cambria" w:hAnsi="Times New Roman" w:cs="Times New Roman"/>
          <w:kern w:val="22"/>
        </w:rPr>
        <w:t>implications of the findings of the State of Knowledge Review. In paragraph 10 of decision XIII/6, the Conference of the Parties requested the Executive Secretary, inter alia, to convene a meeting of the interagency liaison group, to prepare guidance to support the consideration of biodiversity and ecosystem management in the application of the “One Health” approach, and to submit a report to the Subsidiary Body on Scientific, Technical and Technological Advice</w:t>
      </w:r>
      <w:r w:rsidR="001F34ED" w:rsidRPr="00471447">
        <w:rPr>
          <w:rFonts w:ascii="Times New Roman" w:eastAsia="Cambria" w:hAnsi="Times New Roman" w:cs="Times New Roman"/>
          <w:kern w:val="22"/>
        </w:rPr>
        <w:t xml:space="preserve"> (SBSTTA)</w:t>
      </w:r>
      <w:r w:rsidR="00D13BB3" w:rsidRPr="00471447">
        <w:rPr>
          <w:rFonts w:ascii="Times New Roman" w:eastAsia="Cambria" w:hAnsi="Times New Roman" w:cs="Times New Roman"/>
          <w:kern w:val="22"/>
        </w:rPr>
        <w:t xml:space="preserve"> at a meeting prior to the fourteenth meeting of the Conference of the Parties</w:t>
      </w:r>
      <w:r w:rsidR="00A348A7">
        <w:rPr>
          <w:rFonts w:ascii="Times New Roman" w:eastAsia="Cambria" w:hAnsi="Times New Roman" w:cs="Times New Roman"/>
          <w:kern w:val="22"/>
        </w:rPr>
        <w:t>.</w:t>
      </w:r>
    </w:p>
    <w:p w:rsidR="002554E9" w:rsidRPr="00471447" w:rsidRDefault="002554E9"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Pursuant to decision </w:t>
      </w:r>
      <w:r w:rsidR="00D13BB3" w:rsidRPr="00471447">
        <w:rPr>
          <w:rFonts w:ascii="Times New Roman" w:eastAsia="Cambria" w:hAnsi="Times New Roman" w:cs="Times New Roman"/>
          <w:kern w:val="22"/>
        </w:rPr>
        <w:t>XIII/6</w:t>
      </w:r>
      <w:r w:rsidR="0081094D" w:rsidRPr="00471447">
        <w:rPr>
          <w:rFonts w:ascii="Times New Roman" w:eastAsia="Cambria" w:hAnsi="Times New Roman" w:cs="Times New Roman"/>
          <w:kern w:val="22"/>
        </w:rPr>
        <w:t xml:space="preserve">, </w:t>
      </w:r>
      <w:r w:rsidR="00D13BB3" w:rsidRPr="00471447">
        <w:rPr>
          <w:rFonts w:ascii="Times New Roman" w:eastAsia="Cambria" w:hAnsi="Times New Roman" w:cs="Times New Roman"/>
          <w:kern w:val="22"/>
        </w:rPr>
        <w:t>t</w:t>
      </w:r>
      <w:r w:rsidRPr="00471447">
        <w:rPr>
          <w:rFonts w:ascii="Times New Roman" w:eastAsia="Cambria" w:hAnsi="Times New Roman" w:cs="Times New Roman"/>
          <w:kern w:val="22"/>
        </w:rPr>
        <w:t xml:space="preserve">he first face-to-face meeting of the </w:t>
      </w:r>
      <w:r w:rsidR="00A348A7">
        <w:rPr>
          <w:rFonts w:ascii="Times New Roman" w:eastAsia="Cambria" w:hAnsi="Times New Roman" w:cs="Times New Roman"/>
          <w:kern w:val="22"/>
        </w:rPr>
        <w:t>I</w:t>
      </w:r>
      <w:r w:rsidR="00D13BB3" w:rsidRPr="00471447">
        <w:rPr>
          <w:rFonts w:ascii="Times New Roman" w:eastAsia="Cambria" w:hAnsi="Times New Roman" w:cs="Times New Roman"/>
          <w:kern w:val="22"/>
        </w:rPr>
        <w:t xml:space="preserve">nteragency </w:t>
      </w:r>
      <w:r w:rsidR="00A348A7">
        <w:rPr>
          <w:rFonts w:ascii="Times New Roman" w:eastAsia="Cambria" w:hAnsi="Times New Roman" w:cs="Times New Roman"/>
          <w:kern w:val="22"/>
        </w:rPr>
        <w:t>L</w:t>
      </w:r>
      <w:r w:rsidRPr="00471447">
        <w:rPr>
          <w:rFonts w:ascii="Times New Roman" w:eastAsia="Cambria" w:hAnsi="Times New Roman" w:cs="Times New Roman"/>
          <w:kern w:val="22"/>
        </w:rPr>
        <w:t xml:space="preserve">iaison </w:t>
      </w:r>
      <w:r w:rsidR="00A348A7">
        <w:rPr>
          <w:rFonts w:ascii="Times New Roman" w:eastAsia="Cambria" w:hAnsi="Times New Roman" w:cs="Times New Roman"/>
          <w:kern w:val="22"/>
        </w:rPr>
        <w:t>G</w:t>
      </w:r>
      <w:r w:rsidRPr="00471447">
        <w:rPr>
          <w:rFonts w:ascii="Times New Roman" w:eastAsia="Cambria" w:hAnsi="Times New Roman" w:cs="Times New Roman"/>
          <w:kern w:val="22"/>
        </w:rPr>
        <w:t>roup</w:t>
      </w:r>
      <w:r w:rsidR="00D13BB3" w:rsidRPr="00471447">
        <w:rPr>
          <w:rFonts w:ascii="Times New Roman" w:eastAsia="Cambria" w:hAnsi="Times New Roman" w:cs="Times New Roman"/>
          <w:kern w:val="22"/>
        </w:rPr>
        <w:t xml:space="preserve"> on </w:t>
      </w:r>
      <w:r w:rsidR="00A348A7">
        <w:rPr>
          <w:rFonts w:ascii="Times New Roman" w:eastAsia="Cambria" w:hAnsi="Times New Roman" w:cs="Times New Roman"/>
          <w:kern w:val="22"/>
        </w:rPr>
        <w:t>B</w:t>
      </w:r>
      <w:r w:rsidR="00D13BB3" w:rsidRPr="00471447">
        <w:rPr>
          <w:rFonts w:ascii="Times New Roman" w:eastAsia="Cambria" w:hAnsi="Times New Roman" w:cs="Times New Roman"/>
          <w:kern w:val="22"/>
        </w:rPr>
        <w:t xml:space="preserve">iodiversity and </w:t>
      </w:r>
      <w:r w:rsidR="00A348A7">
        <w:rPr>
          <w:rFonts w:ascii="Times New Roman" w:eastAsia="Cambria" w:hAnsi="Times New Roman" w:cs="Times New Roman"/>
          <w:kern w:val="22"/>
        </w:rPr>
        <w:t>H</w:t>
      </w:r>
      <w:r w:rsidR="00D13BB3" w:rsidRPr="00471447">
        <w:rPr>
          <w:rFonts w:ascii="Times New Roman" w:eastAsia="Cambria" w:hAnsi="Times New Roman" w:cs="Times New Roman"/>
          <w:kern w:val="22"/>
        </w:rPr>
        <w:t>ealth (ILG)</w:t>
      </w:r>
      <w:r w:rsidRPr="00471447">
        <w:rPr>
          <w:rFonts w:ascii="Times New Roman" w:eastAsia="Cambria" w:hAnsi="Times New Roman" w:cs="Times New Roman"/>
          <w:kern w:val="22"/>
        </w:rPr>
        <w:t xml:space="preserve"> took place at </w:t>
      </w:r>
      <w:r w:rsidR="00A348A7">
        <w:rPr>
          <w:rFonts w:ascii="Times New Roman" w:eastAsia="Cambria" w:hAnsi="Times New Roman" w:cs="Times New Roman"/>
          <w:kern w:val="22"/>
        </w:rPr>
        <w:t>the</w:t>
      </w:r>
      <w:r w:rsidR="00A348A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headquarters </w:t>
      </w:r>
      <w:r w:rsidR="00A348A7">
        <w:rPr>
          <w:rFonts w:ascii="Times New Roman" w:eastAsia="Cambria" w:hAnsi="Times New Roman" w:cs="Times New Roman"/>
          <w:kern w:val="22"/>
        </w:rPr>
        <w:t xml:space="preserve">of the World Health Organization </w:t>
      </w:r>
      <w:r w:rsidRPr="00471447">
        <w:rPr>
          <w:rFonts w:ascii="Times New Roman" w:eastAsia="Cambria" w:hAnsi="Times New Roman" w:cs="Times New Roman"/>
          <w:kern w:val="22"/>
        </w:rPr>
        <w:t xml:space="preserve">in </w:t>
      </w:r>
      <w:r w:rsidR="00D13BB3" w:rsidRPr="00471447">
        <w:rPr>
          <w:rFonts w:ascii="Times New Roman" w:eastAsia="Cambria" w:hAnsi="Times New Roman" w:cs="Times New Roman"/>
          <w:kern w:val="22"/>
        </w:rPr>
        <w:t>Geneva</w:t>
      </w:r>
      <w:r w:rsidRPr="00471447">
        <w:rPr>
          <w:rFonts w:ascii="Times New Roman" w:eastAsia="Cambria" w:hAnsi="Times New Roman" w:cs="Times New Roman"/>
          <w:kern w:val="22"/>
        </w:rPr>
        <w:t xml:space="preserve">, on </w:t>
      </w:r>
      <w:r w:rsidR="00A50F56" w:rsidRPr="00471447">
        <w:rPr>
          <w:rFonts w:ascii="Times New Roman" w:eastAsia="Cambria" w:hAnsi="Times New Roman" w:cs="Times New Roman"/>
          <w:kern w:val="22"/>
        </w:rPr>
        <w:t>4 and 5 May 2017</w:t>
      </w:r>
      <w:r w:rsidRPr="00471447">
        <w:rPr>
          <w:rFonts w:ascii="Times New Roman" w:eastAsia="Cambria" w:hAnsi="Times New Roman" w:cs="Times New Roman"/>
          <w:kern w:val="22"/>
        </w:rPr>
        <w:t xml:space="preserve">. </w:t>
      </w:r>
      <w:r w:rsidR="00CD6DBF">
        <w:rPr>
          <w:rFonts w:ascii="Times New Roman" w:eastAsia="Cambria" w:hAnsi="Times New Roman" w:cs="Times New Roman"/>
          <w:kern w:val="22"/>
        </w:rPr>
        <w:t xml:space="preserve">The Liaison Group comprises the following core members: CBD Secretariat, World Health Organization, CGIAR, FAO, Future Earth, IUCN, OIE, UN Environment, UNFCCC, UNISDR, UNU, UN Standing Committee on Nutrition. Experts observers were also invited to attend the first meeting. </w:t>
      </w:r>
      <w:r w:rsidRPr="00471447">
        <w:rPr>
          <w:rFonts w:ascii="Times New Roman" w:eastAsia="Cambria" w:hAnsi="Times New Roman" w:cs="Times New Roman"/>
          <w:kern w:val="22"/>
        </w:rPr>
        <w:t>The agenda and list of participants are presented in annexes I and II</w:t>
      </w:r>
      <w:r w:rsidR="00A50F56" w:rsidRPr="00471447">
        <w:rPr>
          <w:rFonts w:ascii="Times New Roman" w:eastAsia="Cambria" w:hAnsi="Times New Roman" w:cs="Times New Roman"/>
          <w:kern w:val="22"/>
        </w:rPr>
        <w:t xml:space="preserve"> to th</w:t>
      </w:r>
      <w:r w:rsidR="00645F63">
        <w:rPr>
          <w:rFonts w:ascii="Times New Roman" w:eastAsia="Cambria" w:hAnsi="Times New Roman" w:cs="Times New Roman"/>
          <w:kern w:val="22"/>
        </w:rPr>
        <w:t>e present</w:t>
      </w:r>
      <w:r w:rsidR="00A50F56" w:rsidRPr="00471447">
        <w:rPr>
          <w:rFonts w:ascii="Times New Roman" w:eastAsia="Cambria" w:hAnsi="Times New Roman" w:cs="Times New Roman"/>
          <w:kern w:val="22"/>
        </w:rPr>
        <w:t xml:space="preserve"> document, respectively. The </w:t>
      </w:r>
      <w:r w:rsidR="00645F63">
        <w:rPr>
          <w:rFonts w:ascii="Times New Roman" w:eastAsia="Cambria" w:hAnsi="Times New Roman" w:cs="Times New Roman"/>
          <w:kern w:val="22"/>
        </w:rPr>
        <w:t>t</w:t>
      </w:r>
      <w:r w:rsidR="00A50F56" w:rsidRPr="00471447">
        <w:rPr>
          <w:rFonts w:ascii="Times New Roman" w:eastAsia="Cambria" w:hAnsi="Times New Roman" w:cs="Times New Roman"/>
          <w:kern w:val="22"/>
        </w:rPr>
        <w:t xml:space="preserve">erms of reference and </w:t>
      </w:r>
      <w:r w:rsidR="00645F63">
        <w:rPr>
          <w:rFonts w:ascii="Times New Roman" w:eastAsia="Cambria" w:hAnsi="Times New Roman" w:cs="Times New Roman"/>
          <w:kern w:val="22"/>
        </w:rPr>
        <w:t>m</w:t>
      </w:r>
      <w:r w:rsidR="00A50F56" w:rsidRPr="00471447">
        <w:rPr>
          <w:rFonts w:ascii="Times New Roman" w:eastAsia="Cambria" w:hAnsi="Times New Roman" w:cs="Times New Roman"/>
          <w:kern w:val="22"/>
        </w:rPr>
        <w:t xml:space="preserve">odus </w:t>
      </w:r>
      <w:r w:rsidR="00645F63">
        <w:rPr>
          <w:rFonts w:ascii="Times New Roman" w:eastAsia="Cambria" w:hAnsi="Times New Roman" w:cs="Times New Roman"/>
          <w:kern w:val="22"/>
        </w:rPr>
        <w:t>o</w:t>
      </w:r>
      <w:r w:rsidR="00A50F56" w:rsidRPr="00471447">
        <w:rPr>
          <w:rFonts w:ascii="Times New Roman" w:eastAsia="Cambria" w:hAnsi="Times New Roman" w:cs="Times New Roman"/>
          <w:kern w:val="22"/>
        </w:rPr>
        <w:t xml:space="preserve">perandi of the ILG are presented in </w:t>
      </w:r>
      <w:r w:rsidR="00645F63">
        <w:rPr>
          <w:rFonts w:ascii="Times New Roman" w:eastAsia="Cambria" w:hAnsi="Times New Roman" w:cs="Times New Roman"/>
          <w:kern w:val="22"/>
        </w:rPr>
        <w:t>a</w:t>
      </w:r>
      <w:r w:rsidR="00A50F56" w:rsidRPr="00471447">
        <w:rPr>
          <w:rFonts w:ascii="Times New Roman" w:eastAsia="Cambria" w:hAnsi="Times New Roman" w:cs="Times New Roman"/>
          <w:kern w:val="22"/>
        </w:rPr>
        <w:t>nnex III</w:t>
      </w:r>
      <w:r w:rsidRPr="00471447">
        <w:rPr>
          <w:rFonts w:ascii="Times New Roman" w:eastAsia="Cambria" w:hAnsi="Times New Roman" w:cs="Times New Roman"/>
          <w:kern w:val="22"/>
        </w:rPr>
        <w:t>.</w:t>
      </w:r>
    </w:p>
    <w:p w:rsidR="002554E9" w:rsidRPr="00471447" w:rsidRDefault="002554E9" w:rsidP="00471447">
      <w:pPr>
        <w:pStyle w:val="HEADINGNOTFORTOC"/>
        <w:spacing w:before="120" w:after="120"/>
        <w:rPr>
          <w:kern w:val="22"/>
          <w:szCs w:val="22"/>
        </w:rPr>
      </w:pPr>
      <w:r w:rsidRPr="00471447">
        <w:rPr>
          <w:kern w:val="22"/>
          <w:szCs w:val="22"/>
        </w:rPr>
        <w:lastRenderedPageBreak/>
        <w:t>ITEM 1. OPENING OF THE MEETING</w:t>
      </w:r>
    </w:p>
    <w:p w:rsidR="009F1447" w:rsidRPr="00471447" w:rsidRDefault="00A50F56"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meeting was opened at 9:30 a.m. on Thursday, 4 May 2017 with welcoming remarks by Ms. Maria Neira, </w:t>
      </w:r>
      <w:r w:rsidR="00092A0F" w:rsidRPr="001254DE">
        <w:rPr>
          <w:rFonts w:ascii="Times New Roman" w:eastAsia="Cambria" w:hAnsi="Times New Roman" w:cs="Times New Roman"/>
          <w:kern w:val="22"/>
        </w:rPr>
        <w:t>Director</w:t>
      </w:r>
      <w:r w:rsidR="00092A0F" w:rsidRPr="00CD6DBF">
        <w:rPr>
          <w:rFonts w:ascii="Times New Roman" w:eastAsia="Cambria" w:hAnsi="Times New Roman" w:cs="Times New Roman"/>
          <w:kern w:val="22"/>
        </w:rPr>
        <w:t xml:space="preserve"> </w:t>
      </w:r>
      <w:r w:rsidR="00092A0F">
        <w:rPr>
          <w:rFonts w:ascii="Times New Roman" w:eastAsia="Cambria" w:hAnsi="Times New Roman" w:cs="Times New Roman"/>
          <w:kern w:val="22"/>
        </w:rPr>
        <w:t xml:space="preserve">of </w:t>
      </w:r>
      <w:r w:rsidRPr="00471447">
        <w:rPr>
          <w:rFonts w:ascii="Times New Roman" w:eastAsia="Cambria" w:hAnsi="Times New Roman" w:cs="Times New Roman"/>
          <w:kern w:val="22"/>
        </w:rPr>
        <w:t xml:space="preserve">WHO, Public Health, Environmental and Social Determinants of Health (PHE). Ms. </w:t>
      </w:r>
      <w:r w:rsidR="00C951BE" w:rsidRPr="00471447">
        <w:rPr>
          <w:rFonts w:ascii="Times New Roman" w:eastAsia="Cambria" w:hAnsi="Times New Roman" w:cs="Times New Roman"/>
          <w:kern w:val="22"/>
        </w:rPr>
        <w:t>Neira</w:t>
      </w:r>
      <w:r w:rsidR="004C6EA3" w:rsidRPr="00471447">
        <w:rPr>
          <w:rFonts w:ascii="Times New Roman" w:eastAsia="Cambria" w:hAnsi="Times New Roman" w:cs="Times New Roman"/>
          <w:kern w:val="22"/>
        </w:rPr>
        <w:t xml:space="preserve"> highlighted</w:t>
      </w:r>
      <w:r w:rsidR="00D307FF" w:rsidRPr="00471447">
        <w:rPr>
          <w:rFonts w:ascii="Times New Roman" w:eastAsia="Cambria" w:hAnsi="Times New Roman" w:cs="Times New Roman"/>
          <w:kern w:val="22"/>
        </w:rPr>
        <w:t xml:space="preserve"> </w:t>
      </w:r>
      <w:r w:rsidR="0081094D" w:rsidRPr="00471447">
        <w:rPr>
          <w:rFonts w:ascii="Times New Roman" w:eastAsia="Cambria" w:hAnsi="Times New Roman" w:cs="Times New Roman"/>
          <w:kern w:val="22"/>
        </w:rPr>
        <w:t>collaborative activities</w:t>
      </w:r>
      <w:r w:rsidR="00D307FF" w:rsidRPr="00471447">
        <w:rPr>
          <w:rFonts w:ascii="Times New Roman" w:eastAsia="Cambria" w:hAnsi="Times New Roman" w:cs="Times New Roman"/>
          <w:kern w:val="22"/>
        </w:rPr>
        <w:t xml:space="preserve"> </w:t>
      </w:r>
      <w:r w:rsidR="0081094D" w:rsidRPr="00471447">
        <w:rPr>
          <w:rFonts w:ascii="Times New Roman" w:eastAsia="Cambria" w:hAnsi="Times New Roman" w:cs="Times New Roman"/>
          <w:kern w:val="22"/>
        </w:rPr>
        <w:t xml:space="preserve">under the </w:t>
      </w:r>
      <w:r w:rsidR="0061487C" w:rsidRPr="009C20A3">
        <w:rPr>
          <w:rFonts w:ascii="Times New Roman" w:eastAsia="Cambria" w:hAnsi="Times New Roman" w:cs="Times New Roman"/>
          <w:kern w:val="22"/>
        </w:rPr>
        <w:t>joint work programme</w:t>
      </w:r>
      <w:r w:rsidR="0061487C" w:rsidRPr="00A20A93" w:rsidDel="0061487C">
        <w:rPr>
          <w:rFonts w:ascii="Times New Roman" w:eastAsia="Cambria" w:hAnsi="Times New Roman" w:cs="Times New Roman"/>
          <w:kern w:val="22"/>
        </w:rPr>
        <w:t xml:space="preserve"> </w:t>
      </w:r>
      <w:r w:rsidR="004350D5" w:rsidRPr="00471447">
        <w:rPr>
          <w:rFonts w:ascii="Times New Roman" w:eastAsia="Cambria" w:hAnsi="Times New Roman" w:cs="Times New Roman"/>
          <w:kern w:val="22"/>
        </w:rPr>
        <w:t>,</w:t>
      </w:r>
      <w:r w:rsidR="003F6673" w:rsidRPr="00471447">
        <w:rPr>
          <w:rFonts w:ascii="Times New Roman" w:eastAsia="Cambria" w:hAnsi="Times New Roman" w:cs="Times New Roman"/>
          <w:kern w:val="22"/>
        </w:rPr>
        <w:t xml:space="preserve"> noting the significance of this </w:t>
      </w:r>
      <w:r w:rsidR="0081094D" w:rsidRPr="00471447">
        <w:rPr>
          <w:rFonts w:ascii="Times New Roman" w:eastAsia="Cambria" w:hAnsi="Times New Roman" w:cs="Times New Roman"/>
          <w:kern w:val="22"/>
        </w:rPr>
        <w:t xml:space="preserve">collaborative </w:t>
      </w:r>
      <w:r w:rsidR="003F6673" w:rsidRPr="00471447">
        <w:rPr>
          <w:rFonts w:ascii="Times New Roman" w:eastAsia="Cambria" w:hAnsi="Times New Roman" w:cs="Times New Roman"/>
          <w:kern w:val="22"/>
        </w:rPr>
        <w:t xml:space="preserve">work in informing </w:t>
      </w:r>
      <w:r w:rsidR="0081094D" w:rsidRPr="00471447">
        <w:rPr>
          <w:rFonts w:ascii="Times New Roman" w:eastAsia="Cambria" w:hAnsi="Times New Roman" w:cs="Times New Roman"/>
          <w:kern w:val="22"/>
        </w:rPr>
        <w:t xml:space="preserve">decisions XII/21 and XIII/6, </w:t>
      </w:r>
      <w:r w:rsidR="004D633F" w:rsidRPr="00471447">
        <w:rPr>
          <w:rFonts w:ascii="Times New Roman" w:eastAsia="Cambria" w:hAnsi="Times New Roman" w:cs="Times New Roman"/>
          <w:kern w:val="22"/>
        </w:rPr>
        <w:t>emphasizing</w:t>
      </w:r>
      <w:r w:rsidR="003F6673" w:rsidRPr="00471447">
        <w:rPr>
          <w:rFonts w:ascii="Times New Roman" w:eastAsia="Cambria" w:hAnsi="Times New Roman" w:cs="Times New Roman"/>
          <w:kern w:val="22"/>
        </w:rPr>
        <w:t xml:space="preserve"> that </w:t>
      </w:r>
      <w:r w:rsidR="00C951BE" w:rsidRPr="00471447">
        <w:rPr>
          <w:rFonts w:ascii="Times New Roman" w:eastAsia="Cambria" w:hAnsi="Times New Roman" w:cs="Times New Roman"/>
          <w:kern w:val="22"/>
        </w:rPr>
        <w:t xml:space="preserve">the </w:t>
      </w:r>
      <w:r w:rsidR="0081094D" w:rsidRPr="00471447">
        <w:rPr>
          <w:rFonts w:ascii="Times New Roman" w:eastAsia="Cambria" w:hAnsi="Times New Roman" w:cs="Times New Roman"/>
          <w:kern w:val="22"/>
        </w:rPr>
        <w:t xml:space="preserve">decisions and the adoption of the </w:t>
      </w:r>
      <w:r w:rsidR="00C951BE" w:rsidRPr="00471447">
        <w:rPr>
          <w:rFonts w:ascii="Times New Roman" w:eastAsia="Cambria" w:hAnsi="Times New Roman" w:cs="Times New Roman"/>
          <w:kern w:val="22"/>
        </w:rPr>
        <w:t>Sustainable Development Goals</w:t>
      </w:r>
      <w:r w:rsidR="003F6673" w:rsidRPr="00471447">
        <w:rPr>
          <w:rFonts w:ascii="Times New Roman" w:eastAsia="Cambria" w:hAnsi="Times New Roman" w:cs="Times New Roman"/>
          <w:kern w:val="22"/>
        </w:rPr>
        <w:t xml:space="preserve"> (SDGs) and </w:t>
      </w:r>
      <w:r w:rsidR="00092A0F">
        <w:rPr>
          <w:rFonts w:ascii="Times New Roman" w:eastAsia="Cambria" w:hAnsi="Times New Roman" w:cs="Times New Roman"/>
          <w:kern w:val="22"/>
        </w:rPr>
        <w:t xml:space="preserve">the </w:t>
      </w:r>
      <w:r w:rsidR="003F6673" w:rsidRPr="00471447">
        <w:rPr>
          <w:rFonts w:ascii="Times New Roman" w:eastAsia="Cambria" w:hAnsi="Times New Roman" w:cs="Times New Roman"/>
          <w:kern w:val="22"/>
        </w:rPr>
        <w:t xml:space="preserve">2030 development agenda </w:t>
      </w:r>
      <w:r w:rsidR="0081094D" w:rsidRPr="00471447">
        <w:rPr>
          <w:rFonts w:ascii="Times New Roman" w:eastAsia="Cambria" w:hAnsi="Times New Roman" w:cs="Times New Roman"/>
          <w:kern w:val="22"/>
        </w:rPr>
        <w:t>provide</w:t>
      </w:r>
      <w:r w:rsidR="00092A0F">
        <w:rPr>
          <w:rFonts w:ascii="Times New Roman" w:eastAsia="Cambria" w:hAnsi="Times New Roman" w:cs="Times New Roman"/>
          <w:kern w:val="22"/>
        </w:rPr>
        <w:t>d</w:t>
      </w:r>
      <w:r w:rsidR="0081094D" w:rsidRPr="00471447">
        <w:rPr>
          <w:rFonts w:ascii="Times New Roman" w:eastAsia="Cambria" w:hAnsi="Times New Roman" w:cs="Times New Roman"/>
          <w:kern w:val="22"/>
        </w:rPr>
        <w:t xml:space="preserve"> further impetus</w:t>
      </w:r>
      <w:r w:rsidR="00092A0F">
        <w:rPr>
          <w:rFonts w:ascii="Times New Roman" w:eastAsia="Cambria" w:hAnsi="Times New Roman" w:cs="Times New Roman"/>
          <w:kern w:val="22"/>
        </w:rPr>
        <w:t xml:space="preserve"> and</w:t>
      </w:r>
      <w:r w:rsidR="003F6673" w:rsidRPr="00471447">
        <w:rPr>
          <w:rFonts w:ascii="Times New Roman" w:eastAsia="Cambria" w:hAnsi="Times New Roman" w:cs="Times New Roman"/>
          <w:kern w:val="22"/>
        </w:rPr>
        <w:t xml:space="preserve"> more</w:t>
      </w:r>
      <w:r w:rsidR="009F1447" w:rsidRPr="00471447">
        <w:rPr>
          <w:rFonts w:ascii="Times New Roman" w:eastAsia="Cambria" w:hAnsi="Times New Roman" w:cs="Times New Roman"/>
          <w:kern w:val="22"/>
        </w:rPr>
        <w:t xml:space="preserve"> </w:t>
      </w:r>
      <w:r w:rsidR="000D04EA" w:rsidRPr="00471447">
        <w:rPr>
          <w:rFonts w:ascii="Times New Roman" w:eastAsia="Cambria" w:hAnsi="Times New Roman" w:cs="Times New Roman"/>
          <w:kern w:val="22"/>
        </w:rPr>
        <w:t>integrated work</w:t>
      </w:r>
      <w:r w:rsidR="00C951BE" w:rsidRPr="00471447">
        <w:rPr>
          <w:rFonts w:ascii="Times New Roman" w:eastAsia="Cambria" w:hAnsi="Times New Roman" w:cs="Times New Roman"/>
          <w:kern w:val="22"/>
        </w:rPr>
        <w:t xml:space="preserve"> across </w:t>
      </w:r>
      <w:r w:rsidR="009F1447" w:rsidRPr="00471447">
        <w:rPr>
          <w:rFonts w:ascii="Times New Roman" w:eastAsia="Cambria" w:hAnsi="Times New Roman" w:cs="Times New Roman"/>
          <w:kern w:val="22"/>
        </w:rPr>
        <w:t xml:space="preserve">sectors </w:t>
      </w:r>
      <w:r w:rsidR="000D04EA" w:rsidRPr="00471447">
        <w:rPr>
          <w:rFonts w:ascii="Times New Roman" w:eastAsia="Cambria" w:hAnsi="Times New Roman" w:cs="Times New Roman"/>
          <w:kern w:val="22"/>
        </w:rPr>
        <w:t>and</w:t>
      </w:r>
      <w:r w:rsidR="00C951BE" w:rsidRPr="00471447">
        <w:rPr>
          <w:rFonts w:ascii="Times New Roman" w:eastAsia="Cambria" w:hAnsi="Times New Roman" w:cs="Times New Roman"/>
          <w:kern w:val="22"/>
        </w:rPr>
        <w:t xml:space="preserve"> agencies</w:t>
      </w:r>
      <w:r w:rsidR="0081094D" w:rsidRPr="00471447">
        <w:rPr>
          <w:rFonts w:ascii="Times New Roman" w:eastAsia="Cambria" w:hAnsi="Times New Roman" w:cs="Times New Roman"/>
          <w:kern w:val="22"/>
        </w:rPr>
        <w:t xml:space="preserve">, including under the </w:t>
      </w:r>
      <w:r w:rsidR="0061487C" w:rsidRPr="009C20A3">
        <w:rPr>
          <w:rFonts w:ascii="Times New Roman" w:eastAsia="Cambria" w:hAnsi="Times New Roman" w:cs="Times New Roman"/>
          <w:kern w:val="22"/>
        </w:rPr>
        <w:t>joint work programme</w:t>
      </w:r>
      <w:r w:rsidR="00C951BE" w:rsidRPr="00471447">
        <w:rPr>
          <w:rFonts w:ascii="Times New Roman" w:eastAsia="Cambria" w:hAnsi="Times New Roman" w:cs="Times New Roman"/>
          <w:kern w:val="22"/>
        </w:rPr>
        <w:t xml:space="preserve">. </w:t>
      </w:r>
      <w:r w:rsidR="0081094D" w:rsidRPr="00471447">
        <w:rPr>
          <w:rFonts w:ascii="Times New Roman" w:eastAsia="Cambria" w:hAnsi="Times New Roman" w:cs="Times New Roman"/>
          <w:kern w:val="22"/>
        </w:rPr>
        <w:t>She emphasized t</w:t>
      </w:r>
      <w:r w:rsidR="009F1447" w:rsidRPr="00471447">
        <w:rPr>
          <w:rFonts w:ascii="Times New Roman" w:eastAsia="Cambria" w:hAnsi="Times New Roman" w:cs="Times New Roman"/>
          <w:kern w:val="22"/>
        </w:rPr>
        <w:t xml:space="preserve">he </w:t>
      </w:r>
      <w:r w:rsidR="00C951BE" w:rsidRPr="00471447">
        <w:rPr>
          <w:rFonts w:ascii="Times New Roman" w:eastAsia="Cambria" w:hAnsi="Times New Roman" w:cs="Times New Roman"/>
          <w:kern w:val="22"/>
        </w:rPr>
        <w:t xml:space="preserve">need to </w:t>
      </w:r>
      <w:r w:rsidR="009F1447" w:rsidRPr="00471447">
        <w:rPr>
          <w:rFonts w:ascii="Times New Roman" w:eastAsia="Cambria" w:hAnsi="Times New Roman" w:cs="Times New Roman"/>
          <w:kern w:val="22"/>
        </w:rPr>
        <w:t>work</w:t>
      </w:r>
      <w:r w:rsidR="00C951BE" w:rsidRPr="00471447">
        <w:rPr>
          <w:rFonts w:ascii="Times New Roman" w:eastAsia="Cambria" w:hAnsi="Times New Roman" w:cs="Times New Roman"/>
          <w:kern w:val="22"/>
        </w:rPr>
        <w:t xml:space="preserve"> more effectively on </w:t>
      </w:r>
      <w:r w:rsidR="000D04EA" w:rsidRPr="00471447">
        <w:rPr>
          <w:rFonts w:ascii="Times New Roman" w:eastAsia="Cambria" w:hAnsi="Times New Roman" w:cs="Times New Roman"/>
          <w:kern w:val="22"/>
        </w:rPr>
        <w:t xml:space="preserve">prevention, </w:t>
      </w:r>
      <w:r w:rsidR="00C951BE" w:rsidRPr="00471447">
        <w:rPr>
          <w:rFonts w:ascii="Times New Roman" w:eastAsia="Cambria" w:hAnsi="Times New Roman" w:cs="Times New Roman"/>
          <w:kern w:val="22"/>
        </w:rPr>
        <w:t xml:space="preserve">particularly on </w:t>
      </w:r>
      <w:r w:rsidR="0081094D" w:rsidRPr="00471447">
        <w:rPr>
          <w:rFonts w:ascii="Times New Roman" w:eastAsia="Cambria" w:hAnsi="Times New Roman" w:cs="Times New Roman"/>
          <w:kern w:val="22"/>
        </w:rPr>
        <w:t>supporting</w:t>
      </w:r>
      <w:r w:rsidR="00C951BE" w:rsidRPr="00471447">
        <w:rPr>
          <w:rFonts w:ascii="Times New Roman" w:eastAsia="Cambria" w:hAnsi="Times New Roman" w:cs="Times New Roman"/>
          <w:kern w:val="22"/>
        </w:rPr>
        <w:t xml:space="preserve"> the environmental conditions that protect health.</w:t>
      </w:r>
      <w:r w:rsidR="009F1447" w:rsidRPr="00471447">
        <w:rPr>
          <w:rFonts w:ascii="Times New Roman" w:eastAsia="Cambria" w:hAnsi="Times New Roman" w:cs="Times New Roman"/>
          <w:kern w:val="22"/>
        </w:rPr>
        <w:t xml:space="preserve"> </w:t>
      </w:r>
      <w:r w:rsidR="004D633F" w:rsidRPr="00471447">
        <w:rPr>
          <w:rFonts w:ascii="Times New Roman" w:eastAsia="Cambria" w:hAnsi="Times New Roman" w:cs="Times New Roman"/>
          <w:kern w:val="22"/>
        </w:rPr>
        <w:t>She noted that s</w:t>
      </w:r>
      <w:r w:rsidR="000D04EA" w:rsidRPr="00471447">
        <w:rPr>
          <w:rFonts w:ascii="Times New Roman" w:eastAsia="Cambria" w:hAnsi="Times New Roman" w:cs="Times New Roman"/>
          <w:kern w:val="22"/>
        </w:rPr>
        <w:t>trengthened cross-sectoral</w:t>
      </w:r>
      <w:r w:rsidR="009F1447" w:rsidRPr="00471447">
        <w:rPr>
          <w:rFonts w:ascii="Times New Roman" w:eastAsia="Cambria" w:hAnsi="Times New Roman" w:cs="Times New Roman"/>
          <w:kern w:val="22"/>
        </w:rPr>
        <w:t xml:space="preserve"> collaboration</w:t>
      </w:r>
      <w:r w:rsidR="0081094D" w:rsidRPr="00471447">
        <w:rPr>
          <w:rFonts w:ascii="Times New Roman" w:eastAsia="Cambria" w:hAnsi="Times New Roman" w:cs="Times New Roman"/>
          <w:kern w:val="22"/>
        </w:rPr>
        <w:t xml:space="preserve"> under the </w:t>
      </w:r>
      <w:r w:rsidR="0061487C" w:rsidRPr="009C20A3">
        <w:rPr>
          <w:rFonts w:ascii="Times New Roman" w:eastAsia="Cambria" w:hAnsi="Times New Roman" w:cs="Times New Roman"/>
          <w:kern w:val="22"/>
        </w:rPr>
        <w:t>joint work programme</w:t>
      </w:r>
      <w:r w:rsidR="000D04EA" w:rsidRPr="00471447">
        <w:rPr>
          <w:rFonts w:ascii="Times New Roman" w:eastAsia="Cambria" w:hAnsi="Times New Roman" w:cs="Times New Roman"/>
          <w:kern w:val="22"/>
        </w:rPr>
        <w:t>,</w:t>
      </w:r>
      <w:r w:rsidR="009F1447" w:rsidRPr="00471447">
        <w:rPr>
          <w:rFonts w:ascii="Times New Roman" w:eastAsia="Cambria" w:hAnsi="Times New Roman" w:cs="Times New Roman"/>
          <w:kern w:val="22"/>
        </w:rPr>
        <w:t xml:space="preserve"> including </w:t>
      </w:r>
      <w:r w:rsidR="000D04EA" w:rsidRPr="00471447">
        <w:rPr>
          <w:rFonts w:ascii="Times New Roman" w:eastAsia="Cambria" w:hAnsi="Times New Roman" w:cs="Times New Roman"/>
          <w:kern w:val="22"/>
        </w:rPr>
        <w:t>through</w:t>
      </w:r>
      <w:r w:rsidR="0081094D" w:rsidRPr="00471447">
        <w:rPr>
          <w:rFonts w:ascii="Times New Roman" w:eastAsia="Cambria" w:hAnsi="Times New Roman" w:cs="Times New Roman"/>
          <w:kern w:val="22"/>
        </w:rPr>
        <w:t xml:space="preserve"> its work with the ILG</w:t>
      </w:r>
      <w:r w:rsidR="009F1447" w:rsidRPr="00471447">
        <w:rPr>
          <w:rFonts w:ascii="Times New Roman" w:eastAsia="Cambria" w:hAnsi="Times New Roman" w:cs="Times New Roman"/>
          <w:kern w:val="22"/>
        </w:rPr>
        <w:t xml:space="preserve">, </w:t>
      </w:r>
      <w:r w:rsidR="00092A0F">
        <w:rPr>
          <w:rFonts w:ascii="Times New Roman" w:eastAsia="Cambria" w:hAnsi="Times New Roman" w:cs="Times New Roman"/>
          <w:kern w:val="22"/>
        </w:rPr>
        <w:t>could</w:t>
      </w:r>
      <w:r w:rsidR="00092A0F" w:rsidRPr="00471447">
        <w:rPr>
          <w:rFonts w:ascii="Times New Roman" w:eastAsia="Cambria" w:hAnsi="Times New Roman" w:cs="Times New Roman"/>
          <w:kern w:val="22"/>
        </w:rPr>
        <w:t xml:space="preserve"> </w:t>
      </w:r>
      <w:r w:rsidR="003F6673" w:rsidRPr="00471447">
        <w:rPr>
          <w:rFonts w:ascii="Times New Roman" w:eastAsia="Cambria" w:hAnsi="Times New Roman" w:cs="Times New Roman"/>
          <w:kern w:val="22"/>
        </w:rPr>
        <w:t xml:space="preserve">play </w:t>
      </w:r>
      <w:r w:rsidR="004D633F" w:rsidRPr="00471447">
        <w:rPr>
          <w:rFonts w:ascii="Times New Roman" w:eastAsia="Cambria" w:hAnsi="Times New Roman" w:cs="Times New Roman"/>
          <w:kern w:val="22"/>
        </w:rPr>
        <w:t xml:space="preserve">a significant </w:t>
      </w:r>
      <w:r w:rsidR="003F6673" w:rsidRPr="00471447">
        <w:rPr>
          <w:rFonts w:ascii="Times New Roman" w:eastAsia="Cambria" w:hAnsi="Times New Roman" w:cs="Times New Roman"/>
          <w:kern w:val="22"/>
        </w:rPr>
        <w:t>role</w:t>
      </w:r>
      <w:r w:rsidR="009F1447" w:rsidRPr="00471447">
        <w:rPr>
          <w:rFonts w:ascii="Times New Roman" w:eastAsia="Cambria" w:hAnsi="Times New Roman" w:cs="Times New Roman"/>
          <w:kern w:val="22"/>
        </w:rPr>
        <w:t xml:space="preserve"> </w:t>
      </w:r>
      <w:r w:rsidR="003F6673" w:rsidRPr="00471447">
        <w:rPr>
          <w:rFonts w:ascii="Times New Roman" w:eastAsia="Cambria" w:hAnsi="Times New Roman" w:cs="Times New Roman"/>
          <w:kern w:val="22"/>
        </w:rPr>
        <w:t>in</w:t>
      </w:r>
      <w:r w:rsidR="004D633F" w:rsidRPr="00471447">
        <w:rPr>
          <w:rFonts w:ascii="Times New Roman" w:eastAsia="Cambria" w:hAnsi="Times New Roman" w:cs="Times New Roman"/>
          <w:kern w:val="22"/>
        </w:rPr>
        <w:t xml:space="preserve"> promoting</w:t>
      </w:r>
      <w:r w:rsidR="000D04EA" w:rsidRPr="00471447">
        <w:rPr>
          <w:rFonts w:ascii="Times New Roman" w:eastAsia="Cambria" w:hAnsi="Times New Roman" w:cs="Times New Roman"/>
          <w:kern w:val="22"/>
        </w:rPr>
        <w:t xml:space="preserve"> healthy environments</w:t>
      </w:r>
      <w:r w:rsidR="009F1447" w:rsidRPr="00471447">
        <w:rPr>
          <w:rFonts w:ascii="Times New Roman" w:eastAsia="Cambria" w:hAnsi="Times New Roman" w:cs="Times New Roman"/>
          <w:kern w:val="22"/>
        </w:rPr>
        <w:t xml:space="preserve"> and healthy people, as </w:t>
      </w:r>
      <w:r w:rsidR="000D04EA" w:rsidRPr="00471447">
        <w:rPr>
          <w:rFonts w:ascii="Times New Roman" w:eastAsia="Cambria" w:hAnsi="Times New Roman" w:cs="Times New Roman"/>
          <w:kern w:val="22"/>
        </w:rPr>
        <w:t>a contribution to</w:t>
      </w:r>
      <w:r w:rsidR="009F1447" w:rsidRPr="00471447">
        <w:rPr>
          <w:rFonts w:ascii="Times New Roman" w:eastAsia="Cambria" w:hAnsi="Times New Roman" w:cs="Times New Roman"/>
          <w:kern w:val="22"/>
        </w:rPr>
        <w:t xml:space="preserve"> the goal</w:t>
      </w:r>
      <w:r w:rsidR="0081094D" w:rsidRPr="00471447">
        <w:rPr>
          <w:rFonts w:ascii="Times New Roman" w:eastAsia="Cambria" w:hAnsi="Times New Roman" w:cs="Times New Roman"/>
          <w:kern w:val="22"/>
        </w:rPr>
        <w:t>s</w:t>
      </w:r>
      <w:r w:rsidR="009F1447" w:rsidRPr="00471447">
        <w:rPr>
          <w:rFonts w:ascii="Times New Roman" w:eastAsia="Cambria" w:hAnsi="Times New Roman" w:cs="Times New Roman"/>
          <w:kern w:val="22"/>
        </w:rPr>
        <w:t xml:space="preserve"> of sustainable development.</w:t>
      </w:r>
      <w:r w:rsidR="009F1447" w:rsidRPr="00471447">
        <w:rPr>
          <w:rFonts w:ascii="Times New Roman" w:hAnsi="Times New Roman" w:cs="Times New Roman"/>
          <w:kern w:val="22"/>
        </w:rPr>
        <w:t xml:space="preserve">  </w:t>
      </w:r>
    </w:p>
    <w:p w:rsidR="00300584" w:rsidRPr="00471447" w:rsidRDefault="004D633F"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hAnsi="Times New Roman" w:cs="Times New Roman"/>
          <w:kern w:val="22"/>
        </w:rPr>
        <w:t>M</w:t>
      </w:r>
      <w:r w:rsidR="008D002A" w:rsidRPr="00471447">
        <w:rPr>
          <w:rFonts w:ascii="Times New Roman" w:hAnsi="Times New Roman" w:cs="Times New Roman"/>
          <w:kern w:val="22"/>
        </w:rPr>
        <w:t>r</w:t>
      </w:r>
      <w:r w:rsidR="009F1447" w:rsidRPr="00471447">
        <w:rPr>
          <w:rFonts w:ascii="Times New Roman" w:hAnsi="Times New Roman" w:cs="Times New Roman"/>
          <w:kern w:val="22"/>
        </w:rPr>
        <w:t xml:space="preserve">. Diarmid Campbell-Lendrum </w:t>
      </w:r>
      <w:r w:rsidR="000D04EA" w:rsidRPr="00471447">
        <w:rPr>
          <w:rFonts w:ascii="Times New Roman" w:hAnsi="Times New Roman" w:cs="Times New Roman"/>
          <w:kern w:val="22"/>
        </w:rPr>
        <w:t>(WHO)</w:t>
      </w:r>
      <w:r w:rsidR="009F1447" w:rsidRPr="00471447">
        <w:rPr>
          <w:rFonts w:ascii="Times New Roman" w:hAnsi="Times New Roman" w:cs="Times New Roman"/>
          <w:kern w:val="22"/>
        </w:rPr>
        <w:t xml:space="preserve">, </w:t>
      </w:r>
      <w:r w:rsidRPr="00471447">
        <w:rPr>
          <w:rFonts w:ascii="Times New Roman" w:hAnsi="Times New Roman" w:cs="Times New Roman"/>
          <w:kern w:val="22"/>
        </w:rPr>
        <w:t xml:space="preserve">co-chair of the ILG, </w:t>
      </w:r>
      <w:r w:rsidR="009F1447" w:rsidRPr="00471447">
        <w:rPr>
          <w:rFonts w:ascii="Times New Roman" w:hAnsi="Times New Roman" w:cs="Times New Roman"/>
          <w:kern w:val="22"/>
        </w:rPr>
        <w:t>provided an overview of the purpose o</w:t>
      </w:r>
      <w:r w:rsidR="000D04EA" w:rsidRPr="00471447">
        <w:rPr>
          <w:rFonts w:ascii="Times New Roman" w:hAnsi="Times New Roman" w:cs="Times New Roman"/>
          <w:kern w:val="22"/>
        </w:rPr>
        <w:t xml:space="preserve">f the </w:t>
      </w:r>
      <w:r w:rsidRPr="00471447">
        <w:rPr>
          <w:rFonts w:ascii="Times New Roman" w:hAnsi="Times New Roman" w:cs="Times New Roman"/>
          <w:kern w:val="22"/>
        </w:rPr>
        <w:t>Group, noting</w:t>
      </w:r>
      <w:r w:rsidR="009F1447" w:rsidRPr="00471447">
        <w:rPr>
          <w:rFonts w:ascii="Times New Roman" w:hAnsi="Times New Roman" w:cs="Times New Roman"/>
          <w:kern w:val="22"/>
        </w:rPr>
        <w:t xml:space="preserve"> that </w:t>
      </w:r>
      <w:r w:rsidRPr="00471447">
        <w:rPr>
          <w:rFonts w:ascii="Times New Roman" w:hAnsi="Times New Roman" w:cs="Times New Roman"/>
          <w:kern w:val="22"/>
        </w:rPr>
        <w:t>it should seek</w:t>
      </w:r>
      <w:r w:rsidR="00C951BE" w:rsidRPr="00471447">
        <w:rPr>
          <w:rFonts w:ascii="Times New Roman" w:hAnsi="Times New Roman" w:cs="Times New Roman"/>
          <w:kern w:val="22"/>
        </w:rPr>
        <w:t xml:space="preserve"> to continue to strengthen the evidence of the links between biodiversity, ecosystem services and hea</w:t>
      </w:r>
      <w:r w:rsidR="00CF04EC" w:rsidRPr="00471447">
        <w:rPr>
          <w:rFonts w:ascii="Times New Roman" w:hAnsi="Times New Roman" w:cs="Times New Roman"/>
          <w:kern w:val="22"/>
        </w:rPr>
        <w:t>lt</w:t>
      </w:r>
      <w:r w:rsidR="000D04EA" w:rsidRPr="00471447">
        <w:rPr>
          <w:rFonts w:ascii="Times New Roman" w:hAnsi="Times New Roman" w:cs="Times New Roman"/>
          <w:kern w:val="22"/>
        </w:rPr>
        <w:t xml:space="preserve">h, but </w:t>
      </w:r>
      <w:r w:rsidRPr="00471447">
        <w:rPr>
          <w:rFonts w:ascii="Times New Roman" w:hAnsi="Times New Roman" w:cs="Times New Roman"/>
          <w:kern w:val="22"/>
        </w:rPr>
        <w:t xml:space="preserve">should also </w:t>
      </w:r>
      <w:r w:rsidR="0081094D" w:rsidRPr="00471447">
        <w:rPr>
          <w:rFonts w:ascii="Times New Roman" w:hAnsi="Times New Roman" w:cs="Times New Roman"/>
          <w:kern w:val="22"/>
        </w:rPr>
        <w:t xml:space="preserve">importantly </w:t>
      </w:r>
      <w:r w:rsidRPr="00471447">
        <w:rPr>
          <w:rFonts w:ascii="Times New Roman" w:hAnsi="Times New Roman" w:cs="Times New Roman"/>
          <w:kern w:val="22"/>
        </w:rPr>
        <w:t xml:space="preserve">contribute </w:t>
      </w:r>
      <w:r w:rsidR="00C951BE" w:rsidRPr="00471447">
        <w:rPr>
          <w:rFonts w:ascii="Times New Roman" w:hAnsi="Times New Roman" w:cs="Times New Roman"/>
          <w:kern w:val="22"/>
        </w:rPr>
        <w:t>to public awareness, policymaking and implementation</w:t>
      </w:r>
      <w:r w:rsidR="00CF04EC" w:rsidRPr="00471447">
        <w:rPr>
          <w:rFonts w:ascii="Times New Roman" w:hAnsi="Times New Roman" w:cs="Times New Roman"/>
          <w:kern w:val="22"/>
        </w:rPr>
        <w:t xml:space="preserve">. </w:t>
      </w:r>
      <w:r w:rsidRPr="00471447">
        <w:rPr>
          <w:rFonts w:ascii="Times New Roman" w:hAnsi="Times New Roman" w:cs="Times New Roman"/>
          <w:kern w:val="22"/>
        </w:rPr>
        <w:t>M</w:t>
      </w:r>
      <w:r w:rsidR="008D002A" w:rsidRPr="00471447">
        <w:rPr>
          <w:rFonts w:ascii="Times New Roman" w:hAnsi="Times New Roman" w:cs="Times New Roman"/>
          <w:kern w:val="22"/>
        </w:rPr>
        <w:t>r</w:t>
      </w:r>
      <w:r w:rsidR="00367081" w:rsidRPr="00471447">
        <w:rPr>
          <w:rFonts w:ascii="Times New Roman" w:hAnsi="Times New Roman" w:cs="Times New Roman"/>
          <w:kern w:val="22"/>
        </w:rPr>
        <w:t>. Campbell-Lendrum</w:t>
      </w:r>
      <w:r w:rsidR="000D04EA" w:rsidRPr="00471447">
        <w:rPr>
          <w:rFonts w:ascii="Times New Roman" w:hAnsi="Times New Roman" w:cs="Times New Roman"/>
          <w:kern w:val="22"/>
        </w:rPr>
        <w:t xml:space="preserve"> </w:t>
      </w:r>
      <w:r w:rsidR="00CF04EC" w:rsidRPr="00471447">
        <w:rPr>
          <w:rFonts w:ascii="Times New Roman" w:hAnsi="Times New Roman" w:cs="Times New Roman"/>
          <w:kern w:val="22"/>
        </w:rPr>
        <w:t xml:space="preserve">provided </w:t>
      </w:r>
      <w:r w:rsidR="000D04EA" w:rsidRPr="00471447">
        <w:rPr>
          <w:rFonts w:ascii="Times New Roman" w:hAnsi="Times New Roman" w:cs="Times New Roman"/>
          <w:kern w:val="22"/>
        </w:rPr>
        <w:t xml:space="preserve">preliminary </w:t>
      </w:r>
      <w:r w:rsidR="00CF04EC" w:rsidRPr="00471447">
        <w:rPr>
          <w:rFonts w:ascii="Times New Roman" w:hAnsi="Times New Roman" w:cs="Times New Roman"/>
          <w:kern w:val="22"/>
        </w:rPr>
        <w:t xml:space="preserve">guidance on the procedures of the </w:t>
      </w:r>
      <w:r w:rsidRPr="00471447">
        <w:rPr>
          <w:rFonts w:ascii="Times New Roman" w:hAnsi="Times New Roman" w:cs="Times New Roman"/>
          <w:kern w:val="22"/>
        </w:rPr>
        <w:t>ILG</w:t>
      </w:r>
      <w:r w:rsidR="0081094D" w:rsidRPr="00471447">
        <w:rPr>
          <w:rFonts w:ascii="Times New Roman" w:hAnsi="Times New Roman" w:cs="Times New Roman"/>
          <w:kern w:val="22"/>
        </w:rPr>
        <w:t>, inviting participants</w:t>
      </w:r>
      <w:r w:rsidRPr="00471447">
        <w:rPr>
          <w:rFonts w:ascii="Times New Roman" w:hAnsi="Times New Roman" w:cs="Times New Roman"/>
          <w:kern w:val="22"/>
        </w:rPr>
        <w:t xml:space="preserve"> </w:t>
      </w:r>
      <w:r w:rsidR="00CF04EC" w:rsidRPr="00471447">
        <w:rPr>
          <w:rFonts w:ascii="Times New Roman" w:hAnsi="Times New Roman" w:cs="Times New Roman"/>
          <w:kern w:val="22"/>
        </w:rPr>
        <w:t xml:space="preserve">to briefly introduce themselves and their roles within their </w:t>
      </w:r>
      <w:r w:rsidR="000D04EA" w:rsidRPr="00471447">
        <w:rPr>
          <w:rFonts w:ascii="Times New Roman" w:hAnsi="Times New Roman" w:cs="Times New Roman"/>
          <w:kern w:val="22"/>
        </w:rPr>
        <w:t xml:space="preserve">respective </w:t>
      </w:r>
      <w:r w:rsidR="00CF04EC" w:rsidRPr="00471447">
        <w:rPr>
          <w:rFonts w:ascii="Times New Roman" w:hAnsi="Times New Roman" w:cs="Times New Roman"/>
          <w:kern w:val="22"/>
        </w:rPr>
        <w:t>organizations</w:t>
      </w:r>
      <w:r w:rsidR="000D04EA" w:rsidRPr="00471447">
        <w:rPr>
          <w:rFonts w:ascii="Times New Roman" w:hAnsi="Times New Roman" w:cs="Times New Roman"/>
          <w:kern w:val="22"/>
        </w:rPr>
        <w:t xml:space="preserve"> and institutions</w:t>
      </w:r>
      <w:r w:rsidR="00CF04EC" w:rsidRPr="00471447">
        <w:rPr>
          <w:rFonts w:ascii="Times New Roman" w:hAnsi="Times New Roman" w:cs="Times New Roman"/>
          <w:kern w:val="22"/>
        </w:rPr>
        <w:t>.</w:t>
      </w:r>
    </w:p>
    <w:p w:rsidR="00300584" w:rsidRPr="00471447" w:rsidRDefault="00300584" w:rsidP="00471447">
      <w:pPr>
        <w:pStyle w:val="HEADINGNOTFORTOC"/>
        <w:spacing w:before="120" w:after="120"/>
        <w:rPr>
          <w:kern w:val="22"/>
          <w:szCs w:val="22"/>
        </w:rPr>
      </w:pPr>
      <w:r w:rsidRPr="00471447">
        <w:rPr>
          <w:kern w:val="22"/>
          <w:szCs w:val="22"/>
        </w:rPr>
        <w:t xml:space="preserve">ITEM 2. </w:t>
      </w:r>
      <w:r w:rsidR="00A13637" w:rsidRPr="00471447">
        <w:rPr>
          <w:kern w:val="22"/>
          <w:szCs w:val="22"/>
        </w:rPr>
        <w:t>ORGANIZATION OF THE WORK</w:t>
      </w:r>
    </w:p>
    <w:p w:rsidR="00C00156" w:rsidRPr="00471447" w:rsidRDefault="00C00156"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hAnsi="Times New Roman" w:cs="Times New Roman"/>
          <w:kern w:val="22"/>
        </w:rPr>
        <w:t xml:space="preserve">In keeping with the rules of procedure and established practice, the meeting was co-chaired by </w:t>
      </w:r>
      <w:r w:rsidR="00101B07" w:rsidRPr="00FA41DA">
        <w:rPr>
          <w:rFonts w:ascii="Times New Roman" w:hAnsi="Times New Roman" w:cs="Times New Roman"/>
          <w:kern w:val="22"/>
        </w:rPr>
        <w:t>Mr. David Cooper</w:t>
      </w:r>
      <w:r w:rsidR="00101B07" w:rsidRPr="00CD6DBF">
        <w:rPr>
          <w:rFonts w:ascii="Times New Roman" w:hAnsi="Times New Roman" w:cs="Times New Roman"/>
          <w:kern w:val="22"/>
        </w:rPr>
        <w:t xml:space="preserve"> </w:t>
      </w:r>
      <w:r w:rsidR="00101B07">
        <w:rPr>
          <w:rFonts w:ascii="Times New Roman" w:hAnsi="Times New Roman" w:cs="Times New Roman"/>
          <w:kern w:val="22"/>
        </w:rPr>
        <w:t>(</w:t>
      </w:r>
      <w:r w:rsidR="004D633F" w:rsidRPr="00471447">
        <w:rPr>
          <w:rFonts w:ascii="Times New Roman" w:hAnsi="Times New Roman" w:cs="Times New Roman"/>
          <w:kern w:val="22"/>
        </w:rPr>
        <w:t>CBD Secretariat) and Mr. Diarmid Campbell-Lendrum</w:t>
      </w:r>
      <w:r w:rsidR="00101B07" w:rsidRPr="00101B07">
        <w:rPr>
          <w:rFonts w:ascii="Times New Roman" w:hAnsi="Times New Roman" w:cs="Times New Roman"/>
          <w:kern w:val="22"/>
        </w:rPr>
        <w:t xml:space="preserve"> </w:t>
      </w:r>
      <w:r w:rsidR="00101B07">
        <w:rPr>
          <w:rFonts w:ascii="Times New Roman" w:hAnsi="Times New Roman" w:cs="Times New Roman"/>
          <w:kern w:val="22"/>
        </w:rPr>
        <w:t>(WHO</w:t>
      </w:r>
      <w:r w:rsidR="004D633F" w:rsidRPr="00471447">
        <w:rPr>
          <w:rFonts w:ascii="Times New Roman" w:hAnsi="Times New Roman" w:cs="Times New Roman"/>
          <w:kern w:val="22"/>
        </w:rPr>
        <w:t>)</w:t>
      </w:r>
      <w:r w:rsidR="004C6EA3" w:rsidRPr="00471447">
        <w:rPr>
          <w:rFonts w:ascii="Times New Roman" w:hAnsi="Times New Roman" w:cs="Times New Roman"/>
          <w:kern w:val="22"/>
        </w:rPr>
        <w:t xml:space="preserve">. </w:t>
      </w:r>
    </w:p>
    <w:p w:rsidR="00A13637" w:rsidRPr="00471447" w:rsidRDefault="00A13637"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hAnsi="Times New Roman" w:cs="Times New Roman"/>
          <w:kern w:val="22"/>
        </w:rPr>
        <w:t xml:space="preserve">The meeting considered and adopted the detailed provisional agenda (see </w:t>
      </w:r>
      <w:r w:rsidR="00092A0F">
        <w:rPr>
          <w:rFonts w:ascii="Times New Roman" w:hAnsi="Times New Roman" w:cs="Times New Roman"/>
          <w:kern w:val="22"/>
        </w:rPr>
        <w:t>a</w:t>
      </w:r>
      <w:r w:rsidRPr="00471447">
        <w:rPr>
          <w:rFonts w:ascii="Times New Roman" w:hAnsi="Times New Roman" w:cs="Times New Roman"/>
          <w:kern w:val="22"/>
        </w:rPr>
        <w:t xml:space="preserve">nnex I) </w:t>
      </w:r>
      <w:r w:rsidR="000D04EA" w:rsidRPr="00471447">
        <w:rPr>
          <w:rFonts w:ascii="Times New Roman" w:hAnsi="Times New Roman" w:cs="Times New Roman"/>
          <w:kern w:val="22"/>
        </w:rPr>
        <w:t xml:space="preserve">jointly </w:t>
      </w:r>
      <w:r w:rsidR="002554E9" w:rsidRPr="00471447">
        <w:rPr>
          <w:rFonts w:ascii="Times New Roman" w:hAnsi="Times New Roman" w:cs="Times New Roman"/>
          <w:kern w:val="22"/>
        </w:rPr>
        <w:t>prepared by the co-chairs</w:t>
      </w:r>
      <w:r w:rsidR="00C00156" w:rsidRPr="00471447">
        <w:rPr>
          <w:rFonts w:ascii="Times New Roman" w:hAnsi="Times New Roman" w:cs="Times New Roman"/>
          <w:kern w:val="22"/>
        </w:rPr>
        <w:t xml:space="preserve">, in line with decision XIII/6. </w:t>
      </w:r>
    </w:p>
    <w:p w:rsidR="00753859" w:rsidRPr="00471447" w:rsidRDefault="008D002A"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hAnsi="Times New Roman" w:cs="Times New Roman"/>
          <w:kern w:val="22"/>
        </w:rPr>
        <w:t>M</w:t>
      </w:r>
      <w:r w:rsidR="00367081" w:rsidRPr="00471447">
        <w:rPr>
          <w:rFonts w:ascii="Times New Roman" w:hAnsi="Times New Roman" w:cs="Times New Roman"/>
          <w:kern w:val="22"/>
        </w:rPr>
        <w:t xml:space="preserve">r. Campbell-Lendrum provided further guidance on the work plan for </w:t>
      </w:r>
      <w:r w:rsidR="004D633F" w:rsidRPr="00471447">
        <w:rPr>
          <w:rFonts w:ascii="Times New Roman" w:hAnsi="Times New Roman" w:cs="Times New Roman"/>
          <w:kern w:val="22"/>
        </w:rPr>
        <w:t>the first meeting of the Group.</w:t>
      </w:r>
      <w:r w:rsidR="00367081" w:rsidRPr="00471447">
        <w:rPr>
          <w:rFonts w:ascii="Times New Roman" w:hAnsi="Times New Roman" w:cs="Times New Roman"/>
          <w:kern w:val="22"/>
        </w:rPr>
        <w:t xml:space="preserve"> </w:t>
      </w:r>
    </w:p>
    <w:p w:rsidR="00753859" w:rsidRPr="00471447" w:rsidRDefault="000B451D" w:rsidP="00471447">
      <w:pPr>
        <w:pStyle w:val="HEADINGNOTFORTOC"/>
        <w:spacing w:before="120" w:after="120"/>
        <w:rPr>
          <w:kern w:val="22"/>
          <w:szCs w:val="22"/>
        </w:rPr>
      </w:pPr>
      <w:r w:rsidRPr="00471447">
        <w:rPr>
          <w:kern w:val="22"/>
          <w:szCs w:val="22"/>
        </w:rPr>
        <w:t>ITEM 3</w:t>
      </w:r>
      <w:r w:rsidR="001959B1">
        <w:rPr>
          <w:kern w:val="22"/>
          <w:szCs w:val="22"/>
        </w:rPr>
        <w:t>.</w:t>
      </w:r>
      <w:r w:rsidR="00753859" w:rsidRPr="00471447">
        <w:rPr>
          <w:kern w:val="22"/>
          <w:szCs w:val="22"/>
        </w:rPr>
        <w:t xml:space="preserve"> BACKGROUND PRESENTATIONS</w:t>
      </w:r>
      <w:r w:rsidR="00CE5E6B" w:rsidRPr="00471447">
        <w:rPr>
          <w:kern w:val="22"/>
          <w:szCs w:val="22"/>
        </w:rPr>
        <w:t xml:space="preserve"> AND DISCUSSION</w:t>
      </w:r>
    </w:p>
    <w:p w:rsidR="00753859" w:rsidRPr="00471447" w:rsidRDefault="00A02A82"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eastAsia="Cambria" w:hAnsi="Times New Roman" w:cs="Times New Roman"/>
          <w:kern w:val="22"/>
        </w:rPr>
        <w:t>Ms. Cristina R</w:t>
      </w:r>
      <w:r w:rsidR="00C36CAA" w:rsidRPr="00471447">
        <w:rPr>
          <w:rFonts w:ascii="Times New Roman" w:eastAsia="Cambria" w:hAnsi="Times New Roman" w:cs="Times New Roman"/>
          <w:kern w:val="22"/>
        </w:rPr>
        <w:t xml:space="preserve">omanelli </w:t>
      </w:r>
      <w:r w:rsidR="00101B07">
        <w:rPr>
          <w:rFonts w:ascii="Times New Roman" w:eastAsia="Cambria" w:hAnsi="Times New Roman" w:cs="Times New Roman"/>
          <w:kern w:val="22"/>
        </w:rPr>
        <w:t>(</w:t>
      </w:r>
      <w:r w:rsidR="00C36CAA" w:rsidRPr="00471447">
        <w:rPr>
          <w:rFonts w:ascii="Times New Roman" w:eastAsia="Cambria" w:hAnsi="Times New Roman" w:cs="Times New Roman"/>
          <w:kern w:val="22"/>
        </w:rPr>
        <w:t>CBD/WHO joint work programme</w:t>
      </w:r>
      <w:r w:rsidR="00101B07">
        <w:rPr>
          <w:rFonts w:ascii="Times New Roman" w:eastAsia="Cambria" w:hAnsi="Times New Roman" w:cs="Times New Roman"/>
          <w:kern w:val="22"/>
        </w:rPr>
        <w:t>)</w:t>
      </w:r>
      <w:r w:rsidR="00C36CAA" w:rsidRPr="00471447">
        <w:rPr>
          <w:rFonts w:ascii="Times New Roman" w:eastAsia="Cambria" w:hAnsi="Times New Roman" w:cs="Times New Roman"/>
          <w:kern w:val="22"/>
        </w:rPr>
        <w:t xml:space="preserve"> </w:t>
      </w:r>
      <w:r w:rsidR="006D7CDA" w:rsidRPr="00471447">
        <w:rPr>
          <w:rFonts w:ascii="Times New Roman" w:eastAsia="Cambria" w:hAnsi="Times New Roman" w:cs="Times New Roman"/>
          <w:kern w:val="22"/>
        </w:rPr>
        <w:t>delivered</w:t>
      </w:r>
      <w:r w:rsidRPr="00471447">
        <w:rPr>
          <w:rFonts w:ascii="Times New Roman" w:eastAsia="Cambria" w:hAnsi="Times New Roman" w:cs="Times New Roman"/>
          <w:kern w:val="22"/>
        </w:rPr>
        <w:t xml:space="preserve"> </w:t>
      </w:r>
      <w:r w:rsidR="00CD6DBF">
        <w:rPr>
          <w:rFonts w:ascii="Times New Roman" w:eastAsia="Cambria" w:hAnsi="Times New Roman" w:cs="Times New Roman"/>
          <w:kern w:val="22"/>
        </w:rPr>
        <w:t>a</w:t>
      </w:r>
      <w:r w:rsidR="00CD6DBF" w:rsidRPr="00471447">
        <w:rPr>
          <w:rFonts w:ascii="Times New Roman" w:eastAsia="Cambria" w:hAnsi="Times New Roman" w:cs="Times New Roman"/>
          <w:kern w:val="22"/>
        </w:rPr>
        <w:t xml:space="preserve"> </w:t>
      </w:r>
      <w:r w:rsidR="00AF5D7B" w:rsidRPr="00471447">
        <w:rPr>
          <w:rFonts w:ascii="Times New Roman" w:eastAsia="Cambria" w:hAnsi="Times New Roman" w:cs="Times New Roman"/>
          <w:kern w:val="22"/>
        </w:rPr>
        <w:t>presentation provid</w:t>
      </w:r>
      <w:r w:rsidR="00CD6DBF">
        <w:rPr>
          <w:rFonts w:ascii="Times New Roman" w:eastAsia="Cambria" w:hAnsi="Times New Roman" w:cs="Times New Roman"/>
          <w:kern w:val="22"/>
        </w:rPr>
        <w:t>ing</w:t>
      </w:r>
      <w:r w:rsidR="00AF5D7B" w:rsidRPr="00471447">
        <w:rPr>
          <w:rFonts w:ascii="Times New Roman" w:eastAsia="Cambria" w:hAnsi="Times New Roman" w:cs="Times New Roman"/>
          <w:kern w:val="22"/>
        </w:rPr>
        <w:t xml:space="preserve"> </w:t>
      </w:r>
      <w:r w:rsidR="004F7446" w:rsidRPr="00471447">
        <w:rPr>
          <w:rFonts w:ascii="Times New Roman" w:eastAsia="Cambria" w:hAnsi="Times New Roman" w:cs="Times New Roman"/>
          <w:kern w:val="22"/>
        </w:rPr>
        <w:t xml:space="preserve">an overview of </w:t>
      </w:r>
      <w:r w:rsidRPr="00471447">
        <w:rPr>
          <w:rFonts w:ascii="Times New Roman" w:eastAsia="Cambria" w:hAnsi="Times New Roman" w:cs="Times New Roman"/>
          <w:kern w:val="22"/>
        </w:rPr>
        <w:t>mandates</w:t>
      </w:r>
      <w:r w:rsidR="00AF5D7B" w:rsidRPr="00471447">
        <w:rPr>
          <w:rFonts w:ascii="Times New Roman" w:eastAsia="Cambria" w:hAnsi="Times New Roman" w:cs="Times New Roman"/>
          <w:kern w:val="22"/>
        </w:rPr>
        <w:t xml:space="preserve"> on biodiversity and health since 2010</w:t>
      </w:r>
      <w:r w:rsidRPr="00471447">
        <w:rPr>
          <w:rFonts w:ascii="Times New Roman" w:eastAsia="Cambria" w:hAnsi="Times New Roman" w:cs="Times New Roman"/>
          <w:kern w:val="22"/>
        </w:rPr>
        <w:t>,</w:t>
      </w:r>
      <w:r w:rsidR="001A62A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activities</w:t>
      </w:r>
      <w:r w:rsidR="004F7446" w:rsidRPr="00471447">
        <w:rPr>
          <w:rFonts w:ascii="Times New Roman" w:eastAsia="Cambria" w:hAnsi="Times New Roman" w:cs="Times New Roman"/>
          <w:kern w:val="22"/>
        </w:rPr>
        <w:t xml:space="preserve"> carried out under the </w:t>
      </w:r>
      <w:r w:rsidR="00CD6DBF" w:rsidRPr="009C20A3">
        <w:rPr>
          <w:rFonts w:ascii="Times New Roman" w:eastAsia="Cambria" w:hAnsi="Times New Roman" w:cs="Times New Roman"/>
          <w:kern w:val="22"/>
        </w:rPr>
        <w:t>joint work programme</w:t>
      </w:r>
      <w:r w:rsidR="004F7446" w:rsidRPr="00471447">
        <w:rPr>
          <w:rFonts w:ascii="Times New Roman" w:eastAsia="Cambria" w:hAnsi="Times New Roman" w:cs="Times New Roman"/>
          <w:kern w:val="22"/>
        </w:rPr>
        <w:t>, and provid</w:t>
      </w:r>
      <w:r w:rsidR="00101B07">
        <w:rPr>
          <w:rFonts w:ascii="Times New Roman" w:eastAsia="Cambria" w:hAnsi="Times New Roman" w:cs="Times New Roman"/>
          <w:kern w:val="22"/>
        </w:rPr>
        <w:t>ed</w:t>
      </w:r>
      <w:r w:rsidR="004F7446" w:rsidRPr="00471447">
        <w:rPr>
          <w:rFonts w:ascii="Times New Roman" w:eastAsia="Cambria" w:hAnsi="Times New Roman" w:cs="Times New Roman"/>
          <w:kern w:val="22"/>
        </w:rPr>
        <w:t xml:space="preserve"> an overview of progress in its implementation</w:t>
      </w:r>
      <w:r w:rsidR="001A62AC" w:rsidRPr="00471447">
        <w:rPr>
          <w:rFonts w:ascii="Times New Roman" w:eastAsia="Cambria" w:hAnsi="Times New Roman" w:cs="Times New Roman"/>
          <w:kern w:val="22"/>
        </w:rPr>
        <w:t xml:space="preserve">. </w:t>
      </w:r>
      <w:r w:rsidR="00AF5D7B" w:rsidRPr="00471447">
        <w:rPr>
          <w:rFonts w:ascii="Times New Roman" w:eastAsia="Cambria" w:hAnsi="Times New Roman" w:cs="Times New Roman"/>
          <w:kern w:val="22"/>
        </w:rPr>
        <w:t xml:space="preserve">Drawing on an analysis of </w:t>
      </w:r>
      <w:r w:rsidR="00101B07">
        <w:rPr>
          <w:rFonts w:ascii="Times New Roman" w:eastAsia="Cambria" w:hAnsi="Times New Roman" w:cs="Times New Roman"/>
          <w:kern w:val="22"/>
        </w:rPr>
        <w:t>n</w:t>
      </w:r>
      <w:r w:rsidR="00753859" w:rsidRPr="00471447">
        <w:rPr>
          <w:rFonts w:ascii="Times New Roman" w:eastAsia="Cambria" w:hAnsi="Times New Roman" w:cs="Times New Roman"/>
          <w:kern w:val="22"/>
        </w:rPr>
        <w:t xml:space="preserve">ational </w:t>
      </w:r>
      <w:r w:rsidR="00101B07">
        <w:rPr>
          <w:rFonts w:ascii="Times New Roman" w:eastAsia="Cambria" w:hAnsi="Times New Roman" w:cs="Times New Roman"/>
          <w:kern w:val="22"/>
        </w:rPr>
        <w:t>b</w:t>
      </w:r>
      <w:r w:rsidR="00753859" w:rsidRPr="00471447">
        <w:rPr>
          <w:rFonts w:ascii="Times New Roman" w:eastAsia="Cambria" w:hAnsi="Times New Roman" w:cs="Times New Roman"/>
          <w:kern w:val="22"/>
        </w:rPr>
        <w:t xml:space="preserve">iodiversity </w:t>
      </w:r>
      <w:r w:rsidR="00101B07">
        <w:rPr>
          <w:rFonts w:ascii="Times New Roman" w:eastAsia="Cambria" w:hAnsi="Times New Roman" w:cs="Times New Roman"/>
          <w:kern w:val="22"/>
        </w:rPr>
        <w:t>s</w:t>
      </w:r>
      <w:r w:rsidR="00753859" w:rsidRPr="00471447">
        <w:rPr>
          <w:rFonts w:ascii="Times New Roman" w:eastAsia="Cambria" w:hAnsi="Times New Roman" w:cs="Times New Roman"/>
          <w:kern w:val="22"/>
        </w:rPr>
        <w:t xml:space="preserve">trategies and </w:t>
      </w:r>
      <w:r w:rsidR="00101B07">
        <w:rPr>
          <w:rFonts w:ascii="Times New Roman" w:eastAsia="Cambria" w:hAnsi="Times New Roman" w:cs="Times New Roman"/>
          <w:kern w:val="22"/>
        </w:rPr>
        <w:t>a</w:t>
      </w:r>
      <w:r w:rsidR="00753859" w:rsidRPr="00471447">
        <w:rPr>
          <w:rFonts w:ascii="Times New Roman" w:eastAsia="Cambria" w:hAnsi="Times New Roman" w:cs="Times New Roman"/>
          <w:kern w:val="22"/>
        </w:rPr>
        <w:t xml:space="preserve">ction </w:t>
      </w:r>
      <w:r w:rsidR="00101B07">
        <w:rPr>
          <w:rFonts w:ascii="Times New Roman" w:eastAsia="Cambria" w:hAnsi="Times New Roman" w:cs="Times New Roman"/>
          <w:kern w:val="22"/>
        </w:rPr>
        <w:t>p</w:t>
      </w:r>
      <w:r w:rsidR="00753859" w:rsidRPr="00471447">
        <w:rPr>
          <w:rFonts w:ascii="Times New Roman" w:eastAsia="Cambria" w:hAnsi="Times New Roman" w:cs="Times New Roman"/>
          <w:kern w:val="22"/>
        </w:rPr>
        <w:t>lan</w:t>
      </w:r>
      <w:r w:rsidR="00AF5D7B" w:rsidRPr="00471447">
        <w:rPr>
          <w:rFonts w:ascii="Times New Roman" w:eastAsia="Cambria" w:hAnsi="Times New Roman" w:cs="Times New Roman"/>
          <w:kern w:val="22"/>
        </w:rPr>
        <w:t>s</w:t>
      </w:r>
      <w:r w:rsidR="00753859" w:rsidRPr="00471447">
        <w:rPr>
          <w:rFonts w:ascii="Times New Roman" w:eastAsia="Cambria" w:hAnsi="Times New Roman" w:cs="Times New Roman"/>
          <w:kern w:val="22"/>
        </w:rPr>
        <w:t xml:space="preserve"> (NBSAPs)</w:t>
      </w:r>
      <w:r w:rsidR="002D2DA2" w:rsidRPr="00471447">
        <w:rPr>
          <w:rFonts w:ascii="Times New Roman" w:eastAsia="Cambria" w:hAnsi="Times New Roman" w:cs="Times New Roman"/>
          <w:kern w:val="22"/>
        </w:rPr>
        <w:t xml:space="preserve">, </w:t>
      </w:r>
      <w:r w:rsidR="00F93540" w:rsidRPr="00471447">
        <w:rPr>
          <w:rFonts w:ascii="Times New Roman" w:eastAsia="Cambria" w:hAnsi="Times New Roman" w:cs="Times New Roman"/>
          <w:kern w:val="22"/>
        </w:rPr>
        <w:t>she</w:t>
      </w:r>
      <w:r w:rsidR="002D2DA2" w:rsidRPr="00471447">
        <w:rPr>
          <w:rFonts w:ascii="Times New Roman" w:eastAsia="Cambria" w:hAnsi="Times New Roman" w:cs="Times New Roman"/>
          <w:kern w:val="22"/>
        </w:rPr>
        <w:t xml:space="preserve"> </w:t>
      </w:r>
      <w:r w:rsidR="00AF5D7B" w:rsidRPr="00471447">
        <w:rPr>
          <w:rFonts w:ascii="Times New Roman" w:eastAsia="Cambria" w:hAnsi="Times New Roman" w:cs="Times New Roman"/>
          <w:kern w:val="22"/>
        </w:rPr>
        <w:t xml:space="preserve">noted that very few </w:t>
      </w:r>
      <w:r w:rsidR="00407D18" w:rsidRPr="00471447">
        <w:rPr>
          <w:rFonts w:ascii="Times New Roman" w:eastAsia="Cambria" w:hAnsi="Times New Roman" w:cs="Times New Roman"/>
          <w:kern w:val="22"/>
        </w:rPr>
        <w:t>countries</w:t>
      </w:r>
      <w:r w:rsidR="00AF5D7B" w:rsidRPr="00471447">
        <w:rPr>
          <w:rFonts w:ascii="Times New Roman" w:eastAsia="Cambria" w:hAnsi="Times New Roman" w:cs="Times New Roman"/>
          <w:kern w:val="22"/>
        </w:rPr>
        <w:t xml:space="preserve"> </w:t>
      </w:r>
      <w:r w:rsidR="00753859" w:rsidRPr="00471447">
        <w:rPr>
          <w:rFonts w:ascii="Times New Roman" w:eastAsia="Cambria" w:hAnsi="Times New Roman" w:cs="Times New Roman"/>
          <w:kern w:val="22"/>
        </w:rPr>
        <w:t xml:space="preserve">had systematically integrated health considerations </w:t>
      </w:r>
      <w:r w:rsidR="00407D18" w:rsidRPr="00471447">
        <w:rPr>
          <w:rFonts w:ascii="Times New Roman" w:eastAsia="Cambria" w:hAnsi="Times New Roman" w:cs="Times New Roman"/>
          <w:kern w:val="22"/>
        </w:rPr>
        <w:t>in</w:t>
      </w:r>
      <w:r w:rsidR="004F7446" w:rsidRPr="00471447">
        <w:rPr>
          <w:rFonts w:ascii="Times New Roman" w:eastAsia="Cambria" w:hAnsi="Times New Roman" w:cs="Times New Roman"/>
          <w:kern w:val="22"/>
        </w:rPr>
        <w:t>to</w:t>
      </w:r>
      <w:r w:rsidR="00407D18" w:rsidRPr="00471447">
        <w:rPr>
          <w:rFonts w:ascii="Times New Roman" w:eastAsia="Cambria" w:hAnsi="Times New Roman" w:cs="Times New Roman"/>
          <w:kern w:val="22"/>
        </w:rPr>
        <w:t xml:space="preserve"> their NBSAPs </w:t>
      </w:r>
      <w:r w:rsidR="00753859" w:rsidRPr="00471447">
        <w:rPr>
          <w:rFonts w:ascii="Times New Roman" w:eastAsia="Cambria" w:hAnsi="Times New Roman" w:cs="Times New Roman"/>
          <w:kern w:val="22"/>
        </w:rPr>
        <w:t>and</w:t>
      </w:r>
      <w:r w:rsidR="002D2DA2" w:rsidRPr="00471447">
        <w:rPr>
          <w:rFonts w:ascii="Times New Roman" w:eastAsia="Cambria" w:hAnsi="Times New Roman" w:cs="Times New Roman"/>
          <w:kern w:val="22"/>
        </w:rPr>
        <w:t xml:space="preserve"> implementation</w:t>
      </w:r>
      <w:r w:rsidR="00753859" w:rsidRPr="00471447">
        <w:rPr>
          <w:rFonts w:ascii="Times New Roman" w:eastAsia="Cambria" w:hAnsi="Times New Roman" w:cs="Times New Roman"/>
          <w:kern w:val="22"/>
        </w:rPr>
        <w:t xml:space="preserve">. </w:t>
      </w:r>
    </w:p>
    <w:p w:rsidR="000C7E41" w:rsidRPr="00471447" w:rsidRDefault="00F93540"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eastAsia="Cambria" w:hAnsi="Times New Roman" w:cs="Times New Roman"/>
          <w:kern w:val="22"/>
        </w:rPr>
        <w:t xml:space="preserve">Ms. Romanelli also </w:t>
      </w:r>
      <w:r w:rsidR="004F7446" w:rsidRPr="00471447">
        <w:rPr>
          <w:rFonts w:ascii="Times New Roman" w:eastAsia="Cambria" w:hAnsi="Times New Roman" w:cs="Times New Roman"/>
          <w:kern w:val="22"/>
        </w:rPr>
        <w:t xml:space="preserve">introduced core themes addressed in </w:t>
      </w:r>
      <w:r w:rsidR="00CD6DBF" w:rsidRPr="00471447">
        <w:rPr>
          <w:rFonts w:ascii="Times New Roman" w:eastAsia="Cambria" w:hAnsi="Times New Roman" w:cs="Times New Roman"/>
          <w:kern w:val="22"/>
        </w:rPr>
        <w:t>t</w:t>
      </w:r>
      <w:r w:rsidR="004F7446" w:rsidRPr="00471447">
        <w:rPr>
          <w:rFonts w:ascii="Times New Roman" w:eastAsia="Cambria" w:hAnsi="Times New Roman" w:cs="Times New Roman"/>
          <w:kern w:val="22"/>
        </w:rPr>
        <w:t>he State of Knowledge Review</w:t>
      </w:r>
      <w:r w:rsidR="004F7446" w:rsidRPr="00471447">
        <w:rPr>
          <w:rFonts w:ascii="Times New Roman" w:eastAsia="Cambria" w:hAnsi="Times New Roman" w:cs="Times New Roman"/>
          <w:i/>
          <w:kern w:val="22"/>
        </w:rPr>
        <w:t>, Connecting Global Priorities: Biodiversity and Human Health</w:t>
      </w:r>
      <w:r w:rsidR="004F7446" w:rsidRPr="00471447">
        <w:rPr>
          <w:rFonts w:ascii="Times New Roman" w:eastAsia="Cambria" w:hAnsi="Times New Roman" w:cs="Times New Roman"/>
          <w:kern w:val="22"/>
        </w:rPr>
        <w:t>, welcoming WHO leadership in further strengthening collaboration to support mainstreaming of biodiversity and health linkages</w:t>
      </w:r>
      <w:r w:rsidR="002E30D6" w:rsidRPr="00471447">
        <w:rPr>
          <w:rFonts w:ascii="Times New Roman" w:eastAsia="Cambria" w:hAnsi="Times New Roman" w:cs="Times New Roman"/>
          <w:kern w:val="22"/>
        </w:rPr>
        <w:t xml:space="preserve"> and provided an overview of </w:t>
      </w:r>
      <w:r w:rsidR="000C6EB0" w:rsidRPr="00471447">
        <w:rPr>
          <w:rFonts w:ascii="Times New Roman" w:eastAsia="Cambria" w:hAnsi="Times New Roman" w:cs="Times New Roman"/>
          <w:kern w:val="22"/>
        </w:rPr>
        <w:t>integrated</w:t>
      </w:r>
      <w:r w:rsidR="002E30D6" w:rsidRPr="00471447">
        <w:rPr>
          <w:rFonts w:ascii="Times New Roman" w:eastAsia="Cambria" w:hAnsi="Times New Roman" w:cs="Times New Roman"/>
          <w:kern w:val="22"/>
        </w:rPr>
        <w:t xml:space="preserve"> approaches to health</w:t>
      </w:r>
      <w:r w:rsidR="000C6EB0" w:rsidRPr="00471447">
        <w:rPr>
          <w:rFonts w:ascii="Times New Roman" w:eastAsia="Cambria" w:hAnsi="Times New Roman" w:cs="Times New Roman"/>
          <w:kern w:val="22"/>
        </w:rPr>
        <w:t>,</w:t>
      </w:r>
      <w:r w:rsidR="00407D18" w:rsidRPr="00471447">
        <w:rPr>
          <w:rFonts w:ascii="Times New Roman" w:eastAsia="Cambria" w:hAnsi="Times New Roman" w:cs="Times New Roman"/>
          <w:kern w:val="22"/>
        </w:rPr>
        <w:t xml:space="preserve"> </w:t>
      </w:r>
      <w:r w:rsidR="002E30D6" w:rsidRPr="00471447">
        <w:rPr>
          <w:rFonts w:ascii="Times New Roman" w:eastAsia="Cambria" w:hAnsi="Times New Roman" w:cs="Times New Roman"/>
          <w:kern w:val="22"/>
        </w:rPr>
        <w:t xml:space="preserve">with an emphasis on </w:t>
      </w:r>
      <w:r w:rsidRPr="00471447">
        <w:rPr>
          <w:rFonts w:ascii="Times New Roman" w:eastAsia="Cambria" w:hAnsi="Times New Roman" w:cs="Times New Roman"/>
          <w:kern w:val="22"/>
        </w:rPr>
        <w:t>the common objectives share</w:t>
      </w:r>
      <w:r w:rsidR="0099786C" w:rsidRPr="00471447">
        <w:rPr>
          <w:rFonts w:ascii="Times New Roman" w:eastAsia="Cambria" w:hAnsi="Times New Roman" w:cs="Times New Roman"/>
          <w:kern w:val="22"/>
        </w:rPr>
        <w:t xml:space="preserve">d by </w:t>
      </w:r>
      <w:r w:rsidR="002E30D6" w:rsidRPr="00471447">
        <w:rPr>
          <w:rFonts w:ascii="Times New Roman" w:eastAsia="Cambria" w:hAnsi="Times New Roman" w:cs="Times New Roman"/>
          <w:kern w:val="22"/>
        </w:rPr>
        <w:t xml:space="preserve">One Health, Ecohealth and Planetary Health </w:t>
      </w:r>
      <w:r w:rsidRPr="00471447">
        <w:rPr>
          <w:rFonts w:ascii="Times New Roman" w:eastAsia="Cambria" w:hAnsi="Times New Roman" w:cs="Times New Roman"/>
          <w:kern w:val="22"/>
        </w:rPr>
        <w:t>and the</w:t>
      </w:r>
      <w:r w:rsidR="002E30D6" w:rsidRPr="00471447">
        <w:rPr>
          <w:rFonts w:ascii="Times New Roman" w:eastAsia="Cambria" w:hAnsi="Times New Roman" w:cs="Times New Roman"/>
          <w:kern w:val="22"/>
        </w:rPr>
        <w:t>ir relevance</w:t>
      </w:r>
      <w:r w:rsidR="0099786C" w:rsidRPr="00471447">
        <w:rPr>
          <w:rFonts w:ascii="Times New Roman" w:eastAsia="Cambria" w:hAnsi="Times New Roman" w:cs="Times New Roman"/>
          <w:kern w:val="22"/>
        </w:rPr>
        <w:t xml:space="preserve"> to</w:t>
      </w:r>
      <w:r w:rsidRPr="00471447">
        <w:rPr>
          <w:rFonts w:ascii="Times New Roman" w:eastAsia="Cambria" w:hAnsi="Times New Roman" w:cs="Times New Roman"/>
          <w:kern w:val="22"/>
        </w:rPr>
        <w:t xml:space="preserve"> </w:t>
      </w:r>
      <w:r w:rsidR="0099786C" w:rsidRPr="00471447">
        <w:rPr>
          <w:rFonts w:ascii="Times New Roman" w:eastAsia="Cambria" w:hAnsi="Times New Roman" w:cs="Times New Roman"/>
          <w:kern w:val="22"/>
        </w:rPr>
        <w:t>the policies, plans and actions that</w:t>
      </w:r>
      <w:r w:rsidRPr="00471447">
        <w:rPr>
          <w:rFonts w:ascii="Times New Roman" w:eastAsia="Cambria" w:hAnsi="Times New Roman" w:cs="Times New Roman"/>
          <w:kern w:val="22"/>
        </w:rPr>
        <w:t xml:space="preserve"> they may </w:t>
      </w:r>
      <w:r w:rsidR="003073CC" w:rsidRPr="00471447">
        <w:rPr>
          <w:rFonts w:ascii="Times New Roman" w:eastAsia="Cambria" w:hAnsi="Times New Roman" w:cs="Times New Roman"/>
          <w:kern w:val="22"/>
        </w:rPr>
        <w:t xml:space="preserve">serve to </w:t>
      </w:r>
      <w:r w:rsidRPr="00471447">
        <w:rPr>
          <w:rFonts w:ascii="Times New Roman" w:eastAsia="Cambria" w:hAnsi="Times New Roman" w:cs="Times New Roman"/>
          <w:kern w:val="22"/>
        </w:rPr>
        <w:t>inform</w:t>
      </w:r>
      <w:r w:rsidR="003073CC" w:rsidRPr="00471447">
        <w:rPr>
          <w:rFonts w:ascii="Times New Roman" w:eastAsia="Cambria" w:hAnsi="Times New Roman" w:cs="Times New Roman"/>
          <w:kern w:val="22"/>
        </w:rPr>
        <w:t xml:space="preserve">. </w:t>
      </w:r>
      <w:r w:rsidR="000C6EB0" w:rsidRPr="00471447">
        <w:rPr>
          <w:rFonts w:ascii="Times New Roman" w:eastAsia="Cambria" w:hAnsi="Times New Roman" w:cs="Times New Roman"/>
          <w:kern w:val="22"/>
        </w:rPr>
        <w:t>S</w:t>
      </w:r>
      <w:r w:rsidR="00386863" w:rsidRPr="00471447">
        <w:rPr>
          <w:rFonts w:ascii="Times New Roman" w:eastAsia="Cambria" w:hAnsi="Times New Roman" w:cs="Times New Roman"/>
          <w:kern w:val="22"/>
        </w:rPr>
        <w:t>he noted that</w:t>
      </w:r>
      <w:r w:rsidR="000C6EB0" w:rsidRPr="00471447">
        <w:rPr>
          <w:rFonts w:ascii="Times New Roman" w:eastAsia="Cambria" w:hAnsi="Times New Roman" w:cs="Times New Roman"/>
          <w:kern w:val="22"/>
        </w:rPr>
        <w:t xml:space="preserve">, to maximize their reach, </w:t>
      </w:r>
      <w:r w:rsidR="002E30D6" w:rsidRPr="00471447">
        <w:rPr>
          <w:rFonts w:ascii="Times New Roman" w:eastAsia="Cambria" w:hAnsi="Times New Roman" w:cs="Times New Roman"/>
          <w:kern w:val="22"/>
        </w:rPr>
        <w:t xml:space="preserve">holistic </w:t>
      </w:r>
      <w:r w:rsidR="00B909AF" w:rsidRPr="00471447">
        <w:rPr>
          <w:rFonts w:ascii="Times New Roman" w:eastAsia="Cambria" w:hAnsi="Times New Roman" w:cs="Times New Roman"/>
          <w:kern w:val="22"/>
        </w:rPr>
        <w:t xml:space="preserve">approaches </w:t>
      </w:r>
      <w:r w:rsidR="00386863" w:rsidRPr="00471447">
        <w:rPr>
          <w:rFonts w:ascii="Times New Roman" w:eastAsia="Cambria" w:hAnsi="Times New Roman" w:cs="Times New Roman"/>
          <w:kern w:val="22"/>
        </w:rPr>
        <w:t>should enable</w:t>
      </w:r>
      <w:r w:rsidR="00B909AF" w:rsidRPr="00471447">
        <w:rPr>
          <w:rFonts w:ascii="Times New Roman" w:eastAsia="Cambria" w:hAnsi="Times New Roman" w:cs="Times New Roman"/>
          <w:kern w:val="22"/>
        </w:rPr>
        <w:t xml:space="preserve"> a broad range of connections between biodiversity loss, ecosystem deg</w:t>
      </w:r>
      <w:r w:rsidR="002E30D6" w:rsidRPr="00471447">
        <w:rPr>
          <w:rFonts w:ascii="Times New Roman" w:eastAsia="Cambria" w:hAnsi="Times New Roman" w:cs="Times New Roman"/>
          <w:kern w:val="22"/>
        </w:rPr>
        <w:t xml:space="preserve">radation and health, including in relation to themes presented in the </w:t>
      </w:r>
      <w:r w:rsidR="00171C9B">
        <w:rPr>
          <w:rFonts w:ascii="Times New Roman" w:eastAsia="Cambria" w:hAnsi="Times New Roman" w:cs="Times New Roman"/>
          <w:kern w:val="22"/>
        </w:rPr>
        <w:t>a</w:t>
      </w:r>
      <w:r w:rsidR="002E30D6" w:rsidRPr="00471447">
        <w:rPr>
          <w:rFonts w:ascii="Times New Roman" w:eastAsia="Cambria" w:hAnsi="Times New Roman" w:cs="Times New Roman"/>
          <w:kern w:val="22"/>
        </w:rPr>
        <w:t>nnex to decision XIII/6</w:t>
      </w:r>
      <w:r w:rsidR="00B909AF" w:rsidRPr="00471447">
        <w:rPr>
          <w:rFonts w:ascii="Times New Roman" w:eastAsia="Cambria" w:hAnsi="Times New Roman" w:cs="Times New Roman"/>
          <w:kern w:val="22"/>
        </w:rPr>
        <w:t xml:space="preserve">. </w:t>
      </w:r>
      <w:r w:rsidR="00D65579" w:rsidRPr="00471447">
        <w:rPr>
          <w:rFonts w:ascii="Times New Roman" w:eastAsia="Cambria" w:hAnsi="Times New Roman" w:cs="Times New Roman"/>
          <w:kern w:val="22"/>
        </w:rPr>
        <w:t xml:space="preserve">She also </w:t>
      </w:r>
      <w:r w:rsidR="002E30D6" w:rsidRPr="00471447">
        <w:rPr>
          <w:rFonts w:ascii="Times New Roman" w:eastAsia="Cambria" w:hAnsi="Times New Roman" w:cs="Times New Roman"/>
          <w:kern w:val="22"/>
        </w:rPr>
        <w:t>introduced</w:t>
      </w:r>
      <w:r w:rsidR="000C6EB0" w:rsidRPr="00471447">
        <w:rPr>
          <w:rFonts w:ascii="Times New Roman" w:eastAsia="Cambria" w:hAnsi="Times New Roman" w:cs="Times New Roman"/>
          <w:kern w:val="22"/>
        </w:rPr>
        <w:t xml:space="preserve"> </w:t>
      </w:r>
      <w:r w:rsidR="00D65579" w:rsidRPr="00471447">
        <w:rPr>
          <w:rFonts w:ascii="Times New Roman" w:eastAsia="Cambria" w:hAnsi="Times New Roman" w:cs="Times New Roman"/>
          <w:kern w:val="22"/>
        </w:rPr>
        <w:t xml:space="preserve">the Secretariat’s mandate to develop a guidance for Parties </w:t>
      </w:r>
      <w:r w:rsidR="000C6EB0" w:rsidRPr="00471447">
        <w:rPr>
          <w:rFonts w:ascii="Times New Roman" w:eastAsia="Cambria" w:hAnsi="Times New Roman" w:cs="Times New Roman"/>
          <w:kern w:val="22"/>
        </w:rPr>
        <w:t>to integrate biodiversity and ecosystem man</w:t>
      </w:r>
      <w:r w:rsidR="002E30D6" w:rsidRPr="00471447">
        <w:rPr>
          <w:rFonts w:ascii="Times New Roman" w:eastAsia="Cambria" w:hAnsi="Times New Roman" w:cs="Times New Roman"/>
          <w:kern w:val="22"/>
        </w:rPr>
        <w:t>agement in One Health and related approaches</w:t>
      </w:r>
      <w:r w:rsidR="000C6EB0" w:rsidRPr="00471447">
        <w:rPr>
          <w:rFonts w:ascii="Times New Roman" w:eastAsia="Cambria" w:hAnsi="Times New Roman" w:cs="Times New Roman"/>
          <w:kern w:val="22"/>
        </w:rPr>
        <w:t>,</w:t>
      </w:r>
      <w:r w:rsidR="00D65579" w:rsidRPr="00471447">
        <w:rPr>
          <w:rFonts w:ascii="Times New Roman" w:eastAsia="Cambria" w:hAnsi="Times New Roman" w:cs="Times New Roman"/>
          <w:kern w:val="22"/>
        </w:rPr>
        <w:t xml:space="preserve"> in line with decision XIII/6.</w:t>
      </w:r>
      <w:r w:rsidR="00B909AF" w:rsidRPr="00471447">
        <w:rPr>
          <w:rFonts w:ascii="Times New Roman" w:eastAsia="Cambria" w:hAnsi="Times New Roman" w:cs="Times New Roman"/>
          <w:kern w:val="22"/>
        </w:rPr>
        <w:t xml:space="preserve"> </w:t>
      </w:r>
    </w:p>
    <w:p w:rsidR="00091BFE" w:rsidRPr="00471447" w:rsidRDefault="00E1321E"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eastAsia="Cambria" w:hAnsi="Times New Roman" w:cs="Times New Roman"/>
          <w:kern w:val="22"/>
        </w:rPr>
        <w:t>Mr.</w:t>
      </w:r>
      <w:r w:rsidR="00753859" w:rsidRPr="00471447">
        <w:rPr>
          <w:rFonts w:ascii="Times New Roman" w:eastAsia="Cambria" w:hAnsi="Times New Roman" w:cs="Times New Roman"/>
          <w:kern w:val="22"/>
        </w:rPr>
        <w:t xml:space="preserve"> Andy Haines, Chair of </w:t>
      </w:r>
      <w:r w:rsidR="00916DAA" w:rsidRPr="00471447">
        <w:rPr>
          <w:rFonts w:ascii="Times New Roman" w:eastAsia="Cambria" w:hAnsi="Times New Roman" w:cs="Times New Roman"/>
          <w:kern w:val="22"/>
        </w:rPr>
        <w:t>The Rockefeller Foundation-</w:t>
      </w:r>
      <w:r w:rsidR="00AF18A9" w:rsidRPr="00471447">
        <w:rPr>
          <w:rFonts w:ascii="Times New Roman" w:eastAsia="Cambria" w:hAnsi="Times New Roman" w:cs="Times New Roman"/>
          <w:kern w:val="22"/>
        </w:rPr>
        <w:t>Lancet Commission on Planetary Health</w:t>
      </w:r>
      <w:r w:rsidRPr="00471447">
        <w:rPr>
          <w:rFonts w:ascii="Times New Roman" w:eastAsia="Cambria" w:hAnsi="Times New Roman" w:cs="Times New Roman"/>
          <w:kern w:val="22"/>
        </w:rPr>
        <w:t xml:space="preserve">, </w:t>
      </w:r>
      <w:r w:rsidR="00753859" w:rsidRPr="00471447">
        <w:rPr>
          <w:rFonts w:ascii="Times New Roman" w:eastAsia="Cambria" w:hAnsi="Times New Roman" w:cs="Times New Roman"/>
          <w:kern w:val="22"/>
        </w:rPr>
        <w:t>introduced</w:t>
      </w:r>
      <w:r w:rsidR="000C7E41" w:rsidRPr="00471447">
        <w:rPr>
          <w:rFonts w:ascii="Times New Roman" w:eastAsia="Cambria" w:hAnsi="Times New Roman" w:cs="Times New Roman"/>
          <w:kern w:val="22"/>
        </w:rPr>
        <w:t xml:space="preserve"> core themes addressed in</w:t>
      </w:r>
      <w:r w:rsidR="00753859" w:rsidRPr="00471447">
        <w:rPr>
          <w:rFonts w:ascii="Times New Roman" w:eastAsia="Cambria" w:hAnsi="Times New Roman" w:cs="Times New Roman"/>
          <w:kern w:val="22"/>
        </w:rPr>
        <w:t xml:space="preserve"> the Planetary Health report </w:t>
      </w:r>
      <w:r w:rsidR="000C7E41" w:rsidRPr="00471447">
        <w:rPr>
          <w:rFonts w:ascii="Times New Roman" w:eastAsia="Cambria" w:hAnsi="Times New Roman" w:cs="Times New Roman"/>
          <w:kern w:val="22"/>
        </w:rPr>
        <w:t xml:space="preserve">and </w:t>
      </w:r>
      <w:r w:rsidRPr="00471447">
        <w:rPr>
          <w:rFonts w:ascii="Times New Roman" w:eastAsia="Cambria" w:hAnsi="Times New Roman" w:cs="Times New Roman"/>
          <w:kern w:val="22"/>
        </w:rPr>
        <w:t>its synergies</w:t>
      </w:r>
      <w:r w:rsidR="000C7E41" w:rsidRPr="00471447">
        <w:rPr>
          <w:rFonts w:ascii="Times New Roman" w:eastAsia="Cambria" w:hAnsi="Times New Roman" w:cs="Times New Roman"/>
          <w:kern w:val="22"/>
        </w:rPr>
        <w:t xml:space="preserve"> </w:t>
      </w:r>
      <w:r w:rsidR="00AF18A9" w:rsidRPr="00471447">
        <w:rPr>
          <w:rFonts w:ascii="Times New Roman" w:eastAsia="Cambria" w:hAnsi="Times New Roman" w:cs="Times New Roman"/>
          <w:kern w:val="22"/>
        </w:rPr>
        <w:t>with the State of Knowledge Review</w:t>
      </w:r>
      <w:r w:rsidR="00753859" w:rsidRPr="00471447">
        <w:rPr>
          <w:rFonts w:ascii="Times New Roman" w:eastAsia="Cambria" w:hAnsi="Times New Roman" w:cs="Times New Roman"/>
          <w:kern w:val="22"/>
        </w:rPr>
        <w:t xml:space="preserve">. </w:t>
      </w:r>
      <w:r w:rsidR="00435901" w:rsidRPr="00471447">
        <w:rPr>
          <w:rFonts w:ascii="Times New Roman" w:eastAsia="Cambria" w:hAnsi="Times New Roman" w:cs="Times New Roman"/>
          <w:kern w:val="22"/>
        </w:rPr>
        <w:t xml:space="preserve">He </w:t>
      </w:r>
      <w:r w:rsidR="002E30D6" w:rsidRPr="00471447">
        <w:rPr>
          <w:rFonts w:ascii="Times New Roman" w:eastAsia="Cambria" w:hAnsi="Times New Roman" w:cs="Times New Roman"/>
          <w:kern w:val="22"/>
        </w:rPr>
        <w:t>discussed how</w:t>
      </w:r>
      <w:r w:rsidR="00435901" w:rsidRPr="00471447">
        <w:rPr>
          <w:rFonts w:ascii="Times New Roman" w:eastAsia="Cambria" w:hAnsi="Times New Roman" w:cs="Times New Roman"/>
          <w:kern w:val="22"/>
        </w:rPr>
        <w:t xml:space="preserve"> </w:t>
      </w:r>
      <w:r w:rsidR="00F67569" w:rsidRPr="00471447">
        <w:rPr>
          <w:rFonts w:ascii="Times New Roman" w:eastAsia="Cambria" w:hAnsi="Times New Roman" w:cs="Times New Roman"/>
          <w:kern w:val="22"/>
        </w:rPr>
        <w:t>anthropogenic activity is exacerbating global environmental change, including biodiversity loss and climate change, with negative impacts on human health</w:t>
      </w:r>
      <w:r w:rsidR="00435901" w:rsidRPr="00471447">
        <w:rPr>
          <w:rFonts w:ascii="Times New Roman" w:eastAsia="Cambria" w:hAnsi="Times New Roman" w:cs="Times New Roman"/>
          <w:kern w:val="22"/>
        </w:rPr>
        <w:t xml:space="preserve">. </w:t>
      </w:r>
      <w:r w:rsidR="002E30D6" w:rsidRPr="00471447">
        <w:rPr>
          <w:rFonts w:ascii="Times New Roman" w:eastAsia="Cambria" w:hAnsi="Times New Roman" w:cs="Times New Roman"/>
          <w:kern w:val="22"/>
        </w:rPr>
        <w:t>In particular, he emphasized t</w:t>
      </w:r>
      <w:r w:rsidR="00435901" w:rsidRPr="00471447">
        <w:rPr>
          <w:rFonts w:ascii="Times New Roman" w:eastAsia="Cambria" w:hAnsi="Times New Roman" w:cs="Times New Roman"/>
          <w:kern w:val="22"/>
        </w:rPr>
        <w:t xml:space="preserve">he sense of urgency for concerted </w:t>
      </w:r>
      <w:r w:rsidR="002E30D6" w:rsidRPr="00471447">
        <w:rPr>
          <w:rFonts w:ascii="Times New Roman" w:eastAsia="Cambria" w:hAnsi="Times New Roman" w:cs="Times New Roman"/>
          <w:kern w:val="22"/>
        </w:rPr>
        <w:t xml:space="preserve">cross-sectoral </w:t>
      </w:r>
      <w:r w:rsidR="00435901" w:rsidRPr="00471447">
        <w:rPr>
          <w:rFonts w:ascii="Times New Roman" w:eastAsia="Cambria" w:hAnsi="Times New Roman" w:cs="Times New Roman"/>
          <w:kern w:val="22"/>
        </w:rPr>
        <w:t xml:space="preserve">action </w:t>
      </w:r>
      <w:r w:rsidR="002E30D6" w:rsidRPr="00471447">
        <w:rPr>
          <w:rFonts w:ascii="Times New Roman" w:eastAsia="Cambria" w:hAnsi="Times New Roman" w:cs="Times New Roman"/>
          <w:kern w:val="22"/>
        </w:rPr>
        <w:t>and research</w:t>
      </w:r>
      <w:r w:rsidR="00171C9B">
        <w:rPr>
          <w:rFonts w:ascii="Times New Roman" w:eastAsia="Cambria" w:hAnsi="Times New Roman" w:cs="Times New Roman"/>
          <w:kern w:val="22"/>
        </w:rPr>
        <w:t>.</w:t>
      </w:r>
      <w:r w:rsidR="00730379" w:rsidRPr="00471447">
        <w:rPr>
          <w:rFonts w:ascii="Times New Roman" w:eastAsia="Cambria" w:hAnsi="Times New Roman" w:cs="Times New Roman"/>
          <w:kern w:val="22"/>
        </w:rPr>
        <w:t xml:space="preserve"> </w:t>
      </w:r>
      <w:r w:rsidR="00091BFE" w:rsidRPr="00471447">
        <w:rPr>
          <w:rFonts w:ascii="Times New Roman" w:eastAsia="Cambria" w:hAnsi="Times New Roman" w:cs="Times New Roman"/>
          <w:kern w:val="22"/>
        </w:rPr>
        <w:t xml:space="preserve"> He </w:t>
      </w:r>
      <w:r w:rsidR="00435901" w:rsidRPr="00471447">
        <w:rPr>
          <w:rFonts w:ascii="Times New Roman" w:eastAsia="Cambria" w:hAnsi="Times New Roman" w:cs="Times New Roman"/>
          <w:kern w:val="22"/>
        </w:rPr>
        <w:t>also</w:t>
      </w:r>
      <w:r w:rsidR="00730379" w:rsidRPr="00471447">
        <w:rPr>
          <w:rFonts w:ascii="Times New Roman" w:eastAsia="Cambria" w:hAnsi="Times New Roman" w:cs="Times New Roman"/>
          <w:kern w:val="22"/>
        </w:rPr>
        <w:t xml:space="preserve"> </w:t>
      </w:r>
      <w:r w:rsidR="000C7E41" w:rsidRPr="00471447">
        <w:rPr>
          <w:rFonts w:ascii="Times New Roman" w:eastAsia="Cambria" w:hAnsi="Times New Roman" w:cs="Times New Roman"/>
          <w:kern w:val="22"/>
        </w:rPr>
        <w:t>provided updates on</w:t>
      </w:r>
      <w:r w:rsidR="00091BFE" w:rsidRPr="00471447">
        <w:rPr>
          <w:rFonts w:ascii="Times New Roman" w:eastAsia="Cambria" w:hAnsi="Times New Roman" w:cs="Times New Roman"/>
          <w:kern w:val="22"/>
        </w:rPr>
        <w:t xml:space="preserve"> relevant </w:t>
      </w:r>
      <w:r w:rsidR="000C7E41" w:rsidRPr="00471447">
        <w:rPr>
          <w:rFonts w:ascii="Times New Roman" w:eastAsia="Cambria" w:hAnsi="Times New Roman" w:cs="Times New Roman"/>
          <w:kern w:val="22"/>
        </w:rPr>
        <w:t>follow</w:t>
      </w:r>
      <w:r w:rsidR="00171C9B">
        <w:rPr>
          <w:rFonts w:ascii="Times New Roman" w:eastAsia="Cambria" w:hAnsi="Times New Roman" w:cs="Times New Roman"/>
          <w:kern w:val="22"/>
        </w:rPr>
        <w:noBreakHyphen/>
      </w:r>
      <w:r w:rsidR="000C7E41" w:rsidRPr="00471447">
        <w:rPr>
          <w:rFonts w:ascii="Times New Roman" w:eastAsia="Cambria" w:hAnsi="Times New Roman" w:cs="Times New Roman"/>
          <w:kern w:val="22"/>
        </w:rPr>
        <w:t xml:space="preserve">up activities conducted by the Planetary Health </w:t>
      </w:r>
      <w:r w:rsidR="00091BFE" w:rsidRPr="00471447">
        <w:rPr>
          <w:rFonts w:ascii="Times New Roman" w:eastAsia="Cambria" w:hAnsi="Times New Roman" w:cs="Times New Roman"/>
          <w:kern w:val="22"/>
        </w:rPr>
        <w:t>Alliance (PHA)</w:t>
      </w:r>
      <w:r w:rsidR="000C7E41"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discussed</w:t>
      </w:r>
      <w:r w:rsidR="00435901" w:rsidRPr="00471447">
        <w:rPr>
          <w:rFonts w:ascii="Times New Roman" w:eastAsia="Cambria" w:hAnsi="Times New Roman" w:cs="Times New Roman"/>
          <w:kern w:val="22"/>
        </w:rPr>
        <w:t xml:space="preserve"> </w:t>
      </w:r>
      <w:r w:rsidR="000C7E41" w:rsidRPr="00471447">
        <w:rPr>
          <w:rFonts w:ascii="Times New Roman" w:eastAsia="Cambria" w:hAnsi="Times New Roman" w:cs="Times New Roman"/>
          <w:kern w:val="22"/>
        </w:rPr>
        <w:t xml:space="preserve">opportunities to fund further research and </w:t>
      </w:r>
      <w:r w:rsidR="00091BFE" w:rsidRPr="00471447">
        <w:rPr>
          <w:rFonts w:ascii="Times New Roman" w:eastAsia="Cambria" w:hAnsi="Times New Roman" w:cs="Times New Roman"/>
          <w:kern w:val="22"/>
        </w:rPr>
        <w:t>to align the</w:t>
      </w:r>
      <w:r w:rsidR="000C7E41" w:rsidRPr="00471447">
        <w:rPr>
          <w:rFonts w:ascii="Times New Roman" w:eastAsia="Cambria" w:hAnsi="Times New Roman" w:cs="Times New Roman"/>
          <w:kern w:val="22"/>
        </w:rPr>
        <w:t xml:space="preserve"> work </w:t>
      </w:r>
      <w:r w:rsidR="00091BFE" w:rsidRPr="00471447">
        <w:rPr>
          <w:rFonts w:ascii="Times New Roman" w:eastAsia="Cambria" w:hAnsi="Times New Roman" w:cs="Times New Roman"/>
          <w:kern w:val="22"/>
        </w:rPr>
        <w:t xml:space="preserve">of </w:t>
      </w:r>
      <w:r w:rsidR="000C7E41" w:rsidRPr="00471447">
        <w:rPr>
          <w:rFonts w:ascii="Times New Roman" w:eastAsia="Cambria" w:hAnsi="Times New Roman" w:cs="Times New Roman"/>
          <w:kern w:val="22"/>
        </w:rPr>
        <w:t>CBD, WHO and other international organizations.</w:t>
      </w:r>
      <w:r w:rsidR="00CA335C" w:rsidRPr="00471447">
        <w:rPr>
          <w:rFonts w:ascii="Times New Roman" w:eastAsia="Cambria" w:hAnsi="Times New Roman" w:cs="Times New Roman"/>
          <w:kern w:val="22"/>
        </w:rPr>
        <w:t xml:space="preserve"> </w:t>
      </w:r>
      <w:r w:rsidR="002B3C88" w:rsidRPr="00471447">
        <w:rPr>
          <w:rFonts w:ascii="Times New Roman" w:eastAsia="Cambria" w:hAnsi="Times New Roman" w:cs="Times New Roman"/>
          <w:kern w:val="22"/>
        </w:rPr>
        <w:t>The new Lancet Planetary Health journal was also identified as a potentially good medium to engage the biodiversity community and bring together the health research community.</w:t>
      </w:r>
    </w:p>
    <w:p w:rsidR="00D65579" w:rsidRPr="00471447" w:rsidRDefault="00091BFE"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eastAsia="Cambria" w:hAnsi="Times New Roman" w:cs="Times New Roman"/>
          <w:kern w:val="22"/>
        </w:rPr>
        <w:lastRenderedPageBreak/>
        <w:t>Joining the meeting via teleconference, Mr. Golden (PHA) briefly discussed</w:t>
      </w:r>
      <w:r w:rsidR="00CA335C" w:rsidRPr="00471447">
        <w:rPr>
          <w:rFonts w:ascii="Times New Roman" w:eastAsia="Cambria" w:hAnsi="Times New Roman" w:cs="Times New Roman"/>
          <w:kern w:val="22"/>
        </w:rPr>
        <w:t xml:space="preserve"> the outcomes of the first meeting on planetary health recently held in Boston and discussed relevant research </w:t>
      </w:r>
      <w:r w:rsidRPr="00471447">
        <w:rPr>
          <w:rFonts w:ascii="Times New Roman" w:eastAsia="Cambria" w:hAnsi="Times New Roman" w:cs="Times New Roman"/>
          <w:kern w:val="22"/>
        </w:rPr>
        <w:t>led by PHA</w:t>
      </w:r>
      <w:r w:rsidR="00CA335C" w:rsidRPr="00471447">
        <w:rPr>
          <w:rFonts w:ascii="Times New Roman" w:eastAsia="Cambria" w:hAnsi="Times New Roman" w:cs="Times New Roman"/>
          <w:kern w:val="22"/>
        </w:rPr>
        <w:t xml:space="preserve"> on </w:t>
      </w:r>
      <w:r w:rsidRPr="00471447">
        <w:rPr>
          <w:rFonts w:ascii="Times New Roman" w:eastAsia="Cambria" w:hAnsi="Times New Roman" w:cs="Times New Roman"/>
          <w:kern w:val="22"/>
        </w:rPr>
        <w:t xml:space="preserve">links between biodiversity, </w:t>
      </w:r>
      <w:r w:rsidR="00CA335C" w:rsidRPr="00471447">
        <w:rPr>
          <w:rFonts w:ascii="Times New Roman" w:eastAsia="Cambria" w:hAnsi="Times New Roman" w:cs="Times New Roman"/>
          <w:kern w:val="22"/>
        </w:rPr>
        <w:t>nutrition and health.</w:t>
      </w:r>
    </w:p>
    <w:p w:rsidR="00BC7676" w:rsidRPr="00471447" w:rsidRDefault="00435901"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eastAsia="Cambria" w:hAnsi="Times New Roman" w:cs="Times New Roman"/>
          <w:kern w:val="22"/>
        </w:rPr>
        <w:t>Mr. Campbell-Lendrum then encouraged</w:t>
      </w:r>
      <w:r w:rsidR="00E7139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core members and expert observers to engage in </w:t>
      </w:r>
      <w:r w:rsidR="00E7139C" w:rsidRPr="00471447">
        <w:rPr>
          <w:rFonts w:ascii="Times New Roman" w:eastAsia="Cambria" w:hAnsi="Times New Roman" w:cs="Times New Roman"/>
          <w:kern w:val="22"/>
        </w:rPr>
        <w:t>a highly interactive session by opening the floor to comments and d</w:t>
      </w:r>
      <w:r w:rsidR="00395A1E" w:rsidRPr="00471447">
        <w:rPr>
          <w:rFonts w:ascii="Times New Roman" w:eastAsia="Cambria" w:hAnsi="Times New Roman" w:cs="Times New Roman"/>
          <w:kern w:val="22"/>
        </w:rPr>
        <w:t xml:space="preserve">iscussion </w:t>
      </w:r>
      <w:r w:rsidR="00AF18A9" w:rsidRPr="00471447">
        <w:rPr>
          <w:rFonts w:ascii="Times New Roman" w:eastAsia="Cambria" w:hAnsi="Times New Roman" w:cs="Times New Roman"/>
          <w:kern w:val="22"/>
        </w:rPr>
        <w:t xml:space="preserve">on </w:t>
      </w:r>
      <w:r w:rsidR="00E7139C" w:rsidRPr="00471447">
        <w:rPr>
          <w:rFonts w:ascii="Times New Roman" w:eastAsia="Cambria" w:hAnsi="Times New Roman" w:cs="Times New Roman"/>
          <w:kern w:val="22"/>
        </w:rPr>
        <w:t xml:space="preserve">expectations and opportunities for </w:t>
      </w:r>
      <w:r w:rsidR="00AF18A9" w:rsidRPr="00471447">
        <w:rPr>
          <w:rFonts w:ascii="Times New Roman" w:eastAsia="Cambria" w:hAnsi="Times New Roman" w:cs="Times New Roman"/>
          <w:kern w:val="22"/>
        </w:rPr>
        <w:t>leveraging the CBD-WHO joint work programme on biodiversity and health</w:t>
      </w:r>
      <w:r w:rsidR="00BC7676" w:rsidRPr="00471447">
        <w:rPr>
          <w:rFonts w:ascii="Times New Roman" w:eastAsia="Cambria" w:hAnsi="Times New Roman" w:cs="Times New Roman"/>
          <w:kern w:val="22"/>
        </w:rPr>
        <w:t xml:space="preserve">. </w:t>
      </w:r>
    </w:p>
    <w:p w:rsidR="00A13637" w:rsidRPr="00471447" w:rsidRDefault="00C36CAA" w:rsidP="00471447">
      <w:pPr>
        <w:pStyle w:val="ListParagraph"/>
        <w:numPr>
          <w:ilvl w:val="0"/>
          <w:numId w:val="3"/>
        </w:numPr>
        <w:spacing w:before="120" w:after="120"/>
        <w:ind w:left="0" w:firstLine="66"/>
        <w:jc w:val="both"/>
        <w:rPr>
          <w:rFonts w:ascii="Times New Roman" w:hAnsi="Times New Roman" w:cs="Times New Roman"/>
          <w:kern w:val="22"/>
        </w:rPr>
      </w:pPr>
      <w:r w:rsidRPr="00471447">
        <w:rPr>
          <w:rFonts w:ascii="Times New Roman" w:hAnsi="Times New Roman" w:cs="Times New Roman"/>
          <w:kern w:val="22"/>
        </w:rPr>
        <w:t>P</w:t>
      </w:r>
      <w:r w:rsidR="00BC7676" w:rsidRPr="00471447">
        <w:rPr>
          <w:rFonts w:ascii="Times New Roman" w:hAnsi="Times New Roman" w:cs="Times New Roman"/>
          <w:kern w:val="22"/>
        </w:rPr>
        <w:t>articipants raised several</w:t>
      </w:r>
      <w:r w:rsidR="00395A1E" w:rsidRPr="00471447">
        <w:rPr>
          <w:rFonts w:ascii="Times New Roman" w:hAnsi="Times New Roman" w:cs="Times New Roman"/>
          <w:kern w:val="22"/>
        </w:rPr>
        <w:t xml:space="preserve"> </w:t>
      </w:r>
      <w:r w:rsidR="00BC7676" w:rsidRPr="00471447">
        <w:rPr>
          <w:rFonts w:ascii="Times New Roman" w:hAnsi="Times New Roman" w:cs="Times New Roman"/>
          <w:kern w:val="22"/>
        </w:rPr>
        <w:t xml:space="preserve">questions </w:t>
      </w:r>
      <w:r w:rsidR="00CD6DBF">
        <w:rPr>
          <w:rFonts w:ascii="Times New Roman" w:hAnsi="Times New Roman" w:cs="Times New Roman"/>
          <w:kern w:val="22"/>
        </w:rPr>
        <w:t>for</w:t>
      </w:r>
      <w:r w:rsidR="00CD6DBF" w:rsidRPr="00471447">
        <w:rPr>
          <w:rFonts w:ascii="Times New Roman" w:hAnsi="Times New Roman" w:cs="Times New Roman"/>
          <w:kern w:val="22"/>
        </w:rPr>
        <w:t xml:space="preserve"> </w:t>
      </w:r>
      <w:r w:rsidRPr="00471447">
        <w:rPr>
          <w:rFonts w:ascii="Times New Roman" w:hAnsi="Times New Roman" w:cs="Times New Roman"/>
          <w:kern w:val="22"/>
        </w:rPr>
        <w:t xml:space="preserve">the group </w:t>
      </w:r>
      <w:r w:rsidR="00BC7676" w:rsidRPr="00471447">
        <w:rPr>
          <w:rFonts w:ascii="Times New Roman" w:hAnsi="Times New Roman" w:cs="Times New Roman"/>
          <w:kern w:val="22"/>
        </w:rPr>
        <w:t>to consider</w:t>
      </w:r>
      <w:r w:rsidR="00395A1E" w:rsidRPr="00471447">
        <w:rPr>
          <w:rFonts w:ascii="Times New Roman" w:hAnsi="Times New Roman" w:cs="Times New Roman"/>
          <w:kern w:val="22"/>
        </w:rPr>
        <w:t xml:space="preserve">. </w:t>
      </w:r>
      <w:r w:rsidR="00CB2EDD" w:rsidRPr="00471447">
        <w:rPr>
          <w:rFonts w:ascii="Times New Roman" w:hAnsi="Times New Roman" w:cs="Times New Roman"/>
          <w:kern w:val="22"/>
        </w:rPr>
        <w:t>Key elements include</w:t>
      </w:r>
      <w:r w:rsidR="00171C9B">
        <w:rPr>
          <w:rFonts w:ascii="Times New Roman" w:hAnsi="Times New Roman" w:cs="Times New Roman"/>
          <w:kern w:val="22"/>
        </w:rPr>
        <w:t>d</w:t>
      </w:r>
      <w:r w:rsidR="00BC7676" w:rsidRPr="00471447">
        <w:rPr>
          <w:rFonts w:ascii="Times New Roman" w:hAnsi="Times New Roman" w:cs="Times New Roman"/>
          <w:kern w:val="22"/>
        </w:rPr>
        <w:t>:</w:t>
      </w:r>
    </w:p>
    <w:p w:rsidR="000003B3" w:rsidRPr="00471447" w:rsidRDefault="00CB2EDD"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Aligning </w:t>
      </w:r>
      <w:r w:rsidR="00AF18A9" w:rsidRPr="00471447">
        <w:rPr>
          <w:rFonts w:ascii="Times New Roman" w:eastAsia="Cambria" w:hAnsi="Times New Roman" w:cs="Times New Roman"/>
          <w:kern w:val="22"/>
        </w:rPr>
        <w:t>narrative</w:t>
      </w:r>
      <w:r w:rsidR="00694C5C" w:rsidRPr="00471447">
        <w:rPr>
          <w:rFonts w:ascii="Times New Roman" w:eastAsia="Cambria" w:hAnsi="Times New Roman" w:cs="Times New Roman"/>
          <w:kern w:val="22"/>
        </w:rPr>
        <w:t>s</w:t>
      </w:r>
      <w:r w:rsidR="00AF18A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through the work of the ILG </w:t>
      </w:r>
      <w:r w:rsidR="00BC7676" w:rsidRPr="00471447">
        <w:rPr>
          <w:rFonts w:ascii="Times New Roman" w:eastAsia="Cambria" w:hAnsi="Times New Roman" w:cs="Times New Roman"/>
          <w:kern w:val="22"/>
        </w:rPr>
        <w:t xml:space="preserve">to </w:t>
      </w:r>
      <w:r w:rsidR="00AF18A9" w:rsidRPr="00471447">
        <w:rPr>
          <w:rFonts w:ascii="Times New Roman" w:eastAsia="Cambria" w:hAnsi="Times New Roman" w:cs="Times New Roman"/>
          <w:kern w:val="22"/>
        </w:rPr>
        <w:t>communicate</w:t>
      </w:r>
      <w:r w:rsidR="00BC7676" w:rsidRPr="00471447">
        <w:rPr>
          <w:rFonts w:ascii="Times New Roman" w:eastAsia="Cambria" w:hAnsi="Times New Roman" w:cs="Times New Roman"/>
          <w:kern w:val="22"/>
        </w:rPr>
        <w:t xml:space="preserve"> more</w:t>
      </w:r>
      <w:r w:rsidR="00AF18A9" w:rsidRPr="00471447">
        <w:rPr>
          <w:rFonts w:ascii="Times New Roman" w:eastAsia="Cambria" w:hAnsi="Times New Roman" w:cs="Times New Roman"/>
          <w:kern w:val="22"/>
        </w:rPr>
        <w:t xml:space="preserve"> effectively</w:t>
      </w:r>
      <w:r w:rsidR="00694C5C" w:rsidRPr="00471447">
        <w:rPr>
          <w:rFonts w:ascii="Times New Roman" w:eastAsia="Cambria" w:hAnsi="Times New Roman" w:cs="Times New Roman"/>
          <w:kern w:val="22"/>
        </w:rPr>
        <w:t xml:space="preserve"> </w:t>
      </w:r>
      <w:r w:rsidR="00BC7676" w:rsidRPr="00471447">
        <w:rPr>
          <w:rFonts w:ascii="Times New Roman" w:eastAsia="Cambria" w:hAnsi="Times New Roman" w:cs="Times New Roman"/>
          <w:kern w:val="22"/>
        </w:rPr>
        <w:t>across sectors</w:t>
      </w:r>
      <w:r w:rsidR="00C36CAA" w:rsidRPr="00471447">
        <w:rPr>
          <w:rFonts w:ascii="Times New Roman" w:eastAsia="Cambria" w:hAnsi="Times New Roman" w:cs="Times New Roman"/>
          <w:kern w:val="22"/>
        </w:rPr>
        <w:t>. U</w:t>
      </w:r>
      <w:r w:rsidR="00694C5C" w:rsidRPr="00471447">
        <w:rPr>
          <w:rFonts w:ascii="Times New Roman" w:eastAsia="Cambria" w:hAnsi="Times New Roman" w:cs="Times New Roman"/>
          <w:kern w:val="22"/>
        </w:rPr>
        <w:t>sing</w:t>
      </w:r>
      <w:r w:rsidR="00BC7676" w:rsidRPr="00471447">
        <w:rPr>
          <w:rFonts w:ascii="Times New Roman" w:eastAsia="Cambria" w:hAnsi="Times New Roman" w:cs="Times New Roman"/>
          <w:kern w:val="22"/>
        </w:rPr>
        <w:t xml:space="preserve"> the right language</w:t>
      </w:r>
      <w:r w:rsidRPr="00471447">
        <w:rPr>
          <w:rFonts w:ascii="Times New Roman" w:eastAsia="Cambria" w:hAnsi="Times New Roman" w:cs="Times New Roman"/>
          <w:kern w:val="22"/>
        </w:rPr>
        <w:t xml:space="preserve"> to bridge across sectors was identified as</w:t>
      </w:r>
      <w:r w:rsidR="00BC7676" w:rsidRPr="00471447">
        <w:rPr>
          <w:rFonts w:ascii="Times New Roman" w:eastAsia="Cambria" w:hAnsi="Times New Roman" w:cs="Times New Roman"/>
          <w:kern w:val="22"/>
        </w:rPr>
        <w:t xml:space="preserve"> </w:t>
      </w:r>
      <w:r w:rsidR="00C36CAA" w:rsidRPr="00471447">
        <w:rPr>
          <w:rFonts w:ascii="Times New Roman" w:eastAsia="Cambria" w:hAnsi="Times New Roman" w:cs="Times New Roman"/>
          <w:kern w:val="22"/>
        </w:rPr>
        <w:t xml:space="preserve">essential to </w:t>
      </w:r>
      <w:r w:rsidRPr="00471447">
        <w:rPr>
          <w:rFonts w:ascii="Times New Roman" w:eastAsia="Cambria" w:hAnsi="Times New Roman" w:cs="Times New Roman"/>
          <w:kern w:val="22"/>
        </w:rPr>
        <w:t>advancing this work</w:t>
      </w:r>
      <w:r w:rsidR="00AF18A9" w:rsidRPr="00471447">
        <w:rPr>
          <w:rFonts w:ascii="Times New Roman" w:eastAsia="Cambria" w:hAnsi="Times New Roman" w:cs="Times New Roman"/>
          <w:kern w:val="22"/>
        </w:rPr>
        <w:t>;</w:t>
      </w:r>
    </w:p>
    <w:p w:rsidR="00395A1E" w:rsidRPr="00471447" w:rsidRDefault="00CB2EDD"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Supporting the alignment of</w:t>
      </w:r>
      <w:r w:rsidR="005317FD" w:rsidRPr="00471447">
        <w:rPr>
          <w:rFonts w:ascii="Times New Roman" w:eastAsia="Cambria" w:hAnsi="Times New Roman" w:cs="Times New Roman"/>
          <w:kern w:val="22"/>
        </w:rPr>
        <w:t xml:space="preserve"> national reporting commitments for </w:t>
      </w:r>
      <w:r w:rsidRPr="00471447">
        <w:rPr>
          <w:rFonts w:ascii="Times New Roman" w:eastAsia="Cambria" w:hAnsi="Times New Roman" w:cs="Times New Roman"/>
          <w:kern w:val="22"/>
        </w:rPr>
        <w:t xml:space="preserve">national </w:t>
      </w:r>
      <w:r w:rsidR="005317FD" w:rsidRPr="00471447">
        <w:rPr>
          <w:rFonts w:ascii="Times New Roman" w:eastAsia="Cambria" w:hAnsi="Times New Roman" w:cs="Times New Roman"/>
          <w:kern w:val="22"/>
        </w:rPr>
        <w:t>biodiversity strategies and action plans</w:t>
      </w:r>
      <w:r w:rsidR="00BC7676"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national health strategies and </w:t>
      </w:r>
      <w:r w:rsidR="005317FD" w:rsidRPr="00471447">
        <w:rPr>
          <w:rFonts w:ascii="Times New Roman" w:eastAsia="Cambria" w:hAnsi="Times New Roman" w:cs="Times New Roman"/>
          <w:kern w:val="22"/>
        </w:rPr>
        <w:t>with</w:t>
      </w:r>
      <w:r w:rsidR="00BC7676" w:rsidRPr="00471447">
        <w:rPr>
          <w:rFonts w:ascii="Times New Roman" w:eastAsia="Cambria" w:hAnsi="Times New Roman" w:cs="Times New Roman"/>
          <w:kern w:val="22"/>
        </w:rPr>
        <w:t xml:space="preserve"> other </w:t>
      </w:r>
      <w:r w:rsidRPr="00471447">
        <w:rPr>
          <w:rFonts w:ascii="Times New Roman" w:eastAsia="Cambria" w:hAnsi="Times New Roman" w:cs="Times New Roman"/>
          <w:kern w:val="22"/>
        </w:rPr>
        <w:t>global</w:t>
      </w:r>
      <w:r w:rsidR="00BC7676" w:rsidRPr="00471447">
        <w:rPr>
          <w:rFonts w:ascii="Times New Roman" w:eastAsia="Cambria" w:hAnsi="Times New Roman" w:cs="Times New Roman"/>
          <w:kern w:val="22"/>
        </w:rPr>
        <w:t xml:space="preserve"> </w:t>
      </w:r>
      <w:r w:rsidR="005317FD" w:rsidRPr="00471447">
        <w:rPr>
          <w:rFonts w:ascii="Times New Roman" w:eastAsia="Cambria" w:hAnsi="Times New Roman" w:cs="Times New Roman"/>
          <w:kern w:val="22"/>
        </w:rPr>
        <w:t xml:space="preserve">reporting </w:t>
      </w:r>
      <w:r w:rsidR="00BC7676" w:rsidRPr="00471447">
        <w:rPr>
          <w:rFonts w:ascii="Times New Roman" w:eastAsia="Cambria" w:hAnsi="Times New Roman" w:cs="Times New Roman"/>
          <w:kern w:val="22"/>
        </w:rPr>
        <w:t>commitments</w:t>
      </w:r>
      <w:r w:rsidR="00AF18A9" w:rsidRPr="00471447">
        <w:rPr>
          <w:rFonts w:ascii="Times New Roman" w:eastAsia="Cambria" w:hAnsi="Times New Roman" w:cs="Times New Roman"/>
          <w:kern w:val="22"/>
        </w:rPr>
        <w:t xml:space="preserve"> </w:t>
      </w:r>
      <w:r w:rsidR="00395A1E" w:rsidRPr="00471447">
        <w:rPr>
          <w:rFonts w:ascii="Times New Roman" w:eastAsia="Cambria" w:hAnsi="Times New Roman" w:cs="Times New Roman"/>
          <w:kern w:val="22"/>
        </w:rPr>
        <w:t>such as</w:t>
      </w:r>
      <w:r w:rsidR="00BC7676" w:rsidRPr="00471447">
        <w:rPr>
          <w:rFonts w:ascii="Times New Roman" w:eastAsia="Cambria" w:hAnsi="Times New Roman" w:cs="Times New Roman"/>
          <w:kern w:val="22"/>
        </w:rPr>
        <w:t xml:space="preserve"> national</w:t>
      </w:r>
      <w:r w:rsidR="00AF18A9" w:rsidRPr="00471447">
        <w:rPr>
          <w:rFonts w:ascii="Times New Roman" w:eastAsia="Cambria" w:hAnsi="Times New Roman" w:cs="Times New Roman"/>
          <w:kern w:val="22"/>
        </w:rPr>
        <w:t xml:space="preserve"> adaptation </w:t>
      </w:r>
      <w:r w:rsidR="00395A1E" w:rsidRPr="00471447">
        <w:rPr>
          <w:rFonts w:ascii="Times New Roman" w:eastAsia="Cambria" w:hAnsi="Times New Roman" w:cs="Times New Roman"/>
          <w:kern w:val="22"/>
        </w:rPr>
        <w:t xml:space="preserve">plans </w:t>
      </w:r>
      <w:r w:rsidR="00BC7676" w:rsidRPr="00471447">
        <w:rPr>
          <w:rFonts w:ascii="Times New Roman" w:eastAsia="Cambria" w:hAnsi="Times New Roman" w:cs="Times New Roman"/>
          <w:kern w:val="22"/>
        </w:rPr>
        <w:t xml:space="preserve">and disaster risk reduction </w:t>
      </w:r>
      <w:r w:rsidR="00AF18A9" w:rsidRPr="00471447">
        <w:rPr>
          <w:rFonts w:ascii="Times New Roman" w:eastAsia="Cambria" w:hAnsi="Times New Roman" w:cs="Times New Roman"/>
          <w:kern w:val="22"/>
        </w:rPr>
        <w:t>plans</w:t>
      </w:r>
      <w:r w:rsidR="00171C9B">
        <w:rPr>
          <w:rFonts w:ascii="Times New Roman" w:eastAsia="Cambria" w:hAnsi="Times New Roman" w:cs="Times New Roman"/>
          <w:kern w:val="22"/>
        </w:rPr>
        <w:t>;</w:t>
      </w:r>
    </w:p>
    <w:p w:rsidR="00A02A82" w:rsidRPr="00471447" w:rsidRDefault="00CB2EDD"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Promoting</w:t>
      </w:r>
      <w:r w:rsidR="00395A1E" w:rsidRPr="00471447">
        <w:rPr>
          <w:rFonts w:ascii="Times New Roman" w:eastAsia="Cambria" w:hAnsi="Times New Roman" w:cs="Times New Roman"/>
          <w:kern w:val="22"/>
        </w:rPr>
        <w:t xml:space="preserve"> </w:t>
      </w:r>
      <w:r w:rsidR="005317FD" w:rsidRPr="00471447">
        <w:rPr>
          <w:rFonts w:ascii="Times New Roman" w:eastAsia="Cambria" w:hAnsi="Times New Roman" w:cs="Times New Roman"/>
          <w:kern w:val="22"/>
        </w:rPr>
        <w:t>synergies between biodiversity-health linkag</w:t>
      </w:r>
      <w:r w:rsidRPr="00471447">
        <w:rPr>
          <w:rFonts w:ascii="Times New Roman" w:eastAsia="Cambria" w:hAnsi="Times New Roman" w:cs="Times New Roman"/>
          <w:kern w:val="22"/>
        </w:rPr>
        <w:t>es in</w:t>
      </w:r>
      <w:r w:rsidR="005317FD" w:rsidRPr="00471447">
        <w:rPr>
          <w:rFonts w:ascii="Times New Roman" w:eastAsia="Cambria" w:hAnsi="Times New Roman" w:cs="Times New Roman"/>
          <w:kern w:val="22"/>
        </w:rPr>
        <w:t xml:space="preserve"> the Strategic Plan</w:t>
      </w:r>
      <w:r w:rsidR="00171C9B">
        <w:rPr>
          <w:rFonts w:ascii="Times New Roman" w:eastAsia="Cambria" w:hAnsi="Times New Roman" w:cs="Times New Roman"/>
          <w:kern w:val="22"/>
        </w:rPr>
        <w:t xml:space="preserve"> for Biodiversity 2011-2020</w:t>
      </w:r>
      <w:r w:rsidRPr="00471447">
        <w:rPr>
          <w:rFonts w:ascii="Times New Roman" w:eastAsia="Cambria" w:hAnsi="Times New Roman" w:cs="Times New Roman"/>
          <w:kern w:val="22"/>
        </w:rPr>
        <w:t xml:space="preserve">, </w:t>
      </w:r>
      <w:r w:rsidR="005317FD" w:rsidRPr="00471447">
        <w:rPr>
          <w:rFonts w:ascii="Times New Roman" w:eastAsia="Cambria" w:hAnsi="Times New Roman" w:cs="Times New Roman"/>
          <w:kern w:val="22"/>
        </w:rPr>
        <w:t xml:space="preserve">and other international commitments including the Paris </w:t>
      </w:r>
      <w:r w:rsidRPr="00471447">
        <w:rPr>
          <w:rFonts w:ascii="Times New Roman" w:eastAsia="Cambria" w:hAnsi="Times New Roman" w:cs="Times New Roman"/>
          <w:kern w:val="22"/>
        </w:rPr>
        <w:t xml:space="preserve">Climate </w:t>
      </w:r>
      <w:r w:rsidR="005317FD" w:rsidRPr="00471447">
        <w:rPr>
          <w:rFonts w:ascii="Times New Roman" w:eastAsia="Cambria" w:hAnsi="Times New Roman" w:cs="Times New Roman"/>
          <w:kern w:val="22"/>
        </w:rPr>
        <w:t>Agreement and the Sendai Framewor</w:t>
      </w:r>
      <w:r w:rsidR="00395A1E" w:rsidRPr="00471447">
        <w:rPr>
          <w:rFonts w:ascii="Times New Roman" w:eastAsia="Cambria" w:hAnsi="Times New Roman" w:cs="Times New Roman"/>
          <w:kern w:val="22"/>
        </w:rPr>
        <w:t>k for Disaster Risk Reduction. Strengthening c</w:t>
      </w:r>
      <w:r w:rsidR="005317FD" w:rsidRPr="00471447">
        <w:rPr>
          <w:rFonts w:ascii="Times New Roman" w:eastAsia="Cambria" w:hAnsi="Times New Roman" w:cs="Times New Roman"/>
          <w:kern w:val="22"/>
        </w:rPr>
        <w:t xml:space="preserve">ommunication across these commitments was </w:t>
      </w:r>
      <w:r w:rsidRPr="00471447">
        <w:rPr>
          <w:rFonts w:ascii="Times New Roman" w:eastAsia="Cambria" w:hAnsi="Times New Roman" w:cs="Times New Roman"/>
          <w:kern w:val="22"/>
        </w:rPr>
        <w:t>identified</w:t>
      </w:r>
      <w:r w:rsidR="005317FD" w:rsidRPr="00471447">
        <w:rPr>
          <w:rFonts w:ascii="Times New Roman" w:eastAsia="Cambria" w:hAnsi="Times New Roman" w:cs="Times New Roman"/>
          <w:kern w:val="22"/>
        </w:rPr>
        <w:t xml:space="preserve"> as a cr</w:t>
      </w:r>
      <w:r w:rsidRPr="00471447">
        <w:rPr>
          <w:rFonts w:ascii="Times New Roman" w:eastAsia="Cambria" w:hAnsi="Times New Roman" w:cs="Times New Roman"/>
          <w:kern w:val="22"/>
        </w:rPr>
        <w:t>ucial</w:t>
      </w:r>
      <w:r w:rsidR="005317FD" w:rsidRPr="00471447">
        <w:rPr>
          <w:rFonts w:ascii="Times New Roman" w:eastAsia="Cambria" w:hAnsi="Times New Roman" w:cs="Times New Roman"/>
          <w:kern w:val="22"/>
        </w:rPr>
        <w:t xml:space="preserve"> step </w:t>
      </w:r>
      <w:r w:rsidR="00AF18A9" w:rsidRPr="00471447">
        <w:rPr>
          <w:rFonts w:ascii="Times New Roman" w:eastAsia="Cambria" w:hAnsi="Times New Roman" w:cs="Times New Roman"/>
          <w:kern w:val="22"/>
        </w:rPr>
        <w:t xml:space="preserve">to </w:t>
      </w:r>
      <w:r w:rsidR="005317FD" w:rsidRPr="00471447">
        <w:rPr>
          <w:rFonts w:ascii="Times New Roman" w:eastAsia="Cambria" w:hAnsi="Times New Roman" w:cs="Times New Roman"/>
          <w:kern w:val="22"/>
        </w:rPr>
        <w:t>transform</w:t>
      </w:r>
      <w:r w:rsidR="00395A1E" w:rsidRPr="00471447">
        <w:rPr>
          <w:rFonts w:ascii="Times New Roman" w:eastAsia="Cambria" w:hAnsi="Times New Roman" w:cs="Times New Roman"/>
          <w:kern w:val="22"/>
        </w:rPr>
        <w:t xml:space="preserve">ing global mandates </w:t>
      </w:r>
      <w:r w:rsidR="005317FD" w:rsidRPr="00471447">
        <w:rPr>
          <w:rFonts w:ascii="Times New Roman" w:eastAsia="Cambria" w:hAnsi="Times New Roman" w:cs="Times New Roman"/>
          <w:kern w:val="22"/>
        </w:rPr>
        <w:t>into tangible political</w:t>
      </w:r>
      <w:r w:rsidR="00AF18A9" w:rsidRPr="00471447">
        <w:rPr>
          <w:rFonts w:ascii="Times New Roman" w:eastAsia="Cambria" w:hAnsi="Times New Roman" w:cs="Times New Roman"/>
          <w:kern w:val="22"/>
        </w:rPr>
        <w:t xml:space="preserve"> actions</w:t>
      </w:r>
      <w:r w:rsidR="00171C9B">
        <w:rPr>
          <w:rFonts w:ascii="Times New Roman" w:eastAsia="Cambria" w:hAnsi="Times New Roman" w:cs="Times New Roman"/>
          <w:kern w:val="22"/>
        </w:rPr>
        <w:t>;</w:t>
      </w:r>
      <w:r w:rsidR="00AF18A9" w:rsidRPr="00471447">
        <w:rPr>
          <w:rFonts w:ascii="Times New Roman" w:eastAsia="Cambria" w:hAnsi="Times New Roman" w:cs="Times New Roman"/>
          <w:kern w:val="22"/>
        </w:rPr>
        <w:t xml:space="preserve"> </w:t>
      </w:r>
    </w:p>
    <w:p w:rsidR="00CB2EDD" w:rsidRPr="00471447" w:rsidRDefault="00C36CAA"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A</w:t>
      </w:r>
      <w:r w:rsidR="005317FD" w:rsidRPr="00471447">
        <w:rPr>
          <w:rFonts w:ascii="Times New Roman" w:eastAsia="Cambria" w:hAnsi="Times New Roman" w:cs="Times New Roman"/>
          <w:kern w:val="22"/>
        </w:rPr>
        <w:t xml:space="preserve">ligning the work of the </w:t>
      </w:r>
      <w:r w:rsidR="0061487C" w:rsidRPr="009C20A3">
        <w:rPr>
          <w:rFonts w:ascii="Times New Roman" w:eastAsia="Cambria" w:hAnsi="Times New Roman" w:cs="Times New Roman"/>
          <w:kern w:val="22"/>
        </w:rPr>
        <w:t>joint work programme</w:t>
      </w:r>
      <w:r w:rsidR="0061487C" w:rsidRPr="00A20A93" w:rsidDel="0061487C">
        <w:rPr>
          <w:rFonts w:ascii="Times New Roman" w:eastAsia="Cambria" w:hAnsi="Times New Roman" w:cs="Times New Roman"/>
          <w:kern w:val="22"/>
        </w:rPr>
        <w:t xml:space="preserve"> </w:t>
      </w:r>
      <w:r w:rsidR="005317FD" w:rsidRPr="00471447">
        <w:rPr>
          <w:rFonts w:ascii="Times New Roman" w:eastAsia="Cambria" w:hAnsi="Times New Roman" w:cs="Times New Roman"/>
          <w:kern w:val="22"/>
        </w:rPr>
        <w:t xml:space="preserve">with the </w:t>
      </w:r>
      <w:r w:rsidR="00CB2EDD" w:rsidRPr="00471447">
        <w:rPr>
          <w:rFonts w:ascii="Times New Roman" w:eastAsia="Cambria" w:hAnsi="Times New Roman" w:cs="Times New Roman"/>
          <w:kern w:val="22"/>
        </w:rPr>
        <w:t>SDGs</w:t>
      </w:r>
      <w:r w:rsidRPr="00471447">
        <w:rPr>
          <w:rFonts w:ascii="Times New Roman" w:eastAsia="Cambria" w:hAnsi="Times New Roman" w:cs="Times New Roman"/>
          <w:kern w:val="22"/>
        </w:rPr>
        <w:t xml:space="preserve"> in particular was</w:t>
      </w:r>
      <w:r w:rsidR="00395A1E" w:rsidRPr="00471447">
        <w:rPr>
          <w:rFonts w:ascii="Times New Roman" w:eastAsia="Cambria" w:hAnsi="Times New Roman" w:cs="Times New Roman"/>
          <w:kern w:val="22"/>
        </w:rPr>
        <w:t xml:space="preserve"> also</w:t>
      </w:r>
      <w:r w:rsidRPr="00471447">
        <w:rPr>
          <w:rFonts w:ascii="Times New Roman" w:eastAsia="Cambria" w:hAnsi="Times New Roman" w:cs="Times New Roman"/>
          <w:kern w:val="22"/>
        </w:rPr>
        <w:t xml:space="preserve"> identified</w:t>
      </w:r>
      <w:r w:rsidR="005317FD" w:rsidRPr="00471447">
        <w:rPr>
          <w:rFonts w:ascii="Times New Roman" w:eastAsia="Cambria" w:hAnsi="Times New Roman" w:cs="Times New Roman"/>
          <w:kern w:val="22"/>
        </w:rPr>
        <w:t xml:space="preserve"> as a priority. It was </w:t>
      </w:r>
      <w:r w:rsidR="00395A1E" w:rsidRPr="00471447">
        <w:rPr>
          <w:rFonts w:ascii="Times New Roman" w:eastAsia="Cambria" w:hAnsi="Times New Roman" w:cs="Times New Roman"/>
          <w:kern w:val="22"/>
        </w:rPr>
        <w:t xml:space="preserve">noted that </w:t>
      </w:r>
      <w:r w:rsidR="005317FD" w:rsidRPr="00471447">
        <w:rPr>
          <w:rFonts w:ascii="Times New Roman" w:eastAsia="Cambria" w:hAnsi="Times New Roman" w:cs="Times New Roman"/>
          <w:kern w:val="22"/>
        </w:rPr>
        <w:t>greater focus on community empowerment (at the district and community levels)</w:t>
      </w:r>
      <w:r w:rsidR="00395A1E" w:rsidRPr="00471447">
        <w:rPr>
          <w:rFonts w:ascii="Times New Roman" w:eastAsia="Cambria" w:hAnsi="Times New Roman" w:cs="Times New Roman"/>
          <w:kern w:val="22"/>
        </w:rPr>
        <w:t xml:space="preserve"> was needed</w:t>
      </w:r>
      <w:r w:rsidR="00171C9B">
        <w:rPr>
          <w:rFonts w:ascii="Times New Roman" w:eastAsia="Cambria" w:hAnsi="Times New Roman" w:cs="Times New Roman"/>
          <w:kern w:val="22"/>
        </w:rPr>
        <w:t>;</w:t>
      </w:r>
      <w:r w:rsidR="005317FD" w:rsidRPr="00471447">
        <w:rPr>
          <w:rFonts w:ascii="Times New Roman" w:eastAsia="Cambria" w:hAnsi="Times New Roman" w:cs="Times New Roman"/>
          <w:kern w:val="22"/>
        </w:rPr>
        <w:t xml:space="preserve"> </w:t>
      </w:r>
    </w:p>
    <w:p w:rsidR="00C36CAA" w:rsidRPr="00471447" w:rsidRDefault="00CB2EDD"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Promoting </w:t>
      </w:r>
      <w:r w:rsidR="005317FD" w:rsidRPr="00471447">
        <w:rPr>
          <w:rFonts w:ascii="Times New Roman" w:eastAsia="Cambria" w:hAnsi="Times New Roman" w:cs="Times New Roman"/>
          <w:kern w:val="22"/>
        </w:rPr>
        <w:t xml:space="preserve">community well-being </w:t>
      </w:r>
      <w:r w:rsidRPr="00471447">
        <w:rPr>
          <w:rFonts w:ascii="Times New Roman" w:eastAsia="Cambria" w:hAnsi="Times New Roman" w:cs="Times New Roman"/>
          <w:kern w:val="22"/>
        </w:rPr>
        <w:t>was identified as</w:t>
      </w:r>
      <w:r w:rsidR="005317FD" w:rsidRPr="00471447">
        <w:rPr>
          <w:rFonts w:ascii="Times New Roman" w:eastAsia="Cambria" w:hAnsi="Times New Roman" w:cs="Times New Roman"/>
          <w:kern w:val="22"/>
        </w:rPr>
        <w:t xml:space="preserve"> a good predictor for</w:t>
      </w:r>
      <w:r w:rsidR="0051323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more sustain</w:t>
      </w:r>
      <w:r w:rsidR="00171C9B">
        <w:rPr>
          <w:rFonts w:ascii="Times New Roman" w:eastAsia="Cambria" w:hAnsi="Times New Roman" w:cs="Times New Roman"/>
          <w:kern w:val="22"/>
        </w:rPr>
        <w:t>a</w:t>
      </w:r>
      <w:r w:rsidRPr="00471447">
        <w:rPr>
          <w:rFonts w:ascii="Times New Roman" w:eastAsia="Cambria" w:hAnsi="Times New Roman" w:cs="Times New Roman"/>
          <w:kern w:val="22"/>
        </w:rPr>
        <w:t xml:space="preserve">ble </w:t>
      </w:r>
      <w:r w:rsidR="00513230" w:rsidRPr="00471447">
        <w:rPr>
          <w:rFonts w:ascii="Times New Roman" w:eastAsia="Cambria" w:hAnsi="Times New Roman" w:cs="Times New Roman"/>
          <w:kern w:val="22"/>
        </w:rPr>
        <w:t>biodiversity</w:t>
      </w:r>
      <w:r w:rsidRPr="00471447">
        <w:rPr>
          <w:rFonts w:ascii="Times New Roman" w:eastAsia="Cambria" w:hAnsi="Times New Roman" w:cs="Times New Roman"/>
          <w:kern w:val="22"/>
        </w:rPr>
        <w:t xml:space="preserve"> management</w:t>
      </w:r>
      <w:r w:rsidR="00171C9B">
        <w:rPr>
          <w:rFonts w:ascii="Times New Roman" w:eastAsia="Cambria" w:hAnsi="Times New Roman" w:cs="Times New Roman"/>
          <w:kern w:val="22"/>
        </w:rPr>
        <w:t xml:space="preserve"> </w:t>
      </w:r>
      <w:r w:rsidR="005317FD" w:rsidRPr="00471447">
        <w:rPr>
          <w:rFonts w:ascii="Times New Roman" w:eastAsia="Cambria" w:hAnsi="Times New Roman" w:cs="Times New Roman"/>
          <w:kern w:val="22"/>
        </w:rPr>
        <w:t>an</w:t>
      </w:r>
      <w:r w:rsidR="00513230" w:rsidRPr="00471447">
        <w:rPr>
          <w:rFonts w:ascii="Times New Roman" w:eastAsia="Cambria" w:hAnsi="Times New Roman" w:cs="Times New Roman"/>
          <w:kern w:val="22"/>
        </w:rPr>
        <w:t xml:space="preserve">d could </w:t>
      </w:r>
      <w:r w:rsidRPr="00471447">
        <w:rPr>
          <w:rFonts w:ascii="Times New Roman" w:eastAsia="Cambria" w:hAnsi="Times New Roman" w:cs="Times New Roman"/>
          <w:kern w:val="22"/>
        </w:rPr>
        <w:t xml:space="preserve">also </w:t>
      </w:r>
      <w:r w:rsidR="00513230" w:rsidRPr="00471447">
        <w:rPr>
          <w:rFonts w:ascii="Times New Roman" w:eastAsia="Cambria" w:hAnsi="Times New Roman" w:cs="Times New Roman"/>
          <w:kern w:val="22"/>
        </w:rPr>
        <w:t>be useful to the development of an integrated</w:t>
      </w:r>
      <w:r w:rsidR="005317FD" w:rsidRPr="00471447">
        <w:rPr>
          <w:rFonts w:ascii="Times New Roman" w:eastAsia="Cambria" w:hAnsi="Times New Roman" w:cs="Times New Roman"/>
          <w:kern w:val="22"/>
        </w:rPr>
        <w:t xml:space="preserve"> indicator to measure biodiversity</w:t>
      </w:r>
      <w:r w:rsidR="00513230" w:rsidRPr="00471447">
        <w:rPr>
          <w:rFonts w:ascii="Times New Roman" w:eastAsia="Cambria" w:hAnsi="Times New Roman" w:cs="Times New Roman"/>
          <w:kern w:val="22"/>
        </w:rPr>
        <w:t xml:space="preserve"> and health</w:t>
      </w:r>
      <w:r w:rsidR="005317FD" w:rsidRPr="00471447">
        <w:rPr>
          <w:rFonts w:ascii="Times New Roman" w:eastAsia="Cambria" w:hAnsi="Times New Roman" w:cs="Times New Roman"/>
          <w:kern w:val="22"/>
        </w:rPr>
        <w:t xml:space="preserve">. </w:t>
      </w:r>
      <w:r w:rsidR="00395A1E" w:rsidRPr="00471447">
        <w:rPr>
          <w:rFonts w:ascii="Times New Roman" w:eastAsia="Cambria" w:hAnsi="Times New Roman" w:cs="Times New Roman"/>
          <w:kern w:val="22"/>
        </w:rPr>
        <w:t>I</w:t>
      </w:r>
      <w:r w:rsidR="00513230" w:rsidRPr="00471447">
        <w:rPr>
          <w:rFonts w:ascii="Times New Roman" w:eastAsia="Cambria" w:hAnsi="Times New Roman" w:cs="Times New Roman"/>
          <w:kern w:val="22"/>
        </w:rPr>
        <w:t xml:space="preserve">ntegrated strategies used by other </w:t>
      </w:r>
      <w:r w:rsidR="005317FD" w:rsidRPr="00471447">
        <w:rPr>
          <w:rFonts w:ascii="Times New Roman" w:eastAsia="Cambria" w:hAnsi="Times New Roman" w:cs="Times New Roman"/>
          <w:kern w:val="22"/>
        </w:rPr>
        <w:t>agencies</w:t>
      </w:r>
      <w:r w:rsidR="00513230" w:rsidRPr="00471447">
        <w:rPr>
          <w:rFonts w:ascii="Times New Roman" w:eastAsia="Cambria" w:hAnsi="Times New Roman" w:cs="Times New Roman"/>
          <w:kern w:val="22"/>
        </w:rPr>
        <w:t xml:space="preserve"> and non</w:t>
      </w:r>
      <w:r w:rsidR="00171C9B">
        <w:rPr>
          <w:rFonts w:ascii="Times New Roman" w:eastAsia="Cambria" w:hAnsi="Times New Roman" w:cs="Times New Roman"/>
          <w:kern w:val="22"/>
        </w:rPr>
        <w:noBreakHyphen/>
      </w:r>
      <w:r w:rsidR="00513230" w:rsidRPr="00471447">
        <w:rPr>
          <w:rFonts w:ascii="Times New Roman" w:eastAsia="Cambria" w:hAnsi="Times New Roman" w:cs="Times New Roman"/>
          <w:kern w:val="22"/>
        </w:rPr>
        <w:t xml:space="preserve">governmental organizations could be drawn upon and adapted to inform </w:t>
      </w:r>
      <w:r w:rsidR="00395A1E" w:rsidRPr="00471447">
        <w:rPr>
          <w:rFonts w:ascii="Times New Roman" w:eastAsia="Cambria" w:hAnsi="Times New Roman" w:cs="Times New Roman"/>
          <w:kern w:val="22"/>
        </w:rPr>
        <w:t>future activities</w:t>
      </w:r>
      <w:r w:rsidR="00513230" w:rsidRPr="00471447">
        <w:rPr>
          <w:rFonts w:ascii="Times New Roman" w:eastAsia="Cambria" w:hAnsi="Times New Roman" w:cs="Times New Roman"/>
          <w:kern w:val="22"/>
        </w:rPr>
        <w:t xml:space="preserve"> of the </w:t>
      </w:r>
      <w:r w:rsidR="00395A1E" w:rsidRPr="00471447">
        <w:rPr>
          <w:rFonts w:ascii="Times New Roman" w:eastAsia="Cambria" w:hAnsi="Times New Roman" w:cs="Times New Roman"/>
          <w:kern w:val="22"/>
        </w:rPr>
        <w:t>ILG</w:t>
      </w:r>
      <w:r w:rsidRPr="00471447">
        <w:rPr>
          <w:rFonts w:ascii="Times New Roman" w:eastAsia="Cambria" w:hAnsi="Times New Roman" w:cs="Times New Roman"/>
          <w:kern w:val="22"/>
        </w:rPr>
        <w:t xml:space="preserve"> in this regard</w:t>
      </w:r>
      <w:r w:rsidR="00171C9B">
        <w:rPr>
          <w:rFonts w:ascii="Times New Roman" w:eastAsia="Cambria" w:hAnsi="Times New Roman" w:cs="Times New Roman"/>
          <w:kern w:val="22"/>
        </w:rPr>
        <w:t>;</w:t>
      </w:r>
    </w:p>
    <w:p w:rsidR="00C83F6E" w:rsidRPr="00471447" w:rsidRDefault="00CB2EDD"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A</w:t>
      </w:r>
      <w:r w:rsidR="00694C5C" w:rsidRPr="00471447">
        <w:rPr>
          <w:rFonts w:ascii="Times New Roman" w:eastAsia="Cambria" w:hAnsi="Times New Roman" w:cs="Times New Roman"/>
          <w:kern w:val="22"/>
        </w:rPr>
        <w:t>ddressing the economic implications of biodiversity</w:t>
      </w:r>
      <w:r w:rsidR="00395A1E" w:rsidRPr="00471447">
        <w:rPr>
          <w:rFonts w:ascii="Times New Roman" w:eastAsia="Cambria" w:hAnsi="Times New Roman" w:cs="Times New Roman"/>
          <w:kern w:val="22"/>
        </w:rPr>
        <w:t xml:space="preserve"> </w:t>
      </w:r>
      <w:r w:rsidR="008F2778" w:rsidRPr="00471447">
        <w:rPr>
          <w:rFonts w:ascii="Times New Roman" w:eastAsia="Cambria" w:hAnsi="Times New Roman" w:cs="Times New Roman"/>
          <w:kern w:val="22"/>
        </w:rPr>
        <w:t xml:space="preserve">(gains and </w:t>
      </w:r>
      <w:r w:rsidR="00395A1E" w:rsidRPr="00471447">
        <w:rPr>
          <w:rFonts w:ascii="Times New Roman" w:eastAsia="Cambria" w:hAnsi="Times New Roman" w:cs="Times New Roman"/>
          <w:kern w:val="22"/>
        </w:rPr>
        <w:t>loss</w:t>
      </w:r>
      <w:r w:rsidR="008F2778" w:rsidRPr="00471447">
        <w:rPr>
          <w:rFonts w:ascii="Times New Roman" w:eastAsia="Cambria" w:hAnsi="Times New Roman" w:cs="Times New Roman"/>
          <w:kern w:val="22"/>
        </w:rPr>
        <w:t xml:space="preserve">es) and </w:t>
      </w:r>
      <w:r w:rsidR="00395A1E" w:rsidRPr="00471447">
        <w:rPr>
          <w:rFonts w:ascii="Times New Roman" w:eastAsia="Cambria" w:hAnsi="Times New Roman" w:cs="Times New Roman"/>
          <w:kern w:val="22"/>
        </w:rPr>
        <w:t xml:space="preserve">health outcomes </w:t>
      </w:r>
      <w:r w:rsidR="008F2778" w:rsidRPr="00471447">
        <w:rPr>
          <w:rFonts w:ascii="Times New Roman" w:eastAsia="Cambria" w:hAnsi="Times New Roman" w:cs="Times New Roman"/>
          <w:kern w:val="22"/>
        </w:rPr>
        <w:t>could also be useful and could potentially</w:t>
      </w:r>
      <w:r w:rsidR="00395A1E" w:rsidRPr="00471447">
        <w:rPr>
          <w:rFonts w:ascii="Times New Roman" w:eastAsia="Cambria" w:hAnsi="Times New Roman" w:cs="Times New Roman"/>
          <w:kern w:val="22"/>
        </w:rPr>
        <w:t xml:space="preserve"> </w:t>
      </w:r>
      <w:r w:rsidR="00694C5C" w:rsidRPr="00471447">
        <w:rPr>
          <w:rFonts w:ascii="Times New Roman" w:eastAsia="Cambria" w:hAnsi="Times New Roman" w:cs="Times New Roman"/>
          <w:kern w:val="22"/>
        </w:rPr>
        <w:t xml:space="preserve">contribute to mobilizing additional </w:t>
      </w:r>
      <w:r w:rsidR="008F2778" w:rsidRPr="00471447">
        <w:rPr>
          <w:rFonts w:ascii="Times New Roman" w:eastAsia="Cambria" w:hAnsi="Times New Roman" w:cs="Times New Roman"/>
          <w:kern w:val="22"/>
        </w:rPr>
        <w:t xml:space="preserve">financial </w:t>
      </w:r>
      <w:r w:rsidR="00694C5C" w:rsidRPr="00471447">
        <w:rPr>
          <w:rFonts w:ascii="Times New Roman" w:eastAsia="Cambria" w:hAnsi="Times New Roman" w:cs="Times New Roman"/>
          <w:kern w:val="22"/>
        </w:rPr>
        <w:t>resources</w:t>
      </w:r>
      <w:r w:rsidR="008F2778" w:rsidRPr="00471447">
        <w:rPr>
          <w:rFonts w:ascii="Times New Roman" w:eastAsia="Cambria" w:hAnsi="Times New Roman" w:cs="Times New Roman"/>
          <w:kern w:val="22"/>
        </w:rPr>
        <w:t>, which are lacking</w:t>
      </w:r>
      <w:r w:rsidR="00AB60E5" w:rsidRPr="00471447">
        <w:rPr>
          <w:rFonts w:ascii="Times New Roman" w:eastAsia="Cambria" w:hAnsi="Times New Roman" w:cs="Times New Roman"/>
          <w:kern w:val="22"/>
        </w:rPr>
        <w:t>;</w:t>
      </w:r>
    </w:p>
    <w:p w:rsidR="00AB60E5" w:rsidRPr="00471447" w:rsidRDefault="00AB60E5" w:rsidP="00471447">
      <w:pPr>
        <w:pStyle w:val="ListParagraph"/>
        <w:numPr>
          <w:ilvl w:val="0"/>
          <w:numId w:val="27"/>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More meaningfully engaging the public health community in discussions on the health benefits of curtailing biodiversity loss and maintaining healthy ecosystems should place greater focus on prevention, and primary prevention in particular, as this is a language Ministers of Health will understand. </w:t>
      </w:r>
    </w:p>
    <w:p w:rsidR="00B66CF0" w:rsidRPr="00471447" w:rsidRDefault="008F2778"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w:t>
      </w:r>
      <w:r w:rsidR="00C83F6E" w:rsidRPr="00471447">
        <w:rPr>
          <w:rFonts w:ascii="Times New Roman" w:eastAsia="Cambria" w:hAnsi="Times New Roman" w:cs="Times New Roman"/>
          <w:kern w:val="22"/>
        </w:rPr>
        <w:t xml:space="preserve">Mathias </w:t>
      </w:r>
      <w:r w:rsidRPr="00471447">
        <w:rPr>
          <w:rFonts w:ascii="Times New Roman" w:eastAsia="Cambria" w:hAnsi="Times New Roman" w:cs="Times New Roman"/>
          <w:kern w:val="22"/>
        </w:rPr>
        <w:t>Braubach</w:t>
      </w:r>
      <w:r w:rsidR="00C83F6E"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B66CF0" w:rsidRPr="00471447">
        <w:rPr>
          <w:rFonts w:ascii="Times New Roman" w:eastAsia="Cambria" w:hAnsi="Times New Roman" w:cs="Times New Roman"/>
          <w:kern w:val="22"/>
        </w:rPr>
        <w:t>WHO regional office for Europe</w:t>
      </w:r>
      <w:r w:rsidR="00C83F6E"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C83F6E" w:rsidRPr="00471447">
        <w:rPr>
          <w:rFonts w:ascii="Times New Roman" w:eastAsia="Cambria" w:hAnsi="Times New Roman" w:cs="Times New Roman"/>
          <w:kern w:val="22"/>
        </w:rPr>
        <w:t xml:space="preserve">presented </w:t>
      </w:r>
      <w:r w:rsidRPr="00471447">
        <w:rPr>
          <w:rFonts w:ascii="Times New Roman" w:eastAsia="Cambria" w:hAnsi="Times New Roman" w:cs="Times New Roman"/>
          <w:kern w:val="22"/>
        </w:rPr>
        <w:t>the added value of raising awareness of the potential health benefits of exposure to nature and green spaces</w:t>
      </w:r>
      <w:r w:rsidR="00B66CF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drawing on</w:t>
      </w:r>
      <w:r w:rsidR="00B66CF0" w:rsidRPr="00471447">
        <w:rPr>
          <w:rFonts w:ascii="Times New Roman" w:eastAsia="Cambria" w:hAnsi="Times New Roman" w:cs="Times New Roman"/>
          <w:kern w:val="22"/>
        </w:rPr>
        <w:t xml:space="preserve"> cross-sectoral studies that </w:t>
      </w:r>
      <w:r w:rsidRPr="00471447">
        <w:rPr>
          <w:rFonts w:ascii="Times New Roman" w:eastAsia="Cambria" w:hAnsi="Times New Roman" w:cs="Times New Roman"/>
          <w:kern w:val="22"/>
        </w:rPr>
        <w:t>had recently been</w:t>
      </w:r>
      <w:r w:rsidR="00B66CF0" w:rsidRPr="00471447">
        <w:rPr>
          <w:rFonts w:ascii="Times New Roman" w:eastAsia="Cambria" w:hAnsi="Times New Roman" w:cs="Times New Roman"/>
          <w:kern w:val="22"/>
        </w:rPr>
        <w:t xml:space="preserve"> finalized. Examples </w:t>
      </w:r>
      <w:r w:rsidR="00C83F6E" w:rsidRPr="00471447">
        <w:rPr>
          <w:rFonts w:ascii="Times New Roman" w:eastAsia="Cambria" w:hAnsi="Times New Roman" w:cs="Times New Roman"/>
          <w:kern w:val="22"/>
        </w:rPr>
        <w:t xml:space="preserve">discussed </w:t>
      </w:r>
      <w:r w:rsidR="00B66CF0" w:rsidRPr="00471447">
        <w:rPr>
          <w:rFonts w:ascii="Times New Roman" w:eastAsia="Cambria" w:hAnsi="Times New Roman" w:cs="Times New Roman"/>
          <w:kern w:val="22"/>
        </w:rPr>
        <w:t xml:space="preserve">include:  </w:t>
      </w:r>
    </w:p>
    <w:p w:rsidR="00B66CF0" w:rsidRPr="00471447" w:rsidRDefault="00097648" w:rsidP="00471447">
      <w:pPr>
        <w:pStyle w:val="ListParagraph"/>
        <w:numPr>
          <w:ilvl w:val="1"/>
          <w:numId w:val="30"/>
        </w:numPr>
        <w:spacing w:before="120" w:after="120"/>
        <w:ind w:left="0" w:firstLine="720"/>
        <w:rPr>
          <w:rFonts w:ascii="Times New Roman" w:eastAsia="Times New Roman" w:hAnsi="Times New Roman" w:cs="Times New Roman"/>
          <w:kern w:val="22"/>
        </w:rPr>
      </w:pPr>
      <w:r>
        <w:rPr>
          <w:rFonts w:ascii="Times New Roman" w:eastAsia="Times New Roman" w:hAnsi="Times New Roman" w:cs="Times New Roman"/>
          <w:kern w:val="22"/>
        </w:rPr>
        <w:t>E</w:t>
      </w:r>
      <w:r w:rsidR="008D6182" w:rsidRPr="00471447">
        <w:rPr>
          <w:rFonts w:ascii="Times New Roman" w:eastAsia="Times New Roman" w:hAnsi="Times New Roman" w:cs="Times New Roman"/>
          <w:kern w:val="22"/>
        </w:rPr>
        <w:t>conomic assessment of ecosystem service benefits in London</w:t>
      </w:r>
      <w:r w:rsidR="00CD6DBF">
        <w:rPr>
          <w:rFonts w:ascii="Times New Roman" w:eastAsia="Times New Roman" w:hAnsi="Times New Roman" w:cs="Times New Roman"/>
          <w:kern w:val="22"/>
        </w:rPr>
        <w:t>;</w:t>
      </w:r>
      <w:r w:rsidR="00CD6DBF">
        <w:rPr>
          <w:rStyle w:val="FootnoteReference"/>
          <w:rFonts w:ascii="Times New Roman" w:eastAsia="Times New Roman" w:hAnsi="Times New Roman" w:cs="Times New Roman"/>
          <w:kern w:val="22"/>
        </w:rPr>
        <w:footnoteReference w:id="1"/>
      </w:r>
      <w:r w:rsidR="00C83F6E" w:rsidRPr="00471447">
        <w:rPr>
          <w:rFonts w:ascii="Times New Roman" w:eastAsia="Times New Roman" w:hAnsi="Times New Roman" w:cs="Times New Roman"/>
          <w:kern w:val="22"/>
        </w:rPr>
        <w:t xml:space="preserve"> </w:t>
      </w:r>
    </w:p>
    <w:p w:rsidR="00B66CF0" w:rsidRPr="00471447" w:rsidRDefault="00097648" w:rsidP="00471447">
      <w:pPr>
        <w:pStyle w:val="ListParagraph"/>
        <w:numPr>
          <w:ilvl w:val="1"/>
          <w:numId w:val="30"/>
        </w:numPr>
        <w:spacing w:before="120" w:after="120"/>
        <w:ind w:left="0" w:firstLine="720"/>
        <w:jc w:val="both"/>
        <w:rPr>
          <w:rFonts w:ascii="Times New Roman" w:eastAsia="Times New Roman" w:hAnsi="Times New Roman" w:cs="Times New Roman"/>
          <w:kern w:val="22"/>
        </w:rPr>
      </w:pPr>
      <w:r>
        <w:rPr>
          <w:rFonts w:ascii="Times New Roman" w:eastAsia="Times New Roman" w:hAnsi="Times New Roman" w:cs="Times New Roman"/>
          <w:kern w:val="22"/>
        </w:rPr>
        <w:t>W</w:t>
      </w:r>
      <w:r w:rsidR="008D6182" w:rsidRPr="00471447">
        <w:rPr>
          <w:rFonts w:ascii="Times New Roman" w:eastAsia="Times New Roman" w:hAnsi="Times New Roman" w:cs="Times New Roman"/>
          <w:kern w:val="22"/>
        </w:rPr>
        <w:t xml:space="preserve">ork on cultural contexts of health, with a section on natural environments </w:t>
      </w:r>
      <w:r w:rsidR="00CD6DBF">
        <w:rPr>
          <w:rFonts w:ascii="Times New Roman" w:eastAsia="Times New Roman" w:hAnsi="Times New Roman" w:cs="Times New Roman"/>
          <w:kern w:val="22"/>
        </w:rPr>
        <w:t>;</w:t>
      </w:r>
      <w:r w:rsidR="00CD6DBF">
        <w:rPr>
          <w:rStyle w:val="FootnoteReference"/>
          <w:rFonts w:ascii="Times New Roman" w:eastAsia="Times New Roman" w:hAnsi="Times New Roman" w:cs="Times New Roman"/>
          <w:kern w:val="22"/>
        </w:rPr>
        <w:footnoteReference w:id="2"/>
      </w:r>
    </w:p>
    <w:p w:rsidR="00C83F6E" w:rsidRPr="00471447" w:rsidRDefault="00B66CF0" w:rsidP="00471447">
      <w:pPr>
        <w:pStyle w:val="ListParagraph"/>
        <w:numPr>
          <w:ilvl w:val="1"/>
          <w:numId w:val="30"/>
        </w:numPr>
        <w:spacing w:before="120" w:after="120"/>
        <w:ind w:left="0" w:firstLine="720"/>
        <w:jc w:val="both"/>
        <w:rPr>
          <w:rFonts w:ascii="Times New Roman" w:eastAsia="Times New Roman" w:hAnsi="Times New Roman" w:cs="Times New Roman"/>
          <w:color w:val="auto"/>
          <w:kern w:val="22"/>
        </w:rPr>
      </w:pPr>
      <w:r w:rsidRPr="00471447">
        <w:rPr>
          <w:rFonts w:ascii="Times New Roman" w:hAnsi="Times New Roman" w:cs="Times New Roman"/>
          <w:color w:val="auto"/>
          <w:kern w:val="22"/>
        </w:rPr>
        <w:t xml:space="preserve">A report </w:t>
      </w:r>
      <w:r w:rsidRPr="00471447">
        <w:rPr>
          <w:rFonts w:ascii="Times New Roman" w:eastAsia="Times New Roman" w:hAnsi="Times New Roman" w:cs="Times New Roman"/>
          <w:kern w:val="22"/>
        </w:rPr>
        <w:t>summarizing</w:t>
      </w:r>
      <w:r w:rsidRPr="00471447">
        <w:rPr>
          <w:rFonts w:ascii="Times New Roman" w:hAnsi="Times New Roman" w:cs="Times New Roman"/>
          <w:color w:val="auto"/>
          <w:kern w:val="22"/>
        </w:rPr>
        <w:t xml:space="preserve"> evidence of health benefits, discusses pathways to health and evaluates health-relevant indicators of urban green space. The report also provides </w:t>
      </w:r>
      <w:r w:rsidRPr="00471447">
        <w:rPr>
          <w:rFonts w:ascii="Times New Roman" w:eastAsia="Times New Roman" w:hAnsi="Times New Roman" w:cs="Times New Roman"/>
          <w:kern w:val="22"/>
        </w:rPr>
        <w:t xml:space="preserve">an overview of the impact of green space on air, noise and temperature </w:t>
      </w:r>
      <w:r w:rsidR="00C83F6E" w:rsidRPr="00471447">
        <w:rPr>
          <w:rFonts w:ascii="Times New Roman" w:eastAsia="Times New Roman" w:hAnsi="Times New Roman" w:cs="Times New Roman"/>
          <w:kern w:val="22"/>
        </w:rPr>
        <w:t>and draws on</w:t>
      </w:r>
      <w:r w:rsidRPr="00471447">
        <w:rPr>
          <w:rFonts w:ascii="Times New Roman" w:eastAsia="Times New Roman" w:hAnsi="Times New Roman" w:cs="Times New Roman"/>
          <w:kern w:val="22"/>
        </w:rPr>
        <w:t xml:space="preserve"> biodiversity examples (such as nature playgrounds or green space in health care settings)</w:t>
      </w:r>
      <w:r w:rsidR="004806DB">
        <w:rPr>
          <w:rFonts w:ascii="Times New Roman" w:eastAsia="Times New Roman" w:hAnsi="Times New Roman" w:cs="Times New Roman"/>
          <w:kern w:val="22"/>
        </w:rPr>
        <w:t>;</w:t>
      </w:r>
      <w:r w:rsidR="004806DB">
        <w:rPr>
          <w:rStyle w:val="FootnoteReference"/>
          <w:rFonts w:ascii="Times New Roman" w:eastAsia="Times New Roman" w:hAnsi="Times New Roman" w:cs="Times New Roman"/>
          <w:kern w:val="22"/>
        </w:rPr>
        <w:footnoteReference w:id="3"/>
      </w:r>
    </w:p>
    <w:p w:rsidR="008D6182" w:rsidRPr="00471447" w:rsidRDefault="00B66CF0" w:rsidP="00471447">
      <w:pPr>
        <w:pStyle w:val="ListParagraph"/>
        <w:numPr>
          <w:ilvl w:val="1"/>
          <w:numId w:val="30"/>
        </w:numPr>
        <w:spacing w:before="120" w:after="120"/>
        <w:ind w:left="0" w:firstLine="720"/>
        <w:rPr>
          <w:rFonts w:ascii="Times New Roman" w:eastAsia="Times New Roman" w:hAnsi="Times New Roman" w:cs="Times New Roman"/>
          <w:kern w:val="22"/>
        </w:rPr>
      </w:pPr>
      <w:r w:rsidRPr="00471447">
        <w:rPr>
          <w:rFonts w:ascii="Times New Roman" w:eastAsia="Times New Roman" w:hAnsi="Times New Roman" w:cs="Times New Roman"/>
          <w:kern w:val="22"/>
        </w:rPr>
        <w:lastRenderedPageBreak/>
        <w:t>A recent report on u</w:t>
      </w:r>
      <w:r w:rsidR="008D6182" w:rsidRPr="00471447">
        <w:rPr>
          <w:rFonts w:ascii="Times New Roman" w:eastAsia="Times New Roman" w:hAnsi="Times New Roman" w:cs="Times New Roman"/>
          <w:kern w:val="22"/>
        </w:rPr>
        <w:t xml:space="preserve">rban green space interventions and health: A review of impacts and effectiveness. </w:t>
      </w:r>
      <w:r w:rsidR="00C83F6E" w:rsidRPr="00471447">
        <w:rPr>
          <w:rFonts w:ascii="Times New Roman" w:eastAsia="Times New Roman" w:hAnsi="Times New Roman" w:cs="Times New Roman"/>
          <w:kern w:val="22"/>
        </w:rPr>
        <w:t xml:space="preserve">The </w:t>
      </w:r>
      <w:r w:rsidR="008D6182" w:rsidRPr="00471447">
        <w:rPr>
          <w:rFonts w:ascii="Times New Roman" w:eastAsia="Times New Roman" w:hAnsi="Times New Roman" w:cs="Times New Roman"/>
          <w:kern w:val="22"/>
        </w:rPr>
        <w:t xml:space="preserve">report </w:t>
      </w:r>
      <w:r w:rsidRPr="00471447">
        <w:rPr>
          <w:rFonts w:ascii="Times New Roman" w:eastAsia="Times New Roman" w:hAnsi="Times New Roman" w:cs="Times New Roman"/>
          <w:kern w:val="22"/>
        </w:rPr>
        <w:t xml:space="preserve">released this year is available from: </w:t>
      </w:r>
      <w:hyperlink r:id="rId11" w:history="1">
        <w:r w:rsidR="008D6182" w:rsidRPr="00471447">
          <w:rPr>
            <w:rStyle w:val="Hyperlink"/>
            <w:rFonts w:ascii="Times New Roman" w:eastAsia="Times New Roman" w:hAnsi="Times New Roman" w:cs="Times New Roman"/>
            <w:kern w:val="22"/>
          </w:rPr>
          <w:t>http://www.euro.who.int/en/health-topics/environment-and-health/urban-health/publications/2017/urban-green-space-interventions-and-health-a-review-of-impacts-and-effectiveness.-full-report-2017</w:t>
        </w:r>
      </w:hyperlink>
      <w:r w:rsidR="008F2778" w:rsidRPr="00471447">
        <w:rPr>
          <w:rFonts w:ascii="Times New Roman" w:eastAsia="Times New Roman" w:hAnsi="Times New Roman" w:cs="Times New Roman"/>
          <w:kern w:val="22"/>
        </w:rPr>
        <w:t xml:space="preserve"> </w:t>
      </w:r>
    </w:p>
    <w:p w:rsidR="009B04CA" w:rsidRPr="00471447" w:rsidRDefault="00CE5E6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On </w:t>
      </w:r>
      <w:r w:rsidR="00097648">
        <w:rPr>
          <w:rFonts w:ascii="Times New Roman" w:eastAsia="Cambria" w:hAnsi="Times New Roman" w:cs="Times New Roman"/>
          <w:kern w:val="22"/>
        </w:rPr>
        <w:t xml:space="preserve">the </w:t>
      </w:r>
      <w:r w:rsidRPr="00471447">
        <w:rPr>
          <w:rFonts w:ascii="Times New Roman" w:eastAsia="Cambria" w:hAnsi="Times New Roman" w:cs="Times New Roman"/>
          <w:kern w:val="22"/>
        </w:rPr>
        <w:t xml:space="preserve">communication strategy, </w:t>
      </w:r>
      <w:r w:rsidR="008F2778" w:rsidRPr="00471447">
        <w:rPr>
          <w:rFonts w:ascii="Times New Roman" w:eastAsia="Cambria" w:hAnsi="Times New Roman" w:cs="Times New Roman"/>
          <w:kern w:val="22"/>
        </w:rPr>
        <w:t>Ms.</w:t>
      </w:r>
      <w:r w:rsidRPr="00471447">
        <w:rPr>
          <w:rFonts w:ascii="Times New Roman" w:eastAsia="Cambria" w:hAnsi="Times New Roman" w:cs="Times New Roman"/>
          <w:kern w:val="22"/>
        </w:rPr>
        <w:t xml:space="preserve"> Neira</w:t>
      </w:r>
      <w:r w:rsidR="008F2778" w:rsidRPr="00471447">
        <w:rPr>
          <w:rFonts w:ascii="Times New Roman" w:eastAsia="Cambria" w:hAnsi="Times New Roman" w:cs="Times New Roman"/>
          <w:kern w:val="22"/>
        </w:rPr>
        <w:t xml:space="preserve"> (WHO) also</w:t>
      </w:r>
      <w:r w:rsidRPr="00471447">
        <w:rPr>
          <w:rFonts w:ascii="Times New Roman" w:eastAsia="Cambria" w:hAnsi="Times New Roman" w:cs="Times New Roman"/>
          <w:kern w:val="22"/>
        </w:rPr>
        <w:t xml:space="preserve"> </w:t>
      </w:r>
      <w:r w:rsidR="008F2778" w:rsidRPr="00471447">
        <w:rPr>
          <w:rFonts w:ascii="Times New Roman" w:eastAsia="Cambria" w:hAnsi="Times New Roman" w:cs="Times New Roman"/>
          <w:kern w:val="22"/>
        </w:rPr>
        <w:t>emphasized the importance of</w:t>
      </w:r>
      <w:r w:rsidRPr="00471447">
        <w:rPr>
          <w:rFonts w:ascii="Times New Roman" w:eastAsia="Cambria" w:hAnsi="Times New Roman" w:cs="Times New Roman"/>
          <w:kern w:val="22"/>
        </w:rPr>
        <w:t xml:space="preserve"> develop</w:t>
      </w:r>
      <w:r w:rsidR="008F2778" w:rsidRPr="00471447">
        <w:rPr>
          <w:rFonts w:ascii="Times New Roman" w:eastAsia="Cambria" w:hAnsi="Times New Roman" w:cs="Times New Roman"/>
          <w:kern w:val="22"/>
        </w:rPr>
        <w:t>ing</w:t>
      </w:r>
      <w:r w:rsidRPr="00471447">
        <w:rPr>
          <w:rFonts w:ascii="Times New Roman" w:eastAsia="Cambria" w:hAnsi="Times New Roman" w:cs="Times New Roman"/>
          <w:kern w:val="22"/>
        </w:rPr>
        <w:t xml:space="preserve"> joint communication tools, </w:t>
      </w:r>
      <w:r w:rsidR="009B04CA" w:rsidRPr="00471447">
        <w:rPr>
          <w:rFonts w:ascii="Times New Roman" w:eastAsia="Cambria" w:hAnsi="Times New Roman" w:cs="Times New Roman"/>
          <w:kern w:val="22"/>
        </w:rPr>
        <w:t>including</w:t>
      </w:r>
      <w:r w:rsidRPr="00471447">
        <w:rPr>
          <w:rFonts w:ascii="Times New Roman" w:eastAsia="Cambria" w:hAnsi="Times New Roman" w:cs="Times New Roman"/>
          <w:kern w:val="22"/>
        </w:rPr>
        <w:t xml:space="preserve"> </w:t>
      </w:r>
      <w:r w:rsidR="00C36CAA" w:rsidRPr="00471447">
        <w:rPr>
          <w:rFonts w:ascii="Times New Roman" w:eastAsia="Cambria" w:hAnsi="Times New Roman" w:cs="Times New Roman"/>
          <w:kern w:val="22"/>
        </w:rPr>
        <w:t>a joint presentation on key findings of the State of Knowledge Review</w:t>
      </w:r>
      <w:r w:rsidR="008F2778" w:rsidRPr="00471447">
        <w:rPr>
          <w:rFonts w:ascii="Times New Roman" w:eastAsia="Cambria" w:hAnsi="Times New Roman" w:cs="Times New Roman"/>
          <w:kern w:val="22"/>
        </w:rPr>
        <w:t>, which</w:t>
      </w:r>
      <w:r w:rsidRPr="00471447">
        <w:rPr>
          <w:rFonts w:ascii="Times New Roman" w:eastAsia="Cambria" w:hAnsi="Times New Roman" w:cs="Times New Roman"/>
          <w:kern w:val="22"/>
        </w:rPr>
        <w:t xml:space="preserve"> members of the group could share</w:t>
      </w:r>
      <w:r w:rsidR="00A02A82" w:rsidRPr="00471447">
        <w:rPr>
          <w:rFonts w:ascii="Times New Roman" w:eastAsia="Cambria" w:hAnsi="Times New Roman" w:cs="Times New Roman"/>
          <w:kern w:val="22"/>
        </w:rPr>
        <w:t xml:space="preserve"> to strengthen the </w:t>
      </w:r>
      <w:r w:rsidRPr="00471447">
        <w:rPr>
          <w:rFonts w:ascii="Times New Roman" w:eastAsia="Cambria" w:hAnsi="Times New Roman" w:cs="Times New Roman"/>
          <w:kern w:val="22"/>
        </w:rPr>
        <w:t xml:space="preserve">common </w:t>
      </w:r>
      <w:r w:rsidR="00A02A82" w:rsidRPr="00471447">
        <w:rPr>
          <w:rFonts w:ascii="Times New Roman" w:eastAsia="Cambria" w:hAnsi="Times New Roman" w:cs="Times New Roman"/>
          <w:kern w:val="22"/>
        </w:rPr>
        <w:t xml:space="preserve">narrative </w:t>
      </w:r>
      <w:r w:rsidR="009B04CA" w:rsidRPr="00471447">
        <w:rPr>
          <w:rFonts w:ascii="Times New Roman" w:eastAsia="Cambria" w:hAnsi="Times New Roman" w:cs="Times New Roman"/>
          <w:kern w:val="22"/>
        </w:rPr>
        <w:t>around</w:t>
      </w:r>
      <w:r w:rsidR="00A02A8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biodiversity</w:t>
      </w:r>
      <w:r w:rsidR="00C36CAA" w:rsidRPr="00471447">
        <w:rPr>
          <w:rFonts w:ascii="Times New Roman" w:eastAsia="Cambria" w:hAnsi="Times New Roman" w:cs="Times New Roman"/>
          <w:kern w:val="22"/>
        </w:rPr>
        <w:t xml:space="preserve"> and ill h</w:t>
      </w:r>
      <w:r w:rsidR="00A02A82" w:rsidRPr="00471447">
        <w:rPr>
          <w:rFonts w:ascii="Times New Roman" w:eastAsia="Cambria" w:hAnsi="Times New Roman" w:cs="Times New Roman"/>
          <w:kern w:val="22"/>
        </w:rPr>
        <w:t xml:space="preserve">ealth </w:t>
      </w:r>
      <w:r w:rsidRPr="00471447">
        <w:rPr>
          <w:rFonts w:ascii="Times New Roman" w:eastAsia="Cambria" w:hAnsi="Times New Roman" w:cs="Times New Roman"/>
          <w:kern w:val="22"/>
        </w:rPr>
        <w:t xml:space="preserve">to </w:t>
      </w:r>
      <w:r w:rsidR="009B04CA" w:rsidRPr="00471447">
        <w:rPr>
          <w:rFonts w:ascii="Times New Roman" w:eastAsia="Cambria" w:hAnsi="Times New Roman" w:cs="Times New Roman"/>
          <w:kern w:val="22"/>
        </w:rPr>
        <w:t xml:space="preserve">help </w:t>
      </w:r>
      <w:r w:rsidRPr="00471447">
        <w:rPr>
          <w:rFonts w:ascii="Times New Roman" w:eastAsia="Cambria" w:hAnsi="Times New Roman" w:cs="Times New Roman"/>
          <w:kern w:val="22"/>
        </w:rPr>
        <w:t>raise awareness and</w:t>
      </w:r>
      <w:r w:rsidR="00A02A82" w:rsidRPr="00471447">
        <w:rPr>
          <w:rFonts w:ascii="Times New Roman" w:eastAsia="Cambria" w:hAnsi="Times New Roman" w:cs="Times New Roman"/>
          <w:kern w:val="22"/>
        </w:rPr>
        <w:t xml:space="preserve"> sensitize stakeholders</w:t>
      </w:r>
      <w:r w:rsidR="007D2E5D" w:rsidRPr="00471447">
        <w:rPr>
          <w:rFonts w:ascii="Times New Roman" w:eastAsia="Cambria" w:hAnsi="Times New Roman" w:cs="Times New Roman"/>
          <w:kern w:val="22"/>
        </w:rPr>
        <w:t xml:space="preserve"> </w:t>
      </w:r>
      <w:r w:rsidR="00A74BDE" w:rsidRPr="00471447">
        <w:rPr>
          <w:rFonts w:ascii="Times New Roman" w:eastAsia="Cambria" w:hAnsi="Times New Roman" w:cs="Times New Roman"/>
          <w:kern w:val="22"/>
        </w:rPr>
        <w:t>across</w:t>
      </w:r>
      <w:r w:rsidRPr="00471447">
        <w:rPr>
          <w:rFonts w:ascii="Times New Roman" w:eastAsia="Cambria" w:hAnsi="Times New Roman" w:cs="Times New Roman"/>
          <w:kern w:val="22"/>
        </w:rPr>
        <w:t xml:space="preserve"> </w:t>
      </w:r>
      <w:r w:rsidR="00C36CAA" w:rsidRPr="00471447">
        <w:rPr>
          <w:rFonts w:ascii="Times New Roman" w:eastAsia="Cambria" w:hAnsi="Times New Roman" w:cs="Times New Roman"/>
          <w:kern w:val="22"/>
        </w:rPr>
        <w:t>relevant forums</w:t>
      </w:r>
      <w:r w:rsidR="008F2778" w:rsidRPr="00471447">
        <w:rPr>
          <w:rFonts w:ascii="Times New Roman" w:eastAsia="Cambria" w:hAnsi="Times New Roman" w:cs="Times New Roman"/>
          <w:kern w:val="22"/>
        </w:rPr>
        <w:t xml:space="preserve"> and mobilize the general public</w:t>
      </w:r>
      <w:r w:rsidR="00C36CAA" w:rsidRPr="00471447">
        <w:rPr>
          <w:rFonts w:ascii="Times New Roman" w:eastAsia="Cambria" w:hAnsi="Times New Roman" w:cs="Times New Roman"/>
          <w:kern w:val="22"/>
        </w:rPr>
        <w:t>.</w:t>
      </w:r>
      <w:r w:rsidR="009B04CA" w:rsidRPr="00471447">
        <w:rPr>
          <w:rFonts w:ascii="Times New Roman" w:eastAsia="Cambria" w:hAnsi="Times New Roman" w:cs="Times New Roman"/>
          <w:kern w:val="22"/>
        </w:rPr>
        <w:t xml:space="preserve"> The development of a common narrative with succinct and impactful key messages was identified as a </w:t>
      </w:r>
      <w:r w:rsidR="008F2778" w:rsidRPr="00471447">
        <w:rPr>
          <w:rFonts w:ascii="Times New Roman" w:eastAsia="Cambria" w:hAnsi="Times New Roman" w:cs="Times New Roman"/>
          <w:kern w:val="22"/>
        </w:rPr>
        <w:t xml:space="preserve">very </w:t>
      </w:r>
      <w:r w:rsidR="009B04CA" w:rsidRPr="00471447">
        <w:rPr>
          <w:rFonts w:ascii="Times New Roman" w:eastAsia="Cambria" w:hAnsi="Times New Roman" w:cs="Times New Roman"/>
          <w:kern w:val="22"/>
        </w:rPr>
        <w:t xml:space="preserve">useful starting point that could then be adapted and used by national </w:t>
      </w:r>
      <w:r w:rsidR="00097648">
        <w:rPr>
          <w:rFonts w:ascii="Times New Roman" w:eastAsia="Cambria" w:hAnsi="Times New Roman" w:cs="Times New Roman"/>
          <w:kern w:val="22"/>
        </w:rPr>
        <w:t>G</w:t>
      </w:r>
      <w:r w:rsidR="009B04CA" w:rsidRPr="00471447">
        <w:rPr>
          <w:rFonts w:ascii="Times New Roman" w:eastAsia="Cambria" w:hAnsi="Times New Roman" w:cs="Times New Roman"/>
          <w:kern w:val="22"/>
        </w:rPr>
        <w:t xml:space="preserve">overnments, practitioners and other constituencies </w:t>
      </w:r>
      <w:r w:rsidR="008F2778" w:rsidRPr="00471447">
        <w:rPr>
          <w:rFonts w:ascii="Times New Roman" w:eastAsia="Cambria" w:hAnsi="Times New Roman" w:cs="Times New Roman"/>
          <w:kern w:val="22"/>
        </w:rPr>
        <w:t>across</w:t>
      </w:r>
      <w:r w:rsidR="009B04CA" w:rsidRPr="00471447">
        <w:rPr>
          <w:rFonts w:ascii="Times New Roman" w:eastAsia="Cambria" w:hAnsi="Times New Roman" w:cs="Times New Roman"/>
          <w:kern w:val="22"/>
        </w:rPr>
        <w:t xml:space="preserve"> different sectors. The narrative </w:t>
      </w:r>
      <w:r w:rsidR="00097648">
        <w:rPr>
          <w:rFonts w:ascii="Times New Roman" w:eastAsia="Cambria" w:hAnsi="Times New Roman" w:cs="Times New Roman"/>
          <w:kern w:val="22"/>
        </w:rPr>
        <w:t>would</w:t>
      </w:r>
      <w:r w:rsidR="00097648" w:rsidRPr="00471447">
        <w:rPr>
          <w:rFonts w:ascii="Times New Roman" w:eastAsia="Cambria" w:hAnsi="Times New Roman" w:cs="Times New Roman"/>
          <w:kern w:val="22"/>
        </w:rPr>
        <w:t xml:space="preserve"> </w:t>
      </w:r>
      <w:r w:rsidR="009B04CA" w:rsidRPr="00471447">
        <w:rPr>
          <w:rFonts w:ascii="Times New Roman" w:eastAsia="Cambria" w:hAnsi="Times New Roman" w:cs="Times New Roman"/>
          <w:kern w:val="22"/>
        </w:rPr>
        <w:t xml:space="preserve">help to generate the political change needed for greater focus on primary prevention. </w:t>
      </w:r>
      <w:r w:rsidR="008F2778" w:rsidRPr="00471447">
        <w:rPr>
          <w:rFonts w:ascii="Times New Roman" w:eastAsia="Cambria" w:hAnsi="Times New Roman" w:cs="Times New Roman"/>
          <w:kern w:val="22"/>
        </w:rPr>
        <w:t>Once the communication strategy</w:t>
      </w:r>
      <w:r w:rsidR="009B04CA" w:rsidRPr="00471447">
        <w:rPr>
          <w:rFonts w:ascii="Times New Roman" w:eastAsia="Cambria" w:hAnsi="Times New Roman" w:cs="Times New Roman"/>
          <w:kern w:val="22"/>
        </w:rPr>
        <w:t xml:space="preserve"> in place</w:t>
      </w:r>
      <w:r w:rsidR="008F2778" w:rsidRPr="00471447">
        <w:rPr>
          <w:rFonts w:ascii="Times New Roman" w:eastAsia="Cambria" w:hAnsi="Times New Roman" w:cs="Times New Roman"/>
          <w:kern w:val="22"/>
        </w:rPr>
        <w:t>, focus c</w:t>
      </w:r>
      <w:r w:rsidR="00097648">
        <w:rPr>
          <w:rFonts w:ascii="Times New Roman" w:eastAsia="Cambria" w:hAnsi="Times New Roman" w:cs="Times New Roman"/>
          <w:kern w:val="22"/>
        </w:rPr>
        <w:t>ould</w:t>
      </w:r>
      <w:r w:rsidR="008F2778" w:rsidRPr="00471447">
        <w:rPr>
          <w:rFonts w:ascii="Times New Roman" w:eastAsia="Cambria" w:hAnsi="Times New Roman" w:cs="Times New Roman"/>
          <w:kern w:val="22"/>
        </w:rPr>
        <w:t xml:space="preserve"> then be placed on refining </w:t>
      </w:r>
      <w:r w:rsidR="009B04CA" w:rsidRPr="00471447">
        <w:rPr>
          <w:rFonts w:ascii="Times New Roman" w:eastAsia="Cambria" w:hAnsi="Times New Roman" w:cs="Times New Roman"/>
          <w:kern w:val="22"/>
        </w:rPr>
        <w:t xml:space="preserve">scientific findings and practical tools. </w:t>
      </w:r>
    </w:p>
    <w:p w:rsidR="00C83F6E" w:rsidRPr="00471447" w:rsidRDefault="00CF35B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need to </w:t>
      </w:r>
      <w:r w:rsidR="00072C68" w:rsidRPr="00471447">
        <w:rPr>
          <w:rFonts w:ascii="Times New Roman" w:eastAsia="Cambria" w:hAnsi="Times New Roman" w:cs="Times New Roman"/>
          <w:kern w:val="22"/>
        </w:rPr>
        <w:t>highlight examples</w:t>
      </w:r>
      <w:r w:rsidRPr="00471447">
        <w:rPr>
          <w:rFonts w:ascii="Times New Roman" w:eastAsia="Cambria" w:hAnsi="Times New Roman" w:cs="Times New Roman"/>
          <w:kern w:val="22"/>
        </w:rPr>
        <w:t xml:space="preserve"> that </w:t>
      </w:r>
      <w:r w:rsidR="00097648">
        <w:rPr>
          <w:rFonts w:ascii="Times New Roman" w:eastAsia="Cambria" w:hAnsi="Times New Roman" w:cs="Times New Roman"/>
          <w:kern w:val="22"/>
        </w:rPr>
        <w:t>were</w:t>
      </w:r>
      <w:r w:rsidR="00097648"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provoking </w:t>
      </w:r>
      <w:r w:rsidR="00730379" w:rsidRPr="00471447">
        <w:rPr>
          <w:rFonts w:ascii="Times New Roman" w:eastAsia="Cambria" w:hAnsi="Times New Roman" w:cs="Times New Roman"/>
          <w:kern w:val="22"/>
        </w:rPr>
        <w:t>significant</w:t>
      </w:r>
      <w:r w:rsidRPr="00471447">
        <w:rPr>
          <w:rFonts w:ascii="Times New Roman" w:eastAsia="Cambria" w:hAnsi="Times New Roman" w:cs="Times New Roman"/>
          <w:kern w:val="22"/>
        </w:rPr>
        <w:t xml:space="preserve"> </w:t>
      </w:r>
      <w:r w:rsidR="00C83F6E" w:rsidRPr="00471447">
        <w:rPr>
          <w:rFonts w:ascii="Times New Roman" w:eastAsia="Cambria" w:hAnsi="Times New Roman" w:cs="Times New Roman"/>
          <w:kern w:val="22"/>
        </w:rPr>
        <w:t xml:space="preserve">policy </w:t>
      </w:r>
      <w:r w:rsidRPr="00471447">
        <w:rPr>
          <w:rFonts w:ascii="Times New Roman" w:eastAsia="Cambria" w:hAnsi="Times New Roman" w:cs="Times New Roman"/>
          <w:kern w:val="22"/>
        </w:rPr>
        <w:t xml:space="preserve">changes was </w:t>
      </w:r>
      <w:r w:rsidR="00C36CAA" w:rsidRPr="00471447">
        <w:rPr>
          <w:rFonts w:ascii="Times New Roman" w:eastAsia="Cambria" w:hAnsi="Times New Roman" w:cs="Times New Roman"/>
          <w:kern w:val="22"/>
        </w:rPr>
        <w:t>identified as</w:t>
      </w:r>
      <w:r w:rsidRPr="00471447">
        <w:rPr>
          <w:rFonts w:ascii="Times New Roman" w:eastAsia="Cambria" w:hAnsi="Times New Roman" w:cs="Times New Roman"/>
          <w:kern w:val="22"/>
        </w:rPr>
        <w:t xml:space="preserve"> important. For example, </w:t>
      </w:r>
      <w:r w:rsidR="00097648">
        <w:rPr>
          <w:rFonts w:ascii="Times New Roman" w:eastAsia="Cambria" w:hAnsi="Times New Roman" w:cs="Times New Roman"/>
          <w:kern w:val="22"/>
        </w:rPr>
        <w:t xml:space="preserve">the </w:t>
      </w:r>
      <w:r w:rsidR="00097648" w:rsidRPr="0080566D">
        <w:rPr>
          <w:rFonts w:ascii="Times New Roman" w:eastAsia="Cambria" w:hAnsi="Times New Roman" w:cs="Times New Roman"/>
          <w:kern w:val="22"/>
        </w:rPr>
        <w:t xml:space="preserve">recent decision </w:t>
      </w:r>
      <w:r w:rsidR="00097648">
        <w:rPr>
          <w:rFonts w:ascii="Times New Roman" w:eastAsia="Cambria" w:hAnsi="Times New Roman" w:cs="Times New Roman"/>
          <w:kern w:val="22"/>
        </w:rPr>
        <w:t xml:space="preserve">by </w:t>
      </w:r>
      <w:r w:rsidRPr="00471447">
        <w:rPr>
          <w:rFonts w:ascii="Times New Roman" w:eastAsia="Cambria" w:hAnsi="Times New Roman" w:cs="Times New Roman"/>
          <w:kern w:val="22"/>
        </w:rPr>
        <w:t>China to put a halt to coal fire</w:t>
      </w:r>
      <w:r w:rsidR="00C36CAA" w:rsidRPr="00471447">
        <w:rPr>
          <w:rFonts w:ascii="Times New Roman" w:eastAsia="Cambria" w:hAnsi="Times New Roman" w:cs="Times New Roman"/>
          <w:kern w:val="22"/>
        </w:rPr>
        <w:t>d power plants already garnered</w:t>
      </w:r>
      <w:r w:rsidR="008F2778" w:rsidRPr="00471447">
        <w:rPr>
          <w:rFonts w:ascii="Times New Roman" w:eastAsia="Cambria" w:hAnsi="Times New Roman" w:cs="Times New Roman"/>
          <w:kern w:val="22"/>
        </w:rPr>
        <w:t xml:space="preserve"> tangible</w:t>
      </w:r>
      <w:r w:rsidR="008C4BD3"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results</w:t>
      </w:r>
      <w:r w:rsidR="00C36CAA"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C36CAA" w:rsidRPr="00471447">
        <w:rPr>
          <w:rFonts w:ascii="Times New Roman" w:eastAsia="Cambria" w:hAnsi="Times New Roman" w:cs="Times New Roman"/>
          <w:kern w:val="22"/>
        </w:rPr>
        <w:t xml:space="preserve">even </w:t>
      </w:r>
      <w:r w:rsidRPr="00471447">
        <w:rPr>
          <w:rFonts w:ascii="Times New Roman" w:eastAsia="Cambria" w:hAnsi="Times New Roman" w:cs="Times New Roman"/>
          <w:kern w:val="22"/>
        </w:rPr>
        <w:t xml:space="preserve">in </w:t>
      </w:r>
      <w:r w:rsidR="008C4BD3" w:rsidRPr="00471447">
        <w:rPr>
          <w:rFonts w:ascii="Times New Roman" w:eastAsia="Cambria" w:hAnsi="Times New Roman" w:cs="Times New Roman"/>
          <w:kern w:val="22"/>
        </w:rPr>
        <w:t>a short time</w:t>
      </w:r>
      <w:r w:rsidR="00C36CAA" w:rsidRPr="00471447">
        <w:rPr>
          <w:rFonts w:ascii="Times New Roman" w:eastAsia="Cambria" w:hAnsi="Times New Roman" w:cs="Times New Roman"/>
          <w:kern w:val="22"/>
        </w:rPr>
        <w:t>,</w:t>
      </w:r>
      <w:r w:rsidR="008C4BD3" w:rsidRPr="00471447">
        <w:rPr>
          <w:rFonts w:ascii="Times New Roman" w:eastAsia="Cambria" w:hAnsi="Times New Roman" w:cs="Times New Roman"/>
          <w:kern w:val="22"/>
        </w:rPr>
        <w:t xml:space="preserve"> </w:t>
      </w:r>
      <w:r w:rsidR="00C36CAA" w:rsidRPr="00471447">
        <w:rPr>
          <w:rFonts w:ascii="Times New Roman" w:eastAsia="Cambria" w:hAnsi="Times New Roman" w:cs="Times New Roman"/>
          <w:kern w:val="22"/>
        </w:rPr>
        <w:t xml:space="preserve">both </w:t>
      </w:r>
      <w:r w:rsidR="008C4BD3" w:rsidRPr="00471447">
        <w:rPr>
          <w:rFonts w:ascii="Times New Roman" w:eastAsia="Cambria" w:hAnsi="Times New Roman" w:cs="Times New Roman"/>
          <w:kern w:val="22"/>
        </w:rPr>
        <w:t xml:space="preserve">in terms of </w:t>
      </w:r>
      <w:r w:rsidRPr="00471447">
        <w:rPr>
          <w:rFonts w:ascii="Times New Roman" w:eastAsia="Cambria" w:hAnsi="Times New Roman" w:cs="Times New Roman"/>
          <w:kern w:val="22"/>
        </w:rPr>
        <w:t>public health outcomes</w:t>
      </w:r>
      <w:r w:rsidR="00072C68" w:rsidRPr="00471447">
        <w:rPr>
          <w:rFonts w:ascii="Times New Roman" w:eastAsia="Cambria" w:hAnsi="Times New Roman" w:cs="Times New Roman"/>
          <w:kern w:val="22"/>
        </w:rPr>
        <w:t xml:space="preserve"> and to stabilizing</w:t>
      </w:r>
      <w:r w:rsidR="00C36CAA" w:rsidRPr="00471447">
        <w:rPr>
          <w:rFonts w:ascii="Times New Roman" w:eastAsia="Cambria" w:hAnsi="Times New Roman" w:cs="Times New Roman"/>
          <w:kern w:val="22"/>
        </w:rPr>
        <w:t xml:space="preserve"> emissions</w:t>
      </w:r>
      <w:r w:rsidRPr="00471447">
        <w:rPr>
          <w:rFonts w:ascii="Times New Roman" w:eastAsia="Cambria" w:hAnsi="Times New Roman" w:cs="Times New Roman"/>
          <w:kern w:val="22"/>
        </w:rPr>
        <w:t xml:space="preserve">. The </w:t>
      </w:r>
      <w:r w:rsidR="00CD3820" w:rsidRPr="00471447">
        <w:rPr>
          <w:rFonts w:ascii="Times New Roman" w:eastAsia="Cambria" w:hAnsi="Times New Roman" w:cs="Times New Roman"/>
          <w:kern w:val="22"/>
        </w:rPr>
        <w:t>example was used</w:t>
      </w:r>
      <w:r w:rsidR="00072C68" w:rsidRPr="00471447">
        <w:rPr>
          <w:rFonts w:ascii="Times New Roman" w:eastAsia="Cambria" w:hAnsi="Times New Roman" w:cs="Times New Roman"/>
          <w:kern w:val="22"/>
        </w:rPr>
        <w:t xml:space="preserve"> </w:t>
      </w:r>
      <w:r w:rsidR="00CD3820" w:rsidRPr="00471447">
        <w:rPr>
          <w:rFonts w:ascii="Times New Roman" w:eastAsia="Cambria" w:hAnsi="Times New Roman" w:cs="Times New Roman"/>
          <w:kern w:val="22"/>
        </w:rPr>
        <w:t xml:space="preserve">to </w:t>
      </w:r>
      <w:r w:rsidR="00072C68" w:rsidRPr="00471447">
        <w:rPr>
          <w:rFonts w:ascii="Times New Roman" w:eastAsia="Cambria" w:hAnsi="Times New Roman" w:cs="Times New Roman"/>
          <w:kern w:val="22"/>
        </w:rPr>
        <w:t>demonstrate</w:t>
      </w:r>
      <w:r w:rsidRPr="00471447">
        <w:rPr>
          <w:rFonts w:ascii="Times New Roman" w:eastAsia="Cambria" w:hAnsi="Times New Roman" w:cs="Times New Roman"/>
          <w:kern w:val="22"/>
        </w:rPr>
        <w:t xml:space="preserve"> that </w:t>
      </w:r>
      <w:r w:rsidR="00CD3820" w:rsidRPr="00471447">
        <w:rPr>
          <w:rFonts w:ascii="Times New Roman" w:eastAsia="Cambria" w:hAnsi="Times New Roman" w:cs="Times New Roman"/>
          <w:kern w:val="22"/>
        </w:rPr>
        <w:t>evidence-based</w:t>
      </w:r>
      <w:r w:rsidR="00C83F6E" w:rsidRPr="00471447">
        <w:rPr>
          <w:rFonts w:ascii="Times New Roman" w:eastAsia="Cambria" w:hAnsi="Times New Roman" w:cs="Times New Roman"/>
          <w:kern w:val="22"/>
        </w:rPr>
        <w:t xml:space="preserve"> decision-making provide</w:t>
      </w:r>
      <w:r w:rsidR="00097648">
        <w:rPr>
          <w:rFonts w:ascii="Times New Roman" w:eastAsia="Cambria" w:hAnsi="Times New Roman" w:cs="Times New Roman"/>
          <w:kern w:val="22"/>
        </w:rPr>
        <w:t>d</w:t>
      </w:r>
      <w:r w:rsidR="00CD3820" w:rsidRPr="00471447">
        <w:rPr>
          <w:rFonts w:ascii="Times New Roman" w:eastAsia="Cambria" w:hAnsi="Times New Roman" w:cs="Times New Roman"/>
          <w:kern w:val="22"/>
        </w:rPr>
        <w:t xml:space="preserve"> valuable</w:t>
      </w:r>
      <w:r w:rsidR="00C83F6E" w:rsidRPr="00471447">
        <w:rPr>
          <w:rFonts w:ascii="Times New Roman" w:eastAsia="Cambria" w:hAnsi="Times New Roman" w:cs="Times New Roman"/>
          <w:kern w:val="22"/>
        </w:rPr>
        <w:t xml:space="preserve"> opportunities</w:t>
      </w:r>
      <w:r w:rsidR="00CD3820" w:rsidRPr="00471447">
        <w:rPr>
          <w:rFonts w:ascii="Times New Roman" w:eastAsia="Cambria" w:hAnsi="Times New Roman" w:cs="Times New Roman"/>
          <w:kern w:val="22"/>
        </w:rPr>
        <w:t xml:space="preserve"> to</w:t>
      </w:r>
      <w:r w:rsidR="008C4BD3" w:rsidRPr="00471447">
        <w:rPr>
          <w:rFonts w:ascii="Times New Roman" w:eastAsia="Cambria" w:hAnsi="Times New Roman" w:cs="Times New Roman"/>
          <w:kern w:val="22"/>
        </w:rPr>
        <w:t xml:space="preserve"> raise</w:t>
      </w:r>
      <w:r w:rsidRPr="00471447">
        <w:rPr>
          <w:rFonts w:ascii="Times New Roman" w:eastAsia="Cambria" w:hAnsi="Times New Roman" w:cs="Times New Roman"/>
          <w:kern w:val="22"/>
        </w:rPr>
        <w:t xml:space="preserve"> awareness about</w:t>
      </w:r>
      <w:r w:rsidR="008C4BD3" w:rsidRPr="00471447">
        <w:rPr>
          <w:rFonts w:ascii="Times New Roman" w:eastAsia="Cambria" w:hAnsi="Times New Roman" w:cs="Times New Roman"/>
          <w:kern w:val="22"/>
        </w:rPr>
        <w:t xml:space="preserve"> the benefits</w:t>
      </w:r>
      <w:r w:rsidR="00C83F6E" w:rsidRPr="00471447">
        <w:rPr>
          <w:rFonts w:ascii="Times New Roman" w:eastAsia="Cambria" w:hAnsi="Times New Roman" w:cs="Times New Roman"/>
          <w:kern w:val="22"/>
        </w:rPr>
        <w:t xml:space="preserve"> of</w:t>
      </w:r>
      <w:r w:rsidR="00CD3820" w:rsidRPr="00471447">
        <w:rPr>
          <w:rFonts w:ascii="Times New Roman" w:eastAsia="Cambria" w:hAnsi="Times New Roman" w:cs="Times New Roman"/>
          <w:kern w:val="22"/>
        </w:rPr>
        <w:t xml:space="preserve"> maximizing</w:t>
      </w:r>
      <w:r w:rsidR="008C4BD3" w:rsidRPr="00471447">
        <w:rPr>
          <w:rFonts w:ascii="Times New Roman" w:eastAsia="Cambria" w:hAnsi="Times New Roman" w:cs="Times New Roman"/>
          <w:kern w:val="22"/>
        </w:rPr>
        <w:t xml:space="preserve"> human health </w:t>
      </w:r>
      <w:r w:rsidR="00CD3820" w:rsidRPr="00471447">
        <w:rPr>
          <w:rFonts w:ascii="Times New Roman" w:eastAsia="Cambria" w:hAnsi="Times New Roman" w:cs="Times New Roman"/>
          <w:kern w:val="22"/>
        </w:rPr>
        <w:t xml:space="preserve">and environmental </w:t>
      </w:r>
      <w:r w:rsidR="008C4BD3" w:rsidRPr="00471447">
        <w:rPr>
          <w:rFonts w:ascii="Times New Roman" w:eastAsia="Cambria" w:hAnsi="Times New Roman" w:cs="Times New Roman"/>
          <w:kern w:val="22"/>
        </w:rPr>
        <w:t>outcomes</w:t>
      </w:r>
      <w:r w:rsidR="00CD3820" w:rsidRPr="00471447">
        <w:rPr>
          <w:rFonts w:ascii="Times New Roman" w:eastAsia="Cambria" w:hAnsi="Times New Roman" w:cs="Times New Roman"/>
          <w:kern w:val="22"/>
        </w:rPr>
        <w:t xml:space="preserve"> simultaneously</w:t>
      </w:r>
      <w:r w:rsidR="008C4BD3" w:rsidRPr="00471447">
        <w:rPr>
          <w:rFonts w:ascii="Times New Roman" w:eastAsia="Cambria" w:hAnsi="Times New Roman" w:cs="Times New Roman"/>
          <w:kern w:val="22"/>
        </w:rPr>
        <w:t xml:space="preserve">. </w:t>
      </w:r>
      <w:r w:rsidR="00CD3820" w:rsidRPr="00471447">
        <w:rPr>
          <w:rFonts w:ascii="Times New Roman" w:eastAsia="Cambria" w:hAnsi="Times New Roman" w:cs="Times New Roman"/>
          <w:kern w:val="22"/>
        </w:rPr>
        <w:t xml:space="preserve">It was </w:t>
      </w:r>
      <w:r w:rsidR="00072C68" w:rsidRPr="00471447">
        <w:rPr>
          <w:rFonts w:ascii="Times New Roman" w:eastAsia="Cambria" w:hAnsi="Times New Roman" w:cs="Times New Roman"/>
          <w:kern w:val="22"/>
        </w:rPr>
        <w:t xml:space="preserve">agreed </w:t>
      </w:r>
      <w:r w:rsidR="00CD3820" w:rsidRPr="00471447">
        <w:rPr>
          <w:rFonts w:ascii="Times New Roman" w:eastAsia="Cambria" w:hAnsi="Times New Roman" w:cs="Times New Roman"/>
          <w:kern w:val="22"/>
        </w:rPr>
        <w:t>that</w:t>
      </w:r>
      <w:r w:rsidRPr="00471447">
        <w:rPr>
          <w:rFonts w:ascii="Times New Roman" w:eastAsia="Cambria" w:hAnsi="Times New Roman" w:cs="Times New Roman"/>
          <w:kern w:val="22"/>
        </w:rPr>
        <w:t xml:space="preserve"> </w:t>
      </w:r>
      <w:r w:rsidR="00CD3820" w:rsidRPr="00471447">
        <w:rPr>
          <w:rFonts w:ascii="Times New Roman" w:eastAsia="Cambria" w:hAnsi="Times New Roman" w:cs="Times New Roman"/>
          <w:kern w:val="22"/>
        </w:rPr>
        <w:t xml:space="preserve">simple </w:t>
      </w:r>
      <w:r w:rsidRPr="00471447">
        <w:rPr>
          <w:rFonts w:ascii="Times New Roman" w:eastAsia="Cambria" w:hAnsi="Times New Roman" w:cs="Times New Roman"/>
          <w:kern w:val="22"/>
        </w:rPr>
        <w:t xml:space="preserve">key messages </w:t>
      </w:r>
      <w:r w:rsidR="00CD3820" w:rsidRPr="00471447">
        <w:rPr>
          <w:rFonts w:ascii="Times New Roman" w:eastAsia="Cambria" w:hAnsi="Times New Roman" w:cs="Times New Roman"/>
          <w:kern w:val="22"/>
        </w:rPr>
        <w:t>were needed to jointly</w:t>
      </w:r>
      <w:r w:rsidRPr="00471447">
        <w:rPr>
          <w:rFonts w:ascii="Times New Roman" w:eastAsia="Cambria" w:hAnsi="Times New Roman" w:cs="Times New Roman"/>
          <w:kern w:val="22"/>
        </w:rPr>
        <w:t xml:space="preserve"> garner the attention of policymakers responsible for taking national decisions </w:t>
      </w:r>
      <w:r w:rsidR="00CD3820" w:rsidRPr="00471447">
        <w:rPr>
          <w:rFonts w:ascii="Times New Roman" w:eastAsia="Cambria" w:hAnsi="Times New Roman" w:cs="Times New Roman"/>
          <w:kern w:val="22"/>
        </w:rPr>
        <w:t xml:space="preserve">while also raising awareness among affected </w:t>
      </w:r>
      <w:r w:rsidRPr="00471447">
        <w:rPr>
          <w:rFonts w:ascii="Times New Roman" w:eastAsia="Cambria" w:hAnsi="Times New Roman" w:cs="Times New Roman"/>
          <w:kern w:val="22"/>
        </w:rPr>
        <w:t>communities</w:t>
      </w:r>
      <w:r w:rsidR="00072C68" w:rsidRPr="00471447">
        <w:rPr>
          <w:rFonts w:ascii="Times New Roman" w:eastAsia="Cambria" w:hAnsi="Times New Roman" w:cs="Times New Roman"/>
          <w:kern w:val="22"/>
        </w:rPr>
        <w:t xml:space="preserve">. </w:t>
      </w:r>
    </w:p>
    <w:p w:rsidR="00CF35B9" w:rsidRPr="00471447" w:rsidRDefault="00AB60E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w:t>
      </w:r>
      <w:r w:rsidR="00097648">
        <w:rPr>
          <w:rFonts w:ascii="Times New Roman" w:eastAsia="Cambria" w:hAnsi="Times New Roman" w:cs="Times New Roman"/>
          <w:kern w:val="22"/>
        </w:rPr>
        <w:t>c</w:t>
      </w:r>
      <w:r w:rsidR="00072C68" w:rsidRPr="00471447">
        <w:rPr>
          <w:rFonts w:ascii="Times New Roman" w:eastAsia="Cambria" w:hAnsi="Times New Roman" w:cs="Times New Roman"/>
          <w:kern w:val="22"/>
        </w:rPr>
        <w:t>o-chairs suggested that a</w:t>
      </w:r>
      <w:r w:rsidRPr="00471447">
        <w:rPr>
          <w:rFonts w:ascii="Times New Roman" w:eastAsia="Cambria" w:hAnsi="Times New Roman" w:cs="Times New Roman"/>
          <w:kern w:val="22"/>
        </w:rPr>
        <w:t xml:space="preserve"> short series of messages c</w:t>
      </w:r>
      <w:r w:rsidR="00CD3820" w:rsidRPr="00471447">
        <w:rPr>
          <w:rFonts w:ascii="Times New Roman" w:eastAsia="Cambria" w:hAnsi="Times New Roman" w:cs="Times New Roman"/>
          <w:kern w:val="22"/>
        </w:rPr>
        <w:t>ould be developed</w:t>
      </w:r>
      <w:r w:rsidRPr="00471447">
        <w:rPr>
          <w:rFonts w:ascii="Times New Roman" w:eastAsia="Cambria" w:hAnsi="Times New Roman" w:cs="Times New Roman"/>
          <w:kern w:val="22"/>
        </w:rPr>
        <w:t xml:space="preserve"> by the ILG</w:t>
      </w:r>
      <w:r w:rsidR="00CF35B9" w:rsidRPr="00471447">
        <w:rPr>
          <w:rFonts w:ascii="Times New Roman" w:eastAsia="Cambria" w:hAnsi="Times New Roman" w:cs="Times New Roman"/>
          <w:kern w:val="22"/>
        </w:rPr>
        <w:t xml:space="preserve"> </w:t>
      </w:r>
      <w:r w:rsidR="00CD3820" w:rsidRPr="00471447">
        <w:rPr>
          <w:rFonts w:ascii="Times New Roman" w:eastAsia="Cambria" w:hAnsi="Times New Roman" w:cs="Times New Roman"/>
          <w:kern w:val="22"/>
        </w:rPr>
        <w:t xml:space="preserve">both </w:t>
      </w:r>
      <w:r w:rsidR="00CF35B9" w:rsidRPr="00471447">
        <w:rPr>
          <w:rFonts w:ascii="Times New Roman" w:eastAsia="Cambria" w:hAnsi="Times New Roman" w:cs="Times New Roman"/>
          <w:kern w:val="22"/>
        </w:rPr>
        <w:t>to mobilize political pressure</w:t>
      </w:r>
      <w:r w:rsidR="00CD3820" w:rsidRPr="00471447">
        <w:rPr>
          <w:rFonts w:ascii="Times New Roman" w:eastAsia="Cambria" w:hAnsi="Times New Roman" w:cs="Times New Roman"/>
          <w:kern w:val="22"/>
        </w:rPr>
        <w:t xml:space="preserve"> and to raise and maintain the interest of the broader public</w:t>
      </w:r>
      <w:r w:rsidR="00CF35B9" w:rsidRPr="00471447">
        <w:rPr>
          <w:rFonts w:ascii="Times New Roman" w:eastAsia="Cambria" w:hAnsi="Times New Roman" w:cs="Times New Roman"/>
          <w:kern w:val="22"/>
        </w:rPr>
        <w:t xml:space="preserve">. </w:t>
      </w:r>
      <w:r w:rsidR="00072C68" w:rsidRPr="00471447">
        <w:rPr>
          <w:rFonts w:ascii="Times New Roman" w:eastAsia="Cambria" w:hAnsi="Times New Roman" w:cs="Times New Roman"/>
          <w:kern w:val="22"/>
        </w:rPr>
        <w:t xml:space="preserve">The need to engage with </w:t>
      </w:r>
      <w:r w:rsidR="00CD3820" w:rsidRPr="00471447">
        <w:rPr>
          <w:rFonts w:ascii="Times New Roman" w:eastAsia="Cambria" w:hAnsi="Times New Roman" w:cs="Times New Roman"/>
          <w:kern w:val="22"/>
        </w:rPr>
        <w:t xml:space="preserve">the general public </w:t>
      </w:r>
      <w:r w:rsidRPr="00471447">
        <w:rPr>
          <w:rFonts w:ascii="Times New Roman" w:eastAsia="Cambria" w:hAnsi="Times New Roman" w:cs="Times New Roman"/>
          <w:kern w:val="22"/>
        </w:rPr>
        <w:t>to galvanize political change was noted</w:t>
      </w:r>
      <w:r w:rsidR="00CF35B9" w:rsidRPr="00471447">
        <w:rPr>
          <w:rFonts w:ascii="Times New Roman" w:eastAsia="Cambria" w:hAnsi="Times New Roman" w:cs="Times New Roman"/>
          <w:kern w:val="22"/>
        </w:rPr>
        <w:t xml:space="preserve">. </w:t>
      </w:r>
    </w:p>
    <w:p w:rsidR="00AB60E5" w:rsidRPr="00471447" w:rsidRDefault="00D84E10"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Abrahams (WHO) noted that biodiversity </w:t>
      </w:r>
      <w:r w:rsidR="00097648">
        <w:rPr>
          <w:rFonts w:ascii="Times New Roman" w:eastAsia="Cambria" w:hAnsi="Times New Roman" w:cs="Times New Roman"/>
          <w:kern w:val="22"/>
        </w:rPr>
        <w:t>wa</w:t>
      </w:r>
      <w:r w:rsidRPr="00471447">
        <w:rPr>
          <w:rFonts w:ascii="Times New Roman" w:eastAsia="Cambria" w:hAnsi="Times New Roman" w:cs="Times New Roman"/>
          <w:kern w:val="22"/>
        </w:rPr>
        <w:t xml:space="preserve">s often </w:t>
      </w:r>
      <w:r w:rsidR="00AB60E5" w:rsidRPr="00471447">
        <w:rPr>
          <w:rFonts w:ascii="Times New Roman" w:eastAsia="Cambria" w:hAnsi="Times New Roman" w:cs="Times New Roman"/>
          <w:kern w:val="22"/>
        </w:rPr>
        <w:t>understood as synonymous as</w:t>
      </w:r>
      <w:r w:rsidRPr="00471447">
        <w:rPr>
          <w:rFonts w:ascii="Times New Roman" w:eastAsia="Cambria" w:hAnsi="Times New Roman" w:cs="Times New Roman"/>
          <w:kern w:val="22"/>
        </w:rPr>
        <w:t xml:space="preserve"> species diversity in the public health sector and </w:t>
      </w:r>
      <w:r w:rsidR="00097648">
        <w:rPr>
          <w:rFonts w:ascii="Times New Roman" w:eastAsia="Cambria" w:hAnsi="Times New Roman" w:cs="Times New Roman"/>
          <w:kern w:val="22"/>
        </w:rPr>
        <w:t>wa</w:t>
      </w:r>
      <w:r w:rsidRPr="00471447">
        <w:rPr>
          <w:rFonts w:ascii="Times New Roman" w:eastAsia="Cambria" w:hAnsi="Times New Roman" w:cs="Times New Roman"/>
          <w:kern w:val="22"/>
        </w:rPr>
        <w:t>s both generally poorly understood and infrequently consid</w:t>
      </w:r>
      <w:r w:rsidR="00AB60E5" w:rsidRPr="00471447">
        <w:rPr>
          <w:rFonts w:ascii="Times New Roman" w:eastAsia="Cambria" w:hAnsi="Times New Roman" w:cs="Times New Roman"/>
          <w:kern w:val="22"/>
        </w:rPr>
        <w:t>ered. It was also noted that it would be helpful to identify specific issue areas in which biodiversity could be especially relevant and to link it to other issues considered by the health sector such as climate change and disaster risk.</w:t>
      </w:r>
    </w:p>
    <w:p w:rsidR="00AB60E5" w:rsidRPr="00471447" w:rsidRDefault="00AB60E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Mr. Costello (WHO) also noted that maternal and child health were particularly relevant and provided relatively simple ways of making these connections with SDGs.</w:t>
      </w:r>
    </w:p>
    <w:p w:rsidR="00CA335C" w:rsidRPr="00471447" w:rsidRDefault="00AB60E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agreed that f</w:t>
      </w:r>
      <w:r w:rsidR="00D84E10" w:rsidRPr="00471447">
        <w:rPr>
          <w:rFonts w:ascii="Times New Roman" w:eastAsia="Cambria" w:hAnsi="Times New Roman" w:cs="Times New Roman"/>
          <w:kern w:val="22"/>
        </w:rPr>
        <w:t>ind</w:t>
      </w:r>
      <w:r w:rsidRPr="00471447">
        <w:rPr>
          <w:rFonts w:ascii="Times New Roman" w:eastAsia="Cambria" w:hAnsi="Times New Roman" w:cs="Times New Roman"/>
          <w:kern w:val="22"/>
        </w:rPr>
        <w:t>ing</w:t>
      </w:r>
      <w:r w:rsidR="00D84E10" w:rsidRPr="00471447">
        <w:rPr>
          <w:rFonts w:ascii="Times New Roman" w:eastAsia="Cambria" w:hAnsi="Times New Roman" w:cs="Times New Roman"/>
          <w:kern w:val="22"/>
        </w:rPr>
        <w:t xml:space="preserve"> ways in which to better tailor language to </w:t>
      </w:r>
      <w:r w:rsidRPr="00471447">
        <w:rPr>
          <w:rFonts w:ascii="Times New Roman" w:eastAsia="Cambria" w:hAnsi="Times New Roman" w:cs="Times New Roman"/>
          <w:kern w:val="22"/>
        </w:rPr>
        <w:t xml:space="preserve">the </w:t>
      </w:r>
      <w:r w:rsidR="00D84E10" w:rsidRPr="00471447">
        <w:rPr>
          <w:rFonts w:ascii="Times New Roman" w:eastAsia="Cambria" w:hAnsi="Times New Roman" w:cs="Times New Roman"/>
          <w:kern w:val="22"/>
        </w:rPr>
        <w:t>public health sector</w:t>
      </w:r>
      <w:r w:rsidRPr="00471447">
        <w:rPr>
          <w:rFonts w:ascii="Times New Roman" w:eastAsia="Cambria" w:hAnsi="Times New Roman" w:cs="Times New Roman"/>
          <w:kern w:val="22"/>
        </w:rPr>
        <w:t xml:space="preserve"> and its priorities</w:t>
      </w:r>
      <w:r w:rsidR="00D84E1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was important to the effectiveness of this collaborative work</w:t>
      </w:r>
      <w:r w:rsidR="00D84E10" w:rsidRPr="00471447">
        <w:rPr>
          <w:rFonts w:ascii="Times New Roman" w:eastAsia="Cambria" w:hAnsi="Times New Roman" w:cs="Times New Roman"/>
          <w:kern w:val="22"/>
        </w:rPr>
        <w:t>.</w:t>
      </w:r>
      <w:r w:rsidR="00CA335C" w:rsidRPr="00471447">
        <w:rPr>
          <w:rFonts w:ascii="Times New Roman" w:eastAsia="Cambria" w:hAnsi="Times New Roman" w:cs="Times New Roman"/>
          <w:kern w:val="22"/>
        </w:rPr>
        <w:t xml:space="preserve"> </w:t>
      </w:r>
    </w:p>
    <w:p w:rsidR="001C4D10" w:rsidRPr="00471447" w:rsidRDefault="00072C68"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Several p</w:t>
      </w:r>
      <w:r w:rsidR="001C4D10" w:rsidRPr="00471447">
        <w:rPr>
          <w:rFonts w:ascii="Times New Roman" w:eastAsia="Cambria" w:hAnsi="Times New Roman" w:cs="Times New Roman"/>
          <w:kern w:val="22"/>
        </w:rPr>
        <w:t xml:space="preserve">articipants noted that links </w:t>
      </w:r>
      <w:r w:rsidR="00AB60E5" w:rsidRPr="00471447">
        <w:rPr>
          <w:rFonts w:ascii="Times New Roman" w:eastAsia="Cambria" w:hAnsi="Times New Roman" w:cs="Times New Roman"/>
          <w:kern w:val="22"/>
        </w:rPr>
        <w:t xml:space="preserve">and terminology </w:t>
      </w:r>
      <w:r w:rsidR="00097648">
        <w:rPr>
          <w:rFonts w:ascii="Times New Roman" w:eastAsia="Cambria" w:hAnsi="Times New Roman" w:cs="Times New Roman"/>
          <w:kern w:val="22"/>
        </w:rPr>
        <w:t>were</w:t>
      </w:r>
      <w:r w:rsidR="00097648" w:rsidRPr="00471447">
        <w:rPr>
          <w:rFonts w:ascii="Times New Roman" w:eastAsia="Cambria" w:hAnsi="Times New Roman" w:cs="Times New Roman"/>
          <w:kern w:val="22"/>
        </w:rPr>
        <w:t xml:space="preserve"> </w:t>
      </w:r>
      <w:r w:rsidR="00AB60E5" w:rsidRPr="00471447">
        <w:rPr>
          <w:rFonts w:ascii="Times New Roman" w:eastAsia="Cambria" w:hAnsi="Times New Roman" w:cs="Times New Roman"/>
          <w:kern w:val="22"/>
        </w:rPr>
        <w:t xml:space="preserve">often </w:t>
      </w:r>
      <w:r w:rsidR="001C4D10" w:rsidRPr="00471447">
        <w:rPr>
          <w:rFonts w:ascii="Times New Roman" w:eastAsia="Cambria" w:hAnsi="Times New Roman" w:cs="Times New Roman"/>
          <w:kern w:val="22"/>
        </w:rPr>
        <w:t xml:space="preserve">very complex </w:t>
      </w:r>
      <w:r w:rsidR="00AB60E5" w:rsidRPr="00471447">
        <w:rPr>
          <w:rFonts w:ascii="Times New Roman" w:eastAsia="Cambria" w:hAnsi="Times New Roman" w:cs="Times New Roman"/>
          <w:kern w:val="22"/>
        </w:rPr>
        <w:t>it could be challenging. Participants agreed that it was essential</w:t>
      </w:r>
      <w:r w:rsidR="001C4D10" w:rsidRPr="00471447">
        <w:rPr>
          <w:rFonts w:ascii="Times New Roman" w:eastAsia="Cambria" w:hAnsi="Times New Roman" w:cs="Times New Roman"/>
          <w:kern w:val="22"/>
        </w:rPr>
        <w:t xml:space="preserve"> to tran</w:t>
      </w:r>
      <w:r w:rsidRPr="00471447">
        <w:rPr>
          <w:rFonts w:ascii="Times New Roman" w:eastAsia="Cambria" w:hAnsi="Times New Roman" w:cs="Times New Roman"/>
          <w:kern w:val="22"/>
        </w:rPr>
        <w:t>slate these</w:t>
      </w:r>
      <w:r w:rsidR="001C4D10" w:rsidRPr="00471447">
        <w:rPr>
          <w:rFonts w:ascii="Times New Roman" w:eastAsia="Cambria" w:hAnsi="Times New Roman" w:cs="Times New Roman"/>
          <w:kern w:val="22"/>
        </w:rPr>
        <w:t xml:space="preserve"> as simple messages. Others noted the relevance of </w:t>
      </w:r>
      <w:r w:rsidR="00AB60E5" w:rsidRPr="00471447">
        <w:rPr>
          <w:rFonts w:ascii="Times New Roman" w:eastAsia="Cambria" w:hAnsi="Times New Roman" w:cs="Times New Roman"/>
          <w:kern w:val="22"/>
        </w:rPr>
        <w:t xml:space="preserve">also </w:t>
      </w:r>
      <w:r w:rsidR="001C4D10" w:rsidRPr="00471447">
        <w:rPr>
          <w:rFonts w:ascii="Times New Roman" w:eastAsia="Cambria" w:hAnsi="Times New Roman" w:cs="Times New Roman"/>
          <w:kern w:val="22"/>
        </w:rPr>
        <w:t>developing joint messages that both engaged at the local level and showed the economic benefits of preventive measures.</w:t>
      </w:r>
    </w:p>
    <w:p w:rsidR="009E529F" w:rsidRPr="00471447" w:rsidRDefault="00072C68"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w:t>
      </w:r>
      <w:r w:rsidR="00B8471D" w:rsidRPr="00471447">
        <w:rPr>
          <w:rFonts w:ascii="Times New Roman" w:eastAsia="Cambria" w:hAnsi="Times New Roman" w:cs="Times New Roman"/>
          <w:kern w:val="22"/>
        </w:rPr>
        <w:t xml:space="preserve">Qiyong Liu (China CDC) noted </w:t>
      </w:r>
      <w:r w:rsidR="001C4D10" w:rsidRPr="00471447">
        <w:rPr>
          <w:rFonts w:ascii="Times New Roman" w:eastAsia="Cambria" w:hAnsi="Times New Roman" w:cs="Times New Roman"/>
          <w:kern w:val="22"/>
        </w:rPr>
        <w:t xml:space="preserve">that science communication should also </w:t>
      </w:r>
      <w:r w:rsidR="009E529F" w:rsidRPr="00471447">
        <w:rPr>
          <w:rFonts w:ascii="Times New Roman" w:eastAsia="Cambria" w:hAnsi="Times New Roman" w:cs="Times New Roman"/>
          <w:kern w:val="22"/>
        </w:rPr>
        <w:t>emphasize</w:t>
      </w:r>
      <w:r w:rsidR="001C4D10" w:rsidRPr="00471447">
        <w:rPr>
          <w:rFonts w:ascii="Times New Roman" w:eastAsia="Cambria" w:hAnsi="Times New Roman" w:cs="Times New Roman"/>
          <w:kern w:val="22"/>
        </w:rPr>
        <w:t xml:space="preserve"> the value of risk assessments </w:t>
      </w:r>
      <w:r w:rsidR="007870CB" w:rsidRPr="00471447">
        <w:rPr>
          <w:rFonts w:ascii="Times New Roman" w:eastAsia="Cambria" w:hAnsi="Times New Roman" w:cs="Times New Roman"/>
          <w:kern w:val="22"/>
        </w:rPr>
        <w:t xml:space="preserve">and national level identification of priorities, risks and tools </w:t>
      </w:r>
      <w:r w:rsidR="001C4D10" w:rsidRPr="00471447">
        <w:rPr>
          <w:rFonts w:ascii="Times New Roman" w:eastAsia="Cambria" w:hAnsi="Times New Roman" w:cs="Times New Roman"/>
          <w:kern w:val="22"/>
        </w:rPr>
        <w:t>that ma</w:t>
      </w:r>
      <w:r w:rsidR="00097648">
        <w:rPr>
          <w:rFonts w:ascii="Times New Roman" w:eastAsia="Cambria" w:hAnsi="Times New Roman" w:cs="Times New Roman"/>
          <w:kern w:val="22"/>
        </w:rPr>
        <w:t>de</w:t>
      </w:r>
      <w:r w:rsidR="001C4D10" w:rsidRPr="00471447">
        <w:rPr>
          <w:rFonts w:ascii="Times New Roman" w:eastAsia="Cambria" w:hAnsi="Times New Roman" w:cs="Times New Roman"/>
          <w:kern w:val="22"/>
        </w:rPr>
        <w:t xml:space="preserve"> it possible to </w:t>
      </w:r>
      <w:r w:rsidR="007870CB" w:rsidRPr="00471447">
        <w:rPr>
          <w:rFonts w:ascii="Times New Roman" w:eastAsia="Cambria" w:hAnsi="Times New Roman" w:cs="Times New Roman"/>
          <w:kern w:val="22"/>
        </w:rPr>
        <w:t xml:space="preserve">more effectively </w:t>
      </w:r>
      <w:r w:rsidR="001C4D10" w:rsidRPr="00471447">
        <w:rPr>
          <w:rFonts w:ascii="Times New Roman" w:eastAsia="Cambria" w:hAnsi="Times New Roman" w:cs="Times New Roman"/>
          <w:kern w:val="22"/>
        </w:rPr>
        <w:t>prepare for and minimize health risks resulting from biodiversity loss</w:t>
      </w:r>
      <w:r w:rsidR="009E529F" w:rsidRPr="00471447">
        <w:rPr>
          <w:rFonts w:ascii="Times New Roman" w:eastAsia="Cambria" w:hAnsi="Times New Roman" w:cs="Times New Roman"/>
          <w:kern w:val="22"/>
        </w:rPr>
        <w:t xml:space="preserve">. Others noted that stakeholder analysis </w:t>
      </w:r>
      <w:r w:rsidR="00097648">
        <w:rPr>
          <w:rFonts w:ascii="Times New Roman" w:eastAsia="Cambria" w:hAnsi="Times New Roman" w:cs="Times New Roman"/>
          <w:kern w:val="22"/>
        </w:rPr>
        <w:t>wa</w:t>
      </w:r>
      <w:r w:rsidR="009E529F" w:rsidRPr="00471447">
        <w:rPr>
          <w:rFonts w:ascii="Times New Roman" w:eastAsia="Cambria" w:hAnsi="Times New Roman" w:cs="Times New Roman"/>
          <w:kern w:val="22"/>
        </w:rPr>
        <w:t>s a very important first step to identifying all the relevant stakeholders to engage in the development of tools that enable countries to assess risks.</w:t>
      </w:r>
    </w:p>
    <w:p w:rsidR="00CF35B9" w:rsidRPr="00471447" w:rsidRDefault="009E529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agreed that r</w:t>
      </w:r>
      <w:r w:rsidR="00B8471D" w:rsidRPr="00471447">
        <w:rPr>
          <w:rFonts w:ascii="Times New Roman" w:eastAsia="Cambria" w:hAnsi="Times New Roman" w:cs="Times New Roman"/>
          <w:kern w:val="22"/>
        </w:rPr>
        <w:t>isk assessments constitute</w:t>
      </w:r>
      <w:r w:rsidR="001C4D10" w:rsidRPr="00471447">
        <w:rPr>
          <w:rFonts w:ascii="Times New Roman" w:eastAsia="Cambria" w:hAnsi="Times New Roman" w:cs="Times New Roman"/>
          <w:kern w:val="22"/>
        </w:rPr>
        <w:t xml:space="preserve"> a valuable tool to maximize health benefits associated with ecosystem conservation and restoration</w:t>
      </w:r>
      <w:r w:rsidR="007870CB" w:rsidRPr="00471447">
        <w:rPr>
          <w:rFonts w:ascii="Times New Roman" w:eastAsia="Cambria" w:hAnsi="Times New Roman" w:cs="Times New Roman"/>
          <w:kern w:val="22"/>
        </w:rPr>
        <w:t xml:space="preserve">. </w:t>
      </w:r>
    </w:p>
    <w:p w:rsidR="009E529F" w:rsidRPr="00471447" w:rsidRDefault="00B8471D"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Several p</w:t>
      </w:r>
      <w:r w:rsidR="00730379" w:rsidRPr="00471447">
        <w:rPr>
          <w:rFonts w:ascii="Times New Roman" w:eastAsia="Cambria" w:hAnsi="Times New Roman" w:cs="Times New Roman"/>
          <w:kern w:val="22"/>
        </w:rPr>
        <w:t>articipants also highlight</w:t>
      </w:r>
      <w:r w:rsidR="007870CB" w:rsidRPr="00471447">
        <w:rPr>
          <w:rFonts w:ascii="Times New Roman" w:eastAsia="Cambria" w:hAnsi="Times New Roman" w:cs="Times New Roman"/>
          <w:kern w:val="22"/>
        </w:rPr>
        <w:t>e</w:t>
      </w:r>
      <w:r w:rsidR="00730379" w:rsidRPr="00471447">
        <w:rPr>
          <w:rFonts w:ascii="Times New Roman" w:eastAsia="Cambria" w:hAnsi="Times New Roman" w:cs="Times New Roman"/>
          <w:kern w:val="22"/>
        </w:rPr>
        <w:t xml:space="preserve">d the need to </w:t>
      </w:r>
      <w:r w:rsidRPr="00471447">
        <w:rPr>
          <w:rFonts w:ascii="Times New Roman" w:eastAsia="Cambria" w:hAnsi="Times New Roman" w:cs="Times New Roman"/>
          <w:kern w:val="22"/>
        </w:rPr>
        <w:t>acknowledge</w:t>
      </w:r>
      <w:r w:rsidR="00730379" w:rsidRPr="00471447">
        <w:rPr>
          <w:rFonts w:ascii="Times New Roman" w:eastAsia="Cambria" w:hAnsi="Times New Roman" w:cs="Times New Roman"/>
          <w:kern w:val="22"/>
        </w:rPr>
        <w:t xml:space="preserve"> the significant added value of multidisciplinary</w:t>
      </w:r>
      <w:r w:rsidRPr="00471447">
        <w:rPr>
          <w:rFonts w:ascii="Times New Roman" w:eastAsia="Cambria" w:hAnsi="Times New Roman" w:cs="Times New Roman"/>
          <w:kern w:val="22"/>
        </w:rPr>
        <w:t xml:space="preserve"> and cross-sectoral</w:t>
      </w:r>
      <w:r w:rsidR="00730379" w:rsidRPr="00471447">
        <w:rPr>
          <w:rFonts w:ascii="Times New Roman" w:eastAsia="Cambria" w:hAnsi="Times New Roman" w:cs="Times New Roman"/>
          <w:kern w:val="22"/>
        </w:rPr>
        <w:t xml:space="preserve"> approaches </w:t>
      </w:r>
      <w:r w:rsidRPr="00471447">
        <w:rPr>
          <w:rFonts w:ascii="Times New Roman" w:eastAsia="Cambria" w:hAnsi="Times New Roman" w:cs="Times New Roman"/>
          <w:kern w:val="22"/>
        </w:rPr>
        <w:t>such as One Health which</w:t>
      </w:r>
      <w:r w:rsidR="00730379" w:rsidRPr="00471447">
        <w:rPr>
          <w:rFonts w:ascii="Times New Roman" w:eastAsia="Cambria" w:hAnsi="Times New Roman" w:cs="Times New Roman"/>
          <w:kern w:val="22"/>
        </w:rPr>
        <w:t xml:space="preserve"> provide</w:t>
      </w:r>
      <w:r w:rsidR="001959B1">
        <w:rPr>
          <w:rFonts w:ascii="Times New Roman" w:eastAsia="Cambria" w:hAnsi="Times New Roman" w:cs="Times New Roman"/>
          <w:kern w:val="22"/>
        </w:rPr>
        <w:t>d</w:t>
      </w:r>
      <w:r w:rsidR="00730379" w:rsidRPr="00471447">
        <w:rPr>
          <w:rFonts w:ascii="Times New Roman" w:eastAsia="Cambria" w:hAnsi="Times New Roman" w:cs="Times New Roman"/>
          <w:kern w:val="22"/>
        </w:rPr>
        <w:t xml:space="preserve"> opportunities to </w:t>
      </w:r>
      <w:r w:rsidRPr="00471447">
        <w:rPr>
          <w:rFonts w:ascii="Times New Roman" w:eastAsia="Cambria" w:hAnsi="Times New Roman" w:cs="Times New Roman"/>
          <w:kern w:val="22"/>
        </w:rPr>
        <w:t xml:space="preserve">find common ground, </w:t>
      </w:r>
      <w:r w:rsidR="001959B1" w:rsidRPr="00CD6DBF">
        <w:rPr>
          <w:rFonts w:ascii="Times New Roman" w:eastAsia="Cambria" w:hAnsi="Times New Roman" w:cs="Times New Roman"/>
          <w:kern w:val="22"/>
        </w:rPr>
        <w:t>focus</w:t>
      </w:r>
      <w:r w:rsidR="001959B1">
        <w:rPr>
          <w:rFonts w:ascii="Times New Roman" w:eastAsia="Cambria" w:hAnsi="Times New Roman" w:cs="Times New Roman"/>
          <w:kern w:val="22"/>
        </w:rPr>
        <w:t>ed</w:t>
      </w:r>
      <w:r w:rsidR="00730379" w:rsidRPr="00471447">
        <w:rPr>
          <w:rFonts w:ascii="Times New Roman" w:eastAsia="Cambria" w:hAnsi="Times New Roman" w:cs="Times New Roman"/>
          <w:kern w:val="22"/>
        </w:rPr>
        <w:t xml:space="preserve"> on prevention </w:t>
      </w:r>
      <w:r w:rsidRPr="00471447">
        <w:rPr>
          <w:rFonts w:ascii="Times New Roman" w:eastAsia="Cambria" w:hAnsi="Times New Roman" w:cs="Times New Roman"/>
          <w:kern w:val="22"/>
        </w:rPr>
        <w:t>and</w:t>
      </w:r>
      <w:r w:rsidR="00730379" w:rsidRPr="00471447">
        <w:rPr>
          <w:rFonts w:ascii="Times New Roman" w:eastAsia="Cambria" w:hAnsi="Times New Roman" w:cs="Times New Roman"/>
          <w:kern w:val="22"/>
        </w:rPr>
        <w:t xml:space="preserve"> consider</w:t>
      </w:r>
      <w:r w:rsidR="001959B1">
        <w:rPr>
          <w:rFonts w:ascii="Times New Roman" w:eastAsia="Cambria" w:hAnsi="Times New Roman" w:cs="Times New Roman"/>
          <w:kern w:val="22"/>
        </w:rPr>
        <w:t>ed</w:t>
      </w:r>
      <w:r w:rsidR="00730379" w:rsidRPr="00471447">
        <w:rPr>
          <w:rFonts w:ascii="Times New Roman" w:eastAsia="Cambria" w:hAnsi="Times New Roman" w:cs="Times New Roman"/>
          <w:kern w:val="22"/>
        </w:rPr>
        <w:t xml:space="preserve"> how and why human activi</w:t>
      </w:r>
      <w:r w:rsidRPr="00471447">
        <w:rPr>
          <w:rFonts w:ascii="Times New Roman" w:eastAsia="Cambria" w:hAnsi="Times New Roman" w:cs="Times New Roman"/>
          <w:kern w:val="22"/>
        </w:rPr>
        <w:t xml:space="preserve">ty </w:t>
      </w:r>
      <w:r w:rsidR="001959B1">
        <w:rPr>
          <w:rFonts w:ascii="Times New Roman" w:eastAsia="Cambria" w:hAnsi="Times New Roman" w:cs="Times New Roman"/>
          <w:kern w:val="22"/>
        </w:rPr>
        <w:t>wa</w:t>
      </w:r>
      <w:r w:rsidRPr="00471447">
        <w:rPr>
          <w:rFonts w:ascii="Times New Roman" w:eastAsia="Cambria" w:hAnsi="Times New Roman" w:cs="Times New Roman"/>
          <w:kern w:val="22"/>
        </w:rPr>
        <w:t xml:space="preserve">s causing and driving </w:t>
      </w:r>
      <w:r w:rsidR="00730379" w:rsidRPr="00471447">
        <w:rPr>
          <w:rFonts w:ascii="Times New Roman" w:eastAsia="Cambria" w:hAnsi="Times New Roman" w:cs="Times New Roman"/>
          <w:kern w:val="22"/>
        </w:rPr>
        <w:t>environmental changes, both directly and indirectly.</w:t>
      </w:r>
      <w:r w:rsidRPr="00471447">
        <w:rPr>
          <w:rFonts w:ascii="Times New Roman" w:eastAsia="Cambria" w:hAnsi="Times New Roman" w:cs="Times New Roman"/>
          <w:kern w:val="22"/>
        </w:rPr>
        <w:t xml:space="preserve"> </w:t>
      </w:r>
    </w:p>
    <w:p w:rsidR="00730379" w:rsidRPr="00471447" w:rsidRDefault="009E529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It was also</w:t>
      </w:r>
      <w:r w:rsidR="00B8471D" w:rsidRPr="00471447">
        <w:rPr>
          <w:rFonts w:ascii="Times New Roman" w:eastAsia="Cambria" w:hAnsi="Times New Roman" w:cs="Times New Roman"/>
          <w:kern w:val="22"/>
        </w:rPr>
        <w:t xml:space="preserve"> noted that</w:t>
      </w:r>
      <w:r w:rsidR="007870CB" w:rsidRPr="00471447">
        <w:rPr>
          <w:rFonts w:ascii="Times New Roman" w:eastAsia="Cambria" w:hAnsi="Times New Roman" w:cs="Times New Roman"/>
          <w:kern w:val="22"/>
        </w:rPr>
        <w:t xml:space="preserve"> holistic approaches such as Planetary Health </w:t>
      </w:r>
      <w:r w:rsidR="001959B1">
        <w:rPr>
          <w:rFonts w:ascii="Times New Roman" w:eastAsia="Cambria" w:hAnsi="Times New Roman" w:cs="Times New Roman"/>
          <w:kern w:val="22"/>
        </w:rPr>
        <w:t>sought</w:t>
      </w:r>
      <w:r w:rsidR="001959B1" w:rsidRPr="00471447">
        <w:rPr>
          <w:rFonts w:ascii="Times New Roman" w:eastAsia="Cambria" w:hAnsi="Times New Roman" w:cs="Times New Roman"/>
          <w:kern w:val="22"/>
        </w:rPr>
        <w:t xml:space="preserve"> </w:t>
      </w:r>
      <w:r w:rsidR="00730379" w:rsidRPr="00471447">
        <w:rPr>
          <w:rFonts w:ascii="Times New Roman" w:eastAsia="Cambria" w:hAnsi="Times New Roman" w:cs="Times New Roman"/>
          <w:kern w:val="22"/>
        </w:rPr>
        <w:t xml:space="preserve">to </w:t>
      </w:r>
      <w:r w:rsidR="007870CB" w:rsidRPr="00471447">
        <w:rPr>
          <w:rFonts w:ascii="Times New Roman" w:eastAsia="Cambria" w:hAnsi="Times New Roman" w:cs="Times New Roman"/>
          <w:kern w:val="22"/>
        </w:rPr>
        <w:t xml:space="preserve">identify </w:t>
      </w:r>
      <w:r w:rsidR="00730379" w:rsidRPr="00471447">
        <w:rPr>
          <w:rFonts w:ascii="Times New Roman" w:eastAsia="Cambria" w:hAnsi="Times New Roman" w:cs="Times New Roman"/>
          <w:kern w:val="22"/>
        </w:rPr>
        <w:t xml:space="preserve">the place where the problems </w:t>
      </w:r>
      <w:r w:rsidR="001959B1">
        <w:rPr>
          <w:rFonts w:ascii="Times New Roman" w:eastAsia="Cambria" w:hAnsi="Times New Roman" w:cs="Times New Roman"/>
          <w:kern w:val="22"/>
        </w:rPr>
        <w:t>were</w:t>
      </w:r>
      <w:r w:rsidR="001959B1" w:rsidRPr="00471447">
        <w:rPr>
          <w:rFonts w:ascii="Times New Roman" w:eastAsia="Cambria" w:hAnsi="Times New Roman" w:cs="Times New Roman"/>
          <w:kern w:val="22"/>
        </w:rPr>
        <w:t xml:space="preserve"> </w:t>
      </w:r>
      <w:r w:rsidR="00730379" w:rsidRPr="00471447">
        <w:rPr>
          <w:rFonts w:ascii="Times New Roman" w:eastAsia="Cambria" w:hAnsi="Times New Roman" w:cs="Times New Roman"/>
          <w:kern w:val="22"/>
        </w:rPr>
        <w:t>unfo</w:t>
      </w:r>
      <w:r w:rsidRPr="00471447">
        <w:rPr>
          <w:rFonts w:ascii="Times New Roman" w:eastAsia="Cambria" w:hAnsi="Times New Roman" w:cs="Times New Roman"/>
          <w:kern w:val="22"/>
        </w:rPr>
        <w:t>lding and engaging</w:t>
      </w:r>
      <w:r w:rsidR="00730379" w:rsidRPr="00471447">
        <w:rPr>
          <w:rFonts w:ascii="Times New Roman" w:eastAsia="Cambria" w:hAnsi="Times New Roman" w:cs="Times New Roman"/>
          <w:kern w:val="22"/>
        </w:rPr>
        <w:t xml:space="preserve"> local communities and pract</w:t>
      </w:r>
      <w:r w:rsidR="007870CB" w:rsidRPr="00471447">
        <w:rPr>
          <w:rFonts w:ascii="Times New Roman" w:eastAsia="Cambria" w:hAnsi="Times New Roman" w:cs="Times New Roman"/>
          <w:kern w:val="22"/>
        </w:rPr>
        <w:t>itioners to understand what the scientific</w:t>
      </w:r>
      <w:r w:rsidR="00730379" w:rsidRPr="00471447">
        <w:rPr>
          <w:rFonts w:ascii="Times New Roman" w:eastAsia="Cambria" w:hAnsi="Times New Roman" w:cs="Times New Roman"/>
          <w:kern w:val="22"/>
        </w:rPr>
        <w:t xml:space="preserve"> needs</w:t>
      </w:r>
      <w:r w:rsidR="007870CB" w:rsidRPr="00471447">
        <w:rPr>
          <w:rFonts w:ascii="Times New Roman" w:eastAsia="Cambria" w:hAnsi="Times New Roman" w:cs="Times New Roman"/>
          <w:kern w:val="22"/>
        </w:rPr>
        <w:t xml:space="preserve"> </w:t>
      </w:r>
      <w:r w:rsidR="001959B1">
        <w:rPr>
          <w:rFonts w:ascii="Times New Roman" w:eastAsia="Cambria" w:hAnsi="Times New Roman" w:cs="Times New Roman"/>
          <w:kern w:val="22"/>
        </w:rPr>
        <w:t>were</w:t>
      </w:r>
      <w:r w:rsidR="001959B1" w:rsidRPr="00471447">
        <w:rPr>
          <w:rFonts w:ascii="Times New Roman" w:eastAsia="Cambria" w:hAnsi="Times New Roman" w:cs="Times New Roman"/>
          <w:kern w:val="22"/>
        </w:rPr>
        <w:t xml:space="preserve"> </w:t>
      </w:r>
      <w:r w:rsidR="00730379" w:rsidRPr="00471447">
        <w:rPr>
          <w:rFonts w:ascii="Times New Roman" w:eastAsia="Cambria" w:hAnsi="Times New Roman" w:cs="Times New Roman"/>
          <w:kern w:val="22"/>
        </w:rPr>
        <w:t xml:space="preserve">for policy to </w:t>
      </w:r>
      <w:r w:rsidR="007870CB" w:rsidRPr="00471447">
        <w:rPr>
          <w:rFonts w:ascii="Times New Roman" w:eastAsia="Cambria" w:hAnsi="Times New Roman" w:cs="Times New Roman"/>
          <w:kern w:val="22"/>
        </w:rPr>
        <w:t xml:space="preserve">more effectively </w:t>
      </w:r>
      <w:r w:rsidR="00730379" w:rsidRPr="00471447">
        <w:rPr>
          <w:rFonts w:ascii="Times New Roman" w:eastAsia="Cambria" w:hAnsi="Times New Roman" w:cs="Times New Roman"/>
          <w:kern w:val="22"/>
        </w:rPr>
        <w:t xml:space="preserve">integrate biological change and human health. </w:t>
      </w:r>
    </w:p>
    <w:p w:rsidR="00730379" w:rsidRPr="00471447" w:rsidRDefault="009E529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Participants also agreed on the importance of engaging </w:t>
      </w:r>
      <w:r w:rsidR="007870CB" w:rsidRPr="00471447">
        <w:rPr>
          <w:rFonts w:ascii="Times New Roman" w:eastAsia="Cambria" w:hAnsi="Times New Roman" w:cs="Times New Roman"/>
          <w:kern w:val="22"/>
        </w:rPr>
        <w:t xml:space="preserve">with </w:t>
      </w:r>
      <w:r w:rsidR="00730379" w:rsidRPr="00471447">
        <w:rPr>
          <w:rFonts w:ascii="Times New Roman" w:eastAsia="Cambria" w:hAnsi="Times New Roman" w:cs="Times New Roman"/>
          <w:kern w:val="22"/>
        </w:rPr>
        <w:t xml:space="preserve">business practitioners </w:t>
      </w:r>
      <w:r w:rsidR="007870CB" w:rsidRPr="00471447">
        <w:rPr>
          <w:rFonts w:ascii="Times New Roman" w:eastAsia="Cambria" w:hAnsi="Times New Roman" w:cs="Times New Roman"/>
          <w:kern w:val="22"/>
        </w:rPr>
        <w:t>and</w:t>
      </w:r>
      <w:r w:rsidR="00B8471D" w:rsidRPr="00471447">
        <w:rPr>
          <w:rFonts w:ascii="Times New Roman" w:eastAsia="Cambria" w:hAnsi="Times New Roman" w:cs="Times New Roman"/>
          <w:kern w:val="22"/>
        </w:rPr>
        <w:t xml:space="preserve"> the private sector</w:t>
      </w:r>
      <w:r w:rsidR="007870CB" w:rsidRPr="00471447">
        <w:rPr>
          <w:rFonts w:ascii="Times New Roman" w:eastAsia="Cambria" w:hAnsi="Times New Roman" w:cs="Times New Roman"/>
          <w:kern w:val="22"/>
        </w:rPr>
        <w:t xml:space="preserve"> to</w:t>
      </w:r>
      <w:r w:rsidR="00730379" w:rsidRPr="00471447">
        <w:rPr>
          <w:rFonts w:ascii="Times New Roman" w:eastAsia="Cambria" w:hAnsi="Times New Roman" w:cs="Times New Roman"/>
          <w:kern w:val="22"/>
        </w:rPr>
        <w:t xml:space="preserve"> identify </w:t>
      </w:r>
      <w:r w:rsidR="00B8471D" w:rsidRPr="00471447">
        <w:rPr>
          <w:rFonts w:ascii="Times New Roman" w:eastAsia="Cambria" w:hAnsi="Times New Roman" w:cs="Times New Roman"/>
          <w:kern w:val="22"/>
        </w:rPr>
        <w:t>needs,</w:t>
      </w:r>
      <w:r w:rsidR="00730379" w:rsidRPr="00471447">
        <w:rPr>
          <w:rFonts w:ascii="Times New Roman" w:eastAsia="Cambria" w:hAnsi="Times New Roman" w:cs="Times New Roman"/>
          <w:kern w:val="22"/>
        </w:rPr>
        <w:t xml:space="preserve"> </w:t>
      </w:r>
      <w:r w:rsidR="007870CB" w:rsidRPr="00471447">
        <w:rPr>
          <w:rFonts w:ascii="Times New Roman" w:eastAsia="Cambria" w:hAnsi="Times New Roman" w:cs="Times New Roman"/>
          <w:kern w:val="22"/>
        </w:rPr>
        <w:t>mobilize</w:t>
      </w:r>
      <w:r w:rsidR="00730379" w:rsidRPr="00471447">
        <w:rPr>
          <w:rFonts w:ascii="Times New Roman" w:eastAsia="Cambria" w:hAnsi="Times New Roman" w:cs="Times New Roman"/>
          <w:kern w:val="22"/>
        </w:rPr>
        <w:t xml:space="preserve"> </w:t>
      </w:r>
      <w:r w:rsidR="007870CB" w:rsidRPr="00471447">
        <w:rPr>
          <w:rFonts w:ascii="Times New Roman" w:eastAsia="Cambria" w:hAnsi="Times New Roman" w:cs="Times New Roman"/>
          <w:kern w:val="22"/>
        </w:rPr>
        <w:t xml:space="preserve">financial resources for biodiversity and health and </w:t>
      </w:r>
      <w:r w:rsidR="00730379" w:rsidRPr="00471447">
        <w:rPr>
          <w:rFonts w:ascii="Times New Roman" w:eastAsia="Cambria" w:hAnsi="Times New Roman" w:cs="Times New Roman"/>
          <w:kern w:val="22"/>
        </w:rPr>
        <w:t>to affect ch</w:t>
      </w:r>
      <w:r w:rsidR="007870CB" w:rsidRPr="00471447">
        <w:rPr>
          <w:rFonts w:ascii="Times New Roman" w:eastAsia="Cambria" w:hAnsi="Times New Roman" w:cs="Times New Roman"/>
          <w:kern w:val="22"/>
        </w:rPr>
        <w:t xml:space="preserve">anges in business practice and research and development capacity. </w:t>
      </w:r>
    </w:p>
    <w:p w:rsidR="007D2E5D" w:rsidRPr="00471447" w:rsidRDefault="009E529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importance of both supporting research and developing tools, such as guidance to get impact on the ground to support the implementation of integrated approaches was emphasized. It has taken </w:t>
      </w:r>
      <w:r w:rsidR="00730379" w:rsidRPr="00471447">
        <w:rPr>
          <w:rFonts w:ascii="Times New Roman" w:eastAsia="Cambria" w:hAnsi="Times New Roman" w:cs="Times New Roman"/>
          <w:kern w:val="22"/>
        </w:rPr>
        <w:t xml:space="preserve">a long time </w:t>
      </w:r>
      <w:r w:rsidRPr="00471447">
        <w:rPr>
          <w:rFonts w:ascii="Times New Roman" w:eastAsia="Cambria" w:hAnsi="Times New Roman" w:cs="Times New Roman"/>
          <w:kern w:val="22"/>
        </w:rPr>
        <w:t xml:space="preserve">for the international community </w:t>
      </w:r>
      <w:r w:rsidR="00730379" w:rsidRPr="00471447">
        <w:rPr>
          <w:rFonts w:ascii="Times New Roman" w:eastAsia="Cambria" w:hAnsi="Times New Roman" w:cs="Times New Roman"/>
          <w:kern w:val="22"/>
        </w:rPr>
        <w:t xml:space="preserve">to </w:t>
      </w:r>
      <w:r w:rsidRPr="00471447">
        <w:rPr>
          <w:rFonts w:ascii="Times New Roman" w:eastAsia="Cambria" w:hAnsi="Times New Roman" w:cs="Times New Roman"/>
          <w:kern w:val="22"/>
        </w:rPr>
        <w:t>acknowledge the conceptual relevance of</w:t>
      </w:r>
      <w:r w:rsidR="00303947" w:rsidRPr="00471447">
        <w:rPr>
          <w:rFonts w:ascii="Times New Roman" w:eastAsia="Cambria" w:hAnsi="Times New Roman" w:cs="Times New Roman"/>
          <w:kern w:val="22"/>
        </w:rPr>
        <w:t xml:space="preserve"> One Health and </w:t>
      </w:r>
      <w:r w:rsidRPr="00471447">
        <w:rPr>
          <w:rFonts w:ascii="Times New Roman" w:eastAsia="Cambria" w:hAnsi="Times New Roman" w:cs="Times New Roman"/>
          <w:kern w:val="22"/>
        </w:rPr>
        <w:t xml:space="preserve">now that it </w:t>
      </w:r>
      <w:r w:rsidR="001959B1">
        <w:rPr>
          <w:rFonts w:ascii="Times New Roman" w:eastAsia="Cambria" w:hAnsi="Times New Roman" w:cs="Times New Roman"/>
          <w:kern w:val="22"/>
        </w:rPr>
        <w:t xml:space="preserve">was </w:t>
      </w:r>
      <w:r w:rsidRPr="00471447">
        <w:rPr>
          <w:rFonts w:ascii="Times New Roman" w:eastAsia="Cambria" w:hAnsi="Times New Roman" w:cs="Times New Roman"/>
          <w:kern w:val="22"/>
        </w:rPr>
        <w:t>more widely accepted</w:t>
      </w:r>
      <w:r w:rsidR="0073037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further tools and</w:t>
      </w:r>
      <w:r w:rsidR="009A4F45" w:rsidRPr="00471447">
        <w:rPr>
          <w:rFonts w:ascii="Times New Roman" w:eastAsia="Cambria" w:hAnsi="Times New Roman" w:cs="Times New Roman"/>
          <w:kern w:val="22"/>
        </w:rPr>
        <w:t xml:space="preserve"> know-</w:t>
      </w:r>
      <w:r w:rsidR="00730379" w:rsidRPr="00471447">
        <w:rPr>
          <w:rFonts w:ascii="Times New Roman" w:eastAsia="Cambria" w:hAnsi="Times New Roman" w:cs="Times New Roman"/>
          <w:kern w:val="22"/>
        </w:rPr>
        <w:t xml:space="preserve">how </w:t>
      </w:r>
      <w:r w:rsidR="009A4F45" w:rsidRPr="00471447">
        <w:rPr>
          <w:rFonts w:ascii="Times New Roman" w:eastAsia="Cambria" w:hAnsi="Times New Roman" w:cs="Times New Roman"/>
          <w:kern w:val="22"/>
        </w:rPr>
        <w:t>for th</w:t>
      </w:r>
      <w:r w:rsidRPr="00471447">
        <w:rPr>
          <w:rFonts w:ascii="Times New Roman" w:eastAsia="Cambria" w:hAnsi="Times New Roman" w:cs="Times New Roman"/>
          <w:kern w:val="22"/>
        </w:rPr>
        <w:t xml:space="preserve">eir effective operationalization </w:t>
      </w:r>
      <w:r w:rsidR="001959B1">
        <w:rPr>
          <w:rFonts w:ascii="Times New Roman" w:eastAsia="Cambria" w:hAnsi="Times New Roman" w:cs="Times New Roman"/>
          <w:kern w:val="22"/>
        </w:rPr>
        <w:t>were</w:t>
      </w:r>
      <w:r w:rsidR="001959B1"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needed</w:t>
      </w:r>
      <w:r w:rsidR="00730379" w:rsidRPr="00471447">
        <w:rPr>
          <w:rFonts w:ascii="Times New Roman" w:eastAsia="Cambria" w:hAnsi="Times New Roman" w:cs="Times New Roman"/>
          <w:kern w:val="22"/>
        </w:rPr>
        <w:t xml:space="preserve">. </w:t>
      </w:r>
    </w:p>
    <w:p w:rsidR="00CE5E6B" w:rsidRPr="00471447" w:rsidRDefault="000B451D" w:rsidP="00471447">
      <w:pPr>
        <w:pStyle w:val="HEADINGNOTFORTOC"/>
        <w:spacing w:before="120" w:after="120"/>
        <w:rPr>
          <w:kern w:val="22"/>
          <w:szCs w:val="22"/>
        </w:rPr>
      </w:pPr>
      <w:r w:rsidRPr="00471447">
        <w:rPr>
          <w:kern w:val="22"/>
          <w:szCs w:val="22"/>
        </w:rPr>
        <w:t>ITEM 4</w:t>
      </w:r>
      <w:r w:rsidR="001959B1">
        <w:rPr>
          <w:kern w:val="22"/>
          <w:szCs w:val="22"/>
        </w:rPr>
        <w:t>.</w:t>
      </w:r>
      <w:r w:rsidR="00CE5E6B" w:rsidRPr="00471447">
        <w:rPr>
          <w:kern w:val="22"/>
          <w:szCs w:val="22"/>
        </w:rPr>
        <w:t xml:space="preserve"> </w:t>
      </w:r>
      <w:r w:rsidR="007D2E5D" w:rsidRPr="00471447">
        <w:rPr>
          <w:kern w:val="22"/>
          <w:szCs w:val="22"/>
        </w:rPr>
        <w:t>ROLE OF THE INTERAGENCY LIAISON GROUP</w:t>
      </w:r>
      <w:r w:rsidR="00AE29C1" w:rsidRPr="00471447">
        <w:rPr>
          <w:kern w:val="22"/>
          <w:szCs w:val="22"/>
        </w:rPr>
        <w:t xml:space="preserve"> AND TERMS OF REFERENCE</w:t>
      </w:r>
    </w:p>
    <w:p w:rsidR="00CF35B9" w:rsidRPr="00471447" w:rsidRDefault="000B451D"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David Cooper, CBD co-chair for the Group, expanded on the r</w:t>
      </w:r>
      <w:r w:rsidR="00AF18A9" w:rsidRPr="00471447">
        <w:rPr>
          <w:rFonts w:ascii="Times New Roman" w:eastAsia="Cambria" w:hAnsi="Times New Roman" w:cs="Times New Roman"/>
          <w:kern w:val="22"/>
        </w:rPr>
        <w:t xml:space="preserve">ole of the Liaison Group </w:t>
      </w:r>
      <w:r w:rsidRPr="00471447">
        <w:rPr>
          <w:rFonts w:ascii="Times New Roman" w:eastAsia="Cambria" w:hAnsi="Times New Roman" w:cs="Times New Roman"/>
          <w:kern w:val="22"/>
        </w:rPr>
        <w:t xml:space="preserve">presenting </w:t>
      </w:r>
      <w:r w:rsidR="001959B1">
        <w:rPr>
          <w:rFonts w:ascii="Times New Roman" w:eastAsia="Cambria" w:hAnsi="Times New Roman" w:cs="Times New Roman"/>
          <w:kern w:val="22"/>
        </w:rPr>
        <w:t>its</w:t>
      </w:r>
      <w:r w:rsidR="001959B1" w:rsidRPr="00471447">
        <w:rPr>
          <w:rFonts w:ascii="Times New Roman" w:eastAsia="Cambria" w:hAnsi="Times New Roman" w:cs="Times New Roman"/>
          <w:kern w:val="22"/>
        </w:rPr>
        <w:t xml:space="preserve"> </w:t>
      </w:r>
      <w:r w:rsidR="004806DB">
        <w:rPr>
          <w:rFonts w:ascii="Times New Roman" w:eastAsia="Cambria" w:hAnsi="Times New Roman" w:cs="Times New Roman"/>
          <w:kern w:val="22"/>
        </w:rPr>
        <w:t xml:space="preserve">draft </w:t>
      </w:r>
      <w:r w:rsidR="001959B1">
        <w:rPr>
          <w:rFonts w:ascii="Times New Roman" w:eastAsia="Cambria" w:hAnsi="Times New Roman" w:cs="Times New Roman"/>
          <w:kern w:val="22"/>
        </w:rPr>
        <w:t>t</w:t>
      </w:r>
      <w:r w:rsidR="00AF18A9" w:rsidRPr="00471447">
        <w:rPr>
          <w:rFonts w:ascii="Times New Roman" w:eastAsia="Cambria" w:hAnsi="Times New Roman" w:cs="Times New Roman"/>
          <w:kern w:val="22"/>
        </w:rPr>
        <w:t xml:space="preserve">erms of </w:t>
      </w:r>
      <w:r w:rsidR="001959B1">
        <w:rPr>
          <w:rFonts w:ascii="Times New Roman" w:eastAsia="Cambria" w:hAnsi="Times New Roman" w:cs="Times New Roman"/>
          <w:kern w:val="22"/>
        </w:rPr>
        <w:t>r</w:t>
      </w:r>
      <w:r w:rsidR="00AF18A9" w:rsidRPr="00471447">
        <w:rPr>
          <w:rFonts w:ascii="Times New Roman" w:eastAsia="Cambria" w:hAnsi="Times New Roman" w:cs="Times New Roman"/>
          <w:kern w:val="22"/>
        </w:rPr>
        <w:t xml:space="preserve">eference and </w:t>
      </w:r>
      <w:r w:rsidR="001959B1">
        <w:rPr>
          <w:rFonts w:ascii="Times New Roman" w:eastAsia="Cambria" w:hAnsi="Times New Roman" w:cs="Times New Roman"/>
          <w:kern w:val="22"/>
        </w:rPr>
        <w:t>m</w:t>
      </w:r>
      <w:r w:rsidR="00AF18A9" w:rsidRPr="00471447">
        <w:rPr>
          <w:rFonts w:ascii="Times New Roman" w:eastAsia="Cambria" w:hAnsi="Times New Roman" w:cs="Times New Roman"/>
          <w:kern w:val="22"/>
        </w:rPr>
        <w:t>odu</w:t>
      </w:r>
      <w:r w:rsidRPr="00471447">
        <w:rPr>
          <w:rFonts w:ascii="Times New Roman" w:eastAsia="Cambria" w:hAnsi="Times New Roman" w:cs="Times New Roman"/>
          <w:kern w:val="22"/>
        </w:rPr>
        <w:t xml:space="preserve">s </w:t>
      </w:r>
      <w:r w:rsidR="001959B1">
        <w:rPr>
          <w:rFonts w:ascii="Times New Roman" w:eastAsia="Cambria" w:hAnsi="Times New Roman" w:cs="Times New Roman"/>
          <w:kern w:val="22"/>
        </w:rPr>
        <w:t>o</w:t>
      </w:r>
      <w:r w:rsidRPr="00471447">
        <w:rPr>
          <w:rFonts w:ascii="Times New Roman" w:eastAsia="Cambria" w:hAnsi="Times New Roman" w:cs="Times New Roman"/>
          <w:kern w:val="22"/>
        </w:rPr>
        <w:t>perandi</w:t>
      </w:r>
      <w:r w:rsidR="009E529F" w:rsidRPr="00471447">
        <w:rPr>
          <w:rFonts w:ascii="Times New Roman" w:eastAsia="Cambria" w:hAnsi="Times New Roman" w:cs="Times New Roman"/>
          <w:kern w:val="22"/>
        </w:rPr>
        <w:t>. He further elaborated on t</w:t>
      </w:r>
      <w:r w:rsidRPr="00471447">
        <w:rPr>
          <w:rFonts w:ascii="Times New Roman" w:eastAsia="Cambria" w:hAnsi="Times New Roman" w:cs="Times New Roman"/>
          <w:kern w:val="22"/>
        </w:rPr>
        <w:t xml:space="preserve">he mandates provided by the </w:t>
      </w:r>
      <w:r w:rsidR="001959B1">
        <w:rPr>
          <w:rFonts w:ascii="Times New Roman" w:eastAsia="Cambria" w:hAnsi="Times New Roman" w:cs="Times New Roman"/>
          <w:kern w:val="22"/>
        </w:rPr>
        <w:t>Conference of the Parties</w:t>
      </w:r>
      <w:r w:rsidR="001959B1"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in</w:t>
      </w:r>
      <w:r w:rsidR="00AF18A9" w:rsidRPr="00471447">
        <w:rPr>
          <w:rFonts w:ascii="Times New Roman" w:eastAsia="Cambria" w:hAnsi="Times New Roman" w:cs="Times New Roman"/>
          <w:kern w:val="22"/>
        </w:rPr>
        <w:t xml:space="preserve"> </w:t>
      </w:r>
      <w:r w:rsidR="001959B1">
        <w:rPr>
          <w:rFonts w:ascii="Times New Roman" w:eastAsia="Cambria" w:hAnsi="Times New Roman" w:cs="Times New Roman"/>
          <w:kern w:val="22"/>
        </w:rPr>
        <w:t>d</w:t>
      </w:r>
      <w:r w:rsidR="00AF18A9" w:rsidRPr="00471447">
        <w:rPr>
          <w:rFonts w:ascii="Times New Roman" w:eastAsia="Cambria" w:hAnsi="Times New Roman" w:cs="Times New Roman"/>
          <w:kern w:val="22"/>
        </w:rPr>
        <w:t>ecisions XII/21 and XIII/6</w:t>
      </w:r>
      <w:r w:rsidRPr="00471447">
        <w:rPr>
          <w:rFonts w:ascii="Times New Roman" w:eastAsia="Cambria" w:hAnsi="Times New Roman" w:cs="Times New Roman"/>
          <w:kern w:val="22"/>
        </w:rPr>
        <w:t xml:space="preserve"> and </w:t>
      </w:r>
      <w:r w:rsidR="009E529F" w:rsidRPr="00471447">
        <w:rPr>
          <w:rFonts w:ascii="Times New Roman" w:eastAsia="Cambria" w:hAnsi="Times New Roman" w:cs="Times New Roman"/>
          <w:kern w:val="22"/>
        </w:rPr>
        <w:t xml:space="preserve">encouraged a dynamic </w:t>
      </w:r>
      <w:r w:rsidRPr="00471447">
        <w:rPr>
          <w:rFonts w:ascii="Times New Roman" w:eastAsia="Cambria" w:hAnsi="Times New Roman" w:cs="Times New Roman"/>
          <w:kern w:val="22"/>
        </w:rPr>
        <w:t xml:space="preserve">discussion on </w:t>
      </w:r>
      <w:r w:rsidR="003E5B9E" w:rsidRPr="00471447">
        <w:rPr>
          <w:rFonts w:ascii="Times New Roman" w:eastAsia="Cambria" w:hAnsi="Times New Roman" w:cs="Times New Roman"/>
          <w:kern w:val="22"/>
        </w:rPr>
        <w:t xml:space="preserve">item 4 </w:t>
      </w:r>
      <w:r w:rsidRPr="00471447">
        <w:rPr>
          <w:rFonts w:ascii="Times New Roman" w:eastAsia="Cambria" w:hAnsi="Times New Roman" w:cs="Times New Roman"/>
          <w:kern w:val="22"/>
        </w:rPr>
        <w:t>of the agenda.</w:t>
      </w:r>
    </w:p>
    <w:p w:rsidR="00355C53" w:rsidRPr="00471447" w:rsidRDefault="009E529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P</w:t>
      </w:r>
      <w:r w:rsidR="000B451D" w:rsidRPr="00471447">
        <w:rPr>
          <w:rFonts w:ascii="Times New Roman" w:eastAsia="Cambria" w:hAnsi="Times New Roman" w:cs="Times New Roman"/>
          <w:kern w:val="22"/>
        </w:rPr>
        <w:t xml:space="preserve">articipants </w:t>
      </w:r>
      <w:r w:rsidRPr="00471447">
        <w:rPr>
          <w:rFonts w:ascii="Times New Roman" w:eastAsia="Cambria" w:hAnsi="Times New Roman" w:cs="Times New Roman"/>
          <w:kern w:val="22"/>
        </w:rPr>
        <w:t>discussed</w:t>
      </w:r>
      <w:r w:rsidR="00355C53" w:rsidRPr="00471447">
        <w:rPr>
          <w:rFonts w:ascii="Times New Roman" w:eastAsia="Cambria" w:hAnsi="Times New Roman" w:cs="Times New Roman"/>
          <w:kern w:val="22"/>
        </w:rPr>
        <w:t xml:space="preserve"> the </w:t>
      </w:r>
      <w:r w:rsidR="001959B1">
        <w:rPr>
          <w:rFonts w:ascii="Times New Roman" w:eastAsia="Cambria" w:hAnsi="Times New Roman" w:cs="Times New Roman"/>
          <w:kern w:val="22"/>
        </w:rPr>
        <w:t>t</w:t>
      </w:r>
      <w:r w:rsidR="00355C53" w:rsidRPr="00471447">
        <w:rPr>
          <w:rFonts w:ascii="Times New Roman" w:eastAsia="Cambria" w:hAnsi="Times New Roman" w:cs="Times New Roman"/>
          <w:kern w:val="22"/>
        </w:rPr>
        <w:t xml:space="preserve">erms of </w:t>
      </w:r>
      <w:r w:rsidR="001959B1">
        <w:rPr>
          <w:rFonts w:ascii="Times New Roman" w:eastAsia="Cambria" w:hAnsi="Times New Roman" w:cs="Times New Roman"/>
          <w:kern w:val="22"/>
        </w:rPr>
        <w:t>r</w:t>
      </w:r>
      <w:r w:rsidR="000B451D" w:rsidRPr="00471447">
        <w:rPr>
          <w:rFonts w:ascii="Times New Roman" w:eastAsia="Cambria" w:hAnsi="Times New Roman" w:cs="Times New Roman"/>
          <w:kern w:val="22"/>
        </w:rPr>
        <w:t>eference</w:t>
      </w:r>
      <w:r w:rsidR="00355C53" w:rsidRPr="00471447">
        <w:rPr>
          <w:rFonts w:ascii="Times New Roman" w:eastAsia="Cambria" w:hAnsi="Times New Roman" w:cs="Times New Roman"/>
          <w:kern w:val="22"/>
        </w:rPr>
        <w:t xml:space="preserve"> and </w:t>
      </w:r>
      <w:r w:rsidR="001959B1">
        <w:rPr>
          <w:rFonts w:ascii="Times New Roman" w:eastAsia="Cambria" w:hAnsi="Times New Roman" w:cs="Times New Roman"/>
          <w:kern w:val="22"/>
        </w:rPr>
        <w:t>m</w:t>
      </w:r>
      <w:r w:rsidR="00355C53" w:rsidRPr="00471447">
        <w:rPr>
          <w:rFonts w:ascii="Times New Roman" w:eastAsia="Cambria" w:hAnsi="Times New Roman" w:cs="Times New Roman"/>
          <w:kern w:val="22"/>
        </w:rPr>
        <w:t xml:space="preserve">odus </w:t>
      </w:r>
      <w:r w:rsidR="001959B1">
        <w:rPr>
          <w:rFonts w:ascii="Times New Roman" w:eastAsia="Cambria" w:hAnsi="Times New Roman" w:cs="Times New Roman"/>
          <w:kern w:val="22"/>
        </w:rPr>
        <w:t>o</w:t>
      </w:r>
      <w:r w:rsidR="00355C53" w:rsidRPr="00471447">
        <w:rPr>
          <w:rFonts w:ascii="Times New Roman" w:eastAsia="Cambria" w:hAnsi="Times New Roman" w:cs="Times New Roman"/>
          <w:kern w:val="22"/>
        </w:rPr>
        <w:t>perandi</w:t>
      </w:r>
      <w:r w:rsidR="000B451D" w:rsidRPr="00471447">
        <w:rPr>
          <w:rFonts w:ascii="Times New Roman" w:eastAsia="Cambria" w:hAnsi="Times New Roman" w:cs="Times New Roman"/>
          <w:kern w:val="22"/>
        </w:rPr>
        <w:t xml:space="preserve">. </w:t>
      </w:r>
      <w:r w:rsidR="00AE29C1" w:rsidRPr="00471447">
        <w:rPr>
          <w:rFonts w:ascii="Times New Roman" w:eastAsia="Cambria" w:hAnsi="Times New Roman" w:cs="Times New Roman"/>
          <w:kern w:val="22"/>
        </w:rPr>
        <w:t xml:space="preserve">The group agreed </w:t>
      </w:r>
      <w:r w:rsidRPr="00471447">
        <w:rPr>
          <w:rFonts w:ascii="Times New Roman" w:eastAsia="Cambria" w:hAnsi="Times New Roman" w:cs="Times New Roman"/>
          <w:kern w:val="22"/>
        </w:rPr>
        <w:t xml:space="preserve">on </w:t>
      </w:r>
      <w:r w:rsidR="00AE29C1" w:rsidRPr="00471447">
        <w:rPr>
          <w:rFonts w:ascii="Times New Roman" w:eastAsia="Cambria" w:hAnsi="Times New Roman" w:cs="Times New Roman"/>
          <w:kern w:val="22"/>
        </w:rPr>
        <w:t xml:space="preserve">the </w:t>
      </w:r>
      <w:r w:rsidR="00355C53" w:rsidRPr="00471447">
        <w:rPr>
          <w:rFonts w:ascii="Times New Roman" w:eastAsia="Cambria" w:hAnsi="Times New Roman" w:cs="Times New Roman"/>
          <w:kern w:val="22"/>
        </w:rPr>
        <w:t xml:space="preserve">core </w:t>
      </w:r>
      <w:r w:rsidR="00AE29C1" w:rsidRPr="00471447">
        <w:rPr>
          <w:rFonts w:ascii="Times New Roman" w:eastAsia="Cambria" w:hAnsi="Times New Roman" w:cs="Times New Roman"/>
          <w:kern w:val="22"/>
        </w:rPr>
        <w:t xml:space="preserve">objectives and </w:t>
      </w:r>
      <w:r w:rsidR="00355C53" w:rsidRPr="00471447">
        <w:rPr>
          <w:rFonts w:ascii="Times New Roman" w:eastAsia="Cambria" w:hAnsi="Times New Roman" w:cs="Times New Roman"/>
          <w:kern w:val="22"/>
        </w:rPr>
        <w:t>components of the document. The group</w:t>
      </w:r>
      <w:r w:rsidR="00351CDF" w:rsidRPr="00471447">
        <w:rPr>
          <w:rFonts w:ascii="Times New Roman" w:eastAsia="Cambria" w:hAnsi="Times New Roman" w:cs="Times New Roman"/>
          <w:kern w:val="22"/>
        </w:rPr>
        <w:t xml:space="preserve"> also</w:t>
      </w:r>
      <w:r w:rsidR="00AE29C1" w:rsidRPr="00471447">
        <w:rPr>
          <w:rFonts w:ascii="Times New Roman" w:eastAsia="Cambria" w:hAnsi="Times New Roman" w:cs="Times New Roman"/>
          <w:kern w:val="22"/>
        </w:rPr>
        <w:t xml:space="preserve"> discussed potential expansion of core membership to a select number of additional </w:t>
      </w:r>
      <w:r w:rsidR="00351CDF" w:rsidRPr="00471447">
        <w:rPr>
          <w:rFonts w:ascii="Times New Roman" w:eastAsia="Cambria" w:hAnsi="Times New Roman" w:cs="Times New Roman"/>
          <w:kern w:val="22"/>
        </w:rPr>
        <w:t>international institutions (</w:t>
      </w:r>
      <w:r w:rsidR="00F90E19" w:rsidRPr="00471447">
        <w:rPr>
          <w:rFonts w:ascii="Times New Roman" w:eastAsia="Cambria" w:hAnsi="Times New Roman" w:cs="Times New Roman"/>
          <w:kern w:val="22"/>
        </w:rPr>
        <w:t>e.g.</w:t>
      </w:r>
      <w:r w:rsidR="00351CDF" w:rsidRPr="00471447">
        <w:rPr>
          <w:rFonts w:ascii="Times New Roman" w:eastAsia="Cambria" w:hAnsi="Times New Roman" w:cs="Times New Roman"/>
          <w:kern w:val="22"/>
        </w:rPr>
        <w:t xml:space="preserve"> CITES, </w:t>
      </w:r>
      <w:r w:rsidR="00F90E19" w:rsidRPr="00471447">
        <w:rPr>
          <w:rFonts w:ascii="Times New Roman" w:eastAsia="Cambria" w:hAnsi="Times New Roman" w:cs="Times New Roman"/>
          <w:kern w:val="22"/>
        </w:rPr>
        <w:t xml:space="preserve">the </w:t>
      </w:r>
      <w:r w:rsidR="00351CDF" w:rsidRPr="00471447">
        <w:rPr>
          <w:rFonts w:ascii="Times New Roman" w:eastAsia="Cambria" w:hAnsi="Times New Roman" w:cs="Times New Roman"/>
          <w:kern w:val="22"/>
        </w:rPr>
        <w:t>C</w:t>
      </w:r>
      <w:r w:rsidR="00F90E19" w:rsidRPr="00471447">
        <w:rPr>
          <w:rFonts w:ascii="Times New Roman" w:eastAsia="Cambria" w:hAnsi="Times New Roman" w:cs="Times New Roman"/>
          <w:kern w:val="22"/>
        </w:rPr>
        <w:t>onvention on Migratory Species (C</w:t>
      </w:r>
      <w:r w:rsidR="00351CDF" w:rsidRPr="00471447">
        <w:rPr>
          <w:rFonts w:ascii="Times New Roman" w:eastAsia="Cambria" w:hAnsi="Times New Roman" w:cs="Times New Roman"/>
          <w:kern w:val="22"/>
        </w:rPr>
        <w:t>MS</w:t>
      </w:r>
      <w:r w:rsidR="00F90E19" w:rsidRPr="00471447">
        <w:rPr>
          <w:rFonts w:ascii="Times New Roman" w:eastAsia="Cambria" w:hAnsi="Times New Roman" w:cs="Times New Roman"/>
          <w:kern w:val="22"/>
        </w:rPr>
        <w:t>)</w:t>
      </w:r>
      <w:r w:rsidR="00351CDF" w:rsidRPr="00471447">
        <w:rPr>
          <w:rFonts w:ascii="Times New Roman" w:eastAsia="Cambria" w:hAnsi="Times New Roman" w:cs="Times New Roman"/>
          <w:kern w:val="22"/>
        </w:rPr>
        <w:t xml:space="preserve">, </w:t>
      </w:r>
      <w:r w:rsidR="00F90E19" w:rsidRPr="00471447">
        <w:rPr>
          <w:rFonts w:ascii="Times New Roman" w:eastAsia="Cambria" w:hAnsi="Times New Roman" w:cs="Times New Roman"/>
          <w:kern w:val="22"/>
        </w:rPr>
        <w:t xml:space="preserve">UN-Habitat, </w:t>
      </w:r>
      <w:r w:rsidR="00351CDF" w:rsidRPr="00471447">
        <w:rPr>
          <w:rFonts w:ascii="Times New Roman" w:eastAsia="Cambria" w:hAnsi="Times New Roman" w:cs="Times New Roman"/>
          <w:kern w:val="22"/>
        </w:rPr>
        <w:t>UNESCO</w:t>
      </w:r>
      <w:r w:rsidR="008B683C" w:rsidRPr="00471447">
        <w:rPr>
          <w:rFonts w:ascii="Times New Roman" w:eastAsia="Cambria" w:hAnsi="Times New Roman" w:cs="Times New Roman"/>
          <w:kern w:val="22"/>
        </w:rPr>
        <w:t>, ICLEI</w:t>
      </w:r>
      <w:r w:rsidR="00351CDF" w:rsidRPr="00471447">
        <w:rPr>
          <w:rFonts w:ascii="Times New Roman" w:eastAsia="Cambria" w:hAnsi="Times New Roman" w:cs="Times New Roman"/>
          <w:kern w:val="22"/>
        </w:rPr>
        <w:t xml:space="preserve"> </w:t>
      </w:r>
      <w:r w:rsidR="00355C53" w:rsidRPr="00471447">
        <w:rPr>
          <w:rFonts w:ascii="Times New Roman" w:eastAsia="Cambria" w:hAnsi="Times New Roman" w:cs="Times New Roman"/>
          <w:kern w:val="22"/>
        </w:rPr>
        <w:t>or</w:t>
      </w:r>
      <w:r w:rsidR="00351CDF" w:rsidRPr="00471447">
        <w:rPr>
          <w:rFonts w:ascii="Times New Roman" w:eastAsia="Cambria" w:hAnsi="Times New Roman" w:cs="Times New Roman"/>
          <w:kern w:val="22"/>
        </w:rPr>
        <w:t xml:space="preserve"> GEO-BON)</w:t>
      </w:r>
      <w:r w:rsidR="00AE29C1" w:rsidRPr="00471447">
        <w:rPr>
          <w:rFonts w:ascii="Times New Roman" w:eastAsia="Cambria" w:hAnsi="Times New Roman" w:cs="Times New Roman"/>
          <w:kern w:val="22"/>
        </w:rPr>
        <w:t xml:space="preserve"> </w:t>
      </w:r>
      <w:r w:rsidR="00355C53" w:rsidRPr="00471447">
        <w:rPr>
          <w:rFonts w:ascii="Times New Roman" w:eastAsia="Cambria" w:hAnsi="Times New Roman" w:cs="Times New Roman"/>
          <w:kern w:val="22"/>
        </w:rPr>
        <w:t>but acknowledged the need not to cast the net too wide, to ensure discussions</w:t>
      </w:r>
      <w:r w:rsidR="00AE29C1" w:rsidRPr="00471447">
        <w:rPr>
          <w:rFonts w:ascii="Times New Roman" w:eastAsia="Cambria" w:hAnsi="Times New Roman" w:cs="Times New Roman"/>
          <w:kern w:val="22"/>
        </w:rPr>
        <w:t xml:space="preserve"> remain manageable. </w:t>
      </w:r>
      <w:r w:rsidR="00351CDF" w:rsidRPr="00471447">
        <w:rPr>
          <w:rFonts w:ascii="Times New Roman" w:eastAsia="Cambria" w:hAnsi="Times New Roman" w:cs="Times New Roman"/>
          <w:kern w:val="22"/>
        </w:rPr>
        <w:t>It was emphasized that core membership, particularly in the early stages, should s</w:t>
      </w:r>
      <w:r w:rsidR="00355C53" w:rsidRPr="00471447">
        <w:rPr>
          <w:rFonts w:ascii="Times New Roman" w:eastAsia="Cambria" w:hAnsi="Times New Roman" w:cs="Times New Roman"/>
          <w:kern w:val="22"/>
        </w:rPr>
        <w:t>trive</w:t>
      </w:r>
      <w:r w:rsidR="00351CDF" w:rsidRPr="00471447">
        <w:rPr>
          <w:rFonts w:ascii="Times New Roman" w:eastAsia="Cambria" w:hAnsi="Times New Roman" w:cs="Times New Roman"/>
          <w:kern w:val="22"/>
        </w:rPr>
        <w:t xml:space="preserve"> to remain a manageable size</w:t>
      </w:r>
      <w:r w:rsidR="00355C53" w:rsidRPr="00471447">
        <w:rPr>
          <w:rFonts w:ascii="Times New Roman" w:eastAsia="Cambria" w:hAnsi="Times New Roman" w:cs="Times New Roman"/>
          <w:kern w:val="22"/>
        </w:rPr>
        <w:t xml:space="preserve">. </w:t>
      </w:r>
    </w:p>
    <w:p w:rsidR="0061487C" w:rsidRDefault="00355C53"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agreed that</w:t>
      </w:r>
      <w:r w:rsidR="00351CDF" w:rsidRPr="00471447">
        <w:rPr>
          <w:rFonts w:ascii="Times New Roman" w:eastAsia="Cambria" w:hAnsi="Times New Roman" w:cs="Times New Roman"/>
          <w:kern w:val="22"/>
        </w:rPr>
        <w:t xml:space="preserve"> </w:t>
      </w:r>
      <w:r w:rsidR="00AE29C1" w:rsidRPr="00471447">
        <w:rPr>
          <w:rFonts w:ascii="Times New Roman" w:eastAsia="Cambria" w:hAnsi="Times New Roman" w:cs="Times New Roman"/>
          <w:kern w:val="22"/>
        </w:rPr>
        <w:t>additional expert observers</w:t>
      </w:r>
      <w:r w:rsidRPr="00471447">
        <w:rPr>
          <w:rFonts w:ascii="Times New Roman" w:eastAsia="Cambria" w:hAnsi="Times New Roman" w:cs="Times New Roman"/>
          <w:kern w:val="22"/>
        </w:rPr>
        <w:t xml:space="preserve"> could be </w:t>
      </w:r>
      <w:r w:rsidR="00351CDF" w:rsidRPr="00471447">
        <w:rPr>
          <w:rFonts w:ascii="Times New Roman" w:eastAsia="Cambria" w:hAnsi="Times New Roman" w:cs="Times New Roman"/>
          <w:kern w:val="22"/>
        </w:rPr>
        <w:t>invited</w:t>
      </w:r>
      <w:r w:rsidR="00AE29C1" w:rsidRPr="00471447">
        <w:rPr>
          <w:rFonts w:ascii="Times New Roman" w:eastAsia="Cambria" w:hAnsi="Times New Roman" w:cs="Times New Roman"/>
          <w:kern w:val="22"/>
        </w:rPr>
        <w:t xml:space="preserve">, on an ad hoc basis, </w:t>
      </w:r>
      <w:r w:rsidR="00351CDF" w:rsidRPr="00471447">
        <w:rPr>
          <w:rFonts w:ascii="Times New Roman" w:eastAsia="Cambria" w:hAnsi="Times New Roman" w:cs="Times New Roman"/>
          <w:kern w:val="22"/>
        </w:rPr>
        <w:t>in line with</w:t>
      </w:r>
      <w:r w:rsidR="00AE29C1" w:rsidRPr="00471447">
        <w:rPr>
          <w:rFonts w:ascii="Times New Roman" w:eastAsia="Cambria" w:hAnsi="Times New Roman" w:cs="Times New Roman"/>
          <w:kern w:val="22"/>
        </w:rPr>
        <w:t xml:space="preserve"> the specific issues areas and mandates under discussion in future meetings. </w:t>
      </w:r>
      <w:r w:rsidR="00F90E19" w:rsidRPr="00471447">
        <w:rPr>
          <w:rFonts w:ascii="Times New Roman" w:eastAsia="Cambria" w:hAnsi="Times New Roman" w:cs="Times New Roman"/>
          <w:kern w:val="22"/>
        </w:rPr>
        <w:t xml:space="preserve">It was further agreed that efforts should be made for future meetings of the ILG to ensure </w:t>
      </w:r>
      <w:r w:rsidRPr="00471447">
        <w:rPr>
          <w:rFonts w:ascii="Times New Roman" w:eastAsia="Cambria" w:hAnsi="Times New Roman" w:cs="Times New Roman"/>
          <w:kern w:val="22"/>
        </w:rPr>
        <w:t>greater regional representation</w:t>
      </w:r>
      <w:r w:rsidR="00A058B1"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p>
    <w:p w:rsidR="009B04CA" w:rsidRPr="00471447" w:rsidRDefault="0061487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9C20A3">
        <w:rPr>
          <w:rFonts w:ascii="Times New Roman" w:eastAsia="Cambria" w:hAnsi="Times New Roman" w:cs="Times New Roman"/>
          <w:kern w:val="22"/>
        </w:rPr>
        <w:t>A suggestion was made to exclude the word “human” from the title of the ILG to make it more inclusive. The group agreed to not to include the word “human” in the title of the ILG with the understanding that the scope of the ILG is the one outlined in the State of Knowledge Review, which is aligned with decision XIII/6 and the MOU with WHO. As such, it is more closely centered around human health.</w:t>
      </w:r>
    </w:p>
    <w:p w:rsidR="00CF35B9" w:rsidRPr="00471447" w:rsidRDefault="00CF35B9" w:rsidP="00471447">
      <w:pPr>
        <w:pStyle w:val="HEADINGNOTFORTOC"/>
        <w:spacing w:before="120" w:after="120"/>
        <w:ind w:left="1890" w:hanging="990"/>
        <w:jc w:val="left"/>
        <w:rPr>
          <w:kern w:val="22"/>
          <w:szCs w:val="22"/>
        </w:rPr>
      </w:pPr>
      <w:r w:rsidRPr="00471447">
        <w:rPr>
          <w:kern w:val="22"/>
          <w:szCs w:val="22"/>
        </w:rPr>
        <w:t>ITEM 5</w:t>
      </w:r>
      <w:r w:rsidR="001959B1">
        <w:rPr>
          <w:kern w:val="22"/>
          <w:szCs w:val="22"/>
        </w:rPr>
        <w:t>.</w:t>
      </w:r>
      <w:r w:rsidRPr="00471447">
        <w:rPr>
          <w:kern w:val="22"/>
          <w:szCs w:val="22"/>
        </w:rPr>
        <w:t xml:space="preserve"> </w:t>
      </w:r>
      <w:r w:rsidR="000B629E" w:rsidRPr="00471447">
        <w:rPr>
          <w:kern w:val="22"/>
          <w:szCs w:val="22"/>
        </w:rPr>
        <w:t>PRESENTATIONS BY CORE MEMBERS AND POTENTIAL AREAS OF COLLABORATION</w:t>
      </w:r>
    </w:p>
    <w:p w:rsidR="008C21A9" w:rsidRPr="00471447" w:rsidRDefault="00355C53"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C</w:t>
      </w:r>
      <w:r w:rsidR="00F90E19" w:rsidRPr="00471447">
        <w:rPr>
          <w:rFonts w:ascii="Times New Roman" w:eastAsia="Cambria" w:hAnsi="Times New Roman" w:cs="Times New Roman"/>
          <w:kern w:val="22"/>
        </w:rPr>
        <w:t>ore m</w:t>
      </w:r>
      <w:r w:rsidR="00CF35B9" w:rsidRPr="00471447">
        <w:rPr>
          <w:rFonts w:ascii="Times New Roman" w:eastAsia="Cambria" w:hAnsi="Times New Roman" w:cs="Times New Roman"/>
          <w:kern w:val="22"/>
        </w:rPr>
        <w:t xml:space="preserve">embers </w:t>
      </w:r>
      <w:r w:rsidR="00F90E19" w:rsidRPr="00471447">
        <w:rPr>
          <w:rFonts w:ascii="Times New Roman" w:eastAsia="Cambria" w:hAnsi="Times New Roman" w:cs="Times New Roman"/>
          <w:kern w:val="22"/>
        </w:rPr>
        <w:t xml:space="preserve">of the ILG </w:t>
      </w:r>
      <w:r w:rsidR="00CF35B9" w:rsidRPr="00471447">
        <w:rPr>
          <w:rFonts w:ascii="Times New Roman" w:eastAsia="Cambria" w:hAnsi="Times New Roman" w:cs="Times New Roman"/>
          <w:kern w:val="22"/>
        </w:rPr>
        <w:t>were invited to</w:t>
      </w:r>
      <w:r w:rsidRPr="00471447">
        <w:rPr>
          <w:rFonts w:ascii="Times New Roman" w:eastAsia="Cambria" w:hAnsi="Times New Roman" w:cs="Times New Roman"/>
          <w:kern w:val="22"/>
        </w:rPr>
        <w:t xml:space="preserve"> i</w:t>
      </w:r>
      <w:r w:rsidR="00AF18A9" w:rsidRPr="00471447">
        <w:rPr>
          <w:rFonts w:ascii="Times New Roman" w:eastAsia="Cambria" w:hAnsi="Times New Roman" w:cs="Times New Roman"/>
          <w:kern w:val="22"/>
        </w:rPr>
        <w:t>ntroduc</w:t>
      </w:r>
      <w:r w:rsidR="00CF35B9" w:rsidRPr="00471447">
        <w:rPr>
          <w:rFonts w:ascii="Times New Roman" w:eastAsia="Cambria" w:hAnsi="Times New Roman" w:cs="Times New Roman"/>
          <w:kern w:val="22"/>
        </w:rPr>
        <w:t>e</w:t>
      </w:r>
      <w:r w:rsidR="00AF18A9" w:rsidRPr="00471447">
        <w:rPr>
          <w:rFonts w:ascii="Times New Roman" w:eastAsia="Cambria" w:hAnsi="Times New Roman" w:cs="Times New Roman"/>
          <w:kern w:val="22"/>
        </w:rPr>
        <w:t xml:space="preserve"> key</w:t>
      </w:r>
      <w:r w:rsidR="00CF35B9" w:rsidRPr="00471447">
        <w:rPr>
          <w:rFonts w:ascii="Times New Roman" w:eastAsia="Cambria" w:hAnsi="Times New Roman" w:cs="Times New Roman"/>
          <w:kern w:val="22"/>
        </w:rPr>
        <w:t xml:space="preserve"> relevant</w:t>
      </w:r>
      <w:r w:rsidR="00AF18A9" w:rsidRPr="00471447">
        <w:rPr>
          <w:rFonts w:ascii="Times New Roman" w:eastAsia="Cambria" w:hAnsi="Times New Roman" w:cs="Times New Roman"/>
          <w:kern w:val="22"/>
        </w:rPr>
        <w:t xml:space="preserve"> activities within their organizations and potential areas of collaboration with the ILG</w:t>
      </w:r>
      <w:r w:rsidR="009B04CA" w:rsidRPr="00471447">
        <w:rPr>
          <w:rFonts w:ascii="Times New Roman" w:eastAsia="Cambria" w:hAnsi="Times New Roman" w:cs="Times New Roman"/>
          <w:kern w:val="22"/>
        </w:rPr>
        <w:t xml:space="preserve">. Presentations by </w:t>
      </w:r>
      <w:r w:rsidR="008C21A9" w:rsidRPr="00471447">
        <w:rPr>
          <w:rFonts w:ascii="Times New Roman" w:eastAsia="Cambria" w:hAnsi="Times New Roman" w:cs="Times New Roman"/>
          <w:kern w:val="22"/>
        </w:rPr>
        <w:t>each of the</w:t>
      </w:r>
      <w:r w:rsidR="009B04CA" w:rsidRPr="00471447">
        <w:rPr>
          <w:rFonts w:ascii="Times New Roman" w:eastAsia="Cambria" w:hAnsi="Times New Roman" w:cs="Times New Roman"/>
          <w:kern w:val="22"/>
        </w:rPr>
        <w:t xml:space="preserve"> core members were made</w:t>
      </w:r>
      <w:r w:rsidR="008C21A9" w:rsidRPr="00471447">
        <w:rPr>
          <w:rFonts w:ascii="Times New Roman" w:eastAsia="Cambria" w:hAnsi="Times New Roman" w:cs="Times New Roman"/>
          <w:kern w:val="22"/>
        </w:rPr>
        <w:t xml:space="preserve">. </w:t>
      </w:r>
    </w:p>
    <w:p w:rsidR="00EB7171" w:rsidRPr="00471447" w:rsidRDefault="00140A70" w:rsidP="00471447">
      <w:pPr>
        <w:pStyle w:val="ListParagraph"/>
        <w:numPr>
          <w:ilvl w:val="0"/>
          <w:numId w:val="3"/>
        </w:numPr>
        <w:spacing w:before="120" w:after="120"/>
        <w:ind w:left="0" w:firstLine="0"/>
        <w:jc w:val="both"/>
        <w:rPr>
          <w:rFonts w:ascii="Times New Roman" w:eastAsia="Cambria" w:hAnsi="Times New Roman" w:cs="Times New Roman"/>
          <w:color w:val="auto"/>
          <w:kern w:val="22"/>
        </w:rPr>
      </w:pPr>
      <w:r w:rsidRPr="00471447">
        <w:rPr>
          <w:rFonts w:ascii="Times New Roman" w:eastAsia="Cambria" w:hAnsi="Times New Roman" w:cs="Times New Roman"/>
          <w:color w:val="auto"/>
          <w:kern w:val="22"/>
        </w:rPr>
        <w:t xml:space="preserve">Mr. </w:t>
      </w:r>
      <w:r w:rsidR="00AA6360" w:rsidRPr="00471447">
        <w:rPr>
          <w:rFonts w:ascii="Times New Roman" w:eastAsia="Cambria" w:hAnsi="Times New Roman" w:cs="Times New Roman"/>
          <w:color w:val="auto"/>
          <w:kern w:val="22"/>
        </w:rPr>
        <w:t>Baccioni</w:t>
      </w:r>
      <w:r w:rsidRPr="00471447">
        <w:rPr>
          <w:rFonts w:ascii="Times New Roman" w:eastAsia="Cambria" w:hAnsi="Times New Roman" w:cs="Times New Roman"/>
          <w:color w:val="auto"/>
          <w:kern w:val="22"/>
        </w:rPr>
        <w:t xml:space="preserve"> </w:t>
      </w:r>
      <w:r w:rsidR="00584CFA" w:rsidRPr="00471447">
        <w:rPr>
          <w:rFonts w:ascii="Times New Roman" w:eastAsia="Cambria" w:hAnsi="Times New Roman" w:cs="Times New Roman"/>
          <w:color w:val="auto"/>
          <w:kern w:val="22"/>
        </w:rPr>
        <w:t>(</w:t>
      </w:r>
      <w:r w:rsidRPr="00471447">
        <w:rPr>
          <w:rFonts w:ascii="Times New Roman" w:eastAsia="Cambria" w:hAnsi="Times New Roman" w:cs="Times New Roman"/>
          <w:color w:val="auto"/>
          <w:kern w:val="22"/>
        </w:rPr>
        <w:t>Bioversity International</w:t>
      </w:r>
      <w:r w:rsidR="00584CFA" w:rsidRPr="00471447">
        <w:rPr>
          <w:rFonts w:ascii="Times New Roman" w:eastAsia="Cambria" w:hAnsi="Times New Roman" w:cs="Times New Roman"/>
          <w:color w:val="auto"/>
          <w:kern w:val="22"/>
        </w:rPr>
        <w:t>)</w:t>
      </w:r>
      <w:r w:rsidRPr="00471447">
        <w:rPr>
          <w:rFonts w:ascii="Times New Roman" w:eastAsia="Cambria" w:hAnsi="Times New Roman" w:cs="Times New Roman"/>
          <w:color w:val="auto"/>
          <w:kern w:val="22"/>
        </w:rPr>
        <w:t xml:space="preserve"> delivered a presentation on behalf of the</w:t>
      </w:r>
      <w:r w:rsidR="00CF35B9" w:rsidRPr="00471447">
        <w:rPr>
          <w:rFonts w:ascii="Times New Roman" w:eastAsia="Cambria" w:hAnsi="Times New Roman" w:cs="Times New Roman"/>
          <w:color w:val="auto"/>
          <w:kern w:val="22"/>
        </w:rPr>
        <w:t xml:space="preserve"> CGIAR Consortium</w:t>
      </w:r>
      <w:r w:rsidR="008C21A9" w:rsidRPr="00471447">
        <w:rPr>
          <w:rFonts w:ascii="Times New Roman" w:eastAsia="Cambria" w:hAnsi="Times New Roman" w:cs="Times New Roman"/>
          <w:color w:val="auto"/>
          <w:kern w:val="22"/>
        </w:rPr>
        <w:t xml:space="preserve"> </w:t>
      </w:r>
      <w:r w:rsidRPr="00471447">
        <w:rPr>
          <w:rFonts w:ascii="Times New Roman" w:eastAsia="Cambria" w:hAnsi="Times New Roman" w:cs="Times New Roman"/>
          <w:color w:val="auto"/>
          <w:kern w:val="22"/>
        </w:rPr>
        <w:t xml:space="preserve">and the 15 research centers of which it </w:t>
      </w:r>
      <w:r w:rsidR="001959B1">
        <w:rPr>
          <w:rFonts w:ascii="Times New Roman" w:eastAsia="Cambria" w:hAnsi="Times New Roman" w:cs="Times New Roman"/>
          <w:color w:val="auto"/>
          <w:kern w:val="22"/>
        </w:rPr>
        <w:t>wa</w:t>
      </w:r>
      <w:r w:rsidRPr="00471447">
        <w:rPr>
          <w:rFonts w:ascii="Times New Roman" w:eastAsia="Cambria" w:hAnsi="Times New Roman" w:cs="Times New Roman"/>
          <w:color w:val="auto"/>
          <w:kern w:val="22"/>
        </w:rPr>
        <w:t xml:space="preserve">s comprised </w:t>
      </w:r>
      <w:r w:rsidR="008C21A9" w:rsidRPr="00471447">
        <w:rPr>
          <w:rFonts w:ascii="Times New Roman" w:eastAsia="Cambria" w:hAnsi="Times New Roman" w:cs="Times New Roman"/>
          <w:color w:val="auto"/>
          <w:kern w:val="22"/>
        </w:rPr>
        <w:t>(</w:t>
      </w:r>
      <w:hyperlink r:id="rId12" w:history="1">
        <w:r w:rsidR="008C21A9" w:rsidRPr="00471447">
          <w:rPr>
            <w:rStyle w:val="Hyperlink"/>
            <w:rFonts w:ascii="Times New Roman" w:eastAsia="Cambria" w:hAnsi="Times New Roman" w:cs="Times New Roman"/>
            <w:kern w:val="22"/>
            <w:u w:val="none"/>
          </w:rPr>
          <w:t>http://www.cgiar.org/)</w:t>
        </w:r>
      </w:hyperlink>
      <w:r w:rsidRPr="00471447">
        <w:rPr>
          <w:rFonts w:ascii="Times New Roman" w:eastAsia="Cambria" w:hAnsi="Times New Roman" w:cs="Times New Roman"/>
          <w:color w:val="1155CC"/>
          <w:kern w:val="22"/>
        </w:rPr>
        <w:t>.</w:t>
      </w:r>
      <w:r w:rsidR="008C21A9" w:rsidRPr="00471447">
        <w:rPr>
          <w:rFonts w:ascii="Times New Roman" w:eastAsia="Cambria" w:hAnsi="Times New Roman" w:cs="Times New Roman"/>
          <w:color w:val="auto"/>
          <w:kern w:val="22"/>
        </w:rPr>
        <w:t xml:space="preserve"> </w:t>
      </w:r>
      <w:r w:rsidR="00EB7171" w:rsidRPr="00471447">
        <w:rPr>
          <w:rFonts w:ascii="Times New Roman" w:eastAsia="Cambria" w:hAnsi="Times New Roman" w:cs="Times New Roman"/>
          <w:color w:val="auto"/>
          <w:kern w:val="22"/>
        </w:rPr>
        <w:t>Several relevant program</w:t>
      </w:r>
      <w:r w:rsidR="001959B1">
        <w:rPr>
          <w:rFonts w:ascii="Times New Roman" w:eastAsia="Cambria" w:hAnsi="Times New Roman" w:cs="Times New Roman"/>
          <w:color w:val="auto"/>
          <w:kern w:val="22"/>
        </w:rPr>
        <w:t>me</w:t>
      </w:r>
      <w:r w:rsidR="00EB7171" w:rsidRPr="00471447">
        <w:rPr>
          <w:rFonts w:ascii="Times New Roman" w:eastAsia="Cambria" w:hAnsi="Times New Roman" w:cs="Times New Roman"/>
          <w:color w:val="auto"/>
          <w:kern w:val="22"/>
        </w:rPr>
        <w:t xml:space="preserve">s and </w:t>
      </w:r>
      <w:r w:rsidR="00EB7171" w:rsidRPr="00471447">
        <w:rPr>
          <w:rFonts w:ascii="Times New Roman" w:eastAsia="Cambria" w:hAnsi="Times New Roman" w:cs="Times New Roman"/>
          <w:kern w:val="22"/>
        </w:rPr>
        <w:t>projects</w:t>
      </w:r>
      <w:r w:rsidR="00EB7171" w:rsidRPr="00471447">
        <w:rPr>
          <w:rFonts w:ascii="Times New Roman" w:eastAsia="Cambria" w:hAnsi="Times New Roman" w:cs="Times New Roman"/>
          <w:color w:val="auto"/>
          <w:kern w:val="22"/>
        </w:rPr>
        <w:t xml:space="preserve"> developed by CGIAR members were presented and r</w:t>
      </w:r>
      <w:r w:rsidR="00A91F21" w:rsidRPr="00471447">
        <w:rPr>
          <w:rFonts w:ascii="Times New Roman" w:eastAsia="Cambria" w:hAnsi="Times New Roman" w:cs="Times New Roman"/>
          <w:color w:val="auto"/>
          <w:kern w:val="22"/>
        </w:rPr>
        <w:t xml:space="preserve">elevant work on food </w:t>
      </w:r>
      <w:r w:rsidR="001C2F4C" w:rsidRPr="00471447">
        <w:rPr>
          <w:rFonts w:ascii="Times New Roman" w:eastAsia="Cambria" w:hAnsi="Times New Roman" w:cs="Times New Roman"/>
          <w:color w:val="auto"/>
          <w:kern w:val="22"/>
        </w:rPr>
        <w:t>research</w:t>
      </w:r>
      <w:r w:rsidR="00A91F21" w:rsidRPr="00471447">
        <w:rPr>
          <w:rFonts w:ascii="Times New Roman" w:eastAsia="Cambria" w:hAnsi="Times New Roman" w:cs="Times New Roman"/>
          <w:color w:val="auto"/>
          <w:kern w:val="22"/>
        </w:rPr>
        <w:t xml:space="preserve"> was also discussed</w:t>
      </w:r>
      <w:r w:rsidR="001C2F4C" w:rsidRPr="00471447">
        <w:rPr>
          <w:rFonts w:ascii="Times New Roman" w:eastAsia="Cambria" w:hAnsi="Times New Roman" w:cs="Times New Roman"/>
          <w:color w:val="auto"/>
          <w:kern w:val="22"/>
        </w:rPr>
        <w:t xml:space="preserve"> </w:t>
      </w:r>
      <w:r w:rsidR="00594BBF" w:rsidRPr="00471447">
        <w:rPr>
          <w:rFonts w:ascii="Times New Roman" w:eastAsia="Cambria" w:hAnsi="Times New Roman" w:cs="Times New Roman"/>
          <w:color w:val="auto"/>
          <w:kern w:val="22"/>
        </w:rPr>
        <w:t>including:</w:t>
      </w:r>
      <w:r w:rsidR="00A91F21" w:rsidRPr="00471447">
        <w:rPr>
          <w:rFonts w:ascii="Times New Roman" w:eastAsia="Cambria" w:hAnsi="Times New Roman" w:cs="Times New Roman"/>
          <w:color w:val="auto"/>
          <w:kern w:val="22"/>
        </w:rPr>
        <w:t xml:space="preserve"> </w:t>
      </w:r>
      <w:r w:rsidR="005268C3" w:rsidRPr="00471447">
        <w:rPr>
          <w:rFonts w:ascii="Times New Roman" w:eastAsia="Cambria" w:hAnsi="Times New Roman" w:cs="Times New Roman"/>
          <w:color w:val="auto"/>
          <w:kern w:val="22"/>
        </w:rPr>
        <w:t>how biodiversity can be better integrated in</w:t>
      </w:r>
      <w:r w:rsidR="00A91F21" w:rsidRPr="00471447">
        <w:rPr>
          <w:rFonts w:ascii="Times New Roman" w:eastAsia="Cambria" w:hAnsi="Times New Roman" w:cs="Times New Roman"/>
          <w:color w:val="auto"/>
          <w:kern w:val="22"/>
        </w:rPr>
        <w:t>to</w:t>
      </w:r>
      <w:r w:rsidR="005268C3" w:rsidRPr="00471447">
        <w:rPr>
          <w:rFonts w:ascii="Times New Roman" w:eastAsia="Cambria" w:hAnsi="Times New Roman" w:cs="Times New Roman"/>
          <w:color w:val="auto"/>
          <w:kern w:val="22"/>
        </w:rPr>
        <w:t xml:space="preserve"> fo</w:t>
      </w:r>
      <w:r w:rsidR="00A91F21" w:rsidRPr="00471447">
        <w:rPr>
          <w:rFonts w:ascii="Times New Roman" w:eastAsia="Cambria" w:hAnsi="Times New Roman" w:cs="Times New Roman"/>
          <w:color w:val="auto"/>
          <w:kern w:val="22"/>
        </w:rPr>
        <w:t>od production, program</w:t>
      </w:r>
      <w:r w:rsidR="001959B1">
        <w:rPr>
          <w:rFonts w:ascii="Times New Roman" w:eastAsia="Cambria" w:hAnsi="Times New Roman" w:cs="Times New Roman"/>
          <w:color w:val="auto"/>
          <w:kern w:val="22"/>
        </w:rPr>
        <w:t>me</w:t>
      </w:r>
      <w:r w:rsidR="00A91F21" w:rsidRPr="00471447">
        <w:rPr>
          <w:rFonts w:ascii="Times New Roman" w:eastAsia="Cambria" w:hAnsi="Times New Roman" w:cs="Times New Roman"/>
          <w:color w:val="auto"/>
          <w:kern w:val="22"/>
        </w:rPr>
        <w:t xml:space="preserve">s, and policy; the assessment of </w:t>
      </w:r>
      <w:r w:rsidR="001C2F4C" w:rsidRPr="00471447">
        <w:rPr>
          <w:rFonts w:ascii="Times New Roman" w:eastAsia="Cambria" w:hAnsi="Times New Roman" w:cs="Times New Roman"/>
          <w:color w:val="auto"/>
          <w:kern w:val="22"/>
        </w:rPr>
        <w:t>consumption patterns to</w:t>
      </w:r>
      <w:r w:rsidR="005268C3" w:rsidRPr="00471447">
        <w:rPr>
          <w:rFonts w:ascii="Times New Roman" w:eastAsia="Cambria" w:hAnsi="Times New Roman" w:cs="Times New Roman"/>
          <w:color w:val="auto"/>
          <w:kern w:val="22"/>
        </w:rPr>
        <w:t xml:space="preserve"> </w:t>
      </w:r>
      <w:r w:rsidR="001C2F4C" w:rsidRPr="00471447">
        <w:rPr>
          <w:rFonts w:ascii="Times New Roman" w:eastAsia="Cambria" w:hAnsi="Times New Roman" w:cs="Times New Roman"/>
          <w:color w:val="auto"/>
          <w:kern w:val="22"/>
        </w:rPr>
        <w:t>promote</w:t>
      </w:r>
      <w:r w:rsidR="005268C3" w:rsidRPr="00471447">
        <w:rPr>
          <w:rFonts w:ascii="Times New Roman" w:eastAsia="Cambria" w:hAnsi="Times New Roman" w:cs="Times New Roman"/>
          <w:color w:val="auto"/>
          <w:kern w:val="22"/>
        </w:rPr>
        <w:t xml:space="preserve"> healthy diets </w:t>
      </w:r>
      <w:r w:rsidR="001C2F4C" w:rsidRPr="00471447">
        <w:rPr>
          <w:rFonts w:ascii="Times New Roman" w:eastAsia="Cambria" w:hAnsi="Times New Roman" w:cs="Times New Roman"/>
          <w:color w:val="auto"/>
          <w:kern w:val="22"/>
        </w:rPr>
        <w:t>through</w:t>
      </w:r>
      <w:r w:rsidR="005268C3" w:rsidRPr="00471447">
        <w:rPr>
          <w:rFonts w:ascii="Times New Roman" w:eastAsia="Cambria" w:hAnsi="Times New Roman" w:cs="Times New Roman"/>
          <w:color w:val="auto"/>
          <w:kern w:val="22"/>
        </w:rPr>
        <w:t xml:space="preserve"> the u</w:t>
      </w:r>
      <w:r w:rsidR="001C2F4C" w:rsidRPr="00471447">
        <w:rPr>
          <w:rFonts w:ascii="Times New Roman" w:eastAsia="Cambria" w:hAnsi="Times New Roman" w:cs="Times New Roman"/>
          <w:color w:val="auto"/>
          <w:kern w:val="22"/>
        </w:rPr>
        <w:t>se of local varieties and crops and traditional foods</w:t>
      </w:r>
      <w:r w:rsidR="00A91F21" w:rsidRPr="00471447">
        <w:rPr>
          <w:rFonts w:ascii="Times New Roman" w:eastAsia="Cambria" w:hAnsi="Times New Roman" w:cs="Times New Roman"/>
          <w:color w:val="auto"/>
          <w:kern w:val="22"/>
        </w:rPr>
        <w:t>; assessment of</w:t>
      </w:r>
      <w:r w:rsidR="005268C3" w:rsidRPr="00471447">
        <w:rPr>
          <w:rFonts w:ascii="Times New Roman" w:eastAsia="Cambria" w:hAnsi="Times New Roman" w:cs="Times New Roman"/>
          <w:color w:val="auto"/>
          <w:kern w:val="22"/>
        </w:rPr>
        <w:t xml:space="preserve"> </w:t>
      </w:r>
      <w:r w:rsidR="00A91F21" w:rsidRPr="00471447">
        <w:rPr>
          <w:rFonts w:ascii="Times New Roman" w:eastAsia="Cambria" w:hAnsi="Times New Roman" w:cs="Times New Roman"/>
          <w:color w:val="auto"/>
          <w:kern w:val="22"/>
        </w:rPr>
        <w:t xml:space="preserve">more sustainable </w:t>
      </w:r>
      <w:r w:rsidR="005268C3" w:rsidRPr="00471447">
        <w:rPr>
          <w:rFonts w:ascii="Times New Roman" w:eastAsia="Cambria" w:hAnsi="Times New Roman" w:cs="Times New Roman"/>
          <w:color w:val="auto"/>
          <w:kern w:val="22"/>
        </w:rPr>
        <w:t>urban-rural interaction</w:t>
      </w:r>
      <w:r w:rsidR="00A91F21" w:rsidRPr="00471447">
        <w:rPr>
          <w:rFonts w:ascii="Times New Roman" w:eastAsia="Cambria" w:hAnsi="Times New Roman" w:cs="Times New Roman"/>
          <w:color w:val="auto"/>
          <w:kern w:val="22"/>
        </w:rPr>
        <w:t>s</w:t>
      </w:r>
      <w:r w:rsidR="001C2F4C" w:rsidRPr="00471447">
        <w:rPr>
          <w:rFonts w:ascii="Times New Roman" w:eastAsia="Cambria" w:hAnsi="Times New Roman" w:cs="Times New Roman"/>
          <w:color w:val="auto"/>
          <w:kern w:val="22"/>
        </w:rPr>
        <w:t>.</w:t>
      </w:r>
      <w:r w:rsidR="00EB7171" w:rsidRPr="00471447">
        <w:rPr>
          <w:rFonts w:ascii="Times New Roman" w:eastAsia="Cambria" w:hAnsi="Times New Roman" w:cs="Times New Roman"/>
          <w:color w:val="auto"/>
          <w:kern w:val="22"/>
        </w:rPr>
        <w:t xml:space="preserve"> </w:t>
      </w:r>
      <w:r w:rsidR="00594BBF" w:rsidRPr="00471447">
        <w:rPr>
          <w:rFonts w:ascii="Times New Roman" w:eastAsia="Cambria" w:hAnsi="Times New Roman" w:cs="Times New Roman"/>
          <w:color w:val="auto"/>
          <w:kern w:val="22"/>
        </w:rPr>
        <w:t>Mr. Baccioni</w:t>
      </w:r>
      <w:r w:rsidR="005268C3" w:rsidRPr="00471447">
        <w:rPr>
          <w:rFonts w:ascii="Times New Roman" w:eastAsia="Cambria" w:hAnsi="Times New Roman" w:cs="Times New Roman"/>
          <w:color w:val="auto"/>
          <w:kern w:val="22"/>
        </w:rPr>
        <w:t xml:space="preserve"> </w:t>
      </w:r>
      <w:r w:rsidR="00594BBF" w:rsidRPr="00471447">
        <w:rPr>
          <w:rFonts w:ascii="Times New Roman" w:eastAsia="Cambria" w:hAnsi="Times New Roman" w:cs="Times New Roman"/>
          <w:color w:val="auto"/>
          <w:kern w:val="22"/>
        </w:rPr>
        <w:t>indicated</w:t>
      </w:r>
      <w:r w:rsidR="005268C3" w:rsidRPr="00471447">
        <w:rPr>
          <w:rFonts w:ascii="Times New Roman" w:eastAsia="Cambria" w:hAnsi="Times New Roman" w:cs="Times New Roman"/>
          <w:color w:val="auto"/>
          <w:kern w:val="22"/>
        </w:rPr>
        <w:t xml:space="preserve"> that research </w:t>
      </w:r>
      <w:r w:rsidR="00EB7171" w:rsidRPr="00471447">
        <w:rPr>
          <w:rFonts w:ascii="Times New Roman" w:eastAsia="Cambria" w:hAnsi="Times New Roman" w:cs="Times New Roman"/>
          <w:color w:val="auto"/>
          <w:kern w:val="22"/>
        </w:rPr>
        <w:t xml:space="preserve">in these areas </w:t>
      </w:r>
      <w:r w:rsidR="001959B1">
        <w:rPr>
          <w:rFonts w:ascii="Times New Roman" w:eastAsia="Cambria" w:hAnsi="Times New Roman" w:cs="Times New Roman"/>
          <w:color w:val="auto"/>
          <w:kern w:val="22"/>
        </w:rPr>
        <w:t>wa</w:t>
      </w:r>
      <w:r w:rsidR="00EB7171" w:rsidRPr="00471447">
        <w:rPr>
          <w:rFonts w:ascii="Times New Roman" w:eastAsia="Cambria" w:hAnsi="Times New Roman" w:cs="Times New Roman"/>
          <w:color w:val="auto"/>
          <w:kern w:val="22"/>
        </w:rPr>
        <w:t>s</w:t>
      </w:r>
      <w:r w:rsidR="005268C3" w:rsidRPr="00471447">
        <w:rPr>
          <w:rFonts w:ascii="Times New Roman" w:eastAsia="Cambria" w:hAnsi="Times New Roman" w:cs="Times New Roman"/>
          <w:color w:val="auto"/>
          <w:kern w:val="22"/>
        </w:rPr>
        <w:t xml:space="preserve"> important </w:t>
      </w:r>
      <w:r w:rsidR="00594BBF" w:rsidRPr="00471447">
        <w:rPr>
          <w:rFonts w:ascii="Times New Roman" w:eastAsia="Cambria" w:hAnsi="Times New Roman" w:cs="Times New Roman"/>
          <w:color w:val="auto"/>
          <w:kern w:val="22"/>
        </w:rPr>
        <w:t xml:space="preserve">to </w:t>
      </w:r>
      <w:r w:rsidR="00EB7171" w:rsidRPr="00471447">
        <w:rPr>
          <w:rFonts w:ascii="Times New Roman" w:eastAsia="Cambria" w:hAnsi="Times New Roman" w:cs="Times New Roman"/>
          <w:color w:val="auto"/>
          <w:kern w:val="22"/>
        </w:rPr>
        <w:t>implementation</w:t>
      </w:r>
      <w:r w:rsidR="00594BBF" w:rsidRPr="00471447">
        <w:rPr>
          <w:rFonts w:ascii="Times New Roman" w:eastAsia="Cambria" w:hAnsi="Times New Roman" w:cs="Times New Roman"/>
          <w:color w:val="auto"/>
          <w:kern w:val="22"/>
        </w:rPr>
        <w:t xml:space="preserve"> work and</w:t>
      </w:r>
      <w:r w:rsidR="005268C3" w:rsidRPr="00471447">
        <w:rPr>
          <w:rFonts w:ascii="Times New Roman" w:eastAsia="Cambria" w:hAnsi="Times New Roman" w:cs="Times New Roman"/>
          <w:color w:val="auto"/>
          <w:kern w:val="22"/>
        </w:rPr>
        <w:t xml:space="preserve"> </w:t>
      </w:r>
      <w:r w:rsidR="001959B1">
        <w:rPr>
          <w:rFonts w:ascii="Times New Roman" w:eastAsia="Cambria" w:hAnsi="Times New Roman" w:cs="Times New Roman"/>
          <w:color w:val="auto"/>
          <w:kern w:val="22"/>
        </w:rPr>
        <w:t>could not</w:t>
      </w:r>
      <w:r w:rsidR="001959B1" w:rsidRPr="00471447">
        <w:rPr>
          <w:rFonts w:ascii="Times New Roman" w:eastAsia="Cambria" w:hAnsi="Times New Roman" w:cs="Times New Roman"/>
          <w:color w:val="auto"/>
          <w:kern w:val="22"/>
        </w:rPr>
        <w:t xml:space="preserve"> </w:t>
      </w:r>
      <w:r w:rsidR="005268C3" w:rsidRPr="00471447">
        <w:rPr>
          <w:rFonts w:ascii="Times New Roman" w:eastAsia="Cambria" w:hAnsi="Times New Roman" w:cs="Times New Roman"/>
          <w:color w:val="auto"/>
          <w:kern w:val="22"/>
        </w:rPr>
        <w:t xml:space="preserve">be conducted in isolation. </w:t>
      </w:r>
    </w:p>
    <w:p w:rsidR="00023F86" w:rsidRPr="00471447" w:rsidRDefault="00EB7171" w:rsidP="00471447">
      <w:pPr>
        <w:pStyle w:val="ListParagraph"/>
        <w:numPr>
          <w:ilvl w:val="0"/>
          <w:numId w:val="3"/>
        </w:numPr>
        <w:spacing w:before="120" w:after="120"/>
        <w:ind w:left="0" w:firstLine="0"/>
        <w:jc w:val="both"/>
        <w:rPr>
          <w:rFonts w:ascii="Times New Roman" w:eastAsia="Cambria" w:hAnsi="Times New Roman" w:cs="Times New Roman"/>
          <w:color w:val="auto"/>
          <w:kern w:val="22"/>
        </w:rPr>
      </w:pPr>
      <w:r w:rsidRPr="00471447">
        <w:rPr>
          <w:rFonts w:ascii="Times New Roman" w:eastAsia="Cambria" w:hAnsi="Times New Roman" w:cs="Times New Roman"/>
          <w:color w:val="auto"/>
          <w:kern w:val="22"/>
        </w:rPr>
        <w:t>Potential contributions of the CGIAR to the ILG include</w:t>
      </w:r>
      <w:r w:rsidR="003151F5">
        <w:rPr>
          <w:rFonts w:ascii="Times New Roman" w:eastAsia="Cambria" w:hAnsi="Times New Roman" w:cs="Times New Roman"/>
          <w:color w:val="auto"/>
          <w:kern w:val="22"/>
        </w:rPr>
        <w:t>d</w:t>
      </w:r>
      <w:r w:rsidRPr="00471447">
        <w:rPr>
          <w:rFonts w:ascii="Times New Roman" w:eastAsia="Cambria" w:hAnsi="Times New Roman" w:cs="Times New Roman"/>
          <w:color w:val="auto"/>
          <w:kern w:val="22"/>
        </w:rPr>
        <w:t xml:space="preserve"> strengthening</w:t>
      </w:r>
      <w:r w:rsidR="00594BBF" w:rsidRPr="00471447">
        <w:rPr>
          <w:rFonts w:ascii="Times New Roman" w:eastAsia="Cambria" w:hAnsi="Times New Roman" w:cs="Times New Roman"/>
          <w:color w:val="auto"/>
          <w:kern w:val="22"/>
        </w:rPr>
        <w:t xml:space="preserve"> </w:t>
      </w:r>
      <w:r w:rsidRPr="00471447">
        <w:rPr>
          <w:rFonts w:ascii="Times New Roman" w:eastAsia="Cambria" w:hAnsi="Times New Roman" w:cs="Times New Roman"/>
          <w:color w:val="auto"/>
          <w:kern w:val="22"/>
        </w:rPr>
        <w:t>collaboration</w:t>
      </w:r>
      <w:r w:rsidR="00594BBF" w:rsidRPr="00471447">
        <w:rPr>
          <w:rFonts w:ascii="Times New Roman" w:eastAsia="Cambria" w:hAnsi="Times New Roman" w:cs="Times New Roman"/>
          <w:color w:val="auto"/>
          <w:kern w:val="22"/>
        </w:rPr>
        <w:t xml:space="preserve"> and </w:t>
      </w:r>
      <w:r w:rsidRPr="00471447">
        <w:rPr>
          <w:rFonts w:ascii="Times New Roman" w:eastAsia="Cambria" w:hAnsi="Times New Roman" w:cs="Times New Roman"/>
          <w:color w:val="auto"/>
          <w:kern w:val="22"/>
        </w:rPr>
        <w:t>promoting</w:t>
      </w:r>
      <w:r w:rsidR="005268C3" w:rsidRPr="00471447">
        <w:rPr>
          <w:rFonts w:ascii="Times New Roman" w:eastAsia="Cambria" w:hAnsi="Times New Roman" w:cs="Times New Roman"/>
          <w:color w:val="auto"/>
          <w:kern w:val="22"/>
        </w:rPr>
        <w:t xml:space="preserve"> innovation, relevant research, identify</w:t>
      </w:r>
      <w:r w:rsidRPr="00471447">
        <w:rPr>
          <w:rFonts w:ascii="Times New Roman" w:eastAsia="Cambria" w:hAnsi="Times New Roman" w:cs="Times New Roman"/>
          <w:color w:val="auto"/>
          <w:kern w:val="22"/>
        </w:rPr>
        <w:t>ing</w:t>
      </w:r>
      <w:r w:rsidR="005268C3" w:rsidRPr="00471447">
        <w:rPr>
          <w:rFonts w:ascii="Times New Roman" w:eastAsia="Cambria" w:hAnsi="Times New Roman" w:cs="Times New Roman"/>
          <w:color w:val="auto"/>
          <w:kern w:val="22"/>
        </w:rPr>
        <w:t xml:space="preserve"> partners, identify</w:t>
      </w:r>
      <w:r w:rsidRPr="00471447">
        <w:rPr>
          <w:rFonts w:ascii="Times New Roman" w:eastAsia="Cambria" w:hAnsi="Times New Roman" w:cs="Times New Roman"/>
          <w:color w:val="auto"/>
          <w:kern w:val="22"/>
        </w:rPr>
        <w:t>ing</w:t>
      </w:r>
      <w:r w:rsidR="005268C3" w:rsidRPr="00471447">
        <w:rPr>
          <w:rFonts w:ascii="Times New Roman" w:eastAsia="Cambria" w:hAnsi="Times New Roman" w:cs="Times New Roman"/>
          <w:color w:val="auto"/>
          <w:kern w:val="22"/>
        </w:rPr>
        <w:t xml:space="preserve"> comparative advantages</w:t>
      </w:r>
      <w:r w:rsidRPr="00471447">
        <w:rPr>
          <w:rFonts w:ascii="Times New Roman" w:eastAsia="Cambria" w:hAnsi="Times New Roman" w:cs="Times New Roman"/>
          <w:color w:val="auto"/>
          <w:kern w:val="22"/>
        </w:rPr>
        <w:t>, co</w:t>
      </w:r>
      <w:r w:rsidR="003151F5">
        <w:rPr>
          <w:rFonts w:ascii="Times New Roman" w:eastAsia="Cambria" w:hAnsi="Times New Roman" w:cs="Times New Roman"/>
          <w:color w:val="auto"/>
          <w:kern w:val="22"/>
        </w:rPr>
        <w:noBreakHyphen/>
      </w:r>
      <w:r w:rsidRPr="00471447">
        <w:rPr>
          <w:rFonts w:ascii="Times New Roman" w:eastAsia="Cambria" w:hAnsi="Times New Roman" w:cs="Times New Roman"/>
          <w:color w:val="auto"/>
          <w:kern w:val="22"/>
        </w:rPr>
        <w:t>creation</w:t>
      </w:r>
      <w:r w:rsidR="005268C3" w:rsidRPr="00471447">
        <w:rPr>
          <w:rFonts w:ascii="Times New Roman" w:eastAsia="Cambria" w:hAnsi="Times New Roman" w:cs="Times New Roman"/>
          <w:color w:val="auto"/>
          <w:kern w:val="22"/>
        </w:rPr>
        <w:t xml:space="preserve"> and </w:t>
      </w:r>
      <w:r w:rsidRPr="00471447">
        <w:rPr>
          <w:rFonts w:ascii="Times New Roman" w:eastAsia="Cambria" w:hAnsi="Times New Roman" w:cs="Times New Roman"/>
          <w:color w:val="auto"/>
          <w:kern w:val="22"/>
        </w:rPr>
        <w:t>co-production and</w:t>
      </w:r>
      <w:r w:rsidR="005268C3" w:rsidRPr="00471447">
        <w:rPr>
          <w:rFonts w:ascii="Times New Roman" w:eastAsia="Cambria" w:hAnsi="Times New Roman" w:cs="Times New Roman"/>
          <w:color w:val="auto"/>
          <w:kern w:val="22"/>
        </w:rPr>
        <w:t xml:space="preserve"> collaborative research.</w:t>
      </w:r>
      <w:r w:rsidR="00522A17" w:rsidRPr="00471447">
        <w:rPr>
          <w:rFonts w:ascii="Times New Roman" w:eastAsia="Cambria" w:hAnsi="Times New Roman" w:cs="Times New Roman"/>
          <w:color w:val="auto"/>
          <w:kern w:val="22"/>
        </w:rPr>
        <w:t xml:space="preserve"> </w:t>
      </w:r>
      <w:r w:rsidRPr="00471447">
        <w:rPr>
          <w:rFonts w:ascii="Times New Roman" w:eastAsia="Cambria" w:hAnsi="Times New Roman" w:cs="Times New Roman"/>
          <w:color w:val="auto"/>
          <w:kern w:val="22"/>
        </w:rPr>
        <w:t xml:space="preserve">Participating in </w:t>
      </w:r>
      <w:r w:rsidR="005268C3" w:rsidRPr="00471447">
        <w:rPr>
          <w:rFonts w:ascii="Times New Roman" w:eastAsia="Cambria" w:hAnsi="Times New Roman" w:cs="Times New Roman"/>
          <w:color w:val="auto"/>
          <w:kern w:val="22"/>
        </w:rPr>
        <w:t xml:space="preserve">the ILG </w:t>
      </w:r>
      <w:r w:rsidR="003151F5">
        <w:rPr>
          <w:rFonts w:ascii="Times New Roman" w:eastAsia="Cambria" w:hAnsi="Times New Roman" w:cs="Times New Roman"/>
          <w:color w:val="auto"/>
          <w:kern w:val="22"/>
        </w:rPr>
        <w:t>could</w:t>
      </w:r>
      <w:r w:rsidR="003151F5" w:rsidRPr="00471447">
        <w:rPr>
          <w:rFonts w:ascii="Times New Roman" w:eastAsia="Cambria" w:hAnsi="Times New Roman" w:cs="Times New Roman"/>
          <w:color w:val="auto"/>
          <w:kern w:val="22"/>
        </w:rPr>
        <w:t xml:space="preserve"> </w:t>
      </w:r>
      <w:r w:rsidRPr="00471447">
        <w:rPr>
          <w:rFonts w:ascii="Times New Roman" w:eastAsia="Cambria" w:hAnsi="Times New Roman" w:cs="Times New Roman"/>
          <w:color w:val="auto"/>
          <w:kern w:val="22"/>
        </w:rPr>
        <w:t xml:space="preserve">also </w:t>
      </w:r>
      <w:r w:rsidR="005268C3" w:rsidRPr="00471447">
        <w:rPr>
          <w:rFonts w:ascii="Times New Roman" w:eastAsia="Cambria" w:hAnsi="Times New Roman" w:cs="Times New Roman"/>
          <w:color w:val="auto"/>
          <w:kern w:val="22"/>
        </w:rPr>
        <w:t xml:space="preserve">help to strengthen the breadth of the thematic focus </w:t>
      </w:r>
      <w:r w:rsidRPr="00471447">
        <w:rPr>
          <w:rFonts w:ascii="Times New Roman" w:eastAsia="Cambria" w:hAnsi="Times New Roman" w:cs="Times New Roman"/>
          <w:color w:val="auto"/>
          <w:kern w:val="22"/>
        </w:rPr>
        <w:t xml:space="preserve">on food systems </w:t>
      </w:r>
      <w:r w:rsidR="005268C3" w:rsidRPr="00471447">
        <w:rPr>
          <w:rFonts w:ascii="Times New Roman" w:eastAsia="Cambria" w:hAnsi="Times New Roman" w:cs="Times New Roman"/>
          <w:color w:val="auto"/>
          <w:kern w:val="22"/>
        </w:rPr>
        <w:t>around the world</w:t>
      </w:r>
      <w:r w:rsidR="00522A17" w:rsidRPr="00471447">
        <w:rPr>
          <w:rFonts w:ascii="Times New Roman" w:eastAsia="Cambria" w:hAnsi="Times New Roman" w:cs="Times New Roman"/>
          <w:color w:val="auto"/>
          <w:kern w:val="22"/>
        </w:rPr>
        <w:t>, on a systemic level</w:t>
      </w:r>
      <w:r w:rsidR="005268C3" w:rsidRPr="00471447">
        <w:rPr>
          <w:rFonts w:ascii="Times New Roman" w:eastAsia="Cambria" w:hAnsi="Times New Roman" w:cs="Times New Roman"/>
          <w:color w:val="auto"/>
          <w:kern w:val="22"/>
        </w:rPr>
        <w:t>. For example</w:t>
      </w:r>
      <w:r w:rsidR="00522A17" w:rsidRPr="00471447">
        <w:rPr>
          <w:rFonts w:ascii="Times New Roman" w:eastAsia="Cambria" w:hAnsi="Times New Roman" w:cs="Times New Roman"/>
          <w:color w:val="auto"/>
          <w:kern w:val="22"/>
        </w:rPr>
        <w:t xml:space="preserve">, </w:t>
      </w:r>
      <w:r w:rsidR="005268C3" w:rsidRPr="00471447">
        <w:rPr>
          <w:rFonts w:ascii="Times New Roman" w:eastAsia="Cambria" w:hAnsi="Times New Roman" w:cs="Times New Roman"/>
          <w:color w:val="auto"/>
          <w:kern w:val="22"/>
        </w:rPr>
        <w:t>the</w:t>
      </w:r>
      <w:r w:rsidR="00421504" w:rsidRPr="00471447">
        <w:rPr>
          <w:rFonts w:ascii="Times New Roman" w:eastAsia="Cambria" w:hAnsi="Times New Roman" w:cs="Times New Roman"/>
          <w:color w:val="auto"/>
          <w:kern w:val="22"/>
        </w:rPr>
        <w:t xml:space="preserve"> group </w:t>
      </w:r>
      <w:r w:rsidR="003151F5">
        <w:rPr>
          <w:rFonts w:ascii="Times New Roman" w:eastAsia="Cambria" w:hAnsi="Times New Roman" w:cs="Times New Roman"/>
          <w:color w:val="auto"/>
          <w:kern w:val="22"/>
        </w:rPr>
        <w:t>could</w:t>
      </w:r>
      <w:r w:rsidR="003151F5" w:rsidRPr="00471447">
        <w:rPr>
          <w:rFonts w:ascii="Times New Roman" w:eastAsia="Cambria" w:hAnsi="Times New Roman" w:cs="Times New Roman"/>
          <w:color w:val="auto"/>
          <w:kern w:val="22"/>
        </w:rPr>
        <w:t xml:space="preserve"> </w:t>
      </w:r>
      <w:r w:rsidR="00421504" w:rsidRPr="00471447">
        <w:rPr>
          <w:rFonts w:ascii="Times New Roman" w:eastAsia="Cambria" w:hAnsi="Times New Roman" w:cs="Times New Roman"/>
          <w:color w:val="auto"/>
          <w:kern w:val="22"/>
        </w:rPr>
        <w:t>help to inform the d</w:t>
      </w:r>
      <w:r w:rsidR="005268C3" w:rsidRPr="00471447">
        <w:rPr>
          <w:rFonts w:ascii="Times New Roman" w:eastAsia="Cambria" w:hAnsi="Times New Roman" w:cs="Times New Roman"/>
          <w:color w:val="auto"/>
          <w:kern w:val="22"/>
        </w:rPr>
        <w:t xml:space="preserve">evelopment of innovation ‘packages’ </w:t>
      </w:r>
      <w:r w:rsidR="00421504" w:rsidRPr="00471447">
        <w:rPr>
          <w:rFonts w:ascii="Times New Roman" w:eastAsia="Cambria" w:hAnsi="Times New Roman" w:cs="Times New Roman"/>
          <w:color w:val="auto"/>
          <w:kern w:val="22"/>
        </w:rPr>
        <w:t xml:space="preserve">(e.g. </w:t>
      </w:r>
      <w:r w:rsidR="00522A17" w:rsidRPr="00471447">
        <w:rPr>
          <w:rFonts w:ascii="Times New Roman" w:eastAsia="Cambria" w:hAnsi="Times New Roman" w:cs="Times New Roman"/>
          <w:color w:val="auto"/>
          <w:kern w:val="22"/>
        </w:rPr>
        <w:t xml:space="preserve">livestock </w:t>
      </w:r>
      <w:r w:rsidR="00522A17" w:rsidRPr="00471447">
        <w:rPr>
          <w:rFonts w:ascii="Times New Roman" w:eastAsia="Cambria" w:hAnsi="Times New Roman" w:cs="Times New Roman"/>
          <w:color w:val="auto"/>
          <w:kern w:val="22"/>
        </w:rPr>
        <w:lastRenderedPageBreak/>
        <w:t>production</w:t>
      </w:r>
      <w:r w:rsidR="00421504" w:rsidRPr="00471447">
        <w:rPr>
          <w:rFonts w:ascii="Times New Roman" w:eastAsia="Cambria" w:hAnsi="Times New Roman" w:cs="Times New Roman"/>
          <w:color w:val="auto"/>
          <w:kern w:val="22"/>
        </w:rPr>
        <w:t>)</w:t>
      </w:r>
      <w:r w:rsidR="00522A17" w:rsidRPr="00471447">
        <w:rPr>
          <w:rFonts w:ascii="Times New Roman" w:eastAsia="Cambria" w:hAnsi="Times New Roman" w:cs="Times New Roman"/>
          <w:color w:val="auto"/>
          <w:kern w:val="22"/>
        </w:rPr>
        <w:t xml:space="preserve"> </w:t>
      </w:r>
      <w:r w:rsidR="005268C3" w:rsidRPr="00471447">
        <w:rPr>
          <w:rFonts w:ascii="Times New Roman" w:eastAsia="Cambria" w:hAnsi="Times New Roman" w:cs="Times New Roman"/>
          <w:color w:val="auto"/>
          <w:kern w:val="22"/>
        </w:rPr>
        <w:t xml:space="preserve">and tailor this work in ways that </w:t>
      </w:r>
      <w:r w:rsidR="003151F5">
        <w:rPr>
          <w:rFonts w:ascii="Times New Roman" w:eastAsia="Cambria" w:hAnsi="Times New Roman" w:cs="Times New Roman"/>
          <w:color w:val="auto"/>
          <w:kern w:val="22"/>
        </w:rPr>
        <w:t>could</w:t>
      </w:r>
      <w:r w:rsidR="003151F5" w:rsidRPr="00471447">
        <w:rPr>
          <w:rFonts w:ascii="Times New Roman" w:eastAsia="Cambria" w:hAnsi="Times New Roman" w:cs="Times New Roman"/>
          <w:color w:val="auto"/>
          <w:kern w:val="22"/>
        </w:rPr>
        <w:t xml:space="preserve"> </w:t>
      </w:r>
      <w:r w:rsidR="005268C3" w:rsidRPr="00471447">
        <w:rPr>
          <w:rFonts w:ascii="Times New Roman" w:eastAsia="Cambria" w:hAnsi="Times New Roman" w:cs="Times New Roman"/>
          <w:color w:val="auto"/>
          <w:kern w:val="22"/>
        </w:rPr>
        <w:t xml:space="preserve">help to inform and support policy. </w:t>
      </w:r>
      <w:r w:rsidRPr="00471447">
        <w:rPr>
          <w:rFonts w:ascii="Times New Roman" w:eastAsia="Cambria" w:hAnsi="Times New Roman" w:cs="Times New Roman"/>
          <w:kern w:val="22"/>
        </w:rPr>
        <w:t>The</w:t>
      </w:r>
      <w:r w:rsidR="00421504" w:rsidRPr="00471447">
        <w:rPr>
          <w:rFonts w:ascii="Times New Roman" w:eastAsia="Cambria" w:hAnsi="Times New Roman" w:cs="Times New Roman"/>
          <w:color w:val="auto"/>
          <w:kern w:val="22"/>
        </w:rPr>
        <w:t xml:space="preserve"> </w:t>
      </w:r>
      <w:r w:rsidR="000D5A4F" w:rsidRPr="00471447">
        <w:rPr>
          <w:rFonts w:ascii="Times New Roman" w:eastAsia="Cambria" w:hAnsi="Times New Roman" w:cs="Times New Roman"/>
          <w:color w:val="auto"/>
          <w:kern w:val="22"/>
        </w:rPr>
        <w:t>importance</w:t>
      </w:r>
      <w:r w:rsidR="00421504" w:rsidRPr="00471447">
        <w:rPr>
          <w:rFonts w:ascii="Times New Roman" w:eastAsia="Cambria" w:hAnsi="Times New Roman" w:cs="Times New Roman"/>
          <w:color w:val="auto"/>
          <w:kern w:val="22"/>
        </w:rPr>
        <w:t xml:space="preserve"> of harnessing the value of mechanisms and tools </w:t>
      </w:r>
      <w:r w:rsidR="00522A17" w:rsidRPr="00471447">
        <w:rPr>
          <w:rFonts w:ascii="Times New Roman" w:eastAsia="Cambria" w:hAnsi="Times New Roman" w:cs="Times New Roman"/>
          <w:color w:val="auto"/>
          <w:kern w:val="22"/>
        </w:rPr>
        <w:t>link</w:t>
      </w:r>
      <w:r w:rsidR="00421504" w:rsidRPr="00471447">
        <w:rPr>
          <w:rFonts w:ascii="Times New Roman" w:eastAsia="Cambria" w:hAnsi="Times New Roman" w:cs="Times New Roman"/>
          <w:color w:val="auto"/>
          <w:kern w:val="22"/>
        </w:rPr>
        <w:t>ing</w:t>
      </w:r>
      <w:r w:rsidRPr="00471447">
        <w:rPr>
          <w:rFonts w:ascii="Times New Roman" w:eastAsia="Cambria" w:hAnsi="Times New Roman" w:cs="Times New Roman"/>
          <w:color w:val="auto"/>
          <w:kern w:val="22"/>
        </w:rPr>
        <w:t xml:space="preserve"> </w:t>
      </w:r>
      <w:r w:rsidR="00522A17" w:rsidRPr="00471447">
        <w:rPr>
          <w:rFonts w:ascii="Times New Roman" w:eastAsia="Cambria" w:hAnsi="Times New Roman" w:cs="Times New Roman"/>
          <w:color w:val="auto"/>
          <w:kern w:val="22"/>
        </w:rPr>
        <w:t>biodiversity</w:t>
      </w:r>
      <w:r w:rsidRPr="00471447">
        <w:rPr>
          <w:rFonts w:ascii="Times New Roman" w:eastAsia="Cambria" w:hAnsi="Times New Roman" w:cs="Times New Roman"/>
          <w:color w:val="auto"/>
          <w:kern w:val="22"/>
        </w:rPr>
        <w:t xml:space="preserve">, </w:t>
      </w:r>
      <w:r w:rsidRPr="00471447">
        <w:rPr>
          <w:rFonts w:ascii="Times New Roman" w:eastAsia="Cambria" w:hAnsi="Times New Roman" w:cs="Times New Roman"/>
          <w:kern w:val="22"/>
        </w:rPr>
        <w:t xml:space="preserve">food systems, nutrition and health, </w:t>
      </w:r>
      <w:r w:rsidRPr="00471447">
        <w:rPr>
          <w:rFonts w:ascii="Times New Roman" w:eastAsia="Cambria" w:hAnsi="Times New Roman" w:cs="Times New Roman"/>
          <w:color w:val="auto"/>
          <w:kern w:val="22"/>
        </w:rPr>
        <w:t>was identified as valuable</w:t>
      </w:r>
      <w:r w:rsidR="00522A17" w:rsidRPr="00471447">
        <w:rPr>
          <w:rFonts w:ascii="Times New Roman" w:eastAsia="Cambria" w:hAnsi="Times New Roman" w:cs="Times New Roman"/>
          <w:color w:val="auto"/>
          <w:kern w:val="22"/>
        </w:rPr>
        <w:t xml:space="preserve">. </w:t>
      </w:r>
      <w:r w:rsidR="00421504" w:rsidRPr="00471447">
        <w:rPr>
          <w:rFonts w:ascii="Times New Roman" w:eastAsia="Cambria" w:hAnsi="Times New Roman" w:cs="Times New Roman"/>
          <w:color w:val="auto"/>
          <w:kern w:val="22"/>
        </w:rPr>
        <w:t>Local food m</w:t>
      </w:r>
      <w:r w:rsidR="00522A17" w:rsidRPr="00471447">
        <w:rPr>
          <w:rFonts w:ascii="Times New Roman" w:eastAsia="Cambria" w:hAnsi="Times New Roman" w:cs="Times New Roman"/>
          <w:color w:val="auto"/>
          <w:kern w:val="22"/>
        </w:rPr>
        <w:t xml:space="preserve">arkets </w:t>
      </w:r>
      <w:r w:rsidR="00421504" w:rsidRPr="00471447">
        <w:rPr>
          <w:rFonts w:ascii="Times New Roman" w:eastAsia="Cambria" w:hAnsi="Times New Roman" w:cs="Times New Roman"/>
          <w:color w:val="auto"/>
          <w:kern w:val="22"/>
        </w:rPr>
        <w:t>were suggested</w:t>
      </w:r>
      <w:r w:rsidRPr="00471447">
        <w:rPr>
          <w:rFonts w:ascii="Times New Roman" w:eastAsia="Cambria" w:hAnsi="Times New Roman" w:cs="Times New Roman"/>
          <w:color w:val="auto"/>
          <w:kern w:val="22"/>
        </w:rPr>
        <w:t xml:space="preserve"> as </w:t>
      </w:r>
      <w:r w:rsidR="00EC4539" w:rsidRPr="00471447">
        <w:rPr>
          <w:rFonts w:ascii="Times New Roman" w:eastAsia="Cambria" w:hAnsi="Times New Roman" w:cs="Times New Roman"/>
          <w:color w:val="auto"/>
          <w:kern w:val="22"/>
        </w:rPr>
        <w:t xml:space="preserve">one </w:t>
      </w:r>
      <w:r w:rsidR="00522A17" w:rsidRPr="00471447">
        <w:rPr>
          <w:rFonts w:ascii="Times New Roman" w:eastAsia="Cambria" w:hAnsi="Times New Roman" w:cs="Times New Roman"/>
          <w:color w:val="auto"/>
          <w:kern w:val="22"/>
        </w:rPr>
        <w:t xml:space="preserve">example of </w:t>
      </w:r>
      <w:r w:rsidR="00023F86" w:rsidRPr="00471447">
        <w:rPr>
          <w:rFonts w:ascii="Times New Roman" w:eastAsia="Cambria" w:hAnsi="Times New Roman" w:cs="Times New Roman"/>
          <w:color w:val="auto"/>
          <w:kern w:val="22"/>
        </w:rPr>
        <w:t>an</w:t>
      </w:r>
      <w:r w:rsidR="00421504" w:rsidRPr="00471447">
        <w:rPr>
          <w:rFonts w:ascii="Times New Roman" w:eastAsia="Cambria" w:hAnsi="Times New Roman" w:cs="Times New Roman"/>
          <w:color w:val="auto"/>
          <w:kern w:val="22"/>
        </w:rPr>
        <w:t xml:space="preserve"> </w:t>
      </w:r>
      <w:r w:rsidR="00522A17" w:rsidRPr="00471447">
        <w:rPr>
          <w:rFonts w:ascii="Times New Roman" w:eastAsia="Cambria" w:hAnsi="Times New Roman" w:cs="Times New Roman"/>
          <w:color w:val="auto"/>
          <w:kern w:val="22"/>
        </w:rPr>
        <w:t xml:space="preserve">interface between wild biodiversity and health </w:t>
      </w:r>
      <w:r w:rsidR="00023F86" w:rsidRPr="00471447">
        <w:rPr>
          <w:rFonts w:ascii="Times New Roman" w:eastAsia="Cambria" w:hAnsi="Times New Roman" w:cs="Times New Roman"/>
          <w:color w:val="auto"/>
          <w:kern w:val="22"/>
        </w:rPr>
        <w:t xml:space="preserve">that </w:t>
      </w:r>
      <w:r w:rsidR="00421504" w:rsidRPr="00471447">
        <w:rPr>
          <w:rFonts w:ascii="Times New Roman" w:eastAsia="Cambria" w:hAnsi="Times New Roman" w:cs="Times New Roman"/>
          <w:color w:val="auto"/>
          <w:kern w:val="22"/>
        </w:rPr>
        <w:t xml:space="preserve">could be </w:t>
      </w:r>
      <w:r w:rsidR="00EC4539" w:rsidRPr="00471447">
        <w:rPr>
          <w:rFonts w:ascii="Times New Roman" w:eastAsia="Cambria" w:hAnsi="Times New Roman" w:cs="Times New Roman"/>
          <w:color w:val="auto"/>
          <w:kern w:val="22"/>
        </w:rPr>
        <w:t>strengthened</w:t>
      </w:r>
      <w:r w:rsidR="00522A17" w:rsidRPr="00471447">
        <w:rPr>
          <w:rFonts w:ascii="Times New Roman" w:eastAsia="Cambria" w:hAnsi="Times New Roman" w:cs="Times New Roman"/>
          <w:color w:val="auto"/>
          <w:kern w:val="22"/>
        </w:rPr>
        <w:t>.</w:t>
      </w:r>
    </w:p>
    <w:p w:rsidR="00485D35" w:rsidRPr="00471447" w:rsidRDefault="00EC453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color w:val="auto"/>
          <w:kern w:val="22"/>
        </w:rPr>
        <w:t>Ms. Khim</w:t>
      </w:r>
      <w:r w:rsidR="00485D35" w:rsidRPr="00471447">
        <w:rPr>
          <w:rFonts w:ascii="Times New Roman" w:eastAsia="Cambria" w:hAnsi="Times New Roman" w:cs="Times New Roman"/>
          <w:color w:val="auto"/>
          <w:kern w:val="22"/>
        </w:rPr>
        <w:t xml:space="preserve"> of the Food and Agriculture Organization of the United Nations (FAO) (</w:t>
      </w:r>
      <w:hyperlink r:id="rId13" w:history="1">
        <w:r w:rsidR="00485D35" w:rsidRPr="00471447">
          <w:rPr>
            <w:rStyle w:val="Hyperlink"/>
            <w:rFonts w:ascii="Times New Roman" w:eastAsia="Cambria" w:hAnsi="Times New Roman" w:cs="Times New Roman"/>
            <w:kern w:val="22"/>
            <w:u w:val="none"/>
          </w:rPr>
          <w:t>http://www.fao.org/home/en/)</w:t>
        </w:r>
      </w:hyperlink>
      <w:r w:rsidR="000D5A4F" w:rsidRPr="00471447">
        <w:rPr>
          <w:rStyle w:val="Hyperlink"/>
          <w:rFonts w:ascii="Times New Roman" w:eastAsia="Cambria" w:hAnsi="Times New Roman" w:cs="Times New Roman"/>
          <w:kern w:val="22"/>
          <w:u w:val="none"/>
        </w:rPr>
        <w:t xml:space="preserve"> </w:t>
      </w:r>
      <w:r w:rsidR="000D5A4F" w:rsidRPr="00471447">
        <w:rPr>
          <w:rFonts w:ascii="Times New Roman" w:eastAsia="Cambria" w:hAnsi="Times New Roman" w:cs="Times New Roman"/>
          <w:color w:val="auto"/>
          <w:kern w:val="22"/>
        </w:rPr>
        <w:t xml:space="preserve">also </w:t>
      </w:r>
      <w:r w:rsidR="000D5A4F" w:rsidRPr="00471447">
        <w:rPr>
          <w:rFonts w:ascii="Times New Roman" w:eastAsia="Cambria" w:hAnsi="Times New Roman" w:cs="Times New Roman"/>
          <w:kern w:val="22"/>
        </w:rPr>
        <w:t xml:space="preserve">welcomed the establishment of </w:t>
      </w:r>
      <w:r w:rsidR="003151F5">
        <w:rPr>
          <w:rFonts w:ascii="Times New Roman" w:eastAsia="Cambria" w:hAnsi="Times New Roman" w:cs="Times New Roman"/>
          <w:kern w:val="22"/>
        </w:rPr>
        <w:t xml:space="preserve">the </w:t>
      </w:r>
      <w:r w:rsidR="000D5A4F" w:rsidRPr="00471447">
        <w:rPr>
          <w:rFonts w:ascii="Times New Roman" w:eastAsia="Cambria" w:hAnsi="Times New Roman" w:cs="Times New Roman"/>
          <w:kern w:val="22"/>
        </w:rPr>
        <w:t>ILG</w:t>
      </w:r>
      <w:r w:rsidR="00485D35" w:rsidRPr="00471447">
        <w:rPr>
          <w:rFonts w:ascii="Times New Roman" w:eastAsia="Cambria" w:hAnsi="Times New Roman" w:cs="Times New Roman"/>
          <w:kern w:val="22"/>
        </w:rPr>
        <w:t xml:space="preserve">. </w:t>
      </w:r>
      <w:r w:rsidR="000D5A4F" w:rsidRPr="00471447">
        <w:rPr>
          <w:rFonts w:ascii="Times New Roman" w:eastAsia="Cambria" w:hAnsi="Times New Roman" w:cs="Times New Roman"/>
          <w:kern w:val="22"/>
        </w:rPr>
        <w:t>She</w:t>
      </w:r>
      <w:r w:rsidR="00485D35" w:rsidRPr="00471447">
        <w:rPr>
          <w:rFonts w:ascii="Times New Roman" w:eastAsia="Cambria" w:hAnsi="Times New Roman" w:cs="Times New Roman"/>
          <w:kern w:val="22"/>
        </w:rPr>
        <w:t xml:space="preserve"> </w:t>
      </w:r>
      <w:r w:rsidR="000D5A4F" w:rsidRPr="00471447">
        <w:rPr>
          <w:rFonts w:ascii="Times New Roman" w:eastAsia="Cambria" w:hAnsi="Times New Roman" w:cs="Times New Roman"/>
          <w:kern w:val="22"/>
        </w:rPr>
        <w:t>reiterated</w:t>
      </w:r>
      <w:r w:rsidR="00AA6360" w:rsidRPr="00471447">
        <w:rPr>
          <w:rFonts w:ascii="Times New Roman" w:eastAsia="Cambria" w:hAnsi="Times New Roman" w:cs="Times New Roman"/>
          <w:kern w:val="22"/>
        </w:rPr>
        <w:t xml:space="preserve"> </w:t>
      </w:r>
      <w:r w:rsidR="00485D35" w:rsidRPr="00471447">
        <w:rPr>
          <w:rFonts w:ascii="Times New Roman" w:eastAsia="Cambria" w:hAnsi="Times New Roman" w:cs="Times New Roman"/>
          <w:kern w:val="22"/>
        </w:rPr>
        <w:t>the FAO’s mandate to improve nutrition, increase agricultural productivity, and to contribute to global economic growth</w:t>
      </w:r>
      <w:r w:rsidR="000D5A4F" w:rsidRPr="00471447">
        <w:rPr>
          <w:rFonts w:ascii="Times New Roman" w:eastAsia="Cambria" w:hAnsi="Times New Roman" w:cs="Times New Roman"/>
          <w:kern w:val="22"/>
        </w:rPr>
        <w:t>, noting</w:t>
      </w:r>
      <w:r w:rsidR="00485D35" w:rsidRPr="00471447">
        <w:rPr>
          <w:rFonts w:ascii="Times New Roman" w:eastAsia="Cambria" w:hAnsi="Times New Roman" w:cs="Times New Roman"/>
          <w:kern w:val="22"/>
        </w:rPr>
        <w:t xml:space="preserve"> that biodiversity is </w:t>
      </w:r>
      <w:r w:rsidR="000D5A4F" w:rsidRPr="00471447">
        <w:rPr>
          <w:rFonts w:ascii="Times New Roman" w:eastAsia="Cambria" w:hAnsi="Times New Roman" w:cs="Times New Roman"/>
          <w:kern w:val="22"/>
        </w:rPr>
        <w:t xml:space="preserve">highly </w:t>
      </w:r>
      <w:r w:rsidR="00485D35" w:rsidRPr="00471447">
        <w:rPr>
          <w:rFonts w:ascii="Times New Roman" w:eastAsia="Cambria" w:hAnsi="Times New Roman" w:cs="Times New Roman"/>
          <w:kern w:val="22"/>
        </w:rPr>
        <w:t>relevant to all five of the FAO’s strategic objectives</w:t>
      </w:r>
      <w:r w:rsidR="000D5A4F" w:rsidRPr="00471447">
        <w:rPr>
          <w:rFonts w:ascii="Times New Roman" w:eastAsia="Cambria" w:hAnsi="Times New Roman" w:cs="Times New Roman"/>
          <w:kern w:val="22"/>
        </w:rPr>
        <w:t>. These include, for example,</w:t>
      </w:r>
      <w:r w:rsidR="00485D35" w:rsidRPr="00471447">
        <w:rPr>
          <w:rFonts w:ascii="Times New Roman" w:eastAsia="Cambria" w:hAnsi="Times New Roman" w:cs="Times New Roman"/>
          <w:kern w:val="22"/>
        </w:rPr>
        <w:t xml:space="preserve"> making agriculture, forestry and fisheries more productive and sustainable</w:t>
      </w:r>
      <w:r w:rsidR="000D5A4F" w:rsidRPr="00471447">
        <w:rPr>
          <w:rFonts w:ascii="Times New Roman" w:eastAsia="Cambria" w:hAnsi="Times New Roman" w:cs="Times New Roman"/>
          <w:kern w:val="22"/>
        </w:rPr>
        <w:t>, supporting livelihoods</w:t>
      </w:r>
      <w:r w:rsidR="00485D35" w:rsidRPr="00471447">
        <w:rPr>
          <w:rFonts w:ascii="Times New Roman" w:eastAsia="Cambria" w:hAnsi="Times New Roman" w:cs="Times New Roman"/>
          <w:kern w:val="22"/>
        </w:rPr>
        <w:t xml:space="preserve"> and increasing resilience </w:t>
      </w:r>
      <w:r w:rsidR="000D5A4F" w:rsidRPr="00471447">
        <w:rPr>
          <w:rFonts w:ascii="Times New Roman" w:eastAsia="Cambria" w:hAnsi="Times New Roman" w:cs="Times New Roman"/>
          <w:kern w:val="22"/>
        </w:rPr>
        <w:t>to disaster risk</w:t>
      </w:r>
      <w:r w:rsidR="00485D35" w:rsidRPr="00471447">
        <w:rPr>
          <w:rFonts w:ascii="Times New Roman" w:eastAsia="Cambria" w:hAnsi="Times New Roman" w:cs="Times New Roman"/>
          <w:kern w:val="22"/>
        </w:rPr>
        <w:t xml:space="preserve">. </w:t>
      </w:r>
      <w:r w:rsidR="000D5A4F" w:rsidRPr="00471447">
        <w:rPr>
          <w:rFonts w:ascii="Times New Roman" w:eastAsia="Cambria" w:hAnsi="Times New Roman" w:cs="Times New Roman"/>
          <w:kern w:val="22"/>
        </w:rPr>
        <w:t>She</w:t>
      </w:r>
      <w:r w:rsidR="00485D35" w:rsidRPr="00471447">
        <w:rPr>
          <w:rFonts w:ascii="Times New Roman" w:eastAsia="Cambria" w:hAnsi="Times New Roman" w:cs="Times New Roman"/>
          <w:kern w:val="22"/>
        </w:rPr>
        <w:t xml:space="preserve"> noted that</w:t>
      </w:r>
      <w:r w:rsidR="000D5A4F" w:rsidRPr="00471447">
        <w:rPr>
          <w:rFonts w:ascii="Times New Roman" w:eastAsia="Cambria" w:hAnsi="Times New Roman" w:cs="Times New Roman"/>
          <w:kern w:val="22"/>
        </w:rPr>
        <w:t xml:space="preserve"> greater synergies could be made </w:t>
      </w:r>
      <w:r w:rsidRPr="00471447">
        <w:rPr>
          <w:rFonts w:ascii="Times New Roman" w:eastAsia="Cambria" w:hAnsi="Times New Roman" w:cs="Times New Roman"/>
          <w:kern w:val="22"/>
        </w:rPr>
        <w:t>by the ILG to strengthen synergies among</w:t>
      </w:r>
      <w:r w:rsidR="000D5A4F"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different global commitments for sustainability</w:t>
      </w:r>
      <w:r w:rsidR="00485D35" w:rsidRPr="00471447">
        <w:rPr>
          <w:rFonts w:ascii="Times New Roman" w:eastAsia="Cambria" w:hAnsi="Times New Roman" w:cs="Times New Roman"/>
          <w:kern w:val="22"/>
        </w:rPr>
        <w:t>.</w:t>
      </w:r>
    </w:p>
    <w:p w:rsidR="00315E3C" w:rsidRPr="00471447" w:rsidRDefault="000D5A4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Ms. Khim noted the</w:t>
      </w:r>
      <w:r w:rsidR="00485D35" w:rsidRPr="00471447">
        <w:rPr>
          <w:rFonts w:ascii="Times New Roman" w:eastAsia="Cambria" w:hAnsi="Times New Roman" w:cs="Times New Roman"/>
          <w:kern w:val="22"/>
        </w:rPr>
        <w:t xml:space="preserve"> </w:t>
      </w:r>
      <w:r w:rsidR="00F10021" w:rsidRPr="00471447">
        <w:rPr>
          <w:rFonts w:ascii="Times New Roman" w:eastAsia="Cambria" w:hAnsi="Times New Roman" w:cs="Times New Roman"/>
          <w:kern w:val="22"/>
        </w:rPr>
        <w:t xml:space="preserve">strengthening </w:t>
      </w:r>
      <w:r w:rsidR="00485D35" w:rsidRPr="00471447">
        <w:rPr>
          <w:rFonts w:ascii="Times New Roman" w:eastAsia="Cambria" w:hAnsi="Times New Roman" w:cs="Times New Roman"/>
          <w:kern w:val="22"/>
        </w:rPr>
        <w:t xml:space="preserve">of </w:t>
      </w:r>
      <w:r w:rsidRPr="00471447">
        <w:rPr>
          <w:rFonts w:ascii="Times New Roman" w:eastAsia="Cambria" w:hAnsi="Times New Roman" w:cs="Times New Roman"/>
          <w:kern w:val="22"/>
        </w:rPr>
        <w:t xml:space="preserve">FAO’s </w:t>
      </w:r>
      <w:r w:rsidR="00485D35" w:rsidRPr="00471447">
        <w:rPr>
          <w:rFonts w:ascii="Times New Roman" w:eastAsia="Cambria" w:hAnsi="Times New Roman" w:cs="Times New Roman"/>
          <w:kern w:val="22"/>
        </w:rPr>
        <w:t>collaboration with CBD and WHO</w:t>
      </w:r>
      <w:r w:rsidR="00EC4539" w:rsidRPr="00471447">
        <w:rPr>
          <w:rFonts w:ascii="Times New Roman" w:eastAsia="Cambria" w:hAnsi="Times New Roman" w:cs="Times New Roman"/>
          <w:kern w:val="22"/>
        </w:rPr>
        <w:t>, and presented</w:t>
      </w:r>
      <w:r w:rsidR="00485D35" w:rsidRPr="00471447">
        <w:rPr>
          <w:rFonts w:ascii="Times New Roman" w:eastAsia="Cambria" w:hAnsi="Times New Roman" w:cs="Times New Roman"/>
          <w:kern w:val="22"/>
        </w:rPr>
        <w:t xml:space="preserve"> </w:t>
      </w:r>
      <w:r w:rsidR="00EC4539" w:rsidRPr="00471447">
        <w:rPr>
          <w:rFonts w:ascii="Times New Roman" w:eastAsia="Cambria" w:hAnsi="Times New Roman" w:cs="Times New Roman"/>
          <w:kern w:val="22"/>
        </w:rPr>
        <w:t>i</w:t>
      </w:r>
      <w:r w:rsidR="00485D35" w:rsidRPr="00471447">
        <w:rPr>
          <w:rFonts w:ascii="Times New Roman" w:eastAsia="Cambria" w:hAnsi="Times New Roman" w:cs="Times New Roman"/>
          <w:kern w:val="22"/>
        </w:rPr>
        <w:t>nstruments</w:t>
      </w:r>
      <w:r w:rsidR="00F10021" w:rsidRPr="00471447">
        <w:rPr>
          <w:rFonts w:ascii="Times New Roman" w:eastAsia="Cambria" w:hAnsi="Times New Roman" w:cs="Times New Roman"/>
          <w:kern w:val="22"/>
        </w:rPr>
        <w:t xml:space="preserve"> and tools</w:t>
      </w:r>
      <w:r w:rsidR="00485D35" w:rsidRPr="00471447">
        <w:rPr>
          <w:rFonts w:ascii="Times New Roman" w:eastAsia="Cambria" w:hAnsi="Times New Roman" w:cs="Times New Roman"/>
          <w:kern w:val="22"/>
        </w:rPr>
        <w:t xml:space="preserve"> developed by FAO </w:t>
      </w:r>
      <w:r w:rsidR="00F10021" w:rsidRPr="00471447">
        <w:rPr>
          <w:rFonts w:ascii="Times New Roman" w:eastAsia="Cambria" w:hAnsi="Times New Roman" w:cs="Times New Roman"/>
          <w:kern w:val="22"/>
        </w:rPr>
        <w:t>relevant to the work of the ILG</w:t>
      </w:r>
      <w:r w:rsidR="00EC4539" w:rsidRPr="00471447">
        <w:rPr>
          <w:rFonts w:ascii="Times New Roman" w:eastAsia="Cambria" w:hAnsi="Times New Roman" w:cs="Times New Roman"/>
          <w:kern w:val="22"/>
        </w:rPr>
        <w:t xml:space="preserve">, noting that this work </w:t>
      </w:r>
      <w:r w:rsidR="007A39DB" w:rsidRPr="00471447">
        <w:rPr>
          <w:rFonts w:ascii="Times New Roman" w:eastAsia="Cambria" w:hAnsi="Times New Roman" w:cs="Times New Roman"/>
          <w:kern w:val="22"/>
        </w:rPr>
        <w:t>could be useful</w:t>
      </w:r>
      <w:r w:rsidR="00485D35" w:rsidRPr="00471447">
        <w:rPr>
          <w:rFonts w:ascii="Times New Roman" w:eastAsia="Cambria" w:hAnsi="Times New Roman" w:cs="Times New Roman"/>
          <w:kern w:val="22"/>
        </w:rPr>
        <w:t xml:space="preserve"> to data-sharing among participants.</w:t>
      </w:r>
      <w:r w:rsidR="00EC4539" w:rsidRPr="00471447">
        <w:rPr>
          <w:rFonts w:ascii="Times New Roman" w:eastAsia="Cambria" w:hAnsi="Times New Roman" w:cs="Times New Roman"/>
          <w:kern w:val="22"/>
        </w:rPr>
        <w:t xml:space="preserve"> For example, the</w:t>
      </w:r>
      <w:r w:rsidR="00485D35" w:rsidRPr="00471447">
        <w:rPr>
          <w:rFonts w:ascii="Times New Roman" w:eastAsia="Cambria" w:hAnsi="Times New Roman" w:cs="Times New Roman"/>
          <w:kern w:val="22"/>
        </w:rPr>
        <w:t xml:space="preserve"> FAO</w:t>
      </w:r>
      <w:r w:rsidR="007A39DB" w:rsidRPr="00471447">
        <w:rPr>
          <w:rFonts w:ascii="Times New Roman" w:eastAsia="Cambria" w:hAnsi="Times New Roman" w:cs="Times New Roman"/>
          <w:kern w:val="22"/>
        </w:rPr>
        <w:t xml:space="preserve"> </w:t>
      </w:r>
      <w:r w:rsidR="00485D35" w:rsidRPr="00471447">
        <w:rPr>
          <w:rFonts w:ascii="Times New Roman" w:eastAsia="Cambria" w:hAnsi="Times New Roman" w:cs="Times New Roman"/>
          <w:kern w:val="22"/>
        </w:rPr>
        <w:t>work on promoting voluntary guidelines</w:t>
      </w:r>
      <w:r w:rsidR="00F10021" w:rsidRPr="00471447">
        <w:rPr>
          <w:rStyle w:val="FootnoteReference"/>
          <w:rFonts w:ascii="Times New Roman" w:eastAsia="Cambria" w:hAnsi="Times New Roman" w:cs="Times New Roman"/>
          <w:kern w:val="22"/>
        </w:rPr>
        <w:footnoteReference w:id="4"/>
      </w:r>
      <w:r w:rsidR="00485D35" w:rsidRPr="00471447">
        <w:rPr>
          <w:rFonts w:ascii="Times New Roman" w:eastAsia="Cambria" w:hAnsi="Times New Roman" w:cs="Times New Roman"/>
          <w:kern w:val="22"/>
        </w:rPr>
        <w:t xml:space="preserve"> on integrating biodiversity in policies, program</w:t>
      </w:r>
      <w:r w:rsidR="003151F5">
        <w:rPr>
          <w:rFonts w:ascii="Times New Roman" w:eastAsia="Cambria" w:hAnsi="Times New Roman" w:cs="Times New Roman"/>
          <w:kern w:val="22"/>
        </w:rPr>
        <w:t>me</w:t>
      </w:r>
      <w:r w:rsidR="00485D35" w:rsidRPr="00471447">
        <w:rPr>
          <w:rFonts w:ascii="Times New Roman" w:eastAsia="Cambria" w:hAnsi="Times New Roman" w:cs="Times New Roman"/>
          <w:kern w:val="22"/>
        </w:rPr>
        <w:t>s in national and regional plan</w:t>
      </w:r>
      <w:r w:rsidR="00EC4539" w:rsidRPr="00471447">
        <w:rPr>
          <w:rFonts w:ascii="Times New Roman" w:eastAsia="Cambria" w:hAnsi="Times New Roman" w:cs="Times New Roman"/>
          <w:kern w:val="22"/>
        </w:rPr>
        <w:t>s</w:t>
      </w:r>
      <w:r w:rsidR="00485D35" w:rsidRPr="00471447">
        <w:rPr>
          <w:rFonts w:ascii="Times New Roman" w:eastAsia="Cambria" w:hAnsi="Times New Roman" w:cs="Times New Roman"/>
          <w:kern w:val="22"/>
        </w:rPr>
        <w:t xml:space="preserve"> of action on nutrition</w:t>
      </w:r>
      <w:r w:rsidR="007A39DB" w:rsidRPr="00471447">
        <w:rPr>
          <w:rFonts w:ascii="Times New Roman" w:eastAsia="Cambria" w:hAnsi="Times New Roman" w:cs="Times New Roman"/>
          <w:kern w:val="22"/>
        </w:rPr>
        <w:t xml:space="preserve"> provided an example of how mainstreaming </w:t>
      </w:r>
      <w:r w:rsidR="003151F5">
        <w:rPr>
          <w:rFonts w:ascii="Times New Roman" w:eastAsia="Cambria" w:hAnsi="Times New Roman" w:cs="Times New Roman"/>
          <w:kern w:val="22"/>
        </w:rPr>
        <w:t>could</w:t>
      </w:r>
      <w:r w:rsidR="003151F5" w:rsidRPr="00471447">
        <w:rPr>
          <w:rFonts w:ascii="Times New Roman" w:eastAsia="Cambria" w:hAnsi="Times New Roman" w:cs="Times New Roman"/>
          <w:kern w:val="22"/>
        </w:rPr>
        <w:t xml:space="preserve"> </w:t>
      </w:r>
      <w:r w:rsidR="007A39DB" w:rsidRPr="00471447">
        <w:rPr>
          <w:rFonts w:ascii="Times New Roman" w:eastAsia="Cambria" w:hAnsi="Times New Roman" w:cs="Times New Roman"/>
          <w:kern w:val="22"/>
        </w:rPr>
        <w:t xml:space="preserve">be implemented, in ways tailored to country needs and capacities. </w:t>
      </w:r>
      <w:r w:rsidR="00EC4539" w:rsidRPr="00471447">
        <w:rPr>
          <w:rFonts w:ascii="Times New Roman" w:eastAsia="Cambria" w:hAnsi="Times New Roman" w:cs="Times New Roman"/>
          <w:kern w:val="22"/>
        </w:rPr>
        <w:t xml:space="preserve">FAO </w:t>
      </w:r>
      <w:r w:rsidR="00315E3C" w:rsidRPr="00471447">
        <w:rPr>
          <w:rFonts w:ascii="Times New Roman" w:eastAsia="Cambria" w:hAnsi="Times New Roman" w:cs="Times New Roman"/>
          <w:kern w:val="22"/>
        </w:rPr>
        <w:t xml:space="preserve">reiterated its role as a core implementing partner of the Biodiversity for Food and Nutrition project and its collaborative work with WHO and OIE on One Health. </w:t>
      </w:r>
      <w:r w:rsidR="003151F5">
        <w:rPr>
          <w:rFonts w:ascii="Times New Roman" w:eastAsia="Cambria" w:hAnsi="Times New Roman" w:cs="Times New Roman"/>
          <w:kern w:val="22"/>
        </w:rPr>
        <w:t>He</w:t>
      </w:r>
      <w:r w:rsidR="00315E3C" w:rsidRPr="00471447">
        <w:rPr>
          <w:rFonts w:ascii="Times New Roman" w:eastAsia="Cambria" w:hAnsi="Times New Roman" w:cs="Times New Roman"/>
          <w:kern w:val="22"/>
        </w:rPr>
        <w:t xml:space="preserve"> noted that its scientific reports and data could make a substantial contribution to the work of the ILG and </w:t>
      </w:r>
      <w:r w:rsidR="00C47DE3">
        <w:rPr>
          <w:rFonts w:ascii="Times New Roman" w:eastAsia="Cambria" w:hAnsi="Times New Roman" w:cs="Times New Roman"/>
          <w:kern w:val="22"/>
        </w:rPr>
        <w:t xml:space="preserve">that </w:t>
      </w:r>
      <w:r w:rsidR="00F2114B" w:rsidRPr="00471447">
        <w:rPr>
          <w:rFonts w:ascii="Times New Roman" w:eastAsia="Cambria" w:hAnsi="Times New Roman" w:cs="Times New Roman"/>
          <w:kern w:val="22"/>
        </w:rPr>
        <w:t xml:space="preserve">additional </w:t>
      </w:r>
      <w:r w:rsidR="00315E3C" w:rsidRPr="00471447">
        <w:rPr>
          <w:rFonts w:ascii="Times New Roman" w:eastAsia="Cambria" w:hAnsi="Times New Roman" w:cs="Times New Roman"/>
          <w:kern w:val="22"/>
        </w:rPr>
        <w:t xml:space="preserve">colleagues from other </w:t>
      </w:r>
      <w:r w:rsidR="00023F86" w:rsidRPr="00471447">
        <w:rPr>
          <w:rFonts w:ascii="Times New Roman" w:eastAsia="Cambria" w:hAnsi="Times New Roman" w:cs="Times New Roman"/>
          <w:kern w:val="22"/>
        </w:rPr>
        <w:t>FAO divisions c</w:t>
      </w:r>
      <w:r w:rsidR="00315E3C" w:rsidRPr="00471447">
        <w:rPr>
          <w:rFonts w:ascii="Times New Roman" w:eastAsia="Cambria" w:hAnsi="Times New Roman" w:cs="Times New Roman"/>
          <w:kern w:val="22"/>
        </w:rPr>
        <w:t xml:space="preserve">ould also make a valuable contribution to the group’s </w:t>
      </w:r>
      <w:r w:rsidR="00F2114B" w:rsidRPr="00471447">
        <w:rPr>
          <w:rFonts w:ascii="Times New Roman" w:eastAsia="Cambria" w:hAnsi="Times New Roman" w:cs="Times New Roman"/>
          <w:kern w:val="22"/>
        </w:rPr>
        <w:t xml:space="preserve">future meetings and </w:t>
      </w:r>
      <w:r w:rsidR="00315E3C" w:rsidRPr="00471447">
        <w:rPr>
          <w:rFonts w:ascii="Times New Roman" w:eastAsia="Cambria" w:hAnsi="Times New Roman" w:cs="Times New Roman"/>
          <w:kern w:val="22"/>
        </w:rPr>
        <w:t>work.</w:t>
      </w:r>
    </w:p>
    <w:p w:rsidR="00315E3C" w:rsidRPr="00471447" w:rsidRDefault="00315E3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Ms. Machalaba presented the work of Future Earth, a consortium </w:t>
      </w:r>
      <w:r w:rsidR="000D5A4F" w:rsidRPr="00471447">
        <w:rPr>
          <w:rFonts w:ascii="Times New Roman" w:eastAsia="Cambria" w:hAnsi="Times New Roman" w:cs="Times New Roman"/>
          <w:kern w:val="22"/>
        </w:rPr>
        <w:t>bringing together</w:t>
      </w:r>
      <w:r w:rsidRPr="00471447">
        <w:rPr>
          <w:rFonts w:ascii="Times New Roman" w:eastAsia="Cambria" w:hAnsi="Times New Roman" w:cs="Times New Roman"/>
          <w:kern w:val="22"/>
        </w:rPr>
        <w:t xml:space="preserve"> an estimated 50,000 experts</w:t>
      </w:r>
      <w:r w:rsidR="00CF7E92" w:rsidRPr="00471447">
        <w:rPr>
          <w:rFonts w:ascii="Times New Roman" w:eastAsia="Cambria" w:hAnsi="Times New Roman" w:cs="Times New Roman"/>
          <w:kern w:val="22"/>
        </w:rPr>
        <w:t xml:space="preserve"> (</w:t>
      </w:r>
      <w:hyperlink r:id="rId14" w:history="1">
        <w:r w:rsidR="00CF7E92" w:rsidRPr="00471447">
          <w:rPr>
            <w:rStyle w:val="Hyperlink"/>
            <w:rFonts w:ascii="Times New Roman" w:eastAsia="Cambria" w:hAnsi="Times New Roman" w:cs="Times New Roman"/>
            <w:kern w:val="22"/>
          </w:rPr>
          <w:t>http://www.futur</w:t>
        </w:r>
        <w:r w:rsidR="00CF7E92" w:rsidRPr="00471447">
          <w:rPr>
            <w:rStyle w:val="Hyperlink"/>
            <w:rFonts w:ascii="Times New Roman" w:eastAsia="Cambria" w:hAnsi="Times New Roman" w:cs="Times New Roman"/>
            <w:kern w:val="22"/>
          </w:rPr>
          <w:t>e</w:t>
        </w:r>
        <w:r w:rsidR="00CF7E92" w:rsidRPr="00471447">
          <w:rPr>
            <w:rStyle w:val="Hyperlink"/>
            <w:rFonts w:ascii="Times New Roman" w:eastAsia="Cambria" w:hAnsi="Times New Roman" w:cs="Times New Roman"/>
            <w:kern w:val="22"/>
          </w:rPr>
          <w:t>earth.org</w:t>
        </w:r>
      </w:hyperlink>
      <w:r w:rsidR="00CF7E92" w:rsidRPr="00471447">
        <w:rPr>
          <w:rFonts w:ascii="Times New Roman" w:eastAsia="Cambria" w:hAnsi="Times New Roman" w:cs="Times New Roman"/>
          <w:kern w:val="22"/>
        </w:rPr>
        <w:t>)</w:t>
      </w:r>
      <w:r w:rsidR="000D5A4F"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0D5A4F" w:rsidRPr="00471447">
        <w:rPr>
          <w:rFonts w:ascii="Times New Roman" w:eastAsia="Cambria" w:hAnsi="Times New Roman" w:cs="Times New Roman"/>
          <w:kern w:val="22"/>
        </w:rPr>
        <w:t xml:space="preserve">She explained </w:t>
      </w:r>
      <w:r w:rsidR="00CF7E92" w:rsidRPr="00471447">
        <w:rPr>
          <w:rFonts w:ascii="Times New Roman" w:eastAsia="Cambria" w:hAnsi="Times New Roman" w:cs="Times New Roman"/>
          <w:kern w:val="22"/>
        </w:rPr>
        <w:t xml:space="preserve">the structure, functions of Future </w:t>
      </w:r>
      <w:r w:rsidRPr="00471447">
        <w:rPr>
          <w:rFonts w:ascii="Times New Roman" w:eastAsia="Cambria" w:hAnsi="Times New Roman" w:cs="Times New Roman"/>
          <w:kern w:val="22"/>
        </w:rPr>
        <w:t>Earth</w:t>
      </w:r>
      <w:r w:rsidR="00CF7E92" w:rsidRPr="00471447">
        <w:rPr>
          <w:rFonts w:ascii="Times New Roman" w:eastAsia="Cambria" w:hAnsi="Times New Roman" w:cs="Times New Roman"/>
          <w:kern w:val="22"/>
        </w:rPr>
        <w:t>, and</w:t>
      </w:r>
      <w:r w:rsidRPr="00471447">
        <w:rPr>
          <w:rFonts w:ascii="Times New Roman" w:eastAsia="Cambria" w:hAnsi="Times New Roman" w:cs="Times New Roman"/>
          <w:kern w:val="22"/>
        </w:rPr>
        <w:t xml:space="preserve"> </w:t>
      </w:r>
      <w:r w:rsidR="00CF7E92" w:rsidRPr="00471447">
        <w:rPr>
          <w:rFonts w:ascii="Times New Roman" w:eastAsia="Cambria" w:hAnsi="Times New Roman" w:cs="Times New Roman"/>
          <w:kern w:val="22"/>
        </w:rPr>
        <w:t xml:space="preserve">introducing some of its </w:t>
      </w:r>
      <w:r w:rsidRPr="00471447">
        <w:rPr>
          <w:rFonts w:ascii="Times New Roman" w:eastAsia="Cambria" w:hAnsi="Times New Roman" w:cs="Times New Roman"/>
          <w:kern w:val="22"/>
        </w:rPr>
        <w:t xml:space="preserve">global research projects, </w:t>
      </w:r>
      <w:r w:rsidR="00CF7E92" w:rsidRPr="00471447">
        <w:rPr>
          <w:rFonts w:ascii="Times New Roman" w:eastAsia="Cambria" w:hAnsi="Times New Roman" w:cs="Times New Roman"/>
          <w:kern w:val="22"/>
        </w:rPr>
        <w:t>activities and discussed k</w:t>
      </w:r>
      <w:r w:rsidRPr="00471447">
        <w:rPr>
          <w:rFonts w:ascii="Times New Roman" w:eastAsia="Cambria" w:hAnsi="Times New Roman" w:cs="Times New Roman"/>
          <w:kern w:val="22"/>
        </w:rPr>
        <w:t>nowledge-Action Networks (“KANs”)</w:t>
      </w:r>
      <w:r w:rsidR="00CF7E9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t>
      </w:r>
      <w:hyperlink r:id="rId15" w:history="1">
        <w:r w:rsidR="004806DB">
          <w:rPr>
            <w:rStyle w:val="Hyperlink"/>
            <w:rFonts w:ascii="Times New Roman" w:eastAsia="Cambria" w:hAnsi="Times New Roman" w:cs="Times New Roman"/>
            <w:kern w:val="22"/>
          </w:rPr>
          <w:t>http://futureearth.org/knowledge-action-networks</w:t>
        </w:r>
      </w:hyperlink>
      <w:r w:rsidR="004806DB">
        <w:rPr>
          <w:rFonts w:ascii="Times New Roman" w:eastAsia="Cambria" w:hAnsi="Times New Roman" w:cs="Times New Roman"/>
          <w:kern w:val="22"/>
        </w:rPr>
        <w:t>)</w:t>
      </w:r>
      <w:r w:rsidRPr="00471447">
        <w:rPr>
          <w:rFonts w:ascii="Times New Roman" w:eastAsia="Cambria" w:hAnsi="Times New Roman" w:cs="Times New Roman"/>
          <w:kern w:val="22"/>
        </w:rPr>
        <w:t>.</w:t>
      </w:r>
      <w:r w:rsidR="00CF7E92" w:rsidRPr="00471447">
        <w:rPr>
          <w:rFonts w:ascii="Times New Roman" w:eastAsia="Cambria" w:hAnsi="Times New Roman" w:cs="Times New Roman"/>
          <w:kern w:val="22"/>
        </w:rPr>
        <w:t xml:space="preserve"> She noted that </w:t>
      </w:r>
      <w:r w:rsidRPr="00471447">
        <w:rPr>
          <w:rFonts w:ascii="Times New Roman" w:eastAsia="Cambria" w:hAnsi="Times New Roman" w:cs="Times New Roman"/>
          <w:kern w:val="22"/>
        </w:rPr>
        <w:t>Health KAN</w:t>
      </w:r>
      <w:r w:rsidR="00CF7E92" w:rsidRPr="00471447">
        <w:rPr>
          <w:rFonts w:ascii="Times New Roman" w:eastAsia="Cambria" w:hAnsi="Times New Roman" w:cs="Times New Roman"/>
          <w:kern w:val="22"/>
        </w:rPr>
        <w:t xml:space="preserve"> was established and</w:t>
      </w:r>
      <w:r w:rsidRPr="00471447">
        <w:rPr>
          <w:rFonts w:ascii="Times New Roman" w:eastAsia="Cambria" w:hAnsi="Times New Roman" w:cs="Times New Roman"/>
          <w:kern w:val="22"/>
        </w:rPr>
        <w:t xml:space="preserve"> held a m</w:t>
      </w:r>
      <w:r w:rsidR="009F0DD5" w:rsidRPr="00471447">
        <w:rPr>
          <w:rFonts w:ascii="Times New Roman" w:eastAsia="Cambria" w:hAnsi="Times New Roman" w:cs="Times New Roman"/>
          <w:kern w:val="22"/>
        </w:rPr>
        <w:t xml:space="preserve">eeting in Bellagio </w:t>
      </w:r>
      <w:r w:rsidR="00CF7E92" w:rsidRPr="00471447">
        <w:rPr>
          <w:rFonts w:ascii="Times New Roman" w:eastAsia="Cambria" w:hAnsi="Times New Roman" w:cs="Times New Roman"/>
          <w:kern w:val="22"/>
        </w:rPr>
        <w:t>in 2016</w:t>
      </w:r>
      <w:r w:rsidRPr="00471447">
        <w:rPr>
          <w:rFonts w:ascii="Times New Roman" w:eastAsia="Cambria" w:hAnsi="Times New Roman" w:cs="Times New Roman"/>
          <w:kern w:val="22"/>
        </w:rPr>
        <w:t xml:space="preserve">, </w:t>
      </w:r>
      <w:r w:rsidR="009F0DD5" w:rsidRPr="00471447">
        <w:rPr>
          <w:rFonts w:ascii="Times New Roman" w:eastAsia="Cambria" w:hAnsi="Times New Roman" w:cs="Times New Roman"/>
          <w:kern w:val="22"/>
        </w:rPr>
        <w:t>bringing</w:t>
      </w:r>
      <w:r w:rsidRPr="00471447">
        <w:rPr>
          <w:rFonts w:ascii="Times New Roman" w:eastAsia="Cambria" w:hAnsi="Times New Roman" w:cs="Times New Roman"/>
          <w:kern w:val="22"/>
        </w:rPr>
        <w:t xml:space="preserve"> together experts in planetary health and One Health </w:t>
      </w:r>
      <w:r w:rsidR="009F0DD5" w:rsidRPr="00471447">
        <w:rPr>
          <w:rFonts w:ascii="Times New Roman" w:eastAsia="Cambria" w:hAnsi="Times New Roman" w:cs="Times New Roman"/>
          <w:kern w:val="22"/>
        </w:rPr>
        <w:t xml:space="preserve">(including from the CBD-WHO joint work programme) </w:t>
      </w:r>
      <w:r w:rsidRPr="00471447">
        <w:rPr>
          <w:rFonts w:ascii="Times New Roman" w:eastAsia="Cambria" w:hAnsi="Times New Roman" w:cs="Times New Roman"/>
          <w:kern w:val="22"/>
        </w:rPr>
        <w:t xml:space="preserve">to identify key issues and stakeholders </w:t>
      </w:r>
      <w:r w:rsidR="00CF7E92" w:rsidRPr="00471447">
        <w:rPr>
          <w:rFonts w:ascii="Times New Roman" w:eastAsia="Cambria" w:hAnsi="Times New Roman" w:cs="Times New Roman"/>
          <w:kern w:val="22"/>
        </w:rPr>
        <w:t>(</w:t>
      </w:r>
      <w:hyperlink r:id="rId16" w:history="1">
        <w:r w:rsidRPr="00471447">
          <w:rPr>
            <w:rStyle w:val="Hyperlink"/>
            <w:rFonts w:ascii="Times New Roman" w:eastAsia="Cambria" w:hAnsi="Times New Roman" w:cs="Times New Roman"/>
            <w:kern w:val="22"/>
          </w:rPr>
          <w:t>ht</w:t>
        </w:r>
        <w:r w:rsidRPr="00471447">
          <w:rPr>
            <w:rStyle w:val="Hyperlink"/>
            <w:rFonts w:ascii="Times New Roman" w:eastAsia="Cambria" w:hAnsi="Times New Roman" w:cs="Times New Roman"/>
            <w:kern w:val="22"/>
          </w:rPr>
          <w:t>t</w:t>
        </w:r>
        <w:r w:rsidRPr="00471447">
          <w:rPr>
            <w:rStyle w:val="Hyperlink"/>
            <w:rFonts w:ascii="Times New Roman" w:eastAsia="Cambria" w:hAnsi="Times New Roman" w:cs="Times New Roman"/>
            <w:kern w:val="22"/>
          </w:rPr>
          <w:t>p://www.futureearth.org/news/meeting-summary-advancing-planetary-health-linking-health-and-environment-data</w:t>
        </w:r>
      </w:hyperlink>
      <w:r w:rsidR="00CF7E92" w:rsidRPr="00471447">
        <w:rPr>
          <w:rStyle w:val="Hyperlink"/>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CF7E92" w:rsidRPr="00471447">
        <w:rPr>
          <w:rFonts w:ascii="Times New Roman" w:eastAsia="Cambria" w:hAnsi="Times New Roman" w:cs="Times New Roman"/>
          <w:kern w:val="22"/>
        </w:rPr>
        <w:t>She noted that p</w:t>
      </w:r>
      <w:r w:rsidRPr="00471447">
        <w:rPr>
          <w:rFonts w:ascii="Times New Roman" w:eastAsia="Cambria" w:hAnsi="Times New Roman" w:cs="Times New Roman"/>
          <w:kern w:val="22"/>
        </w:rPr>
        <w:t xml:space="preserve">olicy outreach and translation </w:t>
      </w:r>
      <w:r w:rsidR="00C47DE3">
        <w:rPr>
          <w:rFonts w:ascii="Times New Roman" w:eastAsia="Cambria" w:hAnsi="Times New Roman" w:cs="Times New Roman"/>
          <w:kern w:val="22"/>
        </w:rPr>
        <w:t>were</w:t>
      </w:r>
      <w:r w:rsidR="00C47DE3"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 core function</w:t>
      </w:r>
      <w:r w:rsidR="00CF7E92" w:rsidRPr="00471447">
        <w:rPr>
          <w:rFonts w:ascii="Times New Roman" w:eastAsia="Cambria" w:hAnsi="Times New Roman" w:cs="Times New Roman"/>
          <w:kern w:val="22"/>
        </w:rPr>
        <w:t xml:space="preserve"> of the Health KAN and i</w:t>
      </w:r>
      <w:r w:rsidRPr="00471447">
        <w:rPr>
          <w:rFonts w:ascii="Times New Roman" w:eastAsia="Cambria" w:hAnsi="Times New Roman" w:cs="Times New Roman"/>
          <w:kern w:val="22"/>
        </w:rPr>
        <w:t>nitial implementation items include dataset mapping; ca</w:t>
      </w:r>
      <w:r w:rsidR="00CF7E92" w:rsidRPr="00471447">
        <w:rPr>
          <w:rFonts w:ascii="Times New Roman" w:eastAsia="Cambria" w:hAnsi="Times New Roman" w:cs="Times New Roman"/>
          <w:kern w:val="22"/>
        </w:rPr>
        <w:t>rrying out</w:t>
      </w:r>
      <w:r w:rsidRPr="00471447">
        <w:rPr>
          <w:rFonts w:ascii="Times New Roman" w:eastAsia="Cambria" w:hAnsi="Times New Roman" w:cs="Times New Roman"/>
          <w:kern w:val="22"/>
        </w:rPr>
        <w:t xml:space="preserve"> systematic reviews; identifying key research gaps, </w:t>
      </w:r>
      <w:r w:rsidR="00CF7E92" w:rsidRPr="00471447">
        <w:rPr>
          <w:rFonts w:ascii="Times New Roman" w:eastAsia="Cambria" w:hAnsi="Times New Roman" w:cs="Times New Roman"/>
          <w:kern w:val="22"/>
        </w:rPr>
        <w:t>and other activities</w:t>
      </w:r>
      <w:r w:rsidRPr="00471447">
        <w:rPr>
          <w:rFonts w:ascii="Times New Roman" w:eastAsia="Cambria" w:hAnsi="Times New Roman" w:cs="Times New Roman"/>
          <w:kern w:val="22"/>
        </w:rPr>
        <w:t>.</w:t>
      </w:r>
      <w:r w:rsidR="00CF7E92" w:rsidRPr="00471447">
        <w:rPr>
          <w:rFonts w:ascii="Times New Roman" w:eastAsia="Cambria" w:hAnsi="Times New Roman" w:cs="Times New Roman"/>
          <w:kern w:val="22"/>
        </w:rPr>
        <w:t xml:space="preserve"> She also presented the </w:t>
      </w:r>
      <w:r w:rsidR="009F0DD5" w:rsidRPr="00471447">
        <w:rPr>
          <w:rFonts w:ascii="Times New Roman" w:eastAsia="Cambria" w:hAnsi="Times New Roman" w:cs="Times New Roman"/>
          <w:kern w:val="22"/>
        </w:rPr>
        <w:t>Future Earth Open N</w:t>
      </w:r>
      <w:r w:rsidR="008917BB" w:rsidRPr="00471447">
        <w:rPr>
          <w:rFonts w:ascii="Times New Roman" w:eastAsia="Cambria" w:hAnsi="Times New Roman" w:cs="Times New Roman"/>
          <w:kern w:val="22"/>
        </w:rPr>
        <w:t>etwork</w:t>
      </w:r>
      <w:r w:rsidR="00CF7E92" w:rsidRPr="00471447">
        <w:rPr>
          <w:rStyle w:val="Hyperlink"/>
          <w:rFonts w:ascii="Times New Roman" w:eastAsia="Cambria" w:hAnsi="Times New Roman" w:cs="Times New Roman"/>
          <w:kern w:val="22"/>
        </w:rPr>
        <w:t xml:space="preserve"> </w:t>
      </w:r>
      <w:r w:rsidR="00CF7E92" w:rsidRPr="00471447">
        <w:rPr>
          <w:rFonts w:ascii="Times New Roman" w:eastAsia="Cambria" w:hAnsi="Times New Roman" w:cs="Times New Roman"/>
          <w:kern w:val="22"/>
        </w:rPr>
        <w:t>as a primary mechanism of information exchange</w:t>
      </w:r>
      <w:r w:rsidR="008917BB" w:rsidRPr="00471447">
        <w:rPr>
          <w:rFonts w:ascii="Times New Roman" w:eastAsia="Cambria" w:hAnsi="Times New Roman" w:cs="Times New Roman"/>
          <w:kern w:val="22"/>
        </w:rPr>
        <w:t xml:space="preserve">. </w:t>
      </w:r>
      <w:r w:rsidR="00CF7E92" w:rsidRPr="00471447">
        <w:rPr>
          <w:rFonts w:ascii="Times New Roman" w:eastAsia="Cambria" w:hAnsi="Times New Roman" w:cs="Times New Roman"/>
          <w:kern w:val="22"/>
        </w:rPr>
        <w:t xml:space="preserve">It was noted that the </w:t>
      </w:r>
      <w:r w:rsidRPr="00471447">
        <w:rPr>
          <w:rFonts w:ascii="Times New Roman" w:eastAsia="Cambria" w:hAnsi="Times New Roman" w:cs="Times New Roman"/>
          <w:kern w:val="22"/>
        </w:rPr>
        <w:t xml:space="preserve">ILG </w:t>
      </w:r>
      <w:r w:rsidR="00C47DE3">
        <w:rPr>
          <w:rFonts w:ascii="Times New Roman" w:eastAsia="Cambria" w:hAnsi="Times New Roman" w:cs="Times New Roman"/>
          <w:kern w:val="22"/>
        </w:rPr>
        <w:t>could</w:t>
      </w:r>
      <w:r w:rsidR="00C47DE3"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su</w:t>
      </w:r>
      <w:r w:rsidR="007744F4" w:rsidRPr="00471447">
        <w:rPr>
          <w:rFonts w:ascii="Times New Roman" w:eastAsia="Cambria" w:hAnsi="Times New Roman" w:cs="Times New Roman"/>
          <w:kern w:val="22"/>
        </w:rPr>
        <w:t>ggest additional</w:t>
      </w:r>
      <w:r w:rsidRPr="00471447">
        <w:rPr>
          <w:rFonts w:ascii="Times New Roman" w:eastAsia="Cambria" w:hAnsi="Times New Roman" w:cs="Times New Roman"/>
          <w:kern w:val="22"/>
        </w:rPr>
        <w:t xml:space="preserve"> mandate</w:t>
      </w:r>
      <w:r w:rsidR="007744F4" w:rsidRPr="00471447">
        <w:rPr>
          <w:rFonts w:ascii="Times New Roman" w:eastAsia="Cambria" w:hAnsi="Times New Roman" w:cs="Times New Roman"/>
          <w:kern w:val="22"/>
        </w:rPr>
        <w:t>s</w:t>
      </w:r>
      <w:r w:rsidRPr="00471447">
        <w:rPr>
          <w:rFonts w:ascii="Times New Roman" w:eastAsia="Cambria" w:hAnsi="Times New Roman" w:cs="Times New Roman"/>
          <w:kern w:val="22"/>
        </w:rPr>
        <w:t xml:space="preserve"> for the Future Earth community</w:t>
      </w:r>
      <w:r w:rsidR="008917BB" w:rsidRPr="00471447">
        <w:rPr>
          <w:rFonts w:ascii="Times New Roman" w:eastAsia="Cambria" w:hAnsi="Times New Roman" w:cs="Times New Roman"/>
          <w:kern w:val="22"/>
        </w:rPr>
        <w:t xml:space="preserve"> </w:t>
      </w:r>
      <w:r w:rsidR="002B3C88" w:rsidRPr="00471447">
        <w:rPr>
          <w:rFonts w:ascii="Times New Roman" w:eastAsia="Cambria" w:hAnsi="Times New Roman" w:cs="Times New Roman"/>
          <w:kern w:val="22"/>
        </w:rPr>
        <w:t xml:space="preserve">to support ILG work </w:t>
      </w:r>
      <w:r w:rsidR="008917BB" w:rsidRPr="00471447">
        <w:rPr>
          <w:rFonts w:ascii="Times New Roman" w:eastAsia="Cambria" w:hAnsi="Times New Roman" w:cs="Times New Roman"/>
          <w:kern w:val="22"/>
        </w:rPr>
        <w:t xml:space="preserve">(e.g. </w:t>
      </w:r>
      <w:r w:rsidR="002B3C88" w:rsidRPr="00471447">
        <w:rPr>
          <w:rFonts w:ascii="Times New Roman" w:eastAsia="Cambria" w:hAnsi="Times New Roman" w:cs="Times New Roman"/>
          <w:kern w:val="22"/>
        </w:rPr>
        <w:t xml:space="preserve">potential </w:t>
      </w:r>
      <w:r w:rsidR="008917BB" w:rsidRPr="00471447">
        <w:rPr>
          <w:rFonts w:ascii="Times New Roman" w:eastAsia="Cambria" w:hAnsi="Times New Roman" w:cs="Times New Roman"/>
          <w:kern w:val="22"/>
        </w:rPr>
        <w:t xml:space="preserve">research mandates, </w:t>
      </w:r>
      <w:r w:rsidR="007744F4" w:rsidRPr="00471447">
        <w:rPr>
          <w:rFonts w:ascii="Times New Roman" w:eastAsia="Cambria" w:hAnsi="Times New Roman" w:cs="Times New Roman"/>
          <w:kern w:val="22"/>
        </w:rPr>
        <w:t xml:space="preserve">webinars, platform to share relevant datasets, </w:t>
      </w:r>
      <w:r w:rsidR="008917BB" w:rsidRPr="00471447">
        <w:rPr>
          <w:rFonts w:ascii="Times New Roman" w:eastAsia="Cambria" w:hAnsi="Times New Roman" w:cs="Times New Roman"/>
          <w:kern w:val="22"/>
        </w:rPr>
        <w:t>case studies, etc.)</w:t>
      </w:r>
      <w:r w:rsidR="007744F4" w:rsidRPr="00471447">
        <w:rPr>
          <w:rFonts w:ascii="Times New Roman" w:eastAsia="Cambria" w:hAnsi="Times New Roman" w:cs="Times New Roman"/>
          <w:kern w:val="22"/>
        </w:rPr>
        <w:t xml:space="preserve">. </w:t>
      </w:r>
    </w:p>
    <w:p w:rsidR="005C50AC" w:rsidRPr="00471447" w:rsidRDefault="005C50A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w:t>
      </w:r>
      <w:r w:rsidR="002B3C88" w:rsidRPr="00471447">
        <w:rPr>
          <w:rFonts w:ascii="Times New Roman" w:eastAsia="Cambria" w:hAnsi="Times New Roman" w:cs="Times New Roman"/>
          <w:kern w:val="22"/>
        </w:rPr>
        <w:t xml:space="preserve">Francois </w:t>
      </w:r>
      <w:r w:rsidRPr="00471447">
        <w:rPr>
          <w:rFonts w:ascii="Times New Roman" w:eastAsia="Cambria" w:hAnsi="Times New Roman" w:cs="Times New Roman"/>
          <w:kern w:val="22"/>
        </w:rPr>
        <w:t xml:space="preserve">Dias </w:t>
      </w:r>
      <w:r w:rsidR="002B3C88" w:rsidRPr="00471447">
        <w:rPr>
          <w:rFonts w:ascii="Times New Roman" w:eastAsia="Cambria" w:hAnsi="Times New Roman" w:cs="Times New Roman"/>
          <w:kern w:val="22"/>
        </w:rPr>
        <w:t xml:space="preserve">of </w:t>
      </w:r>
      <w:r w:rsidRPr="00471447">
        <w:rPr>
          <w:rFonts w:ascii="Times New Roman" w:eastAsia="Cambria" w:hAnsi="Times New Roman" w:cs="Times New Roman"/>
          <w:kern w:val="22"/>
        </w:rPr>
        <w:t xml:space="preserve">the </w:t>
      </w:r>
      <w:r w:rsidR="002B3C88" w:rsidRPr="00471447">
        <w:rPr>
          <w:rFonts w:ascii="Times New Roman" w:eastAsia="Cambria" w:hAnsi="Times New Roman" w:cs="Times New Roman"/>
          <w:kern w:val="22"/>
        </w:rPr>
        <w:t xml:space="preserve">World </w:t>
      </w:r>
      <w:r w:rsidRPr="00471447">
        <w:rPr>
          <w:rFonts w:ascii="Times New Roman" w:eastAsia="Cambria" w:hAnsi="Times New Roman" w:cs="Times New Roman"/>
          <w:kern w:val="22"/>
        </w:rPr>
        <w:t>Organ</w:t>
      </w:r>
      <w:r w:rsidR="00A32BED" w:rsidRPr="00471447">
        <w:rPr>
          <w:rFonts w:ascii="Times New Roman" w:eastAsia="Cambria" w:hAnsi="Times New Roman" w:cs="Times New Roman"/>
          <w:kern w:val="22"/>
        </w:rPr>
        <w:t xml:space="preserve">ization for Animal Health (OIE) </w:t>
      </w:r>
      <w:r w:rsidR="002B3C88" w:rsidRPr="00471447">
        <w:rPr>
          <w:rFonts w:ascii="Times New Roman" w:eastAsia="Cambria" w:hAnsi="Times New Roman" w:cs="Times New Roman"/>
          <w:kern w:val="22"/>
        </w:rPr>
        <w:t>presented relevant activities and collaborative opportunities</w:t>
      </w:r>
      <w:r w:rsidR="00A32BED" w:rsidRPr="00471447">
        <w:rPr>
          <w:rFonts w:ascii="Times New Roman" w:eastAsia="Cambria" w:hAnsi="Times New Roman" w:cs="Times New Roman"/>
          <w:kern w:val="22"/>
        </w:rPr>
        <w:t xml:space="preserve">. </w:t>
      </w:r>
      <w:r w:rsidR="002B3C88" w:rsidRPr="00471447">
        <w:rPr>
          <w:rFonts w:ascii="Times New Roman" w:eastAsia="Cambria" w:hAnsi="Times New Roman" w:cs="Times New Roman"/>
          <w:kern w:val="22"/>
        </w:rPr>
        <w:t>He highlighted</w:t>
      </w:r>
      <w:r w:rsidR="00A32BED" w:rsidRPr="00471447">
        <w:rPr>
          <w:rFonts w:ascii="Times New Roman" w:eastAsia="Cambria" w:hAnsi="Times New Roman" w:cs="Times New Roman"/>
          <w:kern w:val="22"/>
        </w:rPr>
        <w:t xml:space="preserve"> several </w:t>
      </w:r>
      <w:r w:rsidRPr="00471447">
        <w:rPr>
          <w:rFonts w:ascii="Times New Roman" w:eastAsia="Cambria" w:hAnsi="Times New Roman" w:cs="Times New Roman"/>
          <w:kern w:val="22"/>
        </w:rPr>
        <w:t xml:space="preserve">standards for the control and surveillance of animal diseases </w:t>
      </w:r>
      <w:r w:rsidR="002B3C88" w:rsidRPr="00471447">
        <w:rPr>
          <w:rFonts w:ascii="Times New Roman" w:eastAsia="Cambria" w:hAnsi="Times New Roman" w:cs="Times New Roman"/>
          <w:kern w:val="22"/>
        </w:rPr>
        <w:t>and for international trade, developed by OIE. He also discussed tools</w:t>
      </w:r>
      <w:r w:rsidR="00A32BED" w:rsidRPr="00471447">
        <w:rPr>
          <w:rFonts w:ascii="Times New Roman" w:eastAsia="Cambria" w:hAnsi="Times New Roman" w:cs="Times New Roman"/>
          <w:kern w:val="22"/>
        </w:rPr>
        <w:t xml:space="preserve">, policy guidelines and events </w:t>
      </w:r>
      <w:r w:rsidR="002B3C88" w:rsidRPr="00471447">
        <w:rPr>
          <w:rFonts w:ascii="Times New Roman" w:eastAsia="Cambria" w:hAnsi="Times New Roman" w:cs="Times New Roman"/>
          <w:kern w:val="22"/>
        </w:rPr>
        <w:t xml:space="preserve">led by OIE relevant to the work of the group </w:t>
      </w:r>
      <w:r w:rsidR="00A32BED" w:rsidRPr="00471447">
        <w:rPr>
          <w:rFonts w:ascii="Times New Roman" w:eastAsia="Cambria" w:hAnsi="Times New Roman" w:cs="Times New Roman"/>
          <w:kern w:val="22"/>
        </w:rPr>
        <w:t>(E.g.</w:t>
      </w:r>
      <w:r w:rsidRPr="00471447">
        <w:rPr>
          <w:rFonts w:ascii="Times New Roman" w:eastAsia="Cambria" w:hAnsi="Times New Roman" w:cs="Times New Roman"/>
          <w:kern w:val="22"/>
        </w:rPr>
        <w:t xml:space="preserve"> </w:t>
      </w:r>
      <w:r w:rsidR="002B3C88" w:rsidRPr="00471447">
        <w:rPr>
          <w:rFonts w:ascii="Times New Roman" w:eastAsia="Cambria" w:hAnsi="Times New Roman" w:cs="Times New Roman"/>
          <w:kern w:val="22"/>
        </w:rPr>
        <w:t>a t</w:t>
      </w:r>
      <w:r w:rsidRPr="00471447">
        <w:rPr>
          <w:rFonts w:ascii="Times New Roman" w:eastAsia="Cambria" w:hAnsi="Times New Roman" w:cs="Times New Roman"/>
          <w:kern w:val="22"/>
        </w:rPr>
        <w:t xml:space="preserve">raining manual </w:t>
      </w:r>
      <w:r w:rsidR="002B3C88" w:rsidRPr="00471447">
        <w:rPr>
          <w:rFonts w:ascii="Times New Roman" w:eastAsia="Cambria" w:hAnsi="Times New Roman" w:cs="Times New Roman"/>
          <w:kern w:val="22"/>
        </w:rPr>
        <w:t xml:space="preserve">and guidelines </w:t>
      </w:r>
      <w:r w:rsidRPr="00471447">
        <w:rPr>
          <w:rFonts w:ascii="Times New Roman" w:eastAsia="Cambria" w:hAnsi="Times New Roman" w:cs="Times New Roman"/>
          <w:kern w:val="22"/>
        </w:rPr>
        <w:t xml:space="preserve">on wildlife disease and surveillance; </w:t>
      </w:r>
      <w:r w:rsidR="00A32BED" w:rsidRPr="00471447">
        <w:rPr>
          <w:rFonts w:ascii="Times New Roman" w:eastAsia="Cambria" w:hAnsi="Times New Roman" w:cs="Times New Roman"/>
          <w:kern w:val="22"/>
        </w:rPr>
        <w:t xml:space="preserve">Manual of Diagnostic Tests and Vaccines for Terrestrial Animals (2017)) and </w:t>
      </w:r>
      <w:r w:rsidR="002B3C88" w:rsidRPr="00471447">
        <w:rPr>
          <w:rFonts w:ascii="Times New Roman" w:eastAsia="Cambria" w:hAnsi="Times New Roman" w:cs="Times New Roman"/>
          <w:kern w:val="22"/>
        </w:rPr>
        <w:t xml:space="preserve">noted that OIE </w:t>
      </w:r>
      <w:r w:rsidR="00A32BED" w:rsidRPr="00471447">
        <w:rPr>
          <w:rFonts w:ascii="Times New Roman" w:eastAsia="Cambria" w:hAnsi="Times New Roman" w:cs="Times New Roman"/>
          <w:kern w:val="22"/>
        </w:rPr>
        <w:t>provide</w:t>
      </w:r>
      <w:r w:rsidR="00C47DE3">
        <w:rPr>
          <w:rFonts w:ascii="Times New Roman" w:eastAsia="Cambria" w:hAnsi="Times New Roman" w:cs="Times New Roman"/>
          <w:kern w:val="22"/>
        </w:rPr>
        <w:t>d</w:t>
      </w:r>
      <w:r w:rsidR="00A32BED"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scientific and technical information</w:t>
      </w:r>
      <w:r w:rsidR="00A32BED" w:rsidRPr="00471447">
        <w:rPr>
          <w:rFonts w:ascii="Times New Roman" w:eastAsia="Cambria" w:hAnsi="Times New Roman" w:cs="Times New Roman"/>
          <w:kern w:val="22"/>
        </w:rPr>
        <w:t xml:space="preserve"> relevant to the ILG (e.g. </w:t>
      </w:r>
      <w:r w:rsidRPr="00471447">
        <w:rPr>
          <w:rFonts w:ascii="Times New Roman" w:eastAsia="Cambria" w:hAnsi="Times New Roman" w:cs="Times New Roman"/>
          <w:kern w:val="22"/>
        </w:rPr>
        <w:t>Scientific and Technical Review on One Health (2014)</w:t>
      </w:r>
      <w:r w:rsidR="00A32BED" w:rsidRPr="00471447">
        <w:rPr>
          <w:rFonts w:ascii="Times New Roman" w:eastAsia="Cambria" w:hAnsi="Times New Roman" w:cs="Times New Roman"/>
          <w:kern w:val="22"/>
        </w:rPr>
        <w:t xml:space="preserve">). </w:t>
      </w:r>
      <w:r w:rsidR="002B3C88" w:rsidRPr="00471447">
        <w:rPr>
          <w:rFonts w:ascii="Times New Roman" w:eastAsia="Cambria" w:hAnsi="Times New Roman" w:cs="Times New Roman"/>
          <w:kern w:val="22"/>
        </w:rPr>
        <w:t>He also noted OIE</w:t>
      </w:r>
      <w:r w:rsidR="00A32BED" w:rsidRPr="00471447">
        <w:rPr>
          <w:rFonts w:ascii="Times New Roman" w:eastAsia="Cambria" w:hAnsi="Times New Roman" w:cs="Times New Roman"/>
          <w:kern w:val="22"/>
        </w:rPr>
        <w:t xml:space="preserve"> collaboration with WHO and FAO on One Health.</w:t>
      </w:r>
      <w:r w:rsidRPr="00471447">
        <w:rPr>
          <w:rFonts w:ascii="Times New Roman" w:eastAsia="Cambria" w:hAnsi="Times New Roman" w:cs="Times New Roman"/>
          <w:kern w:val="22"/>
        </w:rPr>
        <w:t xml:space="preserve"> </w:t>
      </w:r>
    </w:p>
    <w:p w:rsidR="005C50AC" w:rsidRPr="00471447" w:rsidRDefault="002B3C88"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color w:val="auto"/>
          <w:kern w:val="22"/>
        </w:rPr>
        <w:t xml:space="preserve">Potential contributions of OIE to the ILG </w:t>
      </w:r>
      <w:r w:rsidRPr="00471447">
        <w:rPr>
          <w:rFonts w:ascii="Times New Roman" w:eastAsia="Cambria" w:hAnsi="Times New Roman" w:cs="Times New Roman"/>
          <w:kern w:val="22"/>
        </w:rPr>
        <w:t>include</w:t>
      </w:r>
      <w:r w:rsidR="00A32BED" w:rsidRPr="00471447">
        <w:rPr>
          <w:rFonts w:ascii="Times New Roman" w:eastAsia="Cambria" w:hAnsi="Times New Roman" w:cs="Times New Roman"/>
          <w:kern w:val="22"/>
        </w:rPr>
        <w:t xml:space="preserve"> potential </w:t>
      </w:r>
      <w:r w:rsidRPr="00471447">
        <w:rPr>
          <w:rFonts w:ascii="Times New Roman" w:eastAsia="Cambria" w:hAnsi="Times New Roman" w:cs="Times New Roman"/>
          <w:kern w:val="22"/>
        </w:rPr>
        <w:t xml:space="preserve">support </w:t>
      </w:r>
      <w:r w:rsidR="00A32BED" w:rsidRPr="00471447">
        <w:rPr>
          <w:rFonts w:ascii="Times New Roman" w:eastAsia="Cambria" w:hAnsi="Times New Roman" w:cs="Times New Roman"/>
          <w:kern w:val="22"/>
        </w:rPr>
        <w:t xml:space="preserve">for </w:t>
      </w:r>
      <w:r w:rsidRPr="00471447">
        <w:rPr>
          <w:rFonts w:ascii="Times New Roman" w:eastAsia="Cambria" w:hAnsi="Times New Roman" w:cs="Times New Roman"/>
          <w:kern w:val="22"/>
        </w:rPr>
        <w:t>the development of</w:t>
      </w:r>
      <w:r w:rsidR="00A32BED" w:rsidRPr="00471447">
        <w:rPr>
          <w:rFonts w:ascii="Times New Roman" w:eastAsia="Cambria" w:hAnsi="Times New Roman" w:cs="Times New Roman"/>
          <w:kern w:val="22"/>
        </w:rPr>
        <w:t xml:space="preserve"> </w:t>
      </w:r>
      <w:r w:rsidR="005C50AC" w:rsidRPr="00471447">
        <w:rPr>
          <w:rFonts w:ascii="Times New Roman" w:eastAsia="Cambria" w:hAnsi="Times New Roman" w:cs="Times New Roman"/>
          <w:kern w:val="22"/>
        </w:rPr>
        <w:t xml:space="preserve">standards or guidelines </w:t>
      </w:r>
      <w:r w:rsidRPr="00471447">
        <w:rPr>
          <w:rFonts w:ascii="Times New Roman" w:eastAsia="Cambria" w:hAnsi="Times New Roman" w:cs="Times New Roman"/>
          <w:kern w:val="22"/>
        </w:rPr>
        <w:t xml:space="preserve">(e.g. for wild bee health) including </w:t>
      </w:r>
      <w:r w:rsidR="005C50AC" w:rsidRPr="00471447">
        <w:rPr>
          <w:rFonts w:ascii="Times New Roman" w:eastAsia="Cambria" w:hAnsi="Times New Roman" w:cs="Times New Roman"/>
          <w:kern w:val="22"/>
        </w:rPr>
        <w:t>for diseases of importance to biodiversity</w:t>
      </w:r>
      <w:r w:rsidR="00A32BED" w:rsidRPr="00471447">
        <w:rPr>
          <w:rFonts w:ascii="Times New Roman" w:eastAsia="Cambria" w:hAnsi="Times New Roman" w:cs="Times New Roman"/>
          <w:kern w:val="22"/>
        </w:rPr>
        <w:t xml:space="preserve"> (e.g.</w:t>
      </w:r>
      <w:r w:rsidR="005C50AC" w:rsidRPr="00471447">
        <w:rPr>
          <w:rFonts w:ascii="Times New Roman" w:eastAsia="Cambria" w:hAnsi="Times New Roman" w:cs="Times New Roman"/>
          <w:kern w:val="22"/>
        </w:rPr>
        <w:t xml:space="preserve"> white nose syndrome in bats</w:t>
      </w:r>
      <w:r w:rsidR="00A32BED" w:rsidRPr="00471447">
        <w:rPr>
          <w:rFonts w:ascii="Times New Roman" w:eastAsia="Cambria" w:hAnsi="Times New Roman" w:cs="Times New Roman"/>
          <w:kern w:val="22"/>
        </w:rPr>
        <w:t>);</w:t>
      </w:r>
      <w:r w:rsidR="005C50AC" w:rsidRPr="00471447">
        <w:rPr>
          <w:rFonts w:ascii="Times New Roman" w:eastAsia="Cambria" w:hAnsi="Times New Roman" w:cs="Times New Roman"/>
          <w:kern w:val="22"/>
        </w:rPr>
        <w:t xml:space="preserve"> the impact of invasive alien species on other species of importance to health</w:t>
      </w:r>
      <w:r w:rsidR="00A32BED" w:rsidRPr="00471447">
        <w:rPr>
          <w:rFonts w:ascii="Times New Roman" w:eastAsia="Cambria" w:hAnsi="Times New Roman" w:cs="Times New Roman"/>
          <w:kern w:val="22"/>
        </w:rPr>
        <w:t xml:space="preserve"> (e.g.</w:t>
      </w:r>
      <w:r w:rsidRPr="00471447">
        <w:rPr>
          <w:rFonts w:ascii="Times New Roman" w:eastAsia="Cambria" w:hAnsi="Times New Roman" w:cs="Times New Roman"/>
          <w:kern w:val="22"/>
        </w:rPr>
        <w:t xml:space="preserve"> small hive beetles). </w:t>
      </w:r>
      <w:r w:rsidR="002936BF" w:rsidRPr="00471447">
        <w:rPr>
          <w:rFonts w:ascii="Times New Roman" w:eastAsia="Cambria" w:hAnsi="Times New Roman" w:cs="Times New Roman"/>
          <w:kern w:val="22"/>
        </w:rPr>
        <w:t>Mr. Diaz</w:t>
      </w:r>
      <w:r w:rsidRPr="00471447">
        <w:rPr>
          <w:rFonts w:ascii="Times New Roman" w:eastAsia="Cambria" w:hAnsi="Times New Roman" w:cs="Times New Roman"/>
          <w:kern w:val="22"/>
        </w:rPr>
        <w:t xml:space="preserve"> noted that </w:t>
      </w:r>
      <w:r w:rsidR="002936BF" w:rsidRPr="00471447">
        <w:rPr>
          <w:rFonts w:ascii="Times New Roman" w:eastAsia="Cambria" w:hAnsi="Times New Roman" w:cs="Times New Roman"/>
          <w:kern w:val="22"/>
        </w:rPr>
        <w:t>OIE could work with ILG members to develop relevant standards and guidelines (e.g. on wild bee health)</w:t>
      </w:r>
      <w:r w:rsidR="005C50AC" w:rsidRPr="00471447">
        <w:rPr>
          <w:rFonts w:ascii="Times New Roman" w:eastAsia="Cambria" w:hAnsi="Times New Roman" w:cs="Times New Roman"/>
          <w:kern w:val="22"/>
        </w:rPr>
        <w:t>.</w:t>
      </w:r>
      <w:r w:rsidR="00637A69" w:rsidRPr="00471447">
        <w:rPr>
          <w:rFonts w:ascii="Times New Roman" w:eastAsia="Cambria" w:hAnsi="Times New Roman" w:cs="Times New Roman"/>
          <w:kern w:val="22"/>
        </w:rPr>
        <w:t xml:space="preserve"> The Secretariat noted the</w:t>
      </w:r>
      <w:r w:rsidR="005C50AC" w:rsidRPr="00471447">
        <w:rPr>
          <w:rFonts w:ascii="Times New Roman" w:eastAsia="Cambria" w:hAnsi="Times New Roman" w:cs="Times New Roman"/>
          <w:kern w:val="22"/>
        </w:rPr>
        <w:t xml:space="preserve"> assessment on </w:t>
      </w:r>
      <w:r w:rsidR="005C50AC" w:rsidRPr="00471447">
        <w:rPr>
          <w:rFonts w:ascii="Times New Roman" w:eastAsia="Cambria" w:hAnsi="Times New Roman" w:cs="Times New Roman"/>
          <w:kern w:val="22"/>
        </w:rPr>
        <w:lastRenderedPageBreak/>
        <w:t xml:space="preserve">pollinators carried out by IPBES and </w:t>
      </w:r>
      <w:r w:rsidR="00637A69" w:rsidRPr="00471447">
        <w:rPr>
          <w:rFonts w:ascii="Times New Roman" w:eastAsia="Cambria" w:hAnsi="Times New Roman" w:cs="Times New Roman"/>
          <w:kern w:val="22"/>
        </w:rPr>
        <w:t>related</w:t>
      </w:r>
      <w:r w:rsidR="005C50AC" w:rsidRPr="00471447">
        <w:rPr>
          <w:rFonts w:ascii="Times New Roman" w:eastAsia="Cambria" w:hAnsi="Times New Roman" w:cs="Times New Roman"/>
          <w:kern w:val="22"/>
        </w:rPr>
        <w:t xml:space="preserve"> guidance</w:t>
      </w:r>
      <w:r w:rsidR="00C47DE3">
        <w:rPr>
          <w:rFonts w:ascii="Times New Roman" w:eastAsia="Cambria" w:hAnsi="Times New Roman" w:cs="Times New Roman"/>
          <w:kern w:val="22"/>
        </w:rPr>
        <w:t xml:space="preserve"> from the thirteenth meeting of the Conference of the Parties</w:t>
      </w:r>
      <w:r w:rsidR="00637A69" w:rsidRPr="00471447">
        <w:rPr>
          <w:rFonts w:ascii="Times New Roman" w:eastAsia="Cambria" w:hAnsi="Times New Roman" w:cs="Times New Roman"/>
          <w:kern w:val="22"/>
        </w:rPr>
        <w:t xml:space="preserve">, noting that </w:t>
      </w:r>
      <w:r w:rsidR="005C50AC" w:rsidRPr="00471447">
        <w:rPr>
          <w:rFonts w:ascii="Times New Roman" w:eastAsia="Cambria" w:hAnsi="Times New Roman" w:cs="Times New Roman"/>
          <w:kern w:val="22"/>
        </w:rPr>
        <w:t xml:space="preserve">this could be an interesting point </w:t>
      </w:r>
      <w:r w:rsidR="00637A69" w:rsidRPr="00471447">
        <w:rPr>
          <w:rFonts w:ascii="Times New Roman" w:eastAsia="Cambria" w:hAnsi="Times New Roman" w:cs="Times New Roman"/>
          <w:kern w:val="22"/>
        </w:rPr>
        <w:t>for future</w:t>
      </w:r>
      <w:r w:rsidR="005C50AC" w:rsidRPr="00471447">
        <w:rPr>
          <w:rFonts w:ascii="Times New Roman" w:eastAsia="Cambria" w:hAnsi="Times New Roman" w:cs="Times New Roman"/>
          <w:kern w:val="22"/>
        </w:rPr>
        <w:t xml:space="preserve"> follow up</w:t>
      </w:r>
      <w:r w:rsidR="002936BF" w:rsidRPr="00471447">
        <w:rPr>
          <w:rFonts w:ascii="Times New Roman" w:eastAsia="Cambria" w:hAnsi="Times New Roman" w:cs="Times New Roman"/>
          <w:kern w:val="22"/>
        </w:rPr>
        <w:t xml:space="preserve"> of the ILG</w:t>
      </w:r>
      <w:r w:rsidR="005C50AC" w:rsidRPr="00471447">
        <w:rPr>
          <w:rFonts w:ascii="Times New Roman" w:eastAsia="Cambria" w:hAnsi="Times New Roman" w:cs="Times New Roman"/>
          <w:kern w:val="22"/>
        </w:rPr>
        <w:t xml:space="preserve">. </w:t>
      </w:r>
    </w:p>
    <w:p w:rsidR="007E318A" w:rsidRPr="00471447" w:rsidRDefault="00637A6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Throughout the discussion</w:t>
      </w:r>
      <w:r w:rsidR="002936BF" w:rsidRPr="00471447">
        <w:rPr>
          <w:rFonts w:ascii="Times New Roman" w:eastAsia="Cambria" w:hAnsi="Times New Roman" w:cs="Times New Roman"/>
          <w:kern w:val="22"/>
        </w:rPr>
        <w:t>s</w:t>
      </w:r>
      <w:r w:rsidRPr="00471447">
        <w:rPr>
          <w:rFonts w:ascii="Times New Roman" w:eastAsia="Cambria" w:hAnsi="Times New Roman" w:cs="Times New Roman"/>
          <w:kern w:val="22"/>
        </w:rPr>
        <w:t>, s</w:t>
      </w:r>
      <w:r w:rsidR="005C50AC" w:rsidRPr="00471447">
        <w:rPr>
          <w:rFonts w:ascii="Times New Roman" w:eastAsia="Cambria" w:hAnsi="Times New Roman" w:cs="Times New Roman"/>
          <w:kern w:val="22"/>
        </w:rPr>
        <w:t xml:space="preserve">everal participants </w:t>
      </w:r>
      <w:r w:rsidR="002936BF" w:rsidRPr="00471447">
        <w:rPr>
          <w:rFonts w:ascii="Times New Roman" w:eastAsia="Cambria" w:hAnsi="Times New Roman" w:cs="Times New Roman"/>
          <w:kern w:val="22"/>
        </w:rPr>
        <w:t>noted the</w:t>
      </w:r>
      <w:r w:rsidR="005C50AC" w:rsidRPr="00471447">
        <w:rPr>
          <w:rFonts w:ascii="Times New Roman" w:eastAsia="Cambria" w:hAnsi="Times New Roman" w:cs="Times New Roman"/>
          <w:kern w:val="22"/>
        </w:rPr>
        <w:t xml:space="preserve"> relevance of indicators in relation to the SDGs. </w:t>
      </w:r>
      <w:r w:rsidRPr="00471447">
        <w:rPr>
          <w:rFonts w:ascii="Times New Roman" w:eastAsia="Cambria" w:hAnsi="Times New Roman" w:cs="Times New Roman"/>
          <w:kern w:val="22"/>
        </w:rPr>
        <w:t>The challenge of developing indicators</w:t>
      </w:r>
      <w:r w:rsidR="005C50AC" w:rsidRPr="00471447">
        <w:rPr>
          <w:rFonts w:ascii="Times New Roman" w:eastAsia="Cambria" w:hAnsi="Times New Roman" w:cs="Times New Roman"/>
          <w:kern w:val="22"/>
        </w:rPr>
        <w:t xml:space="preserve"> which have </w:t>
      </w:r>
      <w:r w:rsidRPr="00471447">
        <w:rPr>
          <w:rFonts w:ascii="Times New Roman" w:eastAsia="Cambria" w:hAnsi="Times New Roman" w:cs="Times New Roman"/>
          <w:kern w:val="22"/>
        </w:rPr>
        <w:t>a strong</w:t>
      </w:r>
      <w:r w:rsidR="005C50AC" w:rsidRPr="00471447">
        <w:rPr>
          <w:rFonts w:ascii="Times New Roman" w:eastAsia="Cambria" w:hAnsi="Times New Roman" w:cs="Times New Roman"/>
          <w:kern w:val="22"/>
        </w:rPr>
        <w:t xml:space="preserve"> scientific basis, are based on quality data and are accepted by the national statistical offices</w:t>
      </w:r>
      <w:r w:rsidRPr="00471447">
        <w:rPr>
          <w:rFonts w:ascii="Times New Roman" w:eastAsia="Cambria" w:hAnsi="Times New Roman" w:cs="Times New Roman"/>
          <w:kern w:val="22"/>
        </w:rPr>
        <w:t xml:space="preserve">. Participants agreed that it may be useful </w:t>
      </w:r>
      <w:r w:rsidR="005C50AC" w:rsidRPr="00471447">
        <w:rPr>
          <w:rFonts w:ascii="Times New Roman" w:eastAsia="Cambria" w:hAnsi="Times New Roman" w:cs="Times New Roman"/>
          <w:kern w:val="22"/>
        </w:rPr>
        <w:t xml:space="preserve">to consider </w:t>
      </w:r>
      <w:r w:rsidRPr="00471447">
        <w:rPr>
          <w:rFonts w:ascii="Times New Roman" w:eastAsia="Cambria" w:hAnsi="Times New Roman" w:cs="Times New Roman"/>
          <w:kern w:val="22"/>
        </w:rPr>
        <w:t>the development of other relevant</w:t>
      </w:r>
      <w:r w:rsidR="005C50AC" w:rsidRPr="00471447">
        <w:rPr>
          <w:rFonts w:ascii="Times New Roman" w:eastAsia="Cambria" w:hAnsi="Times New Roman" w:cs="Times New Roman"/>
          <w:kern w:val="22"/>
        </w:rPr>
        <w:t xml:space="preserve"> indicators</w:t>
      </w:r>
      <w:r w:rsidRPr="00471447">
        <w:rPr>
          <w:rFonts w:ascii="Times New Roman" w:eastAsia="Cambria" w:hAnsi="Times New Roman" w:cs="Times New Roman"/>
          <w:kern w:val="22"/>
        </w:rPr>
        <w:t xml:space="preserve"> to answer questions that have not been fully developed</w:t>
      </w:r>
      <w:r w:rsidR="005C50AC" w:rsidRPr="00471447">
        <w:rPr>
          <w:rFonts w:ascii="Times New Roman" w:eastAsia="Cambria" w:hAnsi="Times New Roman" w:cs="Times New Roman"/>
          <w:kern w:val="22"/>
        </w:rPr>
        <w:t xml:space="preserve"> </w:t>
      </w:r>
      <w:r w:rsidR="002936BF" w:rsidRPr="00471447">
        <w:rPr>
          <w:rFonts w:ascii="Times New Roman" w:eastAsia="Cambria" w:hAnsi="Times New Roman" w:cs="Times New Roman"/>
          <w:kern w:val="22"/>
        </w:rPr>
        <w:t>(e</w:t>
      </w:r>
      <w:r w:rsidRPr="00471447">
        <w:rPr>
          <w:rFonts w:ascii="Times New Roman" w:eastAsia="Cambria" w:hAnsi="Times New Roman" w:cs="Times New Roman"/>
          <w:kern w:val="22"/>
        </w:rPr>
        <w:t xml:space="preserve">.g. </w:t>
      </w:r>
      <w:r w:rsidR="005C50AC" w:rsidRPr="00471447">
        <w:rPr>
          <w:rFonts w:ascii="Times New Roman" w:eastAsia="Cambria" w:hAnsi="Times New Roman" w:cs="Times New Roman"/>
          <w:kern w:val="22"/>
        </w:rPr>
        <w:t>to which extent can the health of wild populations can be used as an indicator of conservation status?</w:t>
      </w:r>
      <w:r w:rsidR="002936BF" w:rsidRPr="00471447">
        <w:rPr>
          <w:rFonts w:ascii="Times New Roman" w:eastAsia="Cambria" w:hAnsi="Times New Roman" w:cs="Times New Roman"/>
          <w:kern w:val="22"/>
        </w:rPr>
        <w:t>).</w:t>
      </w:r>
      <w:r w:rsidR="005C50AC" w:rsidRPr="00471447">
        <w:rPr>
          <w:rFonts w:ascii="Times New Roman" w:eastAsia="Cambria" w:hAnsi="Times New Roman" w:cs="Times New Roman"/>
          <w:kern w:val="22"/>
        </w:rPr>
        <w:t xml:space="preserve"> </w:t>
      </w:r>
      <w:r w:rsidR="002936BF" w:rsidRPr="00471447">
        <w:rPr>
          <w:rFonts w:ascii="Times New Roman" w:eastAsia="Cambria" w:hAnsi="Times New Roman" w:cs="Times New Roman"/>
          <w:kern w:val="22"/>
        </w:rPr>
        <w:t>It was noted that h</w:t>
      </w:r>
      <w:r w:rsidR="005C50AC" w:rsidRPr="00471447">
        <w:rPr>
          <w:rFonts w:ascii="Times New Roman" w:eastAsia="Cambria" w:hAnsi="Times New Roman" w:cs="Times New Roman"/>
          <w:kern w:val="22"/>
        </w:rPr>
        <w:t>ealth can be an indicator of conservation status insofar that it can be a way of assessing the quality of biodiversity, and can also closely be linked with the idea of One Health.</w:t>
      </w:r>
    </w:p>
    <w:p w:rsidR="000F47FA" w:rsidRPr="00471447" w:rsidRDefault="007E318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w:t>
      </w:r>
      <w:r w:rsidR="00AA6360" w:rsidRPr="00471447">
        <w:rPr>
          <w:rFonts w:ascii="Times New Roman" w:eastAsia="Cambria" w:hAnsi="Times New Roman" w:cs="Times New Roman"/>
          <w:kern w:val="22"/>
        </w:rPr>
        <w:t>Cochrane</w:t>
      </w:r>
      <w:r w:rsidRPr="00471447">
        <w:rPr>
          <w:rFonts w:ascii="Times New Roman" w:eastAsia="Cambria" w:hAnsi="Times New Roman" w:cs="Times New Roman"/>
          <w:kern w:val="22"/>
        </w:rPr>
        <w:t xml:space="preserve">, of </w:t>
      </w:r>
      <w:r w:rsidR="00631A80" w:rsidRPr="00471447">
        <w:rPr>
          <w:rFonts w:ascii="Times New Roman" w:eastAsia="Cambria" w:hAnsi="Times New Roman" w:cs="Times New Roman"/>
          <w:kern w:val="22"/>
        </w:rPr>
        <w:t>the International Union for the Conservation of Nature (</w:t>
      </w:r>
      <w:r w:rsidR="006B6881" w:rsidRPr="00471447">
        <w:rPr>
          <w:rFonts w:ascii="Times New Roman" w:eastAsia="Cambria" w:hAnsi="Times New Roman" w:cs="Times New Roman"/>
          <w:kern w:val="22"/>
        </w:rPr>
        <w:t>IUCN</w:t>
      </w:r>
      <w:r w:rsidR="00631A80" w:rsidRPr="00471447">
        <w:rPr>
          <w:rFonts w:ascii="Times New Roman" w:eastAsia="Cambria" w:hAnsi="Times New Roman" w:cs="Times New Roman"/>
          <w:kern w:val="22"/>
        </w:rPr>
        <w:t>)</w:t>
      </w:r>
      <w:r w:rsidR="002936BF" w:rsidRPr="00471447">
        <w:rPr>
          <w:rFonts w:ascii="Times New Roman" w:eastAsia="Cambria" w:hAnsi="Times New Roman" w:cs="Times New Roman"/>
          <w:kern w:val="22"/>
        </w:rPr>
        <w:t>, presented (via teleconference) the structure,</w:t>
      </w:r>
      <w:r w:rsidR="006B6881" w:rsidRPr="00471447">
        <w:rPr>
          <w:rFonts w:ascii="Times New Roman" w:eastAsia="Cambria" w:hAnsi="Times New Roman" w:cs="Times New Roman"/>
          <w:kern w:val="22"/>
        </w:rPr>
        <w:t xml:space="preserve"> </w:t>
      </w:r>
      <w:r w:rsidR="002936BF" w:rsidRPr="00471447">
        <w:rPr>
          <w:rFonts w:ascii="Times New Roman" w:eastAsia="Cambria" w:hAnsi="Times New Roman" w:cs="Times New Roman"/>
          <w:kern w:val="22"/>
        </w:rPr>
        <w:t xml:space="preserve">work programme, and various examples of IUCN </w:t>
      </w:r>
      <w:r w:rsidRPr="00471447">
        <w:rPr>
          <w:rFonts w:ascii="Times New Roman" w:eastAsia="Cambria" w:hAnsi="Times New Roman" w:cs="Times New Roman"/>
          <w:kern w:val="22"/>
        </w:rPr>
        <w:t>conservation projects</w:t>
      </w:r>
      <w:r w:rsidR="0030328C" w:rsidRPr="00471447">
        <w:rPr>
          <w:rFonts w:ascii="Times New Roman" w:eastAsia="Cambria" w:hAnsi="Times New Roman" w:cs="Times New Roman"/>
          <w:kern w:val="22"/>
        </w:rPr>
        <w:t xml:space="preserve"> to protect and restore natural ecosystems and species, reverse habitat loss, reduce threats and pressures on the natural environment and improve people’s well-being and capacity to conserve natural resources. </w:t>
      </w:r>
      <w:r w:rsidR="002936BF" w:rsidRPr="00471447">
        <w:rPr>
          <w:rFonts w:ascii="Times New Roman" w:eastAsia="Cambria" w:hAnsi="Times New Roman" w:cs="Times New Roman"/>
          <w:kern w:val="22"/>
        </w:rPr>
        <w:t>He highlighted</w:t>
      </w:r>
      <w:r w:rsidRPr="00471447">
        <w:rPr>
          <w:rFonts w:ascii="Times New Roman" w:eastAsia="Cambria" w:hAnsi="Times New Roman" w:cs="Times New Roman"/>
          <w:kern w:val="22"/>
        </w:rPr>
        <w:t xml:space="preserve"> </w:t>
      </w:r>
      <w:r w:rsidR="002936BF" w:rsidRPr="00471447">
        <w:rPr>
          <w:rFonts w:ascii="Times New Roman" w:eastAsia="Cambria" w:hAnsi="Times New Roman" w:cs="Times New Roman"/>
          <w:kern w:val="22"/>
        </w:rPr>
        <w:t>the IUCN’s</w:t>
      </w:r>
      <w:r w:rsidRPr="00471447">
        <w:rPr>
          <w:rFonts w:ascii="Times New Roman" w:eastAsia="Cambria" w:hAnsi="Times New Roman" w:cs="Times New Roman"/>
          <w:kern w:val="22"/>
        </w:rPr>
        <w:t xml:space="preserve"> increasing focus on </w:t>
      </w:r>
      <w:r w:rsidR="0030328C" w:rsidRPr="00471447">
        <w:rPr>
          <w:rFonts w:ascii="Times New Roman" w:eastAsia="Cambria" w:hAnsi="Times New Roman" w:cs="Times New Roman"/>
          <w:kern w:val="22"/>
        </w:rPr>
        <w:t xml:space="preserve">maintaining and restoring the ecosystem services and the multiple benefits that nature provides, </w:t>
      </w:r>
      <w:r w:rsidR="002936BF" w:rsidRPr="00471447">
        <w:rPr>
          <w:rFonts w:ascii="Times New Roman" w:eastAsia="Cambria" w:hAnsi="Times New Roman" w:cs="Times New Roman"/>
          <w:kern w:val="22"/>
        </w:rPr>
        <w:t xml:space="preserve">to human well-being (e.g. </w:t>
      </w:r>
      <w:r w:rsidR="0030328C" w:rsidRPr="00471447">
        <w:rPr>
          <w:rFonts w:ascii="Times New Roman" w:eastAsia="Cambria" w:hAnsi="Times New Roman" w:cs="Times New Roman"/>
          <w:kern w:val="22"/>
        </w:rPr>
        <w:t xml:space="preserve">wild species used as food to the maternal and child health of indigenous people; assessments and guidelines </w:t>
      </w:r>
      <w:r w:rsidR="002936BF" w:rsidRPr="00471447">
        <w:rPr>
          <w:rFonts w:ascii="Times New Roman" w:eastAsia="Cambria" w:hAnsi="Times New Roman" w:cs="Times New Roman"/>
          <w:kern w:val="22"/>
        </w:rPr>
        <w:t>for medicinal plants,</w:t>
      </w:r>
      <w:r w:rsidRPr="00471447">
        <w:rPr>
          <w:rFonts w:ascii="Times New Roman" w:eastAsia="Cambria" w:hAnsi="Times New Roman" w:cs="Times New Roman"/>
          <w:kern w:val="22"/>
        </w:rPr>
        <w:t xml:space="preserve"> </w:t>
      </w:r>
      <w:r w:rsidR="001116A5" w:rsidRPr="00471447">
        <w:rPr>
          <w:rFonts w:ascii="Times New Roman" w:eastAsia="Cambria" w:hAnsi="Times New Roman" w:cs="Times New Roman"/>
          <w:kern w:val="22"/>
        </w:rPr>
        <w:t xml:space="preserve">projects to support </w:t>
      </w:r>
      <w:r w:rsidR="0030328C" w:rsidRPr="00471447">
        <w:rPr>
          <w:rFonts w:ascii="Times New Roman" w:eastAsia="Cambria" w:hAnsi="Times New Roman" w:cs="Times New Roman"/>
          <w:kern w:val="22"/>
        </w:rPr>
        <w:t>climate resilience</w:t>
      </w:r>
      <w:r w:rsidR="001116A5"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1116A5" w:rsidRPr="00471447">
        <w:rPr>
          <w:rFonts w:ascii="Times New Roman" w:eastAsia="Cambria" w:hAnsi="Times New Roman" w:cs="Times New Roman"/>
          <w:kern w:val="22"/>
        </w:rPr>
        <w:t xml:space="preserve">for </w:t>
      </w:r>
      <w:r w:rsidR="0030328C" w:rsidRPr="00471447">
        <w:rPr>
          <w:rFonts w:ascii="Times New Roman" w:eastAsia="Cambria" w:hAnsi="Times New Roman" w:cs="Times New Roman"/>
          <w:kern w:val="22"/>
        </w:rPr>
        <w:t xml:space="preserve">protected areas </w:t>
      </w:r>
      <w:r w:rsidR="001116A5" w:rsidRPr="00471447">
        <w:rPr>
          <w:rFonts w:ascii="Times New Roman" w:eastAsia="Cambria" w:hAnsi="Times New Roman" w:cs="Times New Roman"/>
          <w:kern w:val="22"/>
        </w:rPr>
        <w:t>management and sustainable livelihoods)</w:t>
      </w:r>
      <w:r w:rsidR="000F47FA" w:rsidRPr="00471447">
        <w:rPr>
          <w:rFonts w:ascii="Times New Roman" w:eastAsia="Cambria" w:hAnsi="Times New Roman" w:cs="Times New Roman"/>
          <w:kern w:val="22"/>
        </w:rPr>
        <w:t xml:space="preserve">. </w:t>
      </w:r>
    </w:p>
    <w:p w:rsidR="000F47FA" w:rsidRPr="00471447" w:rsidRDefault="001116A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Cochrane </w:t>
      </w:r>
      <w:r w:rsidR="007E318A" w:rsidRPr="00471447">
        <w:rPr>
          <w:rFonts w:ascii="Times New Roman" w:eastAsia="Cambria" w:hAnsi="Times New Roman" w:cs="Times New Roman"/>
          <w:kern w:val="22"/>
        </w:rPr>
        <w:t xml:space="preserve">noted that IUCN is </w:t>
      </w:r>
      <w:r w:rsidR="000F47FA" w:rsidRPr="00471447">
        <w:rPr>
          <w:rFonts w:ascii="Times New Roman" w:eastAsia="Cambria" w:hAnsi="Times New Roman" w:cs="Times New Roman"/>
          <w:kern w:val="22"/>
        </w:rPr>
        <w:t>committed to working with ILG members to</w:t>
      </w:r>
      <w:r w:rsidR="0030328C" w:rsidRPr="00471447">
        <w:rPr>
          <w:rFonts w:ascii="Times New Roman" w:eastAsia="Cambria" w:hAnsi="Times New Roman" w:cs="Times New Roman"/>
          <w:kern w:val="22"/>
        </w:rPr>
        <w:t xml:space="preserve"> </w:t>
      </w:r>
      <w:r w:rsidR="007E318A" w:rsidRPr="00471447">
        <w:rPr>
          <w:rFonts w:ascii="Times New Roman" w:eastAsia="Cambria" w:hAnsi="Times New Roman" w:cs="Times New Roman"/>
          <w:kern w:val="22"/>
        </w:rPr>
        <w:t xml:space="preserve">highlight </w:t>
      </w:r>
      <w:r w:rsidR="0030328C" w:rsidRPr="00471447">
        <w:rPr>
          <w:rFonts w:ascii="Times New Roman" w:eastAsia="Cambria" w:hAnsi="Times New Roman" w:cs="Times New Roman"/>
          <w:kern w:val="22"/>
        </w:rPr>
        <w:t xml:space="preserve">the benefits </w:t>
      </w:r>
      <w:r w:rsidR="007E318A" w:rsidRPr="00471447">
        <w:rPr>
          <w:rFonts w:ascii="Times New Roman" w:eastAsia="Cambria" w:hAnsi="Times New Roman" w:cs="Times New Roman"/>
          <w:kern w:val="22"/>
        </w:rPr>
        <w:t>of nature conservation from the local to the planetary scale</w:t>
      </w:r>
      <w:r w:rsidR="0030328C" w:rsidRPr="00471447">
        <w:rPr>
          <w:rFonts w:ascii="Times New Roman" w:eastAsia="Cambria" w:hAnsi="Times New Roman" w:cs="Times New Roman"/>
          <w:kern w:val="22"/>
        </w:rPr>
        <w:t>.</w:t>
      </w:r>
      <w:r w:rsidR="007E318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He also highlighted </w:t>
      </w:r>
      <w:r w:rsidR="0030328C" w:rsidRPr="00471447">
        <w:rPr>
          <w:rFonts w:ascii="Times New Roman" w:eastAsia="Cambria" w:hAnsi="Times New Roman" w:cs="Times New Roman"/>
          <w:kern w:val="22"/>
        </w:rPr>
        <w:t xml:space="preserve">IUCN World Conservation Congress 2016 Resolution 64 </w:t>
      </w:r>
      <w:r w:rsidRPr="00471447">
        <w:rPr>
          <w:rFonts w:ascii="Times New Roman" w:eastAsia="Cambria" w:hAnsi="Times New Roman" w:cs="Times New Roman"/>
          <w:kern w:val="22"/>
        </w:rPr>
        <w:t>on</w:t>
      </w:r>
      <w:r w:rsidR="0030328C" w:rsidRPr="00471447">
        <w:rPr>
          <w:rFonts w:ascii="Times New Roman" w:eastAsia="Cambria" w:hAnsi="Times New Roman" w:cs="Times New Roman"/>
          <w:kern w:val="22"/>
        </w:rPr>
        <w:t xml:space="preserve"> nature and human health</w:t>
      </w:r>
      <w:r w:rsidRPr="00471447">
        <w:rPr>
          <w:rFonts w:ascii="Times New Roman" w:eastAsia="Cambria" w:hAnsi="Times New Roman" w:cs="Times New Roman"/>
          <w:kern w:val="22"/>
        </w:rPr>
        <w:t>, discussed emerging</w:t>
      </w:r>
      <w:r w:rsidR="000F47F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efforts to support the </w:t>
      </w:r>
      <w:r w:rsidR="0030328C" w:rsidRPr="00471447">
        <w:rPr>
          <w:rFonts w:ascii="Times New Roman" w:eastAsia="Cambria" w:hAnsi="Times New Roman" w:cs="Times New Roman"/>
          <w:kern w:val="22"/>
        </w:rPr>
        <w:t xml:space="preserve">policies, programmes and partnerships on the connection between healthy ecosystems and natural heritage and community health </w:t>
      </w:r>
      <w:r w:rsidRPr="00471447">
        <w:rPr>
          <w:rFonts w:ascii="Times New Roman" w:eastAsia="Cambria" w:hAnsi="Times New Roman" w:cs="Times New Roman"/>
          <w:kern w:val="22"/>
        </w:rPr>
        <w:t>and</w:t>
      </w:r>
      <w:r w:rsidR="000F47FA" w:rsidRPr="00471447">
        <w:rPr>
          <w:rFonts w:ascii="Times New Roman" w:eastAsia="Cambria" w:hAnsi="Times New Roman" w:cs="Times New Roman"/>
          <w:kern w:val="22"/>
        </w:rPr>
        <w:t xml:space="preserve"> </w:t>
      </w:r>
      <w:r w:rsidR="0030328C" w:rsidRPr="00471447">
        <w:rPr>
          <w:rFonts w:ascii="Times New Roman" w:eastAsia="Cambria" w:hAnsi="Times New Roman" w:cs="Times New Roman"/>
          <w:kern w:val="22"/>
        </w:rPr>
        <w:t xml:space="preserve">cost-benefit assessments </w:t>
      </w:r>
      <w:r w:rsidR="000F47FA" w:rsidRPr="00471447">
        <w:rPr>
          <w:rFonts w:ascii="Times New Roman" w:eastAsia="Cambria" w:hAnsi="Times New Roman" w:cs="Times New Roman"/>
          <w:kern w:val="22"/>
        </w:rPr>
        <w:t xml:space="preserve">and global accounting standards </w:t>
      </w:r>
      <w:r w:rsidR="0030328C" w:rsidRPr="00471447">
        <w:rPr>
          <w:rFonts w:ascii="Times New Roman" w:eastAsia="Cambria" w:hAnsi="Times New Roman" w:cs="Times New Roman"/>
          <w:kern w:val="22"/>
        </w:rPr>
        <w:t>for increased in</w:t>
      </w:r>
      <w:r w:rsidRPr="00471447">
        <w:rPr>
          <w:rFonts w:ascii="Times New Roman" w:eastAsia="Cambria" w:hAnsi="Times New Roman" w:cs="Times New Roman"/>
          <w:kern w:val="22"/>
        </w:rPr>
        <w:t>vestment in nature conservation.</w:t>
      </w:r>
      <w:r w:rsidR="000F47F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He noted that i</w:t>
      </w:r>
      <w:r w:rsidR="0030328C" w:rsidRPr="00471447">
        <w:rPr>
          <w:rFonts w:ascii="Times New Roman" w:eastAsia="Cambria" w:hAnsi="Times New Roman" w:cs="Times New Roman"/>
          <w:kern w:val="22"/>
        </w:rPr>
        <w:t xml:space="preserve">nterdisciplinary partnerships and alliances </w:t>
      </w:r>
      <w:r w:rsidRPr="00471447">
        <w:rPr>
          <w:rFonts w:ascii="Times New Roman" w:eastAsia="Cambria" w:hAnsi="Times New Roman" w:cs="Times New Roman"/>
          <w:kern w:val="22"/>
        </w:rPr>
        <w:t>to develop programmes on</w:t>
      </w:r>
      <w:r w:rsidR="0030328C" w:rsidRPr="00471447">
        <w:rPr>
          <w:rFonts w:ascii="Times New Roman" w:eastAsia="Cambria" w:hAnsi="Times New Roman" w:cs="Times New Roman"/>
          <w:kern w:val="22"/>
        </w:rPr>
        <w:t xml:space="preserve"> nature-based solutions to prevent and treat noncommunicable diseases</w:t>
      </w:r>
      <w:r w:rsidRPr="00471447">
        <w:rPr>
          <w:rFonts w:ascii="Times New Roman" w:eastAsia="Cambria" w:hAnsi="Times New Roman" w:cs="Times New Roman"/>
          <w:kern w:val="22"/>
        </w:rPr>
        <w:t xml:space="preserve">, </w:t>
      </w:r>
      <w:r w:rsidR="000F47FA" w:rsidRPr="00471447">
        <w:rPr>
          <w:rFonts w:ascii="Times New Roman" w:eastAsia="Cambria" w:hAnsi="Times New Roman" w:cs="Times New Roman"/>
          <w:kern w:val="22"/>
        </w:rPr>
        <w:t xml:space="preserve">strengthening the </w:t>
      </w:r>
      <w:r w:rsidR="0030328C" w:rsidRPr="00471447">
        <w:rPr>
          <w:rFonts w:ascii="Times New Roman" w:eastAsia="Cambria" w:hAnsi="Times New Roman" w:cs="Times New Roman"/>
          <w:kern w:val="22"/>
        </w:rPr>
        <w:t xml:space="preserve">evidence base for quantifying the benefits of nature for health </w:t>
      </w:r>
      <w:r w:rsidRPr="00471447">
        <w:rPr>
          <w:rFonts w:ascii="Times New Roman" w:eastAsia="Cambria" w:hAnsi="Times New Roman" w:cs="Times New Roman"/>
          <w:kern w:val="22"/>
        </w:rPr>
        <w:t xml:space="preserve">and </w:t>
      </w:r>
      <w:r w:rsidR="0030328C" w:rsidRPr="00471447">
        <w:rPr>
          <w:rFonts w:ascii="Times New Roman" w:eastAsia="Cambria" w:hAnsi="Times New Roman" w:cs="Times New Roman"/>
          <w:kern w:val="22"/>
        </w:rPr>
        <w:t>to measure the effectiveness of nature-based health programmes</w:t>
      </w:r>
      <w:r w:rsidR="000F47FA" w:rsidRPr="00471447">
        <w:rPr>
          <w:rFonts w:ascii="Times New Roman" w:eastAsia="Cambria" w:hAnsi="Times New Roman" w:cs="Times New Roman"/>
          <w:kern w:val="22"/>
        </w:rPr>
        <w:t xml:space="preserve"> and to support the implementation of projects on the ground</w:t>
      </w:r>
      <w:r w:rsidRPr="00471447">
        <w:rPr>
          <w:rFonts w:ascii="Times New Roman" w:eastAsia="Cambria" w:hAnsi="Times New Roman" w:cs="Times New Roman"/>
          <w:kern w:val="22"/>
        </w:rPr>
        <w:t xml:space="preserve"> was also being encouraged</w:t>
      </w:r>
      <w:r w:rsidR="0030328C"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He stated a strong interest </w:t>
      </w:r>
      <w:r w:rsidR="0030328C" w:rsidRPr="00471447">
        <w:rPr>
          <w:rFonts w:ascii="Times New Roman" w:eastAsia="Cambria" w:hAnsi="Times New Roman" w:cs="Times New Roman"/>
          <w:kern w:val="22"/>
        </w:rPr>
        <w:t>by IUCN to act</w:t>
      </w:r>
      <w:r w:rsidR="00570FC6" w:rsidRPr="00471447">
        <w:rPr>
          <w:rFonts w:ascii="Times New Roman" w:eastAsia="Cambria" w:hAnsi="Times New Roman" w:cs="Times New Roman"/>
          <w:kern w:val="22"/>
        </w:rPr>
        <w:t xml:space="preserve">ively </w:t>
      </w:r>
      <w:r w:rsidRPr="00471447">
        <w:rPr>
          <w:rFonts w:ascii="Times New Roman" w:eastAsia="Cambria" w:hAnsi="Times New Roman" w:cs="Times New Roman"/>
          <w:kern w:val="22"/>
        </w:rPr>
        <w:t>contribute to the activities of</w:t>
      </w:r>
      <w:r w:rsidR="00570FC6"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 ILG</w:t>
      </w:r>
      <w:r w:rsidR="000F47FA" w:rsidRPr="00471447">
        <w:rPr>
          <w:rFonts w:ascii="Times New Roman" w:eastAsia="Cambria" w:hAnsi="Times New Roman" w:cs="Times New Roman"/>
          <w:kern w:val="22"/>
        </w:rPr>
        <w:t xml:space="preserve"> through these and other activities.</w:t>
      </w:r>
    </w:p>
    <w:p w:rsidR="008D57D7" w:rsidRPr="00471447" w:rsidRDefault="000F47F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Ms. </w:t>
      </w:r>
      <w:r w:rsidR="001116A5" w:rsidRPr="00471447">
        <w:rPr>
          <w:rFonts w:ascii="Times New Roman" w:eastAsia="Cambria" w:hAnsi="Times New Roman" w:cs="Times New Roman"/>
          <w:kern w:val="22"/>
        </w:rPr>
        <w:t xml:space="preserve">Fanny </w:t>
      </w:r>
      <w:r w:rsidRPr="00471447">
        <w:rPr>
          <w:rFonts w:ascii="Times New Roman" w:eastAsia="Cambria" w:hAnsi="Times New Roman" w:cs="Times New Roman"/>
          <w:kern w:val="22"/>
        </w:rPr>
        <w:t>Demassieux of UN Environment</w:t>
      </w:r>
      <w:r w:rsidR="00AF18A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noted that there are multiple opportunities</w:t>
      </w:r>
      <w:r w:rsidR="008D57D7" w:rsidRPr="00471447">
        <w:rPr>
          <w:rFonts w:ascii="Times New Roman" w:eastAsia="Cambria" w:hAnsi="Times New Roman" w:cs="Times New Roman"/>
          <w:kern w:val="22"/>
        </w:rPr>
        <w:t xml:space="preserve"> to jointly create</w:t>
      </w:r>
      <w:r w:rsidR="00AF18A9" w:rsidRPr="00471447">
        <w:rPr>
          <w:rFonts w:ascii="Times New Roman" w:eastAsia="Cambria" w:hAnsi="Times New Roman" w:cs="Times New Roman"/>
          <w:kern w:val="22"/>
        </w:rPr>
        <w:t xml:space="preserve"> </w:t>
      </w:r>
      <w:r w:rsidR="008D57D7" w:rsidRPr="00471447">
        <w:rPr>
          <w:rFonts w:ascii="Times New Roman" w:eastAsia="Cambria" w:hAnsi="Times New Roman" w:cs="Times New Roman"/>
          <w:kern w:val="22"/>
        </w:rPr>
        <w:t xml:space="preserve">create key messages among ILG members to influence public audience and raise awareness. In addition to those raised so far, it would be worthwhile considering the ILG jointly develop key messages for </w:t>
      </w:r>
      <w:r w:rsidR="00AF18A9" w:rsidRPr="00471447">
        <w:rPr>
          <w:rFonts w:ascii="Times New Roman" w:eastAsia="Cambria" w:hAnsi="Times New Roman" w:cs="Times New Roman"/>
          <w:kern w:val="22"/>
        </w:rPr>
        <w:t>World Environment Day (</w:t>
      </w:r>
      <w:hyperlink r:id="rId17">
        <w:r w:rsidR="00AF18A9" w:rsidRPr="00471447">
          <w:rPr>
            <w:rFonts w:ascii="Times New Roman" w:eastAsia="Cambria" w:hAnsi="Times New Roman" w:cs="Times New Roman"/>
            <w:color w:val="1155CC"/>
            <w:kern w:val="22"/>
            <w:u w:val="single"/>
          </w:rPr>
          <w:t>http://www.worldenvironmentday.global/</w:t>
        </w:r>
      </w:hyperlink>
      <w:r w:rsidR="008D57D7" w:rsidRPr="00471447">
        <w:rPr>
          <w:rFonts w:ascii="Times New Roman" w:eastAsia="Cambria" w:hAnsi="Times New Roman" w:cs="Times New Roman"/>
          <w:kern w:val="22"/>
        </w:rPr>
        <w:t>) or to address other relevant issue areas at the intersection of biodiversity and health including, for example, pollution, which will be a key issue at the upcoming UN Environmental Assembly in December</w:t>
      </w:r>
      <w:r w:rsidR="001116A5" w:rsidRPr="00471447">
        <w:rPr>
          <w:rFonts w:ascii="Times New Roman" w:eastAsia="Cambria" w:hAnsi="Times New Roman" w:cs="Times New Roman"/>
          <w:kern w:val="22"/>
        </w:rPr>
        <w:t xml:space="preserve"> 2017</w:t>
      </w:r>
      <w:r w:rsidR="008D57D7" w:rsidRPr="00471447">
        <w:rPr>
          <w:rFonts w:ascii="Times New Roman" w:eastAsia="Cambria" w:hAnsi="Times New Roman" w:cs="Times New Roman"/>
          <w:kern w:val="22"/>
        </w:rPr>
        <w:t>.</w:t>
      </w:r>
      <w:r w:rsidR="00191F62" w:rsidRPr="00471447">
        <w:rPr>
          <w:rFonts w:ascii="Times New Roman" w:eastAsia="Cambria" w:hAnsi="Times New Roman" w:cs="Times New Roman"/>
          <w:kern w:val="22"/>
        </w:rPr>
        <w:t xml:space="preserve"> There ar</w:t>
      </w:r>
      <w:r w:rsidR="001116A5" w:rsidRPr="00471447">
        <w:rPr>
          <w:rFonts w:ascii="Times New Roman" w:eastAsia="Cambria" w:hAnsi="Times New Roman" w:cs="Times New Roman"/>
          <w:kern w:val="22"/>
        </w:rPr>
        <w:t>e opportunities to further strengthen collaboration with the ILG through these and related mechanisms.</w:t>
      </w:r>
      <w:r w:rsidR="008D57D7" w:rsidRPr="00471447">
        <w:rPr>
          <w:rFonts w:ascii="Times New Roman" w:eastAsia="Cambria" w:hAnsi="Times New Roman" w:cs="Times New Roman"/>
          <w:kern w:val="22"/>
        </w:rPr>
        <w:t xml:space="preserve"> </w:t>
      </w:r>
    </w:p>
    <w:p w:rsidR="005A4D9F" w:rsidRPr="00471447" w:rsidRDefault="007E318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Ms. Wannous, of the UN office for Disaster Risk reduction (UNISDR) </w:t>
      </w:r>
      <w:r w:rsidR="008D57D7" w:rsidRPr="00471447">
        <w:rPr>
          <w:rFonts w:ascii="Times New Roman" w:eastAsia="Cambria" w:hAnsi="Times New Roman" w:cs="Times New Roman"/>
          <w:kern w:val="22"/>
        </w:rPr>
        <w:t>(</w:t>
      </w:r>
      <w:hyperlink r:id="rId18" w:history="1">
        <w:r w:rsidR="008D57D7" w:rsidRPr="00471447">
          <w:rPr>
            <w:rStyle w:val="Hyperlink"/>
            <w:rFonts w:ascii="Times New Roman" w:eastAsia="Cambria" w:hAnsi="Times New Roman" w:cs="Times New Roman"/>
            <w:kern w:val="22"/>
            <w:u w:val="none"/>
          </w:rPr>
          <w:t>https://www.unisdr.org/)</w:t>
        </w:r>
      </w:hyperlink>
      <w:r w:rsidR="008D57D7" w:rsidRPr="00471447">
        <w:rPr>
          <w:rFonts w:ascii="Times New Roman" w:eastAsia="Cambria" w:hAnsi="Times New Roman" w:cs="Times New Roman"/>
          <w:kern w:val="22"/>
        </w:rPr>
        <w:t xml:space="preserve"> </w:t>
      </w:r>
      <w:r w:rsidR="00191F62" w:rsidRPr="00471447">
        <w:rPr>
          <w:rFonts w:ascii="Times New Roman" w:eastAsia="Cambria" w:hAnsi="Times New Roman" w:cs="Times New Roman"/>
          <w:kern w:val="22"/>
        </w:rPr>
        <w:t>presented i</w:t>
      </w:r>
      <w:r w:rsidR="008D57D7" w:rsidRPr="00471447">
        <w:rPr>
          <w:rFonts w:ascii="Times New Roman" w:eastAsia="Cambria" w:hAnsi="Times New Roman" w:cs="Times New Roman"/>
          <w:kern w:val="22"/>
        </w:rPr>
        <w:t xml:space="preserve">ncreased </w:t>
      </w:r>
      <w:r w:rsidRPr="00471447">
        <w:rPr>
          <w:rFonts w:ascii="Times New Roman" w:eastAsia="Cambria" w:hAnsi="Times New Roman" w:cs="Times New Roman"/>
          <w:kern w:val="22"/>
        </w:rPr>
        <w:t xml:space="preserve">efforts by UNISDR to integrate health into disaster risk reduction strategies and to </w:t>
      </w:r>
      <w:r w:rsidR="008D57D7" w:rsidRPr="00471447">
        <w:rPr>
          <w:rFonts w:ascii="Times New Roman" w:eastAsia="Cambria" w:hAnsi="Times New Roman" w:cs="Times New Roman"/>
          <w:kern w:val="22"/>
        </w:rPr>
        <w:t>include the</w:t>
      </w:r>
      <w:r w:rsidRPr="00471447">
        <w:rPr>
          <w:rFonts w:ascii="Times New Roman" w:eastAsia="Cambria" w:hAnsi="Times New Roman" w:cs="Times New Roman"/>
          <w:kern w:val="22"/>
        </w:rPr>
        <w:t xml:space="preserve"> health </w:t>
      </w:r>
      <w:r w:rsidR="008D57D7" w:rsidRPr="00471447">
        <w:rPr>
          <w:rFonts w:ascii="Times New Roman" w:eastAsia="Cambria" w:hAnsi="Times New Roman" w:cs="Times New Roman"/>
          <w:kern w:val="22"/>
        </w:rPr>
        <w:t xml:space="preserve">and conservation sectors </w:t>
      </w:r>
      <w:r w:rsidRPr="00471447">
        <w:rPr>
          <w:rFonts w:ascii="Times New Roman" w:eastAsia="Cambria" w:hAnsi="Times New Roman" w:cs="Times New Roman"/>
          <w:kern w:val="22"/>
        </w:rPr>
        <w:t xml:space="preserve">as </w:t>
      </w:r>
      <w:r w:rsidR="008D57D7" w:rsidRPr="00471447">
        <w:rPr>
          <w:rFonts w:ascii="Times New Roman" w:eastAsia="Cambria" w:hAnsi="Times New Roman" w:cs="Times New Roman"/>
          <w:kern w:val="22"/>
        </w:rPr>
        <w:t xml:space="preserve">active </w:t>
      </w:r>
      <w:r w:rsidRPr="00471447">
        <w:rPr>
          <w:rFonts w:ascii="Times New Roman" w:eastAsia="Cambria" w:hAnsi="Times New Roman" w:cs="Times New Roman"/>
          <w:kern w:val="22"/>
        </w:rPr>
        <w:t>contributing partner</w:t>
      </w:r>
      <w:r w:rsidR="008D57D7" w:rsidRPr="00471447">
        <w:rPr>
          <w:rFonts w:ascii="Times New Roman" w:eastAsia="Cambria" w:hAnsi="Times New Roman" w:cs="Times New Roman"/>
          <w:kern w:val="22"/>
        </w:rPr>
        <w:t>s</w:t>
      </w:r>
      <w:r w:rsidRPr="00471447">
        <w:rPr>
          <w:rFonts w:ascii="Times New Roman" w:eastAsia="Cambria" w:hAnsi="Times New Roman" w:cs="Times New Roman"/>
          <w:kern w:val="22"/>
        </w:rPr>
        <w:t xml:space="preserve"> in reducing risk.</w:t>
      </w:r>
      <w:r w:rsidR="00191F62" w:rsidRPr="00471447">
        <w:rPr>
          <w:rFonts w:ascii="Times New Roman" w:eastAsia="Cambria" w:hAnsi="Times New Roman" w:cs="Times New Roman"/>
          <w:kern w:val="22"/>
        </w:rPr>
        <w:t xml:space="preserve"> She </w:t>
      </w:r>
      <w:r w:rsidR="008D57D7" w:rsidRPr="00471447">
        <w:rPr>
          <w:rFonts w:ascii="Times New Roman" w:eastAsia="Cambria" w:hAnsi="Times New Roman" w:cs="Times New Roman"/>
          <w:kern w:val="22"/>
        </w:rPr>
        <w:t>noted that after</w:t>
      </w:r>
      <w:r w:rsidRPr="00471447">
        <w:rPr>
          <w:rFonts w:ascii="Times New Roman" w:eastAsia="Cambria" w:hAnsi="Times New Roman" w:cs="Times New Roman"/>
          <w:kern w:val="22"/>
        </w:rPr>
        <w:t xml:space="preserve"> the adoption of the Sendai Framework, </w:t>
      </w:r>
      <w:r w:rsidR="00191F62" w:rsidRPr="00471447">
        <w:rPr>
          <w:rFonts w:ascii="Times New Roman" w:eastAsia="Cambria" w:hAnsi="Times New Roman" w:cs="Times New Roman"/>
          <w:kern w:val="22"/>
        </w:rPr>
        <w:t xml:space="preserve">the </w:t>
      </w:r>
      <w:r w:rsidR="008D57D7" w:rsidRPr="00471447">
        <w:rPr>
          <w:rFonts w:ascii="Times New Roman" w:eastAsia="Cambria" w:hAnsi="Times New Roman" w:cs="Times New Roman"/>
          <w:kern w:val="22"/>
        </w:rPr>
        <w:t>Bangkok Principles</w:t>
      </w:r>
      <w:r w:rsidR="00191F62" w:rsidRPr="00471447">
        <w:rPr>
          <w:rFonts w:ascii="Times New Roman" w:eastAsia="Cambria" w:hAnsi="Times New Roman" w:cs="Times New Roman"/>
          <w:kern w:val="22"/>
        </w:rPr>
        <w:t xml:space="preserve">, comprised of </w:t>
      </w:r>
      <w:r w:rsidR="00AE0E6C">
        <w:rPr>
          <w:rFonts w:ascii="Times New Roman" w:eastAsia="Cambria" w:hAnsi="Times New Roman" w:cs="Times New Roman"/>
          <w:kern w:val="22"/>
        </w:rPr>
        <w:t>six</w:t>
      </w:r>
      <w:r w:rsidR="00AE0E6C" w:rsidRPr="00471447">
        <w:rPr>
          <w:rFonts w:ascii="Times New Roman" w:eastAsia="Cambria" w:hAnsi="Times New Roman" w:cs="Times New Roman"/>
          <w:kern w:val="22"/>
        </w:rPr>
        <w:t xml:space="preserve"> </w:t>
      </w:r>
      <w:r w:rsidR="00191F62" w:rsidRPr="00471447">
        <w:rPr>
          <w:rFonts w:ascii="Times New Roman" w:eastAsia="Cambria" w:hAnsi="Times New Roman" w:cs="Times New Roman"/>
          <w:kern w:val="22"/>
        </w:rPr>
        <w:t>priority actions, were adopted to strengthen</w:t>
      </w:r>
      <w:r w:rsidRPr="00471447">
        <w:rPr>
          <w:rFonts w:ascii="Times New Roman" w:eastAsia="Cambria" w:hAnsi="Times New Roman" w:cs="Times New Roman"/>
          <w:kern w:val="22"/>
        </w:rPr>
        <w:t xml:space="preserve"> c</w:t>
      </w:r>
      <w:r w:rsidR="008D57D7" w:rsidRPr="00471447">
        <w:rPr>
          <w:rFonts w:ascii="Times New Roman" w:eastAsia="Cambria" w:hAnsi="Times New Roman" w:cs="Times New Roman"/>
          <w:kern w:val="22"/>
        </w:rPr>
        <w:t xml:space="preserve">ollaboration between the health, environment and </w:t>
      </w:r>
      <w:r w:rsidRPr="00471447">
        <w:rPr>
          <w:rFonts w:ascii="Times New Roman" w:eastAsia="Cambria" w:hAnsi="Times New Roman" w:cs="Times New Roman"/>
          <w:kern w:val="22"/>
        </w:rPr>
        <w:t xml:space="preserve">DRR communities. </w:t>
      </w:r>
      <w:r w:rsidR="00191F62" w:rsidRPr="00471447">
        <w:rPr>
          <w:rFonts w:ascii="Times New Roman" w:eastAsia="Cambria" w:hAnsi="Times New Roman" w:cs="Times New Roman"/>
          <w:kern w:val="22"/>
        </w:rPr>
        <w:t>She emphasized that h</w:t>
      </w:r>
      <w:r w:rsidRPr="00471447">
        <w:rPr>
          <w:rFonts w:ascii="Times New Roman" w:eastAsia="Cambria" w:hAnsi="Times New Roman" w:cs="Times New Roman"/>
          <w:kern w:val="22"/>
        </w:rPr>
        <w:t xml:space="preserve">ealth inputs are </w:t>
      </w:r>
      <w:r w:rsidR="005A4D9F" w:rsidRPr="00471447">
        <w:rPr>
          <w:rFonts w:ascii="Times New Roman" w:eastAsia="Cambria" w:hAnsi="Times New Roman" w:cs="Times New Roman"/>
          <w:kern w:val="22"/>
        </w:rPr>
        <w:t xml:space="preserve">needed for risk assessments, particularly </w:t>
      </w:r>
      <w:r w:rsidRPr="00471447">
        <w:rPr>
          <w:rFonts w:ascii="Times New Roman" w:eastAsia="Cambria" w:hAnsi="Times New Roman" w:cs="Times New Roman"/>
          <w:kern w:val="22"/>
        </w:rPr>
        <w:t>at the local and national levels</w:t>
      </w:r>
      <w:r w:rsidR="00191F62" w:rsidRPr="00471447">
        <w:rPr>
          <w:rFonts w:ascii="Times New Roman" w:eastAsia="Cambria" w:hAnsi="Times New Roman" w:cs="Times New Roman"/>
          <w:kern w:val="22"/>
        </w:rPr>
        <w:t xml:space="preserve"> and the need for</w:t>
      </w:r>
      <w:r w:rsidRPr="00471447">
        <w:rPr>
          <w:rFonts w:ascii="Times New Roman" w:eastAsia="Cambria" w:hAnsi="Times New Roman" w:cs="Times New Roman"/>
          <w:kern w:val="22"/>
        </w:rPr>
        <w:t xml:space="preserve"> more data on biodiversity </w:t>
      </w:r>
      <w:r w:rsidR="005A4D9F" w:rsidRPr="00471447">
        <w:rPr>
          <w:rFonts w:ascii="Times New Roman" w:eastAsia="Cambria" w:hAnsi="Times New Roman" w:cs="Times New Roman"/>
          <w:kern w:val="22"/>
        </w:rPr>
        <w:t>for</w:t>
      </w:r>
      <w:r w:rsidRPr="00471447">
        <w:rPr>
          <w:rFonts w:ascii="Times New Roman" w:eastAsia="Cambria" w:hAnsi="Times New Roman" w:cs="Times New Roman"/>
          <w:kern w:val="22"/>
        </w:rPr>
        <w:t xml:space="preserve"> the DRR database on risk monitoring</w:t>
      </w:r>
      <w:r w:rsidR="005A4D9F" w:rsidRPr="00471447">
        <w:rPr>
          <w:rFonts w:ascii="Times New Roman" w:eastAsia="Cambria" w:hAnsi="Times New Roman" w:cs="Times New Roman"/>
          <w:kern w:val="22"/>
        </w:rPr>
        <w:t xml:space="preserve"> which contains</w:t>
      </w:r>
      <w:r w:rsidRPr="00471447">
        <w:rPr>
          <w:rFonts w:ascii="Times New Roman" w:eastAsia="Cambria" w:hAnsi="Times New Roman" w:cs="Times New Roman"/>
          <w:kern w:val="22"/>
        </w:rPr>
        <w:t xml:space="preserve"> l</w:t>
      </w:r>
      <w:r w:rsidR="008D57D7" w:rsidRPr="00471447">
        <w:rPr>
          <w:rFonts w:ascii="Times New Roman" w:eastAsia="Cambria" w:hAnsi="Times New Roman" w:cs="Times New Roman"/>
          <w:kern w:val="22"/>
        </w:rPr>
        <w:t xml:space="preserve">ittle </w:t>
      </w:r>
      <w:r w:rsidR="005A4D9F" w:rsidRPr="00471447">
        <w:rPr>
          <w:rFonts w:ascii="Times New Roman" w:eastAsia="Cambria" w:hAnsi="Times New Roman" w:cs="Times New Roman"/>
          <w:kern w:val="22"/>
        </w:rPr>
        <w:t xml:space="preserve">information </w:t>
      </w:r>
      <w:r w:rsidR="008D57D7" w:rsidRPr="00471447">
        <w:rPr>
          <w:rFonts w:ascii="Times New Roman" w:eastAsia="Cambria" w:hAnsi="Times New Roman" w:cs="Times New Roman"/>
          <w:kern w:val="22"/>
        </w:rPr>
        <w:t xml:space="preserve">on biodiversity or </w:t>
      </w:r>
      <w:r w:rsidRPr="00471447">
        <w:rPr>
          <w:rFonts w:ascii="Times New Roman" w:eastAsia="Cambria" w:hAnsi="Times New Roman" w:cs="Times New Roman"/>
          <w:kern w:val="22"/>
        </w:rPr>
        <w:t>man-made and biological disease</w:t>
      </w:r>
      <w:r w:rsidR="005A4D9F" w:rsidRPr="00471447">
        <w:rPr>
          <w:rFonts w:ascii="Times New Roman" w:eastAsia="Cambria" w:hAnsi="Times New Roman" w:cs="Times New Roman"/>
          <w:kern w:val="22"/>
        </w:rPr>
        <w:t xml:space="preserve">. These were identified as important </w:t>
      </w:r>
      <w:r w:rsidRPr="00471447">
        <w:rPr>
          <w:rFonts w:ascii="Times New Roman" w:eastAsia="Cambria" w:hAnsi="Times New Roman" w:cs="Times New Roman"/>
          <w:kern w:val="22"/>
        </w:rPr>
        <w:t>next step</w:t>
      </w:r>
      <w:r w:rsidR="005A4D9F" w:rsidRPr="00471447">
        <w:rPr>
          <w:rFonts w:ascii="Times New Roman" w:eastAsia="Cambria" w:hAnsi="Times New Roman" w:cs="Times New Roman"/>
          <w:kern w:val="22"/>
        </w:rPr>
        <w:t>s</w:t>
      </w:r>
      <w:r w:rsidRPr="00471447">
        <w:rPr>
          <w:rFonts w:ascii="Times New Roman" w:eastAsia="Cambria" w:hAnsi="Times New Roman" w:cs="Times New Roman"/>
          <w:kern w:val="22"/>
        </w:rPr>
        <w:t>.</w:t>
      </w:r>
      <w:r w:rsidR="005A4D9F" w:rsidRPr="00471447">
        <w:rPr>
          <w:rFonts w:ascii="Times New Roman" w:eastAsia="Cambria" w:hAnsi="Times New Roman" w:cs="Times New Roman"/>
          <w:kern w:val="22"/>
        </w:rPr>
        <w:t xml:space="preserve"> </w:t>
      </w:r>
    </w:p>
    <w:p w:rsidR="008C3F9E" w:rsidRPr="00471447" w:rsidRDefault="00191F62"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She noted that other p</w:t>
      </w:r>
      <w:r w:rsidR="005A4D9F" w:rsidRPr="00471447">
        <w:rPr>
          <w:rFonts w:ascii="Times New Roman" w:eastAsia="Cambria" w:hAnsi="Times New Roman" w:cs="Times New Roman"/>
          <w:kern w:val="22"/>
        </w:rPr>
        <w:t>otential a</w:t>
      </w:r>
      <w:r w:rsidR="007E318A" w:rsidRPr="00471447">
        <w:rPr>
          <w:rFonts w:ascii="Times New Roman" w:eastAsia="Cambria" w:hAnsi="Times New Roman" w:cs="Times New Roman"/>
          <w:kern w:val="22"/>
        </w:rPr>
        <w:t xml:space="preserve">reas of </w:t>
      </w:r>
      <w:r w:rsidR="005A4D9F" w:rsidRPr="00471447">
        <w:rPr>
          <w:rFonts w:ascii="Times New Roman" w:eastAsia="Cambria" w:hAnsi="Times New Roman" w:cs="Times New Roman"/>
          <w:kern w:val="22"/>
        </w:rPr>
        <w:t xml:space="preserve">future </w:t>
      </w:r>
      <w:r w:rsidR="007E318A" w:rsidRPr="00471447">
        <w:rPr>
          <w:rFonts w:ascii="Times New Roman" w:eastAsia="Cambria" w:hAnsi="Times New Roman" w:cs="Times New Roman"/>
          <w:kern w:val="22"/>
        </w:rPr>
        <w:t>collaboration</w:t>
      </w:r>
      <w:r w:rsidR="005A4D9F"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with ILG include strengthening the nexus between climate change,</w:t>
      </w:r>
      <w:r w:rsidR="007E318A" w:rsidRPr="00471447">
        <w:rPr>
          <w:rFonts w:ascii="Times New Roman" w:eastAsia="Cambria" w:hAnsi="Times New Roman" w:cs="Times New Roman"/>
          <w:kern w:val="22"/>
        </w:rPr>
        <w:t xml:space="preserve"> health</w:t>
      </w:r>
      <w:r w:rsidRPr="00471447">
        <w:rPr>
          <w:rFonts w:ascii="Times New Roman" w:eastAsia="Cambria" w:hAnsi="Times New Roman" w:cs="Times New Roman"/>
          <w:kern w:val="22"/>
        </w:rPr>
        <w:t>, biodiversity and DRR</w:t>
      </w:r>
      <w:r w:rsidR="007E318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including to strengthen urban resilience,</w:t>
      </w:r>
      <w:r w:rsidR="007E318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and its role in</w:t>
      </w:r>
      <w:r w:rsidR="007E318A" w:rsidRPr="00471447">
        <w:rPr>
          <w:rFonts w:ascii="Times New Roman" w:eastAsia="Cambria" w:hAnsi="Times New Roman" w:cs="Times New Roman"/>
          <w:kern w:val="22"/>
        </w:rPr>
        <w:t xml:space="preserve"> science and technology.</w:t>
      </w:r>
      <w:r w:rsidRPr="00471447">
        <w:rPr>
          <w:rFonts w:ascii="Times New Roman" w:eastAsia="Cambria" w:hAnsi="Times New Roman" w:cs="Times New Roman"/>
          <w:kern w:val="22"/>
        </w:rPr>
        <w:t xml:space="preserve"> </w:t>
      </w:r>
      <w:r w:rsidR="00AA6360" w:rsidRPr="00471447">
        <w:rPr>
          <w:rFonts w:ascii="Times New Roman" w:eastAsia="Cambria" w:hAnsi="Times New Roman" w:cs="Times New Roman"/>
          <w:kern w:val="22"/>
        </w:rPr>
        <w:t>UNISDR</w:t>
      </w:r>
      <w:r w:rsidR="00505EC9" w:rsidRPr="00471447">
        <w:rPr>
          <w:rFonts w:ascii="Times New Roman" w:eastAsia="Cambria" w:hAnsi="Times New Roman" w:cs="Times New Roman"/>
          <w:kern w:val="22"/>
        </w:rPr>
        <w:t xml:space="preserve"> could </w:t>
      </w:r>
      <w:r w:rsidRPr="00471447">
        <w:rPr>
          <w:rFonts w:ascii="Times New Roman" w:eastAsia="Cambria" w:hAnsi="Times New Roman" w:cs="Times New Roman"/>
          <w:kern w:val="22"/>
        </w:rPr>
        <w:t xml:space="preserve">further </w:t>
      </w:r>
      <w:r w:rsidR="00505EC9" w:rsidRPr="00471447">
        <w:rPr>
          <w:rFonts w:ascii="Times New Roman" w:eastAsia="Cambria" w:hAnsi="Times New Roman" w:cs="Times New Roman"/>
          <w:kern w:val="22"/>
        </w:rPr>
        <w:t>contribute to</w:t>
      </w:r>
      <w:r w:rsidR="006F0D9B" w:rsidRPr="00471447">
        <w:rPr>
          <w:rFonts w:ascii="Times New Roman" w:eastAsia="Cambria" w:hAnsi="Times New Roman" w:cs="Times New Roman"/>
          <w:kern w:val="22"/>
        </w:rPr>
        <w:t xml:space="preserve"> </w:t>
      </w:r>
      <w:r w:rsidR="007E318A" w:rsidRPr="00471447">
        <w:rPr>
          <w:rFonts w:ascii="Times New Roman" w:eastAsia="Cambria" w:hAnsi="Times New Roman" w:cs="Times New Roman"/>
          <w:kern w:val="22"/>
        </w:rPr>
        <w:t>ILG</w:t>
      </w:r>
      <w:r w:rsidR="00505EC9" w:rsidRPr="00471447">
        <w:rPr>
          <w:rFonts w:ascii="Times New Roman" w:eastAsia="Cambria" w:hAnsi="Times New Roman" w:cs="Times New Roman"/>
          <w:kern w:val="22"/>
        </w:rPr>
        <w:t xml:space="preserve"> activities</w:t>
      </w:r>
      <w:r w:rsidR="007E318A" w:rsidRPr="00471447">
        <w:rPr>
          <w:rFonts w:ascii="Times New Roman" w:eastAsia="Cambria" w:hAnsi="Times New Roman" w:cs="Times New Roman"/>
          <w:kern w:val="22"/>
        </w:rPr>
        <w:t xml:space="preserve"> by sharing information, case studies, best practices, but also</w:t>
      </w:r>
      <w:r w:rsidR="00505EC9" w:rsidRPr="00471447">
        <w:rPr>
          <w:rFonts w:ascii="Times New Roman" w:eastAsia="Cambria" w:hAnsi="Times New Roman" w:cs="Times New Roman"/>
          <w:kern w:val="22"/>
        </w:rPr>
        <w:t>,</w:t>
      </w:r>
      <w:r w:rsidR="007E318A" w:rsidRPr="00471447">
        <w:rPr>
          <w:rFonts w:ascii="Times New Roman" w:eastAsia="Cambria" w:hAnsi="Times New Roman" w:cs="Times New Roman"/>
          <w:kern w:val="22"/>
        </w:rPr>
        <w:t xml:space="preserve"> importantly</w:t>
      </w:r>
      <w:r w:rsidR="00505EC9" w:rsidRPr="00471447">
        <w:rPr>
          <w:rFonts w:ascii="Times New Roman" w:eastAsia="Cambria" w:hAnsi="Times New Roman" w:cs="Times New Roman"/>
          <w:kern w:val="22"/>
        </w:rPr>
        <w:t>,</w:t>
      </w:r>
      <w:r w:rsidR="007E318A" w:rsidRPr="00471447">
        <w:rPr>
          <w:rFonts w:ascii="Times New Roman" w:eastAsia="Cambria" w:hAnsi="Times New Roman" w:cs="Times New Roman"/>
          <w:kern w:val="22"/>
        </w:rPr>
        <w:t xml:space="preserve"> by cooperating with ILG members to produce </w:t>
      </w:r>
      <w:r w:rsidR="006F0D9B" w:rsidRPr="00471447">
        <w:rPr>
          <w:rFonts w:ascii="Times New Roman" w:eastAsia="Cambria" w:hAnsi="Times New Roman" w:cs="Times New Roman"/>
          <w:kern w:val="22"/>
        </w:rPr>
        <w:t>joint</w:t>
      </w:r>
      <w:r w:rsidR="007E318A" w:rsidRPr="00471447">
        <w:rPr>
          <w:rFonts w:ascii="Times New Roman" w:eastAsia="Cambria" w:hAnsi="Times New Roman" w:cs="Times New Roman"/>
          <w:kern w:val="22"/>
        </w:rPr>
        <w:t xml:space="preserve"> information because it cannot be developed in isolation</w:t>
      </w:r>
      <w:r w:rsidR="005A4D9F" w:rsidRPr="00471447">
        <w:rPr>
          <w:rFonts w:ascii="Times New Roman" w:eastAsia="Cambria" w:hAnsi="Times New Roman" w:cs="Times New Roman"/>
          <w:kern w:val="22"/>
        </w:rPr>
        <w:t>. Just as efforts have been made</w:t>
      </w:r>
      <w:r w:rsidR="007E318A" w:rsidRPr="00471447">
        <w:rPr>
          <w:rFonts w:ascii="Times New Roman" w:eastAsia="Cambria" w:hAnsi="Times New Roman" w:cs="Times New Roman"/>
          <w:kern w:val="22"/>
        </w:rPr>
        <w:t xml:space="preserve"> to integrate health i</w:t>
      </w:r>
      <w:r w:rsidR="00787600" w:rsidRPr="00471447">
        <w:rPr>
          <w:rFonts w:ascii="Times New Roman" w:eastAsia="Cambria" w:hAnsi="Times New Roman" w:cs="Times New Roman"/>
          <w:kern w:val="22"/>
        </w:rPr>
        <w:t xml:space="preserve">n the DRR </w:t>
      </w:r>
      <w:r w:rsidR="005A4D9F" w:rsidRPr="00471447">
        <w:rPr>
          <w:rFonts w:ascii="Times New Roman" w:eastAsia="Cambria" w:hAnsi="Times New Roman" w:cs="Times New Roman"/>
          <w:kern w:val="22"/>
        </w:rPr>
        <w:t xml:space="preserve">community, efforts </w:t>
      </w:r>
      <w:r w:rsidR="007E318A" w:rsidRPr="00471447">
        <w:rPr>
          <w:rFonts w:ascii="Times New Roman" w:eastAsia="Cambria" w:hAnsi="Times New Roman" w:cs="Times New Roman"/>
          <w:kern w:val="22"/>
        </w:rPr>
        <w:t xml:space="preserve">to integrate ecosystems in </w:t>
      </w:r>
      <w:r w:rsidR="005A4D9F" w:rsidRPr="00471447">
        <w:rPr>
          <w:rFonts w:ascii="Times New Roman" w:eastAsia="Cambria" w:hAnsi="Times New Roman" w:cs="Times New Roman"/>
          <w:kern w:val="22"/>
        </w:rPr>
        <w:t xml:space="preserve">disaster risk reduction were </w:t>
      </w:r>
      <w:r w:rsidR="00631A80" w:rsidRPr="00471447">
        <w:rPr>
          <w:rFonts w:ascii="Times New Roman" w:eastAsia="Cambria" w:hAnsi="Times New Roman" w:cs="Times New Roman"/>
          <w:kern w:val="22"/>
        </w:rPr>
        <w:lastRenderedPageBreak/>
        <w:t xml:space="preserve">needed so these could all be </w:t>
      </w:r>
      <w:r w:rsidR="007E318A" w:rsidRPr="00471447">
        <w:rPr>
          <w:rFonts w:ascii="Times New Roman" w:eastAsia="Cambria" w:hAnsi="Times New Roman" w:cs="Times New Roman"/>
          <w:kern w:val="22"/>
        </w:rPr>
        <w:t>addressed in a more integrated fashion</w:t>
      </w:r>
      <w:r w:rsidR="008D3BCB" w:rsidRPr="00471447">
        <w:rPr>
          <w:rFonts w:ascii="Times New Roman" w:eastAsia="Cambria" w:hAnsi="Times New Roman" w:cs="Times New Roman"/>
          <w:kern w:val="22"/>
        </w:rPr>
        <w:t>.</w:t>
      </w:r>
      <w:r w:rsidR="00631A80" w:rsidRPr="00471447">
        <w:rPr>
          <w:rFonts w:ascii="Times New Roman" w:eastAsia="Cambria" w:hAnsi="Times New Roman" w:cs="Times New Roman"/>
          <w:kern w:val="22"/>
        </w:rPr>
        <w:t xml:space="preserve"> She also noted </w:t>
      </w:r>
      <w:r w:rsidR="008D3BCB" w:rsidRPr="00471447">
        <w:rPr>
          <w:rFonts w:ascii="Times New Roman" w:eastAsia="Cambria" w:hAnsi="Times New Roman" w:cs="Times New Roman"/>
          <w:kern w:val="22"/>
        </w:rPr>
        <w:t>considerable potential</w:t>
      </w:r>
      <w:r w:rsidR="007E318A" w:rsidRPr="00471447">
        <w:rPr>
          <w:rFonts w:ascii="Times New Roman" w:eastAsia="Cambria" w:hAnsi="Times New Roman" w:cs="Times New Roman"/>
          <w:kern w:val="22"/>
        </w:rPr>
        <w:t xml:space="preserve"> in expanding work on how </w:t>
      </w:r>
      <w:r w:rsidR="00631A80" w:rsidRPr="00471447">
        <w:rPr>
          <w:rFonts w:ascii="Times New Roman" w:eastAsia="Cambria" w:hAnsi="Times New Roman" w:cs="Times New Roman"/>
          <w:kern w:val="22"/>
        </w:rPr>
        <w:t>ecosystem-based approaches can support</w:t>
      </w:r>
      <w:r w:rsidR="007E318A" w:rsidRPr="00471447">
        <w:rPr>
          <w:rFonts w:ascii="Times New Roman" w:eastAsia="Cambria" w:hAnsi="Times New Roman" w:cs="Times New Roman"/>
          <w:kern w:val="22"/>
        </w:rPr>
        <w:t xml:space="preserve"> </w:t>
      </w:r>
      <w:r w:rsidR="00631A80" w:rsidRPr="00471447">
        <w:rPr>
          <w:rFonts w:ascii="Times New Roman" w:eastAsia="Cambria" w:hAnsi="Times New Roman" w:cs="Times New Roman"/>
          <w:kern w:val="22"/>
        </w:rPr>
        <w:t>better health outcomes</w:t>
      </w:r>
      <w:r w:rsidR="007E318A" w:rsidRPr="00471447">
        <w:rPr>
          <w:rFonts w:ascii="Times New Roman" w:eastAsia="Cambria" w:hAnsi="Times New Roman" w:cs="Times New Roman"/>
          <w:kern w:val="22"/>
        </w:rPr>
        <w:t xml:space="preserve">.  </w:t>
      </w:r>
    </w:p>
    <w:p w:rsidR="00505EC9" w:rsidRPr="00471447" w:rsidRDefault="007E318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 question was raised about the role of ecosystem strategies to promote resilience to disasters because many more resources </w:t>
      </w:r>
      <w:r w:rsidR="00AE0E6C">
        <w:rPr>
          <w:rFonts w:ascii="Times New Roman" w:eastAsia="Cambria" w:hAnsi="Times New Roman" w:cs="Times New Roman"/>
          <w:kern w:val="22"/>
        </w:rPr>
        <w:t>were</w:t>
      </w:r>
      <w:r w:rsidR="00AE0E6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being invested in disaster response and much less on disaster preparedness </w:t>
      </w:r>
      <w:r w:rsidR="00631A80" w:rsidRPr="00471447">
        <w:rPr>
          <w:rFonts w:ascii="Times New Roman" w:eastAsia="Cambria" w:hAnsi="Times New Roman" w:cs="Times New Roman"/>
          <w:kern w:val="22"/>
        </w:rPr>
        <w:t>despite a</w:t>
      </w:r>
      <w:r w:rsidRPr="00471447">
        <w:rPr>
          <w:rFonts w:ascii="Times New Roman" w:eastAsia="Cambria" w:hAnsi="Times New Roman" w:cs="Times New Roman"/>
          <w:kern w:val="22"/>
        </w:rPr>
        <w:t xml:space="preserve"> growing body of eviden</w:t>
      </w:r>
      <w:r w:rsidR="008C3F9E" w:rsidRPr="00471447">
        <w:rPr>
          <w:rFonts w:ascii="Times New Roman" w:eastAsia="Cambria" w:hAnsi="Times New Roman" w:cs="Times New Roman"/>
          <w:kern w:val="22"/>
        </w:rPr>
        <w:t>ce demonstrating that ecosystem-</w:t>
      </w:r>
      <w:r w:rsidRPr="00471447">
        <w:rPr>
          <w:rFonts w:ascii="Times New Roman" w:eastAsia="Cambria" w:hAnsi="Times New Roman" w:cs="Times New Roman"/>
          <w:kern w:val="22"/>
        </w:rPr>
        <w:t xml:space="preserve">based strategies </w:t>
      </w:r>
      <w:r w:rsidR="00AE0E6C">
        <w:rPr>
          <w:rFonts w:ascii="Times New Roman" w:eastAsia="Cambria" w:hAnsi="Times New Roman" w:cs="Times New Roman"/>
          <w:kern w:val="22"/>
        </w:rPr>
        <w:t>could</w:t>
      </w:r>
      <w:r w:rsidR="00AE0E6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play an important role in strengthening resilience to disasters. </w:t>
      </w:r>
      <w:r w:rsidR="008C3F9E" w:rsidRPr="00471447">
        <w:rPr>
          <w:rFonts w:ascii="Times New Roman" w:eastAsia="Cambria" w:hAnsi="Times New Roman" w:cs="Times New Roman"/>
          <w:kern w:val="22"/>
        </w:rPr>
        <w:t>UNISDR</w:t>
      </w:r>
      <w:r w:rsidRPr="00471447">
        <w:rPr>
          <w:rFonts w:ascii="Times New Roman" w:eastAsia="Cambria" w:hAnsi="Times New Roman" w:cs="Times New Roman"/>
          <w:kern w:val="22"/>
        </w:rPr>
        <w:t xml:space="preserve"> noted that the work </w:t>
      </w:r>
      <w:r w:rsidR="00AE0E6C">
        <w:rPr>
          <w:rFonts w:ascii="Times New Roman" w:eastAsia="Cambria" w:hAnsi="Times New Roman" w:cs="Times New Roman"/>
          <w:kern w:val="22"/>
        </w:rPr>
        <w:t>was</w:t>
      </w:r>
      <w:r w:rsidR="00AE0E6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just beginning and this will be a key area of </w:t>
      </w:r>
      <w:r w:rsidR="00631A80" w:rsidRPr="00471447">
        <w:rPr>
          <w:rFonts w:ascii="Times New Roman" w:eastAsia="Cambria" w:hAnsi="Times New Roman" w:cs="Times New Roman"/>
          <w:kern w:val="22"/>
        </w:rPr>
        <w:t xml:space="preserve">future </w:t>
      </w:r>
      <w:r w:rsidRPr="00471447">
        <w:rPr>
          <w:rFonts w:ascii="Times New Roman" w:eastAsia="Cambria" w:hAnsi="Times New Roman" w:cs="Times New Roman"/>
          <w:kern w:val="22"/>
        </w:rPr>
        <w:t xml:space="preserve">collaboration </w:t>
      </w:r>
      <w:r w:rsidR="00631A80" w:rsidRPr="00471447">
        <w:rPr>
          <w:rFonts w:ascii="Times New Roman" w:eastAsia="Cambria" w:hAnsi="Times New Roman" w:cs="Times New Roman"/>
          <w:kern w:val="22"/>
        </w:rPr>
        <w:t xml:space="preserve">requiring </w:t>
      </w:r>
      <w:r w:rsidRPr="00471447">
        <w:rPr>
          <w:rFonts w:ascii="Times New Roman" w:eastAsia="Cambria" w:hAnsi="Times New Roman" w:cs="Times New Roman"/>
          <w:kern w:val="22"/>
        </w:rPr>
        <w:t>strengthening.</w:t>
      </w:r>
      <w:r w:rsidR="008C3F9E" w:rsidRPr="00471447">
        <w:rPr>
          <w:rFonts w:ascii="Times New Roman" w:eastAsia="Cambria" w:hAnsi="Times New Roman" w:cs="Times New Roman"/>
          <w:kern w:val="22"/>
        </w:rPr>
        <w:t xml:space="preserve"> </w:t>
      </w:r>
      <w:r w:rsidR="00631A80" w:rsidRPr="00471447">
        <w:rPr>
          <w:rFonts w:ascii="Times New Roman" w:eastAsia="Cambria" w:hAnsi="Times New Roman" w:cs="Times New Roman"/>
          <w:kern w:val="22"/>
        </w:rPr>
        <w:t>On the role of prevention</w:t>
      </w:r>
      <w:r w:rsidR="00AE0E6C">
        <w:rPr>
          <w:rFonts w:ascii="Times New Roman" w:eastAsia="Cambria" w:hAnsi="Times New Roman" w:cs="Times New Roman"/>
          <w:kern w:val="22"/>
        </w:rPr>
        <w:t>,</w:t>
      </w:r>
      <w:r w:rsidR="00631A80" w:rsidRPr="00471447">
        <w:rPr>
          <w:rFonts w:ascii="Times New Roman" w:eastAsia="Cambria" w:hAnsi="Times New Roman" w:cs="Times New Roman"/>
          <w:kern w:val="22"/>
        </w:rPr>
        <w:t xml:space="preserve"> it was noted that </w:t>
      </w:r>
      <w:r w:rsidR="00E95F11" w:rsidRPr="00471447">
        <w:rPr>
          <w:rFonts w:ascii="Times New Roman" w:eastAsia="Cambria" w:hAnsi="Times New Roman" w:cs="Times New Roman"/>
          <w:kern w:val="22"/>
        </w:rPr>
        <w:t>biodiversity and health data</w:t>
      </w:r>
      <w:r w:rsidRPr="00471447">
        <w:rPr>
          <w:rFonts w:ascii="Times New Roman" w:eastAsia="Cambria" w:hAnsi="Times New Roman" w:cs="Times New Roman"/>
          <w:kern w:val="22"/>
        </w:rPr>
        <w:t xml:space="preserve"> </w:t>
      </w:r>
      <w:r w:rsidR="00AE0E6C">
        <w:rPr>
          <w:rFonts w:ascii="Times New Roman" w:eastAsia="Cambria" w:hAnsi="Times New Roman" w:cs="Times New Roman"/>
          <w:kern w:val="22"/>
        </w:rPr>
        <w:t>were</w:t>
      </w:r>
      <w:r w:rsidR="00AE0E6C" w:rsidRPr="00471447">
        <w:rPr>
          <w:rFonts w:ascii="Times New Roman" w:eastAsia="Cambria" w:hAnsi="Times New Roman" w:cs="Times New Roman"/>
          <w:kern w:val="22"/>
        </w:rPr>
        <w:t xml:space="preserve"> </w:t>
      </w:r>
      <w:r w:rsidR="00E95F11" w:rsidRPr="00471447">
        <w:rPr>
          <w:rFonts w:ascii="Times New Roman" w:eastAsia="Cambria" w:hAnsi="Times New Roman" w:cs="Times New Roman"/>
          <w:kern w:val="22"/>
        </w:rPr>
        <w:t>not only valuable</w:t>
      </w:r>
      <w:r w:rsidRPr="00471447">
        <w:rPr>
          <w:rFonts w:ascii="Times New Roman" w:eastAsia="Cambria" w:hAnsi="Times New Roman" w:cs="Times New Roman"/>
          <w:kern w:val="22"/>
        </w:rPr>
        <w:t xml:space="preserve"> for risk assessments but also </w:t>
      </w:r>
      <w:r w:rsidR="00E95F11" w:rsidRPr="00471447">
        <w:rPr>
          <w:rFonts w:ascii="Times New Roman" w:eastAsia="Cambria" w:hAnsi="Times New Roman" w:cs="Times New Roman"/>
          <w:kern w:val="22"/>
        </w:rPr>
        <w:t>for the development of disaster</w:t>
      </w:r>
      <w:r w:rsidRPr="00471447">
        <w:rPr>
          <w:rFonts w:ascii="Times New Roman" w:eastAsia="Cambria" w:hAnsi="Times New Roman" w:cs="Times New Roman"/>
          <w:kern w:val="22"/>
        </w:rPr>
        <w:t xml:space="preserve"> relief and technical guidelines.</w:t>
      </w:r>
      <w:r w:rsidR="00E95F11" w:rsidRPr="00471447">
        <w:rPr>
          <w:rFonts w:ascii="Times New Roman" w:eastAsia="Cambria" w:hAnsi="Times New Roman" w:cs="Times New Roman"/>
          <w:kern w:val="22"/>
        </w:rPr>
        <w:t xml:space="preserve"> </w:t>
      </w:r>
      <w:r w:rsidR="00631A80" w:rsidRPr="00471447">
        <w:rPr>
          <w:rFonts w:ascii="Times New Roman" w:eastAsia="Cambria" w:hAnsi="Times New Roman" w:cs="Times New Roman"/>
          <w:kern w:val="22"/>
        </w:rPr>
        <w:t>Another question addressed the mental health effect of disasters which is often neglected. Ms. Wannous noted that UNISDR is work</w:t>
      </w:r>
      <w:r w:rsidR="00AE0E6C">
        <w:rPr>
          <w:rFonts w:ascii="Times New Roman" w:eastAsia="Cambria" w:hAnsi="Times New Roman" w:cs="Times New Roman"/>
          <w:kern w:val="22"/>
        </w:rPr>
        <w:t>ing</w:t>
      </w:r>
      <w:r w:rsidR="00631A80" w:rsidRPr="00471447">
        <w:rPr>
          <w:rFonts w:ascii="Times New Roman" w:eastAsia="Cambria" w:hAnsi="Times New Roman" w:cs="Times New Roman"/>
          <w:kern w:val="22"/>
        </w:rPr>
        <w:t xml:space="preserve"> to bring this to the attention of policymakers but they do not themselves do the tracking. WHO was identified as a key partner in documenting this type of information and of the international recovery platform coordinated by UNISDR.</w:t>
      </w:r>
    </w:p>
    <w:p w:rsidR="00A212CB" w:rsidRPr="00471447" w:rsidRDefault="00A212C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Some participants inquired</w:t>
      </w:r>
      <w:r w:rsidR="00E95F11" w:rsidRPr="00471447">
        <w:rPr>
          <w:rFonts w:ascii="Times New Roman" w:eastAsia="Cambria" w:hAnsi="Times New Roman" w:cs="Times New Roman"/>
          <w:kern w:val="22"/>
        </w:rPr>
        <w:t xml:space="preserve"> whether UNISDR dealt with a mechanism similar to ‘slow onset events’ under the UNFCCC loss and damage process</w:t>
      </w:r>
      <w:r w:rsidR="00505EC9" w:rsidRPr="00471447">
        <w:rPr>
          <w:rFonts w:ascii="Times New Roman" w:eastAsia="Cambria" w:hAnsi="Times New Roman" w:cs="Times New Roman"/>
          <w:kern w:val="22"/>
        </w:rPr>
        <w:t xml:space="preserve">, </w:t>
      </w:r>
      <w:r w:rsidR="00E95F11" w:rsidRPr="00471447">
        <w:rPr>
          <w:rFonts w:ascii="Times New Roman" w:eastAsia="Cambria" w:hAnsi="Times New Roman" w:cs="Times New Roman"/>
          <w:kern w:val="22"/>
        </w:rPr>
        <w:t>much of which addresses ecosystem</w:t>
      </w:r>
      <w:r w:rsidR="00505EC9" w:rsidRPr="00471447">
        <w:rPr>
          <w:rFonts w:ascii="Times New Roman" w:eastAsia="Cambria" w:hAnsi="Times New Roman" w:cs="Times New Roman"/>
          <w:kern w:val="22"/>
        </w:rPr>
        <w:t>s</w:t>
      </w:r>
      <w:r w:rsidR="00E95F11" w:rsidRPr="00471447">
        <w:rPr>
          <w:rFonts w:ascii="Times New Roman" w:eastAsia="Cambria" w:hAnsi="Times New Roman" w:cs="Times New Roman"/>
          <w:kern w:val="22"/>
        </w:rPr>
        <w:t xml:space="preserve">. It was noted that </w:t>
      </w:r>
      <w:r w:rsidR="007E318A" w:rsidRPr="00471447">
        <w:rPr>
          <w:rFonts w:ascii="Times New Roman" w:eastAsia="Cambria" w:hAnsi="Times New Roman" w:cs="Times New Roman"/>
          <w:kern w:val="22"/>
        </w:rPr>
        <w:t xml:space="preserve">the Sendai Framework </w:t>
      </w:r>
      <w:r w:rsidR="00E95F11" w:rsidRPr="00471447">
        <w:rPr>
          <w:rFonts w:ascii="Times New Roman" w:eastAsia="Cambria" w:hAnsi="Times New Roman" w:cs="Times New Roman"/>
          <w:kern w:val="22"/>
        </w:rPr>
        <w:t xml:space="preserve">deals with </w:t>
      </w:r>
      <w:r w:rsidR="007E318A" w:rsidRPr="00471447">
        <w:rPr>
          <w:rFonts w:ascii="Times New Roman" w:eastAsia="Cambria" w:hAnsi="Times New Roman" w:cs="Times New Roman"/>
          <w:kern w:val="22"/>
        </w:rPr>
        <w:t xml:space="preserve">both sudden onset and slow onset events or disasters </w:t>
      </w:r>
      <w:r w:rsidR="00505EC9" w:rsidRPr="00471447">
        <w:rPr>
          <w:rFonts w:ascii="Times New Roman" w:eastAsia="Cambria" w:hAnsi="Times New Roman" w:cs="Times New Roman"/>
          <w:kern w:val="22"/>
        </w:rPr>
        <w:t xml:space="preserve">as well as </w:t>
      </w:r>
      <w:r w:rsidR="007E318A" w:rsidRPr="00471447">
        <w:rPr>
          <w:rFonts w:ascii="Times New Roman" w:eastAsia="Cambria" w:hAnsi="Times New Roman" w:cs="Times New Roman"/>
          <w:kern w:val="22"/>
        </w:rPr>
        <w:t>intensive risks such as big earthquakes, tsunamis</w:t>
      </w:r>
      <w:r w:rsidR="00E95F11" w:rsidRPr="00471447">
        <w:rPr>
          <w:rFonts w:ascii="Times New Roman" w:eastAsia="Cambria" w:hAnsi="Times New Roman" w:cs="Times New Roman"/>
          <w:kern w:val="22"/>
        </w:rPr>
        <w:t>, etc. However, for</w:t>
      </w:r>
      <w:r w:rsidR="007E318A" w:rsidRPr="00471447">
        <w:rPr>
          <w:rFonts w:ascii="Times New Roman" w:eastAsia="Cambria" w:hAnsi="Times New Roman" w:cs="Times New Roman"/>
          <w:kern w:val="22"/>
        </w:rPr>
        <w:t xml:space="preserve"> emergencies in locations where hum</w:t>
      </w:r>
      <w:r w:rsidR="00E95F11" w:rsidRPr="00471447">
        <w:rPr>
          <w:rFonts w:ascii="Times New Roman" w:eastAsia="Cambria" w:hAnsi="Times New Roman" w:cs="Times New Roman"/>
          <w:kern w:val="22"/>
        </w:rPr>
        <w:t xml:space="preserve">an casualties </w:t>
      </w:r>
      <w:r w:rsidR="00AE0E6C">
        <w:rPr>
          <w:rFonts w:ascii="Times New Roman" w:eastAsia="Cambria" w:hAnsi="Times New Roman" w:cs="Times New Roman"/>
          <w:kern w:val="22"/>
        </w:rPr>
        <w:t>were</w:t>
      </w:r>
      <w:r w:rsidR="00AE0E6C" w:rsidRPr="00471447">
        <w:rPr>
          <w:rFonts w:ascii="Times New Roman" w:eastAsia="Cambria" w:hAnsi="Times New Roman" w:cs="Times New Roman"/>
          <w:kern w:val="22"/>
        </w:rPr>
        <w:t xml:space="preserve"> </w:t>
      </w:r>
      <w:r w:rsidR="00E95F11" w:rsidRPr="00471447">
        <w:rPr>
          <w:rFonts w:ascii="Times New Roman" w:eastAsia="Cambria" w:hAnsi="Times New Roman" w:cs="Times New Roman"/>
          <w:kern w:val="22"/>
        </w:rPr>
        <w:t xml:space="preserve">more limited, </w:t>
      </w:r>
      <w:r w:rsidR="007E318A" w:rsidRPr="00471447">
        <w:rPr>
          <w:rFonts w:ascii="Times New Roman" w:eastAsia="Cambria" w:hAnsi="Times New Roman" w:cs="Times New Roman"/>
          <w:kern w:val="22"/>
        </w:rPr>
        <w:t>the</w:t>
      </w:r>
      <w:r w:rsidR="00E95F11" w:rsidRPr="00471447">
        <w:rPr>
          <w:rFonts w:ascii="Times New Roman" w:eastAsia="Cambria" w:hAnsi="Times New Roman" w:cs="Times New Roman"/>
          <w:kern w:val="22"/>
        </w:rPr>
        <w:t xml:space="preserve">re </w:t>
      </w:r>
      <w:r w:rsidR="00AE0E6C">
        <w:rPr>
          <w:rFonts w:ascii="Times New Roman" w:eastAsia="Cambria" w:hAnsi="Times New Roman" w:cs="Times New Roman"/>
          <w:kern w:val="22"/>
        </w:rPr>
        <w:t>was</w:t>
      </w:r>
      <w:r w:rsidR="00AE0E6C" w:rsidRPr="00471447">
        <w:rPr>
          <w:rFonts w:ascii="Times New Roman" w:eastAsia="Cambria" w:hAnsi="Times New Roman" w:cs="Times New Roman"/>
          <w:kern w:val="22"/>
        </w:rPr>
        <w:t xml:space="preserve"> </w:t>
      </w:r>
      <w:r w:rsidR="00E95F11" w:rsidRPr="00471447">
        <w:rPr>
          <w:rFonts w:ascii="Times New Roman" w:eastAsia="Cambria" w:hAnsi="Times New Roman" w:cs="Times New Roman"/>
          <w:kern w:val="22"/>
        </w:rPr>
        <w:t>little if any international</w:t>
      </w:r>
      <w:r w:rsidR="007E318A" w:rsidRPr="00471447">
        <w:rPr>
          <w:rFonts w:ascii="Times New Roman" w:eastAsia="Cambria" w:hAnsi="Times New Roman" w:cs="Times New Roman"/>
          <w:kern w:val="22"/>
        </w:rPr>
        <w:t xml:space="preserve"> </w:t>
      </w:r>
      <w:r w:rsidR="00E95F11" w:rsidRPr="00471447">
        <w:rPr>
          <w:rFonts w:ascii="Times New Roman" w:eastAsia="Cambria" w:hAnsi="Times New Roman" w:cs="Times New Roman"/>
          <w:kern w:val="22"/>
        </w:rPr>
        <w:t>recognition</w:t>
      </w:r>
      <w:r w:rsidR="00505EC9" w:rsidRPr="00471447">
        <w:rPr>
          <w:rFonts w:ascii="Times New Roman" w:eastAsia="Cambria" w:hAnsi="Times New Roman" w:cs="Times New Roman"/>
          <w:kern w:val="22"/>
        </w:rPr>
        <w:t>. O</w:t>
      </w:r>
      <w:r w:rsidR="007E318A" w:rsidRPr="00471447">
        <w:rPr>
          <w:rFonts w:ascii="Times New Roman" w:eastAsia="Cambria" w:hAnsi="Times New Roman" w:cs="Times New Roman"/>
          <w:kern w:val="22"/>
        </w:rPr>
        <w:t xml:space="preserve">ften </w:t>
      </w:r>
      <w:r w:rsidR="00505EC9" w:rsidRPr="00471447">
        <w:rPr>
          <w:rFonts w:ascii="Times New Roman" w:eastAsia="Cambria" w:hAnsi="Times New Roman" w:cs="Times New Roman"/>
          <w:kern w:val="22"/>
        </w:rPr>
        <w:t>casualties</w:t>
      </w:r>
      <w:r w:rsidR="00023F86" w:rsidRPr="00471447">
        <w:rPr>
          <w:rFonts w:ascii="Times New Roman" w:eastAsia="Cambria" w:hAnsi="Times New Roman" w:cs="Times New Roman"/>
          <w:kern w:val="22"/>
        </w:rPr>
        <w:t xml:space="preserve"> are </w:t>
      </w:r>
      <w:r w:rsidR="007E318A" w:rsidRPr="00471447">
        <w:rPr>
          <w:rFonts w:ascii="Times New Roman" w:eastAsia="Cambria" w:hAnsi="Times New Roman" w:cs="Times New Roman"/>
          <w:kern w:val="22"/>
        </w:rPr>
        <w:t>not registered</w:t>
      </w:r>
      <w:r w:rsidR="00505EC9" w:rsidRPr="00471447">
        <w:rPr>
          <w:rFonts w:ascii="Times New Roman" w:eastAsia="Cambria" w:hAnsi="Times New Roman" w:cs="Times New Roman"/>
          <w:kern w:val="22"/>
        </w:rPr>
        <w:t xml:space="preserve"> where there </w:t>
      </w:r>
      <w:r w:rsidR="00AE0E6C">
        <w:rPr>
          <w:rFonts w:ascii="Times New Roman" w:eastAsia="Cambria" w:hAnsi="Times New Roman" w:cs="Times New Roman"/>
          <w:kern w:val="22"/>
        </w:rPr>
        <w:t>were</w:t>
      </w:r>
      <w:r w:rsidR="00AE0E6C" w:rsidRPr="00471447">
        <w:rPr>
          <w:rFonts w:ascii="Times New Roman" w:eastAsia="Cambria" w:hAnsi="Times New Roman" w:cs="Times New Roman"/>
          <w:kern w:val="22"/>
        </w:rPr>
        <w:t xml:space="preserve"> </w:t>
      </w:r>
      <w:r w:rsidR="00505EC9" w:rsidRPr="00471447">
        <w:rPr>
          <w:rFonts w:ascii="Times New Roman" w:eastAsia="Cambria" w:hAnsi="Times New Roman" w:cs="Times New Roman"/>
          <w:kern w:val="22"/>
        </w:rPr>
        <w:t>few</w:t>
      </w:r>
      <w:r w:rsidR="00023F86" w:rsidRPr="00471447">
        <w:rPr>
          <w:rFonts w:ascii="Times New Roman" w:eastAsia="Cambria" w:hAnsi="Times New Roman" w:cs="Times New Roman"/>
          <w:kern w:val="22"/>
        </w:rPr>
        <w:t xml:space="preserve">. Therefore, </w:t>
      </w:r>
      <w:r w:rsidR="00505EC9" w:rsidRPr="00471447">
        <w:rPr>
          <w:rFonts w:ascii="Times New Roman" w:eastAsia="Cambria" w:hAnsi="Times New Roman" w:cs="Times New Roman"/>
          <w:kern w:val="22"/>
        </w:rPr>
        <w:t>currently available</w:t>
      </w:r>
      <w:r w:rsidR="007E318A" w:rsidRPr="00471447">
        <w:rPr>
          <w:rFonts w:ascii="Times New Roman" w:eastAsia="Cambria" w:hAnsi="Times New Roman" w:cs="Times New Roman"/>
          <w:kern w:val="22"/>
        </w:rPr>
        <w:t xml:space="preserve"> data </w:t>
      </w:r>
      <w:r w:rsidR="00505EC9" w:rsidRPr="00471447">
        <w:rPr>
          <w:rFonts w:ascii="Times New Roman" w:eastAsia="Cambria" w:hAnsi="Times New Roman" w:cs="Times New Roman"/>
          <w:kern w:val="22"/>
        </w:rPr>
        <w:t>generally</w:t>
      </w:r>
      <w:r w:rsidR="007E318A" w:rsidRPr="00471447">
        <w:rPr>
          <w:rFonts w:ascii="Times New Roman" w:eastAsia="Cambria" w:hAnsi="Times New Roman" w:cs="Times New Roman"/>
          <w:kern w:val="22"/>
        </w:rPr>
        <w:t xml:space="preserve"> greatly underestimates the </w:t>
      </w:r>
      <w:r w:rsidR="00023F86" w:rsidRPr="00471447">
        <w:rPr>
          <w:rFonts w:ascii="Times New Roman" w:eastAsia="Cambria" w:hAnsi="Times New Roman" w:cs="Times New Roman"/>
          <w:kern w:val="22"/>
        </w:rPr>
        <w:t xml:space="preserve">actual </w:t>
      </w:r>
      <w:r w:rsidR="007E318A" w:rsidRPr="00471447">
        <w:rPr>
          <w:rFonts w:ascii="Times New Roman" w:eastAsia="Cambria" w:hAnsi="Times New Roman" w:cs="Times New Roman"/>
          <w:kern w:val="22"/>
        </w:rPr>
        <w:t xml:space="preserve">number </w:t>
      </w:r>
      <w:r w:rsidR="00023F86" w:rsidRPr="00471447">
        <w:rPr>
          <w:rFonts w:ascii="Times New Roman" w:eastAsia="Cambria" w:hAnsi="Times New Roman" w:cs="Times New Roman"/>
          <w:kern w:val="22"/>
        </w:rPr>
        <w:t>of casualties</w:t>
      </w:r>
      <w:r w:rsidR="00505EC9" w:rsidRPr="00471447">
        <w:rPr>
          <w:rFonts w:ascii="Times New Roman" w:eastAsia="Cambria" w:hAnsi="Times New Roman" w:cs="Times New Roman"/>
          <w:kern w:val="22"/>
        </w:rPr>
        <w:t>,</w:t>
      </w:r>
      <w:r w:rsidR="00023F86" w:rsidRPr="00471447">
        <w:rPr>
          <w:rFonts w:ascii="Times New Roman" w:eastAsia="Cambria" w:hAnsi="Times New Roman" w:cs="Times New Roman"/>
          <w:kern w:val="22"/>
        </w:rPr>
        <w:t xml:space="preserve"> </w:t>
      </w:r>
      <w:r w:rsidR="007E318A" w:rsidRPr="00471447">
        <w:rPr>
          <w:rFonts w:ascii="Times New Roman" w:eastAsia="Cambria" w:hAnsi="Times New Roman" w:cs="Times New Roman"/>
          <w:kern w:val="22"/>
        </w:rPr>
        <w:t>and</w:t>
      </w:r>
      <w:r w:rsidR="00505EC9" w:rsidRPr="00471447">
        <w:rPr>
          <w:rFonts w:ascii="Times New Roman" w:eastAsia="Cambria" w:hAnsi="Times New Roman" w:cs="Times New Roman"/>
          <w:kern w:val="22"/>
        </w:rPr>
        <w:t xml:space="preserve"> other</w:t>
      </w:r>
      <w:r w:rsidR="007E318A" w:rsidRPr="00471447">
        <w:rPr>
          <w:rFonts w:ascii="Times New Roman" w:eastAsia="Cambria" w:hAnsi="Times New Roman" w:cs="Times New Roman"/>
          <w:kern w:val="22"/>
        </w:rPr>
        <w:t xml:space="preserve"> impacts</w:t>
      </w:r>
      <w:r w:rsidR="00505EC9" w:rsidRPr="00471447">
        <w:rPr>
          <w:rFonts w:ascii="Times New Roman" w:eastAsia="Cambria" w:hAnsi="Times New Roman" w:cs="Times New Roman"/>
          <w:kern w:val="22"/>
        </w:rPr>
        <w:t xml:space="preserve">, of disasters. This </w:t>
      </w:r>
      <w:r w:rsidR="00023F86" w:rsidRPr="00471447">
        <w:rPr>
          <w:rFonts w:ascii="Times New Roman" w:eastAsia="Cambria" w:hAnsi="Times New Roman" w:cs="Times New Roman"/>
          <w:kern w:val="22"/>
        </w:rPr>
        <w:t xml:space="preserve">makes a strong case for the need for more robust evidence from different sectors </w:t>
      </w:r>
      <w:r w:rsidR="00505EC9" w:rsidRPr="00471447">
        <w:rPr>
          <w:rFonts w:ascii="Times New Roman" w:eastAsia="Cambria" w:hAnsi="Times New Roman" w:cs="Times New Roman"/>
          <w:kern w:val="22"/>
        </w:rPr>
        <w:t>so</w:t>
      </w:r>
      <w:r w:rsidR="007E318A" w:rsidRPr="00471447">
        <w:rPr>
          <w:rFonts w:ascii="Times New Roman" w:eastAsia="Cambria" w:hAnsi="Times New Roman" w:cs="Times New Roman"/>
          <w:kern w:val="22"/>
        </w:rPr>
        <w:t xml:space="preserve"> impacts</w:t>
      </w:r>
      <w:r w:rsidR="00023F86" w:rsidRPr="00471447">
        <w:rPr>
          <w:rFonts w:ascii="Times New Roman" w:eastAsia="Cambria" w:hAnsi="Times New Roman" w:cs="Times New Roman"/>
          <w:kern w:val="22"/>
        </w:rPr>
        <w:t xml:space="preserve"> can be</w:t>
      </w:r>
      <w:r w:rsidR="00505EC9" w:rsidRPr="00471447">
        <w:rPr>
          <w:rFonts w:ascii="Times New Roman" w:eastAsia="Cambria" w:hAnsi="Times New Roman" w:cs="Times New Roman"/>
          <w:kern w:val="22"/>
        </w:rPr>
        <w:t xml:space="preserve"> better quantified, including the relative </w:t>
      </w:r>
      <w:r w:rsidR="00023F86" w:rsidRPr="00471447">
        <w:rPr>
          <w:rFonts w:ascii="Times New Roman" w:eastAsia="Cambria" w:hAnsi="Times New Roman" w:cs="Times New Roman"/>
          <w:kern w:val="22"/>
        </w:rPr>
        <w:t>contribution</w:t>
      </w:r>
      <w:r w:rsidR="00505EC9" w:rsidRPr="00471447">
        <w:rPr>
          <w:rFonts w:ascii="Times New Roman" w:eastAsia="Cambria" w:hAnsi="Times New Roman" w:cs="Times New Roman"/>
          <w:kern w:val="22"/>
        </w:rPr>
        <w:t xml:space="preserve"> to loss and damage</w:t>
      </w:r>
      <w:r w:rsidR="007E318A" w:rsidRPr="00471447">
        <w:rPr>
          <w:rFonts w:ascii="Times New Roman" w:eastAsia="Cambria" w:hAnsi="Times New Roman" w:cs="Times New Roman"/>
          <w:kern w:val="22"/>
        </w:rPr>
        <w:t>.</w:t>
      </w:r>
    </w:p>
    <w:p w:rsidR="00A30FC1" w:rsidRPr="00471447" w:rsidRDefault="006552F7"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Ms. Hodgson, representing the UN Framework Convention on Climate Change (UNFCCC)</w:t>
      </w:r>
      <w:r w:rsidR="00A212CB" w:rsidRPr="00471447">
        <w:rPr>
          <w:rFonts w:ascii="Times New Roman" w:eastAsia="Cambria" w:hAnsi="Times New Roman" w:cs="Times New Roman"/>
          <w:kern w:val="22"/>
        </w:rPr>
        <w:t xml:space="preserve"> (</w:t>
      </w:r>
      <w:hyperlink r:id="rId19">
        <w:r w:rsidR="00A212CB" w:rsidRPr="00471447">
          <w:rPr>
            <w:rFonts w:ascii="Times New Roman" w:eastAsia="Cambria" w:hAnsi="Times New Roman" w:cs="Times New Roman"/>
            <w:color w:val="1155CC"/>
            <w:kern w:val="22"/>
          </w:rPr>
          <w:t>http://newsroom.unfccc.int/</w:t>
        </w:r>
      </w:hyperlink>
      <w:r w:rsidR="00A212CB"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A212CB" w:rsidRPr="00471447">
        <w:rPr>
          <w:rFonts w:ascii="Times New Roman" w:eastAsia="Cambria" w:hAnsi="Times New Roman" w:cs="Times New Roman"/>
          <w:kern w:val="22"/>
        </w:rPr>
        <w:t xml:space="preserve">subsequently </w:t>
      </w:r>
      <w:r w:rsidRPr="00471447">
        <w:rPr>
          <w:rFonts w:ascii="Times New Roman" w:eastAsia="Cambria" w:hAnsi="Times New Roman" w:cs="Times New Roman"/>
          <w:kern w:val="22"/>
        </w:rPr>
        <w:t xml:space="preserve">provided an overview of the objectives and </w:t>
      </w:r>
      <w:r w:rsidR="00A212CB" w:rsidRPr="00471447">
        <w:rPr>
          <w:rFonts w:ascii="Times New Roman" w:eastAsia="Cambria" w:hAnsi="Times New Roman" w:cs="Times New Roman"/>
          <w:kern w:val="22"/>
        </w:rPr>
        <w:t xml:space="preserve">key </w:t>
      </w:r>
      <w:r w:rsidRPr="00471447">
        <w:rPr>
          <w:rFonts w:ascii="Times New Roman" w:eastAsia="Cambria" w:hAnsi="Times New Roman" w:cs="Times New Roman"/>
          <w:kern w:val="22"/>
        </w:rPr>
        <w:t>developments under the UNFCCC</w:t>
      </w:r>
      <w:r w:rsidR="00F87DB9" w:rsidRPr="00471447">
        <w:rPr>
          <w:rFonts w:ascii="Times New Roman" w:eastAsia="Cambria" w:hAnsi="Times New Roman" w:cs="Times New Roman"/>
          <w:kern w:val="22"/>
        </w:rPr>
        <w:t xml:space="preserve"> (e.g.</w:t>
      </w:r>
      <w:r w:rsidRPr="00471447">
        <w:rPr>
          <w:rFonts w:ascii="Times New Roman" w:eastAsia="Cambria" w:hAnsi="Times New Roman" w:cs="Times New Roman"/>
          <w:kern w:val="22"/>
        </w:rPr>
        <w:t xml:space="preserve"> the long-</w:t>
      </w:r>
      <w:r w:rsidR="00A212CB" w:rsidRPr="00471447">
        <w:rPr>
          <w:rFonts w:ascii="Times New Roman" w:eastAsia="Cambria" w:hAnsi="Times New Roman" w:cs="Times New Roman"/>
          <w:kern w:val="22"/>
        </w:rPr>
        <w:t xml:space="preserve">term global goal (LTGG) </w:t>
      </w:r>
      <w:r w:rsidR="00F87DB9" w:rsidRPr="00471447">
        <w:rPr>
          <w:rFonts w:ascii="Times New Roman" w:eastAsia="Cambria" w:hAnsi="Times New Roman" w:cs="Times New Roman"/>
          <w:kern w:val="22"/>
        </w:rPr>
        <w:t xml:space="preserve">of the Paris Agreement, </w:t>
      </w:r>
      <w:r w:rsidR="00A30FC1" w:rsidRPr="00471447">
        <w:rPr>
          <w:rFonts w:ascii="Times New Roman" w:eastAsia="Cambria" w:hAnsi="Times New Roman" w:cs="Times New Roman"/>
          <w:kern w:val="22"/>
        </w:rPr>
        <w:t>the</w:t>
      </w:r>
      <w:r w:rsidRPr="00471447">
        <w:rPr>
          <w:rFonts w:ascii="Times New Roman" w:eastAsia="Cambria" w:hAnsi="Times New Roman" w:cs="Times New Roman"/>
          <w:kern w:val="22"/>
        </w:rPr>
        <w:t xml:space="preserve"> Nairobi work programme</w:t>
      </w:r>
      <w:r w:rsidR="00B36779" w:rsidRPr="00471447">
        <w:rPr>
          <w:rFonts w:ascii="Times New Roman" w:eastAsia="Cambria" w:hAnsi="Times New Roman" w:cs="Times New Roman"/>
          <w:kern w:val="22"/>
        </w:rPr>
        <w:t xml:space="preserve"> (NWP)</w:t>
      </w:r>
      <w:r w:rsidRPr="00471447">
        <w:rPr>
          <w:rFonts w:ascii="Times New Roman" w:eastAsia="Cambria" w:hAnsi="Times New Roman" w:cs="Times New Roman"/>
          <w:kern w:val="22"/>
        </w:rPr>
        <w:t xml:space="preserve"> on impacts, vulnerability and adaptation to climate change, of which WHO and CBD are </w:t>
      </w:r>
      <w:r w:rsidR="00B36779" w:rsidRPr="00471447">
        <w:rPr>
          <w:rFonts w:ascii="Times New Roman" w:eastAsia="Cambria" w:hAnsi="Times New Roman" w:cs="Times New Roman"/>
          <w:kern w:val="22"/>
        </w:rPr>
        <w:t>important partners</w:t>
      </w:r>
      <w:r w:rsidR="00F87DB9"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F87DB9" w:rsidRPr="00471447">
        <w:rPr>
          <w:rFonts w:ascii="Times New Roman" w:eastAsia="Cambria" w:hAnsi="Times New Roman" w:cs="Times New Roman"/>
          <w:kern w:val="22"/>
        </w:rPr>
        <w:t>She noted that</w:t>
      </w:r>
      <w:r w:rsidRPr="00471447">
        <w:rPr>
          <w:rFonts w:ascii="Times New Roman" w:eastAsia="Cambria" w:hAnsi="Times New Roman" w:cs="Times New Roman"/>
          <w:kern w:val="22"/>
        </w:rPr>
        <w:t xml:space="preserve"> </w:t>
      </w:r>
      <w:r w:rsidR="00A30FC1" w:rsidRPr="00471447">
        <w:rPr>
          <w:rFonts w:ascii="Times New Roman" w:eastAsia="Cambria" w:hAnsi="Times New Roman" w:cs="Times New Roman"/>
          <w:kern w:val="22"/>
        </w:rPr>
        <w:t>primary</w:t>
      </w:r>
      <w:r w:rsidRPr="00471447">
        <w:rPr>
          <w:rFonts w:ascii="Times New Roman" w:eastAsia="Cambria" w:hAnsi="Times New Roman" w:cs="Times New Roman"/>
          <w:kern w:val="22"/>
        </w:rPr>
        <w:t xml:space="preserve"> health issues </w:t>
      </w:r>
      <w:r w:rsidR="00A30FC1" w:rsidRPr="00471447">
        <w:rPr>
          <w:rFonts w:ascii="Times New Roman" w:eastAsia="Cambria" w:hAnsi="Times New Roman" w:cs="Times New Roman"/>
          <w:kern w:val="22"/>
        </w:rPr>
        <w:t>raised by</w:t>
      </w:r>
      <w:r w:rsidRPr="00471447">
        <w:rPr>
          <w:rFonts w:ascii="Times New Roman" w:eastAsia="Cambria" w:hAnsi="Times New Roman" w:cs="Times New Roman"/>
          <w:kern w:val="22"/>
        </w:rPr>
        <w:t xml:space="preserve"> UNFCCC Parties </w:t>
      </w:r>
      <w:r w:rsidR="00F87DB9" w:rsidRPr="00471447">
        <w:rPr>
          <w:rFonts w:ascii="Times New Roman" w:eastAsia="Cambria" w:hAnsi="Times New Roman" w:cs="Times New Roman"/>
          <w:kern w:val="22"/>
        </w:rPr>
        <w:t>include</w:t>
      </w:r>
      <w:r w:rsidRPr="00471447">
        <w:rPr>
          <w:rFonts w:ascii="Times New Roman" w:eastAsia="Cambria" w:hAnsi="Times New Roman" w:cs="Times New Roman"/>
          <w:kern w:val="22"/>
        </w:rPr>
        <w:t xml:space="preserve"> the change in geographic distribution of disease, new and emerging health issues</w:t>
      </w:r>
      <w:r w:rsidR="00A30FC1"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malnutrition, </w:t>
      </w:r>
      <w:r w:rsidR="00A30FC1" w:rsidRPr="00471447">
        <w:rPr>
          <w:rFonts w:ascii="Times New Roman" w:eastAsia="Cambria" w:hAnsi="Times New Roman" w:cs="Times New Roman"/>
          <w:kern w:val="22"/>
        </w:rPr>
        <w:t xml:space="preserve">and </w:t>
      </w:r>
      <w:r w:rsidRPr="00471447">
        <w:rPr>
          <w:rFonts w:ascii="Times New Roman" w:eastAsia="Cambria" w:hAnsi="Times New Roman" w:cs="Times New Roman"/>
          <w:kern w:val="22"/>
        </w:rPr>
        <w:t>water</w:t>
      </w:r>
      <w:r w:rsidR="00A30FC1" w:rsidRPr="00471447">
        <w:rPr>
          <w:rFonts w:ascii="Times New Roman" w:eastAsia="Cambria" w:hAnsi="Times New Roman" w:cs="Times New Roman"/>
          <w:kern w:val="22"/>
        </w:rPr>
        <w:t xml:space="preserve">- and </w:t>
      </w:r>
      <w:r w:rsidRPr="00471447">
        <w:rPr>
          <w:rFonts w:ascii="Times New Roman" w:eastAsia="Cambria" w:hAnsi="Times New Roman" w:cs="Times New Roman"/>
          <w:kern w:val="22"/>
        </w:rPr>
        <w:t xml:space="preserve">vector-borne diseases. </w:t>
      </w:r>
    </w:p>
    <w:p w:rsidR="00F078E6" w:rsidRPr="00471447" w:rsidRDefault="00AA636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Ms. Hodgson </w:t>
      </w:r>
      <w:r w:rsidR="00F87DB9" w:rsidRPr="00471447">
        <w:rPr>
          <w:rFonts w:ascii="Times New Roman" w:eastAsia="Cambria" w:hAnsi="Times New Roman" w:cs="Times New Roman"/>
          <w:kern w:val="22"/>
        </w:rPr>
        <w:t>emphasized</w:t>
      </w:r>
      <w:r w:rsidR="00A30FC1" w:rsidRPr="00471447">
        <w:rPr>
          <w:rFonts w:ascii="Times New Roman" w:eastAsia="Cambria" w:hAnsi="Times New Roman" w:cs="Times New Roman"/>
          <w:kern w:val="22"/>
        </w:rPr>
        <w:t xml:space="preserve"> that issues at the intersection of</w:t>
      </w:r>
      <w:r w:rsidR="006552F7" w:rsidRPr="00471447">
        <w:rPr>
          <w:rFonts w:ascii="Times New Roman" w:eastAsia="Cambria" w:hAnsi="Times New Roman" w:cs="Times New Roman"/>
          <w:kern w:val="22"/>
        </w:rPr>
        <w:t xml:space="preserve"> biodiversity and human health are </w:t>
      </w:r>
      <w:r w:rsidR="00A30FC1" w:rsidRPr="00471447">
        <w:rPr>
          <w:rFonts w:ascii="Times New Roman" w:eastAsia="Cambria" w:hAnsi="Times New Roman" w:cs="Times New Roman"/>
          <w:kern w:val="22"/>
        </w:rPr>
        <w:t>at the heart of</w:t>
      </w:r>
      <w:r w:rsidR="006552F7" w:rsidRPr="00471447">
        <w:rPr>
          <w:rFonts w:ascii="Times New Roman" w:eastAsia="Cambria" w:hAnsi="Times New Roman" w:cs="Times New Roman"/>
          <w:kern w:val="22"/>
        </w:rPr>
        <w:t xml:space="preserve"> climate change concerns</w:t>
      </w:r>
      <w:r w:rsidR="00A30FC1" w:rsidRPr="00471447">
        <w:rPr>
          <w:rFonts w:ascii="Times New Roman" w:eastAsia="Cambria" w:hAnsi="Times New Roman" w:cs="Times New Roman"/>
          <w:kern w:val="22"/>
        </w:rPr>
        <w:t xml:space="preserve"> and</w:t>
      </w:r>
      <w:r w:rsidR="006552F7" w:rsidRPr="00471447">
        <w:rPr>
          <w:rFonts w:ascii="Times New Roman" w:eastAsia="Cambria" w:hAnsi="Times New Roman" w:cs="Times New Roman"/>
          <w:kern w:val="22"/>
        </w:rPr>
        <w:t xml:space="preserve"> there </w:t>
      </w:r>
      <w:r w:rsidR="00AE0E6C">
        <w:rPr>
          <w:rFonts w:ascii="Times New Roman" w:eastAsia="Cambria" w:hAnsi="Times New Roman" w:cs="Times New Roman"/>
          <w:kern w:val="22"/>
        </w:rPr>
        <w:t>was</w:t>
      </w:r>
      <w:r w:rsidR="00AE0E6C" w:rsidRPr="00471447">
        <w:rPr>
          <w:rFonts w:ascii="Times New Roman" w:eastAsia="Cambria" w:hAnsi="Times New Roman" w:cs="Times New Roman"/>
          <w:kern w:val="22"/>
        </w:rPr>
        <w:t xml:space="preserve"> </w:t>
      </w:r>
      <w:r w:rsidR="006552F7" w:rsidRPr="00471447">
        <w:rPr>
          <w:rFonts w:ascii="Times New Roman" w:eastAsia="Cambria" w:hAnsi="Times New Roman" w:cs="Times New Roman"/>
          <w:kern w:val="22"/>
        </w:rPr>
        <w:t>a strong scope for collaboration</w:t>
      </w:r>
      <w:r w:rsidR="00A30FC1" w:rsidRPr="00471447">
        <w:rPr>
          <w:rFonts w:ascii="Times New Roman" w:eastAsia="Cambria" w:hAnsi="Times New Roman" w:cs="Times New Roman"/>
          <w:kern w:val="22"/>
        </w:rPr>
        <w:t xml:space="preserve"> with the ILG</w:t>
      </w:r>
      <w:r w:rsidR="006552F7" w:rsidRPr="00471447">
        <w:rPr>
          <w:rFonts w:ascii="Times New Roman" w:eastAsia="Cambria" w:hAnsi="Times New Roman" w:cs="Times New Roman"/>
          <w:kern w:val="22"/>
        </w:rPr>
        <w:t xml:space="preserve">. This </w:t>
      </w:r>
      <w:r w:rsidR="00A30FC1" w:rsidRPr="00471447">
        <w:rPr>
          <w:rFonts w:ascii="Times New Roman" w:eastAsia="Cambria" w:hAnsi="Times New Roman" w:cs="Times New Roman"/>
          <w:kern w:val="22"/>
        </w:rPr>
        <w:t xml:space="preserve">notably </w:t>
      </w:r>
      <w:r w:rsidR="006552F7" w:rsidRPr="00471447">
        <w:rPr>
          <w:rFonts w:ascii="Times New Roman" w:eastAsia="Cambria" w:hAnsi="Times New Roman" w:cs="Times New Roman"/>
          <w:kern w:val="22"/>
        </w:rPr>
        <w:t>includes enhanced research and information on health and</w:t>
      </w:r>
      <w:r w:rsidR="00A30FC1" w:rsidRPr="00471447">
        <w:rPr>
          <w:rFonts w:ascii="Times New Roman" w:eastAsia="Cambria" w:hAnsi="Times New Roman" w:cs="Times New Roman"/>
          <w:kern w:val="22"/>
        </w:rPr>
        <w:t xml:space="preserve"> other </w:t>
      </w:r>
      <w:r w:rsidR="00F87DB9" w:rsidRPr="00471447">
        <w:rPr>
          <w:rFonts w:ascii="Times New Roman" w:eastAsia="Cambria" w:hAnsi="Times New Roman" w:cs="Times New Roman"/>
          <w:kern w:val="22"/>
        </w:rPr>
        <w:t>area</w:t>
      </w:r>
      <w:r w:rsidR="00A30FC1" w:rsidRPr="00471447">
        <w:rPr>
          <w:rFonts w:ascii="Times New Roman" w:eastAsia="Cambria" w:hAnsi="Times New Roman" w:cs="Times New Roman"/>
          <w:kern w:val="22"/>
        </w:rPr>
        <w:t>s including</w:t>
      </w:r>
      <w:r w:rsidR="006552F7" w:rsidRPr="00471447">
        <w:rPr>
          <w:rFonts w:ascii="Times New Roman" w:eastAsia="Cambria" w:hAnsi="Times New Roman" w:cs="Times New Roman"/>
          <w:kern w:val="22"/>
        </w:rPr>
        <w:t xml:space="preserve"> biodiversity</w:t>
      </w:r>
      <w:r w:rsidR="00F078E6" w:rsidRPr="00471447">
        <w:rPr>
          <w:rFonts w:ascii="Times New Roman" w:eastAsia="Cambria" w:hAnsi="Times New Roman" w:cs="Times New Roman"/>
          <w:kern w:val="22"/>
        </w:rPr>
        <w:t xml:space="preserve"> loss, for example through the technical examination process on adaptation (TEP-A). In 2017, there was a TEP on resilient ecosystems and one on resilient cities (focusing on health, water and food) and participation under the </w:t>
      </w:r>
      <w:r w:rsidR="0061487C" w:rsidRPr="009C20A3">
        <w:rPr>
          <w:rFonts w:ascii="Times New Roman" w:eastAsia="Cambria" w:hAnsi="Times New Roman" w:cs="Times New Roman"/>
          <w:kern w:val="22"/>
        </w:rPr>
        <w:t>joint work programme</w:t>
      </w:r>
      <w:r w:rsidR="0061487C" w:rsidRPr="00A20A93" w:rsidDel="0061487C">
        <w:rPr>
          <w:rFonts w:ascii="Times New Roman" w:eastAsia="Cambria" w:hAnsi="Times New Roman" w:cs="Times New Roman"/>
          <w:kern w:val="22"/>
        </w:rPr>
        <w:t xml:space="preserve"> </w:t>
      </w:r>
      <w:r w:rsidR="00F078E6" w:rsidRPr="00471447">
        <w:rPr>
          <w:rFonts w:ascii="Times New Roman" w:eastAsia="Cambria" w:hAnsi="Times New Roman" w:cs="Times New Roman"/>
          <w:kern w:val="22"/>
        </w:rPr>
        <w:t xml:space="preserve">could be considered in future including in 2018 when the technical examination process focused on adaptation planning for vulnerable groups, communities and ecosystems. </w:t>
      </w:r>
    </w:p>
    <w:p w:rsidR="006552F7" w:rsidRPr="00471447" w:rsidRDefault="00F87DB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She</w:t>
      </w:r>
      <w:r w:rsidR="00A30FC1" w:rsidRPr="00471447">
        <w:rPr>
          <w:rFonts w:ascii="Times New Roman" w:eastAsia="Cambria" w:hAnsi="Times New Roman" w:cs="Times New Roman"/>
          <w:kern w:val="22"/>
        </w:rPr>
        <w:t xml:space="preserve"> noted that</w:t>
      </w:r>
      <w:r w:rsidR="006552F7" w:rsidRPr="00471447">
        <w:rPr>
          <w:rFonts w:ascii="Times New Roman" w:eastAsia="Cambria" w:hAnsi="Times New Roman" w:cs="Times New Roman"/>
          <w:kern w:val="22"/>
        </w:rPr>
        <w:t xml:space="preserve"> a strong desire for health to be integrated into adaptation planning but </w:t>
      </w:r>
      <w:r w:rsidRPr="00471447">
        <w:rPr>
          <w:rFonts w:ascii="Times New Roman" w:eastAsia="Cambria" w:hAnsi="Times New Roman" w:cs="Times New Roman"/>
          <w:kern w:val="22"/>
        </w:rPr>
        <w:t>noted the lack of capacity</w:t>
      </w:r>
      <w:r w:rsidR="00EE3694" w:rsidRPr="00471447">
        <w:rPr>
          <w:rFonts w:ascii="Times New Roman" w:eastAsia="Cambria" w:hAnsi="Times New Roman" w:cs="Times New Roman"/>
          <w:kern w:val="22"/>
        </w:rPr>
        <w:t xml:space="preserve"> and funding to meet adaptation and mitigation needs</w:t>
      </w:r>
      <w:r w:rsidR="006552F7" w:rsidRPr="00471447">
        <w:rPr>
          <w:rFonts w:ascii="Times New Roman" w:eastAsia="Cambria" w:hAnsi="Times New Roman" w:cs="Times New Roman"/>
          <w:kern w:val="22"/>
        </w:rPr>
        <w:t xml:space="preserve">. </w:t>
      </w:r>
      <w:r w:rsidR="00EE3694" w:rsidRPr="00471447">
        <w:rPr>
          <w:rFonts w:ascii="Times New Roman" w:eastAsia="Cambria" w:hAnsi="Times New Roman" w:cs="Times New Roman"/>
          <w:kern w:val="22"/>
        </w:rPr>
        <w:t>It was noted that</w:t>
      </w:r>
      <w:r w:rsidR="006552F7" w:rsidRPr="00471447">
        <w:rPr>
          <w:rFonts w:ascii="Times New Roman" w:eastAsia="Cambria" w:hAnsi="Times New Roman" w:cs="Times New Roman"/>
          <w:kern w:val="22"/>
        </w:rPr>
        <w:t xml:space="preserve"> </w:t>
      </w:r>
      <w:r w:rsidR="00EE3694" w:rsidRPr="00471447">
        <w:rPr>
          <w:rFonts w:ascii="Times New Roman" w:eastAsia="Cambria" w:hAnsi="Times New Roman" w:cs="Times New Roman"/>
          <w:kern w:val="22"/>
        </w:rPr>
        <w:t xml:space="preserve">in 2017, </w:t>
      </w:r>
      <w:r w:rsidR="006552F7" w:rsidRPr="00471447">
        <w:rPr>
          <w:rFonts w:ascii="Times New Roman" w:eastAsia="Cambria" w:hAnsi="Times New Roman" w:cs="Times New Roman"/>
          <w:kern w:val="22"/>
        </w:rPr>
        <w:t xml:space="preserve">a Technical Paper on Health and Adaptation and one on Ecosystems was released </w:t>
      </w:r>
      <w:r w:rsidR="00EE3694" w:rsidRPr="00471447">
        <w:rPr>
          <w:rFonts w:ascii="Times New Roman" w:eastAsia="Cambria" w:hAnsi="Times New Roman" w:cs="Times New Roman"/>
          <w:kern w:val="22"/>
        </w:rPr>
        <w:t>and it would be useful to add these</w:t>
      </w:r>
      <w:r w:rsidR="006552F7" w:rsidRPr="00471447">
        <w:rPr>
          <w:rFonts w:ascii="Times New Roman" w:eastAsia="Cambria" w:hAnsi="Times New Roman" w:cs="Times New Roman"/>
          <w:kern w:val="22"/>
        </w:rPr>
        <w:t xml:space="preserve"> to the CBD-WHO joint work programme site. </w:t>
      </w:r>
    </w:p>
    <w:p w:rsidR="00EE3694" w:rsidRPr="00471447" w:rsidRDefault="00EE3694"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 CBD Secretariat noted that all relevant documents discussed by ILG members could be made available on the health and biodiversity website of the CBD-WHO joint work programme (</w:t>
      </w:r>
      <w:hyperlink r:id="rId20" w:history="1">
        <w:r w:rsidR="004806DB">
          <w:rPr>
            <w:rStyle w:val="Hyperlink"/>
            <w:rFonts w:ascii="Times New Roman" w:eastAsia="Cambria" w:hAnsi="Times New Roman" w:cs="Times New Roman"/>
            <w:kern w:val="22"/>
          </w:rPr>
          <w:t>www.cbd.int/health</w:t>
        </w:r>
      </w:hyperlink>
      <w:r w:rsidR="004806DB">
        <w:rPr>
          <w:rFonts w:ascii="Times New Roman" w:eastAsia="Cambria" w:hAnsi="Times New Roman" w:cs="Times New Roman"/>
          <w:kern w:val="22"/>
        </w:rPr>
        <w:t xml:space="preserve">) </w:t>
      </w:r>
      <w:r w:rsidRPr="00471447">
        <w:rPr>
          <w:rFonts w:ascii="Times New Roman" w:eastAsia="Cambria" w:hAnsi="Times New Roman" w:cs="Times New Roman"/>
          <w:kern w:val="22"/>
        </w:rPr>
        <w:t>to make them more accessible to Parties and other relevant stakeholders. ILG Members are invited to share links to relevant work on biodiversity and health.</w:t>
      </w:r>
    </w:p>
    <w:p w:rsidR="00F87DB9" w:rsidRPr="00471447" w:rsidRDefault="00F87DB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Other</w:t>
      </w:r>
      <w:r w:rsidR="00FE4B72" w:rsidRPr="00471447">
        <w:rPr>
          <w:rFonts w:ascii="Times New Roman" w:eastAsia="Cambria" w:hAnsi="Times New Roman" w:cs="Times New Roman"/>
          <w:kern w:val="22"/>
        </w:rPr>
        <w:t xml:space="preserve"> potential area</w:t>
      </w:r>
      <w:r w:rsidRPr="00471447">
        <w:rPr>
          <w:rFonts w:ascii="Times New Roman" w:eastAsia="Cambria" w:hAnsi="Times New Roman" w:cs="Times New Roman"/>
          <w:kern w:val="22"/>
        </w:rPr>
        <w:t>s</w:t>
      </w:r>
      <w:r w:rsidR="00FE4B72" w:rsidRPr="00471447">
        <w:rPr>
          <w:rFonts w:ascii="Times New Roman" w:eastAsia="Cambria" w:hAnsi="Times New Roman" w:cs="Times New Roman"/>
          <w:kern w:val="22"/>
        </w:rPr>
        <w:t xml:space="preserve"> of collaboration with the </w:t>
      </w:r>
      <w:r w:rsidRPr="00471447">
        <w:rPr>
          <w:rFonts w:ascii="Times New Roman" w:eastAsia="Cambria" w:hAnsi="Times New Roman" w:cs="Times New Roman"/>
          <w:kern w:val="22"/>
        </w:rPr>
        <w:t xml:space="preserve">Secretariat and WHO </w:t>
      </w:r>
      <w:r w:rsidR="00FE4B72" w:rsidRPr="00471447">
        <w:rPr>
          <w:rFonts w:ascii="Times New Roman" w:eastAsia="Cambria" w:hAnsi="Times New Roman" w:cs="Times New Roman"/>
          <w:kern w:val="22"/>
        </w:rPr>
        <w:t>in</w:t>
      </w:r>
      <w:r w:rsidRPr="00471447">
        <w:rPr>
          <w:rFonts w:ascii="Times New Roman" w:eastAsia="Cambria" w:hAnsi="Times New Roman" w:cs="Times New Roman"/>
          <w:kern w:val="22"/>
        </w:rPr>
        <w:t>clude support for</w:t>
      </w:r>
      <w:r w:rsidR="00FE4B72" w:rsidRPr="00471447">
        <w:rPr>
          <w:rFonts w:ascii="Times New Roman" w:eastAsia="Cambria" w:hAnsi="Times New Roman" w:cs="Times New Roman"/>
          <w:kern w:val="22"/>
        </w:rPr>
        <w:t xml:space="preserve"> the development of National Adaptation Plans for climate change in developing countries. </w:t>
      </w:r>
      <w:r w:rsidRPr="00471447">
        <w:rPr>
          <w:rFonts w:ascii="Times New Roman" w:eastAsia="Cambria" w:hAnsi="Times New Roman" w:cs="Times New Roman"/>
          <w:kern w:val="22"/>
        </w:rPr>
        <w:t>She</w:t>
      </w:r>
      <w:r w:rsidR="00FE4B72" w:rsidRPr="00471447">
        <w:rPr>
          <w:rFonts w:ascii="Times New Roman" w:eastAsia="Cambria" w:hAnsi="Times New Roman" w:cs="Times New Roman"/>
          <w:kern w:val="22"/>
        </w:rPr>
        <w:t xml:space="preserve"> noted that a series of </w:t>
      </w:r>
      <w:r w:rsidRPr="00471447">
        <w:rPr>
          <w:rFonts w:ascii="Times New Roman" w:eastAsia="Cambria" w:hAnsi="Times New Roman" w:cs="Times New Roman"/>
          <w:kern w:val="22"/>
        </w:rPr>
        <w:t xml:space="preserve">upcoming </w:t>
      </w:r>
      <w:r w:rsidR="00FE4B72" w:rsidRPr="00471447">
        <w:rPr>
          <w:rFonts w:ascii="Times New Roman" w:eastAsia="Cambria" w:hAnsi="Times New Roman" w:cs="Times New Roman"/>
          <w:kern w:val="22"/>
        </w:rPr>
        <w:t>regional training workshops for NAPs</w:t>
      </w:r>
      <w:r w:rsidR="00AA6360" w:rsidRPr="00471447">
        <w:rPr>
          <w:rFonts w:ascii="Times New Roman" w:eastAsia="Cambria" w:hAnsi="Times New Roman" w:cs="Times New Roman"/>
          <w:kern w:val="22"/>
        </w:rPr>
        <w:t xml:space="preserve"> </w:t>
      </w:r>
      <w:r w:rsidR="00FE4B72" w:rsidRPr="00471447">
        <w:rPr>
          <w:rFonts w:ascii="Times New Roman" w:eastAsia="Cambria" w:hAnsi="Times New Roman" w:cs="Times New Roman"/>
          <w:kern w:val="22"/>
        </w:rPr>
        <w:t xml:space="preserve">in which </w:t>
      </w:r>
      <w:r w:rsidRPr="00471447">
        <w:rPr>
          <w:rFonts w:ascii="Times New Roman" w:eastAsia="Cambria" w:hAnsi="Times New Roman" w:cs="Times New Roman"/>
          <w:kern w:val="22"/>
        </w:rPr>
        <w:t>CBD and WHO could participate</w:t>
      </w:r>
      <w:r w:rsidR="00FE4B72" w:rsidRPr="00471447">
        <w:rPr>
          <w:rFonts w:ascii="Times New Roman" w:eastAsia="Cambria" w:hAnsi="Times New Roman" w:cs="Times New Roman"/>
          <w:kern w:val="22"/>
        </w:rPr>
        <w:t xml:space="preserve">. </w:t>
      </w:r>
    </w:p>
    <w:p w:rsidR="00FE4B72" w:rsidRPr="00471447" w:rsidRDefault="00C1013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On the longer term, </w:t>
      </w:r>
      <w:r w:rsidR="0047238A" w:rsidRPr="00471447">
        <w:rPr>
          <w:rFonts w:ascii="Times New Roman" w:eastAsia="Cambria" w:hAnsi="Times New Roman" w:cs="Times New Roman"/>
          <w:kern w:val="22"/>
        </w:rPr>
        <w:t>potential areas for collaboration with the ILG</w:t>
      </w:r>
      <w:r w:rsidR="004806DB">
        <w:rPr>
          <w:rFonts w:ascii="Times New Roman" w:eastAsia="Cambria" w:hAnsi="Times New Roman" w:cs="Times New Roman"/>
          <w:kern w:val="22"/>
        </w:rPr>
        <w:t xml:space="preserve"> </w:t>
      </w:r>
      <w:r w:rsidR="00F078E6" w:rsidRPr="00471447">
        <w:rPr>
          <w:rFonts w:ascii="Times New Roman" w:eastAsia="Cambria" w:hAnsi="Times New Roman" w:cs="Times New Roman"/>
          <w:kern w:val="22"/>
        </w:rPr>
        <w:t>may include the</w:t>
      </w:r>
      <w:r w:rsidR="00FE4B72" w:rsidRPr="00471447">
        <w:rPr>
          <w:rFonts w:ascii="Times New Roman" w:eastAsia="Cambria" w:hAnsi="Times New Roman" w:cs="Times New Roman"/>
          <w:kern w:val="22"/>
        </w:rPr>
        <w:t xml:space="preserve"> </w:t>
      </w:r>
      <w:r w:rsidR="00680548" w:rsidRPr="00471447">
        <w:rPr>
          <w:rFonts w:ascii="Times New Roman" w:eastAsia="Cambria" w:hAnsi="Times New Roman" w:cs="Times New Roman"/>
          <w:kern w:val="22"/>
        </w:rPr>
        <w:t>Ad Hoc Working Group on the Paris Agreement (APA)</w:t>
      </w:r>
      <w:r w:rsidR="00B011AA" w:rsidRPr="00471447">
        <w:rPr>
          <w:rFonts w:ascii="Times New Roman" w:eastAsia="Cambria" w:hAnsi="Times New Roman" w:cs="Times New Roman"/>
          <w:kern w:val="22"/>
        </w:rPr>
        <w:t xml:space="preserve">, </w:t>
      </w:r>
      <w:r w:rsidR="00A53CF5" w:rsidRPr="00471447">
        <w:rPr>
          <w:rFonts w:ascii="Times New Roman" w:eastAsia="Cambria" w:hAnsi="Times New Roman" w:cs="Times New Roman"/>
          <w:kern w:val="22"/>
        </w:rPr>
        <w:t>focused</w:t>
      </w:r>
      <w:r w:rsidR="00FE4B72" w:rsidRPr="00471447">
        <w:rPr>
          <w:rFonts w:ascii="Times New Roman" w:eastAsia="Cambria" w:hAnsi="Times New Roman" w:cs="Times New Roman"/>
          <w:kern w:val="22"/>
        </w:rPr>
        <w:t xml:space="preserve"> on </w:t>
      </w:r>
      <w:r w:rsidR="00B011AA" w:rsidRPr="00471447">
        <w:rPr>
          <w:rFonts w:ascii="Times New Roman" w:eastAsia="Cambria" w:hAnsi="Times New Roman" w:cs="Times New Roman"/>
          <w:kern w:val="22"/>
        </w:rPr>
        <w:t xml:space="preserve">the </w:t>
      </w:r>
      <w:r w:rsidR="00FE4B72" w:rsidRPr="00471447">
        <w:rPr>
          <w:rFonts w:ascii="Times New Roman" w:eastAsia="Cambria" w:hAnsi="Times New Roman" w:cs="Times New Roman"/>
          <w:kern w:val="22"/>
        </w:rPr>
        <w:t>implementation of the Agreement</w:t>
      </w:r>
      <w:r w:rsidR="00A53CF5" w:rsidRPr="00471447">
        <w:rPr>
          <w:rFonts w:ascii="Times New Roman" w:eastAsia="Cambria" w:hAnsi="Times New Roman" w:cs="Times New Roman"/>
          <w:kern w:val="22"/>
        </w:rPr>
        <w:t xml:space="preserve">. </w:t>
      </w:r>
      <w:r w:rsidR="00FE4B72" w:rsidRPr="00471447">
        <w:rPr>
          <w:rFonts w:ascii="Times New Roman" w:eastAsia="Cambria" w:hAnsi="Times New Roman" w:cs="Times New Roman"/>
          <w:kern w:val="22"/>
        </w:rPr>
        <w:t xml:space="preserve">There is </w:t>
      </w:r>
      <w:r w:rsidRPr="00471447">
        <w:rPr>
          <w:rFonts w:ascii="Times New Roman" w:eastAsia="Cambria" w:hAnsi="Times New Roman" w:cs="Times New Roman"/>
          <w:kern w:val="22"/>
        </w:rPr>
        <w:t xml:space="preserve">potentially </w:t>
      </w:r>
      <w:r w:rsidR="00FE4B72" w:rsidRPr="00471447">
        <w:rPr>
          <w:rFonts w:ascii="Times New Roman" w:eastAsia="Cambria" w:hAnsi="Times New Roman" w:cs="Times New Roman"/>
          <w:kern w:val="22"/>
        </w:rPr>
        <w:t xml:space="preserve">a timely opportunity for </w:t>
      </w:r>
      <w:r w:rsidRPr="00471447">
        <w:rPr>
          <w:rFonts w:ascii="Times New Roman" w:eastAsia="Cambria" w:hAnsi="Times New Roman" w:cs="Times New Roman"/>
          <w:kern w:val="22"/>
        </w:rPr>
        <w:t>the ILG</w:t>
      </w:r>
      <w:r w:rsidR="00FE4B72" w:rsidRPr="00471447">
        <w:rPr>
          <w:rFonts w:ascii="Times New Roman" w:eastAsia="Cambria" w:hAnsi="Times New Roman" w:cs="Times New Roman"/>
          <w:kern w:val="22"/>
        </w:rPr>
        <w:t xml:space="preserve"> to </w:t>
      </w:r>
      <w:r w:rsidR="0047238A" w:rsidRPr="00471447">
        <w:rPr>
          <w:rFonts w:ascii="Times New Roman" w:eastAsia="Cambria" w:hAnsi="Times New Roman" w:cs="Times New Roman"/>
          <w:kern w:val="22"/>
        </w:rPr>
        <w:t>provide advice</w:t>
      </w:r>
      <w:r w:rsidR="00FE4B72" w:rsidRPr="00471447">
        <w:rPr>
          <w:rFonts w:ascii="Times New Roman" w:eastAsia="Cambria" w:hAnsi="Times New Roman" w:cs="Times New Roman"/>
          <w:kern w:val="22"/>
        </w:rPr>
        <w:t xml:space="preserve"> or produce </w:t>
      </w:r>
      <w:r w:rsidR="0047238A" w:rsidRPr="00471447">
        <w:rPr>
          <w:rFonts w:ascii="Times New Roman" w:eastAsia="Cambria" w:hAnsi="Times New Roman" w:cs="Times New Roman"/>
          <w:kern w:val="22"/>
        </w:rPr>
        <w:t>relevant research</w:t>
      </w:r>
      <w:r w:rsidR="00FE4B7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Moreover, </w:t>
      </w:r>
      <w:r w:rsidRPr="00471447">
        <w:rPr>
          <w:rFonts w:ascii="Times New Roman" w:eastAsia="Cambria" w:hAnsi="Times New Roman" w:cs="Times New Roman"/>
          <w:kern w:val="22"/>
        </w:rPr>
        <w:lastRenderedPageBreak/>
        <w:t xml:space="preserve">under the IPCC, </w:t>
      </w:r>
      <w:r w:rsidR="00FE4B72" w:rsidRPr="00471447">
        <w:rPr>
          <w:rFonts w:ascii="Times New Roman" w:eastAsia="Cambria" w:hAnsi="Times New Roman" w:cs="Times New Roman"/>
          <w:kern w:val="22"/>
        </w:rPr>
        <w:t xml:space="preserve">the special reports on 1.5 degrees of global warming will be </w:t>
      </w:r>
      <w:r w:rsidRPr="00471447">
        <w:rPr>
          <w:rFonts w:ascii="Times New Roman" w:eastAsia="Cambria" w:hAnsi="Times New Roman" w:cs="Times New Roman"/>
          <w:kern w:val="22"/>
        </w:rPr>
        <w:t>released</w:t>
      </w:r>
      <w:r w:rsidR="00FE4B72" w:rsidRPr="00471447">
        <w:rPr>
          <w:rFonts w:ascii="Times New Roman" w:eastAsia="Cambria" w:hAnsi="Times New Roman" w:cs="Times New Roman"/>
          <w:kern w:val="22"/>
        </w:rPr>
        <w:t xml:space="preserve"> September </w:t>
      </w:r>
      <w:r w:rsidRPr="00471447">
        <w:rPr>
          <w:rFonts w:ascii="Times New Roman" w:eastAsia="Cambria" w:hAnsi="Times New Roman" w:cs="Times New Roman"/>
          <w:kern w:val="22"/>
        </w:rPr>
        <w:t>2018</w:t>
      </w:r>
      <w:r w:rsidR="00FE4B72" w:rsidRPr="00471447">
        <w:rPr>
          <w:rFonts w:ascii="Times New Roman" w:eastAsia="Cambria" w:hAnsi="Times New Roman" w:cs="Times New Roman"/>
          <w:kern w:val="22"/>
        </w:rPr>
        <w:t xml:space="preserve"> and Chapter 3 will </w:t>
      </w:r>
      <w:r w:rsidRPr="00471447">
        <w:rPr>
          <w:rFonts w:ascii="Times New Roman" w:eastAsia="Cambria" w:hAnsi="Times New Roman" w:cs="Times New Roman"/>
          <w:kern w:val="22"/>
        </w:rPr>
        <w:t>examine</w:t>
      </w:r>
      <w:r w:rsidR="00FE4B72" w:rsidRPr="00471447">
        <w:rPr>
          <w:rFonts w:ascii="Times New Roman" w:eastAsia="Cambria" w:hAnsi="Times New Roman" w:cs="Times New Roman"/>
          <w:kern w:val="22"/>
        </w:rPr>
        <w:t xml:space="preserve"> impacts of 1.5 degrees on natural and human systems</w:t>
      </w:r>
      <w:r w:rsidRPr="00471447">
        <w:rPr>
          <w:rFonts w:ascii="Times New Roman" w:eastAsia="Cambria" w:hAnsi="Times New Roman" w:cs="Times New Roman"/>
          <w:kern w:val="22"/>
        </w:rPr>
        <w:t>. While t</w:t>
      </w:r>
      <w:r w:rsidR="00FE4B72" w:rsidRPr="00471447">
        <w:rPr>
          <w:rFonts w:ascii="Times New Roman" w:eastAsia="Cambria" w:hAnsi="Times New Roman" w:cs="Times New Roman"/>
          <w:kern w:val="22"/>
        </w:rPr>
        <w:t xml:space="preserve">he scoping has already been </w:t>
      </w:r>
      <w:r w:rsidRPr="00471447">
        <w:rPr>
          <w:rFonts w:ascii="Times New Roman" w:eastAsia="Cambria" w:hAnsi="Times New Roman" w:cs="Times New Roman"/>
          <w:kern w:val="22"/>
        </w:rPr>
        <w:t>carried out,</w:t>
      </w:r>
      <w:r w:rsidR="00FE4B7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 ILG</w:t>
      </w:r>
      <w:r w:rsidR="00FE4B72" w:rsidRPr="00471447">
        <w:rPr>
          <w:rFonts w:ascii="Times New Roman" w:eastAsia="Cambria" w:hAnsi="Times New Roman" w:cs="Times New Roman"/>
          <w:kern w:val="22"/>
        </w:rPr>
        <w:t xml:space="preserve"> could help to motivate the scientific and research community to produce information on interlinkages between health and biodiversity.</w:t>
      </w:r>
    </w:p>
    <w:p w:rsidR="003541F2" w:rsidRPr="00471447" w:rsidRDefault="00F078E6"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agreed </w:t>
      </w:r>
      <w:r w:rsidR="00C10135" w:rsidRPr="00471447">
        <w:rPr>
          <w:rFonts w:ascii="Times New Roman" w:eastAsia="Cambria" w:hAnsi="Times New Roman" w:cs="Times New Roman"/>
          <w:kern w:val="22"/>
        </w:rPr>
        <w:t>that health and ecosystem communities could do more to work in a more integrated fashion to</w:t>
      </w:r>
      <w:r w:rsidRPr="00471447">
        <w:rPr>
          <w:rFonts w:ascii="Times New Roman" w:eastAsia="Cambria" w:hAnsi="Times New Roman" w:cs="Times New Roman"/>
          <w:kern w:val="22"/>
        </w:rPr>
        <w:t xml:space="preserve"> support the work of UNFCCC and</w:t>
      </w:r>
      <w:r w:rsidR="00C10135" w:rsidRPr="00471447">
        <w:rPr>
          <w:rFonts w:ascii="Times New Roman" w:eastAsia="Cambria" w:hAnsi="Times New Roman" w:cs="Times New Roman"/>
          <w:kern w:val="22"/>
        </w:rPr>
        <w:t xml:space="preserve"> linkages with mitigation</w:t>
      </w:r>
      <w:r w:rsidRPr="00471447">
        <w:rPr>
          <w:rFonts w:ascii="Times New Roman" w:eastAsia="Cambria" w:hAnsi="Times New Roman" w:cs="Times New Roman"/>
          <w:kern w:val="22"/>
        </w:rPr>
        <w:t xml:space="preserve"> (e.g. role of cosystem</w:t>
      </w:r>
      <w:r w:rsidR="00471447">
        <w:rPr>
          <w:rFonts w:ascii="Times New Roman" w:eastAsia="Cambria" w:hAnsi="Times New Roman" w:cs="Times New Roman"/>
          <w:kern w:val="22"/>
        </w:rPr>
        <w:t xml:space="preserve">s, mangroves, peatlands, etc. </w:t>
      </w:r>
      <w:r w:rsidRPr="00471447">
        <w:rPr>
          <w:rFonts w:ascii="Times New Roman" w:eastAsia="Cambria" w:hAnsi="Times New Roman" w:cs="Times New Roman"/>
          <w:kern w:val="22"/>
        </w:rPr>
        <w:t>as carbon sinks)</w:t>
      </w:r>
      <w:r w:rsidR="00C1013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were also identified as </w:t>
      </w:r>
      <w:r w:rsidR="00C10135" w:rsidRPr="00471447">
        <w:rPr>
          <w:rFonts w:ascii="Times New Roman" w:eastAsia="Cambria" w:hAnsi="Times New Roman" w:cs="Times New Roman"/>
          <w:kern w:val="22"/>
        </w:rPr>
        <w:t xml:space="preserve">highly relevant. </w:t>
      </w:r>
      <w:r w:rsidRPr="00471447">
        <w:rPr>
          <w:rFonts w:ascii="Times New Roman" w:eastAsia="Cambria" w:hAnsi="Times New Roman" w:cs="Times New Roman"/>
          <w:kern w:val="22"/>
        </w:rPr>
        <w:t>It was suggested that f</w:t>
      </w:r>
      <w:r w:rsidR="00C10135" w:rsidRPr="00471447">
        <w:rPr>
          <w:rFonts w:ascii="Times New Roman" w:eastAsia="Cambria" w:hAnsi="Times New Roman" w:cs="Times New Roman"/>
          <w:kern w:val="22"/>
        </w:rPr>
        <w:t xml:space="preserve">ood systems are an excellent example of this given the impact of </w:t>
      </w:r>
      <w:r w:rsidRPr="00471447">
        <w:rPr>
          <w:rFonts w:ascii="Times New Roman" w:eastAsia="Cambria" w:hAnsi="Times New Roman" w:cs="Times New Roman"/>
          <w:kern w:val="22"/>
        </w:rPr>
        <w:t>agriculture on</w:t>
      </w:r>
      <w:r w:rsidR="00C10135" w:rsidRPr="00471447">
        <w:rPr>
          <w:rFonts w:ascii="Times New Roman" w:eastAsia="Cambria" w:hAnsi="Times New Roman" w:cs="Times New Roman"/>
          <w:kern w:val="22"/>
        </w:rPr>
        <w:t xml:space="preserve"> greenhouse gas (GHG) emissions and related implications for health and biodiversity. UNSCN colleagues will note the need to push for healthy sustainable diets which is a contribution to human health but also to ecosystem protection and GHG emission. A</w:t>
      </w:r>
      <w:r w:rsidR="003541F2" w:rsidRPr="00471447">
        <w:rPr>
          <w:rFonts w:ascii="Times New Roman" w:eastAsia="Cambria" w:hAnsi="Times New Roman" w:cs="Times New Roman"/>
          <w:kern w:val="22"/>
        </w:rPr>
        <w:t>ir pollution,</w:t>
      </w:r>
      <w:r w:rsidR="00C10135" w:rsidRPr="00471447">
        <w:rPr>
          <w:rFonts w:ascii="Times New Roman" w:eastAsia="Cambria" w:hAnsi="Times New Roman" w:cs="Times New Roman"/>
          <w:kern w:val="22"/>
        </w:rPr>
        <w:t xml:space="preserve"> energy</w:t>
      </w:r>
      <w:r w:rsidR="003541F2" w:rsidRPr="00471447">
        <w:rPr>
          <w:rFonts w:ascii="Times New Roman" w:eastAsia="Cambria" w:hAnsi="Times New Roman" w:cs="Times New Roman"/>
          <w:kern w:val="22"/>
        </w:rPr>
        <w:t xml:space="preserve">, ocean acidification and impacts on marine ecosystems and food systems </w:t>
      </w:r>
      <w:r w:rsidRPr="00471447">
        <w:rPr>
          <w:rFonts w:ascii="Times New Roman" w:eastAsia="Cambria" w:hAnsi="Times New Roman" w:cs="Times New Roman"/>
          <w:kern w:val="22"/>
        </w:rPr>
        <w:t>were also</w:t>
      </w:r>
      <w:r w:rsidR="003541F2" w:rsidRPr="00471447">
        <w:rPr>
          <w:rFonts w:ascii="Times New Roman" w:eastAsia="Cambria" w:hAnsi="Times New Roman" w:cs="Times New Roman"/>
          <w:kern w:val="22"/>
        </w:rPr>
        <w:t xml:space="preserve"> identified as </w:t>
      </w:r>
      <w:r w:rsidR="00C10135" w:rsidRPr="00471447">
        <w:rPr>
          <w:rFonts w:ascii="Times New Roman" w:eastAsia="Cambria" w:hAnsi="Times New Roman" w:cs="Times New Roman"/>
          <w:kern w:val="22"/>
        </w:rPr>
        <w:t>potential area</w:t>
      </w:r>
      <w:r w:rsidR="003541F2" w:rsidRPr="00471447">
        <w:rPr>
          <w:rFonts w:ascii="Times New Roman" w:eastAsia="Cambria" w:hAnsi="Times New Roman" w:cs="Times New Roman"/>
          <w:kern w:val="22"/>
        </w:rPr>
        <w:t>s</w:t>
      </w:r>
      <w:r w:rsidR="00C10135" w:rsidRPr="00471447">
        <w:rPr>
          <w:rFonts w:ascii="Times New Roman" w:eastAsia="Cambria" w:hAnsi="Times New Roman" w:cs="Times New Roman"/>
          <w:kern w:val="22"/>
        </w:rPr>
        <w:t xml:space="preserve"> of </w:t>
      </w:r>
      <w:r w:rsidRPr="00471447">
        <w:rPr>
          <w:rFonts w:ascii="Times New Roman" w:eastAsia="Cambria" w:hAnsi="Times New Roman" w:cs="Times New Roman"/>
          <w:kern w:val="22"/>
        </w:rPr>
        <w:t xml:space="preserve">future </w:t>
      </w:r>
      <w:r w:rsidR="00C10135" w:rsidRPr="00471447">
        <w:rPr>
          <w:rFonts w:ascii="Times New Roman" w:eastAsia="Cambria" w:hAnsi="Times New Roman" w:cs="Times New Roman"/>
          <w:kern w:val="22"/>
        </w:rPr>
        <w:t>collaboration</w:t>
      </w:r>
      <w:r w:rsidRPr="00471447">
        <w:rPr>
          <w:rFonts w:ascii="Times New Roman" w:eastAsia="Cambria" w:hAnsi="Times New Roman" w:cs="Times New Roman"/>
          <w:kern w:val="22"/>
        </w:rPr>
        <w:t xml:space="preserve"> with the ILG</w:t>
      </w:r>
      <w:r w:rsidR="00C10135" w:rsidRPr="00471447">
        <w:rPr>
          <w:rFonts w:ascii="Times New Roman" w:eastAsia="Cambria" w:hAnsi="Times New Roman" w:cs="Times New Roman"/>
          <w:kern w:val="22"/>
        </w:rPr>
        <w:t xml:space="preserve">. </w:t>
      </w:r>
    </w:p>
    <w:p w:rsidR="00C10135" w:rsidRPr="00471447" w:rsidRDefault="003541F2"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 CBD Secretariat noted that both</w:t>
      </w:r>
      <w:r w:rsidR="00C10135" w:rsidRPr="00471447">
        <w:rPr>
          <w:rFonts w:ascii="Times New Roman" w:eastAsia="Cambria" w:hAnsi="Times New Roman" w:cs="Times New Roman"/>
          <w:kern w:val="22"/>
        </w:rPr>
        <w:t xml:space="preserve"> carbon sinks and heat sinks have negative implications on ecosystems, </w:t>
      </w:r>
      <w:r w:rsidRPr="00471447">
        <w:rPr>
          <w:rFonts w:ascii="Times New Roman" w:eastAsia="Cambria" w:hAnsi="Times New Roman" w:cs="Times New Roman"/>
          <w:kern w:val="22"/>
        </w:rPr>
        <w:t>notably including coral reefs</w:t>
      </w:r>
      <w:r w:rsidR="00C1013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which</w:t>
      </w:r>
      <w:r w:rsidR="00C10135" w:rsidRPr="00471447">
        <w:rPr>
          <w:rFonts w:ascii="Times New Roman" w:eastAsia="Cambria" w:hAnsi="Times New Roman" w:cs="Times New Roman"/>
          <w:kern w:val="22"/>
        </w:rPr>
        <w:t xml:space="preserve"> are critically important to fisheries</w:t>
      </w:r>
      <w:r w:rsidRPr="00471447">
        <w:rPr>
          <w:rFonts w:ascii="Times New Roman" w:eastAsia="Cambria" w:hAnsi="Times New Roman" w:cs="Times New Roman"/>
          <w:kern w:val="22"/>
        </w:rPr>
        <w:t xml:space="preserve">, to </w:t>
      </w:r>
      <w:r w:rsidR="00C10135" w:rsidRPr="00471447">
        <w:rPr>
          <w:rFonts w:ascii="Times New Roman" w:eastAsia="Cambria" w:hAnsi="Times New Roman" w:cs="Times New Roman"/>
          <w:kern w:val="22"/>
        </w:rPr>
        <w:t xml:space="preserve">coastal protection </w:t>
      </w:r>
      <w:r w:rsidRPr="00471447">
        <w:rPr>
          <w:rFonts w:ascii="Times New Roman" w:eastAsia="Cambria" w:hAnsi="Times New Roman" w:cs="Times New Roman"/>
          <w:kern w:val="22"/>
        </w:rPr>
        <w:t>against disasters and to ecosystem resilience</w:t>
      </w:r>
      <w:r w:rsidR="00C10135" w:rsidRPr="00471447">
        <w:rPr>
          <w:rFonts w:ascii="Times New Roman" w:eastAsia="Cambria" w:hAnsi="Times New Roman" w:cs="Times New Roman"/>
          <w:kern w:val="22"/>
        </w:rPr>
        <w:t xml:space="preserve">. </w:t>
      </w:r>
      <w:r w:rsidR="00F078E6" w:rsidRPr="00471447">
        <w:rPr>
          <w:rFonts w:ascii="Times New Roman" w:eastAsia="Cambria" w:hAnsi="Times New Roman" w:cs="Times New Roman"/>
          <w:kern w:val="22"/>
        </w:rPr>
        <w:t>It was agreed that mu</w:t>
      </w:r>
      <w:r w:rsidRPr="00471447">
        <w:rPr>
          <w:rFonts w:ascii="Times New Roman" w:eastAsia="Cambria" w:hAnsi="Times New Roman" w:cs="Times New Roman"/>
          <w:kern w:val="22"/>
        </w:rPr>
        <w:t>ch more could be done</w:t>
      </w:r>
      <w:r w:rsidR="00C1013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at the</w:t>
      </w:r>
      <w:r w:rsidR="00C10135" w:rsidRPr="00471447">
        <w:rPr>
          <w:rFonts w:ascii="Times New Roman" w:eastAsia="Cambria" w:hAnsi="Times New Roman" w:cs="Times New Roman"/>
          <w:kern w:val="22"/>
        </w:rPr>
        <w:t xml:space="preserve"> local and national scale</w:t>
      </w:r>
      <w:r w:rsidRPr="00471447">
        <w:rPr>
          <w:rFonts w:ascii="Times New Roman" w:eastAsia="Cambria" w:hAnsi="Times New Roman" w:cs="Times New Roman"/>
          <w:kern w:val="22"/>
        </w:rPr>
        <w:t>s</w:t>
      </w:r>
      <w:r w:rsidR="00C1013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to reduce</w:t>
      </w:r>
      <w:r w:rsidR="00C10135" w:rsidRPr="00471447">
        <w:rPr>
          <w:rFonts w:ascii="Times New Roman" w:eastAsia="Cambria" w:hAnsi="Times New Roman" w:cs="Times New Roman"/>
          <w:kern w:val="22"/>
        </w:rPr>
        <w:t xml:space="preserve"> drivers of </w:t>
      </w:r>
      <w:r w:rsidRPr="00471447">
        <w:rPr>
          <w:rFonts w:ascii="Times New Roman" w:eastAsia="Cambria" w:hAnsi="Times New Roman" w:cs="Times New Roman"/>
          <w:kern w:val="22"/>
        </w:rPr>
        <w:t xml:space="preserve">ecosystem </w:t>
      </w:r>
      <w:r w:rsidR="00C10135" w:rsidRPr="00471447">
        <w:rPr>
          <w:rFonts w:ascii="Times New Roman" w:eastAsia="Cambria" w:hAnsi="Times New Roman" w:cs="Times New Roman"/>
          <w:kern w:val="22"/>
        </w:rPr>
        <w:t xml:space="preserve">degradation (overfishing, destructive fishing, </w:t>
      </w:r>
      <w:r w:rsidRPr="00471447">
        <w:rPr>
          <w:rFonts w:ascii="Times New Roman" w:eastAsia="Cambria" w:hAnsi="Times New Roman" w:cs="Times New Roman"/>
          <w:kern w:val="22"/>
        </w:rPr>
        <w:t>land-</w:t>
      </w:r>
      <w:r w:rsidR="00C10135" w:rsidRPr="00471447">
        <w:rPr>
          <w:rFonts w:ascii="Times New Roman" w:eastAsia="Cambria" w:hAnsi="Times New Roman" w:cs="Times New Roman"/>
          <w:kern w:val="22"/>
        </w:rPr>
        <w:t>based pollution, sedimentation from agriculture which can lead to eutrophication</w:t>
      </w:r>
      <w:r w:rsidRPr="00471447">
        <w:rPr>
          <w:rFonts w:ascii="Times New Roman" w:eastAsia="Cambria" w:hAnsi="Times New Roman" w:cs="Times New Roman"/>
          <w:kern w:val="22"/>
        </w:rPr>
        <w:t>, etc.) and health.</w:t>
      </w:r>
      <w:r w:rsidR="00C1013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There are significant opportunities to link these drivers and to promote more sustainable practices in the context of food</w:t>
      </w:r>
      <w:r w:rsidR="00C10135" w:rsidRPr="00471447">
        <w:rPr>
          <w:rFonts w:ascii="Times New Roman" w:eastAsia="Cambria" w:hAnsi="Times New Roman" w:cs="Times New Roman"/>
          <w:kern w:val="22"/>
        </w:rPr>
        <w:t xml:space="preserve"> systems and healthy diets. </w:t>
      </w:r>
    </w:p>
    <w:p w:rsidR="00CD2862" w:rsidRPr="00471447" w:rsidRDefault="004B16E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Mr. Payyappallimana presented relevant activities of United Nations University (UNU)</w:t>
      </w:r>
      <w:r w:rsidR="000B0A57" w:rsidRPr="00471447">
        <w:rPr>
          <w:rFonts w:ascii="Times New Roman" w:eastAsia="Cambria" w:hAnsi="Times New Roman" w:cs="Times New Roman"/>
          <w:kern w:val="22"/>
        </w:rPr>
        <w:t xml:space="preserve"> (</w:t>
      </w:r>
      <w:hyperlink r:id="rId21">
        <w:r w:rsidR="000B0A57" w:rsidRPr="00471447">
          <w:rPr>
            <w:rFonts w:ascii="Times New Roman" w:eastAsia="Cambria" w:hAnsi="Times New Roman" w:cs="Times New Roman"/>
            <w:color w:val="1155CC"/>
            <w:kern w:val="22"/>
            <w:u w:val="single"/>
          </w:rPr>
          <w:t>https://unu.edu/</w:t>
        </w:r>
      </w:hyperlink>
      <w:r w:rsidR="000B0A57" w:rsidRPr="00471447">
        <w:rPr>
          <w:rFonts w:ascii="Times New Roman" w:eastAsia="Cambria" w:hAnsi="Times New Roman" w:cs="Times New Roman"/>
          <w:color w:val="1155CC"/>
          <w:kern w:val="22"/>
          <w:u w:val="single"/>
        </w:rPr>
        <w:t>)</w:t>
      </w:r>
      <w:r w:rsidRPr="00471447">
        <w:rPr>
          <w:rFonts w:ascii="Times New Roman" w:eastAsia="Cambria" w:hAnsi="Times New Roman" w:cs="Times New Roman"/>
          <w:kern w:val="22"/>
        </w:rPr>
        <w:t>, a policy think tank for the UN comprised of 14 institutes and cooperating centers and training institutes referred to as research and capacity building centres. Two Institutes in particular work on issues of biodiversity and health at UNU: UNU-IAS, based in Tokyo which has been collaborating with the CBD Secretariat for several years</w:t>
      </w:r>
      <w:r w:rsidR="00F078E6" w:rsidRPr="00471447">
        <w:rPr>
          <w:rFonts w:ascii="Times New Roman" w:eastAsia="Cambria" w:hAnsi="Times New Roman" w:cs="Times New Roman"/>
          <w:kern w:val="22"/>
        </w:rPr>
        <w:t xml:space="preserve"> and </w:t>
      </w:r>
      <w:r w:rsidRPr="00471447">
        <w:rPr>
          <w:rFonts w:ascii="Times New Roman" w:eastAsia="Cambria" w:hAnsi="Times New Roman" w:cs="Times New Roman"/>
          <w:kern w:val="22"/>
        </w:rPr>
        <w:t xml:space="preserve">UNU International Institute for Global Health (UNU IIGH), based in Malaysia, </w:t>
      </w:r>
      <w:r w:rsidR="00F078E6" w:rsidRPr="00471447">
        <w:rPr>
          <w:rFonts w:ascii="Times New Roman" w:eastAsia="Cambria" w:hAnsi="Times New Roman" w:cs="Times New Roman"/>
          <w:kern w:val="22"/>
        </w:rPr>
        <w:t xml:space="preserve">which </w:t>
      </w:r>
      <w:r w:rsidRPr="00471447">
        <w:rPr>
          <w:rFonts w:ascii="Times New Roman" w:eastAsia="Cambria" w:hAnsi="Times New Roman" w:cs="Times New Roman"/>
          <w:kern w:val="22"/>
        </w:rPr>
        <w:t>is primarily focused on global health iss</w:t>
      </w:r>
      <w:r w:rsidR="00F078E6" w:rsidRPr="00471447">
        <w:rPr>
          <w:rFonts w:ascii="Times New Roman" w:eastAsia="Cambria" w:hAnsi="Times New Roman" w:cs="Times New Roman"/>
          <w:kern w:val="22"/>
        </w:rPr>
        <w:t>ues with strong biodiversity,</w:t>
      </w:r>
      <w:r w:rsidRPr="00471447">
        <w:rPr>
          <w:rFonts w:ascii="Times New Roman" w:eastAsia="Cambria" w:hAnsi="Times New Roman" w:cs="Times New Roman"/>
          <w:kern w:val="22"/>
        </w:rPr>
        <w:t xml:space="preserve"> health </w:t>
      </w:r>
      <w:r w:rsidR="00F078E6" w:rsidRPr="00471447">
        <w:rPr>
          <w:rFonts w:ascii="Times New Roman" w:eastAsia="Cambria" w:hAnsi="Times New Roman" w:cs="Times New Roman"/>
          <w:kern w:val="22"/>
        </w:rPr>
        <w:t>and</w:t>
      </w:r>
      <w:r w:rsidRPr="00471447">
        <w:rPr>
          <w:rFonts w:ascii="Times New Roman" w:eastAsia="Cambria" w:hAnsi="Times New Roman" w:cs="Times New Roman"/>
          <w:kern w:val="22"/>
        </w:rPr>
        <w:t xml:space="preserve"> climate components. </w:t>
      </w:r>
      <w:r w:rsidR="00F078E6" w:rsidRPr="00471447">
        <w:rPr>
          <w:rFonts w:ascii="Times New Roman" w:eastAsia="Cambria" w:hAnsi="Times New Roman" w:cs="Times New Roman"/>
          <w:kern w:val="22"/>
        </w:rPr>
        <w:t>UNU collaboration</w:t>
      </w:r>
      <w:r w:rsidRPr="00471447">
        <w:rPr>
          <w:rFonts w:ascii="Times New Roman" w:eastAsia="Cambria" w:hAnsi="Times New Roman" w:cs="Times New Roman"/>
          <w:kern w:val="22"/>
        </w:rPr>
        <w:t xml:space="preserve"> in the preparation of the traditional medicine chapter of the State of Knowledge Review and a report on Traditional Knowledge, Biodiversity and Community Health</w:t>
      </w:r>
      <w:r w:rsidR="00F078E6" w:rsidRPr="00471447">
        <w:rPr>
          <w:rFonts w:ascii="Times New Roman" w:eastAsia="Cambria" w:hAnsi="Times New Roman" w:cs="Times New Roman"/>
          <w:kern w:val="22"/>
        </w:rPr>
        <w:t xml:space="preserve"> were noted</w:t>
      </w:r>
      <w:r w:rsidRPr="00471447">
        <w:rPr>
          <w:rFonts w:ascii="Times New Roman" w:eastAsia="Cambria" w:hAnsi="Times New Roman" w:cs="Times New Roman"/>
          <w:kern w:val="22"/>
        </w:rPr>
        <w:t>.</w:t>
      </w:r>
      <w:r w:rsidR="001107C8" w:rsidRPr="00471447">
        <w:rPr>
          <w:rFonts w:ascii="Times New Roman" w:eastAsia="Cambria" w:hAnsi="Times New Roman" w:cs="Times New Roman"/>
          <w:kern w:val="22"/>
        </w:rPr>
        <w:t xml:space="preserve"> </w:t>
      </w:r>
      <w:r w:rsidR="00F078E6" w:rsidRPr="00471447">
        <w:rPr>
          <w:rFonts w:ascii="Times New Roman" w:eastAsia="Cambria" w:hAnsi="Times New Roman" w:cs="Times New Roman"/>
          <w:kern w:val="22"/>
        </w:rPr>
        <w:t xml:space="preserve">Several relevant activities were highlighted including </w:t>
      </w:r>
      <w:r w:rsidR="00B83AF3" w:rsidRPr="00471447">
        <w:rPr>
          <w:rFonts w:ascii="Times New Roman" w:eastAsia="Cambria" w:hAnsi="Times New Roman" w:cs="Times New Roman"/>
          <w:kern w:val="22"/>
        </w:rPr>
        <w:t xml:space="preserve">community-to-community learning exchanges that support South-South cooperation. Some data is also generated in terms of community perceptions of changes in ecosystems and how it is impacting on human health. </w:t>
      </w:r>
      <w:r w:rsidR="00CD2862" w:rsidRPr="00471447">
        <w:rPr>
          <w:rFonts w:ascii="Times New Roman" w:eastAsia="Cambria" w:hAnsi="Times New Roman" w:cs="Times New Roman"/>
          <w:kern w:val="22"/>
        </w:rPr>
        <w:t>Other relevant efforts include one on Health Food Traditions, examining</w:t>
      </w:r>
      <w:r w:rsidR="00B83AF3" w:rsidRPr="00471447">
        <w:rPr>
          <w:rFonts w:ascii="Times New Roman" w:eastAsia="Cambria" w:hAnsi="Times New Roman" w:cs="Times New Roman"/>
          <w:kern w:val="22"/>
        </w:rPr>
        <w:t xml:space="preserve"> noncommunic</w:t>
      </w:r>
      <w:r w:rsidR="00CD2862" w:rsidRPr="00471447">
        <w:rPr>
          <w:rFonts w:ascii="Times New Roman" w:eastAsia="Cambria" w:hAnsi="Times New Roman" w:cs="Times New Roman"/>
          <w:kern w:val="22"/>
        </w:rPr>
        <w:t xml:space="preserve">able diseases in Southeast Asia; a </w:t>
      </w:r>
      <w:r w:rsidR="00B83AF3" w:rsidRPr="00471447">
        <w:rPr>
          <w:rFonts w:ascii="Times New Roman" w:eastAsia="Cambria" w:hAnsi="Times New Roman" w:cs="Times New Roman"/>
          <w:kern w:val="22"/>
        </w:rPr>
        <w:t>medicinal plant conservation program</w:t>
      </w:r>
      <w:r w:rsidR="00A20A93">
        <w:rPr>
          <w:rFonts w:ascii="Times New Roman" w:eastAsia="Cambria" w:hAnsi="Times New Roman" w:cs="Times New Roman"/>
          <w:kern w:val="22"/>
        </w:rPr>
        <w:t>me</w:t>
      </w:r>
      <w:r w:rsidR="00B83AF3" w:rsidRPr="00471447">
        <w:rPr>
          <w:rFonts w:ascii="Times New Roman" w:eastAsia="Cambria" w:hAnsi="Times New Roman" w:cs="Times New Roman"/>
          <w:kern w:val="22"/>
        </w:rPr>
        <w:t xml:space="preserve"> in India through the IUCN speci</w:t>
      </w:r>
      <w:r w:rsidR="00CD2862" w:rsidRPr="00471447">
        <w:rPr>
          <w:rFonts w:ascii="Times New Roman" w:eastAsia="Cambria" w:hAnsi="Times New Roman" w:cs="Times New Roman"/>
          <w:kern w:val="22"/>
        </w:rPr>
        <w:t xml:space="preserve">alist group on medicinal plants, and country programs. </w:t>
      </w:r>
    </w:p>
    <w:p w:rsidR="00AF723C" w:rsidRPr="00471447" w:rsidRDefault="000B0A57"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Potential areas of collaboration with the ILG include</w:t>
      </w:r>
      <w:r w:rsidR="001107C8" w:rsidRPr="00471447">
        <w:rPr>
          <w:rFonts w:ascii="Times New Roman" w:eastAsia="Cambria" w:hAnsi="Times New Roman" w:cs="Times New Roman"/>
          <w:kern w:val="22"/>
        </w:rPr>
        <w:t xml:space="preserve"> </w:t>
      </w:r>
      <w:r w:rsidR="00B83AF3" w:rsidRPr="00471447">
        <w:rPr>
          <w:rFonts w:ascii="Times New Roman" w:eastAsia="Cambria" w:hAnsi="Times New Roman" w:cs="Times New Roman"/>
          <w:kern w:val="22"/>
        </w:rPr>
        <w:t xml:space="preserve">contributing to </w:t>
      </w:r>
      <w:r w:rsidR="00CD2862" w:rsidRPr="00471447">
        <w:rPr>
          <w:rFonts w:ascii="Times New Roman" w:eastAsia="Cambria" w:hAnsi="Times New Roman" w:cs="Times New Roman"/>
          <w:kern w:val="22"/>
        </w:rPr>
        <w:t xml:space="preserve">activities in relation to community health, capacity-building, </w:t>
      </w:r>
      <w:r w:rsidR="00B83AF3" w:rsidRPr="00471447">
        <w:rPr>
          <w:rFonts w:ascii="Times New Roman" w:eastAsia="Cambria" w:hAnsi="Times New Roman" w:cs="Times New Roman"/>
          <w:kern w:val="22"/>
        </w:rPr>
        <w:t xml:space="preserve">core UNU activities </w:t>
      </w:r>
      <w:r w:rsidR="00CD2862" w:rsidRPr="00471447">
        <w:rPr>
          <w:rFonts w:ascii="Times New Roman" w:eastAsia="Cambria" w:hAnsi="Times New Roman" w:cs="Times New Roman"/>
          <w:kern w:val="22"/>
        </w:rPr>
        <w:t>on</w:t>
      </w:r>
      <w:r w:rsidR="001107C8" w:rsidRPr="00471447">
        <w:rPr>
          <w:rFonts w:ascii="Times New Roman" w:eastAsia="Cambria" w:hAnsi="Times New Roman" w:cs="Times New Roman"/>
          <w:kern w:val="22"/>
        </w:rPr>
        <w:t xml:space="preserve"> the scie</w:t>
      </w:r>
      <w:r w:rsidR="00CD2862" w:rsidRPr="00471447">
        <w:rPr>
          <w:rFonts w:ascii="Times New Roman" w:eastAsia="Cambria" w:hAnsi="Times New Roman" w:cs="Times New Roman"/>
          <w:kern w:val="22"/>
        </w:rPr>
        <w:t>nce-policy interface, research</w:t>
      </w:r>
      <w:r w:rsidR="001107C8" w:rsidRPr="00471447">
        <w:rPr>
          <w:rFonts w:ascii="Times New Roman" w:eastAsia="Cambria" w:hAnsi="Times New Roman" w:cs="Times New Roman"/>
          <w:kern w:val="22"/>
        </w:rPr>
        <w:t xml:space="preserve">, upscaling pilot models, and strengthening and expanding partnerships and networks. </w:t>
      </w:r>
      <w:r w:rsidR="00CD2862" w:rsidRPr="00471447">
        <w:rPr>
          <w:rFonts w:ascii="Times New Roman" w:eastAsia="Cambria" w:hAnsi="Times New Roman" w:cs="Times New Roman"/>
          <w:kern w:val="22"/>
        </w:rPr>
        <w:t xml:space="preserve">While much of the focus of UNU is on biodiversity and traditional knowledge, the scope may be expansded through collaboration with the ILG. Other potential areas of collaboration include </w:t>
      </w:r>
      <w:r w:rsidR="001107C8" w:rsidRPr="00471447">
        <w:rPr>
          <w:rFonts w:ascii="Times New Roman" w:eastAsia="Cambria" w:hAnsi="Times New Roman" w:cs="Times New Roman"/>
          <w:kern w:val="22"/>
        </w:rPr>
        <w:t>the Biodiversity and Community Health (BaCH) Initiative</w:t>
      </w:r>
      <w:r w:rsidRPr="00471447">
        <w:rPr>
          <w:rFonts w:ascii="Times New Roman" w:eastAsia="Cambria" w:hAnsi="Times New Roman" w:cs="Times New Roman"/>
          <w:kern w:val="22"/>
        </w:rPr>
        <w:t xml:space="preserve"> (</w:t>
      </w:r>
      <w:hyperlink r:id="rId22" w:history="1">
        <w:r w:rsidRPr="00471447">
          <w:rPr>
            <w:rStyle w:val="Hyperlink"/>
            <w:rFonts w:ascii="Times New Roman" w:eastAsia="Cambria" w:hAnsi="Times New Roman" w:cs="Times New Roman"/>
            <w:kern w:val="22"/>
          </w:rPr>
          <w:t>http://bachin</w:t>
        </w:r>
        <w:r w:rsidRPr="00471447">
          <w:rPr>
            <w:rStyle w:val="Hyperlink"/>
            <w:rFonts w:ascii="Times New Roman" w:eastAsia="Cambria" w:hAnsi="Times New Roman" w:cs="Times New Roman"/>
            <w:kern w:val="22"/>
          </w:rPr>
          <w:t>i</w:t>
        </w:r>
        <w:r w:rsidRPr="00471447">
          <w:rPr>
            <w:rStyle w:val="Hyperlink"/>
            <w:rFonts w:ascii="Times New Roman" w:eastAsia="Cambria" w:hAnsi="Times New Roman" w:cs="Times New Roman"/>
            <w:kern w:val="22"/>
          </w:rPr>
          <w:t>tiative.org/</w:t>
        </w:r>
      </w:hyperlink>
      <w:r w:rsidRPr="00471447">
        <w:rPr>
          <w:rFonts w:ascii="Times New Roman" w:eastAsia="Cambria" w:hAnsi="Times New Roman" w:cs="Times New Roman"/>
          <w:kern w:val="22"/>
        </w:rPr>
        <w:t>)</w:t>
      </w:r>
      <w:r w:rsidR="001107C8" w:rsidRPr="00471447">
        <w:rPr>
          <w:rFonts w:ascii="Times New Roman" w:eastAsia="Cambria" w:hAnsi="Times New Roman" w:cs="Times New Roman"/>
          <w:kern w:val="22"/>
        </w:rPr>
        <w:t xml:space="preserve">, a multi-partner initiative launched at the 11th Conference of the Parties to the CBD </w:t>
      </w:r>
      <w:r w:rsidR="00CD2862" w:rsidRPr="00471447">
        <w:rPr>
          <w:rFonts w:ascii="Times New Roman" w:eastAsia="Cambria" w:hAnsi="Times New Roman" w:cs="Times New Roman"/>
          <w:kern w:val="22"/>
        </w:rPr>
        <w:t>seeking</w:t>
      </w:r>
      <w:r w:rsidR="001107C8" w:rsidRPr="00471447">
        <w:rPr>
          <w:rFonts w:ascii="Times New Roman" w:eastAsia="Cambria" w:hAnsi="Times New Roman" w:cs="Times New Roman"/>
          <w:kern w:val="22"/>
        </w:rPr>
        <w:t xml:space="preserve"> to create synergies among institutions and organizations to address health and well-being at the community level. </w:t>
      </w:r>
      <w:r w:rsidR="00CD2862" w:rsidRPr="00471447">
        <w:rPr>
          <w:rFonts w:ascii="Times New Roman" w:eastAsia="Cambria" w:hAnsi="Times New Roman" w:cs="Times New Roman"/>
          <w:kern w:val="22"/>
        </w:rPr>
        <w:t xml:space="preserve">It was noted that </w:t>
      </w:r>
      <w:r w:rsidRPr="00471447">
        <w:rPr>
          <w:rFonts w:ascii="Times New Roman" w:eastAsia="Cambria" w:hAnsi="Times New Roman" w:cs="Times New Roman"/>
          <w:kern w:val="22"/>
        </w:rPr>
        <w:t xml:space="preserve">BACH could potentially be a very useful platform for exchange </w:t>
      </w:r>
      <w:r w:rsidR="00B83AF3" w:rsidRPr="00471447">
        <w:rPr>
          <w:rFonts w:ascii="Times New Roman" w:eastAsia="Cambria" w:hAnsi="Times New Roman" w:cs="Times New Roman"/>
          <w:kern w:val="22"/>
        </w:rPr>
        <w:t xml:space="preserve">and collaboration with the ILG </w:t>
      </w:r>
      <w:r w:rsidRPr="00471447">
        <w:rPr>
          <w:rFonts w:ascii="Times New Roman" w:eastAsia="Cambria" w:hAnsi="Times New Roman" w:cs="Times New Roman"/>
          <w:kern w:val="22"/>
        </w:rPr>
        <w:t xml:space="preserve">particularly </w:t>
      </w:r>
      <w:r w:rsidR="00B83AF3" w:rsidRPr="00471447">
        <w:rPr>
          <w:rFonts w:ascii="Times New Roman" w:eastAsia="Cambria" w:hAnsi="Times New Roman" w:cs="Times New Roman"/>
          <w:kern w:val="22"/>
        </w:rPr>
        <w:t xml:space="preserve">to support implementation </w:t>
      </w:r>
      <w:r w:rsidRPr="00471447">
        <w:rPr>
          <w:rFonts w:ascii="Times New Roman" w:eastAsia="Cambria" w:hAnsi="Times New Roman" w:cs="Times New Roman"/>
          <w:kern w:val="22"/>
        </w:rPr>
        <w:t>at the local level where implementation generally occurs.</w:t>
      </w:r>
      <w:r w:rsidR="00CD2862" w:rsidRPr="00471447">
        <w:rPr>
          <w:rFonts w:ascii="Times New Roman" w:eastAsia="Cambria" w:hAnsi="Times New Roman" w:cs="Times New Roman"/>
          <w:kern w:val="22"/>
        </w:rPr>
        <w:t xml:space="preserve"> Other</w:t>
      </w:r>
      <w:r w:rsidR="00AF723C" w:rsidRPr="00471447">
        <w:rPr>
          <w:rFonts w:ascii="Times New Roman" w:eastAsia="Cambria" w:hAnsi="Times New Roman" w:cs="Times New Roman"/>
          <w:kern w:val="22"/>
        </w:rPr>
        <w:t xml:space="preserve"> </w:t>
      </w:r>
      <w:r w:rsidR="00CD2862" w:rsidRPr="00471447">
        <w:rPr>
          <w:rFonts w:ascii="Times New Roman" w:eastAsia="Cambria" w:hAnsi="Times New Roman" w:cs="Times New Roman"/>
          <w:kern w:val="22"/>
        </w:rPr>
        <w:t xml:space="preserve">potential </w:t>
      </w:r>
      <w:r w:rsidR="00AF723C" w:rsidRPr="00471447">
        <w:rPr>
          <w:rFonts w:ascii="Times New Roman" w:eastAsia="Cambria" w:hAnsi="Times New Roman" w:cs="Times New Roman"/>
          <w:kern w:val="22"/>
        </w:rPr>
        <w:t xml:space="preserve">networks of interest </w:t>
      </w:r>
      <w:r w:rsidR="00CD2862" w:rsidRPr="00471447">
        <w:rPr>
          <w:rFonts w:ascii="Times New Roman" w:eastAsia="Cambria" w:hAnsi="Times New Roman" w:cs="Times New Roman"/>
          <w:kern w:val="22"/>
        </w:rPr>
        <w:t>for</w:t>
      </w:r>
      <w:r w:rsidR="00AF723C" w:rsidRPr="00471447">
        <w:rPr>
          <w:rFonts w:ascii="Times New Roman" w:eastAsia="Cambria" w:hAnsi="Times New Roman" w:cs="Times New Roman"/>
          <w:kern w:val="22"/>
        </w:rPr>
        <w:t xml:space="preserve"> the ILG include, regional centres of expertise (RCE) network which support the Education Decade for Sustainable Development; a higher education project in the Asia-Pacific region known as ProSPERnet (</w:t>
      </w:r>
      <w:hyperlink r:id="rId23" w:history="1">
        <w:r w:rsidR="00AF723C" w:rsidRPr="00471447">
          <w:rPr>
            <w:rStyle w:val="Hyperlink"/>
            <w:rFonts w:ascii="Times New Roman" w:eastAsia="Cambria" w:hAnsi="Times New Roman" w:cs="Times New Roman"/>
            <w:kern w:val="22"/>
          </w:rPr>
          <w:t>http://prosp</w:t>
        </w:r>
        <w:r w:rsidR="00AF723C" w:rsidRPr="00471447">
          <w:rPr>
            <w:rStyle w:val="Hyperlink"/>
            <w:rFonts w:ascii="Times New Roman" w:eastAsia="Cambria" w:hAnsi="Times New Roman" w:cs="Times New Roman"/>
            <w:kern w:val="22"/>
          </w:rPr>
          <w:t>e</w:t>
        </w:r>
        <w:r w:rsidR="00AF723C" w:rsidRPr="00471447">
          <w:rPr>
            <w:rStyle w:val="Hyperlink"/>
            <w:rFonts w:ascii="Times New Roman" w:eastAsia="Cambria" w:hAnsi="Times New Roman" w:cs="Times New Roman"/>
            <w:kern w:val="22"/>
          </w:rPr>
          <w:t>rnet.ias.unu.edu</w:t>
        </w:r>
      </w:hyperlink>
      <w:r w:rsidR="00AF723C" w:rsidRPr="00471447">
        <w:rPr>
          <w:rFonts w:ascii="Times New Roman" w:eastAsia="Cambria" w:hAnsi="Times New Roman" w:cs="Times New Roman"/>
          <w:kern w:val="22"/>
        </w:rPr>
        <w:t xml:space="preserve">); the </w:t>
      </w:r>
      <w:r w:rsidR="00E72E91" w:rsidRPr="00471447">
        <w:rPr>
          <w:rFonts w:ascii="Times New Roman" w:eastAsia="Cambria" w:hAnsi="Times New Roman" w:cs="Times New Roman"/>
          <w:kern w:val="22"/>
        </w:rPr>
        <w:t xml:space="preserve">International partnership for the </w:t>
      </w:r>
      <w:r w:rsidR="00AF723C" w:rsidRPr="00471447">
        <w:rPr>
          <w:rFonts w:ascii="Times New Roman" w:eastAsia="Cambria" w:hAnsi="Times New Roman" w:cs="Times New Roman"/>
          <w:kern w:val="22"/>
        </w:rPr>
        <w:t xml:space="preserve">Satoyama Initiative </w:t>
      </w:r>
      <w:r w:rsidR="00E72E91" w:rsidRPr="00471447">
        <w:rPr>
          <w:rFonts w:ascii="Times New Roman" w:eastAsia="Cambria" w:hAnsi="Times New Roman" w:cs="Times New Roman"/>
          <w:kern w:val="22"/>
        </w:rPr>
        <w:t>(</w:t>
      </w:r>
      <w:hyperlink r:id="rId24" w:history="1">
        <w:r w:rsidR="00E72E91" w:rsidRPr="00471447">
          <w:rPr>
            <w:rStyle w:val="Hyperlink"/>
            <w:rFonts w:ascii="Times New Roman" w:eastAsia="Cambria" w:hAnsi="Times New Roman" w:cs="Times New Roman"/>
            <w:kern w:val="22"/>
          </w:rPr>
          <w:t>http://satoyama-initiative.org</w:t>
        </w:r>
      </w:hyperlink>
      <w:r w:rsidR="00E72E91" w:rsidRPr="00471447">
        <w:rPr>
          <w:rFonts w:ascii="Times New Roman" w:eastAsia="Cambria" w:hAnsi="Times New Roman" w:cs="Times New Roman"/>
          <w:kern w:val="22"/>
        </w:rPr>
        <w:t xml:space="preserve">) </w:t>
      </w:r>
      <w:r w:rsidR="00AF723C" w:rsidRPr="00471447">
        <w:rPr>
          <w:rFonts w:ascii="Times New Roman" w:eastAsia="Cambria" w:hAnsi="Times New Roman" w:cs="Times New Roman"/>
          <w:kern w:val="22"/>
        </w:rPr>
        <w:t xml:space="preserve">on eco-cultural production landscapes at the community level and also addresses indicators and community resilience; the Natural Livestock Farming Network </w:t>
      </w:r>
      <w:r w:rsidR="00E72E91" w:rsidRPr="00471447">
        <w:rPr>
          <w:rFonts w:ascii="Times New Roman" w:eastAsia="Cambria" w:hAnsi="Times New Roman" w:cs="Times New Roman"/>
          <w:kern w:val="22"/>
        </w:rPr>
        <w:t>(</w:t>
      </w:r>
      <w:hyperlink r:id="rId25" w:history="1">
        <w:r w:rsidR="00E72E91" w:rsidRPr="00471447">
          <w:rPr>
            <w:rStyle w:val="Hyperlink"/>
            <w:rFonts w:ascii="Times New Roman" w:eastAsia="Cambria" w:hAnsi="Times New Roman" w:cs="Times New Roman"/>
            <w:kern w:val="22"/>
          </w:rPr>
          <w:t>http://www.naturallivestockfarming.com/initiatives/)</w:t>
        </w:r>
      </w:hyperlink>
      <w:r w:rsidR="00E72E91" w:rsidRPr="00471447">
        <w:rPr>
          <w:rFonts w:ascii="Times New Roman" w:eastAsia="Cambria" w:hAnsi="Times New Roman" w:cs="Times New Roman"/>
          <w:kern w:val="22"/>
        </w:rPr>
        <w:t xml:space="preserve"> </w:t>
      </w:r>
      <w:r w:rsidR="00AF723C" w:rsidRPr="00471447">
        <w:rPr>
          <w:rFonts w:ascii="Times New Roman" w:eastAsia="Cambria" w:hAnsi="Times New Roman" w:cs="Times New Roman"/>
          <w:kern w:val="22"/>
        </w:rPr>
        <w:t xml:space="preserve">which </w:t>
      </w:r>
      <w:r w:rsidR="00E72E91" w:rsidRPr="00471447">
        <w:rPr>
          <w:rFonts w:ascii="Times New Roman" w:eastAsia="Cambria" w:hAnsi="Times New Roman" w:cs="Times New Roman"/>
          <w:kern w:val="22"/>
        </w:rPr>
        <w:t>includes</w:t>
      </w:r>
      <w:r w:rsidR="00AF723C" w:rsidRPr="00471447">
        <w:rPr>
          <w:rFonts w:ascii="Times New Roman" w:eastAsia="Cambria" w:hAnsi="Times New Roman" w:cs="Times New Roman"/>
          <w:kern w:val="22"/>
        </w:rPr>
        <w:t xml:space="preserve"> an innovative project (a</w:t>
      </w:r>
      <w:r w:rsidR="00E72E91" w:rsidRPr="00471447">
        <w:rPr>
          <w:rFonts w:ascii="Times New Roman" w:eastAsia="Cambria" w:hAnsi="Times New Roman" w:cs="Times New Roman"/>
          <w:kern w:val="22"/>
        </w:rPr>
        <w:t>ligned with One Health</w:t>
      </w:r>
      <w:r w:rsidR="00AF723C" w:rsidRPr="00471447">
        <w:rPr>
          <w:rFonts w:ascii="Times New Roman" w:eastAsia="Cambria" w:hAnsi="Times New Roman" w:cs="Times New Roman"/>
          <w:kern w:val="22"/>
        </w:rPr>
        <w:t>) to reduce antibiotic resistance in livestock farming with a strong focus on eco-socially sensitive farming with attention to local breeds, use of ethno-veterinary practices, biodiversity and ecosystem management, and sustainable value-chains.</w:t>
      </w:r>
    </w:p>
    <w:p w:rsidR="006D311A" w:rsidRPr="00471447" w:rsidRDefault="00C04B54"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It was suggested by participants that it could be worth examining opportunities for the ILG to combine forces with other networks, such as BaCH, to better identify specific science needs, and potential methodologies necessary for integration of data, to help meet concrete policy goals at the intersection of biodiversity and health.</w:t>
      </w:r>
      <w:r w:rsidR="00E72E91" w:rsidRPr="00471447">
        <w:rPr>
          <w:rFonts w:ascii="Times New Roman" w:eastAsia="Cambria" w:hAnsi="Times New Roman" w:cs="Times New Roman"/>
          <w:kern w:val="22"/>
        </w:rPr>
        <w:t xml:space="preserve"> </w:t>
      </w:r>
      <w:r w:rsidR="00600457" w:rsidRPr="00471447">
        <w:rPr>
          <w:rFonts w:ascii="Times New Roman" w:eastAsia="Cambria" w:hAnsi="Times New Roman" w:cs="Times New Roman"/>
          <w:kern w:val="22"/>
        </w:rPr>
        <w:t xml:space="preserve">It was </w:t>
      </w:r>
      <w:r w:rsidR="00CD2862" w:rsidRPr="00471447">
        <w:rPr>
          <w:rFonts w:ascii="Times New Roman" w:eastAsia="Cambria" w:hAnsi="Times New Roman" w:cs="Times New Roman"/>
          <w:kern w:val="22"/>
        </w:rPr>
        <w:t xml:space="preserve">also </w:t>
      </w:r>
      <w:r w:rsidR="00600457" w:rsidRPr="00471447">
        <w:rPr>
          <w:rFonts w:ascii="Times New Roman" w:eastAsia="Cambria" w:hAnsi="Times New Roman" w:cs="Times New Roman"/>
          <w:kern w:val="22"/>
        </w:rPr>
        <w:t>noted by some participants that food cultures provided an important link with sustainable and resilient diets in the context of global environmental change. Appealing to food cultures and sustaining a sense of pride in them can be an effective measure to support health and biodiversity outcomes. Strengthening awareness, education and communication in this area could constitute one potential area of future focus and collaboration in the context of the ILG.</w:t>
      </w:r>
    </w:p>
    <w:p w:rsidR="006D311A" w:rsidRPr="00471447" w:rsidRDefault="006D311A" w:rsidP="00471447">
      <w:pPr>
        <w:pStyle w:val="HEADINGNOTFORTOC"/>
        <w:spacing w:before="120" w:after="120"/>
        <w:rPr>
          <w:kern w:val="22"/>
          <w:szCs w:val="22"/>
        </w:rPr>
      </w:pPr>
      <w:r w:rsidRPr="00471447">
        <w:rPr>
          <w:kern w:val="22"/>
          <w:szCs w:val="22"/>
        </w:rPr>
        <w:t xml:space="preserve">ITEM 6: </w:t>
      </w:r>
      <w:r w:rsidR="007663CF" w:rsidRPr="00471447">
        <w:rPr>
          <w:kern w:val="22"/>
          <w:szCs w:val="22"/>
        </w:rPr>
        <w:t>BRAINSTORMING: DRAFT GUIDANCE FOR THE INTEGRATION OF BIODIVERSITY AND ECOSYSTEM MANAGEMENT IN “ONE HEALTH”</w:t>
      </w:r>
    </w:p>
    <w:p w:rsidR="006D311A" w:rsidRPr="00471447" w:rsidRDefault="004806DB" w:rsidP="00471447">
      <w:pPr>
        <w:pStyle w:val="ListParagraph"/>
        <w:numPr>
          <w:ilvl w:val="0"/>
          <w:numId w:val="3"/>
        </w:numPr>
        <w:spacing w:before="120" w:after="120"/>
        <w:ind w:left="0" w:firstLine="0"/>
        <w:jc w:val="both"/>
        <w:rPr>
          <w:rFonts w:ascii="Times New Roman" w:eastAsia="Cambria" w:hAnsi="Times New Roman" w:cs="Times New Roman"/>
          <w:kern w:val="22"/>
        </w:rPr>
      </w:pPr>
      <w:r>
        <w:rPr>
          <w:rFonts w:ascii="Times New Roman" w:eastAsia="Cambria" w:hAnsi="Times New Roman" w:cs="Times New Roman"/>
          <w:kern w:val="22"/>
        </w:rPr>
        <w:t>The c</w:t>
      </w:r>
      <w:r w:rsidR="007663CF" w:rsidRPr="00471447">
        <w:rPr>
          <w:rFonts w:ascii="Times New Roman" w:eastAsia="Cambria" w:hAnsi="Times New Roman" w:cs="Times New Roman"/>
          <w:kern w:val="22"/>
        </w:rPr>
        <w:t xml:space="preserve">o-chairs invited participants to share their initial views on how to better integrate biodiversity and ecosystem management in One Health and related integrated approaches to health and environment such as EcoHealth and Planetary Health with a view to preparing a guidance for Parties in compliance with CBD COP decision XIII/6.  </w:t>
      </w:r>
      <w:r w:rsidR="006D311A" w:rsidRPr="00471447">
        <w:rPr>
          <w:rFonts w:ascii="Times New Roman" w:eastAsia="Cambria" w:hAnsi="Times New Roman" w:cs="Times New Roman"/>
          <w:kern w:val="22"/>
        </w:rPr>
        <w:t>Mr. Cooper</w:t>
      </w:r>
      <w:r w:rsidR="007663CF" w:rsidRPr="00471447">
        <w:rPr>
          <w:rFonts w:ascii="Times New Roman" w:eastAsia="Cambria" w:hAnsi="Times New Roman" w:cs="Times New Roman"/>
          <w:kern w:val="22"/>
        </w:rPr>
        <w:t xml:space="preserve"> (CBD) reiterated the</w:t>
      </w:r>
      <w:r w:rsidR="006D311A" w:rsidRPr="00471447">
        <w:rPr>
          <w:rFonts w:ascii="Times New Roman" w:eastAsia="Cambria" w:hAnsi="Times New Roman" w:cs="Times New Roman"/>
          <w:kern w:val="22"/>
        </w:rPr>
        <w:t xml:space="preserve"> </w:t>
      </w:r>
      <w:r w:rsidR="007663CF" w:rsidRPr="00471447">
        <w:rPr>
          <w:rFonts w:ascii="Times New Roman" w:eastAsia="Cambria" w:hAnsi="Times New Roman" w:cs="Times New Roman"/>
          <w:kern w:val="22"/>
        </w:rPr>
        <w:t>s</w:t>
      </w:r>
      <w:r w:rsidR="006D311A" w:rsidRPr="00471447">
        <w:rPr>
          <w:rFonts w:ascii="Times New Roman" w:eastAsia="Cambria" w:hAnsi="Times New Roman" w:cs="Times New Roman"/>
          <w:kern w:val="22"/>
        </w:rPr>
        <w:t xml:space="preserve">pecific mandate </w:t>
      </w:r>
      <w:r w:rsidR="007663CF" w:rsidRPr="00471447">
        <w:rPr>
          <w:rFonts w:ascii="Times New Roman" w:eastAsia="Cambria" w:hAnsi="Times New Roman" w:cs="Times New Roman"/>
          <w:kern w:val="22"/>
        </w:rPr>
        <w:t>received by the CBD Secretariat</w:t>
      </w:r>
      <w:r w:rsidR="006D311A" w:rsidRPr="00471447">
        <w:rPr>
          <w:rFonts w:ascii="Times New Roman" w:eastAsia="Cambria" w:hAnsi="Times New Roman" w:cs="Times New Roman"/>
          <w:kern w:val="22"/>
        </w:rPr>
        <w:t xml:space="preserve"> set out in </w:t>
      </w:r>
      <w:r w:rsidR="007663CF" w:rsidRPr="00471447">
        <w:rPr>
          <w:rFonts w:ascii="Times New Roman" w:eastAsia="Cambria" w:hAnsi="Times New Roman" w:cs="Times New Roman"/>
          <w:kern w:val="22"/>
        </w:rPr>
        <w:t>sub-</w:t>
      </w:r>
      <w:r w:rsidR="006D311A" w:rsidRPr="00471447">
        <w:rPr>
          <w:rFonts w:ascii="Times New Roman" w:eastAsia="Cambria" w:hAnsi="Times New Roman" w:cs="Times New Roman"/>
          <w:kern w:val="22"/>
        </w:rPr>
        <w:t>para</w:t>
      </w:r>
      <w:r w:rsidR="007663CF" w:rsidRPr="00471447">
        <w:rPr>
          <w:rFonts w:ascii="Times New Roman" w:eastAsia="Cambria" w:hAnsi="Times New Roman" w:cs="Times New Roman"/>
          <w:kern w:val="22"/>
        </w:rPr>
        <w:t>graph</w:t>
      </w:r>
      <w:r w:rsidR="006D311A" w:rsidRPr="00471447">
        <w:rPr>
          <w:rFonts w:ascii="Times New Roman" w:eastAsia="Cambria" w:hAnsi="Times New Roman" w:cs="Times New Roman"/>
          <w:kern w:val="22"/>
        </w:rPr>
        <w:t xml:space="preserve"> 10c </w:t>
      </w:r>
      <w:r w:rsidR="007663CF" w:rsidRPr="00471447">
        <w:rPr>
          <w:rFonts w:ascii="Times New Roman" w:eastAsia="Cambria" w:hAnsi="Times New Roman" w:cs="Times New Roman"/>
          <w:kern w:val="22"/>
        </w:rPr>
        <w:t xml:space="preserve">of decision XIII/6, noting that the One Health guidance </w:t>
      </w:r>
      <w:r w:rsidR="00421DD3" w:rsidRPr="00471447">
        <w:rPr>
          <w:rFonts w:ascii="Times New Roman" w:eastAsia="Cambria" w:hAnsi="Times New Roman" w:cs="Times New Roman"/>
          <w:kern w:val="22"/>
        </w:rPr>
        <w:t>must</w:t>
      </w:r>
      <w:r w:rsidR="007663CF" w:rsidRPr="00471447">
        <w:rPr>
          <w:rFonts w:ascii="Times New Roman" w:eastAsia="Cambria" w:hAnsi="Times New Roman" w:cs="Times New Roman"/>
          <w:kern w:val="22"/>
        </w:rPr>
        <w:t xml:space="preserve"> also be examined in the</w:t>
      </w:r>
      <w:r w:rsidR="006D311A" w:rsidRPr="00471447">
        <w:rPr>
          <w:rFonts w:ascii="Times New Roman" w:eastAsia="Cambria" w:hAnsi="Times New Roman" w:cs="Times New Roman"/>
          <w:kern w:val="22"/>
        </w:rPr>
        <w:t xml:space="preserve"> context of </w:t>
      </w:r>
      <w:r w:rsidR="007663CF" w:rsidRPr="00471447">
        <w:rPr>
          <w:rFonts w:ascii="Times New Roman" w:eastAsia="Cambria" w:hAnsi="Times New Roman" w:cs="Times New Roman"/>
          <w:kern w:val="22"/>
        </w:rPr>
        <w:t xml:space="preserve">sub-paragraph </w:t>
      </w:r>
      <w:r w:rsidR="006D311A" w:rsidRPr="00471447">
        <w:rPr>
          <w:rFonts w:ascii="Times New Roman" w:eastAsia="Cambria" w:hAnsi="Times New Roman" w:cs="Times New Roman"/>
          <w:kern w:val="22"/>
        </w:rPr>
        <w:t>10a</w:t>
      </w:r>
      <w:r w:rsidR="007663CF" w:rsidRPr="00471447">
        <w:rPr>
          <w:rFonts w:ascii="Times New Roman" w:eastAsia="Cambria" w:hAnsi="Times New Roman" w:cs="Times New Roman"/>
          <w:kern w:val="22"/>
        </w:rPr>
        <w:t xml:space="preserve"> and seek</w:t>
      </w:r>
      <w:r w:rsidR="006D311A" w:rsidRPr="00471447">
        <w:rPr>
          <w:rFonts w:ascii="Times New Roman" w:eastAsia="Cambria" w:hAnsi="Times New Roman" w:cs="Times New Roman"/>
          <w:kern w:val="22"/>
        </w:rPr>
        <w:t xml:space="preserve"> to </w:t>
      </w:r>
      <w:r w:rsidR="007663CF" w:rsidRPr="00471447">
        <w:rPr>
          <w:rFonts w:ascii="Times New Roman" w:eastAsia="Cambria" w:hAnsi="Times New Roman" w:cs="Times New Roman"/>
          <w:kern w:val="22"/>
        </w:rPr>
        <w:t>support the</w:t>
      </w:r>
      <w:r w:rsidR="006D311A" w:rsidRPr="00471447">
        <w:rPr>
          <w:rFonts w:ascii="Times New Roman" w:eastAsia="Cambria" w:hAnsi="Times New Roman" w:cs="Times New Roman"/>
          <w:kern w:val="22"/>
        </w:rPr>
        <w:t xml:space="preserve"> implementation of </w:t>
      </w:r>
      <w:r w:rsidR="007663CF" w:rsidRPr="00471447">
        <w:rPr>
          <w:rFonts w:ascii="Times New Roman" w:eastAsia="Cambria" w:hAnsi="Times New Roman" w:cs="Times New Roman"/>
          <w:kern w:val="22"/>
        </w:rPr>
        <w:t>the</w:t>
      </w:r>
      <w:r w:rsidR="006D311A" w:rsidRPr="00471447">
        <w:rPr>
          <w:rFonts w:ascii="Times New Roman" w:eastAsia="Cambria" w:hAnsi="Times New Roman" w:cs="Times New Roman"/>
          <w:kern w:val="22"/>
        </w:rPr>
        <w:t xml:space="preserve"> decision links </w:t>
      </w:r>
      <w:r w:rsidR="007663CF" w:rsidRPr="00471447">
        <w:rPr>
          <w:rFonts w:ascii="Times New Roman" w:eastAsia="Cambria" w:hAnsi="Times New Roman" w:cs="Times New Roman"/>
          <w:kern w:val="22"/>
        </w:rPr>
        <w:t>as a whole including as outlined in the annex to the decision.</w:t>
      </w:r>
      <w:r w:rsidR="00065FAB" w:rsidRPr="00471447">
        <w:rPr>
          <w:rFonts w:ascii="Times New Roman" w:eastAsia="Cambria" w:hAnsi="Times New Roman" w:cs="Times New Roman"/>
          <w:kern w:val="22"/>
        </w:rPr>
        <w:t xml:space="preserve"> He noted that o</w:t>
      </w:r>
      <w:r w:rsidR="007663CF" w:rsidRPr="00471447">
        <w:rPr>
          <w:rFonts w:ascii="Times New Roman" w:eastAsia="Cambria" w:hAnsi="Times New Roman" w:cs="Times New Roman"/>
          <w:kern w:val="22"/>
        </w:rPr>
        <w:t xml:space="preserve">ngoing discussion should focus on </w:t>
      </w:r>
      <w:r w:rsidR="006D311A" w:rsidRPr="00471447">
        <w:rPr>
          <w:rFonts w:ascii="Times New Roman" w:eastAsia="Cambria" w:hAnsi="Times New Roman" w:cs="Times New Roman"/>
          <w:kern w:val="22"/>
        </w:rPr>
        <w:t>more systematic consideration</w:t>
      </w:r>
      <w:r w:rsidR="007663CF" w:rsidRPr="00471447">
        <w:rPr>
          <w:rFonts w:ascii="Times New Roman" w:eastAsia="Cambria" w:hAnsi="Times New Roman" w:cs="Times New Roman"/>
          <w:kern w:val="22"/>
        </w:rPr>
        <w:t>s</w:t>
      </w:r>
      <w:r w:rsidR="006D311A" w:rsidRPr="00471447">
        <w:rPr>
          <w:rFonts w:ascii="Times New Roman" w:eastAsia="Cambria" w:hAnsi="Times New Roman" w:cs="Times New Roman"/>
          <w:kern w:val="22"/>
        </w:rPr>
        <w:t xml:space="preserve"> of th</w:t>
      </w:r>
      <w:r w:rsidR="007663CF" w:rsidRPr="00471447">
        <w:rPr>
          <w:rFonts w:ascii="Times New Roman" w:eastAsia="Cambria" w:hAnsi="Times New Roman" w:cs="Times New Roman"/>
          <w:kern w:val="22"/>
        </w:rPr>
        <w:t>e</w:t>
      </w:r>
      <w:r w:rsidR="006D311A" w:rsidRPr="00471447">
        <w:rPr>
          <w:rFonts w:ascii="Times New Roman" w:eastAsia="Cambria" w:hAnsi="Times New Roman" w:cs="Times New Roman"/>
          <w:kern w:val="22"/>
        </w:rPr>
        <w:t xml:space="preserve"> links </w:t>
      </w:r>
      <w:r w:rsidR="007663CF" w:rsidRPr="00471447">
        <w:rPr>
          <w:rFonts w:ascii="Times New Roman" w:eastAsia="Cambria" w:hAnsi="Times New Roman" w:cs="Times New Roman"/>
          <w:kern w:val="22"/>
        </w:rPr>
        <w:t xml:space="preserve">biodiversity and ecosystem management is applied in One Health and other integrated approaches. </w:t>
      </w:r>
    </w:p>
    <w:p w:rsidR="006D311A" w:rsidRPr="00471447" w:rsidRDefault="007663C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noted that, among the three approaches, </w:t>
      </w:r>
      <w:r w:rsidR="006D311A" w:rsidRPr="00471447">
        <w:rPr>
          <w:rFonts w:ascii="Times New Roman" w:eastAsia="Cambria" w:hAnsi="Times New Roman" w:cs="Times New Roman"/>
          <w:kern w:val="22"/>
        </w:rPr>
        <w:t xml:space="preserve">EcoHealth </w:t>
      </w:r>
      <w:r w:rsidRPr="00471447">
        <w:rPr>
          <w:rFonts w:ascii="Times New Roman" w:eastAsia="Cambria" w:hAnsi="Times New Roman" w:cs="Times New Roman"/>
          <w:kern w:val="22"/>
        </w:rPr>
        <w:t xml:space="preserve">has traditionally been </w:t>
      </w:r>
      <w:r w:rsidR="006D311A" w:rsidRPr="00471447">
        <w:rPr>
          <w:rFonts w:ascii="Times New Roman" w:eastAsia="Cambria" w:hAnsi="Times New Roman" w:cs="Times New Roman"/>
          <w:kern w:val="22"/>
        </w:rPr>
        <w:t xml:space="preserve">more reflective of ecosystem interactions in practice </w:t>
      </w:r>
      <w:r w:rsidR="00442A9A" w:rsidRPr="00471447">
        <w:rPr>
          <w:rFonts w:ascii="Times New Roman" w:eastAsia="Cambria" w:hAnsi="Times New Roman" w:cs="Times New Roman"/>
          <w:kern w:val="22"/>
        </w:rPr>
        <w:t xml:space="preserve">as it constitutes the ecosystem approach to health. It was agreed that it could be most useful however to focus explicitly </w:t>
      </w:r>
      <w:r w:rsidR="00065FAB" w:rsidRPr="00471447">
        <w:rPr>
          <w:rFonts w:ascii="Times New Roman" w:eastAsia="Cambria" w:hAnsi="Times New Roman" w:cs="Times New Roman"/>
          <w:kern w:val="22"/>
        </w:rPr>
        <w:t xml:space="preserve">on </w:t>
      </w:r>
      <w:r w:rsidR="00442A9A" w:rsidRPr="00471447">
        <w:rPr>
          <w:rFonts w:ascii="Times New Roman" w:eastAsia="Cambria" w:hAnsi="Times New Roman" w:cs="Times New Roman"/>
          <w:kern w:val="22"/>
        </w:rPr>
        <w:t>how biodiversity and ecosystem management could be better integrated across holistic approaches rather than centering on</w:t>
      </w:r>
      <w:r w:rsidR="006D311A" w:rsidRPr="00471447">
        <w:rPr>
          <w:rFonts w:ascii="Times New Roman" w:eastAsia="Cambria" w:hAnsi="Times New Roman" w:cs="Times New Roman"/>
          <w:kern w:val="22"/>
        </w:rPr>
        <w:t xml:space="preserve"> definitional debates </w:t>
      </w:r>
      <w:r w:rsidR="00442A9A" w:rsidRPr="00471447">
        <w:rPr>
          <w:rFonts w:ascii="Times New Roman" w:eastAsia="Cambria" w:hAnsi="Times New Roman" w:cs="Times New Roman"/>
          <w:kern w:val="22"/>
        </w:rPr>
        <w:t xml:space="preserve">which would ultimately be </w:t>
      </w:r>
      <w:r w:rsidR="006D311A" w:rsidRPr="00471447">
        <w:rPr>
          <w:rFonts w:ascii="Times New Roman" w:eastAsia="Cambria" w:hAnsi="Times New Roman" w:cs="Times New Roman"/>
          <w:kern w:val="22"/>
        </w:rPr>
        <w:t>divisive for different communities</w:t>
      </w:r>
      <w:r w:rsidR="00442A9A" w:rsidRPr="00471447">
        <w:rPr>
          <w:rFonts w:ascii="Times New Roman" w:eastAsia="Cambria" w:hAnsi="Times New Roman" w:cs="Times New Roman"/>
          <w:kern w:val="22"/>
        </w:rPr>
        <w:t xml:space="preserve">. </w:t>
      </w:r>
      <w:r w:rsidR="00065FAB" w:rsidRPr="00471447">
        <w:rPr>
          <w:rFonts w:ascii="Times New Roman" w:eastAsia="Cambria" w:hAnsi="Times New Roman" w:cs="Times New Roman"/>
          <w:kern w:val="22"/>
        </w:rPr>
        <w:t>A</w:t>
      </w:r>
      <w:r w:rsidR="00442A9A" w:rsidRPr="00471447">
        <w:rPr>
          <w:rFonts w:ascii="Times New Roman" w:eastAsia="Cambria" w:hAnsi="Times New Roman" w:cs="Times New Roman"/>
          <w:kern w:val="22"/>
        </w:rPr>
        <w:t xml:space="preserve"> central</w:t>
      </w:r>
      <w:r w:rsidR="006D311A" w:rsidRPr="00471447">
        <w:rPr>
          <w:rFonts w:ascii="Times New Roman" w:eastAsia="Cambria" w:hAnsi="Times New Roman" w:cs="Times New Roman"/>
          <w:kern w:val="22"/>
        </w:rPr>
        <w:t xml:space="preserve"> question </w:t>
      </w:r>
      <w:r w:rsidR="00065FAB" w:rsidRPr="00471447">
        <w:rPr>
          <w:rFonts w:ascii="Times New Roman" w:eastAsia="Cambria" w:hAnsi="Times New Roman" w:cs="Times New Roman"/>
          <w:kern w:val="22"/>
        </w:rPr>
        <w:t xml:space="preserve">is how </w:t>
      </w:r>
      <w:r w:rsidR="00442A9A" w:rsidRPr="00471447">
        <w:rPr>
          <w:rFonts w:ascii="Times New Roman" w:eastAsia="Cambria" w:hAnsi="Times New Roman" w:cs="Times New Roman"/>
          <w:kern w:val="22"/>
        </w:rPr>
        <w:t>to</w:t>
      </w:r>
      <w:r w:rsidR="006D311A" w:rsidRPr="00471447">
        <w:rPr>
          <w:rFonts w:ascii="Times New Roman" w:eastAsia="Cambria" w:hAnsi="Times New Roman" w:cs="Times New Roman"/>
          <w:kern w:val="22"/>
        </w:rPr>
        <w:t xml:space="preserve"> ensure that that biodiversity and ecosystem managemen</w:t>
      </w:r>
      <w:r w:rsidR="00442A9A" w:rsidRPr="00471447">
        <w:rPr>
          <w:rFonts w:ascii="Times New Roman" w:eastAsia="Cambria" w:hAnsi="Times New Roman" w:cs="Times New Roman"/>
          <w:kern w:val="22"/>
        </w:rPr>
        <w:t>t are</w:t>
      </w:r>
      <w:r w:rsidR="006D311A" w:rsidRPr="00471447">
        <w:rPr>
          <w:rFonts w:ascii="Times New Roman" w:eastAsia="Cambria" w:hAnsi="Times New Roman" w:cs="Times New Roman"/>
          <w:kern w:val="22"/>
        </w:rPr>
        <w:t xml:space="preserve"> adequately reflected </w:t>
      </w:r>
      <w:r w:rsidR="00442A9A" w:rsidRPr="00471447">
        <w:rPr>
          <w:rFonts w:ascii="Times New Roman" w:eastAsia="Cambria" w:hAnsi="Times New Roman" w:cs="Times New Roman"/>
          <w:kern w:val="22"/>
        </w:rPr>
        <w:t>in a more balanced manner</w:t>
      </w:r>
      <w:r w:rsidR="00065FAB" w:rsidRPr="00471447">
        <w:rPr>
          <w:rFonts w:ascii="Times New Roman" w:eastAsia="Cambria" w:hAnsi="Times New Roman" w:cs="Times New Roman"/>
          <w:kern w:val="22"/>
        </w:rPr>
        <w:t xml:space="preserve"> across these approaches rather than in each. Participants were invited</w:t>
      </w:r>
      <w:r w:rsidR="00442A9A" w:rsidRPr="00471447">
        <w:rPr>
          <w:rFonts w:ascii="Times New Roman" w:eastAsia="Cambria" w:hAnsi="Times New Roman" w:cs="Times New Roman"/>
          <w:kern w:val="22"/>
        </w:rPr>
        <w:t xml:space="preserve"> to think about what criteria </w:t>
      </w:r>
      <w:r w:rsidR="00065FAB" w:rsidRPr="00471447">
        <w:rPr>
          <w:rFonts w:ascii="Times New Roman" w:eastAsia="Cambria" w:hAnsi="Times New Roman" w:cs="Times New Roman"/>
          <w:kern w:val="22"/>
        </w:rPr>
        <w:t>may be considered in that context</w:t>
      </w:r>
      <w:r w:rsidR="006D311A" w:rsidRPr="00471447">
        <w:rPr>
          <w:rFonts w:ascii="Times New Roman" w:eastAsia="Cambria" w:hAnsi="Times New Roman" w:cs="Times New Roman"/>
          <w:kern w:val="22"/>
        </w:rPr>
        <w:t xml:space="preserve"> </w:t>
      </w:r>
      <w:r w:rsidR="00442A9A" w:rsidRPr="00471447">
        <w:rPr>
          <w:rFonts w:ascii="Times New Roman" w:eastAsia="Cambria" w:hAnsi="Times New Roman" w:cs="Times New Roman"/>
          <w:kern w:val="22"/>
        </w:rPr>
        <w:t>as</w:t>
      </w:r>
      <w:r w:rsidR="006D311A" w:rsidRPr="00471447">
        <w:rPr>
          <w:rFonts w:ascii="Times New Roman" w:eastAsia="Cambria" w:hAnsi="Times New Roman" w:cs="Times New Roman"/>
          <w:kern w:val="22"/>
        </w:rPr>
        <w:t xml:space="preserve"> </w:t>
      </w:r>
      <w:r w:rsidR="00065FAB" w:rsidRPr="00471447">
        <w:rPr>
          <w:rFonts w:ascii="Times New Roman" w:eastAsia="Cambria" w:hAnsi="Times New Roman" w:cs="Times New Roman"/>
          <w:kern w:val="22"/>
        </w:rPr>
        <w:t>they</w:t>
      </w:r>
      <w:r w:rsidR="00442A9A" w:rsidRPr="00471447">
        <w:rPr>
          <w:rFonts w:ascii="Times New Roman" w:eastAsia="Cambria" w:hAnsi="Times New Roman" w:cs="Times New Roman"/>
          <w:kern w:val="22"/>
        </w:rPr>
        <w:t xml:space="preserve"> hav</w:t>
      </w:r>
      <w:r w:rsidR="00065FAB" w:rsidRPr="00471447">
        <w:rPr>
          <w:rFonts w:ascii="Times New Roman" w:eastAsia="Cambria" w:hAnsi="Times New Roman" w:cs="Times New Roman"/>
          <w:kern w:val="22"/>
        </w:rPr>
        <w:t>e been inconsistently integrated</w:t>
      </w:r>
      <w:r w:rsidR="00442A9A" w:rsidRPr="00471447">
        <w:rPr>
          <w:rFonts w:ascii="Times New Roman" w:eastAsia="Cambria" w:hAnsi="Times New Roman" w:cs="Times New Roman"/>
          <w:kern w:val="22"/>
        </w:rPr>
        <w:t xml:space="preserve"> in practice.</w:t>
      </w:r>
    </w:p>
    <w:p w:rsidR="00065FAB" w:rsidRPr="00471447" w:rsidRDefault="00442A9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noted that no single, stand-alone definition of any of these approaches exists and it would be preferable to ensure </w:t>
      </w:r>
      <w:r w:rsidR="00AC3810" w:rsidRPr="00471447">
        <w:rPr>
          <w:rFonts w:ascii="Times New Roman" w:eastAsia="Cambria" w:hAnsi="Times New Roman" w:cs="Times New Roman"/>
          <w:kern w:val="22"/>
        </w:rPr>
        <w:t>this</w:t>
      </w:r>
      <w:r w:rsidRPr="00471447">
        <w:rPr>
          <w:rFonts w:ascii="Times New Roman" w:eastAsia="Cambria" w:hAnsi="Times New Roman" w:cs="Times New Roman"/>
          <w:kern w:val="22"/>
        </w:rPr>
        <w:t xml:space="preserve"> flexibility </w:t>
      </w:r>
      <w:r w:rsidR="00065FAB" w:rsidRPr="00471447">
        <w:rPr>
          <w:rFonts w:ascii="Times New Roman" w:eastAsia="Cambria" w:hAnsi="Times New Roman" w:cs="Times New Roman"/>
          <w:kern w:val="22"/>
        </w:rPr>
        <w:t>is reflected in the eventual g</w:t>
      </w:r>
      <w:r w:rsidR="00AC3810" w:rsidRPr="00471447">
        <w:rPr>
          <w:rFonts w:ascii="Times New Roman" w:eastAsia="Cambria" w:hAnsi="Times New Roman" w:cs="Times New Roman"/>
          <w:kern w:val="22"/>
        </w:rPr>
        <w:t>uidance</w:t>
      </w:r>
      <w:r w:rsidRPr="00471447">
        <w:rPr>
          <w:rFonts w:ascii="Times New Roman" w:eastAsia="Cambria" w:hAnsi="Times New Roman" w:cs="Times New Roman"/>
          <w:kern w:val="22"/>
        </w:rPr>
        <w:t xml:space="preserve"> to avoid </w:t>
      </w:r>
      <w:r w:rsidR="00AC3810" w:rsidRPr="00471447">
        <w:rPr>
          <w:rFonts w:ascii="Times New Roman" w:eastAsia="Cambria" w:hAnsi="Times New Roman" w:cs="Times New Roman"/>
          <w:kern w:val="22"/>
        </w:rPr>
        <w:t xml:space="preserve">potential </w:t>
      </w:r>
      <w:r w:rsidRPr="00471447">
        <w:rPr>
          <w:rFonts w:ascii="Times New Roman" w:eastAsia="Cambria" w:hAnsi="Times New Roman" w:cs="Times New Roman"/>
          <w:kern w:val="22"/>
        </w:rPr>
        <w:t>definitions that are not adequately tailored to the context</w:t>
      </w:r>
      <w:r w:rsidR="00AC3810" w:rsidRPr="00471447">
        <w:rPr>
          <w:rFonts w:ascii="Times New Roman" w:eastAsia="Cambria" w:hAnsi="Times New Roman" w:cs="Times New Roman"/>
          <w:kern w:val="22"/>
        </w:rPr>
        <w:t xml:space="preserve"> in which these approaches are applied</w:t>
      </w:r>
      <w:r w:rsidRPr="00471447">
        <w:rPr>
          <w:rFonts w:ascii="Times New Roman" w:eastAsia="Cambria" w:hAnsi="Times New Roman" w:cs="Times New Roman"/>
          <w:kern w:val="22"/>
        </w:rPr>
        <w:t>.</w:t>
      </w:r>
      <w:r w:rsidR="006228D3" w:rsidRPr="00471447">
        <w:rPr>
          <w:rFonts w:ascii="Times New Roman" w:eastAsia="Cambria" w:hAnsi="Times New Roman" w:cs="Times New Roman"/>
          <w:kern w:val="22"/>
        </w:rPr>
        <w:t xml:space="preserve"> While it can be driven by a series of core principles (such as inter and transdiciplinarity, inclusiveness and intergenerational equity) avoiding a </w:t>
      </w:r>
      <w:r w:rsidR="00065FAB" w:rsidRPr="00471447">
        <w:rPr>
          <w:rFonts w:ascii="Times New Roman" w:eastAsia="Cambria" w:hAnsi="Times New Roman" w:cs="Times New Roman"/>
          <w:kern w:val="22"/>
        </w:rPr>
        <w:t xml:space="preserve">rigid </w:t>
      </w:r>
      <w:r w:rsidR="006228D3" w:rsidRPr="00471447">
        <w:rPr>
          <w:rFonts w:ascii="Times New Roman" w:eastAsia="Cambria" w:hAnsi="Times New Roman" w:cs="Times New Roman"/>
          <w:kern w:val="22"/>
        </w:rPr>
        <w:t xml:space="preserve">definition ensures </w:t>
      </w:r>
      <w:r w:rsidRPr="00471447">
        <w:rPr>
          <w:rFonts w:ascii="Times New Roman" w:eastAsia="Cambria" w:hAnsi="Times New Roman" w:cs="Times New Roman"/>
          <w:kern w:val="22"/>
        </w:rPr>
        <w:t>One H</w:t>
      </w:r>
      <w:r w:rsidR="006D311A" w:rsidRPr="00471447">
        <w:rPr>
          <w:rFonts w:ascii="Times New Roman" w:eastAsia="Cambria" w:hAnsi="Times New Roman" w:cs="Times New Roman"/>
          <w:kern w:val="22"/>
        </w:rPr>
        <w:t xml:space="preserve">ealth </w:t>
      </w:r>
      <w:r w:rsidR="006228D3" w:rsidRPr="00471447">
        <w:rPr>
          <w:rFonts w:ascii="Times New Roman" w:eastAsia="Cambria" w:hAnsi="Times New Roman" w:cs="Times New Roman"/>
          <w:kern w:val="22"/>
        </w:rPr>
        <w:t>approaches can be applied to a variety of contexts in ways that facilitate interactions with all necessary stakeholders for a given project, plan, policy or programme</w:t>
      </w:r>
      <w:r w:rsidR="006D311A" w:rsidRPr="00471447">
        <w:rPr>
          <w:rFonts w:ascii="Times New Roman" w:eastAsia="Cambria" w:hAnsi="Times New Roman" w:cs="Times New Roman"/>
          <w:kern w:val="22"/>
        </w:rPr>
        <w:t xml:space="preserve">. </w:t>
      </w:r>
      <w:r w:rsidR="00065FAB" w:rsidRPr="00471447">
        <w:rPr>
          <w:rFonts w:ascii="Times New Roman" w:eastAsia="Cambria" w:hAnsi="Times New Roman" w:cs="Times New Roman"/>
          <w:kern w:val="22"/>
        </w:rPr>
        <w:t>C</w:t>
      </w:r>
      <w:r w:rsidR="006228D3" w:rsidRPr="00471447">
        <w:rPr>
          <w:rFonts w:ascii="Times New Roman" w:eastAsia="Cambria" w:hAnsi="Times New Roman" w:cs="Times New Roman"/>
          <w:kern w:val="22"/>
        </w:rPr>
        <w:t>ore elements, such as m</w:t>
      </w:r>
      <w:r w:rsidR="006D311A" w:rsidRPr="00471447">
        <w:rPr>
          <w:rFonts w:ascii="Times New Roman" w:eastAsia="Cambria" w:hAnsi="Times New Roman" w:cs="Times New Roman"/>
          <w:kern w:val="22"/>
        </w:rPr>
        <w:t>ulti-sectoral</w:t>
      </w:r>
      <w:r w:rsidR="006228D3" w:rsidRPr="00471447">
        <w:rPr>
          <w:rFonts w:ascii="Times New Roman" w:eastAsia="Cambria" w:hAnsi="Times New Roman" w:cs="Times New Roman"/>
          <w:kern w:val="22"/>
        </w:rPr>
        <w:t>ity</w:t>
      </w:r>
      <w:r w:rsidR="006D311A" w:rsidRPr="00471447">
        <w:rPr>
          <w:rFonts w:ascii="Times New Roman" w:eastAsia="Cambria" w:hAnsi="Times New Roman" w:cs="Times New Roman"/>
          <w:kern w:val="22"/>
        </w:rPr>
        <w:t xml:space="preserve"> and multidisciplinary</w:t>
      </w:r>
      <w:r w:rsidR="006228D3" w:rsidRPr="00471447">
        <w:rPr>
          <w:rFonts w:ascii="Times New Roman" w:eastAsia="Cambria" w:hAnsi="Times New Roman" w:cs="Times New Roman"/>
          <w:kern w:val="22"/>
        </w:rPr>
        <w:t xml:space="preserve">, however, are fundamental components uniting these approaches and should remain strongly reflected in the Guidance. </w:t>
      </w:r>
    </w:p>
    <w:p w:rsidR="006D311A" w:rsidRPr="00471447" w:rsidRDefault="00065FAB"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A key question is</w:t>
      </w:r>
      <w:r w:rsidR="006D311A" w:rsidRPr="00471447">
        <w:rPr>
          <w:rFonts w:ascii="Times New Roman" w:eastAsia="Cambria" w:hAnsi="Times New Roman" w:cs="Times New Roman"/>
          <w:kern w:val="22"/>
        </w:rPr>
        <w:t xml:space="preserve"> </w:t>
      </w:r>
      <w:r w:rsidR="006228D3" w:rsidRPr="00471447">
        <w:rPr>
          <w:rFonts w:ascii="Times New Roman" w:eastAsia="Cambria" w:hAnsi="Times New Roman" w:cs="Times New Roman"/>
          <w:kern w:val="22"/>
        </w:rPr>
        <w:t>to</w:t>
      </w:r>
      <w:r w:rsidR="006D311A" w:rsidRPr="00471447">
        <w:rPr>
          <w:rFonts w:ascii="Times New Roman" w:eastAsia="Cambria" w:hAnsi="Times New Roman" w:cs="Times New Roman"/>
          <w:kern w:val="22"/>
        </w:rPr>
        <w:t xml:space="preserve"> </w:t>
      </w:r>
      <w:r w:rsidR="006228D3" w:rsidRPr="00471447">
        <w:rPr>
          <w:rFonts w:ascii="Times New Roman" w:eastAsia="Cambria" w:hAnsi="Times New Roman" w:cs="Times New Roman"/>
          <w:kern w:val="22"/>
        </w:rPr>
        <w:t xml:space="preserve">ensure biodiversity and ecosystem management are reflected to </w:t>
      </w:r>
      <w:r w:rsidR="006D311A" w:rsidRPr="00471447">
        <w:rPr>
          <w:rFonts w:ascii="Times New Roman" w:eastAsia="Cambria" w:hAnsi="Times New Roman" w:cs="Times New Roman"/>
          <w:kern w:val="22"/>
        </w:rPr>
        <w:t xml:space="preserve">maximize the </w:t>
      </w:r>
      <w:r w:rsidR="006228D3" w:rsidRPr="00471447">
        <w:rPr>
          <w:rFonts w:ascii="Times New Roman" w:eastAsia="Cambria" w:hAnsi="Times New Roman" w:cs="Times New Roman"/>
          <w:kern w:val="22"/>
        </w:rPr>
        <w:t xml:space="preserve">co-benefits </w:t>
      </w:r>
      <w:r w:rsidRPr="00471447">
        <w:rPr>
          <w:rFonts w:ascii="Times New Roman" w:eastAsia="Cambria" w:hAnsi="Times New Roman" w:cs="Times New Roman"/>
          <w:kern w:val="22"/>
        </w:rPr>
        <w:t>across holistic</w:t>
      </w:r>
      <w:r w:rsidR="006228D3" w:rsidRPr="00471447">
        <w:rPr>
          <w:rFonts w:ascii="Times New Roman" w:eastAsia="Cambria" w:hAnsi="Times New Roman" w:cs="Times New Roman"/>
          <w:kern w:val="22"/>
        </w:rPr>
        <w:t xml:space="preserve"> approaches. Some participants noted that the i</w:t>
      </w:r>
      <w:r w:rsidR="006D311A" w:rsidRPr="00471447">
        <w:rPr>
          <w:rFonts w:ascii="Times New Roman" w:eastAsia="Cambria" w:hAnsi="Times New Roman" w:cs="Times New Roman"/>
          <w:kern w:val="22"/>
        </w:rPr>
        <w:t xml:space="preserve">dea of added value </w:t>
      </w:r>
      <w:r w:rsidR="006228D3" w:rsidRPr="00471447">
        <w:rPr>
          <w:rFonts w:ascii="Times New Roman" w:eastAsia="Cambria" w:hAnsi="Times New Roman" w:cs="Times New Roman"/>
          <w:kern w:val="22"/>
        </w:rPr>
        <w:t>could constitute</w:t>
      </w:r>
      <w:r w:rsidR="006D311A" w:rsidRPr="00471447">
        <w:rPr>
          <w:rFonts w:ascii="Times New Roman" w:eastAsia="Cambria" w:hAnsi="Times New Roman" w:cs="Times New Roman"/>
          <w:kern w:val="22"/>
        </w:rPr>
        <w:t xml:space="preserve"> a key </w:t>
      </w:r>
      <w:r w:rsidR="006228D3" w:rsidRPr="00471447">
        <w:rPr>
          <w:rFonts w:ascii="Times New Roman" w:eastAsia="Cambria" w:hAnsi="Times New Roman" w:cs="Times New Roman"/>
          <w:kern w:val="22"/>
        </w:rPr>
        <w:t>consideration</w:t>
      </w:r>
      <w:r w:rsidR="006D311A" w:rsidRPr="00471447">
        <w:rPr>
          <w:rFonts w:ascii="Times New Roman" w:eastAsia="Cambria" w:hAnsi="Times New Roman" w:cs="Times New Roman"/>
          <w:kern w:val="22"/>
        </w:rPr>
        <w:t xml:space="preserve">. </w:t>
      </w:r>
      <w:r w:rsidR="006228D3" w:rsidRPr="00471447">
        <w:rPr>
          <w:rFonts w:ascii="Times New Roman" w:eastAsia="Cambria" w:hAnsi="Times New Roman" w:cs="Times New Roman"/>
          <w:kern w:val="22"/>
        </w:rPr>
        <w:t>Following the initial brainstorming, participants were invited to further reflect on tangible ways in which progress could be achieved for further discussion the following day</w:t>
      </w:r>
      <w:r w:rsidR="008B7577" w:rsidRPr="00471447">
        <w:rPr>
          <w:rFonts w:ascii="Times New Roman" w:eastAsia="Cambria" w:hAnsi="Times New Roman" w:cs="Times New Roman"/>
          <w:kern w:val="22"/>
        </w:rPr>
        <w:t xml:space="preserve"> including across each of the 4 themes to be addressed under Item 9</w:t>
      </w:r>
      <w:r w:rsidR="006D311A" w:rsidRPr="00471447">
        <w:rPr>
          <w:rFonts w:ascii="Times New Roman" w:eastAsia="Cambria" w:hAnsi="Times New Roman" w:cs="Times New Roman"/>
          <w:kern w:val="22"/>
        </w:rPr>
        <w:t>.</w:t>
      </w:r>
      <w:r w:rsidR="008B7577" w:rsidRPr="00471447">
        <w:rPr>
          <w:rFonts w:ascii="Times New Roman" w:eastAsia="Cambria" w:hAnsi="Times New Roman" w:cs="Times New Roman"/>
          <w:kern w:val="22"/>
        </w:rPr>
        <w:t xml:space="preserve"> One important consideration was how the ILG could eventually contribute to the implementation of the Guidance on One Health to be presented by CBD</w:t>
      </w:r>
      <w:r w:rsidR="006D311A" w:rsidRPr="00471447">
        <w:rPr>
          <w:rFonts w:ascii="Times New Roman" w:eastAsia="Cambria" w:hAnsi="Times New Roman" w:cs="Times New Roman"/>
          <w:kern w:val="22"/>
        </w:rPr>
        <w:t xml:space="preserve"> </w:t>
      </w:r>
      <w:r w:rsidR="008B7577" w:rsidRPr="00471447">
        <w:rPr>
          <w:rFonts w:ascii="Times New Roman" w:eastAsia="Cambria" w:hAnsi="Times New Roman" w:cs="Times New Roman"/>
          <w:kern w:val="22"/>
        </w:rPr>
        <w:t>at the SBSTTA 21.</w:t>
      </w:r>
    </w:p>
    <w:p w:rsidR="00B97E7D" w:rsidRPr="00471447" w:rsidRDefault="006228D3"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Campbell-Lendrum (WHO) provided concluding statements, noting that </w:t>
      </w:r>
      <w:r w:rsidR="006E676D" w:rsidRPr="00471447">
        <w:rPr>
          <w:rFonts w:ascii="Times New Roman" w:eastAsia="Cambria" w:hAnsi="Times New Roman" w:cs="Times New Roman"/>
          <w:kern w:val="22"/>
        </w:rPr>
        <w:t xml:space="preserve">participants felt </w:t>
      </w:r>
      <w:r w:rsidR="006D311A" w:rsidRPr="00471447">
        <w:rPr>
          <w:rFonts w:ascii="Times New Roman" w:eastAsia="Cambria" w:hAnsi="Times New Roman" w:cs="Times New Roman"/>
          <w:kern w:val="22"/>
        </w:rPr>
        <w:t>discussion</w:t>
      </w:r>
      <w:r w:rsidR="006E676D" w:rsidRPr="00471447">
        <w:rPr>
          <w:rFonts w:ascii="Times New Roman" w:eastAsia="Cambria" w:hAnsi="Times New Roman" w:cs="Times New Roman"/>
          <w:kern w:val="22"/>
        </w:rPr>
        <w:t>s across the vast range of thematic issue areas relevant to the ILG</w:t>
      </w:r>
      <w:r w:rsidR="000D140F" w:rsidRPr="00471447">
        <w:rPr>
          <w:rFonts w:ascii="Times New Roman" w:eastAsia="Cambria" w:hAnsi="Times New Roman" w:cs="Times New Roman"/>
          <w:kern w:val="22"/>
        </w:rPr>
        <w:t xml:space="preserve"> and </w:t>
      </w:r>
      <w:r w:rsidR="006E676D" w:rsidRPr="00471447">
        <w:rPr>
          <w:rFonts w:ascii="Times New Roman" w:eastAsia="Cambria" w:hAnsi="Times New Roman" w:cs="Times New Roman"/>
          <w:kern w:val="22"/>
        </w:rPr>
        <w:t xml:space="preserve">concrete </w:t>
      </w:r>
      <w:r w:rsidR="000D140F" w:rsidRPr="00471447">
        <w:rPr>
          <w:rFonts w:ascii="Times New Roman" w:eastAsia="Cambria" w:hAnsi="Times New Roman" w:cs="Times New Roman"/>
          <w:kern w:val="22"/>
        </w:rPr>
        <w:t>functions of the group</w:t>
      </w:r>
      <w:r w:rsidR="006E676D" w:rsidRPr="00471447">
        <w:rPr>
          <w:rFonts w:ascii="Times New Roman" w:eastAsia="Cambria" w:hAnsi="Times New Roman" w:cs="Times New Roman"/>
          <w:kern w:val="22"/>
        </w:rPr>
        <w:t xml:space="preserve"> as outlined in the Terms of Reference</w:t>
      </w:r>
      <w:r w:rsidR="00EC2B98" w:rsidRPr="00471447">
        <w:rPr>
          <w:rFonts w:ascii="Times New Roman" w:eastAsia="Cambria" w:hAnsi="Times New Roman" w:cs="Times New Roman"/>
          <w:kern w:val="22"/>
        </w:rPr>
        <w:t xml:space="preserve"> had</w:t>
      </w:r>
      <w:r w:rsidRPr="00471447">
        <w:rPr>
          <w:rFonts w:ascii="Times New Roman" w:eastAsia="Cambria" w:hAnsi="Times New Roman" w:cs="Times New Roman"/>
          <w:kern w:val="22"/>
        </w:rPr>
        <w:t xml:space="preserve"> been very productive</w:t>
      </w:r>
      <w:r w:rsidR="006E676D" w:rsidRPr="00471447">
        <w:rPr>
          <w:rFonts w:ascii="Times New Roman" w:eastAsia="Cambria" w:hAnsi="Times New Roman" w:cs="Times New Roman"/>
          <w:kern w:val="22"/>
        </w:rPr>
        <w:t>. It was</w:t>
      </w:r>
      <w:r w:rsidR="000D140F" w:rsidRPr="00471447">
        <w:rPr>
          <w:rFonts w:ascii="Times New Roman" w:eastAsia="Cambria" w:hAnsi="Times New Roman" w:cs="Times New Roman"/>
          <w:kern w:val="22"/>
        </w:rPr>
        <w:t xml:space="preserve"> clear that </w:t>
      </w:r>
      <w:r w:rsidR="006E676D" w:rsidRPr="00471447">
        <w:rPr>
          <w:rFonts w:ascii="Times New Roman" w:eastAsia="Cambria" w:hAnsi="Times New Roman" w:cs="Times New Roman"/>
          <w:kern w:val="22"/>
        </w:rPr>
        <w:t xml:space="preserve">the work of the ILG could address </w:t>
      </w:r>
      <w:r w:rsidR="000D140F" w:rsidRPr="00471447">
        <w:rPr>
          <w:rFonts w:ascii="Times New Roman" w:eastAsia="Cambria" w:hAnsi="Times New Roman" w:cs="Times New Roman"/>
          <w:kern w:val="22"/>
        </w:rPr>
        <w:t xml:space="preserve">a vast number of </w:t>
      </w:r>
      <w:r w:rsidR="006E676D" w:rsidRPr="00471447">
        <w:rPr>
          <w:rFonts w:ascii="Times New Roman" w:eastAsia="Cambria" w:hAnsi="Times New Roman" w:cs="Times New Roman"/>
          <w:kern w:val="22"/>
        </w:rPr>
        <w:t xml:space="preserve">inter-related </w:t>
      </w:r>
      <w:r w:rsidR="000D140F" w:rsidRPr="00471447">
        <w:rPr>
          <w:rFonts w:ascii="Times New Roman" w:eastAsia="Cambria" w:hAnsi="Times New Roman" w:cs="Times New Roman"/>
          <w:kern w:val="22"/>
        </w:rPr>
        <w:t>issue areas and on the s</w:t>
      </w:r>
      <w:r w:rsidR="006E676D" w:rsidRPr="00471447">
        <w:rPr>
          <w:rFonts w:ascii="Times New Roman" w:eastAsia="Cambria" w:hAnsi="Times New Roman" w:cs="Times New Roman"/>
          <w:kern w:val="22"/>
        </w:rPr>
        <w:t xml:space="preserve">econd day of the meeting, following expert presentation, the discussion would </w:t>
      </w:r>
      <w:r w:rsidR="000D140F" w:rsidRPr="00471447">
        <w:rPr>
          <w:rFonts w:ascii="Times New Roman" w:eastAsia="Cambria" w:hAnsi="Times New Roman" w:cs="Times New Roman"/>
          <w:kern w:val="22"/>
        </w:rPr>
        <w:t>focus on initial themes and concrete steps the ILG may</w:t>
      </w:r>
      <w:r w:rsidR="006D311A" w:rsidRPr="00471447">
        <w:rPr>
          <w:rFonts w:ascii="Times New Roman" w:eastAsia="Cambria" w:hAnsi="Times New Roman" w:cs="Times New Roman"/>
          <w:kern w:val="22"/>
        </w:rPr>
        <w:t xml:space="preserve"> </w:t>
      </w:r>
      <w:r w:rsidR="006E676D" w:rsidRPr="00471447">
        <w:rPr>
          <w:rFonts w:ascii="Times New Roman" w:eastAsia="Cambria" w:hAnsi="Times New Roman" w:cs="Times New Roman"/>
          <w:kern w:val="22"/>
        </w:rPr>
        <w:t xml:space="preserve">wish </w:t>
      </w:r>
      <w:r w:rsidR="006D311A" w:rsidRPr="00471447">
        <w:rPr>
          <w:rFonts w:ascii="Times New Roman" w:eastAsia="Cambria" w:hAnsi="Times New Roman" w:cs="Times New Roman"/>
          <w:kern w:val="22"/>
        </w:rPr>
        <w:t xml:space="preserve">address </w:t>
      </w:r>
      <w:r w:rsidR="000D140F" w:rsidRPr="00471447">
        <w:rPr>
          <w:rFonts w:ascii="Times New Roman" w:eastAsia="Cambria" w:hAnsi="Times New Roman" w:cs="Times New Roman"/>
          <w:kern w:val="22"/>
        </w:rPr>
        <w:t>in its future work</w:t>
      </w:r>
      <w:r w:rsidR="006D311A" w:rsidRPr="00471447">
        <w:rPr>
          <w:rFonts w:ascii="Times New Roman" w:eastAsia="Cambria" w:hAnsi="Times New Roman" w:cs="Times New Roman"/>
          <w:kern w:val="22"/>
        </w:rPr>
        <w:t xml:space="preserve">. </w:t>
      </w:r>
      <w:r w:rsidR="00EC2B98" w:rsidRPr="00471447">
        <w:rPr>
          <w:rFonts w:ascii="Times New Roman" w:eastAsia="Cambria" w:hAnsi="Times New Roman" w:cs="Times New Roman"/>
          <w:kern w:val="22"/>
        </w:rPr>
        <w:t xml:space="preserve"> </w:t>
      </w:r>
      <w:r w:rsidR="008B7577" w:rsidRPr="00471447">
        <w:rPr>
          <w:rFonts w:ascii="Times New Roman" w:eastAsia="Cambria" w:hAnsi="Times New Roman" w:cs="Times New Roman"/>
          <w:kern w:val="22"/>
        </w:rPr>
        <w:t xml:space="preserve">Ms. Maiero (WHO) informed participants of the logistical arrangements for the next day, </w:t>
      </w:r>
      <w:r w:rsidR="00EC2B98" w:rsidRPr="00471447">
        <w:rPr>
          <w:rFonts w:ascii="Times New Roman" w:eastAsia="Cambria" w:hAnsi="Times New Roman" w:cs="Times New Roman"/>
          <w:kern w:val="22"/>
        </w:rPr>
        <w:t>further inviting</w:t>
      </w:r>
      <w:r w:rsidR="008B7577" w:rsidRPr="00471447">
        <w:rPr>
          <w:rFonts w:ascii="Times New Roman" w:eastAsia="Cambria" w:hAnsi="Times New Roman" w:cs="Times New Roman"/>
          <w:kern w:val="22"/>
        </w:rPr>
        <w:t xml:space="preserve"> participants to </w:t>
      </w:r>
      <w:r w:rsidR="00EC2B98" w:rsidRPr="00471447">
        <w:rPr>
          <w:rFonts w:ascii="Times New Roman" w:eastAsia="Cambria" w:hAnsi="Times New Roman" w:cs="Times New Roman"/>
          <w:kern w:val="22"/>
        </w:rPr>
        <w:t>r</w:t>
      </w:r>
      <w:r w:rsidR="008B7577" w:rsidRPr="00471447">
        <w:rPr>
          <w:rFonts w:ascii="Times New Roman" w:eastAsia="Cambria" w:hAnsi="Times New Roman" w:cs="Times New Roman"/>
          <w:kern w:val="22"/>
        </w:rPr>
        <w:t xml:space="preserve">eflect on ways forward on capacity </w:t>
      </w:r>
      <w:r w:rsidR="008B7577" w:rsidRPr="00471447">
        <w:rPr>
          <w:rFonts w:ascii="Times New Roman" w:eastAsia="Cambria" w:hAnsi="Times New Roman" w:cs="Times New Roman"/>
          <w:kern w:val="22"/>
        </w:rPr>
        <w:lastRenderedPageBreak/>
        <w:t xml:space="preserve">building, education, research and policy, </w:t>
      </w:r>
      <w:r w:rsidR="00EC2B98" w:rsidRPr="00471447">
        <w:rPr>
          <w:rFonts w:ascii="Times New Roman" w:eastAsia="Cambria" w:hAnsi="Times New Roman" w:cs="Times New Roman"/>
          <w:kern w:val="22"/>
        </w:rPr>
        <w:t>so as to</w:t>
      </w:r>
      <w:r w:rsidR="008B7577" w:rsidRPr="00471447">
        <w:rPr>
          <w:rFonts w:ascii="Times New Roman" w:eastAsia="Cambria" w:hAnsi="Times New Roman" w:cs="Times New Roman"/>
          <w:kern w:val="22"/>
        </w:rPr>
        <w:t xml:space="preserve"> propose concrete ideas under each of the revised headings under item 9. </w:t>
      </w:r>
      <w:r w:rsidR="000D140F" w:rsidRPr="00471447">
        <w:rPr>
          <w:rFonts w:ascii="Times New Roman" w:eastAsia="Cambria" w:hAnsi="Times New Roman" w:cs="Times New Roman"/>
          <w:kern w:val="22"/>
        </w:rPr>
        <w:t>The first day of the meeting closed at 5:30 p.m.</w:t>
      </w:r>
    </w:p>
    <w:p w:rsidR="003E5B9E" w:rsidRPr="00471447" w:rsidRDefault="003E5B9E" w:rsidP="00471447">
      <w:pPr>
        <w:pStyle w:val="HEADINGNOTFORTOC"/>
        <w:spacing w:before="120" w:after="120"/>
        <w:rPr>
          <w:kern w:val="22"/>
          <w:szCs w:val="22"/>
        </w:rPr>
      </w:pPr>
      <w:r w:rsidRPr="00471447">
        <w:rPr>
          <w:kern w:val="22"/>
          <w:szCs w:val="22"/>
        </w:rPr>
        <w:t>ITEM 7: ORGANIZATIONAL MATTERS</w:t>
      </w:r>
    </w:p>
    <w:p w:rsidR="00E11C3E" w:rsidRPr="00471447" w:rsidRDefault="00E11C3E" w:rsidP="00471447">
      <w:pPr>
        <w:pStyle w:val="ListParagraph"/>
        <w:spacing w:before="120" w:after="120"/>
        <w:jc w:val="center"/>
        <w:rPr>
          <w:rFonts w:ascii="Times New Roman" w:eastAsia="Cambria" w:hAnsi="Times New Roman" w:cs="Times New Roman"/>
          <w:b/>
          <w:kern w:val="22"/>
        </w:rPr>
      </w:pPr>
    </w:p>
    <w:p w:rsidR="00E11C3E" w:rsidRPr="00471447" w:rsidRDefault="003E5B9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 co-chairs reported on the outcomes of the previous day noting the need to find tangible ways to support implementation</w:t>
      </w:r>
      <w:r w:rsidR="00E11C3E" w:rsidRPr="00471447">
        <w:rPr>
          <w:rFonts w:ascii="Times New Roman" w:eastAsia="Cambria" w:hAnsi="Times New Roman" w:cs="Times New Roman"/>
          <w:kern w:val="22"/>
        </w:rPr>
        <w:t xml:space="preserve"> and to make it </w:t>
      </w:r>
      <w:r w:rsidR="00D84E10" w:rsidRPr="00471447">
        <w:rPr>
          <w:rFonts w:ascii="Times New Roman" w:eastAsia="Cambria" w:hAnsi="Times New Roman" w:cs="Times New Roman"/>
          <w:kern w:val="22"/>
        </w:rPr>
        <w:t>linkages “</w:t>
      </w:r>
      <w:r w:rsidR="00E11C3E" w:rsidRPr="00471447">
        <w:rPr>
          <w:rFonts w:ascii="Times New Roman" w:eastAsia="Cambria" w:hAnsi="Times New Roman" w:cs="Times New Roman"/>
          <w:kern w:val="22"/>
        </w:rPr>
        <w:t>actionable</w:t>
      </w:r>
      <w:r w:rsidR="00D84E10" w:rsidRPr="00471447">
        <w:rPr>
          <w:rFonts w:ascii="Times New Roman" w:eastAsia="Cambria" w:hAnsi="Times New Roman" w:cs="Times New Roman"/>
          <w:kern w:val="22"/>
        </w:rPr>
        <w:t>, and to raise awareness among the general public and</w:t>
      </w:r>
      <w:r w:rsidR="00E11C3E" w:rsidRPr="00471447">
        <w:rPr>
          <w:rFonts w:ascii="Times New Roman" w:eastAsia="Cambria" w:hAnsi="Times New Roman" w:cs="Times New Roman"/>
          <w:kern w:val="22"/>
        </w:rPr>
        <w:t xml:space="preserve"> opened the floor to comments or questions regarding items discussed </w:t>
      </w:r>
      <w:r w:rsidR="00D84E10" w:rsidRPr="00471447">
        <w:rPr>
          <w:rFonts w:ascii="Times New Roman" w:eastAsia="Cambria" w:hAnsi="Times New Roman" w:cs="Times New Roman"/>
          <w:kern w:val="22"/>
        </w:rPr>
        <w:t>the previous day</w:t>
      </w:r>
      <w:r w:rsidR="00E11C3E" w:rsidRPr="00471447">
        <w:rPr>
          <w:rFonts w:ascii="Times New Roman" w:eastAsia="Cambria" w:hAnsi="Times New Roman" w:cs="Times New Roman"/>
          <w:kern w:val="22"/>
        </w:rPr>
        <w:t>.</w:t>
      </w:r>
    </w:p>
    <w:p w:rsidR="0004176E" w:rsidRPr="00471447" w:rsidRDefault="00E11C3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Several participants indicated that presentations </w:t>
      </w:r>
      <w:r w:rsidR="00D84E10" w:rsidRPr="00471447">
        <w:rPr>
          <w:rFonts w:ascii="Times New Roman" w:eastAsia="Cambria" w:hAnsi="Times New Roman" w:cs="Times New Roman"/>
          <w:kern w:val="22"/>
        </w:rPr>
        <w:t>and</w:t>
      </w:r>
      <w:r w:rsidRPr="00471447">
        <w:rPr>
          <w:rFonts w:ascii="Times New Roman" w:eastAsia="Cambria" w:hAnsi="Times New Roman" w:cs="Times New Roman"/>
          <w:kern w:val="22"/>
        </w:rPr>
        <w:t xml:space="preserve"> discussion </w:t>
      </w:r>
      <w:r w:rsidR="00EC2B98" w:rsidRPr="00471447">
        <w:rPr>
          <w:rFonts w:ascii="Times New Roman" w:eastAsia="Cambria" w:hAnsi="Times New Roman" w:cs="Times New Roman"/>
          <w:kern w:val="22"/>
        </w:rPr>
        <w:t xml:space="preserve">the previous day had been </w:t>
      </w:r>
      <w:r w:rsidRPr="00471447">
        <w:rPr>
          <w:rFonts w:ascii="Times New Roman" w:eastAsia="Cambria" w:hAnsi="Times New Roman" w:cs="Times New Roman"/>
          <w:kern w:val="22"/>
        </w:rPr>
        <w:t xml:space="preserve">very useful. </w:t>
      </w:r>
      <w:r w:rsidR="0004176E" w:rsidRPr="00471447">
        <w:rPr>
          <w:rFonts w:ascii="Times New Roman" w:eastAsia="Cambria" w:hAnsi="Times New Roman" w:cs="Times New Roman"/>
          <w:kern w:val="22"/>
        </w:rPr>
        <w:t>Means to strengthen collaboration between the biodiversity and health sector were also proposed. In particular it was agreed that:</w:t>
      </w:r>
    </w:p>
    <w:p w:rsidR="0004176E" w:rsidRPr="00471447" w:rsidRDefault="007535C3" w:rsidP="00471447">
      <w:pPr>
        <w:pStyle w:val="ListParagraph"/>
        <w:numPr>
          <w:ilvl w:val="1"/>
          <w:numId w:val="3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H</w:t>
      </w:r>
      <w:r w:rsidR="00521114" w:rsidRPr="00471447">
        <w:rPr>
          <w:rFonts w:ascii="Times New Roman" w:eastAsia="Cambria" w:hAnsi="Times New Roman" w:cs="Times New Roman"/>
          <w:kern w:val="22"/>
        </w:rPr>
        <w:t xml:space="preserve">ealth benefits of </w:t>
      </w:r>
      <w:r w:rsidR="00EC2B98" w:rsidRPr="00471447">
        <w:rPr>
          <w:rFonts w:ascii="Times New Roman" w:eastAsia="Cambria" w:hAnsi="Times New Roman" w:cs="Times New Roman"/>
          <w:kern w:val="22"/>
        </w:rPr>
        <w:t>biodiversity conservation</w:t>
      </w:r>
      <w:r w:rsidR="00521114" w:rsidRPr="00471447">
        <w:rPr>
          <w:rFonts w:ascii="Times New Roman" w:eastAsia="Cambria" w:hAnsi="Times New Roman" w:cs="Times New Roman"/>
          <w:kern w:val="22"/>
        </w:rPr>
        <w:t xml:space="preserve"> are</w:t>
      </w:r>
      <w:r w:rsidR="00D84E10" w:rsidRPr="00471447">
        <w:rPr>
          <w:rFonts w:ascii="Times New Roman" w:eastAsia="Cambria" w:hAnsi="Times New Roman" w:cs="Times New Roman"/>
          <w:kern w:val="22"/>
        </w:rPr>
        <w:t xml:space="preserve"> generally poorly understood </w:t>
      </w:r>
      <w:r w:rsidR="00521114" w:rsidRPr="00471447">
        <w:rPr>
          <w:rFonts w:ascii="Times New Roman" w:eastAsia="Cambria" w:hAnsi="Times New Roman" w:cs="Times New Roman"/>
          <w:kern w:val="22"/>
        </w:rPr>
        <w:t>and/or undervalued</w:t>
      </w:r>
      <w:r w:rsidR="00D84E10" w:rsidRPr="00471447">
        <w:rPr>
          <w:rFonts w:ascii="Times New Roman" w:eastAsia="Cambria" w:hAnsi="Times New Roman" w:cs="Times New Roman"/>
          <w:kern w:val="22"/>
        </w:rPr>
        <w:t xml:space="preserve"> by the public health sector and </w:t>
      </w:r>
      <w:r w:rsidR="00521114" w:rsidRPr="00471447">
        <w:rPr>
          <w:rFonts w:ascii="Times New Roman" w:eastAsia="Cambria" w:hAnsi="Times New Roman" w:cs="Times New Roman"/>
          <w:kern w:val="22"/>
        </w:rPr>
        <w:t xml:space="preserve">the </w:t>
      </w:r>
      <w:r w:rsidR="00D84E10" w:rsidRPr="00471447">
        <w:rPr>
          <w:rFonts w:ascii="Times New Roman" w:eastAsia="Cambria" w:hAnsi="Times New Roman" w:cs="Times New Roman"/>
          <w:kern w:val="22"/>
        </w:rPr>
        <w:t xml:space="preserve">general population. </w:t>
      </w:r>
      <w:r w:rsidR="0004176E" w:rsidRPr="00471447">
        <w:rPr>
          <w:rFonts w:ascii="Times New Roman" w:eastAsia="Cambria" w:hAnsi="Times New Roman" w:cs="Times New Roman"/>
          <w:kern w:val="22"/>
        </w:rPr>
        <w:t>R</w:t>
      </w:r>
      <w:r w:rsidR="00521114" w:rsidRPr="00471447">
        <w:rPr>
          <w:rFonts w:ascii="Times New Roman" w:eastAsia="Cambria" w:hAnsi="Times New Roman" w:cs="Times New Roman"/>
          <w:kern w:val="22"/>
        </w:rPr>
        <w:t>ather than focusing on biodiversity alone, simultaneous focus on ecosystems and</w:t>
      </w:r>
      <w:r w:rsidR="00D84E10" w:rsidRPr="00471447">
        <w:rPr>
          <w:rFonts w:ascii="Times New Roman" w:eastAsia="Cambria" w:hAnsi="Times New Roman" w:cs="Times New Roman"/>
          <w:kern w:val="22"/>
        </w:rPr>
        <w:t xml:space="preserve"> ecosystem services,</w:t>
      </w:r>
      <w:r w:rsidR="00521114" w:rsidRPr="00471447">
        <w:rPr>
          <w:rFonts w:ascii="Times New Roman" w:eastAsia="Cambria" w:hAnsi="Times New Roman" w:cs="Times New Roman"/>
          <w:kern w:val="22"/>
        </w:rPr>
        <w:t xml:space="preserve"> or tangible outcomes such as</w:t>
      </w:r>
      <w:r w:rsidR="00D84E10" w:rsidRPr="00471447">
        <w:rPr>
          <w:rFonts w:ascii="Times New Roman" w:eastAsia="Cambria" w:hAnsi="Times New Roman" w:cs="Times New Roman"/>
          <w:kern w:val="22"/>
        </w:rPr>
        <w:t xml:space="preserve"> food </w:t>
      </w:r>
      <w:r w:rsidR="00521114" w:rsidRPr="00471447">
        <w:rPr>
          <w:rFonts w:ascii="Times New Roman" w:eastAsia="Cambria" w:hAnsi="Times New Roman" w:cs="Times New Roman"/>
          <w:kern w:val="22"/>
        </w:rPr>
        <w:t xml:space="preserve">and nutrition </w:t>
      </w:r>
      <w:r w:rsidR="00D84E10" w:rsidRPr="00471447">
        <w:rPr>
          <w:rFonts w:ascii="Times New Roman" w:eastAsia="Cambria" w:hAnsi="Times New Roman" w:cs="Times New Roman"/>
          <w:kern w:val="22"/>
        </w:rPr>
        <w:t>or sustainable diets</w:t>
      </w:r>
      <w:r w:rsidR="00521114" w:rsidRPr="00471447">
        <w:rPr>
          <w:rFonts w:ascii="Times New Roman" w:eastAsia="Cambria" w:hAnsi="Times New Roman" w:cs="Times New Roman"/>
          <w:kern w:val="22"/>
        </w:rPr>
        <w:t>,</w:t>
      </w:r>
      <w:r w:rsidR="00D84E10" w:rsidRPr="00471447">
        <w:rPr>
          <w:rFonts w:ascii="Times New Roman" w:eastAsia="Cambria" w:hAnsi="Times New Roman" w:cs="Times New Roman"/>
          <w:kern w:val="22"/>
        </w:rPr>
        <w:t xml:space="preserve"> </w:t>
      </w:r>
      <w:r w:rsidR="00C43F7D" w:rsidRPr="00471447">
        <w:rPr>
          <w:rFonts w:ascii="Times New Roman" w:eastAsia="Cambria" w:hAnsi="Times New Roman" w:cs="Times New Roman"/>
          <w:kern w:val="22"/>
        </w:rPr>
        <w:t xml:space="preserve">or </w:t>
      </w:r>
      <w:r w:rsidR="00DE681C" w:rsidRPr="00471447">
        <w:rPr>
          <w:rFonts w:ascii="Times New Roman" w:eastAsia="Cambria" w:hAnsi="Times New Roman" w:cs="Times New Roman"/>
          <w:kern w:val="22"/>
        </w:rPr>
        <w:t>disease burdens</w:t>
      </w:r>
      <w:r w:rsidR="00C43F7D" w:rsidRPr="00471447">
        <w:rPr>
          <w:rFonts w:ascii="Times New Roman" w:eastAsia="Cambria" w:hAnsi="Times New Roman" w:cs="Times New Roman"/>
          <w:kern w:val="22"/>
        </w:rPr>
        <w:t xml:space="preserve"> </w:t>
      </w:r>
      <w:r w:rsidR="00521114" w:rsidRPr="00471447">
        <w:rPr>
          <w:rFonts w:ascii="Times New Roman" w:eastAsia="Cambria" w:hAnsi="Times New Roman" w:cs="Times New Roman"/>
          <w:kern w:val="22"/>
        </w:rPr>
        <w:t>may have greater appeal</w:t>
      </w:r>
      <w:r w:rsidR="00D84E10" w:rsidRPr="00471447">
        <w:rPr>
          <w:rFonts w:ascii="Times New Roman" w:eastAsia="Cambria" w:hAnsi="Times New Roman" w:cs="Times New Roman"/>
          <w:kern w:val="22"/>
        </w:rPr>
        <w:t xml:space="preserve"> to the </w:t>
      </w:r>
      <w:r w:rsidR="00521114" w:rsidRPr="00471447">
        <w:rPr>
          <w:rFonts w:ascii="Times New Roman" w:eastAsia="Cambria" w:hAnsi="Times New Roman" w:cs="Times New Roman"/>
          <w:kern w:val="22"/>
        </w:rPr>
        <w:t xml:space="preserve">public </w:t>
      </w:r>
      <w:r w:rsidR="00D84E10" w:rsidRPr="00471447">
        <w:rPr>
          <w:rFonts w:ascii="Times New Roman" w:eastAsia="Cambria" w:hAnsi="Times New Roman" w:cs="Times New Roman"/>
          <w:kern w:val="22"/>
        </w:rPr>
        <w:t xml:space="preserve">health </w:t>
      </w:r>
      <w:r w:rsidR="00521114" w:rsidRPr="00471447">
        <w:rPr>
          <w:rFonts w:ascii="Times New Roman" w:eastAsia="Cambria" w:hAnsi="Times New Roman" w:cs="Times New Roman"/>
          <w:kern w:val="22"/>
        </w:rPr>
        <w:t>sector and other constituencies</w:t>
      </w:r>
      <w:r w:rsidR="0061487C">
        <w:rPr>
          <w:rFonts w:ascii="Times New Roman" w:eastAsia="Cambria" w:hAnsi="Times New Roman" w:cs="Times New Roman"/>
          <w:kern w:val="22"/>
        </w:rPr>
        <w:t>;</w:t>
      </w:r>
    </w:p>
    <w:p w:rsidR="007535C3" w:rsidRPr="00471447" w:rsidRDefault="0004176E" w:rsidP="00471447">
      <w:pPr>
        <w:pStyle w:val="ListParagraph"/>
        <w:numPr>
          <w:ilvl w:val="1"/>
          <w:numId w:val="3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Strengt</w:t>
      </w:r>
      <w:r w:rsidR="007535C3" w:rsidRPr="00471447">
        <w:rPr>
          <w:rFonts w:ascii="Times New Roman" w:eastAsia="Cambria" w:hAnsi="Times New Roman" w:cs="Times New Roman"/>
          <w:kern w:val="22"/>
        </w:rPr>
        <w:t xml:space="preserve">hening representation in other fields could be useful including </w:t>
      </w:r>
      <w:r w:rsidR="00DE681C" w:rsidRPr="00471447">
        <w:rPr>
          <w:rFonts w:ascii="Times New Roman" w:eastAsia="Cambria" w:hAnsi="Times New Roman" w:cs="Times New Roman"/>
          <w:kern w:val="22"/>
        </w:rPr>
        <w:t>social sciences</w:t>
      </w:r>
      <w:r w:rsidR="00521114" w:rsidRPr="00471447">
        <w:rPr>
          <w:rFonts w:ascii="Times New Roman" w:eastAsia="Cambria" w:hAnsi="Times New Roman" w:cs="Times New Roman"/>
          <w:kern w:val="22"/>
        </w:rPr>
        <w:t xml:space="preserve"> </w:t>
      </w:r>
      <w:r w:rsidR="007535C3" w:rsidRPr="00471447">
        <w:rPr>
          <w:rFonts w:ascii="Times New Roman" w:eastAsia="Cambria" w:hAnsi="Times New Roman" w:cs="Times New Roman"/>
          <w:kern w:val="22"/>
        </w:rPr>
        <w:t xml:space="preserve">(e.g. anthropology), </w:t>
      </w:r>
      <w:r w:rsidR="00DE681C" w:rsidRPr="00471447">
        <w:rPr>
          <w:rFonts w:ascii="Times New Roman" w:eastAsia="Cambria" w:hAnsi="Times New Roman" w:cs="Times New Roman"/>
          <w:kern w:val="22"/>
        </w:rPr>
        <w:t>human</w:t>
      </w:r>
      <w:r w:rsidR="00521114" w:rsidRPr="00471447">
        <w:rPr>
          <w:rFonts w:ascii="Times New Roman" w:eastAsia="Cambria" w:hAnsi="Times New Roman" w:cs="Times New Roman"/>
          <w:kern w:val="22"/>
        </w:rPr>
        <w:t xml:space="preserve"> microbiome and</w:t>
      </w:r>
      <w:r w:rsidR="00E11C3E" w:rsidRPr="00471447">
        <w:rPr>
          <w:rFonts w:ascii="Times New Roman" w:eastAsia="Cambria" w:hAnsi="Times New Roman" w:cs="Times New Roman"/>
          <w:kern w:val="22"/>
        </w:rPr>
        <w:t xml:space="preserve"> </w:t>
      </w:r>
      <w:r w:rsidR="00521114" w:rsidRPr="00471447">
        <w:rPr>
          <w:rFonts w:ascii="Times New Roman" w:eastAsia="Cambria" w:hAnsi="Times New Roman" w:cs="Times New Roman"/>
          <w:kern w:val="22"/>
        </w:rPr>
        <w:t>microbial interactions</w:t>
      </w:r>
      <w:r w:rsidR="0061487C">
        <w:rPr>
          <w:rFonts w:ascii="Times New Roman" w:eastAsia="Cambria" w:hAnsi="Times New Roman" w:cs="Times New Roman"/>
          <w:kern w:val="22"/>
        </w:rPr>
        <w:t>;</w:t>
      </w:r>
      <w:r w:rsidRPr="00471447">
        <w:rPr>
          <w:rFonts w:ascii="Times New Roman" w:eastAsia="Cambria" w:hAnsi="Times New Roman" w:cs="Times New Roman"/>
          <w:kern w:val="22"/>
        </w:rPr>
        <w:t xml:space="preserve"> </w:t>
      </w:r>
    </w:p>
    <w:p w:rsidR="007535C3" w:rsidRPr="00471447" w:rsidRDefault="007535C3" w:rsidP="00471447">
      <w:pPr>
        <w:pStyle w:val="ListParagraph"/>
        <w:numPr>
          <w:ilvl w:val="1"/>
          <w:numId w:val="3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w:t>
      </w:r>
      <w:r w:rsidR="00213C5E" w:rsidRPr="00471447">
        <w:rPr>
          <w:rFonts w:ascii="Times New Roman" w:eastAsia="Cambria" w:hAnsi="Times New Roman" w:cs="Times New Roman"/>
          <w:kern w:val="22"/>
        </w:rPr>
        <w:t>biodiversity community should play a more active role in the World Health Assembly. While it is too late for the ILG to consider an event for the WHA in 2017, steps should be taken to hold a joint event in 2018</w:t>
      </w:r>
      <w:r w:rsidR="0061487C">
        <w:rPr>
          <w:rFonts w:ascii="Times New Roman" w:eastAsia="Cambria" w:hAnsi="Times New Roman" w:cs="Times New Roman"/>
          <w:kern w:val="22"/>
        </w:rPr>
        <w:t>;</w:t>
      </w:r>
    </w:p>
    <w:p w:rsidR="00E11C3E" w:rsidRPr="00471447" w:rsidRDefault="007535C3" w:rsidP="00471447">
      <w:pPr>
        <w:pStyle w:val="ListParagraph"/>
        <w:numPr>
          <w:ilvl w:val="1"/>
          <w:numId w:val="3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It is important to link biodiversity with issues people can connect to. B</w:t>
      </w:r>
      <w:r w:rsidR="0055557B" w:rsidRPr="00471447">
        <w:rPr>
          <w:rFonts w:ascii="Times New Roman" w:eastAsia="Cambria" w:hAnsi="Times New Roman" w:cs="Times New Roman"/>
          <w:kern w:val="22"/>
        </w:rPr>
        <w:t xml:space="preserve">iodiversity </w:t>
      </w:r>
      <w:r w:rsidRPr="00471447">
        <w:rPr>
          <w:rFonts w:ascii="Times New Roman" w:eastAsia="Cambria" w:hAnsi="Times New Roman" w:cs="Times New Roman"/>
          <w:kern w:val="22"/>
        </w:rPr>
        <w:t>is often perceived as abstract by the medical community.</w:t>
      </w:r>
      <w:r w:rsidR="0055557B"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w:t>
      </w:r>
      <w:r w:rsidR="00E11C3E" w:rsidRPr="00471447">
        <w:rPr>
          <w:rFonts w:ascii="Times New Roman" w:eastAsia="Cambria" w:hAnsi="Times New Roman" w:cs="Times New Roman"/>
          <w:kern w:val="22"/>
        </w:rPr>
        <w:t xml:space="preserve">ir pollution is </w:t>
      </w:r>
      <w:r w:rsidRPr="00471447">
        <w:rPr>
          <w:rFonts w:ascii="Times New Roman" w:eastAsia="Cambria" w:hAnsi="Times New Roman" w:cs="Times New Roman"/>
          <w:kern w:val="22"/>
        </w:rPr>
        <w:t>tangible and people understand it because it</w:t>
      </w:r>
      <w:r w:rsidR="00213C5E" w:rsidRPr="00471447">
        <w:rPr>
          <w:rFonts w:ascii="Times New Roman" w:eastAsia="Cambria" w:hAnsi="Times New Roman" w:cs="Times New Roman"/>
          <w:kern w:val="22"/>
        </w:rPr>
        <w:t xml:space="preserve"> </w:t>
      </w:r>
      <w:r w:rsidR="00E11C3E" w:rsidRPr="00471447">
        <w:rPr>
          <w:rFonts w:ascii="Times New Roman" w:eastAsia="Cambria" w:hAnsi="Times New Roman" w:cs="Times New Roman"/>
          <w:kern w:val="22"/>
        </w:rPr>
        <w:t>put</w:t>
      </w:r>
      <w:r w:rsidR="00213C5E" w:rsidRPr="00471447">
        <w:rPr>
          <w:rFonts w:ascii="Times New Roman" w:eastAsia="Cambria" w:hAnsi="Times New Roman" w:cs="Times New Roman"/>
          <w:kern w:val="22"/>
        </w:rPr>
        <w:t>s a human face to the issue</w:t>
      </w:r>
      <w:r w:rsidR="00E11C3E" w:rsidRPr="00471447">
        <w:rPr>
          <w:rFonts w:ascii="Times New Roman" w:eastAsia="Cambria" w:hAnsi="Times New Roman" w:cs="Times New Roman"/>
          <w:kern w:val="22"/>
        </w:rPr>
        <w:t>.</w:t>
      </w:r>
      <w:r w:rsidR="0055557B"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 same must be done</w:t>
      </w:r>
      <w:r w:rsidR="00213C5E" w:rsidRPr="00471447">
        <w:rPr>
          <w:rFonts w:ascii="Times New Roman" w:eastAsia="Cambria" w:hAnsi="Times New Roman" w:cs="Times New Roman"/>
          <w:kern w:val="22"/>
        </w:rPr>
        <w:t xml:space="preserve"> to engage the health community</w:t>
      </w:r>
      <w:r w:rsidRPr="00471447">
        <w:rPr>
          <w:rFonts w:ascii="Times New Roman" w:eastAsia="Cambria" w:hAnsi="Times New Roman" w:cs="Times New Roman"/>
          <w:kern w:val="22"/>
        </w:rPr>
        <w:t xml:space="preserve"> in discussions on biodiversity</w:t>
      </w:r>
      <w:r w:rsidR="00E11C3E" w:rsidRPr="00471447">
        <w:rPr>
          <w:rFonts w:ascii="Times New Roman" w:eastAsia="Cambria" w:hAnsi="Times New Roman" w:cs="Times New Roman"/>
          <w:kern w:val="22"/>
        </w:rPr>
        <w:t>.</w:t>
      </w:r>
      <w:r w:rsidR="0055557B"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Maternal and child health, urban health and mental health could be important themes to advance this work. </w:t>
      </w:r>
    </w:p>
    <w:p w:rsidR="003E5B9E" w:rsidRPr="00471447" w:rsidRDefault="00213C5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Mr. Braubach (WHO/EURO) noted that</w:t>
      </w:r>
      <w:r w:rsidR="00E11C3E" w:rsidRPr="00471447">
        <w:rPr>
          <w:rFonts w:ascii="Times New Roman" w:eastAsia="Cambria" w:hAnsi="Times New Roman" w:cs="Times New Roman"/>
          <w:kern w:val="22"/>
        </w:rPr>
        <w:t xml:space="preserve"> benefits of green spaces and exposure to natural environments to mental health </w:t>
      </w:r>
      <w:r w:rsidRPr="00471447">
        <w:rPr>
          <w:rFonts w:ascii="Times New Roman" w:eastAsia="Cambria" w:hAnsi="Times New Roman" w:cs="Times New Roman"/>
          <w:kern w:val="22"/>
        </w:rPr>
        <w:t>while difficult to</w:t>
      </w:r>
      <w:r w:rsidR="00E11C3E" w:rsidRPr="00471447">
        <w:rPr>
          <w:rFonts w:ascii="Times New Roman" w:eastAsia="Cambria" w:hAnsi="Times New Roman" w:cs="Times New Roman"/>
          <w:kern w:val="22"/>
        </w:rPr>
        <w:t xml:space="preserve"> measure in terms of health</w:t>
      </w:r>
      <w:r w:rsidRPr="00471447">
        <w:rPr>
          <w:rFonts w:ascii="Times New Roman" w:eastAsia="Cambria" w:hAnsi="Times New Roman" w:cs="Times New Roman"/>
          <w:kern w:val="22"/>
        </w:rPr>
        <w:t xml:space="preserve"> burden, do have co-benefits. It was noted that a new study would be made available today and officially launched at the European Conference on Biodiversity and Health in the </w:t>
      </w:r>
      <w:r w:rsidR="007535C3" w:rsidRPr="00471447">
        <w:rPr>
          <w:rFonts w:ascii="Times New Roman" w:eastAsia="Cambria" w:hAnsi="Times New Roman" w:cs="Times New Roman"/>
          <w:kern w:val="22"/>
        </w:rPr>
        <w:t xml:space="preserve">Context of Climate Change </w:t>
      </w:r>
      <w:r w:rsidRPr="00471447">
        <w:rPr>
          <w:rFonts w:ascii="Times New Roman" w:eastAsia="Cambria" w:hAnsi="Times New Roman" w:cs="Times New Roman"/>
          <w:kern w:val="22"/>
        </w:rPr>
        <w:t>in June 2017. He noted that the study</w:t>
      </w:r>
      <w:r w:rsidR="00E11C3E" w:rsidRPr="00471447">
        <w:rPr>
          <w:rFonts w:ascii="Times New Roman" w:eastAsia="Cambria" w:hAnsi="Times New Roman" w:cs="Times New Roman"/>
          <w:kern w:val="22"/>
        </w:rPr>
        <w:t xml:space="preserve"> also </w:t>
      </w:r>
      <w:r w:rsidRPr="00471447">
        <w:rPr>
          <w:rFonts w:ascii="Times New Roman" w:eastAsia="Cambria" w:hAnsi="Times New Roman" w:cs="Times New Roman"/>
          <w:kern w:val="22"/>
        </w:rPr>
        <w:t>reference</w:t>
      </w:r>
      <w:r w:rsidR="00E11C3E" w:rsidRPr="00471447">
        <w:rPr>
          <w:rFonts w:ascii="Times New Roman" w:eastAsia="Cambria" w:hAnsi="Times New Roman" w:cs="Times New Roman"/>
          <w:kern w:val="22"/>
        </w:rPr>
        <w:t xml:space="preserve">s studies </w:t>
      </w:r>
      <w:r w:rsidRPr="00471447">
        <w:rPr>
          <w:rFonts w:ascii="Times New Roman" w:eastAsia="Cambria" w:hAnsi="Times New Roman" w:cs="Times New Roman"/>
          <w:kern w:val="22"/>
        </w:rPr>
        <w:t>examining</w:t>
      </w:r>
      <w:r w:rsidR="00E11C3E" w:rsidRPr="00471447">
        <w:rPr>
          <w:rFonts w:ascii="Times New Roman" w:eastAsia="Cambria" w:hAnsi="Times New Roman" w:cs="Times New Roman"/>
          <w:kern w:val="22"/>
        </w:rPr>
        <w:t xml:space="preserve"> the links between green spaces and</w:t>
      </w:r>
      <w:r w:rsidRPr="00471447">
        <w:rPr>
          <w:rFonts w:ascii="Times New Roman" w:eastAsia="Cambria" w:hAnsi="Times New Roman" w:cs="Times New Roman"/>
          <w:kern w:val="22"/>
        </w:rPr>
        <w:t xml:space="preserve"> the removal of</w:t>
      </w:r>
      <w:r w:rsidR="00E11C3E" w:rsidRPr="00471447">
        <w:rPr>
          <w:rFonts w:ascii="Times New Roman" w:eastAsia="Cambria" w:hAnsi="Times New Roman" w:cs="Times New Roman"/>
          <w:kern w:val="22"/>
        </w:rPr>
        <w:t xml:space="preserve"> air pollution removal. </w:t>
      </w:r>
    </w:p>
    <w:p w:rsidR="003E5B9E" w:rsidRPr="00471447" w:rsidRDefault="003E5B9E" w:rsidP="00471447">
      <w:pPr>
        <w:pStyle w:val="HEADINGNOTFORTOC"/>
        <w:spacing w:before="120" w:after="120"/>
        <w:rPr>
          <w:kern w:val="22"/>
          <w:szCs w:val="22"/>
        </w:rPr>
      </w:pPr>
      <w:r w:rsidRPr="00471447">
        <w:rPr>
          <w:kern w:val="22"/>
          <w:szCs w:val="22"/>
        </w:rPr>
        <w:t xml:space="preserve">ITEM 8: </w:t>
      </w:r>
      <w:r w:rsidR="00213C5E" w:rsidRPr="00471447">
        <w:rPr>
          <w:kern w:val="22"/>
          <w:szCs w:val="22"/>
        </w:rPr>
        <w:t xml:space="preserve">TOUR DE TABLE: </w:t>
      </w:r>
      <w:r w:rsidRPr="00471447">
        <w:rPr>
          <w:kern w:val="22"/>
          <w:szCs w:val="22"/>
        </w:rPr>
        <w:t xml:space="preserve">BRIEFING ON RELEVANT ACTIVITIES </w:t>
      </w:r>
      <w:r w:rsidR="00213C5E" w:rsidRPr="00471447">
        <w:rPr>
          <w:kern w:val="22"/>
          <w:szCs w:val="22"/>
        </w:rPr>
        <w:t xml:space="preserve">AND POTENTIAL AREAS OF SYNERGY BY </w:t>
      </w:r>
      <w:r w:rsidR="006540BA" w:rsidRPr="00471447">
        <w:rPr>
          <w:kern w:val="22"/>
          <w:szCs w:val="22"/>
        </w:rPr>
        <w:t>WHO AND EXPERT OBSERVERS</w:t>
      </w:r>
    </w:p>
    <w:p w:rsidR="002C067C" w:rsidRPr="00471447" w:rsidRDefault="008F7E7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Francesco Branca director of nutrition division at WHO HQ and member of the Standing Committee on Nutrition, </w:t>
      </w:r>
      <w:r w:rsidR="003D4B50" w:rsidRPr="00471447">
        <w:rPr>
          <w:rFonts w:ascii="Times New Roman" w:eastAsia="Cambria" w:hAnsi="Times New Roman" w:cs="Times New Roman"/>
          <w:kern w:val="22"/>
        </w:rPr>
        <w:t>delivered a presentation on the UN Decade on Nutrition to ILG members. Thereafter, e</w:t>
      </w:r>
      <w:r w:rsidR="002C067C" w:rsidRPr="00471447">
        <w:rPr>
          <w:rFonts w:ascii="Times New Roman" w:eastAsia="Cambria" w:hAnsi="Times New Roman" w:cs="Times New Roman"/>
          <w:kern w:val="22"/>
        </w:rPr>
        <w:t xml:space="preserve">xperts were invited to deliver short presentations on relevant activities and potential areas of synergy with ILG objectives. The </w:t>
      </w:r>
      <w:r w:rsidR="00C827FA" w:rsidRPr="00471447">
        <w:rPr>
          <w:rFonts w:ascii="Times New Roman" w:eastAsia="Cambria" w:hAnsi="Times New Roman" w:cs="Times New Roman"/>
          <w:kern w:val="22"/>
        </w:rPr>
        <w:t xml:space="preserve">expert </w:t>
      </w:r>
      <w:r w:rsidR="002C067C" w:rsidRPr="00471447">
        <w:rPr>
          <w:rFonts w:ascii="Times New Roman" w:eastAsia="Cambria" w:hAnsi="Times New Roman" w:cs="Times New Roman"/>
          <w:kern w:val="22"/>
        </w:rPr>
        <w:t xml:space="preserve">presentations are </w:t>
      </w:r>
      <w:r w:rsidR="00C827FA" w:rsidRPr="00471447">
        <w:rPr>
          <w:rFonts w:ascii="Times New Roman" w:eastAsia="Cambria" w:hAnsi="Times New Roman" w:cs="Times New Roman"/>
          <w:kern w:val="22"/>
        </w:rPr>
        <w:t>available on the Liaison Group</w:t>
      </w:r>
      <w:r w:rsidR="002C067C" w:rsidRPr="00471447">
        <w:rPr>
          <w:rFonts w:ascii="Times New Roman" w:eastAsia="Cambria" w:hAnsi="Times New Roman" w:cs="Times New Roman"/>
          <w:kern w:val="22"/>
        </w:rPr>
        <w:t xml:space="preserve"> </w:t>
      </w:r>
      <w:r w:rsidR="00C827FA" w:rsidRPr="00471447">
        <w:rPr>
          <w:rFonts w:ascii="Times New Roman" w:eastAsia="Cambria" w:hAnsi="Times New Roman" w:cs="Times New Roman"/>
          <w:kern w:val="22"/>
        </w:rPr>
        <w:t xml:space="preserve">website </w:t>
      </w:r>
      <w:r w:rsidR="002C067C" w:rsidRPr="00471447">
        <w:rPr>
          <w:rFonts w:ascii="Times New Roman" w:eastAsia="Cambria" w:hAnsi="Times New Roman" w:cs="Times New Roman"/>
          <w:kern w:val="22"/>
        </w:rPr>
        <w:t xml:space="preserve">at </w:t>
      </w:r>
      <w:hyperlink r:id="rId26" w:anchor="tab=0" w:history="1">
        <w:r w:rsidR="002C067C" w:rsidRPr="00471447">
          <w:rPr>
            <w:rStyle w:val="Hyperlink"/>
            <w:rFonts w:ascii="Times New Roman" w:eastAsia="Cambria" w:hAnsi="Times New Roman" w:cs="Times New Roman"/>
            <w:kern w:val="22"/>
          </w:rPr>
          <w:t>https://www.cbd.int/health/ilg-health/default.shtml#tab=0</w:t>
        </w:r>
      </w:hyperlink>
      <w:r w:rsidR="002C067C" w:rsidRPr="00471447">
        <w:rPr>
          <w:rFonts w:ascii="Times New Roman" w:eastAsia="Cambria" w:hAnsi="Times New Roman" w:cs="Times New Roman"/>
          <w:kern w:val="22"/>
        </w:rPr>
        <w:t xml:space="preserve">  </w:t>
      </w:r>
    </w:p>
    <w:p w:rsidR="00F67824" w:rsidRPr="00471447" w:rsidRDefault="008F7E7F"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Branca </w:t>
      </w:r>
      <w:r w:rsidR="00A862D7" w:rsidRPr="00471447">
        <w:rPr>
          <w:rFonts w:ascii="Times New Roman" w:eastAsia="Cambria" w:hAnsi="Times New Roman" w:cs="Times New Roman"/>
          <w:kern w:val="22"/>
        </w:rPr>
        <w:t xml:space="preserve">discussed </w:t>
      </w:r>
      <w:r w:rsidR="003D4B50" w:rsidRPr="00471447">
        <w:rPr>
          <w:rFonts w:ascii="Times New Roman" w:eastAsia="Cambria" w:hAnsi="Times New Roman" w:cs="Times New Roman"/>
          <w:kern w:val="22"/>
        </w:rPr>
        <w:t xml:space="preserve">work </w:t>
      </w:r>
      <w:r w:rsidR="003363E2" w:rsidRPr="00471447">
        <w:rPr>
          <w:rFonts w:ascii="Times New Roman" w:eastAsia="Cambria" w:hAnsi="Times New Roman" w:cs="Times New Roman"/>
          <w:kern w:val="22"/>
        </w:rPr>
        <w:t xml:space="preserve">being </w:t>
      </w:r>
      <w:r w:rsidR="00A862D7" w:rsidRPr="00471447">
        <w:rPr>
          <w:rFonts w:ascii="Times New Roman" w:eastAsia="Cambria" w:hAnsi="Times New Roman" w:cs="Times New Roman"/>
          <w:kern w:val="22"/>
        </w:rPr>
        <w:t>under preparation</w:t>
      </w:r>
      <w:r w:rsidR="003363E2" w:rsidRPr="00471447">
        <w:rPr>
          <w:rFonts w:ascii="Times New Roman" w:eastAsia="Cambria" w:hAnsi="Times New Roman" w:cs="Times New Roman"/>
          <w:kern w:val="22"/>
        </w:rPr>
        <w:t xml:space="preserve"> by </w:t>
      </w:r>
      <w:r w:rsidR="003D4B50" w:rsidRPr="00471447">
        <w:rPr>
          <w:rFonts w:ascii="Times New Roman" w:eastAsia="Cambria" w:hAnsi="Times New Roman" w:cs="Times New Roman"/>
          <w:kern w:val="22"/>
        </w:rPr>
        <w:t xml:space="preserve">the nutrition community </w:t>
      </w:r>
      <w:r w:rsidR="00477AC4" w:rsidRPr="00471447">
        <w:rPr>
          <w:rFonts w:ascii="Times New Roman" w:eastAsia="Cambria" w:hAnsi="Times New Roman" w:cs="Times New Roman"/>
          <w:kern w:val="22"/>
        </w:rPr>
        <w:t>in line with t</w:t>
      </w:r>
      <w:r w:rsidR="003D4B50" w:rsidRPr="00471447">
        <w:rPr>
          <w:rFonts w:ascii="Times New Roman" w:eastAsia="Cambria" w:hAnsi="Times New Roman" w:cs="Times New Roman"/>
          <w:kern w:val="22"/>
        </w:rPr>
        <w:t xml:space="preserve">he </w:t>
      </w:r>
      <w:r w:rsidR="003363E2" w:rsidRPr="00471447">
        <w:rPr>
          <w:rFonts w:ascii="Times New Roman" w:eastAsia="Cambria" w:hAnsi="Times New Roman" w:cs="Times New Roman"/>
          <w:kern w:val="22"/>
        </w:rPr>
        <w:t xml:space="preserve">recommendations of the </w:t>
      </w:r>
      <w:r w:rsidR="003D4B50" w:rsidRPr="00471447">
        <w:rPr>
          <w:rFonts w:ascii="Times New Roman" w:eastAsia="Cambria" w:hAnsi="Times New Roman" w:cs="Times New Roman"/>
          <w:kern w:val="22"/>
        </w:rPr>
        <w:t>Second International Conference on Nutrition (ICN2) Framework for Action</w:t>
      </w:r>
      <w:r w:rsidR="00A862D7" w:rsidRPr="00471447">
        <w:rPr>
          <w:rFonts w:ascii="Times New Roman" w:eastAsia="Cambria" w:hAnsi="Times New Roman" w:cs="Times New Roman"/>
          <w:kern w:val="22"/>
        </w:rPr>
        <w:t>, noting that</w:t>
      </w:r>
      <w:r w:rsidR="003D4B50" w:rsidRPr="00471447">
        <w:rPr>
          <w:rFonts w:ascii="Times New Roman" w:eastAsia="Cambria" w:hAnsi="Times New Roman" w:cs="Times New Roman"/>
          <w:kern w:val="22"/>
        </w:rPr>
        <w:t xml:space="preserve"> </w:t>
      </w:r>
      <w:r w:rsidR="00A862D7" w:rsidRPr="00471447">
        <w:rPr>
          <w:rFonts w:ascii="Times New Roman" w:eastAsia="Cambria" w:hAnsi="Times New Roman" w:cs="Times New Roman"/>
          <w:kern w:val="22"/>
        </w:rPr>
        <w:t>strengthening cross-sectoral work on f</w:t>
      </w:r>
      <w:r w:rsidR="003D4B50" w:rsidRPr="00471447">
        <w:rPr>
          <w:rFonts w:ascii="Times New Roman" w:eastAsia="Cambria" w:hAnsi="Times New Roman" w:cs="Times New Roman"/>
          <w:kern w:val="22"/>
        </w:rPr>
        <w:t xml:space="preserve">ood systems </w:t>
      </w:r>
      <w:r w:rsidR="00A862D7" w:rsidRPr="00471447">
        <w:rPr>
          <w:rFonts w:ascii="Times New Roman" w:eastAsia="Cambria" w:hAnsi="Times New Roman" w:cs="Times New Roman"/>
          <w:kern w:val="22"/>
        </w:rPr>
        <w:t>provides significant opportunities to maximize co-benefits</w:t>
      </w:r>
      <w:r w:rsidR="00477AC4" w:rsidRPr="00471447">
        <w:rPr>
          <w:rFonts w:ascii="Times New Roman" w:eastAsia="Cambria" w:hAnsi="Times New Roman" w:cs="Times New Roman"/>
          <w:kern w:val="22"/>
        </w:rPr>
        <w:t xml:space="preserve">. </w:t>
      </w:r>
      <w:r w:rsidR="00A862D7" w:rsidRPr="00471447">
        <w:rPr>
          <w:rFonts w:ascii="Times New Roman" w:eastAsia="Cambria" w:hAnsi="Times New Roman" w:cs="Times New Roman"/>
          <w:kern w:val="22"/>
        </w:rPr>
        <w:t xml:space="preserve">It was noted </w:t>
      </w:r>
      <w:r w:rsidR="003223B2" w:rsidRPr="00471447">
        <w:rPr>
          <w:rFonts w:ascii="Times New Roman" w:eastAsia="Cambria" w:hAnsi="Times New Roman" w:cs="Times New Roman"/>
          <w:kern w:val="22"/>
        </w:rPr>
        <w:t>the UN Decade of A</w:t>
      </w:r>
      <w:r w:rsidR="003D4B50" w:rsidRPr="00471447">
        <w:rPr>
          <w:rFonts w:ascii="Times New Roman" w:eastAsia="Cambria" w:hAnsi="Times New Roman" w:cs="Times New Roman"/>
          <w:kern w:val="22"/>
        </w:rPr>
        <w:t>ction on Nutritio</w:t>
      </w:r>
      <w:r w:rsidR="00A862D7" w:rsidRPr="00471447">
        <w:rPr>
          <w:rFonts w:ascii="Times New Roman" w:eastAsia="Cambria" w:hAnsi="Times New Roman" w:cs="Times New Roman"/>
          <w:kern w:val="22"/>
        </w:rPr>
        <w:t>n</w:t>
      </w:r>
      <w:r w:rsidR="003D4B50" w:rsidRPr="00471447">
        <w:rPr>
          <w:rFonts w:ascii="Times New Roman" w:eastAsia="Cambria" w:hAnsi="Times New Roman" w:cs="Times New Roman"/>
          <w:kern w:val="22"/>
        </w:rPr>
        <w:t xml:space="preserve"> </w:t>
      </w:r>
      <w:r w:rsidR="00477AC4" w:rsidRPr="00471447">
        <w:rPr>
          <w:rFonts w:ascii="Times New Roman" w:eastAsia="Cambria" w:hAnsi="Times New Roman" w:cs="Times New Roman"/>
          <w:kern w:val="22"/>
        </w:rPr>
        <w:t>provides</w:t>
      </w:r>
      <w:r w:rsidR="003D4B50" w:rsidRPr="00471447">
        <w:rPr>
          <w:rFonts w:ascii="Times New Roman" w:eastAsia="Cambria" w:hAnsi="Times New Roman" w:cs="Times New Roman"/>
          <w:kern w:val="22"/>
        </w:rPr>
        <w:t xml:space="preserve"> opportunit</w:t>
      </w:r>
      <w:r w:rsidR="00A862D7" w:rsidRPr="00471447">
        <w:rPr>
          <w:rFonts w:ascii="Times New Roman" w:eastAsia="Cambria" w:hAnsi="Times New Roman" w:cs="Times New Roman"/>
          <w:kern w:val="22"/>
        </w:rPr>
        <w:t>ies</w:t>
      </w:r>
      <w:r w:rsidR="003D4B50" w:rsidRPr="00471447">
        <w:rPr>
          <w:rFonts w:ascii="Times New Roman" w:eastAsia="Cambria" w:hAnsi="Times New Roman" w:cs="Times New Roman"/>
          <w:kern w:val="22"/>
        </w:rPr>
        <w:t xml:space="preserve"> to </w:t>
      </w:r>
      <w:r w:rsidR="00A862D7" w:rsidRPr="00471447">
        <w:rPr>
          <w:rFonts w:ascii="Times New Roman" w:eastAsia="Cambria" w:hAnsi="Times New Roman" w:cs="Times New Roman"/>
          <w:kern w:val="22"/>
        </w:rPr>
        <w:t xml:space="preserve">better </w:t>
      </w:r>
      <w:r w:rsidR="00C35FF3" w:rsidRPr="00471447">
        <w:rPr>
          <w:rFonts w:ascii="Times New Roman" w:eastAsia="Cambria" w:hAnsi="Times New Roman" w:cs="Times New Roman"/>
          <w:kern w:val="22"/>
        </w:rPr>
        <w:t xml:space="preserve">link </w:t>
      </w:r>
      <w:r w:rsidR="003D4B50" w:rsidRPr="00471447">
        <w:rPr>
          <w:rFonts w:ascii="Times New Roman" w:eastAsia="Cambria" w:hAnsi="Times New Roman" w:cs="Times New Roman"/>
          <w:kern w:val="22"/>
        </w:rPr>
        <w:t>the enviro</w:t>
      </w:r>
      <w:r w:rsidR="00F67824" w:rsidRPr="00471447">
        <w:rPr>
          <w:rFonts w:ascii="Times New Roman" w:eastAsia="Cambria" w:hAnsi="Times New Roman" w:cs="Times New Roman"/>
          <w:kern w:val="22"/>
        </w:rPr>
        <w:t>nmental</w:t>
      </w:r>
      <w:r w:rsidR="00A862D7" w:rsidRPr="00471447">
        <w:rPr>
          <w:rFonts w:ascii="Times New Roman" w:eastAsia="Cambria" w:hAnsi="Times New Roman" w:cs="Times New Roman"/>
          <w:kern w:val="22"/>
        </w:rPr>
        <w:t>,</w:t>
      </w:r>
      <w:r w:rsidR="00F67824" w:rsidRPr="00471447">
        <w:rPr>
          <w:rFonts w:ascii="Times New Roman" w:eastAsia="Cambria" w:hAnsi="Times New Roman" w:cs="Times New Roman"/>
          <w:kern w:val="22"/>
        </w:rPr>
        <w:t xml:space="preserve"> </w:t>
      </w:r>
      <w:r w:rsidR="00A862D7" w:rsidRPr="00471447">
        <w:rPr>
          <w:rFonts w:ascii="Times New Roman" w:eastAsia="Cambria" w:hAnsi="Times New Roman" w:cs="Times New Roman"/>
          <w:kern w:val="22"/>
        </w:rPr>
        <w:t xml:space="preserve">health, and </w:t>
      </w:r>
      <w:r w:rsidR="00F67824" w:rsidRPr="00471447">
        <w:rPr>
          <w:rFonts w:ascii="Times New Roman" w:eastAsia="Cambria" w:hAnsi="Times New Roman" w:cs="Times New Roman"/>
          <w:kern w:val="22"/>
        </w:rPr>
        <w:t>nutrition</w:t>
      </w:r>
      <w:r w:rsidR="00A862D7" w:rsidRPr="00471447">
        <w:rPr>
          <w:rFonts w:ascii="Times New Roman" w:eastAsia="Cambria" w:hAnsi="Times New Roman" w:cs="Times New Roman"/>
          <w:kern w:val="22"/>
        </w:rPr>
        <w:t xml:space="preserve"> </w:t>
      </w:r>
      <w:r w:rsidR="00F67824" w:rsidRPr="00471447">
        <w:rPr>
          <w:rFonts w:ascii="Times New Roman" w:eastAsia="Cambria" w:hAnsi="Times New Roman" w:cs="Times New Roman"/>
          <w:kern w:val="22"/>
        </w:rPr>
        <w:t>movements</w:t>
      </w:r>
      <w:r w:rsidR="00C35FF3" w:rsidRPr="00471447">
        <w:rPr>
          <w:rFonts w:ascii="Times New Roman" w:eastAsia="Cambria" w:hAnsi="Times New Roman" w:cs="Times New Roman"/>
          <w:kern w:val="22"/>
        </w:rPr>
        <w:t>, building on</w:t>
      </w:r>
      <w:r w:rsidR="00F67824" w:rsidRPr="00471447">
        <w:rPr>
          <w:rFonts w:ascii="Times New Roman" w:eastAsia="Cambria" w:hAnsi="Times New Roman" w:cs="Times New Roman"/>
          <w:kern w:val="22"/>
        </w:rPr>
        <w:t xml:space="preserve"> country-owned and country-</w:t>
      </w:r>
      <w:r w:rsidR="003D4B50" w:rsidRPr="00471447">
        <w:rPr>
          <w:rFonts w:ascii="Times New Roman" w:eastAsia="Cambria" w:hAnsi="Times New Roman" w:cs="Times New Roman"/>
          <w:kern w:val="22"/>
        </w:rPr>
        <w:t xml:space="preserve">led action to implement </w:t>
      </w:r>
      <w:r w:rsidR="00C35FF3" w:rsidRPr="00471447">
        <w:rPr>
          <w:rFonts w:ascii="Times New Roman" w:eastAsia="Cambria" w:hAnsi="Times New Roman" w:cs="Times New Roman"/>
          <w:kern w:val="22"/>
        </w:rPr>
        <w:t xml:space="preserve">the </w:t>
      </w:r>
      <w:r w:rsidR="003D4B50" w:rsidRPr="00471447">
        <w:rPr>
          <w:rFonts w:ascii="Times New Roman" w:eastAsia="Cambria" w:hAnsi="Times New Roman" w:cs="Times New Roman"/>
          <w:kern w:val="22"/>
        </w:rPr>
        <w:t xml:space="preserve">2030 agenda for sustainable development. </w:t>
      </w:r>
      <w:r w:rsidR="00C35FF3" w:rsidRPr="00471447">
        <w:rPr>
          <w:rFonts w:ascii="Times New Roman" w:eastAsia="Cambria" w:hAnsi="Times New Roman" w:cs="Times New Roman"/>
          <w:kern w:val="22"/>
        </w:rPr>
        <w:t>T</w:t>
      </w:r>
      <w:r w:rsidR="003D4B50" w:rsidRPr="00471447">
        <w:rPr>
          <w:rFonts w:ascii="Times New Roman" w:eastAsia="Cambria" w:hAnsi="Times New Roman" w:cs="Times New Roman"/>
          <w:kern w:val="22"/>
        </w:rPr>
        <w:t>ranslat</w:t>
      </w:r>
      <w:r w:rsidR="00C35FF3" w:rsidRPr="00471447">
        <w:rPr>
          <w:rFonts w:ascii="Times New Roman" w:eastAsia="Cambria" w:hAnsi="Times New Roman" w:cs="Times New Roman"/>
          <w:kern w:val="22"/>
        </w:rPr>
        <w:t>ing</w:t>
      </w:r>
      <w:r w:rsidR="003D4B50" w:rsidRPr="00471447">
        <w:rPr>
          <w:rFonts w:ascii="Times New Roman" w:eastAsia="Cambria" w:hAnsi="Times New Roman" w:cs="Times New Roman"/>
          <w:kern w:val="22"/>
        </w:rPr>
        <w:t xml:space="preserve"> </w:t>
      </w:r>
      <w:r w:rsidR="00F67824" w:rsidRPr="00471447">
        <w:rPr>
          <w:rFonts w:ascii="Times New Roman" w:eastAsia="Cambria" w:hAnsi="Times New Roman" w:cs="Times New Roman"/>
          <w:kern w:val="22"/>
        </w:rPr>
        <w:t>the</w:t>
      </w:r>
      <w:r w:rsidR="003D4B50" w:rsidRPr="00471447">
        <w:rPr>
          <w:rFonts w:ascii="Times New Roman" w:eastAsia="Cambria" w:hAnsi="Times New Roman" w:cs="Times New Roman"/>
          <w:kern w:val="22"/>
        </w:rPr>
        <w:t xml:space="preserve"> ICN2 commitments and </w:t>
      </w:r>
      <w:r w:rsidR="00A862D7" w:rsidRPr="00471447">
        <w:rPr>
          <w:rFonts w:ascii="Times New Roman" w:eastAsia="Cambria" w:hAnsi="Times New Roman" w:cs="Times New Roman"/>
          <w:kern w:val="22"/>
        </w:rPr>
        <w:t>the SDGs</w:t>
      </w:r>
      <w:r w:rsidR="003D4B50" w:rsidRPr="00471447">
        <w:rPr>
          <w:rFonts w:ascii="Times New Roman" w:eastAsia="Cambria" w:hAnsi="Times New Roman" w:cs="Times New Roman"/>
          <w:kern w:val="22"/>
        </w:rPr>
        <w:t>, particularly SDG</w:t>
      </w:r>
      <w:r w:rsidR="00F67824"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2, in</w:t>
      </w:r>
      <w:r w:rsidR="00F67824" w:rsidRPr="00471447">
        <w:rPr>
          <w:rFonts w:ascii="Times New Roman" w:eastAsia="Cambria" w:hAnsi="Times New Roman" w:cs="Times New Roman"/>
          <w:kern w:val="22"/>
        </w:rPr>
        <w:t>to</w:t>
      </w:r>
      <w:r w:rsidR="003D4B50" w:rsidRPr="00471447">
        <w:rPr>
          <w:rFonts w:ascii="Times New Roman" w:eastAsia="Cambria" w:hAnsi="Times New Roman" w:cs="Times New Roman"/>
          <w:kern w:val="22"/>
        </w:rPr>
        <w:t xml:space="preserve"> concrete polici</w:t>
      </w:r>
      <w:r w:rsidR="00F67824" w:rsidRPr="00471447">
        <w:rPr>
          <w:rFonts w:ascii="Times New Roman" w:eastAsia="Cambria" w:hAnsi="Times New Roman" w:cs="Times New Roman"/>
          <w:kern w:val="22"/>
        </w:rPr>
        <w:t>es, programmes, and investments will require working across</w:t>
      </w:r>
      <w:r w:rsidR="003D4B50" w:rsidRPr="00471447">
        <w:rPr>
          <w:rFonts w:ascii="Times New Roman" w:eastAsia="Cambria" w:hAnsi="Times New Roman" w:cs="Times New Roman"/>
          <w:kern w:val="22"/>
        </w:rPr>
        <w:t xml:space="preserve"> the food system, social system, social protection, education, trade and investment and work on safe environments with stronger accountability for achieving global, regional and national nutrition targets.</w:t>
      </w:r>
    </w:p>
    <w:p w:rsidR="00DB7ABE" w:rsidRPr="00471447" w:rsidRDefault="00A862D7"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 xml:space="preserve">Mr. Branca highlighted </w:t>
      </w:r>
      <w:r w:rsidR="00C35FF3" w:rsidRPr="00471447">
        <w:rPr>
          <w:rFonts w:ascii="Times New Roman" w:eastAsia="Cambria" w:hAnsi="Times New Roman" w:cs="Times New Roman"/>
          <w:kern w:val="22"/>
        </w:rPr>
        <w:t>the urgent need for s</w:t>
      </w:r>
      <w:r w:rsidR="003D4B50" w:rsidRPr="00471447">
        <w:rPr>
          <w:rFonts w:ascii="Times New Roman" w:eastAsia="Cambria" w:hAnsi="Times New Roman" w:cs="Times New Roman"/>
          <w:kern w:val="22"/>
        </w:rPr>
        <w:t xml:space="preserve">pecific, measurable, achievable, and time-bound </w:t>
      </w:r>
      <w:r w:rsidR="00C35FF3" w:rsidRPr="00471447">
        <w:rPr>
          <w:rFonts w:ascii="Times New Roman" w:eastAsia="Cambria" w:hAnsi="Times New Roman" w:cs="Times New Roman"/>
          <w:kern w:val="22"/>
        </w:rPr>
        <w:t xml:space="preserve">commitments, </w:t>
      </w:r>
      <w:r w:rsidR="003D4B50" w:rsidRPr="00471447">
        <w:rPr>
          <w:rFonts w:ascii="Times New Roman" w:eastAsia="Cambria" w:hAnsi="Times New Roman" w:cs="Times New Roman"/>
          <w:kern w:val="22"/>
        </w:rPr>
        <w:t>commonly addressed in the context of planetary boundaries</w:t>
      </w:r>
      <w:r w:rsidR="00C35FF3" w:rsidRPr="00471447">
        <w:rPr>
          <w:rFonts w:ascii="Times New Roman" w:eastAsia="Cambria" w:hAnsi="Times New Roman" w:cs="Times New Roman"/>
          <w:kern w:val="22"/>
        </w:rPr>
        <w:t>.</w:t>
      </w:r>
      <w:r w:rsidR="00F67824" w:rsidRPr="00471447">
        <w:rPr>
          <w:rFonts w:ascii="Times New Roman" w:eastAsia="Cambria" w:hAnsi="Times New Roman" w:cs="Times New Roman"/>
          <w:kern w:val="22"/>
        </w:rPr>
        <w:t xml:space="preserve"> He noted that the </w:t>
      </w:r>
      <w:r w:rsidR="003D4B50" w:rsidRPr="00471447">
        <w:rPr>
          <w:rFonts w:ascii="Times New Roman" w:eastAsia="Cambria" w:hAnsi="Times New Roman" w:cs="Times New Roman"/>
          <w:kern w:val="22"/>
        </w:rPr>
        <w:t xml:space="preserve">synergies between </w:t>
      </w:r>
      <w:r w:rsidR="00C35FF3" w:rsidRPr="00471447">
        <w:rPr>
          <w:rFonts w:ascii="Times New Roman" w:eastAsia="Cambria" w:hAnsi="Times New Roman" w:cs="Times New Roman"/>
          <w:kern w:val="22"/>
        </w:rPr>
        <w:t xml:space="preserve">the </w:t>
      </w:r>
      <w:r w:rsidR="003D4B50" w:rsidRPr="00471447">
        <w:rPr>
          <w:rFonts w:ascii="Times New Roman" w:eastAsia="Cambria" w:hAnsi="Times New Roman" w:cs="Times New Roman"/>
          <w:kern w:val="22"/>
        </w:rPr>
        <w:t>UN</w:t>
      </w:r>
      <w:r w:rsidR="00F67824" w:rsidRPr="00471447">
        <w:rPr>
          <w:rFonts w:ascii="Times New Roman" w:eastAsia="Cambria" w:hAnsi="Times New Roman" w:cs="Times New Roman"/>
          <w:kern w:val="22"/>
        </w:rPr>
        <w:t xml:space="preserve"> Decade of Action on Nutrition</w:t>
      </w:r>
      <w:r w:rsidRPr="00471447">
        <w:rPr>
          <w:rFonts w:ascii="Times New Roman" w:eastAsia="Cambria" w:hAnsi="Times New Roman" w:cs="Times New Roman"/>
          <w:kern w:val="22"/>
        </w:rPr>
        <w:t xml:space="preserve">, </w:t>
      </w:r>
      <w:r w:rsidR="00C35FF3" w:rsidRPr="00471447">
        <w:rPr>
          <w:rFonts w:ascii="Times New Roman" w:eastAsia="Cambria" w:hAnsi="Times New Roman" w:cs="Times New Roman"/>
          <w:kern w:val="22"/>
        </w:rPr>
        <w:t xml:space="preserve">the </w:t>
      </w:r>
      <w:r w:rsidR="003D4B50" w:rsidRPr="00471447">
        <w:rPr>
          <w:rFonts w:ascii="Times New Roman" w:eastAsia="Cambria" w:hAnsi="Times New Roman" w:cs="Times New Roman"/>
          <w:kern w:val="22"/>
        </w:rPr>
        <w:t xml:space="preserve">UN Decade on Biodiversity </w:t>
      </w:r>
      <w:r w:rsidRPr="00471447">
        <w:rPr>
          <w:rFonts w:ascii="Times New Roman" w:eastAsia="Cambria" w:hAnsi="Times New Roman" w:cs="Times New Roman"/>
          <w:kern w:val="22"/>
        </w:rPr>
        <w:t xml:space="preserve">and SDGs </w:t>
      </w:r>
      <w:r w:rsidR="003D4B50" w:rsidRPr="00471447">
        <w:rPr>
          <w:rFonts w:ascii="Times New Roman" w:eastAsia="Cambria" w:hAnsi="Times New Roman" w:cs="Times New Roman"/>
          <w:kern w:val="22"/>
        </w:rPr>
        <w:t xml:space="preserve">can be </w:t>
      </w:r>
      <w:r w:rsidR="00F67824" w:rsidRPr="00471447">
        <w:rPr>
          <w:rFonts w:ascii="Times New Roman" w:eastAsia="Cambria" w:hAnsi="Times New Roman" w:cs="Times New Roman"/>
          <w:kern w:val="22"/>
        </w:rPr>
        <w:t xml:space="preserve">better </w:t>
      </w:r>
      <w:r w:rsidR="003D4B50" w:rsidRPr="00471447">
        <w:rPr>
          <w:rFonts w:ascii="Times New Roman" w:eastAsia="Cambria" w:hAnsi="Times New Roman" w:cs="Times New Roman"/>
          <w:kern w:val="22"/>
        </w:rPr>
        <w:t>harnessed</w:t>
      </w:r>
      <w:r w:rsidR="003363E2" w:rsidRPr="00471447">
        <w:rPr>
          <w:rFonts w:ascii="Times New Roman" w:eastAsia="Cambria" w:hAnsi="Times New Roman" w:cs="Times New Roman"/>
          <w:kern w:val="22"/>
        </w:rPr>
        <w:t xml:space="preserve"> by strengthening collaboration under the </w:t>
      </w:r>
      <w:r w:rsidR="0061487C" w:rsidRPr="009C20A3">
        <w:rPr>
          <w:rFonts w:ascii="Times New Roman" w:eastAsia="Cambria" w:hAnsi="Times New Roman" w:cs="Times New Roman"/>
          <w:kern w:val="22"/>
        </w:rPr>
        <w:t>joint work programme</w:t>
      </w:r>
      <w:r w:rsidR="003363E2" w:rsidRPr="00471447">
        <w:rPr>
          <w:rFonts w:ascii="Times New Roman" w:eastAsia="Cambria" w:hAnsi="Times New Roman" w:cs="Times New Roman"/>
          <w:kern w:val="22"/>
        </w:rPr>
        <w:t xml:space="preserve">. For example </w:t>
      </w:r>
      <w:r w:rsidR="00F67824" w:rsidRPr="00471447">
        <w:rPr>
          <w:rFonts w:ascii="Times New Roman" w:eastAsia="Cambria" w:hAnsi="Times New Roman" w:cs="Times New Roman"/>
          <w:kern w:val="22"/>
        </w:rPr>
        <w:t>by</w:t>
      </w:r>
      <w:r w:rsidR="003D4B50" w:rsidRPr="00471447">
        <w:rPr>
          <w:rFonts w:ascii="Times New Roman" w:eastAsia="Cambria" w:hAnsi="Times New Roman" w:cs="Times New Roman"/>
          <w:kern w:val="22"/>
        </w:rPr>
        <w:t xml:space="preserve"> </w:t>
      </w:r>
      <w:r w:rsidR="00DB7ABE" w:rsidRPr="00471447">
        <w:rPr>
          <w:rFonts w:ascii="Times New Roman" w:eastAsia="Cambria" w:hAnsi="Times New Roman" w:cs="Times New Roman"/>
          <w:kern w:val="22"/>
        </w:rPr>
        <w:t>supporting national commitments</w:t>
      </w:r>
      <w:r w:rsidR="003363E2" w:rsidRPr="00471447">
        <w:rPr>
          <w:rFonts w:ascii="Times New Roman" w:eastAsia="Cambria" w:hAnsi="Times New Roman" w:cs="Times New Roman"/>
          <w:kern w:val="22"/>
        </w:rPr>
        <w:t xml:space="preserve"> made for the Nutrition Decade</w:t>
      </w:r>
      <w:r w:rsidR="00DB7ABE" w:rsidRPr="00471447">
        <w:rPr>
          <w:rFonts w:ascii="Times New Roman" w:eastAsia="Cambria" w:hAnsi="Times New Roman" w:cs="Times New Roman"/>
          <w:kern w:val="22"/>
        </w:rPr>
        <w:t xml:space="preserve">, contributing to </w:t>
      </w:r>
      <w:r w:rsidRPr="00471447">
        <w:rPr>
          <w:rFonts w:ascii="Times New Roman" w:eastAsia="Cambria" w:hAnsi="Times New Roman" w:cs="Times New Roman"/>
          <w:kern w:val="22"/>
        </w:rPr>
        <w:t xml:space="preserve">an </w:t>
      </w:r>
      <w:r w:rsidR="003363E2" w:rsidRPr="00471447">
        <w:rPr>
          <w:rFonts w:ascii="Times New Roman" w:eastAsia="Cambria" w:hAnsi="Times New Roman" w:cs="Times New Roman"/>
          <w:kern w:val="22"/>
        </w:rPr>
        <w:t>A</w:t>
      </w:r>
      <w:r w:rsidR="00DB7ABE" w:rsidRPr="00471447">
        <w:rPr>
          <w:rFonts w:ascii="Times New Roman" w:eastAsia="Cambria" w:hAnsi="Times New Roman" w:cs="Times New Roman"/>
          <w:kern w:val="22"/>
        </w:rPr>
        <w:t xml:space="preserve">ction </w:t>
      </w:r>
      <w:r w:rsidR="003363E2" w:rsidRPr="00471447">
        <w:rPr>
          <w:rFonts w:ascii="Times New Roman" w:eastAsia="Cambria" w:hAnsi="Times New Roman" w:cs="Times New Roman"/>
          <w:kern w:val="22"/>
        </w:rPr>
        <w:t>N</w:t>
      </w:r>
      <w:r w:rsidR="00DB7ABE" w:rsidRPr="00471447">
        <w:rPr>
          <w:rFonts w:ascii="Times New Roman" w:eastAsia="Cambria" w:hAnsi="Times New Roman" w:cs="Times New Roman"/>
          <w:kern w:val="22"/>
        </w:rPr>
        <w:t>etwork o</w:t>
      </w:r>
      <w:r w:rsidR="003D4B50" w:rsidRPr="00471447">
        <w:rPr>
          <w:rFonts w:ascii="Times New Roman" w:eastAsia="Cambria" w:hAnsi="Times New Roman" w:cs="Times New Roman"/>
          <w:kern w:val="22"/>
        </w:rPr>
        <w:t xml:space="preserve">n food systems, </w:t>
      </w:r>
      <w:r w:rsidR="00DB7ABE" w:rsidRPr="00471447">
        <w:rPr>
          <w:rFonts w:ascii="Times New Roman" w:eastAsia="Cambria" w:hAnsi="Times New Roman" w:cs="Times New Roman"/>
          <w:kern w:val="22"/>
        </w:rPr>
        <w:t>and systematically calling for</w:t>
      </w:r>
      <w:r w:rsidR="003D4B50" w:rsidRPr="00471447">
        <w:rPr>
          <w:rFonts w:ascii="Times New Roman" w:eastAsia="Cambria" w:hAnsi="Times New Roman" w:cs="Times New Roman"/>
          <w:kern w:val="22"/>
        </w:rPr>
        <w:t xml:space="preserve"> national policies and programs that mainstream biodiversity for food and nutrition. </w:t>
      </w:r>
      <w:r w:rsidR="00CB3BA5" w:rsidRPr="00471447">
        <w:rPr>
          <w:rFonts w:ascii="Times New Roman" w:eastAsia="Cambria" w:hAnsi="Times New Roman" w:cs="Times New Roman"/>
          <w:kern w:val="22"/>
        </w:rPr>
        <w:t>T</w:t>
      </w:r>
      <w:r w:rsidR="00DB7ABE" w:rsidRPr="00471447">
        <w:rPr>
          <w:rFonts w:ascii="Times New Roman" w:eastAsia="Cambria" w:hAnsi="Times New Roman" w:cs="Times New Roman"/>
          <w:kern w:val="22"/>
        </w:rPr>
        <w:t xml:space="preserve">he work of the </w:t>
      </w:r>
      <w:r w:rsidR="00922D37" w:rsidRPr="00471447">
        <w:rPr>
          <w:rFonts w:ascii="Times New Roman" w:eastAsia="Cambria" w:hAnsi="Times New Roman" w:cs="Times New Roman"/>
          <w:kern w:val="22"/>
        </w:rPr>
        <w:t xml:space="preserve">ILG </w:t>
      </w:r>
      <w:r w:rsidR="00DB7ABE" w:rsidRPr="00471447">
        <w:rPr>
          <w:rFonts w:ascii="Times New Roman" w:eastAsia="Cambria" w:hAnsi="Times New Roman" w:cs="Times New Roman"/>
          <w:kern w:val="22"/>
        </w:rPr>
        <w:t xml:space="preserve">could </w:t>
      </w:r>
      <w:r w:rsidRPr="00471447">
        <w:rPr>
          <w:rFonts w:ascii="Times New Roman" w:eastAsia="Cambria" w:hAnsi="Times New Roman" w:cs="Times New Roman"/>
          <w:kern w:val="22"/>
        </w:rPr>
        <w:t xml:space="preserve">also </w:t>
      </w:r>
      <w:r w:rsidR="00DB7ABE" w:rsidRPr="00471447">
        <w:rPr>
          <w:rFonts w:ascii="Times New Roman" w:eastAsia="Cambria" w:hAnsi="Times New Roman" w:cs="Times New Roman"/>
          <w:kern w:val="22"/>
        </w:rPr>
        <w:t>contribute to the</w:t>
      </w:r>
      <w:r w:rsidR="003D4B50" w:rsidRPr="00471447">
        <w:rPr>
          <w:rFonts w:ascii="Times New Roman" w:eastAsia="Cambria" w:hAnsi="Times New Roman" w:cs="Times New Roman"/>
          <w:kern w:val="22"/>
        </w:rPr>
        <w:t xml:space="preserve"> establish</w:t>
      </w:r>
      <w:r w:rsidR="00DB7ABE" w:rsidRPr="00471447">
        <w:rPr>
          <w:rFonts w:ascii="Times New Roman" w:eastAsia="Cambria" w:hAnsi="Times New Roman" w:cs="Times New Roman"/>
          <w:kern w:val="22"/>
        </w:rPr>
        <w:t xml:space="preserve">ment of </w:t>
      </w:r>
      <w:r w:rsidRPr="00471447">
        <w:rPr>
          <w:rFonts w:ascii="Times New Roman" w:eastAsia="Cambria" w:hAnsi="Times New Roman" w:cs="Times New Roman"/>
          <w:kern w:val="22"/>
        </w:rPr>
        <w:t xml:space="preserve">other </w:t>
      </w:r>
      <w:r w:rsidR="003D4B50" w:rsidRPr="00471447">
        <w:rPr>
          <w:rFonts w:ascii="Times New Roman" w:eastAsia="Cambria" w:hAnsi="Times New Roman" w:cs="Times New Roman"/>
          <w:kern w:val="22"/>
        </w:rPr>
        <w:t>action networks</w:t>
      </w:r>
      <w:r w:rsidR="00922D37" w:rsidRPr="00471447">
        <w:rPr>
          <w:rFonts w:ascii="Times New Roman" w:eastAsia="Cambria" w:hAnsi="Times New Roman" w:cs="Times New Roman"/>
          <w:kern w:val="22"/>
        </w:rPr>
        <w:t xml:space="preserve"> (e.g.</w:t>
      </w:r>
      <w:r w:rsidR="003D4B50" w:rsidRPr="00471447">
        <w:rPr>
          <w:rFonts w:ascii="Times New Roman" w:eastAsia="Cambria" w:hAnsi="Times New Roman" w:cs="Times New Roman"/>
          <w:kern w:val="22"/>
        </w:rPr>
        <w:t xml:space="preserve">  </w:t>
      </w:r>
      <w:r w:rsidR="00922D37" w:rsidRPr="00471447">
        <w:rPr>
          <w:rFonts w:ascii="Times New Roman" w:eastAsia="Cambria" w:hAnsi="Times New Roman" w:cs="Times New Roman"/>
          <w:kern w:val="22"/>
        </w:rPr>
        <w:t xml:space="preserve">on </w:t>
      </w:r>
      <w:r w:rsidR="003D4B50" w:rsidRPr="00471447">
        <w:rPr>
          <w:rFonts w:ascii="Times New Roman" w:eastAsia="Cambria" w:hAnsi="Times New Roman" w:cs="Times New Roman"/>
          <w:kern w:val="22"/>
        </w:rPr>
        <w:t>sustainable intensification fruits and vegetable</w:t>
      </w:r>
      <w:r w:rsidR="0041335A" w:rsidRPr="00471447">
        <w:rPr>
          <w:rFonts w:ascii="Times New Roman" w:eastAsia="Cambria" w:hAnsi="Times New Roman" w:cs="Times New Roman"/>
          <w:kern w:val="22"/>
        </w:rPr>
        <w:t xml:space="preserve"> production</w:t>
      </w:r>
      <w:r w:rsidR="003363E2" w:rsidRPr="00471447">
        <w:rPr>
          <w:rFonts w:ascii="Times New Roman" w:eastAsia="Cambria" w:hAnsi="Times New Roman" w:cs="Times New Roman"/>
          <w:kern w:val="22"/>
        </w:rPr>
        <w:t xml:space="preserve"> or on </w:t>
      </w:r>
      <w:r w:rsidR="003D4B50" w:rsidRPr="00471447">
        <w:rPr>
          <w:rFonts w:ascii="Times New Roman" w:eastAsia="Cambria" w:hAnsi="Times New Roman" w:cs="Times New Roman"/>
          <w:kern w:val="22"/>
        </w:rPr>
        <w:t>animal sourced food</w:t>
      </w:r>
      <w:r w:rsidR="00CB3BA5" w:rsidRPr="00471447">
        <w:rPr>
          <w:rFonts w:ascii="Times New Roman" w:eastAsia="Cambria" w:hAnsi="Times New Roman" w:cs="Times New Roman"/>
          <w:kern w:val="22"/>
        </w:rPr>
        <w:t>s</w:t>
      </w:r>
      <w:r w:rsidRPr="00471447">
        <w:rPr>
          <w:rFonts w:ascii="Times New Roman" w:eastAsia="Cambria" w:hAnsi="Times New Roman" w:cs="Times New Roman"/>
          <w:kern w:val="22"/>
        </w:rPr>
        <w:t>)</w:t>
      </w:r>
      <w:r w:rsidR="00DB7ABE" w:rsidRPr="00471447">
        <w:rPr>
          <w:rFonts w:ascii="Times New Roman" w:eastAsia="Cambria" w:hAnsi="Times New Roman" w:cs="Times New Roman"/>
          <w:kern w:val="22"/>
        </w:rPr>
        <w:t>. S</w:t>
      </w:r>
      <w:r w:rsidR="003D4B50" w:rsidRPr="00471447">
        <w:rPr>
          <w:rFonts w:ascii="Times New Roman" w:eastAsia="Cambria" w:hAnsi="Times New Roman" w:cs="Times New Roman"/>
          <w:kern w:val="22"/>
        </w:rPr>
        <w:t xml:space="preserve">upporting </w:t>
      </w:r>
      <w:r w:rsidRPr="00471447">
        <w:rPr>
          <w:rFonts w:ascii="Times New Roman" w:eastAsia="Cambria" w:hAnsi="Times New Roman" w:cs="Times New Roman"/>
          <w:kern w:val="22"/>
        </w:rPr>
        <w:t xml:space="preserve">work on </w:t>
      </w:r>
      <w:r w:rsidR="003D4B50" w:rsidRPr="00471447">
        <w:rPr>
          <w:rFonts w:ascii="Times New Roman" w:eastAsia="Cambria" w:hAnsi="Times New Roman" w:cs="Times New Roman"/>
          <w:kern w:val="22"/>
        </w:rPr>
        <w:t xml:space="preserve">sustainable livestock and poultry </w:t>
      </w:r>
      <w:r w:rsidR="00DB7ABE" w:rsidRPr="00471447">
        <w:rPr>
          <w:rFonts w:ascii="Times New Roman" w:eastAsia="Cambria" w:hAnsi="Times New Roman" w:cs="Times New Roman"/>
          <w:kern w:val="22"/>
        </w:rPr>
        <w:t>production</w:t>
      </w:r>
      <w:r w:rsidR="003D4B50" w:rsidRPr="00471447">
        <w:rPr>
          <w:rFonts w:ascii="Times New Roman" w:eastAsia="Cambria" w:hAnsi="Times New Roman" w:cs="Times New Roman"/>
          <w:kern w:val="22"/>
        </w:rPr>
        <w:t xml:space="preserve"> and sustainable fisheries</w:t>
      </w:r>
      <w:r w:rsidR="00DB7AB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also provide opportunities for collaboration with the ILG</w:t>
      </w:r>
      <w:r w:rsidR="00DB7ABE" w:rsidRPr="00471447">
        <w:rPr>
          <w:rFonts w:ascii="Times New Roman" w:eastAsia="Cambria" w:hAnsi="Times New Roman" w:cs="Times New Roman"/>
          <w:kern w:val="22"/>
        </w:rPr>
        <w:t xml:space="preserve">. </w:t>
      </w:r>
    </w:p>
    <w:p w:rsidR="00DB7ABE" w:rsidRPr="00471447" w:rsidRDefault="003363E2"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also</w:t>
      </w:r>
      <w:r w:rsidR="00DB7ABE" w:rsidRPr="00471447">
        <w:rPr>
          <w:rFonts w:ascii="Times New Roman" w:eastAsia="Cambria" w:hAnsi="Times New Roman" w:cs="Times New Roman"/>
          <w:kern w:val="22"/>
        </w:rPr>
        <w:t xml:space="preserve"> noted that the </w:t>
      </w:r>
      <w:r w:rsidR="003D4B50" w:rsidRPr="00471447">
        <w:rPr>
          <w:rFonts w:ascii="Times New Roman" w:eastAsia="Cambria" w:hAnsi="Times New Roman" w:cs="Times New Roman"/>
          <w:kern w:val="22"/>
        </w:rPr>
        <w:t xml:space="preserve">CBD </w:t>
      </w:r>
      <w:r w:rsidR="00DB7ABE" w:rsidRPr="00471447">
        <w:rPr>
          <w:rFonts w:ascii="Times New Roman" w:eastAsia="Cambria" w:hAnsi="Times New Roman" w:cs="Times New Roman"/>
          <w:kern w:val="22"/>
        </w:rPr>
        <w:t>Conference of the Parties could</w:t>
      </w:r>
      <w:r w:rsidR="003D4B50" w:rsidRPr="00471447">
        <w:rPr>
          <w:rFonts w:ascii="Times New Roman" w:eastAsia="Cambria" w:hAnsi="Times New Roman" w:cs="Times New Roman"/>
          <w:kern w:val="22"/>
        </w:rPr>
        <w:t xml:space="preserve"> contribute to the </w:t>
      </w:r>
      <w:r w:rsidRPr="00471447">
        <w:rPr>
          <w:rFonts w:ascii="Times New Roman" w:eastAsia="Cambria" w:hAnsi="Times New Roman" w:cs="Times New Roman"/>
          <w:kern w:val="22"/>
        </w:rPr>
        <w:t>N</w:t>
      </w:r>
      <w:r w:rsidR="003D4B50" w:rsidRPr="00471447">
        <w:rPr>
          <w:rFonts w:ascii="Times New Roman" w:eastAsia="Cambria" w:hAnsi="Times New Roman" w:cs="Times New Roman"/>
          <w:kern w:val="22"/>
        </w:rPr>
        <w:t xml:space="preserve">utrition </w:t>
      </w:r>
      <w:r w:rsidRPr="00471447">
        <w:rPr>
          <w:rFonts w:ascii="Times New Roman" w:eastAsia="Cambria" w:hAnsi="Times New Roman" w:cs="Times New Roman"/>
          <w:kern w:val="22"/>
        </w:rPr>
        <w:t>D</w:t>
      </w:r>
      <w:r w:rsidR="003D4B50" w:rsidRPr="00471447">
        <w:rPr>
          <w:rFonts w:ascii="Times New Roman" w:eastAsia="Cambria" w:hAnsi="Times New Roman" w:cs="Times New Roman"/>
          <w:kern w:val="22"/>
        </w:rPr>
        <w:t xml:space="preserve">ecade </w:t>
      </w:r>
      <w:r w:rsidR="00DB7ABE" w:rsidRPr="00471447">
        <w:rPr>
          <w:rFonts w:ascii="Times New Roman" w:eastAsia="Cambria" w:hAnsi="Times New Roman" w:cs="Times New Roman"/>
          <w:kern w:val="22"/>
        </w:rPr>
        <w:t xml:space="preserve">by strengthening </w:t>
      </w:r>
      <w:r w:rsidR="003D4B50" w:rsidRPr="00471447">
        <w:rPr>
          <w:rFonts w:ascii="Times New Roman" w:eastAsia="Cambria" w:hAnsi="Times New Roman" w:cs="Times New Roman"/>
          <w:kern w:val="22"/>
        </w:rPr>
        <w:t xml:space="preserve">the implementation </w:t>
      </w:r>
      <w:r w:rsidR="00DB7ABE" w:rsidRPr="00471447">
        <w:rPr>
          <w:rFonts w:ascii="Times New Roman" w:eastAsia="Cambria" w:hAnsi="Times New Roman" w:cs="Times New Roman"/>
          <w:kern w:val="22"/>
        </w:rPr>
        <w:t xml:space="preserve">and mandate </w:t>
      </w:r>
      <w:r w:rsidR="003D4B50" w:rsidRPr="00471447">
        <w:rPr>
          <w:rFonts w:ascii="Times New Roman" w:eastAsia="Cambria" w:hAnsi="Times New Roman" w:cs="Times New Roman"/>
          <w:kern w:val="22"/>
        </w:rPr>
        <w:t>of decision XIII/6, notably by: building evidence and sharing knowledge</w:t>
      </w:r>
      <w:r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 xml:space="preserve"> promoting sustainable use of crops and diversity of wild foods particularly in areas </w:t>
      </w:r>
      <w:r w:rsidR="00A862D7" w:rsidRPr="00471447">
        <w:rPr>
          <w:rFonts w:ascii="Times New Roman" w:eastAsia="Cambria" w:hAnsi="Times New Roman" w:cs="Times New Roman"/>
          <w:kern w:val="22"/>
        </w:rPr>
        <w:t xml:space="preserve">most </w:t>
      </w:r>
      <w:r w:rsidR="003D4B50" w:rsidRPr="00471447">
        <w:rPr>
          <w:rFonts w:ascii="Times New Roman" w:eastAsia="Cambria" w:hAnsi="Times New Roman" w:cs="Times New Roman"/>
          <w:kern w:val="22"/>
        </w:rPr>
        <w:t>vulnerable to climate change</w:t>
      </w:r>
      <w:r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 xml:space="preserve"> promoting economic incentives throughout the supply chain</w:t>
      </w:r>
      <w:r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 xml:space="preserve"> and</w:t>
      </w:r>
      <w:r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 xml:space="preserve"> building capacity </w:t>
      </w:r>
      <w:r w:rsidRPr="00471447">
        <w:rPr>
          <w:rFonts w:ascii="Times New Roman" w:eastAsia="Cambria" w:hAnsi="Times New Roman" w:cs="Times New Roman"/>
          <w:kern w:val="22"/>
        </w:rPr>
        <w:t xml:space="preserve">and promoting good governance </w:t>
      </w:r>
      <w:r w:rsidR="003D4B50" w:rsidRPr="00471447">
        <w:rPr>
          <w:rFonts w:ascii="Times New Roman" w:eastAsia="Cambria" w:hAnsi="Times New Roman" w:cs="Times New Roman"/>
          <w:kern w:val="22"/>
        </w:rPr>
        <w:t>on nutrition and</w:t>
      </w:r>
      <w:r w:rsidR="00DB7ABE" w:rsidRPr="00471447">
        <w:rPr>
          <w:rFonts w:ascii="Times New Roman" w:eastAsia="Cambria" w:hAnsi="Times New Roman" w:cs="Times New Roman"/>
          <w:kern w:val="22"/>
        </w:rPr>
        <w:t xml:space="preserve"> biodiversity.</w:t>
      </w:r>
      <w:r w:rsidR="003D4B50" w:rsidRPr="00471447">
        <w:rPr>
          <w:rFonts w:ascii="Times New Roman" w:eastAsia="Cambria" w:hAnsi="Times New Roman" w:cs="Times New Roman"/>
          <w:kern w:val="22"/>
        </w:rPr>
        <w:t xml:space="preserve"> </w:t>
      </w:r>
    </w:p>
    <w:p w:rsidR="003D4B50" w:rsidRPr="00471447" w:rsidRDefault="00DB7AB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Branca </w:t>
      </w:r>
      <w:r w:rsidR="00A862D7" w:rsidRPr="00471447">
        <w:rPr>
          <w:rFonts w:ascii="Times New Roman" w:eastAsia="Cambria" w:hAnsi="Times New Roman" w:cs="Times New Roman"/>
          <w:kern w:val="22"/>
        </w:rPr>
        <w:t>presented</w:t>
      </w:r>
      <w:r w:rsidRPr="00471447">
        <w:rPr>
          <w:rFonts w:ascii="Times New Roman" w:eastAsia="Cambria" w:hAnsi="Times New Roman" w:cs="Times New Roman"/>
          <w:kern w:val="22"/>
        </w:rPr>
        <w:t xml:space="preserve"> </w:t>
      </w:r>
      <w:r w:rsidR="003D4B50" w:rsidRPr="00471447">
        <w:rPr>
          <w:rFonts w:ascii="Times New Roman" w:eastAsia="Cambria" w:hAnsi="Times New Roman" w:cs="Times New Roman"/>
          <w:kern w:val="22"/>
        </w:rPr>
        <w:t>WHO</w:t>
      </w:r>
      <w:r w:rsidR="00A862D7" w:rsidRPr="00471447">
        <w:rPr>
          <w:rFonts w:ascii="Times New Roman" w:eastAsia="Cambria" w:hAnsi="Times New Roman" w:cs="Times New Roman"/>
          <w:kern w:val="22"/>
        </w:rPr>
        <w:t>’s</w:t>
      </w:r>
      <w:r w:rsidR="003D4B50" w:rsidRPr="00471447">
        <w:rPr>
          <w:rFonts w:ascii="Times New Roman" w:eastAsia="Cambria" w:hAnsi="Times New Roman" w:cs="Times New Roman"/>
          <w:kern w:val="22"/>
        </w:rPr>
        <w:t xml:space="preserve"> priorities </w:t>
      </w:r>
      <w:r w:rsidRPr="00471447">
        <w:rPr>
          <w:rFonts w:ascii="Times New Roman" w:eastAsia="Cambria" w:hAnsi="Times New Roman" w:cs="Times New Roman"/>
          <w:kern w:val="22"/>
        </w:rPr>
        <w:t>to achieve healthy and sustainable diets</w:t>
      </w:r>
      <w:r w:rsidR="003D4B50" w:rsidRPr="00471447">
        <w:rPr>
          <w:rFonts w:ascii="Times New Roman" w:eastAsia="Cambria" w:hAnsi="Times New Roman" w:cs="Times New Roman"/>
          <w:kern w:val="22"/>
        </w:rPr>
        <w:t xml:space="preserve"> namely </w:t>
      </w:r>
      <w:r w:rsidR="00A862D7" w:rsidRPr="00471447">
        <w:rPr>
          <w:rFonts w:ascii="Times New Roman" w:eastAsia="Cambria" w:hAnsi="Times New Roman" w:cs="Times New Roman"/>
          <w:kern w:val="22"/>
        </w:rPr>
        <w:t xml:space="preserve">focusing </w:t>
      </w:r>
      <w:r w:rsidR="00CB3BA5" w:rsidRPr="00471447">
        <w:rPr>
          <w:rFonts w:ascii="Times New Roman" w:eastAsia="Cambria" w:hAnsi="Times New Roman" w:cs="Times New Roman"/>
          <w:kern w:val="22"/>
        </w:rPr>
        <w:t>on</w:t>
      </w:r>
      <w:r w:rsidR="003D4B50" w:rsidRPr="00471447">
        <w:rPr>
          <w:rFonts w:ascii="Times New Roman" w:eastAsia="Cambria" w:hAnsi="Times New Roman" w:cs="Times New Roman"/>
          <w:kern w:val="22"/>
        </w:rPr>
        <w:t xml:space="preserve"> leadership, monitoring and guidance</w:t>
      </w:r>
      <w:r w:rsidR="00CB3BA5" w:rsidRPr="00471447">
        <w:rPr>
          <w:rFonts w:ascii="Times New Roman" w:eastAsia="Cambria" w:hAnsi="Times New Roman" w:cs="Times New Roman"/>
          <w:kern w:val="22"/>
        </w:rPr>
        <w:t>, p</w:t>
      </w:r>
      <w:r w:rsidR="003D4B50" w:rsidRPr="00471447">
        <w:rPr>
          <w:rFonts w:ascii="Times New Roman" w:eastAsia="Cambria" w:hAnsi="Times New Roman" w:cs="Times New Roman"/>
          <w:kern w:val="22"/>
        </w:rPr>
        <w:t>articular</w:t>
      </w:r>
      <w:r w:rsidR="00CB3BA5" w:rsidRPr="00471447">
        <w:rPr>
          <w:rFonts w:ascii="Times New Roman" w:eastAsia="Cambria" w:hAnsi="Times New Roman" w:cs="Times New Roman"/>
          <w:kern w:val="22"/>
        </w:rPr>
        <w:t>ly</w:t>
      </w:r>
      <w:r w:rsidR="003D4B50" w:rsidRPr="00471447">
        <w:rPr>
          <w:rFonts w:ascii="Times New Roman" w:eastAsia="Cambria" w:hAnsi="Times New Roman" w:cs="Times New Roman"/>
          <w:kern w:val="22"/>
        </w:rPr>
        <w:t xml:space="preserve"> leadership priority 2 which see</w:t>
      </w:r>
      <w:r w:rsidR="00C32696" w:rsidRPr="00471447">
        <w:rPr>
          <w:rFonts w:ascii="Times New Roman" w:eastAsia="Cambria" w:hAnsi="Times New Roman" w:cs="Times New Roman"/>
          <w:kern w:val="22"/>
        </w:rPr>
        <w:t>k</w:t>
      </w:r>
      <w:r w:rsidR="003D4B50" w:rsidRPr="00471447">
        <w:rPr>
          <w:rFonts w:ascii="Times New Roman" w:eastAsia="Cambria" w:hAnsi="Times New Roman" w:cs="Times New Roman"/>
          <w:kern w:val="22"/>
        </w:rPr>
        <w:t>s to leverage changes in relevant non-health sectors to improve</w:t>
      </w:r>
      <w:r w:rsidR="00C32696" w:rsidRPr="00471447">
        <w:rPr>
          <w:rFonts w:ascii="Times New Roman" w:eastAsia="Cambria" w:hAnsi="Times New Roman" w:cs="Times New Roman"/>
          <w:kern w:val="22"/>
        </w:rPr>
        <w:t xml:space="preserve"> and mainstream nutrition. </w:t>
      </w:r>
      <w:r w:rsidR="00CB3BA5" w:rsidRPr="00471447">
        <w:rPr>
          <w:rFonts w:ascii="Times New Roman" w:eastAsia="Cambria" w:hAnsi="Times New Roman" w:cs="Times New Roman"/>
          <w:kern w:val="22"/>
        </w:rPr>
        <w:t>W</w:t>
      </w:r>
      <w:r w:rsidR="003D4B50" w:rsidRPr="00471447">
        <w:rPr>
          <w:rFonts w:ascii="Times New Roman" w:eastAsia="Cambria" w:hAnsi="Times New Roman" w:cs="Times New Roman"/>
          <w:kern w:val="22"/>
        </w:rPr>
        <w:t xml:space="preserve">HO </w:t>
      </w:r>
      <w:r w:rsidR="00A862D7" w:rsidRPr="00471447">
        <w:rPr>
          <w:rFonts w:ascii="Times New Roman" w:eastAsia="Cambria" w:hAnsi="Times New Roman" w:cs="Times New Roman"/>
          <w:kern w:val="22"/>
        </w:rPr>
        <w:t>hopes</w:t>
      </w:r>
      <w:r w:rsidR="003D4B50" w:rsidRPr="00471447">
        <w:rPr>
          <w:rFonts w:ascii="Times New Roman" w:eastAsia="Cambria" w:hAnsi="Times New Roman" w:cs="Times New Roman"/>
          <w:kern w:val="22"/>
        </w:rPr>
        <w:t xml:space="preserve"> to contribute to the development of the global policy framework to address climate change and biodiversity loss </w:t>
      </w:r>
      <w:r w:rsidR="00C32696" w:rsidRPr="00471447">
        <w:rPr>
          <w:rFonts w:ascii="Times New Roman" w:eastAsia="Cambria" w:hAnsi="Times New Roman" w:cs="Times New Roman"/>
          <w:kern w:val="22"/>
        </w:rPr>
        <w:t>in tandem and</w:t>
      </w:r>
      <w:r w:rsidR="003D4B50" w:rsidRPr="00471447">
        <w:rPr>
          <w:rFonts w:ascii="Times New Roman" w:eastAsia="Cambria" w:hAnsi="Times New Roman" w:cs="Times New Roman"/>
          <w:kern w:val="22"/>
        </w:rPr>
        <w:t xml:space="preserve"> </w:t>
      </w:r>
      <w:r w:rsidR="00C32696" w:rsidRPr="00471447">
        <w:rPr>
          <w:rFonts w:ascii="Times New Roman" w:eastAsia="Cambria" w:hAnsi="Times New Roman" w:cs="Times New Roman"/>
          <w:kern w:val="22"/>
        </w:rPr>
        <w:t xml:space="preserve">jointly </w:t>
      </w:r>
      <w:r w:rsidR="003D4B50" w:rsidRPr="00471447">
        <w:rPr>
          <w:rFonts w:ascii="Times New Roman" w:eastAsia="Cambria" w:hAnsi="Times New Roman" w:cs="Times New Roman"/>
          <w:kern w:val="22"/>
        </w:rPr>
        <w:t xml:space="preserve">develop an alignment of </w:t>
      </w:r>
      <w:r w:rsidR="00CB3BA5" w:rsidRPr="00471447">
        <w:rPr>
          <w:rFonts w:ascii="Times New Roman" w:eastAsia="Cambria" w:hAnsi="Times New Roman" w:cs="Times New Roman"/>
          <w:kern w:val="22"/>
        </w:rPr>
        <w:t xml:space="preserve">evidence-based </w:t>
      </w:r>
      <w:r w:rsidR="003D4B50" w:rsidRPr="00471447">
        <w:rPr>
          <w:rFonts w:ascii="Times New Roman" w:eastAsia="Cambria" w:hAnsi="Times New Roman" w:cs="Times New Roman"/>
          <w:kern w:val="22"/>
        </w:rPr>
        <w:t xml:space="preserve">measures used to reduce environmental impacts of food production in the promotion of </w:t>
      </w:r>
      <w:r w:rsidR="00C32696" w:rsidRPr="00471447">
        <w:rPr>
          <w:rFonts w:ascii="Times New Roman" w:eastAsia="Cambria" w:hAnsi="Times New Roman" w:cs="Times New Roman"/>
          <w:kern w:val="22"/>
        </w:rPr>
        <w:t>healthy diets</w:t>
      </w:r>
      <w:r w:rsidR="003D4B50" w:rsidRPr="00471447">
        <w:rPr>
          <w:rFonts w:ascii="Times New Roman" w:eastAsia="Cambria" w:hAnsi="Times New Roman" w:cs="Times New Roman"/>
          <w:kern w:val="22"/>
        </w:rPr>
        <w:t xml:space="preserve">. </w:t>
      </w:r>
    </w:p>
    <w:p w:rsidR="00C32696" w:rsidRPr="00471447" w:rsidRDefault="003D4B5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Clear objectives </w:t>
      </w:r>
      <w:r w:rsidR="00C32696" w:rsidRPr="00471447">
        <w:rPr>
          <w:rFonts w:ascii="Times New Roman" w:eastAsia="Cambria" w:hAnsi="Times New Roman" w:cs="Times New Roman"/>
          <w:kern w:val="22"/>
        </w:rPr>
        <w:t>could</w:t>
      </w:r>
      <w:r w:rsidRPr="00471447">
        <w:rPr>
          <w:rFonts w:ascii="Times New Roman" w:eastAsia="Cambria" w:hAnsi="Times New Roman" w:cs="Times New Roman"/>
          <w:kern w:val="22"/>
        </w:rPr>
        <w:t xml:space="preserve"> be established </w:t>
      </w:r>
      <w:r w:rsidR="00DB2F61" w:rsidRPr="00471447">
        <w:rPr>
          <w:rFonts w:ascii="Times New Roman" w:eastAsia="Cambria" w:hAnsi="Times New Roman" w:cs="Times New Roman"/>
          <w:kern w:val="22"/>
        </w:rPr>
        <w:t xml:space="preserve">to </w:t>
      </w:r>
      <w:r w:rsidRPr="00471447">
        <w:rPr>
          <w:rFonts w:ascii="Times New Roman" w:eastAsia="Cambria" w:hAnsi="Times New Roman" w:cs="Times New Roman"/>
          <w:kern w:val="22"/>
        </w:rPr>
        <w:t xml:space="preserve">promote biodiversity in food systems </w:t>
      </w:r>
      <w:r w:rsidR="00C32696" w:rsidRPr="00471447">
        <w:rPr>
          <w:rFonts w:ascii="Times New Roman" w:eastAsia="Cambria" w:hAnsi="Times New Roman" w:cs="Times New Roman"/>
          <w:kern w:val="22"/>
        </w:rPr>
        <w:t>in a more integrated way with these partners, through the ILG.</w:t>
      </w:r>
      <w:r w:rsidR="00DB2F61" w:rsidRPr="00471447">
        <w:rPr>
          <w:rFonts w:ascii="Times New Roman" w:eastAsia="Cambria" w:hAnsi="Times New Roman" w:cs="Times New Roman"/>
          <w:kern w:val="22"/>
        </w:rPr>
        <w:t xml:space="preserve"> CBD can provide input to a related Commitment Guide.</w:t>
      </w:r>
    </w:p>
    <w:p w:rsidR="00CF6973" w:rsidRPr="00471447" w:rsidRDefault="00247251"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w:t>
      </w:r>
      <w:r w:rsidR="00173E75" w:rsidRPr="00471447">
        <w:rPr>
          <w:rFonts w:ascii="Times New Roman" w:eastAsia="Cambria" w:hAnsi="Times New Roman" w:cs="Times New Roman"/>
          <w:kern w:val="22"/>
        </w:rPr>
        <w:t xml:space="preserve">Secretariat </w:t>
      </w:r>
      <w:r w:rsidRPr="00471447">
        <w:rPr>
          <w:rFonts w:ascii="Times New Roman" w:eastAsia="Cambria" w:hAnsi="Times New Roman" w:cs="Times New Roman"/>
          <w:kern w:val="22"/>
        </w:rPr>
        <w:t>highlighted</w:t>
      </w:r>
      <w:r w:rsidR="00173E75" w:rsidRPr="00471447">
        <w:rPr>
          <w:rFonts w:ascii="Times New Roman" w:eastAsia="Cambria" w:hAnsi="Times New Roman" w:cs="Times New Roman"/>
          <w:kern w:val="22"/>
        </w:rPr>
        <w:t xml:space="preserve"> further areas in which collaboration with WHO could be strengthened including in terms of addressing, </w:t>
      </w:r>
      <w:r w:rsidR="003D4B50" w:rsidRPr="00471447">
        <w:rPr>
          <w:rFonts w:ascii="Times New Roman" w:eastAsia="Cambria" w:hAnsi="Times New Roman" w:cs="Times New Roman"/>
          <w:kern w:val="22"/>
        </w:rPr>
        <w:t xml:space="preserve">wild foods </w:t>
      </w:r>
      <w:r w:rsidR="00173E75" w:rsidRPr="00471447">
        <w:rPr>
          <w:rFonts w:ascii="Times New Roman" w:eastAsia="Cambria" w:hAnsi="Times New Roman" w:cs="Times New Roman"/>
          <w:kern w:val="22"/>
        </w:rPr>
        <w:t>and</w:t>
      </w:r>
      <w:r w:rsidR="003D4B50" w:rsidRPr="00471447">
        <w:rPr>
          <w:rFonts w:ascii="Times New Roman" w:eastAsia="Cambria" w:hAnsi="Times New Roman" w:cs="Times New Roman"/>
          <w:kern w:val="22"/>
        </w:rPr>
        <w:t xml:space="preserve"> overconsumption. </w:t>
      </w:r>
      <w:r w:rsidRPr="00471447">
        <w:rPr>
          <w:rFonts w:ascii="Times New Roman" w:eastAsia="Cambria" w:hAnsi="Times New Roman" w:cs="Times New Roman"/>
          <w:kern w:val="22"/>
        </w:rPr>
        <w:t xml:space="preserve">In that regards, </w:t>
      </w:r>
      <w:r w:rsidR="00DB2F61" w:rsidRPr="00471447">
        <w:rPr>
          <w:rFonts w:ascii="Times New Roman" w:eastAsia="Cambria" w:hAnsi="Times New Roman" w:cs="Times New Roman"/>
          <w:kern w:val="22"/>
        </w:rPr>
        <w:t>M</w:t>
      </w:r>
      <w:r w:rsidR="00173E75" w:rsidRPr="00471447">
        <w:rPr>
          <w:rFonts w:ascii="Times New Roman" w:eastAsia="Cambria" w:hAnsi="Times New Roman" w:cs="Times New Roman"/>
          <w:kern w:val="22"/>
        </w:rPr>
        <w:t xml:space="preserve">r. Branca </w:t>
      </w:r>
      <w:r w:rsidRPr="00471447">
        <w:rPr>
          <w:rFonts w:ascii="Times New Roman" w:eastAsia="Cambria" w:hAnsi="Times New Roman" w:cs="Times New Roman"/>
          <w:kern w:val="22"/>
        </w:rPr>
        <w:t>noted</w:t>
      </w:r>
      <w:r w:rsidR="00173E75" w:rsidRPr="00471447">
        <w:rPr>
          <w:rFonts w:ascii="Times New Roman" w:eastAsia="Cambria" w:hAnsi="Times New Roman" w:cs="Times New Roman"/>
          <w:kern w:val="22"/>
        </w:rPr>
        <w:t xml:space="preserve"> </w:t>
      </w:r>
      <w:r w:rsidR="003D4B50" w:rsidRPr="00471447">
        <w:rPr>
          <w:rFonts w:ascii="Times New Roman" w:eastAsia="Cambria" w:hAnsi="Times New Roman" w:cs="Times New Roman"/>
          <w:kern w:val="22"/>
        </w:rPr>
        <w:t>WHO</w:t>
      </w:r>
      <w:r w:rsidR="00173E7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collaboration</w:t>
      </w:r>
      <w:r w:rsidR="00173E75" w:rsidRPr="00471447">
        <w:rPr>
          <w:rFonts w:ascii="Times New Roman" w:eastAsia="Cambria" w:hAnsi="Times New Roman" w:cs="Times New Roman"/>
          <w:kern w:val="22"/>
        </w:rPr>
        <w:t xml:space="preserve"> </w:t>
      </w:r>
      <w:r w:rsidR="003D4B50" w:rsidRPr="00471447">
        <w:rPr>
          <w:rFonts w:ascii="Times New Roman" w:eastAsia="Cambria" w:hAnsi="Times New Roman" w:cs="Times New Roman"/>
          <w:kern w:val="22"/>
        </w:rPr>
        <w:t xml:space="preserve">with the Lancet Commission on </w:t>
      </w:r>
      <w:r w:rsidRPr="00471447">
        <w:rPr>
          <w:rFonts w:ascii="Times New Roman" w:eastAsia="Cambria" w:hAnsi="Times New Roman" w:cs="Times New Roman"/>
          <w:kern w:val="22"/>
        </w:rPr>
        <w:t xml:space="preserve">the </w:t>
      </w:r>
      <w:r w:rsidR="003D4B50" w:rsidRPr="00471447">
        <w:rPr>
          <w:rFonts w:ascii="Times New Roman" w:eastAsia="Cambria" w:hAnsi="Times New Roman" w:cs="Times New Roman"/>
          <w:kern w:val="22"/>
        </w:rPr>
        <w:t xml:space="preserve">EAT partnership. </w:t>
      </w:r>
      <w:r w:rsidRPr="00471447">
        <w:rPr>
          <w:rFonts w:ascii="Times New Roman" w:eastAsia="Cambria" w:hAnsi="Times New Roman" w:cs="Times New Roman"/>
          <w:kern w:val="22"/>
        </w:rPr>
        <w:t>P</w:t>
      </w:r>
      <w:r w:rsidR="00173E75" w:rsidRPr="00471447">
        <w:rPr>
          <w:rFonts w:ascii="Times New Roman" w:eastAsia="Cambria" w:hAnsi="Times New Roman" w:cs="Times New Roman"/>
          <w:kern w:val="22"/>
        </w:rPr>
        <w:t>lant-based diets and the reduction of consumption of</w:t>
      </w:r>
      <w:r w:rsidR="003D4B50" w:rsidRPr="00471447">
        <w:rPr>
          <w:rFonts w:ascii="Times New Roman" w:eastAsia="Cambria" w:hAnsi="Times New Roman" w:cs="Times New Roman"/>
          <w:kern w:val="22"/>
        </w:rPr>
        <w:t xml:space="preserve"> animal sourced food</w:t>
      </w:r>
      <w:r w:rsidR="00173E75" w:rsidRPr="00471447">
        <w:rPr>
          <w:rFonts w:ascii="Times New Roman" w:eastAsia="Cambria" w:hAnsi="Times New Roman" w:cs="Times New Roman"/>
          <w:kern w:val="22"/>
        </w:rPr>
        <w:t>s</w:t>
      </w:r>
      <w:r w:rsidRPr="00471447">
        <w:rPr>
          <w:rFonts w:ascii="Times New Roman" w:eastAsia="Cambria" w:hAnsi="Times New Roman" w:cs="Times New Roman"/>
          <w:kern w:val="22"/>
        </w:rPr>
        <w:t>, as well as legumes and pulses</w:t>
      </w:r>
      <w:r w:rsidR="00173E7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were also discussed as potential avenues for further collaboration</w:t>
      </w:r>
      <w:r w:rsidR="003D4B50"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CF6973" w:rsidRPr="00471447">
        <w:rPr>
          <w:rFonts w:ascii="Times New Roman" w:eastAsia="Cambria" w:hAnsi="Times New Roman" w:cs="Times New Roman"/>
          <w:kern w:val="22"/>
        </w:rPr>
        <w:t>On the issue of wild foods</w:t>
      </w:r>
      <w:r w:rsidRPr="00471447">
        <w:rPr>
          <w:rFonts w:ascii="Times New Roman" w:eastAsia="Cambria" w:hAnsi="Times New Roman" w:cs="Times New Roman"/>
          <w:kern w:val="22"/>
        </w:rPr>
        <w:t>,</w:t>
      </w:r>
      <w:r w:rsidR="00CF6973" w:rsidRPr="00471447">
        <w:rPr>
          <w:rFonts w:ascii="Times New Roman" w:eastAsia="Cambria" w:hAnsi="Times New Roman" w:cs="Times New Roman"/>
          <w:kern w:val="22"/>
        </w:rPr>
        <w:t xml:space="preserve"> the issue of</w:t>
      </w:r>
      <w:r w:rsidR="003D4B50" w:rsidRPr="00471447">
        <w:rPr>
          <w:rFonts w:ascii="Times New Roman" w:eastAsia="Cambria" w:hAnsi="Times New Roman" w:cs="Times New Roman"/>
          <w:kern w:val="22"/>
        </w:rPr>
        <w:t xml:space="preserve"> food safety and AMR</w:t>
      </w:r>
      <w:r w:rsidRPr="00471447">
        <w:rPr>
          <w:rFonts w:ascii="Times New Roman" w:eastAsia="Cambria" w:hAnsi="Times New Roman" w:cs="Times New Roman"/>
          <w:kern w:val="22"/>
        </w:rPr>
        <w:t xml:space="preserve"> were also raised</w:t>
      </w:r>
    </w:p>
    <w:p w:rsidR="00CF6973" w:rsidRPr="00471447" w:rsidRDefault="00247251"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Links between climate change and</w:t>
      </w:r>
      <w:r w:rsidR="003D4B50" w:rsidRPr="00471447">
        <w:rPr>
          <w:rFonts w:ascii="Times New Roman" w:eastAsia="Cambria" w:hAnsi="Times New Roman" w:cs="Times New Roman"/>
          <w:kern w:val="22"/>
        </w:rPr>
        <w:t xml:space="preserve"> livestock farming and the need to decrease meat consumption</w:t>
      </w:r>
      <w:r w:rsidRPr="00471447">
        <w:rPr>
          <w:rFonts w:ascii="Times New Roman" w:eastAsia="Cambria" w:hAnsi="Times New Roman" w:cs="Times New Roman"/>
          <w:kern w:val="22"/>
        </w:rPr>
        <w:t xml:space="preserve"> were also discussed</w:t>
      </w:r>
      <w:r w:rsidR="00DB2F61"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It was noted that</w:t>
      </w:r>
      <w:r w:rsidR="003D4B50" w:rsidRPr="00471447">
        <w:rPr>
          <w:rFonts w:ascii="Times New Roman" w:eastAsia="Cambria" w:hAnsi="Times New Roman" w:cs="Times New Roman"/>
          <w:kern w:val="22"/>
        </w:rPr>
        <w:t xml:space="preserve"> </w:t>
      </w:r>
      <w:r w:rsidR="00CF6973" w:rsidRPr="00471447">
        <w:rPr>
          <w:rFonts w:ascii="Times New Roman" w:eastAsia="Cambria" w:hAnsi="Times New Roman" w:cs="Times New Roman"/>
          <w:kern w:val="22"/>
        </w:rPr>
        <w:t xml:space="preserve">discussion on </w:t>
      </w:r>
      <w:r w:rsidR="003D4B50" w:rsidRPr="00471447">
        <w:rPr>
          <w:rFonts w:ascii="Times New Roman" w:eastAsia="Cambria" w:hAnsi="Times New Roman" w:cs="Times New Roman"/>
          <w:kern w:val="22"/>
        </w:rPr>
        <w:t xml:space="preserve">food </w:t>
      </w:r>
      <w:r w:rsidR="00CF6973" w:rsidRPr="00471447">
        <w:rPr>
          <w:rFonts w:ascii="Times New Roman" w:eastAsia="Cambria" w:hAnsi="Times New Roman" w:cs="Times New Roman"/>
          <w:kern w:val="22"/>
        </w:rPr>
        <w:t xml:space="preserve">systems in the Paris Agreement </w:t>
      </w:r>
      <w:r w:rsidRPr="00471447">
        <w:rPr>
          <w:rFonts w:ascii="Times New Roman" w:eastAsia="Cambria" w:hAnsi="Times New Roman" w:cs="Times New Roman"/>
          <w:kern w:val="22"/>
        </w:rPr>
        <w:t xml:space="preserve">appeared </w:t>
      </w:r>
      <w:r w:rsidR="00CF6973" w:rsidRPr="00471447">
        <w:rPr>
          <w:rFonts w:ascii="Times New Roman" w:eastAsia="Cambria" w:hAnsi="Times New Roman" w:cs="Times New Roman"/>
          <w:kern w:val="22"/>
        </w:rPr>
        <w:t xml:space="preserve">somewhat </w:t>
      </w:r>
      <w:r w:rsidR="003D4B50" w:rsidRPr="00471447">
        <w:rPr>
          <w:rFonts w:ascii="Times New Roman" w:eastAsia="Cambria" w:hAnsi="Times New Roman" w:cs="Times New Roman"/>
          <w:kern w:val="22"/>
        </w:rPr>
        <w:t>unidirectional</w:t>
      </w:r>
      <w:r w:rsidR="00DB2F61"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 Agreement</w:t>
      </w:r>
      <w:r w:rsidR="00CF6973" w:rsidRPr="00471447">
        <w:rPr>
          <w:rFonts w:ascii="Times New Roman" w:eastAsia="Cambria" w:hAnsi="Times New Roman" w:cs="Times New Roman"/>
          <w:kern w:val="22"/>
        </w:rPr>
        <w:t xml:space="preserve"> acknowledges how</w:t>
      </w:r>
      <w:r w:rsidR="003D4B50" w:rsidRPr="00471447">
        <w:rPr>
          <w:rFonts w:ascii="Times New Roman" w:eastAsia="Cambria" w:hAnsi="Times New Roman" w:cs="Times New Roman"/>
          <w:kern w:val="22"/>
        </w:rPr>
        <w:t xml:space="preserve"> climate change affects food security but not </w:t>
      </w:r>
      <w:r w:rsidR="00CF6973" w:rsidRPr="00471447">
        <w:rPr>
          <w:rFonts w:ascii="Times New Roman" w:eastAsia="Cambria" w:hAnsi="Times New Roman" w:cs="Times New Roman"/>
          <w:kern w:val="22"/>
        </w:rPr>
        <w:t xml:space="preserve">necessarily </w:t>
      </w:r>
      <w:r w:rsidR="003D4B50" w:rsidRPr="00471447">
        <w:rPr>
          <w:rFonts w:ascii="Times New Roman" w:eastAsia="Cambria" w:hAnsi="Times New Roman" w:cs="Times New Roman"/>
          <w:kern w:val="22"/>
        </w:rPr>
        <w:t>the other way around</w:t>
      </w:r>
      <w:r w:rsidR="00DB2F61" w:rsidRPr="00471447">
        <w:rPr>
          <w:rFonts w:ascii="Times New Roman" w:eastAsia="Cambria" w:hAnsi="Times New Roman" w:cs="Times New Roman"/>
          <w:kern w:val="22"/>
        </w:rPr>
        <w:t>.</w:t>
      </w:r>
      <w:r w:rsidR="003D4B5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w:t>
      </w:r>
      <w:r w:rsidR="003D4B50" w:rsidRPr="00471447">
        <w:rPr>
          <w:rFonts w:ascii="Times New Roman" w:eastAsia="Cambria" w:hAnsi="Times New Roman" w:cs="Times New Roman"/>
          <w:kern w:val="22"/>
        </w:rPr>
        <w:t xml:space="preserve"> importan</w:t>
      </w:r>
      <w:r w:rsidRPr="00471447">
        <w:rPr>
          <w:rFonts w:ascii="Times New Roman" w:eastAsia="Cambria" w:hAnsi="Times New Roman" w:cs="Times New Roman"/>
          <w:kern w:val="22"/>
        </w:rPr>
        <w:t>ce</w:t>
      </w:r>
      <w:r w:rsidR="003D4B5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of</w:t>
      </w:r>
      <w:r w:rsidR="003D4B50" w:rsidRPr="00471447">
        <w:rPr>
          <w:rFonts w:ascii="Times New Roman" w:eastAsia="Cambria" w:hAnsi="Times New Roman" w:cs="Times New Roman"/>
          <w:kern w:val="22"/>
        </w:rPr>
        <w:t xml:space="preserve"> shar</w:t>
      </w:r>
      <w:r w:rsidRPr="00471447">
        <w:rPr>
          <w:rFonts w:ascii="Times New Roman" w:eastAsia="Cambria" w:hAnsi="Times New Roman" w:cs="Times New Roman"/>
          <w:kern w:val="22"/>
        </w:rPr>
        <w:t>ing</w:t>
      </w:r>
      <w:r w:rsidR="003D4B50" w:rsidRPr="00471447">
        <w:rPr>
          <w:rFonts w:ascii="Times New Roman" w:eastAsia="Cambria" w:hAnsi="Times New Roman" w:cs="Times New Roman"/>
          <w:kern w:val="22"/>
        </w:rPr>
        <w:t xml:space="preserve"> data and </w:t>
      </w:r>
      <w:r w:rsidR="00CF6973" w:rsidRPr="00471447">
        <w:rPr>
          <w:rFonts w:ascii="Times New Roman" w:eastAsia="Cambria" w:hAnsi="Times New Roman" w:cs="Times New Roman"/>
          <w:kern w:val="22"/>
        </w:rPr>
        <w:t>develop</w:t>
      </w:r>
      <w:r w:rsidRPr="00471447">
        <w:rPr>
          <w:rFonts w:ascii="Times New Roman" w:eastAsia="Cambria" w:hAnsi="Times New Roman" w:cs="Times New Roman"/>
          <w:kern w:val="22"/>
        </w:rPr>
        <w:t>ing</w:t>
      </w:r>
      <w:r w:rsidR="00CF6973" w:rsidRPr="00471447">
        <w:rPr>
          <w:rFonts w:ascii="Times New Roman" w:eastAsia="Cambria" w:hAnsi="Times New Roman" w:cs="Times New Roman"/>
          <w:kern w:val="22"/>
        </w:rPr>
        <w:t xml:space="preserve"> common </w:t>
      </w:r>
      <w:r w:rsidR="003D4B50" w:rsidRPr="00471447">
        <w:rPr>
          <w:rFonts w:ascii="Times New Roman" w:eastAsia="Cambria" w:hAnsi="Times New Roman" w:cs="Times New Roman"/>
          <w:kern w:val="22"/>
        </w:rPr>
        <w:t xml:space="preserve">messages </w:t>
      </w:r>
      <w:r w:rsidRPr="00471447">
        <w:rPr>
          <w:rFonts w:ascii="Times New Roman" w:eastAsia="Cambria" w:hAnsi="Times New Roman" w:cs="Times New Roman"/>
          <w:kern w:val="22"/>
        </w:rPr>
        <w:t xml:space="preserve">under the ILG was emphasized </w:t>
      </w:r>
      <w:r w:rsidR="003D4B50" w:rsidRPr="00471447">
        <w:rPr>
          <w:rFonts w:ascii="Times New Roman" w:eastAsia="Cambria" w:hAnsi="Times New Roman" w:cs="Times New Roman"/>
          <w:kern w:val="22"/>
        </w:rPr>
        <w:t xml:space="preserve">but </w:t>
      </w:r>
      <w:r w:rsidRPr="00471447">
        <w:rPr>
          <w:rFonts w:ascii="Times New Roman" w:eastAsia="Cambria" w:hAnsi="Times New Roman" w:cs="Times New Roman"/>
          <w:kern w:val="22"/>
        </w:rPr>
        <w:t>it was also necessary to identify</w:t>
      </w:r>
      <w:r w:rsidR="003D4B50" w:rsidRPr="00471447">
        <w:rPr>
          <w:rFonts w:ascii="Times New Roman" w:eastAsia="Cambria" w:hAnsi="Times New Roman" w:cs="Times New Roman"/>
          <w:kern w:val="22"/>
        </w:rPr>
        <w:t xml:space="preserve"> the right context in which to share</w:t>
      </w:r>
      <w:r w:rsidR="00CF6973" w:rsidRPr="00471447">
        <w:rPr>
          <w:rFonts w:ascii="Times New Roman" w:eastAsia="Cambria" w:hAnsi="Times New Roman" w:cs="Times New Roman"/>
          <w:kern w:val="22"/>
        </w:rPr>
        <w:t xml:space="preserve"> the information so that it may</w:t>
      </w:r>
      <w:r w:rsidR="003D4B50" w:rsidRPr="00471447">
        <w:rPr>
          <w:rFonts w:ascii="Times New Roman" w:eastAsia="Cambria" w:hAnsi="Times New Roman" w:cs="Times New Roman"/>
          <w:kern w:val="22"/>
        </w:rPr>
        <w:t xml:space="preserve"> translate as a </w:t>
      </w:r>
      <w:r w:rsidRPr="00471447">
        <w:rPr>
          <w:rFonts w:ascii="Times New Roman" w:eastAsia="Cambria" w:hAnsi="Times New Roman" w:cs="Times New Roman"/>
          <w:kern w:val="22"/>
        </w:rPr>
        <w:t xml:space="preserve">formal </w:t>
      </w:r>
      <w:r w:rsidR="003D4B50" w:rsidRPr="00471447">
        <w:rPr>
          <w:rFonts w:ascii="Times New Roman" w:eastAsia="Cambria" w:hAnsi="Times New Roman" w:cs="Times New Roman"/>
          <w:kern w:val="22"/>
        </w:rPr>
        <w:t>statement.</w:t>
      </w:r>
    </w:p>
    <w:p w:rsidR="00BA16A1" w:rsidRPr="00471447" w:rsidRDefault="00CF6973"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Following the WHO presentation, expert</w:t>
      </w:r>
      <w:r w:rsidR="00247251" w:rsidRPr="00471447">
        <w:rPr>
          <w:rFonts w:ascii="Times New Roman" w:eastAsia="Cambria" w:hAnsi="Times New Roman" w:cs="Times New Roman"/>
          <w:kern w:val="22"/>
        </w:rPr>
        <w:t xml:space="preserve"> observer</w:t>
      </w:r>
      <w:r w:rsidRPr="00471447">
        <w:rPr>
          <w:rFonts w:ascii="Times New Roman" w:eastAsia="Cambria" w:hAnsi="Times New Roman" w:cs="Times New Roman"/>
          <w:kern w:val="22"/>
        </w:rPr>
        <w:t xml:space="preserve">s were </w:t>
      </w:r>
      <w:r w:rsidR="00247251" w:rsidRPr="00471447">
        <w:rPr>
          <w:rFonts w:ascii="Times New Roman" w:eastAsia="Cambria" w:hAnsi="Times New Roman" w:cs="Times New Roman"/>
          <w:kern w:val="22"/>
        </w:rPr>
        <w:t xml:space="preserve">also </w:t>
      </w:r>
      <w:r w:rsidRPr="00471447">
        <w:rPr>
          <w:rFonts w:ascii="Times New Roman" w:eastAsia="Cambria" w:hAnsi="Times New Roman" w:cs="Times New Roman"/>
          <w:kern w:val="22"/>
        </w:rPr>
        <w:t xml:space="preserve">invited to deliver their presentations. </w:t>
      </w:r>
      <w:r w:rsidR="00DB2F61" w:rsidRPr="00471447">
        <w:rPr>
          <w:rFonts w:ascii="Times New Roman" w:eastAsia="Cambria" w:hAnsi="Times New Roman" w:cs="Times New Roman"/>
          <w:kern w:val="22"/>
        </w:rPr>
        <w:t>M</w:t>
      </w:r>
      <w:r w:rsidR="00477AC4" w:rsidRPr="00471447">
        <w:rPr>
          <w:rFonts w:ascii="Times New Roman" w:eastAsia="Cambria" w:hAnsi="Times New Roman" w:cs="Times New Roman"/>
          <w:kern w:val="22"/>
        </w:rPr>
        <w:t>r. Di Benedetto of the Italian MoH delivered a presentation on biodiversity loss and climate change in the context of planetary health, noting that there is a strong need for the adoption of One Health/Planetary Health principles in the implementation of the 2030 agenda. He introduced a national strategy on climate and health aligned with the principles of One Health and health for all. G7 health ministers will meet in November 2017 a</w:t>
      </w:r>
      <w:r w:rsidR="0092688B" w:rsidRPr="00471447">
        <w:rPr>
          <w:rFonts w:ascii="Times New Roman" w:eastAsia="Cambria" w:hAnsi="Times New Roman" w:cs="Times New Roman"/>
          <w:kern w:val="22"/>
        </w:rPr>
        <w:t>d</w:t>
      </w:r>
      <w:r w:rsidR="00477AC4" w:rsidRPr="00471447">
        <w:rPr>
          <w:rFonts w:ascii="Times New Roman" w:eastAsia="Cambria" w:hAnsi="Times New Roman" w:cs="Times New Roman"/>
          <w:kern w:val="22"/>
        </w:rPr>
        <w:t>dressing as a central theme climate and health in the context of Planetary Health. He also discussed a Matrix and Delphi Questionnaire submitted in a recent consultation by the Italian Presidency to G-7 countries</w:t>
      </w:r>
      <w:r w:rsidR="00247251" w:rsidRPr="00471447">
        <w:rPr>
          <w:rFonts w:ascii="Times New Roman" w:eastAsia="Cambria" w:hAnsi="Times New Roman" w:cs="Times New Roman"/>
          <w:kern w:val="22"/>
        </w:rPr>
        <w:t>.</w:t>
      </w:r>
      <w:r w:rsidR="00477AC4" w:rsidRPr="00471447">
        <w:rPr>
          <w:rFonts w:ascii="Times New Roman" w:eastAsia="Cambria" w:hAnsi="Times New Roman" w:cs="Times New Roman"/>
          <w:kern w:val="22"/>
        </w:rPr>
        <w:t xml:space="preserve"> In the matrix, a series of drivers of climate change and their relationship with health outcomes had been considered notably including: health impacts of air pollution and climate change, vector-borne diseases, noncommunicable diseases, nutritional outcomes, and AMR.</w:t>
      </w:r>
      <w:r w:rsidR="00247251" w:rsidRPr="00471447">
        <w:rPr>
          <w:rFonts w:ascii="Times New Roman" w:eastAsia="Cambria" w:hAnsi="Times New Roman" w:cs="Times New Roman"/>
          <w:kern w:val="22"/>
        </w:rPr>
        <w:t xml:space="preserve"> </w:t>
      </w:r>
      <w:r w:rsidR="0092688B" w:rsidRPr="00471447">
        <w:rPr>
          <w:rFonts w:ascii="Times New Roman" w:eastAsia="Cambria" w:hAnsi="Times New Roman" w:cs="Times New Roman"/>
          <w:kern w:val="22"/>
        </w:rPr>
        <w:t>M</w:t>
      </w:r>
      <w:r w:rsidR="00477AC4" w:rsidRPr="00471447">
        <w:rPr>
          <w:rFonts w:ascii="Times New Roman" w:eastAsia="Cambria" w:hAnsi="Times New Roman" w:cs="Times New Roman"/>
          <w:kern w:val="22"/>
        </w:rPr>
        <w:t xml:space="preserve">r. Di Benedetto also provided an overview of biodiversity in Italy, </w:t>
      </w:r>
      <w:r w:rsidR="00247251" w:rsidRPr="00471447">
        <w:rPr>
          <w:rFonts w:ascii="Times New Roman" w:eastAsia="Cambria" w:hAnsi="Times New Roman" w:cs="Times New Roman"/>
          <w:kern w:val="22"/>
        </w:rPr>
        <w:t>highlighting successes (e.g.</w:t>
      </w:r>
      <w:r w:rsidR="00477AC4" w:rsidRPr="00471447">
        <w:rPr>
          <w:rFonts w:ascii="Times New Roman" w:eastAsia="Cambria" w:hAnsi="Times New Roman" w:cs="Times New Roman"/>
          <w:kern w:val="22"/>
        </w:rPr>
        <w:t>protected areas</w:t>
      </w:r>
      <w:r w:rsidR="00247251" w:rsidRPr="00471447">
        <w:rPr>
          <w:rFonts w:ascii="Times New Roman" w:eastAsia="Cambria" w:hAnsi="Times New Roman" w:cs="Times New Roman"/>
          <w:kern w:val="22"/>
        </w:rPr>
        <w:t xml:space="preserve">) and challenges (e.g. </w:t>
      </w:r>
      <w:r w:rsidR="00A73E00" w:rsidRPr="00471447">
        <w:rPr>
          <w:rFonts w:ascii="Times New Roman" w:eastAsia="Cambria" w:hAnsi="Times New Roman" w:cs="Times New Roman"/>
          <w:kern w:val="22"/>
        </w:rPr>
        <w:t xml:space="preserve">high rates of </w:t>
      </w:r>
      <w:r w:rsidR="00477AC4" w:rsidRPr="00471447">
        <w:rPr>
          <w:rFonts w:ascii="Times New Roman" w:eastAsia="Cambria" w:hAnsi="Times New Roman" w:cs="Times New Roman"/>
          <w:kern w:val="22"/>
        </w:rPr>
        <w:t>aquatic invasives</w:t>
      </w:r>
      <w:r w:rsidR="00A73E00" w:rsidRPr="00471447">
        <w:rPr>
          <w:rFonts w:ascii="Times New Roman" w:eastAsia="Cambria" w:hAnsi="Times New Roman" w:cs="Times New Roman"/>
          <w:kern w:val="22"/>
        </w:rPr>
        <w:t>.</w:t>
      </w:r>
      <w:r w:rsidR="00477AC4" w:rsidRPr="00471447">
        <w:rPr>
          <w:rFonts w:ascii="Times New Roman" w:eastAsia="Cambria" w:hAnsi="Times New Roman" w:cs="Times New Roman"/>
          <w:kern w:val="22"/>
        </w:rPr>
        <w:t xml:space="preserve"> </w:t>
      </w:r>
      <w:r w:rsidR="00A73E00" w:rsidRPr="00471447">
        <w:rPr>
          <w:rFonts w:ascii="Times New Roman" w:eastAsia="Cambria" w:hAnsi="Times New Roman" w:cs="Times New Roman"/>
          <w:kern w:val="22"/>
        </w:rPr>
        <w:t xml:space="preserve">He emphasized the need for the ILG to </w:t>
      </w:r>
      <w:r w:rsidR="00477AC4" w:rsidRPr="00471447">
        <w:rPr>
          <w:rFonts w:ascii="Times New Roman" w:eastAsia="Cambria" w:hAnsi="Times New Roman" w:cs="Times New Roman"/>
          <w:kern w:val="22"/>
        </w:rPr>
        <w:t xml:space="preserve">modify </w:t>
      </w:r>
      <w:r w:rsidR="0092688B" w:rsidRPr="00471447">
        <w:rPr>
          <w:rFonts w:ascii="Times New Roman" w:eastAsia="Cambria" w:hAnsi="Times New Roman" w:cs="Times New Roman"/>
          <w:kern w:val="22"/>
        </w:rPr>
        <w:t xml:space="preserve">understandings of </w:t>
      </w:r>
      <w:r w:rsidR="00477AC4" w:rsidRPr="00471447">
        <w:rPr>
          <w:rFonts w:ascii="Times New Roman" w:eastAsia="Cambria" w:hAnsi="Times New Roman" w:cs="Times New Roman"/>
          <w:kern w:val="22"/>
        </w:rPr>
        <w:t xml:space="preserve">complexity, requiring </w:t>
      </w:r>
      <w:r w:rsidR="00BA16A1" w:rsidRPr="00471447">
        <w:rPr>
          <w:rFonts w:ascii="Times New Roman" w:eastAsia="Cambria" w:hAnsi="Times New Roman" w:cs="Times New Roman"/>
          <w:kern w:val="22"/>
        </w:rPr>
        <w:t xml:space="preserve"> develop</w:t>
      </w:r>
      <w:r w:rsidR="0092688B" w:rsidRPr="00471447">
        <w:rPr>
          <w:rFonts w:ascii="Times New Roman" w:eastAsia="Cambria" w:hAnsi="Times New Roman" w:cs="Times New Roman"/>
          <w:kern w:val="22"/>
        </w:rPr>
        <w:t>ment of</w:t>
      </w:r>
      <w:r w:rsidR="00BA16A1" w:rsidRPr="00471447">
        <w:rPr>
          <w:rFonts w:ascii="Times New Roman" w:eastAsia="Cambria" w:hAnsi="Times New Roman" w:cs="Times New Roman"/>
          <w:kern w:val="22"/>
        </w:rPr>
        <w:t xml:space="preserve"> capacity for decision support that are systems</w:t>
      </w:r>
      <w:r w:rsidR="00A73E00" w:rsidRPr="00471447">
        <w:rPr>
          <w:rFonts w:ascii="Times New Roman" w:eastAsia="Cambria" w:hAnsi="Times New Roman" w:cs="Times New Roman"/>
          <w:kern w:val="22"/>
        </w:rPr>
        <w:t>-</w:t>
      </w:r>
      <w:r w:rsidR="00BA16A1" w:rsidRPr="00471447">
        <w:rPr>
          <w:rFonts w:ascii="Times New Roman" w:eastAsia="Cambria" w:hAnsi="Times New Roman" w:cs="Times New Roman"/>
          <w:kern w:val="22"/>
        </w:rPr>
        <w:t xml:space="preserve">based and participatory to ensure more effective implementation.  </w:t>
      </w:r>
    </w:p>
    <w:p w:rsidR="0092688B" w:rsidRPr="00471447" w:rsidRDefault="00A73E0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Several participants</w:t>
      </w:r>
      <w:r w:rsidR="008F078B"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noted the</w:t>
      </w:r>
      <w:r w:rsidR="0002556C" w:rsidRPr="00471447">
        <w:rPr>
          <w:rFonts w:ascii="Times New Roman" w:eastAsia="Cambria" w:hAnsi="Times New Roman" w:cs="Times New Roman"/>
          <w:kern w:val="22"/>
        </w:rPr>
        <w:t xml:space="preserve"> strong consensus that ILG members can </w:t>
      </w:r>
      <w:r w:rsidR="008F078B" w:rsidRPr="00471447">
        <w:rPr>
          <w:rFonts w:ascii="Times New Roman" w:eastAsia="Cambria" w:hAnsi="Times New Roman" w:cs="Times New Roman"/>
          <w:kern w:val="22"/>
        </w:rPr>
        <w:t>contribute to a great deal of collaborative work</w:t>
      </w:r>
      <w:r w:rsidR="0092688B" w:rsidRPr="00471447">
        <w:rPr>
          <w:rFonts w:ascii="Times New Roman" w:eastAsia="Cambria" w:hAnsi="Times New Roman" w:cs="Times New Roman"/>
          <w:kern w:val="22"/>
        </w:rPr>
        <w:t>; it</w:t>
      </w:r>
      <w:r w:rsidRPr="00471447">
        <w:rPr>
          <w:rFonts w:ascii="Times New Roman" w:eastAsia="Cambria" w:hAnsi="Times New Roman" w:cs="Times New Roman"/>
          <w:kern w:val="22"/>
        </w:rPr>
        <w:t xml:space="preserve"> was suggested that work could </w:t>
      </w:r>
      <w:r w:rsidR="0002556C" w:rsidRPr="00471447">
        <w:rPr>
          <w:rFonts w:ascii="Times New Roman" w:eastAsia="Cambria" w:hAnsi="Times New Roman" w:cs="Times New Roman"/>
          <w:kern w:val="22"/>
        </w:rPr>
        <w:t xml:space="preserve">begin with  </w:t>
      </w:r>
      <w:r w:rsidR="008F078B" w:rsidRPr="00471447">
        <w:rPr>
          <w:rFonts w:ascii="Times New Roman" w:eastAsia="Cambria" w:hAnsi="Times New Roman" w:cs="Times New Roman"/>
          <w:kern w:val="22"/>
        </w:rPr>
        <w:t>a focus on some</w:t>
      </w:r>
      <w:r w:rsidR="0002556C" w:rsidRPr="00471447">
        <w:rPr>
          <w:rFonts w:ascii="Times New Roman" w:eastAsia="Cambria" w:hAnsi="Times New Roman" w:cs="Times New Roman"/>
          <w:kern w:val="22"/>
        </w:rPr>
        <w:t xml:space="preserve"> of the important thematic areas including nutrition, infectious disease emergence, </w:t>
      </w:r>
      <w:r w:rsidR="008F078B" w:rsidRPr="00471447">
        <w:rPr>
          <w:rFonts w:ascii="Times New Roman" w:eastAsia="Cambria" w:hAnsi="Times New Roman" w:cs="Times New Roman"/>
          <w:kern w:val="22"/>
        </w:rPr>
        <w:t xml:space="preserve">and </w:t>
      </w:r>
      <w:r w:rsidR="0002556C" w:rsidRPr="00471447">
        <w:rPr>
          <w:rFonts w:ascii="Times New Roman" w:eastAsia="Cambria" w:hAnsi="Times New Roman" w:cs="Times New Roman"/>
          <w:kern w:val="22"/>
        </w:rPr>
        <w:t>health in urban environment</w:t>
      </w:r>
      <w:r w:rsidR="0092688B" w:rsidRPr="00471447">
        <w:rPr>
          <w:rFonts w:ascii="Times New Roman" w:eastAsia="Cambria" w:hAnsi="Times New Roman" w:cs="Times New Roman"/>
          <w:kern w:val="22"/>
        </w:rPr>
        <w:t>s</w:t>
      </w:r>
      <w:r w:rsidR="0002556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It was </w:t>
      </w:r>
      <w:r w:rsidR="008F078B" w:rsidRPr="00471447">
        <w:rPr>
          <w:rFonts w:ascii="Times New Roman" w:eastAsia="Cambria" w:hAnsi="Times New Roman" w:cs="Times New Roman"/>
          <w:kern w:val="22"/>
        </w:rPr>
        <w:t xml:space="preserve">noted that the Group </w:t>
      </w:r>
      <w:r w:rsidRPr="00471447">
        <w:rPr>
          <w:rFonts w:ascii="Times New Roman" w:eastAsia="Cambria" w:hAnsi="Times New Roman" w:cs="Times New Roman"/>
          <w:kern w:val="22"/>
        </w:rPr>
        <w:t>had discussed</w:t>
      </w:r>
      <w:r w:rsidR="0002556C" w:rsidRPr="00471447">
        <w:rPr>
          <w:rFonts w:ascii="Times New Roman" w:eastAsia="Cambria" w:hAnsi="Times New Roman" w:cs="Times New Roman"/>
          <w:kern w:val="22"/>
        </w:rPr>
        <w:t xml:space="preserve"> the scope and functions within the TOR document </w:t>
      </w:r>
      <w:r w:rsidRPr="00471447">
        <w:rPr>
          <w:rFonts w:ascii="Times New Roman" w:eastAsia="Cambria" w:hAnsi="Times New Roman" w:cs="Times New Roman"/>
          <w:kern w:val="22"/>
        </w:rPr>
        <w:t>and it was worth noting particular</w:t>
      </w:r>
      <w:r w:rsidR="008F078B" w:rsidRPr="00471447">
        <w:rPr>
          <w:rFonts w:ascii="Times New Roman" w:eastAsia="Cambria" w:hAnsi="Times New Roman" w:cs="Times New Roman"/>
          <w:kern w:val="22"/>
        </w:rPr>
        <w:t xml:space="preserve"> areas to which the ILG can add value, including</w:t>
      </w:r>
      <w:r w:rsidR="0002556C" w:rsidRPr="00471447">
        <w:rPr>
          <w:rFonts w:ascii="Times New Roman" w:eastAsia="Cambria" w:hAnsi="Times New Roman" w:cs="Times New Roman"/>
          <w:kern w:val="22"/>
        </w:rPr>
        <w:t xml:space="preserve"> awareness raising, capacity development, training and fe</w:t>
      </w:r>
      <w:r w:rsidR="008F078B" w:rsidRPr="00471447">
        <w:rPr>
          <w:rFonts w:ascii="Times New Roman" w:eastAsia="Cambria" w:hAnsi="Times New Roman" w:cs="Times New Roman"/>
          <w:kern w:val="22"/>
        </w:rPr>
        <w:t>eding into policy mechanisms.</w:t>
      </w:r>
    </w:p>
    <w:p w:rsidR="00B04861" w:rsidRPr="00471447" w:rsidRDefault="008F078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Dr. Liu</w:t>
      </w:r>
      <w:r w:rsidR="00611834" w:rsidRPr="00471447">
        <w:rPr>
          <w:rFonts w:ascii="Times New Roman" w:eastAsia="Cambria" w:hAnsi="Times New Roman" w:cs="Times New Roman"/>
          <w:kern w:val="22"/>
        </w:rPr>
        <w:t xml:space="preserve">, of the </w:t>
      </w:r>
      <w:r w:rsidR="0022357D" w:rsidRPr="00471447">
        <w:rPr>
          <w:rFonts w:ascii="Times New Roman" w:eastAsia="Cambria" w:hAnsi="Times New Roman" w:cs="Times New Roman"/>
          <w:kern w:val="22"/>
        </w:rPr>
        <w:t xml:space="preserve">Chinese </w:t>
      </w:r>
      <w:r w:rsidR="00611834" w:rsidRPr="00471447">
        <w:rPr>
          <w:rFonts w:ascii="Times New Roman" w:eastAsia="Cambria" w:hAnsi="Times New Roman" w:cs="Times New Roman"/>
          <w:kern w:val="22"/>
        </w:rPr>
        <w:t>Centre fo</w:t>
      </w:r>
      <w:r w:rsidR="00A7043A" w:rsidRPr="00471447">
        <w:rPr>
          <w:rFonts w:ascii="Times New Roman" w:eastAsia="Cambria" w:hAnsi="Times New Roman" w:cs="Times New Roman"/>
          <w:kern w:val="22"/>
        </w:rPr>
        <w:t>r</w:t>
      </w:r>
      <w:r w:rsidR="0022357D" w:rsidRPr="00471447">
        <w:rPr>
          <w:rFonts w:ascii="Times New Roman" w:eastAsia="Cambria" w:hAnsi="Times New Roman" w:cs="Times New Roman"/>
          <w:kern w:val="22"/>
        </w:rPr>
        <w:t xml:space="preserve"> Disease Control and preventio</w:t>
      </w:r>
      <w:r w:rsidR="00A73E00" w:rsidRPr="00471447">
        <w:rPr>
          <w:rFonts w:ascii="Times New Roman" w:eastAsia="Cambria" w:hAnsi="Times New Roman" w:cs="Times New Roman"/>
          <w:kern w:val="22"/>
        </w:rPr>
        <w:t>n</w:t>
      </w:r>
      <w:r w:rsidR="00611834" w:rsidRPr="00471447">
        <w:rPr>
          <w:rFonts w:ascii="Times New Roman" w:eastAsia="Cambria" w:hAnsi="Times New Roman" w:cs="Times New Roman"/>
          <w:kern w:val="22"/>
        </w:rPr>
        <w:t>, delivered a</w:t>
      </w:r>
      <w:r w:rsidR="00C21F40" w:rsidRPr="00471447">
        <w:rPr>
          <w:rFonts w:ascii="Times New Roman" w:eastAsia="Cambria" w:hAnsi="Times New Roman" w:cs="Times New Roman"/>
          <w:kern w:val="22"/>
        </w:rPr>
        <w:t xml:space="preserve"> presentation </w:t>
      </w:r>
      <w:r w:rsidR="00B04861" w:rsidRPr="00471447">
        <w:rPr>
          <w:rFonts w:ascii="Times New Roman" w:eastAsia="Cambria" w:hAnsi="Times New Roman" w:cs="Times New Roman"/>
          <w:kern w:val="22"/>
        </w:rPr>
        <w:t>examining both</w:t>
      </w:r>
      <w:r w:rsidR="00C21F40" w:rsidRPr="00471447">
        <w:rPr>
          <w:rFonts w:ascii="Times New Roman" w:eastAsia="Cambria" w:hAnsi="Times New Roman" w:cs="Times New Roman"/>
          <w:kern w:val="22"/>
        </w:rPr>
        <w:t xml:space="preserve"> </w:t>
      </w:r>
      <w:r w:rsidR="00611834" w:rsidRPr="00471447">
        <w:rPr>
          <w:rFonts w:ascii="Times New Roman" w:eastAsia="Cambria" w:hAnsi="Times New Roman" w:cs="Times New Roman"/>
          <w:kern w:val="22"/>
        </w:rPr>
        <w:t xml:space="preserve">potential </w:t>
      </w:r>
      <w:r w:rsidR="00C21F40" w:rsidRPr="00471447">
        <w:rPr>
          <w:rFonts w:ascii="Times New Roman" w:eastAsia="Cambria" w:hAnsi="Times New Roman" w:cs="Times New Roman"/>
          <w:kern w:val="22"/>
        </w:rPr>
        <w:t xml:space="preserve">health </w:t>
      </w:r>
      <w:r w:rsidR="00611834" w:rsidRPr="00471447">
        <w:rPr>
          <w:rFonts w:ascii="Times New Roman" w:eastAsia="Cambria" w:hAnsi="Times New Roman" w:cs="Times New Roman"/>
          <w:kern w:val="22"/>
        </w:rPr>
        <w:t xml:space="preserve">benefits and </w:t>
      </w:r>
      <w:r w:rsidR="00C21F40" w:rsidRPr="00471447">
        <w:rPr>
          <w:rFonts w:ascii="Times New Roman" w:eastAsia="Cambria" w:hAnsi="Times New Roman" w:cs="Times New Roman"/>
          <w:kern w:val="22"/>
        </w:rPr>
        <w:t>risks of biodiversity</w:t>
      </w:r>
      <w:r w:rsidR="00B04861" w:rsidRPr="00471447">
        <w:rPr>
          <w:rFonts w:ascii="Times New Roman" w:eastAsia="Cambria" w:hAnsi="Times New Roman" w:cs="Times New Roman"/>
          <w:kern w:val="22"/>
        </w:rPr>
        <w:t xml:space="preserve"> to health, noting that </w:t>
      </w:r>
      <w:r w:rsidR="00A73E00" w:rsidRPr="00471447">
        <w:rPr>
          <w:rFonts w:ascii="Times New Roman" w:eastAsia="Cambria" w:hAnsi="Times New Roman" w:cs="Times New Roman"/>
          <w:kern w:val="22"/>
        </w:rPr>
        <w:t xml:space="preserve">joint </w:t>
      </w:r>
      <w:r w:rsidR="00B04861" w:rsidRPr="00471447">
        <w:rPr>
          <w:rFonts w:ascii="Times New Roman" w:eastAsia="Cambria" w:hAnsi="Times New Roman" w:cs="Times New Roman"/>
          <w:kern w:val="22"/>
        </w:rPr>
        <w:t>m</w:t>
      </w:r>
      <w:r w:rsidR="00611834" w:rsidRPr="00471447">
        <w:rPr>
          <w:rFonts w:ascii="Times New Roman" w:eastAsia="Cambria" w:hAnsi="Times New Roman" w:cs="Times New Roman"/>
          <w:kern w:val="22"/>
        </w:rPr>
        <w:t>easures</w:t>
      </w:r>
      <w:r w:rsidR="00C21F40" w:rsidRPr="00471447">
        <w:rPr>
          <w:rFonts w:ascii="Times New Roman" w:eastAsia="Cambria" w:hAnsi="Times New Roman" w:cs="Times New Roman"/>
          <w:kern w:val="22"/>
        </w:rPr>
        <w:t xml:space="preserve"> should seek to ensure </w:t>
      </w:r>
      <w:r w:rsidR="00611834" w:rsidRPr="00471447">
        <w:rPr>
          <w:rFonts w:ascii="Times New Roman" w:eastAsia="Cambria" w:hAnsi="Times New Roman" w:cs="Times New Roman"/>
          <w:kern w:val="22"/>
        </w:rPr>
        <w:t>that the benefits outweigh the risks as</w:t>
      </w:r>
      <w:r w:rsidR="00C21F40" w:rsidRPr="00471447">
        <w:rPr>
          <w:rFonts w:ascii="Times New Roman" w:eastAsia="Cambria" w:hAnsi="Times New Roman" w:cs="Times New Roman"/>
          <w:kern w:val="22"/>
        </w:rPr>
        <w:t xml:space="preserve"> maximizing biodiversity benefits does not </w:t>
      </w:r>
      <w:r w:rsidR="00B04861" w:rsidRPr="00471447">
        <w:rPr>
          <w:rFonts w:ascii="Times New Roman" w:eastAsia="Cambria" w:hAnsi="Times New Roman" w:cs="Times New Roman"/>
          <w:kern w:val="22"/>
        </w:rPr>
        <w:t>systematically translate as</w:t>
      </w:r>
      <w:r w:rsidR="00C21F40" w:rsidRPr="00471447">
        <w:rPr>
          <w:rFonts w:ascii="Times New Roman" w:eastAsia="Cambria" w:hAnsi="Times New Roman" w:cs="Times New Roman"/>
          <w:kern w:val="22"/>
        </w:rPr>
        <w:t xml:space="preserve"> eliminating risk altogether. </w:t>
      </w:r>
      <w:r w:rsidR="00611834" w:rsidRPr="00471447">
        <w:rPr>
          <w:rFonts w:ascii="Times New Roman" w:eastAsia="Cambria" w:hAnsi="Times New Roman" w:cs="Times New Roman"/>
          <w:kern w:val="22"/>
        </w:rPr>
        <w:t>He identified</w:t>
      </w:r>
      <w:r w:rsidR="00A73E00" w:rsidRPr="00471447">
        <w:rPr>
          <w:rFonts w:ascii="Times New Roman" w:eastAsia="Cambria" w:hAnsi="Times New Roman" w:cs="Times New Roman"/>
          <w:kern w:val="22"/>
        </w:rPr>
        <w:t xml:space="preserve"> potential elements</w:t>
      </w:r>
      <w:r w:rsidR="00611834" w:rsidRPr="00471447">
        <w:rPr>
          <w:rFonts w:ascii="Times New Roman" w:eastAsia="Cambria" w:hAnsi="Times New Roman" w:cs="Times New Roman"/>
          <w:kern w:val="22"/>
        </w:rPr>
        <w:t xml:space="preserve"> </w:t>
      </w:r>
      <w:r w:rsidR="00C21F40" w:rsidRPr="00471447">
        <w:rPr>
          <w:rFonts w:ascii="Times New Roman" w:eastAsia="Cambria" w:hAnsi="Times New Roman" w:cs="Times New Roman"/>
          <w:kern w:val="22"/>
        </w:rPr>
        <w:t xml:space="preserve">for a roadmap on strengthening </w:t>
      </w:r>
      <w:r w:rsidR="00B04861" w:rsidRPr="00471447">
        <w:rPr>
          <w:rFonts w:ascii="Times New Roman" w:eastAsia="Cambria" w:hAnsi="Times New Roman" w:cs="Times New Roman"/>
          <w:kern w:val="22"/>
        </w:rPr>
        <w:t xml:space="preserve">the integration of </w:t>
      </w:r>
      <w:r w:rsidR="00C21F40" w:rsidRPr="00471447">
        <w:rPr>
          <w:rFonts w:ascii="Times New Roman" w:eastAsia="Cambria" w:hAnsi="Times New Roman" w:cs="Times New Roman"/>
          <w:kern w:val="22"/>
        </w:rPr>
        <w:t>bio</w:t>
      </w:r>
      <w:r w:rsidR="00611834" w:rsidRPr="00471447">
        <w:rPr>
          <w:rFonts w:ascii="Times New Roman" w:eastAsia="Cambria" w:hAnsi="Times New Roman" w:cs="Times New Roman"/>
          <w:kern w:val="22"/>
        </w:rPr>
        <w:t>diversity and health including</w:t>
      </w:r>
      <w:r w:rsidR="00C21F40" w:rsidRPr="00471447">
        <w:rPr>
          <w:rFonts w:ascii="Times New Roman" w:eastAsia="Cambria" w:hAnsi="Times New Roman" w:cs="Times New Roman"/>
          <w:kern w:val="22"/>
        </w:rPr>
        <w:t xml:space="preserve">: </w:t>
      </w:r>
      <w:r w:rsidR="00611834" w:rsidRPr="00471447">
        <w:rPr>
          <w:rFonts w:ascii="Times New Roman" w:eastAsia="Cambria" w:hAnsi="Times New Roman" w:cs="Times New Roman"/>
          <w:kern w:val="22"/>
        </w:rPr>
        <w:t>s</w:t>
      </w:r>
      <w:r w:rsidR="00C21F40" w:rsidRPr="00471447">
        <w:rPr>
          <w:rFonts w:ascii="Times New Roman" w:eastAsia="Cambria" w:hAnsi="Times New Roman" w:cs="Times New Roman"/>
          <w:kern w:val="22"/>
        </w:rPr>
        <w:t>trengthening surveillance and data integration; assessing the negative and positive impacts of biodiversity on health including in different landscapes such as cities, rural areas or communities; strengthening public health action for risk communication and risk management;</w:t>
      </w:r>
      <w:r w:rsidR="00611834" w:rsidRPr="00471447">
        <w:rPr>
          <w:rFonts w:ascii="Times New Roman" w:eastAsia="Cambria" w:hAnsi="Times New Roman" w:cs="Times New Roman"/>
          <w:kern w:val="22"/>
        </w:rPr>
        <w:t xml:space="preserve"> </w:t>
      </w:r>
      <w:r w:rsidR="00C21F40" w:rsidRPr="00471447">
        <w:rPr>
          <w:rFonts w:ascii="Times New Roman" w:eastAsia="Cambria" w:hAnsi="Times New Roman" w:cs="Times New Roman"/>
          <w:kern w:val="22"/>
        </w:rPr>
        <w:t>public he</w:t>
      </w:r>
      <w:r w:rsidR="00611834" w:rsidRPr="00471447">
        <w:rPr>
          <w:rFonts w:ascii="Times New Roman" w:eastAsia="Cambria" w:hAnsi="Times New Roman" w:cs="Times New Roman"/>
          <w:kern w:val="22"/>
        </w:rPr>
        <w:t xml:space="preserve">alth leadership to maximize </w:t>
      </w:r>
      <w:r w:rsidR="00C21F40" w:rsidRPr="00471447">
        <w:rPr>
          <w:rFonts w:ascii="Times New Roman" w:eastAsia="Cambria" w:hAnsi="Times New Roman" w:cs="Times New Roman"/>
          <w:kern w:val="22"/>
        </w:rPr>
        <w:t>co-benefits, and; minimizing the risk of health interventions on biodi</w:t>
      </w:r>
      <w:r w:rsidR="00B04861" w:rsidRPr="00471447">
        <w:rPr>
          <w:rFonts w:ascii="Times New Roman" w:eastAsia="Cambria" w:hAnsi="Times New Roman" w:cs="Times New Roman"/>
          <w:kern w:val="22"/>
        </w:rPr>
        <w:t>versity insofar as possible. As an</w:t>
      </w:r>
      <w:r w:rsidR="00C21F40" w:rsidRPr="00471447">
        <w:rPr>
          <w:rFonts w:ascii="Times New Roman" w:eastAsia="Cambria" w:hAnsi="Times New Roman" w:cs="Times New Roman"/>
          <w:kern w:val="22"/>
        </w:rPr>
        <w:t xml:space="preserve"> example</w:t>
      </w:r>
      <w:r w:rsidR="00B04861" w:rsidRPr="00471447">
        <w:rPr>
          <w:rFonts w:ascii="Times New Roman" w:eastAsia="Cambria" w:hAnsi="Times New Roman" w:cs="Times New Roman"/>
          <w:kern w:val="22"/>
        </w:rPr>
        <w:t xml:space="preserve">, he </w:t>
      </w:r>
      <w:r w:rsidR="00C21F40" w:rsidRPr="00471447">
        <w:rPr>
          <w:rFonts w:ascii="Times New Roman" w:eastAsia="Cambria" w:hAnsi="Times New Roman" w:cs="Times New Roman"/>
          <w:kern w:val="22"/>
        </w:rPr>
        <w:t xml:space="preserve">noted that controlling the Zika outbreak may </w:t>
      </w:r>
      <w:r w:rsidR="00B04861" w:rsidRPr="00471447">
        <w:rPr>
          <w:rFonts w:ascii="Times New Roman" w:eastAsia="Cambria" w:hAnsi="Times New Roman" w:cs="Times New Roman"/>
          <w:kern w:val="22"/>
        </w:rPr>
        <w:t>lead to interventions focused on</w:t>
      </w:r>
      <w:r w:rsidR="00C21F40" w:rsidRPr="00471447">
        <w:rPr>
          <w:rFonts w:ascii="Times New Roman" w:eastAsia="Cambria" w:hAnsi="Times New Roman" w:cs="Times New Roman"/>
          <w:kern w:val="22"/>
        </w:rPr>
        <w:t xml:space="preserve"> massive pesticide spraying but </w:t>
      </w:r>
      <w:r w:rsidR="00B04861" w:rsidRPr="00471447">
        <w:rPr>
          <w:rFonts w:ascii="Times New Roman" w:eastAsia="Cambria" w:hAnsi="Times New Roman" w:cs="Times New Roman"/>
          <w:kern w:val="22"/>
        </w:rPr>
        <w:t>such</w:t>
      </w:r>
      <w:r w:rsidR="00C21F40" w:rsidRPr="00471447">
        <w:rPr>
          <w:rFonts w:ascii="Times New Roman" w:eastAsia="Cambria" w:hAnsi="Times New Roman" w:cs="Times New Roman"/>
          <w:kern w:val="22"/>
        </w:rPr>
        <w:t xml:space="preserve"> interventions </w:t>
      </w:r>
      <w:r w:rsidR="00B04861" w:rsidRPr="00471447">
        <w:rPr>
          <w:rFonts w:ascii="Times New Roman" w:eastAsia="Cambria" w:hAnsi="Times New Roman" w:cs="Times New Roman"/>
          <w:kern w:val="22"/>
        </w:rPr>
        <w:t>can</w:t>
      </w:r>
      <w:r w:rsidR="00C21F40" w:rsidRPr="00471447">
        <w:rPr>
          <w:rFonts w:ascii="Times New Roman" w:eastAsia="Cambria" w:hAnsi="Times New Roman" w:cs="Times New Roman"/>
          <w:kern w:val="22"/>
        </w:rPr>
        <w:t xml:space="preserve"> have other unintended health consequences</w:t>
      </w:r>
      <w:r w:rsidR="00B04861" w:rsidRPr="00471447">
        <w:rPr>
          <w:rFonts w:ascii="Times New Roman" w:eastAsia="Cambria" w:hAnsi="Times New Roman" w:cs="Times New Roman"/>
          <w:kern w:val="22"/>
        </w:rPr>
        <w:t>, most notably</w:t>
      </w:r>
      <w:r w:rsidR="00C21F40" w:rsidRPr="00471447">
        <w:rPr>
          <w:rFonts w:ascii="Times New Roman" w:eastAsia="Cambria" w:hAnsi="Times New Roman" w:cs="Times New Roman"/>
          <w:kern w:val="22"/>
        </w:rPr>
        <w:t xml:space="preserve"> for ecosystem health. </w:t>
      </w:r>
    </w:p>
    <w:p w:rsidR="00C21F40" w:rsidRPr="00471447" w:rsidRDefault="00A73E00"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Several examples of ongoing work in China were presented such as the</w:t>
      </w:r>
      <w:r w:rsidR="00C21F40" w:rsidRPr="00471447">
        <w:rPr>
          <w:rFonts w:ascii="Times New Roman" w:eastAsia="Cambria" w:hAnsi="Times New Roman" w:cs="Times New Roman"/>
          <w:kern w:val="22"/>
        </w:rPr>
        <w:t xml:space="preserve"> development of the Chinese Pathogen Identification Net (China PIN)</w:t>
      </w:r>
      <w:r w:rsidRPr="00471447">
        <w:rPr>
          <w:rFonts w:ascii="Times New Roman" w:eastAsia="Cambria" w:hAnsi="Times New Roman" w:cs="Times New Roman"/>
          <w:kern w:val="22"/>
        </w:rPr>
        <w:t xml:space="preserve">, </w:t>
      </w:r>
      <w:r w:rsidR="00C21F40" w:rsidRPr="00471447">
        <w:rPr>
          <w:rFonts w:ascii="Times New Roman" w:eastAsia="Cambria" w:hAnsi="Times New Roman" w:cs="Times New Roman"/>
          <w:kern w:val="22"/>
        </w:rPr>
        <w:t xml:space="preserve">a national laboratory-based surveillance system for all bacterial infectious disease. </w:t>
      </w:r>
      <w:r w:rsidRPr="00471447">
        <w:rPr>
          <w:rFonts w:ascii="Times New Roman" w:eastAsia="Cambria" w:hAnsi="Times New Roman" w:cs="Times New Roman"/>
          <w:kern w:val="22"/>
        </w:rPr>
        <w:t xml:space="preserve">The </w:t>
      </w:r>
      <w:r w:rsidR="00C21F40" w:rsidRPr="00471447">
        <w:rPr>
          <w:rFonts w:ascii="Times New Roman" w:eastAsia="Cambria" w:hAnsi="Times New Roman" w:cs="Times New Roman"/>
          <w:kern w:val="22"/>
        </w:rPr>
        <w:t>National Basic Research Program of China examining how Climate Change affects public health outcomes</w:t>
      </w:r>
      <w:r w:rsidRPr="00471447">
        <w:rPr>
          <w:rFonts w:ascii="Times New Roman" w:eastAsia="Cambria" w:hAnsi="Times New Roman" w:cs="Times New Roman"/>
          <w:kern w:val="22"/>
        </w:rPr>
        <w:t xml:space="preserve"> and</w:t>
      </w:r>
      <w:r w:rsidR="00C21F40" w:rsidRPr="00471447">
        <w:rPr>
          <w:rFonts w:ascii="Times New Roman" w:eastAsia="Cambria" w:hAnsi="Times New Roman" w:cs="Times New Roman"/>
          <w:kern w:val="22"/>
        </w:rPr>
        <w:t xml:space="preserve"> research on plague ecology</w:t>
      </w:r>
      <w:r w:rsidRPr="00471447">
        <w:rPr>
          <w:rFonts w:ascii="Times New Roman" w:eastAsia="Cambria" w:hAnsi="Times New Roman" w:cs="Times New Roman"/>
          <w:kern w:val="22"/>
        </w:rPr>
        <w:t xml:space="preserve"> in</w:t>
      </w:r>
      <w:r w:rsidR="00C21F40" w:rsidRPr="00471447">
        <w:rPr>
          <w:rFonts w:ascii="Times New Roman" w:eastAsia="Cambria" w:hAnsi="Times New Roman" w:cs="Times New Roman"/>
          <w:kern w:val="22"/>
        </w:rPr>
        <w:t xml:space="preserve"> China’s Yunnan province</w:t>
      </w:r>
      <w:r w:rsidRPr="00471447">
        <w:rPr>
          <w:rFonts w:ascii="Times New Roman" w:eastAsia="Cambria" w:hAnsi="Times New Roman" w:cs="Times New Roman"/>
          <w:kern w:val="22"/>
        </w:rPr>
        <w:t xml:space="preserve"> were also discussed</w:t>
      </w:r>
      <w:r w:rsidR="00C21F4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It was</w:t>
      </w:r>
      <w:r w:rsidR="00C21F40" w:rsidRPr="00471447">
        <w:rPr>
          <w:rFonts w:ascii="Times New Roman" w:eastAsia="Cambria" w:hAnsi="Times New Roman" w:cs="Times New Roman"/>
          <w:kern w:val="22"/>
        </w:rPr>
        <w:t xml:space="preserve"> noted that studies had found that climate conditions, through the effects of rainfall and temperature on mosquito abundance and dengue transmission rates, can play a key role in explaining the temporal dynamics of incidence of dengue fever</w:t>
      </w:r>
      <w:r w:rsidR="00B04861" w:rsidRPr="00471447">
        <w:rPr>
          <w:rFonts w:ascii="Times New Roman" w:eastAsia="Cambria" w:hAnsi="Times New Roman" w:cs="Times New Roman"/>
          <w:kern w:val="22"/>
        </w:rPr>
        <w:t xml:space="preserve"> in human populations. O</w:t>
      </w:r>
      <w:r w:rsidR="00C21F40" w:rsidRPr="00471447">
        <w:rPr>
          <w:rFonts w:ascii="Times New Roman" w:eastAsia="Cambria" w:hAnsi="Times New Roman" w:cs="Times New Roman"/>
          <w:kern w:val="22"/>
        </w:rPr>
        <w:t xml:space="preserve">ther studies and initiatives on climate and health </w:t>
      </w:r>
      <w:r w:rsidR="00B04861" w:rsidRPr="00471447">
        <w:rPr>
          <w:rFonts w:ascii="Times New Roman" w:eastAsia="Cambria" w:hAnsi="Times New Roman" w:cs="Times New Roman"/>
          <w:kern w:val="22"/>
        </w:rPr>
        <w:t>in China were also highlighted including</w:t>
      </w:r>
      <w:r w:rsidR="00C21F40" w:rsidRPr="00471447">
        <w:rPr>
          <w:rFonts w:ascii="Times New Roman" w:eastAsia="Cambria" w:hAnsi="Times New Roman" w:cs="Times New Roman"/>
          <w:kern w:val="22"/>
        </w:rPr>
        <w:t xml:space="preserve"> the China Prosperity Strategic Programme Fund and the Australian Government’s AusAID Development R</w:t>
      </w:r>
      <w:r w:rsidR="00B04861" w:rsidRPr="00471447">
        <w:rPr>
          <w:rFonts w:ascii="Times New Roman" w:eastAsia="Cambria" w:hAnsi="Times New Roman" w:cs="Times New Roman"/>
          <w:kern w:val="22"/>
        </w:rPr>
        <w:t>esearch Awards Scheme</w:t>
      </w:r>
      <w:r w:rsidR="00C21F40" w:rsidRPr="00471447">
        <w:rPr>
          <w:rFonts w:ascii="Times New Roman" w:eastAsia="Cambria" w:hAnsi="Times New Roman" w:cs="Times New Roman"/>
          <w:kern w:val="22"/>
        </w:rPr>
        <w:t xml:space="preserve">. </w:t>
      </w:r>
      <w:r w:rsidR="00B04861" w:rsidRPr="00471447">
        <w:rPr>
          <w:rFonts w:ascii="Times New Roman" w:eastAsia="Cambria" w:hAnsi="Times New Roman" w:cs="Times New Roman"/>
          <w:kern w:val="22"/>
        </w:rPr>
        <w:t>He further noted that s</w:t>
      </w:r>
      <w:r w:rsidR="00C21F40" w:rsidRPr="00471447">
        <w:rPr>
          <w:rFonts w:ascii="Times New Roman" w:eastAsia="Cambria" w:hAnsi="Times New Roman" w:cs="Times New Roman"/>
          <w:kern w:val="22"/>
        </w:rPr>
        <w:t>t</w:t>
      </w:r>
      <w:r w:rsidR="00B04861" w:rsidRPr="00471447">
        <w:rPr>
          <w:rFonts w:ascii="Times New Roman" w:eastAsia="Cambria" w:hAnsi="Times New Roman" w:cs="Times New Roman"/>
          <w:kern w:val="22"/>
        </w:rPr>
        <w:t>rengthening</w:t>
      </w:r>
      <w:r w:rsidR="00C21F40" w:rsidRPr="00471447">
        <w:rPr>
          <w:rFonts w:ascii="Times New Roman" w:eastAsia="Cambria" w:hAnsi="Times New Roman" w:cs="Times New Roman"/>
          <w:kern w:val="22"/>
        </w:rPr>
        <w:t xml:space="preserve"> </w:t>
      </w:r>
      <w:r w:rsidR="00B04861" w:rsidRPr="00471447">
        <w:rPr>
          <w:rFonts w:ascii="Times New Roman" w:eastAsia="Cambria" w:hAnsi="Times New Roman" w:cs="Times New Roman"/>
          <w:kern w:val="22"/>
        </w:rPr>
        <w:t>knowledge</w:t>
      </w:r>
      <w:r w:rsidR="00C21F40" w:rsidRPr="00471447">
        <w:rPr>
          <w:rFonts w:ascii="Times New Roman" w:eastAsia="Cambria" w:hAnsi="Times New Roman" w:cs="Times New Roman"/>
          <w:kern w:val="22"/>
        </w:rPr>
        <w:t xml:space="preserve"> of community ecology, combined with monitoring pathogen diversity and disease trends in natural ecosystems can potentially contribute to the identification of opportunities to mitigate the impacts of climate-sensitive diseases.</w:t>
      </w:r>
    </w:p>
    <w:p w:rsidR="00A756F3" w:rsidRPr="00471447" w:rsidRDefault="00A756F3"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Carlos Zambrana of EcoHealth Alliance (EHA) showed a comprehensive map of hotspots of unknown emerging infectious diseases, noting that </w:t>
      </w:r>
      <w:r w:rsidR="00890DC8" w:rsidRPr="00471447">
        <w:rPr>
          <w:rFonts w:ascii="Times New Roman" w:eastAsia="Cambria" w:hAnsi="Times New Roman" w:cs="Times New Roman"/>
          <w:kern w:val="22"/>
        </w:rPr>
        <w:t>EHA was able to build</w:t>
      </w:r>
      <w:r w:rsidRPr="00471447">
        <w:rPr>
          <w:rFonts w:ascii="Times New Roman" w:eastAsia="Cambria" w:hAnsi="Times New Roman" w:cs="Times New Roman"/>
          <w:kern w:val="22"/>
        </w:rPr>
        <w:t xml:space="preserve"> on </w:t>
      </w:r>
      <w:r w:rsidR="00890DC8" w:rsidRPr="00471447">
        <w:rPr>
          <w:rFonts w:ascii="Times New Roman" w:eastAsia="Cambria" w:hAnsi="Times New Roman" w:cs="Times New Roman"/>
          <w:kern w:val="22"/>
        </w:rPr>
        <w:t xml:space="preserve">earlier projections by collecting data on outbreaks to identify </w:t>
      </w:r>
      <w:r w:rsidRPr="00471447">
        <w:rPr>
          <w:rFonts w:ascii="Times New Roman" w:eastAsia="Cambria" w:hAnsi="Times New Roman" w:cs="Times New Roman"/>
          <w:kern w:val="22"/>
        </w:rPr>
        <w:t xml:space="preserve">specific drivers that make a region more or less predisposed to disease emergence. He </w:t>
      </w:r>
      <w:r w:rsidR="005E5A59" w:rsidRPr="00471447">
        <w:rPr>
          <w:rFonts w:ascii="Times New Roman" w:eastAsia="Cambria" w:hAnsi="Times New Roman" w:cs="Times New Roman"/>
          <w:kern w:val="22"/>
        </w:rPr>
        <w:t xml:space="preserve">also </w:t>
      </w:r>
      <w:r w:rsidRPr="00471447">
        <w:rPr>
          <w:rFonts w:ascii="Times New Roman" w:eastAsia="Cambria" w:hAnsi="Times New Roman" w:cs="Times New Roman"/>
          <w:kern w:val="22"/>
        </w:rPr>
        <w:t xml:space="preserve">showed a recent map </w:t>
      </w:r>
      <w:r w:rsidR="00890DC8" w:rsidRPr="00471447">
        <w:rPr>
          <w:rFonts w:ascii="Times New Roman" w:eastAsia="Cambria" w:hAnsi="Times New Roman" w:cs="Times New Roman"/>
          <w:kern w:val="22"/>
        </w:rPr>
        <w:t>projecting locations in which</w:t>
      </w:r>
      <w:r w:rsidRPr="00471447">
        <w:rPr>
          <w:rFonts w:ascii="Times New Roman" w:eastAsia="Cambria" w:hAnsi="Times New Roman" w:cs="Times New Roman"/>
          <w:kern w:val="22"/>
        </w:rPr>
        <w:t xml:space="preserve"> new diseases are likely to emerge based on where they had emerged in the past, and on changing s</w:t>
      </w:r>
      <w:r w:rsidR="00890DC8" w:rsidRPr="00471447">
        <w:rPr>
          <w:rFonts w:ascii="Times New Roman" w:eastAsia="Cambria" w:hAnsi="Times New Roman" w:cs="Times New Roman"/>
          <w:kern w:val="22"/>
        </w:rPr>
        <w:t xml:space="preserve">ocial and ecological patterns. Mr. Zambrana noted that locations in which </w:t>
      </w:r>
      <w:r w:rsidRPr="00471447">
        <w:rPr>
          <w:rFonts w:ascii="Times New Roman" w:eastAsia="Cambria" w:hAnsi="Times New Roman" w:cs="Times New Roman"/>
          <w:kern w:val="22"/>
        </w:rPr>
        <w:t xml:space="preserve">people are rapidly </w:t>
      </w:r>
      <w:r w:rsidR="00890DC8" w:rsidRPr="00471447">
        <w:rPr>
          <w:rFonts w:ascii="Times New Roman" w:eastAsia="Cambria" w:hAnsi="Times New Roman" w:cs="Times New Roman"/>
          <w:kern w:val="22"/>
        </w:rPr>
        <w:t>altering</w:t>
      </w:r>
      <w:r w:rsidRPr="00471447">
        <w:rPr>
          <w:rFonts w:ascii="Times New Roman" w:eastAsia="Cambria" w:hAnsi="Times New Roman" w:cs="Times New Roman"/>
          <w:kern w:val="22"/>
        </w:rPr>
        <w:t xml:space="preserve"> the environment </w:t>
      </w:r>
      <w:r w:rsidR="00890DC8" w:rsidRPr="00471447">
        <w:rPr>
          <w:rFonts w:ascii="Times New Roman" w:eastAsia="Cambria" w:hAnsi="Times New Roman" w:cs="Times New Roman"/>
          <w:kern w:val="22"/>
        </w:rPr>
        <w:t>appear</w:t>
      </w:r>
      <w:r w:rsidRPr="00471447">
        <w:rPr>
          <w:rFonts w:ascii="Times New Roman" w:eastAsia="Cambria" w:hAnsi="Times New Roman" w:cs="Times New Roman"/>
          <w:kern w:val="22"/>
        </w:rPr>
        <w:t xml:space="preserve"> to coincide with areas that are of highest risk.  </w:t>
      </w:r>
      <w:r w:rsidR="005E5A59" w:rsidRPr="00471447">
        <w:rPr>
          <w:rFonts w:ascii="Times New Roman" w:eastAsia="Cambria" w:hAnsi="Times New Roman" w:cs="Times New Roman"/>
          <w:kern w:val="22"/>
        </w:rPr>
        <w:t>T</w:t>
      </w:r>
      <w:r w:rsidRPr="00471447">
        <w:rPr>
          <w:rFonts w:ascii="Times New Roman" w:eastAsia="Cambria" w:hAnsi="Times New Roman" w:cs="Times New Roman"/>
          <w:kern w:val="22"/>
        </w:rPr>
        <w:t xml:space="preserve">he USAID funded Emerging Pandemic Threats PREDICT project which is operating in some 30 countries and </w:t>
      </w:r>
      <w:r w:rsidR="00890DC8" w:rsidRPr="00471447">
        <w:rPr>
          <w:rFonts w:ascii="Times New Roman" w:eastAsia="Cambria" w:hAnsi="Times New Roman" w:cs="Times New Roman"/>
          <w:kern w:val="22"/>
        </w:rPr>
        <w:t>is now in its second phase (</w:t>
      </w:r>
      <w:hyperlink r:id="rId27" w:history="1">
        <w:r w:rsidR="00890DC8" w:rsidRPr="00471447">
          <w:rPr>
            <w:rStyle w:val="Hyperlink"/>
            <w:rFonts w:ascii="Times New Roman" w:eastAsia="Cambria" w:hAnsi="Times New Roman" w:cs="Times New Roman"/>
            <w:kern w:val="22"/>
          </w:rPr>
          <w:t>http://www.vetmed.ucdavis.edu/ohi/predict/)</w:t>
        </w:r>
      </w:hyperlink>
      <w:r w:rsidR="005E5A59" w:rsidRPr="00471447">
        <w:rPr>
          <w:rStyle w:val="Hyperlink"/>
          <w:rFonts w:ascii="Times New Roman" w:eastAsia="Cambria" w:hAnsi="Times New Roman" w:cs="Times New Roman"/>
          <w:kern w:val="22"/>
        </w:rPr>
        <w:t xml:space="preserve"> </w:t>
      </w:r>
      <w:r w:rsidR="005E5A59" w:rsidRPr="00471447">
        <w:rPr>
          <w:rFonts w:ascii="Times New Roman" w:hAnsi="Times New Roman"/>
          <w:kern w:val="22"/>
        </w:rPr>
        <w:t>was also presented</w:t>
      </w:r>
      <w:r w:rsidR="00890DC8"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On the basis of the work carried out under the PREDICT project and using advanced modelling techniques, it was possible to estimate that there are approximate 1.33 million unknown viral species in mammals and bird populations of which an estimated 500,000 are likely to infect humans and cause future disease outbreaks. PREDICT has significantly expanded know</w:t>
      </w:r>
      <w:r w:rsidR="005E5A59" w:rsidRPr="00471447">
        <w:rPr>
          <w:rFonts w:ascii="Times New Roman" w:eastAsia="Cambria" w:hAnsi="Times New Roman" w:cs="Times New Roman"/>
          <w:kern w:val="22"/>
        </w:rPr>
        <w:t>ledge of</w:t>
      </w:r>
      <w:r w:rsidRPr="00471447">
        <w:rPr>
          <w:rFonts w:ascii="Times New Roman" w:eastAsia="Cambria" w:hAnsi="Times New Roman" w:cs="Times New Roman"/>
          <w:kern w:val="22"/>
        </w:rPr>
        <w:t xml:space="preserve"> viral diversity, viral ecology and risk and is a successful example, and can provide proof-of-concept, of the value of adopting One Health approaches to disease emergence and prevention. It also demonstrates the need to work together across sectors, as a global community, and with governments, scientists as well as communities located in high-risk interfaces. </w:t>
      </w:r>
    </w:p>
    <w:p w:rsidR="00A756F3" w:rsidRPr="00471447" w:rsidRDefault="00A756F3"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Mr. Zambrana also presented related innovative work carried out for the Global Virome Project (</w:t>
      </w:r>
      <w:hyperlink r:id="rId28" w:history="1">
        <w:r w:rsidR="004806DB">
          <w:rPr>
            <w:rStyle w:val="Hyperlink"/>
            <w:rFonts w:ascii="Times New Roman" w:eastAsia="Cambria" w:hAnsi="Times New Roman" w:cs="Times New Roman"/>
            <w:kern w:val="22"/>
          </w:rPr>
          <w:t>http://www.globalviromeproject.org/</w:t>
        </w:r>
      </w:hyperlink>
      <w:r w:rsidR="004806DB">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5E5A59" w:rsidRPr="00471447">
        <w:rPr>
          <w:rFonts w:ascii="Times New Roman" w:eastAsia="Cambria" w:hAnsi="Times New Roman" w:cs="Times New Roman"/>
          <w:kern w:val="22"/>
        </w:rPr>
        <w:t xml:space="preserve">and a </w:t>
      </w:r>
      <w:r w:rsidRPr="00471447">
        <w:rPr>
          <w:rFonts w:ascii="Times New Roman" w:eastAsia="Cambria" w:hAnsi="Times New Roman" w:cs="Times New Roman"/>
          <w:kern w:val="22"/>
        </w:rPr>
        <w:t>related project</w:t>
      </w:r>
      <w:r w:rsidR="00890DC8" w:rsidRPr="00471447">
        <w:rPr>
          <w:rFonts w:ascii="Times New Roman" w:eastAsia="Cambria" w:hAnsi="Times New Roman" w:cs="Times New Roman"/>
          <w:kern w:val="22"/>
        </w:rPr>
        <w:t>, known as Project Deep Forest</w:t>
      </w:r>
      <w:r w:rsidRPr="00471447">
        <w:rPr>
          <w:rFonts w:ascii="Times New Roman" w:eastAsia="Cambria" w:hAnsi="Times New Roman" w:cs="Times New Roman"/>
          <w:kern w:val="22"/>
        </w:rPr>
        <w:t xml:space="preserve">, </w:t>
      </w:r>
      <w:r w:rsidR="005E5A59" w:rsidRPr="00471447">
        <w:rPr>
          <w:rFonts w:ascii="Times New Roman" w:eastAsia="Cambria" w:hAnsi="Times New Roman" w:cs="Times New Roman"/>
          <w:kern w:val="22"/>
        </w:rPr>
        <w:t xml:space="preserve">which </w:t>
      </w:r>
      <w:r w:rsidRPr="00471447">
        <w:rPr>
          <w:rFonts w:ascii="Times New Roman" w:eastAsia="Cambria" w:hAnsi="Times New Roman" w:cs="Times New Roman"/>
          <w:kern w:val="22"/>
        </w:rPr>
        <w:t xml:space="preserve">samples species for pathogens in different countries along a deforestation gradient, comparing different degrees of deforestation as a result of agricultural and farm expansion (such as palm oil plantations in Malaysia), urban planning and extractive industries. </w:t>
      </w:r>
      <w:r w:rsidR="005E5A59" w:rsidRPr="00471447">
        <w:rPr>
          <w:rFonts w:ascii="Times New Roman" w:eastAsia="Cambria" w:hAnsi="Times New Roman" w:cs="Times New Roman"/>
          <w:kern w:val="22"/>
        </w:rPr>
        <w:t xml:space="preserve">He noted that </w:t>
      </w:r>
      <w:r w:rsidRPr="00471447">
        <w:rPr>
          <w:rFonts w:ascii="Times New Roman" w:eastAsia="Cambria" w:hAnsi="Times New Roman" w:cs="Times New Roman"/>
          <w:kern w:val="22"/>
        </w:rPr>
        <w:t>Project Deep Forest can help to identify the avoided costs of intact forests, understand how biodiversity and viral diversity are affected by land</w:t>
      </w:r>
      <w:r w:rsidR="004806DB">
        <w:rPr>
          <w:rFonts w:ascii="Times New Roman" w:eastAsia="Cambria" w:hAnsi="Times New Roman" w:cs="Times New Roman"/>
          <w:kern w:val="22"/>
        </w:rPr>
        <w:t>-</w:t>
      </w:r>
      <w:r w:rsidRPr="00471447">
        <w:rPr>
          <w:rFonts w:ascii="Times New Roman" w:eastAsia="Cambria" w:hAnsi="Times New Roman" w:cs="Times New Roman"/>
          <w:kern w:val="22"/>
        </w:rPr>
        <w:t xml:space="preserve">use change and create outreach via local communities and corporate stakeholders to promote the preservation of natural lands </w:t>
      </w:r>
      <w:r w:rsidR="005E5A59" w:rsidRPr="00471447">
        <w:rPr>
          <w:rFonts w:ascii="Times New Roman" w:eastAsia="Cambria" w:hAnsi="Times New Roman" w:cs="Times New Roman"/>
          <w:kern w:val="22"/>
        </w:rPr>
        <w:t>among other benefits</w:t>
      </w:r>
      <w:r w:rsidRPr="00471447">
        <w:rPr>
          <w:rFonts w:ascii="Times New Roman" w:eastAsia="Cambria" w:hAnsi="Times New Roman" w:cs="Times New Roman"/>
          <w:kern w:val="22"/>
        </w:rPr>
        <w:t xml:space="preserve">. Keeping intact forests provides a service to </w:t>
      </w:r>
      <w:r w:rsidRPr="00471447">
        <w:rPr>
          <w:rFonts w:ascii="Times New Roman" w:eastAsia="Cambria" w:hAnsi="Times New Roman" w:cs="Times New Roman"/>
          <w:kern w:val="22"/>
        </w:rPr>
        <w:lastRenderedPageBreak/>
        <w:t xml:space="preserve">human society through protection against infectious diseases outbreaks. </w:t>
      </w:r>
      <w:r w:rsidR="005E5A59" w:rsidRPr="00471447">
        <w:rPr>
          <w:rFonts w:ascii="Times New Roman" w:eastAsia="Cambria" w:hAnsi="Times New Roman" w:cs="Times New Roman"/>
          <w:kern w:val="22"/>
        </w:rPr>
        <w:t>However, a</w:t>
      </w:r>
      <w:r w:rsidRPr="00471447">
        <w:rPr>
          <w:rFonts w:ascii="Times New Roman" w:eastAsia="Cambria" w:hAnsi="Times New Roman" w:cs="Times New Roman"/>
          <w:kern w:val="22"/>
        </w:rPr>
        <w:t xml:space="preserve">s not everything can remain intact, efforts are being made to estimate the economic value of damages that are avoided by keeping intact forests. </w:t>
      </w:r>
    </w:p>
    <w:p w:rsidR="00A756F3" w:rsidRPr="00471447" w:rsidRDefault="00A756F3"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Mr. Zambrana also noted the transboundary effects of haze episodes that can result from tropical forest fires and from land clearing, which can exacerbate air pollution and resulting health impacts not only at a local but regional scale. For example, in Indonesia forest fires from land clearing and dry weather conditions caused one of the worst haze episodes in Malaysia and Singapore in recent history, leading to school closures and numerous hospitalizations as a result of degraded air quality.</w:t>
      </w:r>
    </w:p>
    <w:p w:rsidR="00FC0D9E" w:rsidRPr="00471447" w:rsidRDefault="00B04861"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Delivering a presentation on behalf of the Oswaldo Cruz Foundation (FIOCRUZ)</w:t>
      </w:r>
      <w:r w:rsidR="00421624" w:rsidRPr="00471447">
        <w:rPr>
          <w:rFonts w:ascii="Times New Roman" w:eastAsia="Cambria" w:hAnsi="Times New Roman" w:cs="Times New Roman"/>
          <w:kern w:val="22"/>
        </w:rPr>
        <w:t xml:space="preserve"> (</w:t>
      </w:r>
      <w:hyperlink r:id="rId29" w:history="1">
        <w:r w:rsidR="00421624" w:rsidRPr="00471447">
          <w:rPr>
            <w:rStyle w:val="Hyperlink"/>
            <w:rFonts w:ascii="Times New Roman" w:eastAsia="Cambria" w:hAnsi="Times New Roman" w:cs="Times New Roman"/>
            <w:kern w:val="22"/>
          </w:rPr>
          <w:t>https://portal.fiocruz.br/en</w:t>
        </w:r>
      </w:hyperlink>
      <w:r w:rsidR="00421624"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Ms. Manuela Da Silva, </w:t>
      </w:r>
      <w:r w:rsidR="00FC0D9E" w:rsidRPr="00471447">
        <w:rPr>
          <w:rFonts w:ascii="Times New Roman" w:eastAsia="Cambria" w:hAnsi="Times New Roman" w:cs="Times New Roman"/>
          <w:kern w:val="22"/>
        </w:rPr>
        <w:t xml:space="preserve">presented several of </w:t>
      </w:r>
      <w:r w:rsidR="0022357D" w:rsidRPr="00471447">
        <w:rPr>
          <w:rFonts w:ascii="Times New Roman" w:eastAsia="Cambria" w:hAnsi="Times New Roman" w:cs="Times New Roman"/>
          <w:kern w:val="22"/>
        </w:rPr>
        <w:t>FIOCRUZ</w:t>
      </w:r>
      <w:r w:rsidR="00FC0D9E" w:rsidRPr="00471447">
        <w:rPr>
          <w:rFonts w:ascii="Times New Roman" w:eastAsia="Cambria" w:hAnsi="Times New Roman" w:cs="Times New Roman"/>
          <w:kern w:val="22"/>
        </w:rPr>
        <w:t xml:space="preserve">’s </w:t>
      </w:r>
      <w:r w:rsidR="0022357D" w:rsidRPr="00471447">
        <w:rPr>
          <w:rFonts w:ascii="Times New Roman" w:eastAsia="Cambria" w:hAnsi="Times New Roman" w:cs="Times New Roman"/>
          <w:kern w:val="22"/>
        </w:rPr>
        <w:t xml:space="preserve">research </w:t>
      </w:r>
      <w:r w:rsidR="00FC0D9E" w:rsidRPr="00471447">
        <w:rPr>
          <w:rFonts w:ascii="Times New Roman" w:eastAsia="Cambria" w:hAnsi="Times New Roman" w:cs="Times New Roman"/>
          <w:kern w:val="22"/>
        </w:rPr>
        <w:t xml:space="preserve">activities </w:t>
      </w:r>
      <w:r w:rsidR="0022357D" w:rsidRPr="00471447">
        <w:rPr>
          <w:rFonts w:ascii="Times New Roman" w:eastAsia="Cambria" w:hAnsi="Times New Roman" w:cs="Times New Roman"/>
          <w:kern w:val="22"/>
        </w:rPr>
        <w:t xml:space="preserve">and other tools to jointly support </w:t>
      </w:r>
      <w:r w:rsidR="00FC0D9E" w:rsidRPr="00471447">
        <w:rPr>
          <w:rFonts w:ascii="Times New Roman" w:eastAsia="Cambria" w:hAnsi="Times New Roman" w:cs="Times New Roman"/>
          <w:kern w:val="22"/>
        </w:rPr>
        <w:t xml:space="preserve">biodiversity and human health </w:t>
      </w:r>
      <w:r w:rsidR="0022357D" w:rsidRPr="00471447">
        <w:rPr>
          <w:rFonts w:ascii="Times New Roman" w:eastAsia="Cambria" w:hAnsi="Times New Roman" w:cs="Times New Roman"/>
          <w:kern w:val="22"/>
        </w:rPr>
        <w:t>outcomes in Latin America</w:t>
      </w:r>
      <w:r w:rsidR="00FC0D9E" w:rsidRPr="00471447">
        <w:rPr>
          <w:rFonts w:ascii="Times New Roman" w:eastAsia="Cambria" w:hAnsi="Times New Roman" w:cs="Times New Roman"/>
          <w:kern w:val="22"/>
        </w:rPr>
        <w:t>.</w:t>
      </w:r>
      <w:r w:rsidR="0022357D" w:rsidRPr="00471447">
        <w:rPr>
          <w:rFonts w:ascii="Times New Roman" w:eastAsia="Cambria" w:hAnsi="Times New Roman" w:cs="Times New Roman"/>
          <w:kern w:val="22"/>
        </w:rPr>
        <w:t xml:space="preserve"> Among others, </w:t>
      </w:r>
      <w:r w:rsidR="00FC0D9E" w:rsidRPr="00471447">
        <w:rPr>
          <w:rFonts w:ascii="Times New Roman" w:eastAsia="Cambria" w:hAnsi="Times New Roman" w:cs="Times New Roman"/>
          <w:kern w:val="22"/>
        </w:rPr>
        <w:t xml:space="preserve"> </w:t>
      </w:r>
      <w:r w:rsidR="0022357D" w:rsidRPr="00471447">
        <w:rPr>
          <w:rFonts w:ascii="Times New Roman" w:eastAsia="Cambria" w:hAnsi="Times New Roman" w:cs="Times New Roman"/>
          <w:kern w:val="22"/>
        </w:rPr>
        <w:t>Ms. Da Silva presented t</w:t>
      </w:r>
      <w:r w:rsidR="00FC0D9E" w:rsidRPr="00471447">
        <w:rPr>
          <w:rFonts w:ascii="Times New Roman" w:eastAsia="Cambria" w:hAnsi="Times New Roman" w:cs="Times New Roman"/>
          <w:kern w:val="22"/>
        </w:rPr>
        <w:t>he Center for Information on Wildlife Health (CISS)</w:t>
      </w:r>
      <w:r w:rsidR="0022357D" w:rsidRPr="00471447">
        <w:rPr>
          <w:rFonts w:ascii="Times New Roman" w:eastAsia="Cambria" w:hAnsi="Times New Roman" w:cs="Times New Roman"/>
          <w:kern w:val="22"/>
        </w:rPr>
        <w:t xml:space="preserve"> (</w:t>
      </w:r>
      <w:hyperlink r:id="rId30" w:history="1">
        <w:r w:rsidR="0022357D" w:rsidRPr="00471447">
          <w:rPr>
            <w:rStyle w:val="Hyperlink"/>
            <w:rFonts w:ascii="Times New Roman" w:eastAsia="Cambria" w:hAnsi="Times New Roman" w:cs="Times New Roman"/>
            <w:kern w:val="22"/>
          </w:rPr>
          <w:t>https://www.globalinnovationexchange.org</w:t>
        </w:r>
        <w:r w:rsidR="0022357D" w:rsidRPr="00471447">
          <w:rPr>
            <w:rStyle w:val="Hyperlink"/>
            <w:rFonts w:ascii="Times New Roman" w:eastAsia="Cambria" w:hAnsi="Times New Roman" w:cs="Times New Roman"/>
            <w:kern w:val="22"/>
          </w:rPr>
          <w:t>/</w:t>
        </w:r>
        <w:r w:rsidR="0022357D" w:rsidRPr="00471447">
          <w:rPr>
            <w:rStyle w:val="Hyperlink"/>
            <w:rFonts w:ascii="Times New Roman" w:eastAsia="Cambria" w:hAnsi="Times New Roman" w:cs="Times New Roman"/>
            <w:kern w:val="22"/>
          </w:rPr>
          <w:t>innovations/center-information-wildlife-health-ciss</w:t>
        </w:r>
      </w:hyperlink>
      <w:r w:rsidR="0022357D" w:rsidRPr="00471447">
        <w:rPr>
          <w:rFonts w:ascii="Times New Roman" w:eastAsia="Cambria" w:hAnsi="Times New Roman" w:cs="Times New Roman"/>
          <w:kern w:val="22"/>
        </w:rPr>
        <w:t>)</w:t>
      </w:r>
      <w:r w:rsidR="005E5A59" w:rsidRPr="00471447">
        <w:rPr>
          <w:rFonts w:ascii="Times New Roman" w:eastAsia="Cambria" w:hAnsi="Times New Roman" w:cs="Times New Roman"/>
          <w:kern w:val="22"/>
        </w:rPr>
        <w:t>,</w:t>
      </w:r>
      <w:r w:rsidR="00FC0D9E" w:rsidRPr="00471447">
        <w:rPr>
          <w:rFonts w:ascii="Times New Roman" w:eastAsia="Cambria" w:hAnsi="Times New Roman" w:cs="Times New Roman"/>
          <w:kern w:val="22"/>
        </w:rPr>
        <w:t xml:space="preserve"> a virtual space for continuous, dedicated development of wildlife and human health issues, aimed at consolidating knowledge, action, and policies that can jointly strengthen the conservation of Brazilian biodiversity and improve human health</w:t>
      </w:r>
      <w:r w:rsidR="005E5A59" w:rsidRPr="00471447">
        <w:rPr>
          <w:rFonts w:ascii="Times New Roman" w:eastAsia="Cambria" w:hAnsi="Times New Roman" w:cs="Times New Roman"/>
          <w:kern w:val="22"/>
        </w:rPr>
        <w:t>. Also discussed were the</w:t>
      </w:r>
      <w:r w:rsidR="0022357D" w:rsidRPr="00471447">
        <w:rPr>
          <w:rFonts w:ascii="Times New Roman" w:eastAsia="Cambria" w:hAnsi="Times New Roman" w:cs="Times New Roman"/>
          <w:kern w:val="22"/>
        </w:rPr>
        <w:t xml:space="preserve"> </w:t>
      </w:r>
      <w:r w:rsidR="00FC0D9E" w:rsidRPr="00471447">
        <w:rPr>
          <w:rFonts w:ascii="Times New Roman" w:eastAsia="Cambria" w:hAnsi="Times New Roman" w:cs="Times New Roman"/>
          <w:kern w:val="22"/>
        </w:rPr>
        <w:t>Ecological Station of the Fiocruz Campus of the Atlantic Forest (CFMA)</w:t>
      </w:r>
      <w:r w:rsidR="0022357D" w:rsidRPr="00471447">
        <w:rPr>
          <w:rFonts w:ascii="Times New Roman" w:eastAsia="Cambria" w:hAnsi="Times New Roman" w:cs="Times New Roman"/>
          <w:kern w:val="22"/>
        </w:rPr>
        <w:t xml:space="preserve"> </w:t>
      </w:r>
      <w:r w:rsidR="005E5A59" w:rsidRPr="00471447">
        <w:rPr>
          <w:rFonts w:ascii="Times New Roman" w:eastAsia="Cambria" w:hAnsi="Times New Roman" w:cs="Times New Roman"/>
          <w:kern w:val="22"/>
        </w:rPr>
        <w:t>and the</w:t>
      </w:r>
      <w:r w:rsidR="0022357D" w:rsidRPr="00471447">
        <w:rPr>
          <w:rFonts w:ascii="Times New Roman" w:eastAsia="Cambria" w:hAnsi="Times New Roman" w:cs="Times New Roman"/>
          <w:kern w:val="22"/>
        </w:rPr>
        <w:t xml:space="preserve"> </w:t>
      </w:r>
      <w:r w:rsidR="00FC0D9E" w:rsidRPr="00471447">
        <w:rPr>
          <w:rFonts w:ascii="Times New Roman" w:eastAsia="Cambria" w:hAnsi="Times New Roman" w:cs="Times New Roman"/>
          <w:kern w:val="22"/>
        </w:rPr>
        <w:t>Agroecological Platform of Phytomedicines (PAF)</w:t>
      </w:r>
      <w:r w:rsidR="005E5A59" w:rsidRPr="00471447">
        <w:rPr>
          <w:rFonts w:ascii="Times New Roman" w:eastAsia="Cambria" w:hAnsi="Times New Roman" w:cs="Times New Roman"/>
          <w:kern w:val="22"/>
        </w:rPr>
        <w:t>,</w:t>
      </w:r>
      <w:r w:rsidR="00FC0D9E" w:rsidRPr="00471447">
        <w:rPr>
          <w:rFonts w:ascii="Times New Roman" w:eastAsia="Cambria" w:hAnsi="Times New Roman" w:cs="Times New Roman"/>
          <w:kern w:val="22"/>
        </w:rPr>
        <w:t xml:space="preserve"> a </w:t>
      </w:r>
      <w:r w:rsidR="0022357D" w:rsidRPr="00471447">
        <w:rPr>
          <w:rFonts w:ascii="Times New Roman" w:eastAsia="Cambria" w:hAnsi="Times New Roman" w:cs="Times New Roman"/>
          <w:kern w:val="22"/>
        </w:rPr>
        <w:t xml:space="preserve">technology </w:t>
      </w:r>
      <w:r w:rsidR="00FC0D9E" w:rsidRPr="00471447">
        <w:rPr>
          <w:rFonts w:ascii="Times New Roman" w:eastAsia="Cambria" w:hAnsi="Times New Roman" w:cs="Times New Roman"/>
          <w:kern w:val="22"/>
        </w:rPr>
        <w:t xml:space="preserve">platform </w:t>
      </w:r>
      <w:r w:rsidR="00421624" w:rsidRPr="00471447">
        <w:rPr>
          <w:rFonts w:ascii="Times New Roman" w:eastAsia="Cambria" w:hAnsi="Times New Roman" w:cs="Times New Roman"/>
          <w:kern w:val="22"/>
        </w:rPr>
        <w:t xml:space="preserve">which </w:t>
      </w:r>
      <w:r w:rsidR="00FC0D9E" w:rsidRPr="00471447">
        <w:rPr>
          <w:rFonts w:ascii="Times New Roman" w:eastAsia="Cambria" w:hAnsi="Times New Roman" w:cs="Times New Roman"/>
          <w:kern w:val="22"/>
        </w:rPr>
        <w:t>provides services such as georeferencing, botanical identification and characterization of the chemical and qualitative prof</w:t>
      </w:r>
      <w:r w:rsidR="00421624" w:rsidRPr="00471447">
        <w:rPr>
          <w:rFonts w:ascii="Times New Roman" w:eastAsia="Cambria" w:hAnsi="Times New Roman" w:cs="Times New Roman"/>
          <w:kern w:val="22"/>
        </w:rPr>
        <w:t xml:space="preserve">ile of medicinal plants from </w:t>
      </w:r>
      <w:r w:rsidR="00FC0D9E" w:rsidRPr="00471447">
        <w:rPr>
          <w:rFonts w:ascii="Times New Roman" w:eastAsia="Cambria" w:hAnsi="Times New Roman" w:cs="Times New Roman"/>
          <w:kern w:val="22"/>
        </w:rPr>
        <w:t xml:space="preserve"> Brazilian biodiversity. </w:t>
      </w:r>
    </w:p>
    <w:p w:rsidR="00FC0D9E" w:rsidRPr="00471447" w:rsidRDefault="00421624"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On ex situ c</w:t>
      </w:r>
      <w:r w:rsidR="00FC0D9E" w:rsidRPr="00471447">
        <w:rPr>
          <w:rFonts w:ascii="Times New Roman" w:eastAsia="Cambria" w:hAnsi="Times New Roman" w:cs="Times New Roman"/>
          <w:kern w:val="22"/>
        </w:rPr>
        <w:t>onservation</w:t>
      </w:r>
      <w:r w:rsidRPr="00471447">
        <w:rPr>
          <w:rFonts w:ascii="Times New Roman" w:eastAsia="Cambria" w:hAnsi="Times New Roman" w:cs="Times New Roman"/>
          <w:kern w:val="22"/>
        </w:rPr>
        <w:t xml:space="preserve">, Ms. Da Silva </w:t>
      </w:r>
      <w:r w:rsidR="005E5A59" w:rsidRPr="00471447">
        <w:rPr>
          <w:rFonts w:ascii="Times New Roman" w:eastAsia="Cambria" w:hAnsi="Times New Roman" w:cs="Times New Roman"/>
          <w:kern w:val="22"/>
        </w:rPr>
        <w:t xml:space="preserve">pointed to </w:t>
      </w:r>
      <w:r w:rsidR="00FC0D9E" w:rsidRPr="00471447">
        <w:rPr>
          <w:rFonts w:ascii="Times New Roman" w:eastAsia="Cambria" w:hAnsi="Times New Roman" w:cs="Times New Roman"/>
          <w:kern w:val="22"/>
        </w:rPr>
        <w:t xml:space="preserve">31 biological collections from Fiocruz </w:t>
      </w:r>
      <w:r w:rsidRPr="00471447">
        <w:rPr>
          <w:rFonts w:ascii="Times New Roman" w:eastAsia="Cambria" w:hAnsi="Times New Roman" w:cs="Times New Roman"/>
          <w:kern w:val="22"/>
        </w:rPr>
        <w:t xml:space="preserve">to </w:t>
      </w:r>
      <w:r w:rsidR="00FC0D9E" w:rsidRPr="00471447">
        <w:rPr>
          <w:rFonts w:ascii="Times New Roman" w:eastAsia="Cambria" w:hAnsi="Times New Roman" w:cs="Times New Roman"/>
          <w:kern w:val="22"/>
        </w:rPr>
        <w:t>maintain and preserve specimens representing the genetic biodiversity of archaea, bacteria, fungi, protozoa, helminths, arthropods, mollusks and plants of medical and environmental importance as well   as human and animal histopathological samples. She noted that most collections, although not all, relate to tropical diseases and support epidemiologcal research at FRIOCRUZ and elsewhere. She also noted that collections are also available through GBIF, GRSciColl and World Federation of Culture Collections</w:t>
      </w:r>
      <w:r w:rsidRPr="00471447">
        <w:rPr>
          <w:rFonts w:ascii="Times New Roman" w:eastAsia="Cambria" w:hAnsi="Times New Roman" w:cs="Times New Roman"/>
          <w:kern w:val="22"/>
        </w:rPr>
        <w:t>.</w:t>
      </w:r>
    </w:p>
    <w:p w:rsidR="00E536B5" w:rsidRPr="00471447" w:rsidRDefault="00043A8E"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Participants emphasized</w:t>
      </w:r>
      <w:r w:rsidR="00C8093B" w:rsidRPr="00471447">
        <w:rPr>
          <w:rFonts w:ascii="Times New Roman" w:eastAsia="Cambria" w:hAnsi="Times New Roman" w:cs="Times New Roman"/>
          <w:kern w:val="22"/>
        </w:rPr>
        <w:t xml:space="preserve"> the relevance</w:t>
      </w:r>
      <w:r w:rsidR="00DB050D" w:rsidRPr="00471447">
        <w:rPr>
          <w:rFonts w:ascii="Times New Roman" w:eastAsia="Cambria" w:hAnsi="Times New Roman" w:cs="Times New Roman"/>
          <w:kern w:val="22"/>
        </w:rPr>
        <w:t xml:space="preserve"> of </w:t>
      </w:r>
      <w:r w:rsidR="00C8093B" w:rsidRPr="00471447">
        <w:rPr>
          <w:rFonts w:ascii="Times New Roman" w:eastAsia="Cambria" w:hAnsi="Times New Roman" w:cs="Times New Roman"/>
          <w:kern w:val="22"/>
        </w:rPr>
        <w:t xml:space="preserve">identifying </w:t>
      </w:r>
      <w:r w:rsidR="00DB050D" w:rsidRPr="00471447">
        <w:rPr>
          <w:rFonts w:ascii="Times New Roman" w:eastAsia="Cambria" w:hAnsi="Times New Roman" w:cs="Times New Roman"/>
          <w:kern w:val="22"/>
        </w:rPr>
        <w:t xml:space="preserve">tools </w:t>
      </w:r>
      <w:r w:rsidR="00C8093B" w:rsidRPr="00471447">
        <w:rPr>
          <w:rFonts w:ascii="Times New Roman" w:eastAsia="Cambria" w:hAnsi="Times New Roman" w:cs="Times New Roman"/>
          <w:kern w:val="22"/>
        </w:rPr>
        <w:t xml:space="preserve">and messages </w:t>
      </w:r>
      <w:r w:rsidRPr="00471447">
        <w:rPr>
          <w:rFonts w:ascii="Times New Roman" w:eastAsia="Cambria" w:hAnsi="Times New Roman" w:cs="Times New Roman"/>
          <w:kern w:val="22"/>
        </w:rPr>
        <w:t xml:space="preserve">such as those discussed noting that each is </w:t>
      </w:r>
      <w:r w:rsidR="00C8093B" w:rsidRPr="00471447">
        <w:rPr>
          <w:rFonts w:ascii="Times New Roman" w:eastAsia="Cambria" w:hAnsi="Times New Roman" w:cs="Times New Roman"/>
          <w:kern w:val="22"/>
        </w:rPr>
        <w:t xml:space="preserve">aimed at different dimensions of </w:t>
      </w:r>
      <w:r w:rsidR="00DB050D" w:rsidRPr="00471447">
        <w:rPr>
          <w:rFonts w:ascii="Times New Roman" w:eastAsia="Cambria" w:hAnsi="Times New Roman" w:cs="Times New Roman"/>
          <w:kern w:val="22"/>
        </w:rPr>
        <w:t xml:space="preserve">prevention. </w:t>
      </w:r>
      <w:r w:rsidR="00C8093B" w:rsidRPr="00471447">
        <w:rPr>
          <w:rFonts w:ascii="Times New Roman" w:eastAsia="Cambria" w:hAnsi="Times New Roman" w:cs="Times New Roman"/>
          <w:kern w:val="22"/>
        </w:rPr>
        <w:t>T</w:t>
      </w:r>
      <w:r w:rsidR="00DB050D" w:rsidRPr="00471447">
        <w:rPr>
          <w:rFonts w:ascii="Times New Roman" w:eastAsia="Cambria" w:hAnsi="Times New Roman" w:cs="Times New Roman"/>
          <w:kern w:val="22"/>
        </w:rPr>
        <w:t xml:space="preserve">he need to work more closely </w:t>
      </w:r>
      <w:r w:rsidRPr="00471447">
        <w:rPr>
          <w:rFonts w:ascii="Times New Roman" w:eastAsia="Cambria" w:hAnsi="Times New Roman" w:cs="Times New Roman"/>
          <w:kern w:val="22"/>
        </w:rPr>
        <w:t xml:space="preserve">within the ILG </w:t>
      </w:r>
      <w:r w:rsidR="00DB050D" w:rsidRPr="00471447">
        <w:rPr>
          <w:rFonts w:ascii="Times New Roman" w:eastAsia="Cambria" w:hAnsi="Times New Roman" w:cs="Times New Roman"/>
          <w:kern w:val="22"/>
        </w:rPr>
        <w:t>on bringing together</w:t>
      </w:r>
      <w:r w:rsidR="00C8093B" w:rsidRPr="00471447">
        <w:rPr>
          <w:rFonts w:ascii="Times New Roman" w:eastAsia="Cambria" w:hAnsi="Times New Roman" w:cs="Times New Roman"/>
          <w:kern w:val="22"/>
        </w:rPr>
        <w:t xml:space="preserve"> nutrition, </w:t>
      </w:r>
      <w:r w:rsidR="00DB050D" w:rsidRPr="00471447">
        <w:rPr>
          <w:rFonts w:ascii="Times New Roman" w:eastAsia="Cambria" w:hAnsi="Times New Roman" w:cs="Times New Roman"/>
          <w:kern w:val="22"/>
        </w:rPr>
        <w:t xml:space="preserve">sustainable food </w:t>
      </w:r>
      <w:r w:rsidR="00C8093B" w:rsidRPr="00471447">
        <w:rPr>
          <w:rFonts w:ascii="Times New Roman" w:eastAsia="Cambria" w:hAnsi="Times New Roman" w:cs="Times New Roman"/>
          <w:kern w:val="22"/>
        </w:rPr>
        <w:t>systems and air pollution are</w:t>
      </w:r>
      <w:r w:rsidR="00DB050D" w:rsidRPr="00471447">
        <w:rPr>
          <w:rFonts w:ascii="Times New Roman" w:eastAsia="Cambria" w:hAnsi="Times New Roman" w:cs="Times New Roman"/>
          <w:kern w:val="22"/>
        </w:rPr>
        <w:t xml:space="preserve"> important</w:t>
      </w:r>
      <w:r w:rsidR="00C8093B" w:rsidRPr="00471447">
        <w:rPr>
          <w:rFonts w:ascii="Times New Roman" w:eastAsia="Cambria" w:hAnsi="Times New Roman" w:cs="Times New Roman"/>
          <w:kern w:val="22"/>
        </w:rPr>
        <w:t xml:space="preserve"> in the climate discussions but, from a public health perspective, Ministries will also be responsive to </w:t>
      </w:r>
      <w:r w:rsidR="00DB050D" w:rsidRPr="00471447">
        <w:rPr>
          <w:rFonts w:ascii="Times New Roman" w:eastAsia="Cambria" w:hAnsi="Times New Roman" w:cs="Times New Roman"/>
          <w:kern w:val="22"/>
        </w:rPr>
        <w:t>the risk of infectious disease outbreak</w:t>
      </w:r>
      <w:r w:rsidR="00C8093B" w:rsidRPr="00471447">
        <w:rPr>
          <w:rFonts w:ascii="Times New Roman" w:eastAsia="Cambria" w:hAnsi="Times New Roman" w:cs="Times New Roman"/>
          <w:kern w:val="22"/>
        </w:rPr>
        <w:t>, prevention and control</w:t>
      </w:r>
      <w:r w:rsidR="00DB050D" w:rsidRPr="00471447">
        <w:rPr>
          <w:rFonts w:ascii="Times New Roman" w:eastAsia="Cambria" w:hAnsi="Times New Roman" w:cs="Times New Roman"/>
          <w:kern w:val="22"/>
        </w:rPr>
        <w:t xml:space="preserve">. When </w:t>
      </w:r>
      <w:r w:rsidR="00C8093B" w:rsidRPr="00471447">
        <w:rPr>
          <w:rFonts w:ascii="Times New Roman" w:eastAsia="Cambria" w:hAnsi="Times New Roman" w:cs="Times New Roman"/>
          <w:kern w:val="22"/>
        </w:rPr>
        <w:t>the ILG targets its</w:t>
      </w:r>
      <w:r w:rsidR="00DB050D" w:rsidRPr="00471447">
        <w:rPr>
          <w:rFonts w:ascii="Times New Roman" w:eastAsia="Cambria" w:hAnsi="Times New Roman" w:cs="Times New Roman"/>
          <w:kern w:val="22"/>
        </w:rPr>
        <w:t xml:space="preserve"> messages to </w:t>
      </w:r>
      <w:r w:rsidR="00C8093B" w:rsidRPr="00471447">
        <w:rPr>
          <w:rFonts w:ascii="Times New Roman" w:eastAsia="Cambria" w:hAnsi="Times New Roman" w:cs="Times New Roman"/>
          <w:kern w:val="22"/>
        </w:rPr>
        <w:t>Ministries of Health</w:t>
      </w:r>
      <w:r w:rsidR="00DB050D" w:rsidRPr="00471447">
        <w:rPr>
          <w:rFonts w:ascii="Times New Roman" w:eastAsia="Cambria" w:hAnsi="Times New Roman" w:cs="Times New Roman"/>
          <w:kern w:val="22"/>
        </w:rPr>
        <w:t xml:space="preserve"> it could be interesting to </w:t>
      </w:r>
      <w:r w:rsidRPr="00471447">
        <w:rPr>
          <w:rFonts w:ascii="Times New Roman" w:eastAsia="Cambria" w:hAnsi="Times New Roman" w:cs="Times New Roman"/>
          <w:kern w:val="22"/>
        </w:rPr>
        <w:t xml:space="preserve">highlight </w:t>
      </w:r>
      <w:r w:rsidR="00DB050D" w:rsidRPr="00471447">
        <w:rPr>
          <w:rFonts w:ascii="Times New Roman" w:eastAsia="Cambria" w:hAnsi="Times New Roman" w:cs="Times New Roman"/>
          <w:kern w:val="22"/>
        </w:rPr>
        <w:t xml:space="preserve">how tools </w:t>
      </w:r>
      <w:r w:rsidR="00C8093B" w:rsidRPr="00471447">
        <w:rPr>
          <w:rFonts w:ascii="Times New Roman" w:eastAsia="Cambria" w:hAnsi="Times New Roman" w:cs="Times New Roman"/>
          <w:kern w:val="22"/>
        </w:rPr>
        <w:t xml:space="preserve">such as these </w:t>
      </w:r>
      <w:r w:rsidRPr="00471447">
        <w:rPr>
          <w:rFonts w:ascii="Times New Roman" w:eastAsia="Cambria" w:hAnsi="Times New Roman" w:cs="Times New Roman"/>
          <w:kern w:val="22"/>
        </w:rPr>
        <w:t xml:space="preserve">and </w:t>
      </w:r>
      <w:r w:rsidR="00DB050D" w:rsidRPr="00471447">
        <w:rPr>
          <w:rFonts w:ascii="Times New Roman" w:eastAsia="Cambria" w:hAnsi="Times New Roman" w:cs="Times New Roman"/>
          <w:kern w:val="22"/>
        </w:rPr>
        <w:t xml:space="preserve">wildlife surveillance can </w:t>
      </w:r>
      <w:r w:rsidR="00C8093B" w:rsidRPr="00471447">
        <w:rPr>
          <w:rFonts w:ascii="Times New Roman" w:eastAsia="Cambria" w:hAnsi="Times New Roman" w:cs="Times New Roman"/>
          <w:kern w:val="22"/>
        </w:rPr>
        <w:t>make a significant contribution to prevention</w:t>
      </w:r>
      <w:r w:rsidR="00DB050D" w:rsidRPr="00471447">
        <w:rPr>
          <w:rFonts w:ascii="Times New Roman" w:eastAsia="Cambria" w:hAnsi="Times New Roman" w:cs="Times New Roman"/>
          <w:kern w:val="22"/>
        </w:rPr>
        <w:t>.</w:t>
      </w:r>
    </w:p>
    <w:p w:rsidR="004C4C53" w:rsidRPr="00471447" w:rsidRDefault="009E2F95"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w:t>
      </w:r>
      <w:r w:rsidR="00AF18A9" w:rsidRPr="00471447">
        <w:rPr>
          <w:rFonts w:ascii="Times New Roman" w:eastAsia="Cambria" w:hAnsi="Times New Roman" w:cs="Times New Roman"/>
          <w:kern w:val="22"/>
        </w:rPr>
        <w:t>Rafael Ruiz de Castañeda</w:t>
      </w:r>
      <w:r w:rsidRPr="00471447">
        <w:rPr>
          <w:rFonts w:ascii="Times New Roman" w:eastAsia="Cambria" w:hAnsi="Times New Roman" w:cs="Times New Roman"/>
          <w:kern w:val="22"/>
        </w:rPr>
        <w:t>,</w:t>
      </w:r>
      <w:r w:rsidR="00AF18A9" w:rsidRPr="00471447">
        <w:rPr>
          <w:rFonts w:ascii="Times New Roman" w:eastAsia="Cambria" w:hAnsi="Times New Roman" w:cs="Times New Roman"/>
          <w:kern w:val="22"/>
        </w:rPr>
        <w:t xml:space="preserve"> </w:t>
      </w:r>
      <w:r w:rsidR="00043A8E" w:rsidRPr="00471447">
        <w:rPr>
          <w:rFonts w:ascii="Times New Roman" w:eastAsia="Cambria" w:hAnsi="Times New Roman" w:cs="Times New Roman"/>
          <w:kern w:val="22"/>
        </w:rPr>
        <w:t xml:space="preserve">of </w:t>
      </w:r>
      <w:r w:rsidRPr="00471447">
        <w:rPr>
          <w:rFonts w:ascii="Times New Roman" w:eastAsia="Cambria" w:hAnsi="Times New Roman" w:cs="Times New Roman"/>
          <w:kern w:val="22"/>
        </w:rPr>
        <w:t xml:space="preserve">the University of Geneva discussed </w:t>
      </w:r>
      <w:r w:rsidR="00AF18A9" w:rsidRPr="00471447">
        <w:rPr>
          <w:rFonts w:ascii="Times New Roman" w:eastAsia="Cambria" w:hAnsi="Times New Roman" w:cs="Times New Roman"/>
          <w:kern w:val="22"/>
        </w:rPr>
        <w:t>One Health research and practice</w:t>
      </w:r>
      <w:r w:rsidR="00E536B5" w:rsidRPr="00471447">
        <w:rPr>
          <w:rFonts w:ascii="Times New Roman" w:eastAsia="Cambria" w:hAnsi="Times New Roman" w:cs="Times New Roman"/>
          <w:kern w:val="22"/>
        </w:rPr>
        <w:t xml:space="preserve"> providing examples of interdisciplinary global health programs that also bring together other fields, including ecology. He noted that </w:t>
      </w:r>
      <w:r w:rsidR="00043A8E" w:rsidRPr="00471447">
        <w:rPr>
          <w:rFonts w:ascii="Times New Roman" w:eastAsia="Cambria" w:hAnsi="Times New Roman" w:cs="Times New Roman"/>
          <w:kern w:val="22"/>
        </w:rPr>
        <w:t xml:space="preserve">a new </w:t>
      </w:r>
      <w:r w:rsidR="00E536B5" w:rsidRPr="00471447">
        <w:rPr>
          <w:rFonts w:ascii="Times New Roman" w:eastAsia="Cambria" w:hAnsi="Times New Roman" w:cs="Times New Roman"/>
          <w:kern w:val="22"/>
        </w:rPr>
        <w:t>interdisciplinary course on Global Health</w:t>
      </w:r>
      <w:r w:rsidR="004806DB">
        <w:rPr>
          <w:rStyle w:val="FootnoteReference"/>
          <w:rFonts w:ascii="Times New Roman" w:eastAsia="Cambria" w:hAnsi="Times New Roman" w:cs="Times New Roman"/>
          <w:kern w:val="22"/>
        </w:rPr>
        <w:footnoteReference w:id="5"/>
      </w:r>
      <w:r w:rsidR="00043A8E" w:rsidRPr="00471447">
        <w:rPr>
          <w:rStyle w:val="Hyperlink"/>
          <w:rFonts w:ascii="Times New Roman" w:eastAsia="Cambria" w:hAnsi="Times New Roman" w:cs="Times New Roman"/>
          <w:kern w:val="22"/>
        </w:rPr>
        <w:t xml:space="preserve"> </w:t>
      </w:r>
      <w:r w:rsidR="00E536B5" w:rsidRPr="00471447">
        <w:rPr>
          <w:rFonts w:ascii="Times New Roman" w:eastAsia="Cambria" w:hAnsi="Times New Roman" w:cs="Times New Roman"/>
          <w:kern w:val="22"/>
        </w:rPr>
        <w:t xml:space="preserve">provides a timely opportunity in which all ILG members can collaborate both for content and dissemination. He noted that some updates would be launched for One Health Day on November 3, 2017. At that time, the nexus on biodiversity and health can be more prominently put forward. At present, it already includes over 30 experts from 20 institutions including WHO but they are interested in opening this up to better integrate biodiversity and health linkages. </w:t>
      </w:r>
      <w:r w:rsidR="00043A8E" w:rsidRPr="00471447">
        <w:rPr>
          <w:rFonts w:ascii="Times New Roman" w:eastAsia="Cambria" w:hAnsi="Times New Roman" w:cs="Times New Roman"/>
          <w:kern w:val="22"/>
        </w:rPr>
        <w:t>O</w:t>
      </w:r>
      <w:r w:rsidR="00E536B5" w:rsidRPr="00471447">
        <w:rPr>
          <w:rFonts w:ascii="Times New Roman" w:eastAsia="Cambria" w:hAnsi="Times New Roman" w:cs="Times New Roman"/>
          <w:kern w:val="22"/>
        </w:rPr>
        <w:t>pportunities to better integrate a module on biodiversity and to explore better integration of the online and offline dimensions</w:t>
      </w:r>
      <w:r w:rsidR="00043A8E" w:rsidRPr="00471447">
        <w:rPr>
          <w:rFonts w:ascii="Times New Roman" w:eastAsia="Cambria" w:hAnsi="Times New Roman" w:cs="Times New Roman"/>
          <w:kern w:val="22"/>
        </w:rPr>
        <w:t xml:space="preserve"> were emphasized</w:t>
      </w:r>
      <w:r w:rsidR="00E536B5" w:rsidRPr="00471447">
        <w:rPr>
          <w:rFonts w:ascii="Times New Roman" w:eastAsia="Cambria" w:hAnsi="Times New Roman" w:cs="Times New Roman"/>
          <w:kern w:val="22"/>
        </w:rPr>
        <w:t xml:space="preserve">. </w:t>
      </w:r>
      <w:r w:rsidR="004C4C53" w:rsidRPr="00471447">
        <w:rPr>
          <w:rFonts w:ascii="Times New Roman" w:eastAsia="Cambria" w:hAnsi="Times New Roman" w:cs="Times New Roman"/>
          <w:kern w:val="22"/>
        </w:rPr>
        <w:t>It was noted that the MOOC could also be shared widely through the vast ILG network and could be further updated with content from the State of Knowledge Review. Opportunities for collaboration with ILG members on research and data gathering and for linking to capacity development in upcoming regional workshops on biodiversity and health were also emphasized.</w:t>
      </w:r>
    </w:p>
    <w:p w:rsidR="004C4C53" w:rsidRPr="00471447" w:rsidRDefault="00043A8E"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From a </w:t>
      </w:r>
      <w:r w:rsidR="00E536B5" w:rsidRPr="00471447">
        <w:rPr>
          <w:rFonts w:ascii="Times New Roman" w:eastAsia="Cambria" w:hAnsi="Times New Roman" w:cs="Times New Roman"/>
          <w:kern w:val="22"/>
        </w:rPr>
        <w:t xml:space="preserve">research </w:t>
      </w:r>
      <w:r w:rsidRPr="00471447">
        <w:rPr>
          <w:rFonts w:ascii="Times New Roman" w:eastAsia="Cambria" w:hAnsi="Times New Roman" w:cs="Times New Roman"/>
          <w:kern w:val="22"/>
        </w:rPr>
        <w:t>perspective</w:t>
      </w:r>
      <w:r w:rsidR="004C4C53" w:rsidRPr="00471447">
        <w:rPr>
          <w:rFonts w:ascii="Times New Roman" w:eastAsia="Cambria" w:hAnsi="Times New Roman" w:cs="Times New Roman"/>
          <w:kern w:val="22"/>
        </w:rPr>
        <w:t>,</w:t>
      </w:r>
      <w:r w:rsidR="00E536B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opportunities for</w:t>
      </w:r>
      <w:r w:rsidR="00E536B5" w:rsidRPr="00471447">
        <w:rPr>
          <w:rFonts w:ascii="Times New Roman" w:eastAsia="Cambria" w:hAnsi="Times New Roman" w:cs="Times New Roman"/>
          <w:kern w:val="22"/>
        </w:rPr>
        <w:t xml:space="preserve"> </w:t>
      </w:r>
      <w:r w:rsidR="004C4C53" w:rsidRPr="00471447">
        <w:rPr>
          <w:rFonts w:ascii="Times New Roman" w:eastAsia="Cambria" w:hAnsi="Times New Roman" w:cs="Times New Roman"/>
          <w:kern w:val="22"/>
        </w:rPr>
        <w:t xml:space="preserve">gathering information through citizen science on other areas of relevance to the ILG such as food markets, food, nutrition and biodiversity were also </w:t>
      </w:r>
      <w:r w:rsidRPr="00471447">
        <w:rPr>
          <w:rFonts w:ascii="Times New Roman" w:eastAsia="Cambria" w:hAnsi="Times New Roman" w:cs="Times New Roman"/>
          <w:kern w:val="22"/>
        </w:rPr>
        <w:t>highlighted</w:t>
      </w:r>
      <w:r w:rsidR="00E536B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Other projects, such as P</w:t>
      </w:r>
      <w:r w:rsidR="00261204" w:rsidRPr="00471447">
        <w:rPr>
          <w:rFonts w:ascii="Times New Roman" w:eastAsia="Cambria" w:hAnsi="Times New Roman" w:cs="Times New Roman"/>
          <w:kern w:val="22"/>
        </w:rPr>
        <w:t>roject Citizen Cyberlab</w:t>
      </w:r>
      <w:r w:rsidRPr="00471447">
        <w:rPr>
          <w:rFonts w:ascii="Times New Roman" w:eastAsia="Cambria" w:hAnsi="Times New Roman" w:cs="Times New Roman"/>
          <w:kern w:val="22"/>
        </w:rPr>
        <w:t>,</w:t>
      </w:r>
      <w:r w:rsidR="00261204" w:rsidRPr="00471447">
        <w:rPr>
          <w:rFonts w:ascii="Times New Roman" w:eastAsia="Cambria" w:hAnsi="Times New Roman" w:cs="Times New Roman"/>
          <w:kern w:val="22"/>
        </w:rPr>
        <w:t xml:space="preserve"> which seeks to develop and study new forms of public participation in research </w:t>
      </w:r>
      <w:r w:rsidR="004C4C53" w:rsidRPr="00471447">
        <w:rPr>
          <w:rFonts w:ascii="Times New Roman" w:eastAsia="Cambria" w:hAnsi="Times New Roman" w:cs="Times New Roman"/>
          <w:kern w:val="22"/>
        </w:rPr>
        <w:t>were</w:t>
      </w:r>
      <w:r w:rsidRPr="00471447">
        <w:rPr>
          <w:rFonts w:ascii="Times New Roman" w:eastAsia="Cambria" w:hAnsi="Times New Roman" w:cs="Times New Roman"/>
          <w:kern w:val="22"/>
        </w:rPr>
        <w:t xml:space="preserve"> </w:t>
      </w:r>
      <w:r w:rsidR="004C4C53" w:rsidRPr="00471447">
        <w:rPr>
          <w:rFonts w:ascii="Times New Roman" w:eastAsia="Cambria" w:hAnsi="Times New Roman" w:cs="Times New Roman"/>
          <w:kern w:val="22"/>
        </w:rPr>
        <w:t xml:space="preserve">presented together with </w:t>
      </w:r>
      <w:r w:rsidR="00E536B5" w:rsidRPr="00471447">
        <w:rPr>
          <w:rFonts w:ascii="Times New Roman" w:eastAsia="Cambria" w:hAnsi="Times New Roman" w:cs="Times New Roman"/>
          <w:kern w:val="22"/>
        </w:rPr>
        <w:t xml:space="preserve">issues that are generally </w:t>
      </w:r>
      <w:r w:rsidRPr="00471447">
        <w:rPr>
          <w:rFonts w:ascii="Times New Roman" w:eastAsia="Cambria" w:hAnsi="Times New Roman" w:cs="Times New Roman"/>
          <w:kern w:val="22"/>
        </w:rPr>
        <w:t xml:space="preserve">not </w:t>
      </w:r>
      <w:r w:rsidR="00E536B5" w:rsidRPr="00471447">
        <w:rPr>
          <w:rFonts w:ascii="Times New Roman" w:eastAsia="Cambria" w:hAnsi="Times New Roman" w:cs="Times New Roman"/>
          <w:kern w:val="22"/>
        </w:rPr>
        <w:lastRenderedPageBreak/>
        <w:t>widely known</w:t>
      </w:r>
      <w:r w:rsidR="00261204" w:rsidRPr="00471447">
        <w:rPr>
          <w:rFonts w:ascii="Times New Roman" w:eastAsia="Cambria" w:hAnsi="Times New Roman" w:cs="Times New Roman"/>
          <w:kern w:val="22"/>
        </w:rPr>
        <w:t xml:space="preserve"> or disseminated</w:t>
      </w:r>
      <w:r w:rsidR="004C4C53" w:rsidRPr="00471447">
        <w:rPr>
          <w:rFonts w:ascii="Times New Roman" w:eastAsia="Cambria" w:hAnsi="Times New Roman" w:cs="Times New Roman"/>
          <w:kern w:val="22"/>
        </w:rPr>
        <w:t xml:space="preserve">. </w:t>
      </w:r>
      <w:r w:rsidR="00E536B5" w:rsidRPr="00471447">
        <w:rPr>
          <w:rFonts w:ascii="Times New Roman" w:eastAsia="Cambria" w:hAnsi="Times New Roman" w:cs="Times New Roman"/>
          <w:kern w:val="22"/>
        </w:rPr>
        <w:t>For example, snakes and snakebites affect many rural communities and constitutes a significant neglected tropical disease (NTD</w:t>
      </w:r>
      <w:r w:rsidR="006D24A1" w:rsidRPr="00471447">
        <w:rPr>
          <w:rFonts w:ascii="Times New Roman" w:eastAsia="Cambria" w:hAnsi="Times New Roman" w:cs="Times New Roman"/>
          <w:kern w:val="22"/>
        </w:rPr>
        <w:t>)</w:t>
      </w:r>
      <w:r w:rsidR="00E536B5" w:rsidRPr="00471447">
        <w:rPr>
          <w:rFonts w:ascii="Times New Roman" w:eastAsia="Cambria" w:hAnsi="Times New Roman" w:cs="Times New Roman"/>
          <w:kern w:val="22"/>
        </w:rPr>
        <w:t xml:space="preserve"> in some parts of the world</w:t>
      </w:r>
      <w:r w:rsidR="004C4C53"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w:t>
      </w:r>
      <w:r w:rsidR="00261204" w:rsidRPr="00471447">
        <w:rPr>
          <w:rFonts w:ascii="Times New Roman" w:eastAsia="Cambria" w:hAnsi="Times New Roman" w:cs="Times New Roman"/>
          <w:kern w:val="22"/>
        </w:rPr>
        <w:t xml:space="preserve">ork carried out by inaturalist.org </w:t>
      </w:r>
      <w:r w:rsidRPr="00471447">
        <w:rPr>
          <w:rFonts w:ascii="Times New Roman" w:eastAsia="Cambria" w:hAnsi="Times New Roman" w:cs="Times New Roman"/>
          <w:kern w:val="22"/>
        </w:rPr>
        <w:t>to map</w:t>
      </w:r>
      <w:r w:rsidR="00261204" w:rsidRPr="00471447">
        <w:rPr>
          <w:rFonts w:ascii="Times New Roman" w:eastAsia="Cambria" w:hAnsi="Times New Roman" w:cs="Times New Roman"/>
          <w:kern w:val="22"/>
        </w:rPr>
        <w:t xml:space="preserve"> geographical locations of medically important venomous snakes around the globe</w:t>
      </w:r>
      <w:r w:rsidRPr="00471447">
        <w:rPr>
          <w:rFonts w:ascii="Times New Roman" w:eastAsia="Cambria" w:hAnsi="Times New Roman" w:cs="Times New Roman"/>
          <w:kern w:val="22"/>
        </w:rPr>
        <w:t xml:space="preserve"> was also presented</w:t>
      </w:r>
      <w:r w:rsidR="00261204"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p>
    <w:p w:rsidR="007721C7" w:rsidRPr="00471447" w:rsidRDefault="00261204"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Ms. </w:t>
      </w:r>
      <w:r w:rsidR="00AF18A9" w:rsidRPr="00471447">
        <w:rPr>
          <w:rFonts w:ascii="Times New Roman" w:eastAsia="Cambria" w:hAnsi="Times New Roman" w:cs="Times New Roman"/>
          <w:kern w:val="22"/>
        </w:rPr>
        <w:t xml:space="preserve">Montira Pongsiri, </w:t>
      </w:r>
      <w:r w:rsidRPr="00471447">
        <w:rPr>
          <w:rFonts w:ascii="Times New Roman" w:eastAsia="Cambria" w:hAnsi="Times New Roman" w:cs="Times New Roman"/>
          <w:kern w:val="22"/>
        </w:rPr>
        <w:t>of the Planetary Health Alliance</w:t>
      </w:r>
      <w:r w:rsidR="007721C7" w:rsidRPr="00471447">
        <w:rPr>
          <w:rFonts w:ascii="Times New Roman" w:eastAsia="Cambria" w:hAnsi="Times New Roman" w:cs="Times New Roman"/>
          <w:kern w:val="22"/>
        </w:rPr>
        <w:t xml:space="preserve"> (PHA),</w:t>
      </w:r>
      <w:r w:rsidR="00F14EA1" w:rsidRPr="00471447">
        <w:rPr>
          <w:rFonts w:ascii="Times New Roman" w:eastAsia="Cambria" w:hAnsi="Times New Roman" w:cs="Times New Roman"/>
          <w:kern w:val="22"/>
        </w:rPr>
        <w:t xml:space="preserve"> </w:t>
      </w:r>
      <w:r w:rsidR="006829CC" w:rsidRPr="00471447">
        <w:rPr>
          <w:rFonts w:ascii="Times New Roman" w:eastAsia="Cambria" w:hAnsi="Times New Roman" w:cs="Times New Roman"/>
          <w:kern w:val="22"/>
        </w:rPr>
        <w:t>presented</w:t>
      </w:r>
      <w:r w:rsidRPr="00471447">
        <w:rPr>
          <w:rFonts w:ascii="Times New Roman" w:eastAsia="Cambria" w:hAnsi="Times New Roman" w:cs="Times New Roman"/>
          <w:kern w:val="22"/>
        </w:rPr>
        <w:t xml:space="preserve"> </w:t>
      </w:r>
      <w:r w:rsidR="00225041" w:rsidRPr="00471447">
        <w:rPr>
          <w:rFonts w:ascii="Times New Roman" w:eastAsia="Cambria" w:hAnsi="Times New Roman" w:cs="Times New Roman"/>
          <w:kern w:val="22"/>
        </w:rPr>
        <w:t xml:space="preserve">the work, aims and objectives of the PHA, two </w:t>
      </w:r>
      <w:r w:rsidR="00AF18A9" w:rsidRPr="00471447">
        <w:rPr>
          <w:rFonts w:ascii="Times New Roman" w:eastAsia="Cambria" w:hAnsi="Times New Roman" w:cs="Times New Roman"/>
          <w:kern w:val="22"/>
        </w:rPr>
        <w:t>case studies from planetary health science policy engagement</w:t>
      </w:r>
      <w:r w:rsidR="00225041" w:rsidRPr="00471447">
        <w:rPr>
          <w:rFonts w:ascii="Times New Roman" w:eastAsia="Cambria" w:hAnsi="Times New Roman" w:cs="Times New Roman"/>
          <w:kern w:val="22"/>
        </w:rPr>
        <w:t>, and discussed opportunities for further collaboration with the ILG</w:t>
      </w:r>
      <w:r w:rsidRPr="00471447">
        <w:rPr>
          <w:rFonts w:ascii="Times New Roman" w:eastAsia="Cambria" w:hAnsi="Times New Roman" w:cs="Times New Roman"/>
          <w:kern w:val="22"/>
        </w:rPr>
        <w:t>.</w:t>
      </w:r>
      <w:r w:rsidR="00F14EA1" w:rsidRPr="00471447">
        <w:rPr>
          <w:rFonts w:ascii="Times New Roman" w:eastAsia="Cambria" w:hAnsi="Times New Roman" w:cs="Times New Roman"/>
          <w:kern w:val="22"/>
        </w:rPr>
        <w:t xml:space="preserve"> </w:t>
      </w:r>
      <w:r w:rsidR="00BA6721" w:rsidRPr="00471447">
        <w:rPr>
          <w:rFonts w:ascii="Times New Roman" w:eastAsia="Cambria" w:hAnsi="Times New Roman" w:cs="Times New Roman"/>
          <w:kern w:val="22"/>
        </w:rPr>
        <w:t>She highlighted PHA commitment</w:t>
      </w:r>
      <w:r w:rsidR="007721C7" w:rsidRPr="00471447">
        <w:rPr>
          <w:rFonts w:ascii="Times New Roman" w:eastAsia="Cambria" w:hAnsi="Times New Roman" w:cs="Times New Roman"/>
          <w:kern w:val="22"/>
        </w:rPr>
        <w:t xml:space="preserve"> to inform decision-making and policy-making processes</w:t>
      </w:r>
      <w:r w:rsidR="00BA6721" w:rsidRPr="00471447">
        <w:rPr>
          <w:rFonts w:ascii="Times New Roman" w:eastAsia="Cambria" w:hAnsi="Times New Roman" w:cs="Times New Roman"/>
          <w:kern w:val="22"/>
        </w:rPr>
        <w:t xml:space="preserve"> by determining</w:t>
      </w:r>
      <w:r w:rsidR="007721C7" w:rsidRPr="00471447">
        <w:rPr>
          <w:rFonts w:ascii="Times New Roman" w:eastAsia="Cambria" w:hAnsi="Times New Roman" w:cs="Times New Roman"/>
          <w:kern w:val="22"/>
        </w:rPr>
        <w:t xml:space="preserve"> the science needs to address policy gaps</w:t>
      </w:r>
      <w:r w:rsidR="00BA6721" w:rsidRPr="00471447">
        <w:rPr>
          <w:rFonts w:ascii="Times New Roman" w:eastAsia="Cambria" w:hAnsi="Times New Roman" w:cs="Times New Roman"/>
          <w:kern w:val="22"/>
        </w:rPr>
        <w:t xml:space="preserve">, </w:t>
      </w:r>
      <w:r w:rsidR="00225041" w:rsidRPr="00471447">
        <w:rPr>
          <w:rFonts w:ascii="Times New Roman" w:eastAsia="Cambria" w:hAnsi="Times New Roman" w:cs="Times New Roman"/>
          <w:kern w:val="22"/>
        </w:rPr>
        <w:t>with an emphasis on using existing</w:t>
      </w:r>
      <w:r w:rsidR="007721C7" w:rsidRPr="00471447">
        <w:rPr>
          <w:rFonts w:ascii="Times New Roman" w:eastAsia="Cambria" w:hAnsi="Times New Roman" w:cs="Times New Roman"/>
          <w:kern w:val="22"/>
        </w:rPr>
        <w:t xml:space="preserve"> decision</w:t>
      </w:r>
      <w:r w:rsidR="00225041" w:rsidRPr="00471447">
        <w:rPr>
          <w:rFonts w:ascii="Times New Roman" w:eastAsia="Cambria" w:hAnsi="Times New Roman" w:cs="Times New Roman"/>
          <w:kern w:val="22"/>
        </w:rPr>
        <w:t>-</w:t>
      </w:r>
      <w:r w:rsidR="007721C7" w:rsidRPr="00471447">
        <w:rPr>
          <w:rFonts w:ascii="Times New Roman" w:eastAsia="Cambria" w:hAnsi="Times New Roman" w:cs="Times New Roman"/>
          <w:kern w:val="22"/>
        </w:rPr>
        <w:t>support tools, such as system dynamics models, health impact assessments</w:t>
      </w:r>
      <w:r w:rsidR="00EE0AAA" w:rsidRPr="00471447">
        <w:rPr>
          <w:rFonts w:ascii="Times New Roman" w:eastAsia="Cambria" w:hAnsi="Times New Roman" w:cs="Times New Roman"/>
          <w:kern w:val="22"/>
        </w:rPr>
        <w:t xml:space="preserve"> (HIA)</w:t>
      </w:r>
      <w:r w:rsidR="007721C7" w:rsidRPr="00471447">
        <w:rPr>
          <w:rFonts w:ascii="Times New Roman" w:eastAsia="Cambria" w:hAnsi="Times New Roman" w:cs="Times New Roman"/>
          <w:kern w:val="22"/>
        </w:rPr>
        <w:t xml:space="preserve">, </w:t>
      </w:r>
      <w:r w:rsidR="00BA6721" w:rsidRPr="00471447">
        <w:rPr>
          <w:rFonts w:ascii="Times New Roman" w:eastAsia="Cambria" w:hAnsi="Times New Roman" w:cs="Times New Roman"/>
          <w:kern w:val="22"/>
        </w:rPr>
        <w:t>and environmental impact assessments (</w:t>
      </w:r>
      <w:r w:rsidR="007721C7" w:rsidRPr="00471447">
        <w:rPr>
          <w:rFonts w:ascii="Times New Roman" w:eastAsia="Cambria" w:hAnsi="Times New Roman" w:cs="Times New Roman"/>
          <w:kern w:val="22"/>
        </w:rPr>
        <w:t>EIAs</w:t>
      </w:r>
      <w:r w:rsidR="00BA6721" w:rsidRPr="00471447">
        <w:rPr>
          <w:rFonts w:ascii="Times New Roman" w:eastAsia="Cambria" w:hAnsi="Times New Roman" w:cs="Times New Roman"/>
          <w:kern w:val="22"/>
        </w:rPr>
        <w:t>)</w:t>
      </w:r>
      <w:r w:rsidR="007721C7" w:rsidRPr="00471447">
        <w:rPr>
          <w:rFonts w:ascii="Times New Roman" w:eastAsia="Cambria" w:hAnsi="Times New Roman" w:cs="Times New Roman"/>
          <w:kern w:val="22"/>
        </w:rPr>
        <w:t xml:space="preserve"> which can be enhanced with environmental change-human health data</w:t>
      </w:r>
      <w:r w:rsidR="00BA6721" w:rsidRPr="00471447">
        <w:rPr>
          <w:rFonts w:ascii="Times New Roman" w:eastAsia="Cambria" w:hAnsi="Times New Roman" w:cs="Times New Roman"/>
          <w:kern w:val="22"/>
        </w:rPr>
        <w:t>.</w:t>
      </w:r>
      <w:r w:rsidR="00225041" w:rsidRPr="00471447">
        <w:rPr>
          <w:rFonts w:ascii="Times New Roman" w:eastAsia="Cambria" w:hAnsi="Times New Roman" w:cs="Times New Roman"/>
          <w:kern w:val="22"/>
        </w:rPr>
        <w:t xml:space="preserve"> </w:t>
      </w:r>
      <w:r w:rsidR="007721C7" w:rsidRPr="00471447">
        <w:rPr>
          <w:rFonts w:ascii="Times New Roman" w:eastAsia="Cambria" w:hAnsi="Times New Roman" w:cs="Times New Roman"/>
          <w:kern w:val="22"/>
        </w:rPr>
        <w:t>The first case study</w:t>
      </w:r>
      <w:r w:rsidR="00225041" w:rsidRPr="00471447">
        <w:rPr>
          <w:rFonts w:ascii="Times New Roman" w:eastAsia="Cambria" w:hAnsi="Times New Roman" w:cs="Times New Roman"/>
          <w:kern w:val="22"/>
        </w:rPr>
        <w:t>,</w:t>
      </w:r>
      <w:r w:rsidR="007721C7" w:rsidRPr="00471447">
        <w:rPr>
          <w:rFonts w:ascii="Times New Roman" w:eastAsia="Cambria" w:hAnsi="Times New Roman" w:cs="Times New Roman"/>
          <w:kern w:val="22"/>
        </w:rPr>
        <w:t xml:space="preserve"> addressed air pollution in cities and the urban health agenda. </w:t>
      </w:r>
      <w:r w:rsidR="00BA6721" w:rsidRPr="00471447">
        <w:rPr>
          <w:rFonts w:ascii="Times New Roman" w:eastAsia="Cambria" w:hAnsi="Times New Roman" w:cs="Times New Roman"/>
          <w:kern w:val="22"/>
        </w:rPr>
        <w:t xml:space="preserve">She </w:t>
      </w:r>
      <w:r w:rsidR="007721C7" w:rsidRPr="00471447">
        <w:rPr>
          <w:rFonts w:ascii="Times New Roman" w:eastAsia="Cambria" w:hAnsi="Times New Roman" w:cs="Times New Roman"/>
          <w:kern w:val="22"/>
        </w:rPr>
        <w:t>noted that landscape fires cause some 300,000 preventable deaths every year and are major dr</w:t>
      </w:r>
      <w:r w:rsidR="00BA6721" w:rsidRPr="00471447">
        <w:rPr>
          <w:rFonts w:ascii="Times New Roman" w:eastAsia="Cambria" w:hAnsi="Times New Roman" w:cs="Times New Roman"/>
          <w:kern w:val="22"/>
        </w:rPr>
        <w:t>ivers of biodiversity loss, drawing</w:t>
      </w:r>
      <w:r w:rsidR="007721C7" w:rsidRPr="00471447">
        <w:rPr>
          <w:rFonts w:ascii="Times New Roman" w:eastAsia="Cambria" w:hAnsi="Times New Roman" w:cs="Times New Roman"/>
          <w:kern w:val="22"/>
        </w:rPr>
        <w:t xml:space="preserve"> on some of the </w:t>
      </w:r>
      <w:r w:rsidR="00BA6721" w:rsidRPr="00471447">
        <w:rPr>
          <w:rFonts w:ascii="Times New Roman" w:eastAsia="Cambria" w:hAnsi="Times New Roman" w:cs="Times New Roman"/>
          <w:kern w:val="22"/>
        </w:rPr>
        <w:t>trends in Southeast Asia</w:t>
      </w:r>
      <w:r w:rsidR="007721C7" w:rsidRPr="00471447">
        <w:rPr>
          <w:rFonts w:ascii="Times New Roman" w:eastAsia="Cambria" w:hAnsi="Times New Roman" w:cs="Times New Roman"/>
          <w:kern w:val="22"/>
        </w:rPr>
        <w:t xml:space="preserve"> where setting fires to clear land for agriculture is common practice. S</w:t>
      </w:r>
      <w:r w:rsidR="00BA6721" w:rsidRPr="00471447">
        <w:rPr>
          <w:rFonts w:ascii="Times New Roman" w:eastAsia="Cambria" w:hAnsi="Times New Roman" w:cs="Times New Roman"/>
          <w:kern w:val="22"/>
        </w:rPr>
        <w:t>he discussed</w:t>
      </w:r>
      <w:r w:rsidR="007721C7" w:rsidRPr="00471447">
        <w:rPr>
          <w:rFonts w:ascii="Times New Roman" w:eastAsia="Cambria" w:hAnsi="Times New Roman" w:cs="Times New Roman"/>
          <w:kern w:val="22"/>
        </w:rPr>
        <w:t xml:space="preserve"> effects in terms of forest and habitat loss in biodiversity hotspots, also noting significant threats posed to certain species and other major flora and fauna. </w:t>
      </w:r>
      <w:r w:rsidR="00BA6721" w:rsidRPr="00471447">
        <w:rPr>
          <w:rFonts w:ascii="Times New Roman" w:eastAsia="Cambria" w:hAnsi="Times New Roman" w:cs="Times New Roman"/>
          <w:kern w:val="22"/>
        </w:rPr>
        <w:t xml:space="preserve">She noted that </w:t>
      </w:r>
      <w:r w:rsidR="007721C7" w:rsidRPr="00471447">
        <w:rPr>
          <w:rFonts w:ascii="Times New Roman" w:eastAsia="Cambria" w:hAnsi="Times New Roman" w:cs="Times New Roman"/>
          <w:kern w:val="22"/>
        </w:rPr>
        <w:t xml:space="preserve">PHA is working with </w:t>
      </w:r>
      <w:r w:rsidR="00225041" w:rsidRPr="00471447">
        <w:rPr>
          <w:rFonts w:ascii="Times New Roman" w:eastAsia="Cambria" w:hAnsi="Times New Roman" w:cs="Times New Roman"/>
          <w:kern w:val="22"/>
        </w:rPr>
        <w:t xml:space="preserve">partners </w:t>
      </w:r>
      <w:r w:rsidR="007721C7" w:rsidRPr="00471447">
        <w:rPr>
          <w:rFonts w:ascii="Times New Roman" w:eastAsia="Cambria" w:hAnsi="Times New Roman" w:cs="Times New Roman"/>
          <w:kern w:val="22"/>
        </w:rPr>
        <w:t xml:space="preserve">to develop a science modelling tool that has linked land cover observations, fire emissions and weather data that drive emissions over space </w:t>
      </w:r>
      <w:r w:rsidR="00CA04FC" w:rsidRPr="00471447">
        <w:rPr>
          <w:rFonts w:ascii="Times New Roman" w:eastAsia="Cambria" w:hAnsi="Times New Roman" w:cs="Times New Roman"/>
          <w:kern w:val="22"/>
        </w:rPr>
        <w:t>and documented data</w:t>
      </w:r>
      <w:r w:rsidR="007721C7" w:rsidRPr="00471447">
        <w:rPr>
          <w:rFonts w:ascii="Times New Roman" w:eastAsia="Cambria" w:hAnsi="Times New Roman" w:cs="Times New Roman"/>
          <w:kern w:val="22"/>
        </w:rPr>
        <w:t xml:space="preserve"> </w:t>
      </w:r>
      <w:r w:rsidR="00CA04FC" w:rsidRPr="00471447">
        <w:rPr>
          <w:rFonts w:ascii="Times New Roman" w:eastAsia="Cambria" w:hAnsi="Times New Roman" w:cs="Times New Roman"/>
          <w:kern w:val="22"/>
        </w:rPr>
        <w:t xml:space="preserve">on </w:t>
      </w:r>
      <w:r w:rsidR="007721C7" w:rsidRPr="00471447">
        <w:rPr>
          <w:rFonts w:ascii="Times New Roman" w:eastAsia="Cambria" w:hAnsi="Times New Roman" w:cs="Times New Roman"/>
          <w:kern w:val="22"/>
        </w:rPr>
        <w:t xml:space="preserve">human health impacts of exposure to particulate matter </w:t>
      </w:r>
      <w:r w:rsidR="00CA04FC" w:rsidRPr="00471447">
        <w:rPr>
          <w:rFonts w:ascii="Times New Roman" w:eastAsia="Cambria" w:hAnsi="Times New Roman" w:cs="Times New Roman"/>
          <w:kern w:val="22"/>
        </w:rPr>
        <w:t xml:space="preserve">resulting from </w:t>
      </w:r>
      <w:r w:rsidR="00225041" w:rsidRPr="00471447">
        <w:rPr>
          <w:rFonts w:ascii="Times New Roman" w:eastAsia="Cambria" w:hAnsi="Times New Roman" w:cs="Times New Roman"/>
          <w:kern w:val="22"/>
        </w:rPr>
        <w:t xml:space="preserve">forest </w:t>
      </w:r>
      <w:r w:rsidR="00CA04FC" w:rsidRPr="00471447">
        <w:rPr>
          <w:rFonts w:ascii="Times New Roman" w:eastAsia="Cambria" w:hAnsi="Times New Roman" w:cs="Times New Roman"/>
          <w:kern w:val="22"/>
        </w:rPr>
        <w:t>fire</w:t>
      </w:r>
      <w:r w:rsidR="007721C7" w:rsidRPr="00471447">
        <w:rPr>
          <w:rFonts w:ascii="Times New Roman" w:eastAsia="Cambria" w:hAnsi="Times New Roman" w:cs="Times New Roman"/>
          <w:kern w:val="22"/>
        </w:rPr>
        <w:t>s</w:t>
      </w:r>
      <w:r w:rsidR="00CA04FC" w:rsidRPr="00471447">
        <w:rPr>
          <w:rFonts w:ascii="Times New Roman" w:eastAsia="Cambria" w:hAnsi="Times New Roman" w:cs="Times New Roman"/>
          <w:kern w:val="22"/>
        </w:rPr>
        <w:t>, noting that this provides</w:t>
      </w:r>
      <w:r w:rsidR="007721C7" w:rsidRPr="00471447">
        <w:rPr>
          <w:rFonts w:ascii="Times New Roman" w:eastAsia="Cambria" w:hAnsi="Times New Roman" w:cs="Times New Roman"/>
          <w:kern w:val="22"/>
        </w:rPr>
        <w:t xml:space="preserve"> a way to quantify the human health impacts of landscape fires on landscape populations. Th</w:t>
      </w:r>
      <w:r w:rsidR="00CA04FC" w:rsidRPr="00471447">
        <w:rPr>
          <w:rFonts w:ascii="Times New Roman" w:eastAsia="Cambria" w:hAnsi="Times New Roman" w:cs="Times New Roman"/>
          <w:kern w:val="22"/>
        </w:rPr>
        <w:t xml:space="preserve">e team is </w:t>
      </w:r>
      <w:r w:rsidR="007721C7" w:rsidRPr="00471447">
        <w:rPr>
          <w:rFonts w:ascii="Times New Roman" w:eastAsia="Cambria" w:hAnsi="Times New Roman" w:cs="Times New Roman"/>
          <w:kern w:val="22"/>
        </w:rPr>
        <w:t xml:space="preserve">now working with </w:t>
      </w:r>
      <w:r w:rsidR="00CA04FC" w:rsidRPr="00471447">
        <w:rPr>
          <w:rFonts w:ascii="Times New Roman" w:eastAsia="Cambria" w:hAnsi="Times New Roman" w:cs="Times New Roman"/>
          <w:kern w:val="22"/>
        </w:rPr>
        <w:t xml:space="preserve">the </w:t>
      </w:r>
      <w:r w:rsidR="007721C7" w:rsidRPr="00471447">
        <w:rPr>
          <w:rFonts w:ascii="Times New Roman" w:eastAsia="Cambria" w:hAnsi="Times New Roman" w:cs="Times New Roman"/>
          <w:kern w:val="22"/>
        </w:rPr>
        <w:t>government of Indonesia</w:t>
      </w:r>
      <w:r w:rsidR="00CA04FC" w:rsidRPr="00471447">
        <w:rPr>
          <w:rFonts w:ascii="Times New Roman" w:eastAsia="Cambria" w:hAnsi="Times New Roman" w:cs="Times New Roman"/>
          <w:kern w:val="22"/>
        </w:rPr>
        <w:t>’s</w:t>
      </w:r>
      <w:r w:rsidR="007721C7" w:rsidRPr="00471447">
        <w:rPr>
          <w:rFonts w:ascii="Times New Roman" w:eastAsia="Cambria" w:hAnsi="Times New Roman" w:cs="Times New Roman"/>
          <w:kern w:val="22"/>
        </w:rPr>
        <w:t xml:space="preserve"> Peatlands restoration agency</w:t>
      </w:r>
      <w:r w:rsidR="00225041" w:rsidRPr="00471447">
        <w:rPr>
          <w:rFonts w:ascii="Times New Roman" w:eastAsia="Cambria" w:hAnsi="Times New Roman" w:cs="Times New Roman"/>
          <w:kern w:val="22"/>
        </w:rPr>
        <w:t>,</w:t>
      </w:r>
      <w:r w:rsidR="007721C7" w:rsidRPr="00471447">
        <w:rPr>
          <w:rFonts w:ascii="Times New Roman" w:eastAsia="Cambria" w:hAnsi="Times New Roman" w:cs="Times New Roman"/>
          <w:kern w:val="22"/>
        </w:rPr>
        <w:t xml:space="preserve"> now charged with protecting some 2 million h</w:t>
      </w:r>
      <w:r w:rsidR="00CA04FC" w:rsidRPr="00471447">
        <w:rPr>
          <w:rFonts w:ascii="Times New Roman" w:eastAsia="Cambria" w:hAnsi="Times New Roman" w:cs="Times New Roman"/>
          <w:kern w:val="22"/>
        </w:rPr>
        <w:t>a of peatland</w:t>
      </w:r>
      <w:r w:rsidR="007721C7" w:rsidRPr="00471447">
        <w:rPr>
          <w:rFonts w:ascii="Times New Roman" w:eastAsia="Cambria" w:hAnsi="Times New Roman" w:cs="Times New Roman"/>
          <w:kern w:val="22"/>
        </w:rPr>
        <w:t xml:space="preserve"> </w:t>
      </w:r>
      <w:r w:rsidR="00CA04FC" w:rsidRPr="00471447">
        <w:rPr>
          <w:rFonts w:ascii="Times New Roman" w:eastAsia="Cambria" w:hAnsi="Times New Roman" w:cs="Times New Roman"/>
          <w:kern w:val="22"/>
        </w:rPr>
        <w:t>over</w:t>
      </w:r>
      <w:r w:rsidR="007721C7" w:rsidRPr="00471447">
        <w:rPr>
          <w:rFonts w:ascii="Times New Roman" w:eastAsia="Cambria" w:hAnsi="Times New Roman" w:cs="Times New Roman"/>
          <w:kern w:val="22"/>
        </w:rPr>
        <w:t xml:space="preserve"> the next 5 years. </w:t>
      </w:r>
      <w:r w:rsidR="00CA04FC" w:rsidRPr="00471447">
        <w:rPr>
          <w:rFonts w:ascii="Times New Roman" w:eastAsia="Cambria" w:hAnsi="Times New Roman" w:cs="Times New Roman"/>
          <w:kern w:val="22"/>
        </w:rPr>
        <w:t xml:space="preserve">She </w:t>
      </w:r>
      <w:r w:rsidR="00EE0AAA" w:rsidRPr="00471447">
        <w:rPr>
          <w:rFonts w:ascii="Times New Roman" w:eastAsia="Cambria" w:hAnsi="Times New Roman" w:cs="Times New Roman"/>
          <w:kern w:val="22"/>
        </w:rPr>
        <w:t xml:space="preserve">emphasized </w:t>
      </w:r>
      <w:r w:rsidR="00CA04FC" w:rsidRPr="00471447">
        <w:rPr>
          <w:rFonts w:ascii="Times New Roman" w:eastAsia="Cambria" w:hAnsi="Times New Roman" w:cs="Times New Roman"/>
          <w:kern w:val="22"/>
        </w:rPr>
        <w:t>the value of having a strong</w:t>
      </w:r>
      <w:r w:rsidR="007721C7" w:rsidRPr="00471447">
        <w:rPr>
          <w:rFonts w:ascii="Times New Roman" w:eastAsia="Cambria" w:hAnsi="Times New Roman" w:cs="Times New Roman"/>
          <w:kern w:val="22"/>
        </w:rPr>
        <w:t xml:space="preserve"> science base </w:t>
      </w:r>
      <w:r w:rsidR="00CA04FC" w:rsidRPr="00471447">
        <w:rPr>
          <w:rFonts w:ascii="Times New Roman" w:eastAsia="Cambria" w:hAnsi="Times New Roman" w:cs="Times New Roman"/>
          <w:kern w:val="22"/>
        </w:rPr>
        <w:t>so governments are able to</w:t>
      </w:r>
      <w:r w:rsidR="007721C7" w:rsidRPr="00471447">
        <w:rPr>
          <w:rFonts w:ascii="Times New Roman" w:eastAsia="Cambria" w:hAnsi="Times New Roman" w:cs="Times New Roman"/>
          <w:kern w:val="22"/>
        </w:rPr>
        <w:t xml:space="preserve"> prioritiz</w:t>
      </w:r>
      <w:r w:rsidR="00CA04FC" w:rsidRPr="00471447">
        <w:rPr>
          <w:rFonts w:ascii="Times New Roman" w:eastAsia="Cambria" w:hAnsi="Times New Roman" w:cs="Times New Roman"/>
          <w:kern w:val="22"/>
        </w:rPr>
        <w:t>e</w:t>
      </w:r>
      <w:r w:rsidR="007721C7" w:rsidRPr="00471447">
        <w:rPr>
          <w:rFonts w:ascii="Times New Roman" w:eastAsia="Cambria" w:hAnsi="Times New Roman" w:cs="Times New Roman"/>
          <w:kern w:val="22"/>
        </w:rPr>
        <w:t xml:space="preserve"> which peatlands to protect and the science modelling tool </w:t>
      </w:r>
      <w:r w:rsidR="00CA04FC" w:rsidRPr="00471447">
        <w:rPr>
          <w:rFonts w:ascii="Times New Roman" w:eastAsia="Cambria" w:hAnsi="Times New Roman" w:cs="Times New Roman"/>
          <w:kern w:val="22"/>
        </w:rPr>
        <w:t>is being</w:t>
      </w:r>
      <w:r w:rsidR="007721C7" w:rsidRPr="00471447">
        <w:rPr>
          <w:rFonts w:ascii="Times New Roman" w:eastAsia="Cambria" w:hAnsi="Times New Roman" w:cs="Times New Roman"/>
          <w:kern w:val="22"/>
        </w:rPr>
        <w:t xml:space="preserve"> adapt</w:t>
      </w:r>
      <w:r w:rsidR="00CA04FC" w:rsidRPr="00471447">
        <w:rPr>
          <w:rFonts w:ascii="Times New Roman" w:eastAsia="Cambria" w:hAnsi="Times New Roman" w:cs="Times New Roman"/>
          <w:kern w:val="22"/>
        </w:rPr>
        <w:t>ed</w:t>
      </w:r>
      <w:r w:rsidR="007721C7" w:rsidRPr="00471447">
        <w:rPr>
          <w:rFonts w:ascii="Times New Roman" w:eastAsia="Cambria" w:hAnsi="Times New Roman" w:cs="Times New Roman"/>
          <w:kern w:val="22"/>
        </w:rPr>
        <w:t xml:space="preserve"> to their needs, </w:t>
      </w:r>
      <w:r w:rsidR="00CA04FC" w:rsidRPr="00471447">
        <w:rPr>
          <w:rFonts w:ascii="Times New Roman" w:eastAsia="Cambria" w:hAnsi="Times New Roman" w:cs="Times New Roman"/>
          <w:kern w:val="22"/>
        </w:rPr>
        <w:t>to identify which peatlands to protect and associated</w:t>
      </w:r>
      <w:r w:rsidR="007721C7" w:rsidRPr="00471447">
        <w:rPr>
          <w:rFonts w:ascii="Times New Roman" w:eastAsia="Cambria" w:hAnsi="Times New Roman" w:cs="Times New Roman"/>
          <w:kern w:val="22"/>
        </w:rPr>
        <w:t xml:space="preserve"> public health costs. </w:t>
      </w:r>
    </w:p>
    <w:p w:rsidR="007721C7" w:rsidRPr="00471447" w:rsidRDefault="00CA04F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 s</w:t>
      </w:r>
      <w:r w:rsidR="007721C7" w:rsidRPr="00471447">
        <w:rPr>
          <w:rFonts w:ascii="Times New Roman" w:eastAsia="Cambria" w:hAnsi="Times New Roman" w:cs="Times New Roman"/>
          <w:kern w:val="22"/>
        </w:rPr>
        <w:t>econd case study</w:t>
      </w:r>
      <w:r w:rsidRPr="00471447">
        <w:rPr>
          <w:rFonts w:ascii="Times New Roman" w:eastAsia="Cambria" w:hAnsi="Times New Roman" w:cs="Times New Roman"/>
          <w:kern w:val="22"/>
        </w:rPr>
        <w:t xml:space="preserve"> </w:t>
      </w:r>
      <w:r w:rsidR="00EE0AAA" w:rsidRPr="00471447">
        <w:rPr>
          <w:rFonts w:ascii="Times New Roman" w:eastAsia="Cambria" w:hAnsi="Times New Roman" w:cs="Times New Roman"/>
          <w:kern w:val="22"/>
        </w:rPr>
        <w:t>discussed</w:t>
      </w:r>
      <w:r w:rsidRPr="00471447">
        <w:rPr>
          <w:rFonts w:ascii="Times New Roman" w:eastAsia="Cambria" w:hAnsi="Times New Roman" w:cs="Times New Roman"/>
          <w:kern w:val="22"/>
        </w:rPr>
        <w:t xml:space="preserve"> the multiple </w:t>
      </w:r>
      <w:r w:rsidR="007721C7" w:rsidRPr="00471447">
        <w:rPr>
          <w:rFonts w:ascii="Times New Roman" w:eastAsia="Cambria" w:hAnsi="Times New Roman" w:cs="Times New Roman"/>
          <w:kern w:val="22"/>
        </w:rPr>
        <w:t>benefits of healthy city design (</w:t>
      </w:r>
      <w:r w:rsidRPr="00471447">
        <w:rPr>
          <w:rFonts w:ascii="Times New Roman" w:eastAsia="Cambria" w:hAnsi="Times New Roman" w:cs="Times New Roman"/>
          <w:kern w:val="22"/>
        </w:rPr>
        <w:t xml:space="preserve">e.g. </w:t>
      </w:r>
      <w:r w:rsidR="007721C7" w:rsidRPr="00471447">
        <w:rPr>
          <w:rFonts w:ascii="Times New Roman" w:eastAsia="Cambria" w:hAnsi="Times New Roman" w:cs="Times New Roman"/>
          <w:kern w:val="22"/>
        </w:rPr>
        <w:t>density, infrastructure, green spaces which can promote h</w:t>
      </w:r>
      <w:r w:rsidRPr="00471447">
        <w:rPr>
          <w:rFonts w:ascii="Times New Roman" w:eastAsia="Cambria" w:hAnsi="Times New Roman" w:cs="Times New Roman"/>
          <w:kern w:val="22"/>
        </w:rPr>
        <w:t>ealthy lifestyles, well-</w:t>
      </w:r>
      <w:r w:rsidR="007721C7" w:rsidRPr="00471447">
        <w:rPr>
          <w:rFonts w:ascii="Times New Roman" w:eastAsia="Cambria" w:hAnsi="Times New Roman" w:cs="Times New Roman"/>
          <w:kern w:val="22"/>
        </w:rPr>
        <w:t>bein</w:t>
      </w:r>
      <w:r w:rsidRPr="00471447">
        <w:rPr>
          <w:rFonts w:ascii="Times New Roman" w:eastAsia="Cambria" w:hAnsi="Times New Roman" w:cs="Times New Roman"/>
          <w:kern w:val="22"/>
        </w:rPr>
        <w:t>g, social interaction and reducing the</w:t>
      </w:r>
      <w:r w:rsidR="007721C7" w:rsidRPr="00471447">
        <w:rPr>
          <w:rFonts w:ascii="Times New Roman" w:eastAsia="Cambria" w:hAnsi="Times New Roman" w:cs="Times New Roman"/>
          <w:kern w:val="22"/>
        </w:rPr>
        <w:t xml:space="preserve"> urban heat island effect). </w:t>
      </w:r>
      <w:r w:rsidRPr="00471447">
        <w:rPr>
          <w:rFonts w:ascii="Times New Roman" w:eastAsia="Cambria" w:hAnsi="Times New Roman" w:cs="Times New Roman"/>
          <w:kern w:val="22"/>
        </w:rPr>
        <w:t>She noted that</w:t>
      </w:r>
      <w:r w:rsidR="007721C7" w:rsidRPr="00471447">
        <w:rPr>
          <w:rFonts w:ascii="Times New Roman" w:eastAsia="Cambria" w:hAnsi="Times New Roman" w:cs="Times New Roman"/>
          <w:kern w:val="22"/>
        </w:rPr>
        <w:t xml:space="preserve"> tools su</w:t>
      </w:r>
      <w:r w:rsidRPr="00471447">
        <w:rPr>
          <w:rFonts w:ascii="Times New Roman" w:eastAsia="Cambria" w:hAnsi="Times New Roman" w:cs="Times New Roman"/>
          <w:kern w:val="22"/>
        </w:rPr>
        <w:t>ch as</w:t>
      </w:r>
      <w:r w:rsidR="00EE0AAA" w:rsidRPr="00471447">
        <w:rPr>
          <w:rFonts w:ascii="Times New Roman" w:eastAsia="Cambria" w:hAnsi="Times New Roman" w:cs="Times New Roman"/>
          <w:kern w:val="22"/>
        </w:rPr>
        <w:t xml:space="preserve"> </w:t>
      </w:r>
      <w:r w:rsidR="00005D27" w:rsidRPr="00471447">
        <w:rPr>
          <w:rFonts w:ascii="Times New Roman" w:eastAsia="Cambria" w:hAnsi="Times New Roman" w:cs="Times New Roman"/>
          <w:kern w:val="22"/>
        </w:rPr>
        <w:t>HIA</w:t>
      </w:r>
      <w:r w:rsidR="00EE0AAA" w:rsidRPr="00471447">
        <w:rPr>
          <w:rFonts w:ascii="Times New Roman" w:eastAsia="Cambria" w:hAnsi="Times New Roman" w:cs="Times New Roman"/>
          <w:kern w:val="22"/>
        </w:rPr>
        <w:t xml:space="preserve"> </w:t>
      </w:r>
      <w:r w:rsidR="007721C7" w:rsidRPr="00471447">
        <w:rPr>
          <w:rFonts w:ascii="Times New Roman" w:eastAsia="Cambria" w:hAnsi="Times New Roman" w:cs="Times New Roman"/>
          <w:kern w:val="22"/>
        </w:rPr>
        <w:t xml:space="preserve">can help </w:t>
      </w:r>
      <w:r w:rsidRPr="00471447">
        <w:rPr>
          <w:rFonts w:ascii="Times New Roman" w:eastAsia="Cambria" w:hAnsi="Times New Roman" w:cs="Times New Roman"/>
          <w:kern w:val="22"/>
        </w:rPr>
        <w:t xml:space="preserve">to </w:t>
      </w:r>
      <w:r w:rsidR="007721C7" w:rsidRPr="00471447">
        <w:rPr>
          <w:rFonts w:ascii="Times New Roman" w:eastAsia="Cambria" w:hAnsi="Times New Roman" w:cs="Times New Roman"/>
          <w:kern w:val="22"/>
        </w:rPr>
        <w:t>identify human health benefits and mitig</w:t>
      </w:r>
      <w:r w:rsidR="00005D27" w:rsidRPr="00471447">
        <w:rPr>
          <w:rFonts w:ascii="Times New Roman" w:eastAsia="Cambria" w:hAnsi="Times New Roman" w:cs="Times New Roman"/>
          <w:kern w:val="22"/>
        </w:rPr>
        <w:t xml:space="preserve">ation measures. For example, the </w:t>
      </w:r>
      <w:r w:rsidR="007721C7" w:rsidRPr="00471447">
        <w:rPr>
          <w:rFonts w:ascii="Times New Roman" w:eastAsia="Cambria" w:hAnsi="Times New Roman" w:cs="Times New Roman"/>
          <w:kern w:val="22"/>
        </w:rPr>
        <w:t>US E</w:t>
      </w:r>
      <w:r w:rsidR="00005D27" w:rsidRPr="00471447">
        <w:rPr>
          <w:rFonts w:ascii="Times New Roman" w:eastAsia="Cambria" w:hAnsi="Times New Roman" w:cs="Times New Roman"/>
          <w:kern w:val="22"/>
        </w:rPr>
        <w:t xml:space="preserve">nvironmental </w:t>
      </w:r>
      <w:r w:rsidR="007721C7" w:rsidRPr="00471447">
        <w:rPr>
          <w:rFonts w:ascii="Times New Roman" w:eastAsia="Cambria" w:hAnsi="Times New Roman" w:cs="Times New Roman"/>
          <w:kern w:val="22"/>
        </w:rPr>
        <w:t>P</w:t>
      </w:r>
      <w:r w:rsidR="00005D27" w:rsidRPr="00471447">
        <w:rPr>
          <w:rFonts w:ascii="Times New Roman" w:eastAsia="Cambria" w:hAnsi="Times New Roman" w:cs="Times New Roman"/>
          <w:kern w:val="22"/>
        </w:rPr>
        <w:t xml:space="preserve">rotection </w:t>
      </w:r>
      <w:r w:rsidR="007721C7" w:rsidRPr="00471447">
        <w:rPr>
          <w:rFonts w:ascii="Times New Roman" w:eastAsia="Cambria" w:hAnsi="Times New Roman" w:cs="Times New Roman"/>
          <w:kern w:val="22"/>
        </w:rPr>
        <w:t>A</w:t>
      </w:r>
      <w:r w:rsidR="00005D27" w:rsidRPr="00471447">
        <w:rPr>
          <w:rFonts w:ascii="Times New Roman" w:eastAsia="Cambria" w:hAnsi="Times New Roman" w:cs="Times New Roman"/>
          <w:kern w:val="22"/>
        </w:rPr>
        <w:t>gency (EPA)</w:t>
      </w:r>
      <w:r w:rsidR="007721C7" w:rsidRPr="00471447">
        <w:rPr>
          <w:rFonts w:ascii="Times New Roman" w:eastAsia="Cambria" w:hAnsi="Times New Roman" w:cs="Times New Roman"/>
          <w:kern w:val="22"/>
        </w:rPr>
        <w:t>, applied HIA to inform a green street desig</w:t>
      </w:r>
      <w:r w:rsidR="00005D27" w:rsidRPr="00471447">
        <w:rPr>
          <w:rFonts w:ascii="Times New Roman" w:eastAsia="Cambria" w:hAnsi="Times New Roman" w:cs="Times New Roman"/>
          <w:kern w:val="22"/>
        </w:rPr>
        <w:t xml:space="preserve">n planned to target and reduce </w:t>
      </w:r>
      <w:r w:rsidR="007721C7" w:rsidRPr="00471447">
        <w:rPr>
          <w:rFonts w:ascii="Times New Roman" w:eastAsia="Cambria" w:hAnsi="Times New Roman" w:cs="Times New Roman"/>
          <w:kern w:val="22"/>
        </w:rPr>
        <w:t>storm</w:t>
      </w:r>
      <w:r w:rsidR="00005D27" w:rsidRPr="00471447">
        <w:rPr>
          <w:rFonts w:ascii="Times New Roman" w:eastAsia="Cambria" w:hAnsi="Times New Roman" w:cs="Times New Roman"/>
          <w:kern w:val="22"/>
        </w:rPr>
        <w:t xml:space="preserve"> </w:t>
      </w:r>
      <w:r w:rsidR="007721C7" w:rsidRPr="00471447">
        <w:rPr>
          <w:rFonts w:ascii="Times New Roman" w:eastAsia="Cambria" w:hAnsi="Times New Roman" w:cs="Times New Roman"/>
          <w:kern w:val="22"/>
        </w:rPr>
        <w:t>water runoff and flooding. As a result</w:t>
      </w:r>
      <w:r w:rsidR="00005D27" w:rsidRPr="00471447">
        <w:rPr>
          <w:rFonts w:ascii="Times New Roman" w:eastAsia="Cambria" w:hAnsi="Times New Roman" w:cs="Times New Roman"/>
          <w:kern w:val="22"/>
        </w:rPr>
        <w:t xml:space="preserve">, </w:t>
      </w:r>
      <w:r w:rsidR="007721C7" w:rsidRPr="00471447">
        <w:rPr>
          <w:rFonts w:ascii="Times New Roman" w:eastAsia="Cambria" w:hAnsi="Times New Roman" w:cs="Times New Roman"/>
          <w:kern w:val="22"/>
        </w:rPr>
        <w:t>green</w:t>
      </w:r>
      <w:r w:rsidR="00005D27" w:rsidRPr="00471447">
        <w:rPr>
          <w:rFonts w:ascii="Times New Roman" w:eastAsia="Cambria" w:hAnsi="Times New Roman" w:cs="Times New Roman"/>
          <w:kern w:val="22"/>
        </w:rPr>
        <w:t xml:space="preserve"> street design was increased </w:t>
      </w:r>
      <w:r w:rsidR="007721C7" w:rsidRPr="00471447">
        <w:rPr>
          <w:rFonts w:ascii="Times New Roman" w:eastAsia="Cambria" w:hAnsi="Times New Roman" w:cs="Times New Roman"/>
          <w:kern w:val="22"/>
        </w:rPr>
        <w:t>threefold to incorpo</w:t>
      </w:r>
      <w:r w:rsidR="00005D27" w:rsidRPr="00471447">
        <w:rPr>
          <w:rFonts w:ascii="Times New Roman" w:eastAsia="Cambria" w:hAnsi="Times New Roman" w:cs="Times New Roman"/>
          <w:kern w:val="22"/>
        </w:rPr>
        <w:t>rate the health benefits of liv</w:t>
      </w:r>
      <w:r w:rsidR="007721C7" w:rsidRPr="00471447">
        <w:rPr>
          <w:rFonts w:ascii="Times New Roman" w:eastAsia="Cambria" w:hAnsi="Times New Roman" w:cs="Times New Roman"/>
          <w:kern w:val="22"/>
        </w:rPr>
        <w:t>ability, public safety and re</w:t>
      </w:r>
      <w:r w:rsidR="00005D27" w:rsidRPr="00471447">
        <w:rPr>
          <w:rFonts w:ascii="Times New Roman" w:eastAsia="Cambria" w:hAnsi="Times New Roman" w:cs="Times New Roman"/>
          <w:kern w:val="22"/>
        </w:rPr>
        <w:t>duce urban heat island effect. She indicated that t</w:t>
      </w:r>
      <w:r w:rsidR="007721C7" w:rsidRPr="00471447">
        <w:rPr>
          <w:rFonts w:ascii="Times New Roman" w:eastAsia="Cambria" w:hAnsi="Times New Roman" w:cs="Times New Roman"/>
          <w:kern w:val="22"/>
        </w:rPr>
        <w:t xml:space="preserve">his </w:t>
      </w:r>
      <w:r w:rsidR="00005D27" w:rsidRPr="00471447">
        <w:rPr>
          <w:rFonts w:ascii="Times New Roman" w:eastAsia="Cambria" w:hAnsi="Times New Roman" w:cs="Times New Roman"/>
          <w:kern w:val="22"/>
        </w:rPr>
        <w:t>provides</w:t>
      </w:r>
      <w:r w:rsidR="007721C7" w:rsidRPr="00471447">
        <w:rPr>
          <w:rFonts w:ascii="Times New Roman" w:eastAsia="Cambria" w:hAnsi="Times New Roman" w:cs="Times New Roman"/>
          <w:kern w:val="22"/>
        </w:rPr>
        <w:t xml:space="preserve"> a good example of </w:t>
      </w:r>
      <w:r w:rsidR="00005D27" w:rsidRPr="00471447">
        <w:rPr>
          <w:rFonts w:ascii="Times New Roman" w:eastAsia="Cambria" w:hAnsi="Times New Roman" w:cs="Times New Roman"/>
          <w:kern w:val="22"/>
        </w:rPr>
        <w:t xml:space="preserve">how </w:t>
      </w:r>
      <w:r w:rsidR="007721C7" w:rsidRPr="00471447">
        <w:rPr>
          <w:rFonts w:ascii="Times New Roman" w:eastAsia="Cambria" w:hAnsi="Times New Roman" w:cs="Times New Roman"/>
          <w:kern w:val="22"/>
        </w:rPr>
        <w:t>existing tool</w:t>
      </w:r>
      <w:r w:rsidR="00005D27" w:rsidRPr="00471447">
        <w:rPr>
          <w:rFonts w:ascii="Times New Roman" w:eastAsia="Cambria" w:hAnsi="Times New Roman" w:cs="Times New Roman"/>
          <w:kern w:val="22"/>
        </w:rPr>
        <w:t xml:space="preserve">s and </w:t>
      </w:r>
      <w:r w:rsidR="007721C7" w:rsidRPr="00471447">
        <w:rPr>
          <w:rFonts w:ascii="Times New Roman" w:eastAsia="Cambria" w:hAnsi="Times New Roman" w:cs="Times New Roman"/>
          <w:kern w:val="22"/>
        </w:rPr>
        <w:t xml:space="preserve">health data can </w:t>
      </w:r>
      <w:r w:rsidR="00005D27" w:rsidRPr="00471447">
        <w:rPr>
          <w:rFonts w:ascii="Times New Roman" w:eastAsia="Cambria" w:hAnsi="Times New Roman" w:cs="Times New Roman"/>
          <w:kern w:val="22"/>
        </w:rPr>
        <w:t>be used</w:t>
      </w:r>
      <w:r w:rsidR="007721C7" w:rsidRPr="00471447">
        <w:rPr>
          <w:rFonts w:ascii="Times New Roman" w:eastAsia="Cambria" w:hAnsi="Times New Roman" w:cs="Times New Roman"/>
          <w:kern w:val="22"/>
        </w:rPr>
        <w:t xml:space="preserve"> to maximize co-benefits in rapidly urbanizing areas, particularly in high </w:t>
      </w:r>
      <w:r w:rsidR="00005D27" w:rsidRPr="00471447">
        <w:rPr>
          <w:rFonts w:ascii="Times New Roman" w:eastAsia="Cambria" w:hAnsi="Times New Roman" w:cs="Times New Roman"/>
          <w:kern w:val="22"/>
        </w:rPr>
        <w:t>and middle income countries.</w:t>
      </w:r>
    </w:p>
    <w:p w:rsidR="002241DB" w:rsidRPr="00471447" w:rsidRDefault="002241D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She</w:t>
      </w:r>
      <w:r w:rsidR="00EE0AAA" w:rsidRPr="00471447">
        <w:rPr>
          <w:rFonts w:ascii="Times New Roman" w:eastAsia="Cambria" w:hAnsi="Times New Roman" w:cs="Times New Roman"/>
          <w:kern w:val="22"/>
        </w:rPr>
        <w:t xml:space="preserve"> noted that c</w:t>
      </w:r>
      <w:r w:rsidR="007721C7" w:rsidRPr="00471447">
        <w:rPr>
          <w:rFonts w:ascii="Times New Roman" w:eastAsia="Cambria" w:hAnsi="Times New Roman" w:cs="Times New Roman"/>
          <w:kern w:val="22"/>
        </w:rPr>
        <w:t xml:space="preserve">onsiderations </w:t>
      </w:r>
      <w:r w:rsidR="00005D27" w:rsidRPr="00471447">
        <w:rPr>
          <w:rFonts w:ascii="Times New Roman" w:eastAsia="Cambria" w:hAnsi="Times New Roman" w:cs="Times New Roman"/>
          <w:kern w:val="22"/>
        </w:rPr>
        <w:t xml:space="preserve">the </w:t>
      </w:r>
      <w:r w:rsidR="00EE0AAA" w:rsidRPr="00471447">
        <w:rPr>
          <w:rFonts w:ascii="Times New Roman" w:eastAsia="Cambria" w:hAnsi="Times New Roman" w:cs="Times New Roman"/>
          <w:kern w:val="22"/>
        </w:rPr>
        <w:t xml:space="preserve">ILG </w:t>
      </w:r>
      <w:r w:rsidR="00005D27" w:rsidRPr="00471447">
        <w:rPr>
          <w:rFonts w:ascii="Times New Roman" w:eastAsia="Cambria" w:hAnsi="Times New Roman" w:cs="Times New Roman"/>
          <w:kern w:val="22"/>
        </w:rPr>
        <w:t xml:space="preserve">may wish to consider moving forward </w:t>
      </w:r>
      <w:r w:rsidR="007721C7" w:rsidRPr="00471447">
        <w:rPr>
          <w:rFonts w:ascii="Times New Roman" w:eastAsia="Cambria" w:hAnsi="Times New Roman" w:cs="Times New Roman"/>
          <w:kern w:val="22"/>
        </w:rPr>
        <w:t>i</w:t>
      </w:r>
      <w:r w:rsidR="00005D27" w:rsidRPr="00471447">
        <w:rPr>
          <w:rFonts w:ascii="Times New Roman" w:eastAsia="Cambria" w:hAnsi="Times New Roman" w:cs="Times New Roman"/>
          <w:kern w:val="22"/>
        </w:rPr>
        <w:t xml:space="preserve">nclude: harnessing available data to effect positive change; assessing the science and capacity needs of </w:t>
      </w:r>
      <w:r w:rsidR="007721C7" w:rsidRPr="00471447">
        <w:rPr>
          <w:rFonts w:ascii="Times New Roman" w:eastAsia="Cambria" w:hAnsi="Times New Roman" w:cs="Times New Roman"/>
          <w:kern w:val="22"/>
        </w:rPr>
        <w:t>policy partner</w:t>
      </w:r>
      <w:r w:rsidR="00005D27" w:rsidRPr="00471447">
        <w:rPr>
          <w:rFonts w:ascii="Times New Roman" w:eastAsia="Cambria" w:hAnsi="Times New Roman" w:cs="Times New Roman"/>
          <w:kern w:val="22"/>
        </w:rPr>
        <w:t>s and stakeholder partnerships</w:t>
      </w:r>
      <w:r w:rsidR="007721C7" w:rsidRPr="00471447">
        <w:rPr>
          <w:rFonts w:ascii="Times New Roman" w:eastAsia="Cambria" w:hAnsi="Times New Roman" w:cs="Times New Roman"/>
          <w:kern w:val="22"/>
        </w:rPr>
        <w:t xml:space="preserve"> within the community, civil society and </w:t>
      </w:r>
      <w:r w:rsidR="00005D27" w:rsidRPr="00471447">
        <w:rPr>
          <w:rFonts w:ascii="Times New Roman" w:eastAsia="Cambria" w:hAnsi="Times New Roman" w:cs="Times New Roman"/>
          <w:kern w:val="22"/>
        </w:rPr>
        <w:t xml:space="preserve">with </w:t>
      </w:r>
      <w:r w:rsidR="007721C7" w:rsidRPr="00471447">
        <w:rPr>
          <w:rFonts w:ascii="Times New Roman" w:eastAsia="Cambria" w:hAnsi="Times New Roman" w:cs="Times New Roman"/>
          <w:kern w:val="22"/>
        </w:rPr>
        <w:t>academic institutions and what types of decisions (e.g. scale of research design) could be optimimized by integrating health</w:t>
      </w:r>
      <w:r w:rsidR="00005D27" w:rsidRPr="00471447">
        <w:rPr>
          <w:rFonts w:ascii="Times New Roman" w:eastAsia="Cambria" w:hAnsi="Times New Roman" w:cs="Times New Roman"/>
          <w:kern w:val="22"/>
        </w:rPr>
        <w:t xml:space="preserve"> and biodiversity considerations</w:t>
      </w:r>
      <w:r w:rsidR="00EE0AAA" w:rsidRPr="00471447">
        <w:rPr>
          <w:rFonts w:ascii="Times New Roman" w:eastAsia="Cambria" w:hAnsi="Times New Roman" w:cs="Times New Roman"/>
          <w:kern w:val="22"/>
        </w:rPr>
        <w:t xml:space="preserve"> and discussed opportunities and barriers to strengthening science policy engagement</w:t>
      </w:r>
      <w:r w:rsidR="007721C7" w:rsidRPr="00471447">
        <w:rPr>
          <w:rFonts w:ascii="Times New Roman" w:eastAsia="Cambria" w:hAnsi="Times New Roman" w:cs="Times New Roman"/>
          <w:kern w:val="22"/>
        </w:rPr>
        <w:t xml:space="preserve">. </w:t>
      </w:r>
      <w:r w:rsidR="00005D27" w:rsidRPr="00471447">
        <w:rPr>
          <w:rFonts w:ascii="Times New Roman" w:eastAsia="Cambria" w:hAnsi="Times New Roman" w:cs="Times New Roman"/>
          <w:kern w:val="22"/>
        </w:rPr>
        <w:t>She also</w:t>
      </w:r>
      <w:r w:rsidR="007721C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noted that </w:t>
      </w:r>
      <w:r w:rsidR="00005D27" w:rsidRPr="00471447">
        <w:rPr>
          <w:rFonts w:ascii="Times New Roman" w:eastAsia="Cambria" w:hAnsi="Times New Roman" w:cs="Times New Roman"/>
          <w:kern w:val="22"/>
        </w:rPr>
        <w:t xml:space="preserve">the </w:t>
      </w:r>
      <w:r w:rsidR="007721C7" w:rsidRPr="00471447">
        <w:rPr>
          <w:rFonts w:ascii="Times New Roman" w:eastAsia="Cambria" w:hAnsi="Times New Roman" w:cs="Times New Roman"/>
          <w:kern w:val="22"/>
        </w:rPr>
        <w:t xml:space="preserve">objectives of what </w:t>
      </w:r>
      <w:r w:rsidR="00EE0AAA" w:rsidRPr="00471447">
        <w:rPr>
          <w:rFonts w:ascii="Times New Roman" w:eastAsia="Cambria" w:hAnsi="Times New Roman" w:cs="Times New Roman"/>
          <w:kern w:val="22"/>
        </w:rPr>
        <w:t>PHA is</w:t>
      </w:r>
      <w:r w:rsidR="007721C7" w:rsidRPr="00471447">
        <w:rPr>
          <w:rFonts w:ascii="Times New Roman" w:eastAsia="Cambria" w:hAnsi="Times New Roman" w:cs="Times New Roman"/>
          <w:kern w:val="22"/>
        </w:rPr>
        <w:t xml:space="preserve"> trying to </w:t>
      </w:r>
      <w:r w:rsidR="00BA16A1" w:rsidRPr="00471447">
        <w:rPr>
          <w:rFonts w:ascii="Times New Roman" w:eastAsia="Cambria" w:hAnsi="Times New Roman" w:cs="Times New Roman"/>
          <w:kern w:val="22"/>
        </w:rPr>
        <w:t>achieve</w:t>
      </w:r>
      <w:r w:rsidR="007721C7" w:rsidRPr="00471447">
        <w:rPr>
          <w:rFonts w:ascii="Times New Roman" w:eastAsia="Cambria" w:hAnsi="Times New Roman" w:cs="Times New Roman"/>
          <w:kern w:val="22"/>
        </w:rPr>
        <w:t xml:space="preserve"> as a research community which is very much aligned with the objectives of the </w:t>
      </w:r>
      <w:r w:rsidR="00BA16A1" w:rsidRPr="00471447">
        <w:rPr>
          <w:rFonts w:ascii="Times New Roman" w:eastAsia="Cambria" w:hAnsi="Times New Roman" w:cs="Times New Roman"/>
          <w:kern w:val="22"/>
        </w:rPr>
        <w:t>ILG</w:t>
      </w:r>
      <w:r w:rsidR="007721C7" w:rsidRPr="00471447">
        <w:rPr>
          <w:rFonts w:ascii="Times New Roman" w:eastAsia="Cambria" w:hAnsi="Times New Roman" w:cs="Times New Roman"/>
          <w:kern w:val="22"/>
        </w:rPr>
        <w:t xml:space="preserve"> to leverage human health for biodiversity and ecosystem conservation. </w:t>
      </w:r>
    </w:p>
    <w:p w:rsidR="002241DB" w:rsidRPr="00471447" w:rsidRDefault="00BA16A1"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Opportunities for </w:t>
      </w:r>
      <w:r w:rsidR="002241DB" w:rsidRPr="00471447">
        <w:rPr>
          <w:rFonts w:ascii="Times New Roman" w:eastAsia="Cambria" w:hAnsi="Times New Roman" w:cs="Times New Roman"/>
          <w:kern w:val="22"/>
        </w:rPr>
        <w:t xml:space="preserve">PHA </w:t>
      </w:r>
      <w:r w:rsidRPr="00471447">
        <w:rPr>
          <w:rFonts w:ascii="Times New Roman" w:eastAsia="Cambria" w:hAnsi="Times New Roman" w:cs="Times New Roman"/>
          <w:kern w:val="22"/>
        </w:rPr>
        <w:t xml:space="preserve">collaboration </w:t>
      </w:r>
      <w:r w:rsidR="002241DB" w:rsidRPr="00471447">
        <w:rPr>
          <w:rFonts w:ascii="Times New Roman" w:eastAsia="Cambria" w:hAnsi="Times New Roman" w:cs="Times New Roman"/>
          <w:kern w:val="22"/>
        </w:rPr>
        <w:t xml:space="preserve">with the ILG </w:t>
      </w:r>
      <w:r w:rsidRPr="00471447">
        <w:rPr>
          <w:rFonts w:ascii="Times New Roman" w:eastAsia="Cambria" w:hAnsi="Times New Roman" w:cs="Times New Roman"/>
          <w:kern w:val="22"/>
        </w:rPr>
        <w:t>include: 1) Sharing</w:t>
      </w:r>
      <w:r w:rsidR="007721C7" w:rsidRPr="00471447">
        <w:rPr>
          <w:rFonts w:ascii="Times New Roman" w:eastAsia="Cambria" w:hAnsi="Times New Roman" w:cs="Times New Roman"/>
          <w:kern w:val="22"/>
        </w:rPr>
        <w:t xml:space="preserve"> case studies to achieve long term sustainability</w:t>
      </w:r>
      <w:r w:rsidRPr="00471447">
        <w:rPr>
          <w:rFonts w:ascii="Times New Roman" w:eastAsia="Cambria" w:hAnsi="Times New Roman" w:cs="Times New Roman"/>
          <w:kern w:val="22"/>
        </w:rPr>
        <w:t xml:space="preserve"> 2) Leveraging</w:t>
      </w:r>
      <w:r w:rsidR="007721C7" w:rsidRPr="00471447">
        <w:rPr>
          <w:rFonts w:ascii="Times New Roman" w:eastAsia="Cambria" w:hAnsi="Times New Roman" w:cs="Times New Roman"/>
          <w:kern w:val="22"/>
        </w:rPr>
        <w:t>, develop</w:t>
      </w:r>
      <w:r w:rsidRPr="00471447">
        <w:rPr>
          <w:rFonts w:ascii="Times New Roman" w:eastAsia="Cambria" w:hAnsi="Times New Roman" w:cs="Times New Roman"/>
          <w:kern w:val="22"/>
        </w:rPr>
        <w:t>ing</w:t>
      </w:r>
      <w:r w:rsidR="007721C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and </w:t>
      </w:r>
      <w:r w:rsidR="007721C7" w:rsidRPr="00471447">
        <w:rPr>
          <w:rFonts w:ascii="Times New Roman" w:eastAsia="Cambria" w:hAnsi="Times New Roman" w:cs="Times New Roman"/>
          <w:kern w:val="22"/>
        </w:rPr>
        <w:t>build</w:t>
      </w:r>
      <w:r w:rsidRPr="00471447">
        <w:rPr>
          <w:rFonts w:ascii="Times New Roman" w:eastAsia="Cambria" w:hAnsi="Times New Roman" w:cs="Times New Roman"/>
          <w:kern w:val="22"/>
        </w:rPr>
        <w:t>ing</w:t>
      </w:r>
      <w:r w:rsidR="007721C7" w:rsidRPr="00471447">
        <w:rPr>
          <w:rFonts w:ascii="Times New Roman" w:eastAsia="Cambria" w:hAnsi="Times New Roman" w:cs="Times New Roman"/>
          <w:kern w:val="22"/>
        </w:rPr>
        <w:t xml:space="preserve"> on existing tools such as HIA and EIA which already capture important environment and health relationships</w:t>
      </w:r>
      <w:r w:rsidR="002241DB"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3) </w:t>
      </w:r>
      <w:r w:rsidR="007721C7" w:rsidRPr="00471447">
        <w:rPr>
          <w:rFonts w:ascii="Times New Roman" w:eastAsia="Cambria" w:hAnsi="Times New Roman" w:cs="Times New Roman"/>
          <w:kern w:val="22"/>
        </w:rPr>
        <w:t xml:space="preserve">Identifying research partners </w:t>
      </w:r>
      <w:r w:rsidRPr="00471447">
        <w:rPr>
          <w:rFonts w:ascii="Times New Roman" w:eastAsia="Cambria" w:hAnsi="Times New Roman" w:cs="Times New Roman"/>
          <w:kern w:val="22"/>
        </w:rPr>
        <w:t xml:space="preserve">and </w:t>
      </w:r>
      <w:r w:rsidR="007721C7" w:rsidRPr="00471447">
        <w:rPr>
          <w:rFonts w:ascii="Times New Roman" w:eastAsia="Cambria" w:hAnsi="Times New Roman" w:cs="Times New Roman"/>
          <w:kern w:val="22"/>
        </w:rPr>
        <w:t>policy-</w:t>
      </w:r>
      <w:r w:rsidRPr="00471447">
        <w:rPr>
          <w:rFonts w:ascii="Times New Roman" w:eastAsia="Cambria" w:hAnsi="Times New Roman" w:cs="Times New Roman"/>
          <w:kern w:val="22"/>
        </w:rPr>
        <w:t>relevant science needs which c</w:t>
      </w:r>
      <w:r w:rsidR="007721C7" w:rsidRPr="00471447">
        <w:rPr>
          <w:rFonts w:ascii="Times New Roman" w:eastAsia="Cambria" w:hAnsi="Times New Roman" w:cs="Times New Roman"/>
          <w:kern w:val="22"/>
        </w:rPr>
        <w:t>an help</w:t>
      </w:r>
      <w:r w:rsidRPr="00471447">
        <w:rPr>
          <w:rFonts w:ascii="Times New Roman" w:eastAsia="Cambria" w:hAnsi="Times New Roman" w:cs="Times New Roman"/>
          <w:kern w:val="22"/>
        </w:rPr>
        <w:t xml:space="preserve"> to</w:t>
      </w:r>
      <w:r w:rsidR="007721C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determine research design and priorities 4) Creating</w:t>
      </w:r>
      <w:r w:rsidR="007721C7" w:rsidRPr="00471447">
        <w:rPr>
          <w:rFonts w:ascii="Times New Roman" w:eastAsia="Cambria" w:hAnsi="Times New Roman" w:cs="Times New Roman"/>
          <w:kern w:val="22"/>
        </w:rPr>
        <w:t xml:space="preserve"> new partnerships</w:t>
      </w:r>
      <w:r w:rsidRPr="00471447">
        <w:rPr>
          <w:rFonts w:ascii="Times New Roman" w:eastAsia="Cambria" w:hAnsi="Times New Roman" w:cs="Times New Roman"/>
          <w:kern w:val="22"/>
        </w:rPr>
        <w:t xml:space="preserve"> and</w:t>
      </w:r>
      <w:r w:rsidR="007721C7" w:rsidRPr="00471447">
        <w:rPr>
          <w:rFonts w:ascii="Times New Roman" w:eastAsia="Cambria" w:hAnsi="Times New Roman" w:cs="Times New Roman"/>
          <w:kern w:val="22"/>
        </w:rPr>
        <w:t xml:space="preserve"> sharing best practices from </w:t>
      </w:r>
      <w:r w:rsidRPr="00471447">
        <w:rPr>
          <w:rFonts w:ascii="Times New Roman" w:eastAsia="Cambria" w:hAnsi="Times New Roman" w:cs="Times New Roman"/>
          <w:kern w:val="22"/>
        </w:rPr>
        <w:t>the application of</w:t>
      </w:r>
      <w:r w:rsidR="007721C7" w:rsidRPr="00471447">
        <w:rPr>
          <w:rFonts w:ascii="Times New Roman" w:eastAsia="Cambria" w:hAnsi="Times New Roman" w:cs="Times New Roman"/>
          <w:kern w:val="22"/>
        </w:rPr>
        <w:t xml:space="preserve"> interdisciplinary projects</w:t>
      </w:r>
      <w:r w:rsidRPr="00471447">
        <w:rPr>
          <w:rFonts w:ascii="Times New Roman" w:eastAsia="Cambria" w:hAnsi="Times New Roman" w:cs="Times New Roman"/>
          <w:kern w:val="22"/>
        </w:rPr>
        <w:t xml:space="preserve"> 5) d</w:t>
      </w:r>
      <w:r w:rsidR="007721C7" w:rsidRPr="00471447">
        <w:rPr>
          <w:rFonts w:ascii="Times New Roman" w:eastAsia="Cambria" w:hAnsi="Times New Roman" w:cs="Times New Roman"/>
          <w:kern w:val="22"/>
        </w:rPr>
        <w:t>evelop</w:t>
      </w:r>
      <w:r w:rsidRPr="00471447">
        <w:rPr>
          <w:rFonts w:ascii="Times New Roman" w:eastAsia="Cambria" w:hAnsi="Times New Roman" w:cs="Times New Roman"/>
          <w:kern w:val="22"/>
        </w:rPr>
        <w:t>ing</w:t>
      </w:r>
      <w:r w:rsidR="007721C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tools </w:t>
      </w:r>
      <w:r w:rsidR="007721C7" w:rsidRPr="00471447">
        <w:rPr>
          <w:rFonts w:ascii="Times New Roman" w:eastAsia="Cambria" w:hAnsi="Times New Roman" w:cs="Times New Roman"/>
          <w:kern w:val="22"/>
        </w:rPr>
        <w:t>for the integration of data and analyses across disciplines: not just ecology and health but also spatial mapping, behavioral science, economics</w:t>
      </w:r>
      <w:r w:rsidRPr="00471447">
        <w:rPr>
          <w:rFonts w:ascii="Times New Roman" w:eastAsia="Cambria" w:hAnsi="Times New Roman" w:cs="Times New Roman"/>
          <w:kern w:val="22"/>
        </w:rPr>
        <w:t>, etc</w:t>
      </w:r>
      <w:r w:rsidR="007721C7"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p>
    <w:p w:rsidR="007721C7" w:rsidRPr="00471447" w:rsidRDefault="002241DB"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One participant noted that </w:t>
      </w:r>
      <w:r w:rsidR="00BA16A1" w:rsidRPr="00471447">
        <w:rPr>
          <w:rFonts w:ascii="Times New Roman" w:eastAsia="Cambria" w:hAnsi="Times New Roman" w:cs="Times New Roman"/>
          <w:kern w:val="22"/>
        </w:rPr>
        <w:t xml:space="preserve">from a public health perspective </w:t>
      </w:r>
      <w:r w:rsidRPr="00471447">
        <w:rPr>
          <w:rFonts w:ascii="Times New Roman" w:eastAsia="Cambria" w:hAnsi="Times New Roman" w:cs="Times New Roman"/>
          <w:kern w:val="22"/>
        </w:rPr>
        <w:t>these are</w:t>
      </w:r>
      <w:r w:rsidR="00BA16A1" w:rsidRPr="00471447">
        <w:rPr>
          <w:rFonts w:ascii="Times New Roman" w:eastAsia="Cambria" w:hAnsi="Times New Roman" w:cs="Times New Roman"/>
          <w:kern w:val="22"/>
        </w:rPr>
        <w:t xml:space="preserve"> especially relevant because it really emphasizes the notion of co-benefits rather than just presenting a review of health to protect the environment</w:t>
      </w:r>
      <w:r w:rsidRPr="00471447">
        <w:rPr>
          <w:rFonts w:ascii="Times New Roman" w:eastAsia="Cambria" w:hAnsi="Times New Roman" w:cs="Times New Roman"/>
          <w:kern w:val="22"/>
        </w:rPr>
        <w:t>.</w:t>
      </w:r>
      <w:r w:rsidR="007721C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Another noted that, within IPBES, multiple benefits were considered, not only monetary benefits (e.g. </w:t>
      </w:r>
      <w:r w:rsidRPr="00471447">
        <w:rPr>
          <w:rFonts w:ascii="Times New Roman" w:eastAsia="Cambria" w:hAnsi="Times New Roman" w:cs="Times New Roman"/>
          <w:kern w:val="22"/>
        </w:rPr>
        <w:t xml:space="preserve">value of indigenous and local knowledge, citizen science, etc. noting that it </w:t>
      </w:r>
      <w:r w:rsidRPr="00471447">
        <w:rPr>
          <w:rFonts w:ascii="Times New Roman" w:eastAsia="Cambria" w:hAnsi="Times New Roman" w:cs="Times New Roman"/>
          <w:kern w:val="22"/>
        </w:rPr>
        <w:lastRenderedPageBreak/>
        <w:t>could be useful to integrate these in evidence based approaches). It was noted that this also resonated with another point indicating that we should adopt a broader view of metrics.</w:t>
      </w:r>
    </w:p>
    <w:p w:rsidR="000003B3" w:rsidRPr="00471447" w:rsidRDefault="002241D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Another participant</w:t>
      </w:r>
      <w:r w:rsidR="003B5526" w:rsidRPr="00471447">
        <w:rPr>
          <w:rFonts w:ascii="Times New Roman" w:eastAsia="Cambria" w:hAnsi="Times New Roman" w:cs="Times New Roman"/>
          <w:kern w:val="22"/>
        </w:rPr>
        <w:t xml:space="preserve"> noted that the IUCN’s Red List for Ecosystems (</w:t>
      </w:r>
      <w:hyperlink r:id="rId31" w:history="1">
        <w:r w:rsidR="003B5526" w:rsidRPr="00471447">
          <w:rPr>
            <w:rStyle w:val="Hyperlink"/>
            <w:rFonts w:ascii="Times New Roman" w:eastAsia="Cambria" w:hAnsi="Times New Roman" w:cs="Times New Roman"/>
            <w:kern w:val="22"/>
          </w:rPr>
          <w:t>https://iucnrle.org/</w:t>
        </w:r>
      </w:hyperlink>
      <w:r w:rsidR="003B5526" w:rsidRPr="00471447">
        <w:rPr>
          <w:rFonts w:ascii="Times New Roman" w:eastAsia="Cambria" w:hAnsi="Times New Roman" w:cs="Times New Roman"/>
          <w:kern w:val="22"/>
        </w:rPr>
        <w:t>)  which is a recent a reference system for promoting good ecosystem management and ensuring ecosystem health</w:t>
      </w:r>
      <w:r w:rsidRPr="00471447">
        <w:rPr>
          <w:rFonts w:ascii="Times New Roman" w:eastAsia="Cambria" w:hAnsi="Times New Roman" w:cs="Times New Roman"/>
          <w:kern w:val="22"/>
        </w:rPr>
        <w:t xml:space="preserve"> may also be considered a useful tool</w:t>
      </w:r>
      <w:r w:rsidR="003B5526" w:rsidRPr="00471447">
        <w:rPr>
          <w:rFonts w:ascii="Times New Roman" w:eastAsia="Cambria" w:hAnsi="Times New Roman" w:cs="Times New Roman"/>
          <w:kern w:val="22"/>
        </w:rPr>
        <w:t>.</w:t>
      </w:r>
      <w:r w:rsidR="007721C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It was further </w:t>
      </w:r>
      <w:r w:rsidR="00E42235" w:rsidRPr="00471447">
        <w:rPr>
          <w:rFonts w:ascii="Times New Roman" w:eastAsia="Cambria" w:hAnsi="Times New Roman" w:cs="Times New Roman"/>
          <w:kern w:val="22"/>
        </w:rPr>
        <w:t xml:space="preserve">suggested that it would be useful to exchange </w:t>
      </w:r>
      <w:r w:rsidR="007721C7" w:rsidRPr="00471447">
        <w:rPr>
          <w:rFonts w:ascii="Times New Roman" w:eastAsia="Cambria" w:hAnsi="Times New Roman" w:cs="Times New Roman"/>
          <w:kern w:val="22"/>
        </w:rPr>
        <w:t xml:space="preserve">tools </w:t>
      </w:r>
      <w:r w:rsidR="00E42235" w:rsidRPr="00471447">
        <w:rPr>
          <w:rFonts w:ascii="Times New Roman" w:eastAsia="Cambria" w:hAnsi="Times New Roman" w:cs="Times New Roman"/>
          <w:kern w:val="22"/>
        </w:rPr>
        <w:t xml:space="preserve">developed </w:t>
      </w:r>
      <w:r w:rsidRPr="00471447">
        <w:rPr>
          <w:rFonts w:ascii="Times New Roman" w:eastAsia="Cambria" w:hAnsi="Times New Roman" w:cs="Times New Roman"/>
          <w:kern w:val="22"/>
        </w:rPr>
        <w:t>developed</w:t>
      </w:r>
      <w:r w:rsidR="00E42235" w:rsidRPr="00471447">
        <w:rPr>
          <w:rFonts w:ascii="Times New Roman" w:eastAsia="Cambria" w:hAnsi="Times New Roman" w:cs="Times New Roman"/>
          <w:kern w:val="22"/>
        </w:rPr>
        <w:t xml:space="preserve"> for national governments but also </w:t>
      </w:r>
      <w:r w:rsidRPr="00471447">
        <w:rPr>
          <w:rFonts w:ascii="Times New Roman" w:eastAsia="Cambria" w:hAnsi="Times New Roman" w:cs="Times New Roman"/>
          <w:kern w:val="22"/>
        </w:rPr>
        <w:t xml:space="preserve">to discuss </w:t>
      </w:r>
      <w:r w:rsidR="00E42235" w:rsidRPr="00471447">
        <w:rPr>
          <w:rFonts w:ascii="Times New Roman" w:eastAsia="Cambria" w:hAnsi="Times New Roman" w:cs="Times New Roman"/>
          <w:kern w:val="22"/>
        </w:rPr>
        <w:t xml:space="preserve">methodologies and tools that could contribute to </w:t>
      </w:r>
      <w:r w:rsidR="007721C7" w:rsidRPr="00471447">
        <w:rPr>
          <w:rFonts w:ascii="Times New Roman" w:eastAsia="Cambria" w:hAnsi="Times New Roman" w:cs="Times New Roman"/>
          <w:kern w:val="22"/>
        </w:rPr>
        <w:t>WHO</w:t>
      </w:r>
      <w:r w:rsidRPr="00471447">
        <w:rPr>
          <w:rFonts w:ascii="Times New Roman" w:eastAsia="Cambria" w:hAnsi="Times New Roman" w:cs="Times New Roman"/>
          <w:kern w:val="22"/>
        </w:rPr>
        <w:t>’s own</w:t>
      </w:r>
      <w:r w:rsidR="007721C7" w:rsidRPr="00471447">
        <w:rPr>
          <w:rFonts w:ascii="Times New Roman" w:eastAsia="Cambria" w:hAnsi="Times New Roman" w:cs="Times New Roman"/>
          <w:kern w:val="22"/>
        </w:rPr>
        <w:t xml:space="preserve"> assessments. </w:t>
      </w:r>
    </w:p>
    <w:p w:rsidR="0087466A" w:rsidRPr="00471447" w:rsidRDefault="0087466A"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Mr.</w:t>
      </w:r>
      <w:r w:rsidR="008E37A2" w:rsidRPr="00471447">
        <w:rPr>
          <w:rFonts w:ascii="Times New Roman" w:eastAsia="Cambria" w:hAnsi="Times New Roman" w:cs="Times New Roman"/>
          <w:kern w:val="22"/>
        </w:rPr>
        <w:t xml:space="preserve"> Timothy Bouley</w:t>
      </w:r>
      <w:r w:rsidRPr="00471447">
        <w:rPr>
          <w:rFonts w:ascii="Times New Roman" w:eastAsia="Cambria" w:hAnsi="Times New Roman" w:cs="Times New Roman"/>
          <w:kern w:val="22"/>
        </w:rPr>
        <w:t xml:space="preserve">, climate and health specialist </w:t>
      </w:r>
      <w:r w:rsidR="008E37A2" w:rsidRPr="00471447">
        <w:rPr>
          <w:rFonts w:ascii="Times New Roman" w:eastAsia="Cambria" w:hAnsi="Times New Roman" w:cs="Times New Roman"/>
          <w:kern w:val="22"/>
        </w:rPr>
        <w:t>of the World Bank</w:t>
      </w:r>
      <w:r w:rsidRPr="00471447">
        <w:rPr>
          <w:rFonts w:ascii="Times New Roman" w:eastAsia="Cambria" w:hAnsi="Times New Roman" w:cs="Times New Roman"/>
          <w:kern w:val="22"/>
        </w:rPr>
        <w:t>,</w:t>
      </w:r>
      <w:r w:rsidR="008E37A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presented some of the World Bank’s recent activities that are of particular relevance to the ILG</w:t>
      </w:r>
      <w:r w:rsidR="002241DB" w:rsidRPr="00471447">
        <w:rPr>
          <w:rFonts w:ascii="Times New Roman" w:eastAsia="Cambria" w:hAnsi="Times New Roman" w:cs="Times New Roman"/>
          <w:kern w:val="22"/>
        </w:rPr>
        <w:t xml:space="preserve"> (joining via teleconference)</w:t>
      </w:r>
      <w:r w:rsidRPr="00471447">
        <w:rPr>
          <w:rFonts w:ascii="Times New Roman" w:eastAsia="Cambria" w:hAnsi="Times New Roman" w:cs="Times New Roman"/>
          <w:kern w:val="22"/>
        </w:rPr>
        <w:t xml:space="preserve">. In particular, he noted three focus areas: </w:t>
      </w:r>
      <w:r w:rsidR="002241DB" w:rsidRPr="00471447">
        <w:rPr>
          <w:rFonts w:ascii="Times New Roman" w:eastAsia="Cambria" w:hAnsi="Times New Roman" w:cs="Times New Roman"/>
          <w:kern w:val="22"/>
        </w:rPr>
        <w:t xml:space="preserve"> (1) </w:t>
      </w:r>
      <w:r w:rsidRPr="00471447">
        <w:rPr>
          <w:rFonts w:ascii="Times New Roman" w:eastAsia="Cambria" w:hAnsi="Times New Roman" w:cs="Times New Roman"/>
          <w:kern w:val="22"/>
        </w:rPr>
        <w:t>The pollution and health initiatives being led by the World Bank</w:t>
      </w:r>
      <w:r w:rsidR="003B5526" w:rsidRPr="00471447">
        <w:rPr>
          <w:rFonts w:ascii="Times New Roman" w:eastAsia="Cambria" w:hAnsi="Times New Roman" w:cs="Times New Roman"/>
          <w:kern w:val="22"/>
        </w:rPr>
        <w:t>’s</w:t>
      </w:r>
      <w:r w:rsidRPr="00471447">
        <w:rPr>
          <w:rFonts w:ascii="Times New Roman" w:eastAsia="Cambria" w:hAnsi="Times New Roman" w:cs="Times New Roman"/>
          <w:kern w:val="22"/>
        </w:rPr>
        <w:t xml:space="preserve"> Environment and Natural Resources Global Practice</w:t>
      </w:r>
      <w:r w:rsidR="002241DB" w:rsidRPr="00471447">
        <w:rPr>
          <w:rFonts w:ascii="Times New Roman" w:eastAsia="Cambria" w:hAnsi="Times New Roman" w:cs="Times New Roman"/>
          <w:kern w:val="22"/>
        </w:rPr>
        <w:t xml:space="preserve"> (2) </w:t>
      </w:r>
      <w:r w:rsidR="00634ECF" w:rsidRPr="00471447">
        <w:rPr>
          <w:rFonts w:ascii="Times New Roman" w:eastAsia="Cambria" w:hAnsi="Times New Roman" w:cs="Times New Roman"/>
          <w:kern w:val="22"/>
        </w:rPr>
        <w:t xml:space="preserve">“Operational Framework for Strengthening Public Health Systems at the Human-Animal-Environment Interface”, </w:t>
      </w:r>
      <w:r w:rsidRPr="00471447">
        <w:rPr>
          <w:rFonts w:ascii="Times New Roman" w:eastAsia="Cambria" w:hAnsi="Times New Roman" w:cs="Times New Roman"/>
          <w:kern w:val="22"/>
        </w:rPr>
        <w:t xml:space="preserve">intended for Bank operational teams and country use </w:t>
      </w:r>
      <w:r w:rsidR="002241DB" w:rsidRPr="00471447">
        <w:rPr>
          <w:rFonts w:ascii="Times New Roman" w:eastAsia="Cambria" w:hAnsi="Times New Roman" w:cs="Times New Roman"/>
          <w:kern w:val="22"/>
        </w:rPr>
        <w:t xml:space="preserve">(3) </w:t>
      </w:r>
      <w:r w:rsidRPr="00471447">
        <w:rPr>
          <w:rFonts w:ascii="Times New Roman" w:eastAsia="Cambria" w:hAnsi="Times New Roman" w:cs="Times New Roman"/>
          <w:kern w:val="22"/>
        </w:rPr>
        <w:t>National environmental health capacity assessment tool under development to assist countries in managi</w:t>
      </w:r>
      <w:r w:rsidR="005C5F52" w:rsidRPr="00471447">
        <w:rPr>
          <w:rFonts w:ascii="Times New Roman" w:eastAsia="Cambria" w:hAnsi="Times New Roman" w:cs="Times New Roman"/>
          <w:kern w:val="22"/>
        </w:rPr>
        <w:t>ng environmental health threats.</w:t>
      </w:r>
    </w:p>
    <w:p w:rsidR="008E37A2" w:rsidRPr="00471447" w:rsidRDefault="005C5F52"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Mr. Bouley</w:t>
      </w:r>
      <w:r w:rsidR="0087466A" w:rsidRPr="00471447">
        <w:rPr>
          <w:rFonts w:ascii="Times New Roman" w:eastAsia="Cambria" w:hAnsi="Times New Roman" w:cs="Times New Roman"/>
          <w:kern w:val="22"/>
        </w:rPr>
        <w:t xml:space="preserve"> noted that the last two are being developed in partnership with colleagues from EcoHealth Alliance and </w:t>
      </w:r>
      <w:r w:rsidR="00634ECF" w:rsidRPr="00471447">
        <w:rPr>
          <w:rFonts w:ascii="Times New Roman" w:eastAsia="Cambria" w:hAnsi="Times New Roman" w:cs="Times New Roman"/>
          <w:kern w:val="22"/>
        </w:rPr>
        <w:t>other partners to</w:t>
      </w:r>
      <w:r w:rsidR="0087466A" w:rsidRPr="00471447">
        <w:rPr>
          <w:rFonts w:ascii="Times New Roman" w:eastAsia="Cambria" w:hAnsi="Times New Roman" w:cs="Times New Roman"/>
          <w:kern w:val="22"/>
        </w:rPr>
        <w:t xml:space="preserve"> addres</w:t>
      </w:r>
      <w:r w:rsidR="00634ECF" w:rsidRPr="00471447">
        <w:rPr>
          <w:rFonts w:ascii="Times New Roman" w:eastAsia="Cambria" w:hAnsi="Times New Roman" w:cs="Times New Roman"/>
          <w:kern w:val="22"/>
        </w:rPr>
        <w:t>s</w:t>
      </w:r>
      <w:r w:rsidR="0087466A" w:rsidRPr="00471447">
        <w:rPr>
          <w:rFonts w:ascii="Times New Roman" w:eastAsia="Cambria" w:hAnsi="Times New Roman" w:cs="Times New Roman"/>
          <w:kern w:val="22"/>
        </w:rPr>
        <w:t xml:space="preserve"> underlying drivers of disease and pressures on ecosystems. Mr. Bouley noted that </w:t>
      </w:r>
      <w:r w:rsidR="00634ECF" w:rsidRPr="00471447">
        <w:rPr>
          <w:rFonts w:ascii="Times New Roman" w:eastAsia="Cambria" w:hAnsi="Times New Roman" w:cs="Times New Roman"/>
          <w:kern w:val="22"/>
        </w:rPr>
        <w:t xml:space="preserve">the One Health Operational Framework </w:t>
      </w:r>
      <w:r w:rsidR="008E37A2" w:rsidRPr="00471447">
        <w:rPr>
          <w:rFonts w:ascii="Times New Roman" w:eastAsia="Cambria" w:hAnsi="Times New Roman" w:cs="Times New Roman"/>
          <w:kern w:val="22"/>
        </w:rPr>
        <w:t xml:space="preserve"> provides an overview of planning, implementation, and monitoring tools, standards, and best practices that can assist countries and development institutions in operation</w:t>
      </w:r>
      <w:r w:rsidR="0087466A" w:rsidRPr="00471447">
        <w:rPr>
          <w:rFonts w:ascii="Times New Roman" w:eastAsia="Cambria" w:hAnsi="Times New Roman" w:cs="Times New Roman"/>
          <w:kern w:val="22"/>
        </w:rPr>
        <w:t>alizing One Health approaches</w:t>
      </w:r>
      <w:r w:rsidR="00922D37" w:rsidRPr="00471447">
        <w:rPr>
          <w:rFonts w:ascii="Times New Roman" w:eastAsia="Cambria" w:hAnsi="Times New Roman" w:cs="Times New Roman"/>
          <w:kern w:val="22"/>
        </w:rPr>
        <w:t>;</w:t>
      </w:r>
      <w:r w:rsidR="0087466A" w:rsidRPr="00471447">
        <w:rPr>
          <w:rFonts w:ascii="Times New Roman" w:eastAsia="Cambria" w:hAnsi="Times New Roman" w:cs="Times New Roman"/>
          <w:kern w:val="22"/>
        </w:rPr>
        <w:t xml:space="preserve"> the tool</w:t>
      </w:r>
      <w:r w:rsidR="008E37A2" w:rsidRPr="00471447">
        <w:rPr>
          <w:rFonts w:ascii="Times New Roman" w:eastAsia="Cambria" w:hAnsi="Times New Roman" w:cs="Times New Roman"/>
          <w:kern w:val="22"/>
        </w:rPr>
        <w:t xml:space="preserve"> identifies the need for enhanced inclusion of the environment sector in assessing and managing threats</w:t>
      </w:r>
      <w:r w:rsidR="00922D37" w:rsidRPr="00471447">
        <w:rPr>
          <w:rFonts w:ascii="Times New Roman" w:eastAsia="Cambria" w:hAnsi="Times New Roman" w:cs="Times New Roman"/>
          <w:kern w:val="22"/>
        </w:rPr>
        <w:t xml:space="preserve"> and</w:t>
      </w:r>
      <w:r w:rsidR="0087466A" w:rsidRPr="00471447">
        <w:rPr>
          <w:rFonts w:ascii="Times New Roman" w:eastAsia="Cambria" w:hAnsi="Times New Roman" w:cs="Times New Roman"/>
          <w:kern w:val="22"/>
        </w:rPr>
        <w:t xml:space="preserve"> reflects input </w:t>
      </w:r>
      <w:r w:rsidR="00922D37" w:rsidRPr="00471447">
        <w:rPr>
          <w:rFonts w:ascii="Times New Roman" w:eastAsia="Cambria" w:hAnsi="Times New Roman" w:cs="Times New Roman"/>
          <w:kern w:val="22"/>
        </w:rPr>
        <w:t>from</w:t>
      </w:r>
      <w:r w:rsidR="0087466A" w:rsidRPr="00471447">
        <w:rPr>
          <w:rFonts w:ascii="Times New Roman" w:eastAsia="Cambria" w:hAnsi="Times New Roman" w:cs="Times New Roman"/>
          <w:kern w:val="22"/>
        </w:rPr>
        <w:t xml:space="preserve"> </w:t>
      </w:r>
      <w:r w:rsidR="00634ECF" w:rsidRPr="00471447">
        <w:rPr>
          <w:rFonts w:ascii="Times New Roman" w:eastAsia="Cambria" w:hAnsi="Times New Roman" w:cs="Times New Roman"/>
          <w:kern w:val="22"/>
        </w:rPr>
        <w:t xml:space="preserve">several members of the ILG </w:t>
      </w:r>
      <w:r w:rsidR="008E37A2" w:rsidRPr="00471447">
        <w:rPr>
          <w:rFonts w:ascii="Times New Roman" w:eastAsia="Cambria" w:hAnsi="Times New Roman" w:cs="Times New Roman"/>
          <w:kern w:val="22"/>
        </w:rPr>
        <w:t>.</w:t>
      </w:r>
    </w:p>
    <w:p w:rsidR="007524B5" w:rsidRPr="00471447" w:rsidRDefault="00634EC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Bouley also </w:t>
      </w:r>
      <w:r w:rsidR="0087466A" w:rsidRPr="00471447">
        <w:rPr>
          <w:rFonts w:ascii="Times New Roman" w:eastAsia="Cambria" w:hAnsi="Times New Roman" w:cs="Times New Roman"/>
          <w:kern w:val="22"/>
        </w:rPr>
        <w:t xml:space="preserve">noted that </w:t>
      </w:r>
      <w:r w:rsidR="008E37A2" w:rsidRPr="00471447">
        <w:rPr>
          <w:rFonts w:ascii="Times New Roman" w:eastAsia="Cambria" w:hAnsi="Times New Roman" w:cs="Times New Roman"/>
          <w:kern w:val="22"/>
        </w:rPr>
        <w:t>limited capacity and scope for assessment of environmental health services leaves countries vulnerable to risks at the human-animal-e</w:t>
      </w:r>
      <w:r w:rsidR="0087466A" w:rsidRPr="00471447">
        <w:rPr>
          <w:rFonts w:ascii="Times New Roman" w:eastAsia="Cambria" w:hAnsi="Times New Roman" w:cs="Times New Roman"/>
          <w:kern w:val="22"/>
        </w:rPr>
        <w:t>cosystem</w:t>
      </w:r>
      <w:r w:rsidR="008E37A2" w:rsidRPr="00471447">
        <w:rPr>
          <w:rFonts w:ascii="Times New Roman" w:eastAsia="Cambria" w:hAnsi="Times New Roman" w:cs="Times New Roman"/>
          <w:kern w:val="22"/>
        </w:rPr>
        <w:t xml:space="preserve"> interfaces, contributing to reactive responses to ecosystem degradation and resulting health consequences. </w:t>
      </w:r>
      <w:r w:rsidRPr="00471447">
        <w:rPr>
          <w:rFonts w:ascii="Times New Roman" w:eastAsia="Cambria" w:hAnsi="Times New Roman" w:cs="Times New Roman"/>
          <w:kern w:val="22"/>
        </w:rPr>
        <w:t>R</w:t>
      </w:r>
      <w:r w:rsidR="008E37A2" w:rsidRPr="00471447">
        <w:rPr>
          <w:rFonts w:ascii="Times New Roman" w:eastAsia="Cambria" w:hAnsi="Times New Roman" w:cs="Times New Roman"/>
          <w:kern w:val="22"/>
        </w:rPr>
        <w:t xml:space="preserve">efining, assessing, and strengthening capacities for national environmental health services can support </w:t>
      </w:r>
      <w:r w:rsidRPr="00471447">
        <w:rPr>
          <w:rFonts w:ascii="Times New Roman" w:eastAsia="Cambria" w:hAnsi="Times New Roman" w:cs="Times New Roman"/>
          <w:kern w:val="22"/>
        </w:rPr>
        <w:t xml:space="preserve">governments </w:t>
      </w:r>
      <w:r w:rsidR="008E37A2" w:rsidRPr="00471447">
        <w:rPr>
          <w:rFonts w:ascii="Times New Roman" w:eastAsia="Cambria" w:hAnsi="Times New Roman" w:cs="Times New Roman"/>
          <w:kern w:val="22"/>
        </w:rPr>
        <w:t>in optimizing risk management strategies, including informing preventative approaches that target drivers of disease emergence and biodiversity loss.</w:t>
      </w:r>
      <w:r w:rsidRPr="00471447">
        <w:rPr>
          <w:rFonts w:ascii="Times New Roman" w:eastAsia="Cambria" w:hAnsi="Times New Roman" w:cs="Times New Roman"/>
          <w:kern w:val="22"/>
        </w:rPr>
        <w:t xml:space="preserve"> </w:t>
      </w:r>
      <w:r w:rsidR="003B5526" w:rsidRPr="00471447">
        <w:rPr>
          <w:rFonts w:ascii="Times New Roman" w:eastAsia="Cambria" w:hAnsi="Times New Roman" w:cs="Times New Roman"/>
          <w:kern w:val="22"/>
        </w:rPr>
        <w:t xml:space="preserve">It was noted that some of these tools could help to support the work of the ILG and the implementation of decision XIII/6 and could also be considered in the development of guidance for the integration of biodiversity and ecosystem management in One Health </w:t>
      </w:r>
      <w:r w:rsidRPr="00471447">
        <w:rPr>
          <w:rFonts w:ascii="Times New Roman" w:eastAsia="Cambria" w:hAnsi="Times New Roman" w:cs="Times New Roman"/>
          <w:kern w:val="22"/>
        </w:rPr>
        <w:t>that was being prepared by the Secretariat</w:t>
      </w:r>
      <w:r w:rsidR="003B5526" w:rsidRPr="00471447">
        <w:rPr>
          <w:rFonts w:ascii="Times New Roman" w:eastAsia="Cambria" w:hAnsi="Times New Roman" w:cs="Times New Roman"/>
          <w:kern w:val="22"/>
        </w:rPr>
        <w:t>.</w:t>
      </w:r>
    </w:p>
    <w:p w:rsidR="007524B5" w:rsidRPr="00471447" w:rsidRDefault="007524B5" w:rsidP="00471447">
      <w:pPr>
        <w:pStyle w:val="HEADINGNOTFORTOC"/>
        <w:spacing w:before="120" w:after="120"/>
        <w:rPr>
          <w:kern w:val="22"/>
          <w:szCs w:val="22"/>
        </w:rPr>
      </w:pPr>
      <w:r w:rsidRPr="00471447">
        <w:rPr>
          <w:kern w:val="22"/>
          <w:szCs w:val="22"/>
        </w:rPr>
        <w:t>Item 9: Ways forward: Areas of cooperation among the members of the ILG to support the implementation of decision XIII/6</w:t>
      </w:r>
    </w:p>
    <w:p w:rsidR="007524B5" w:rsidRPr="00471447" w:rsidRDefault="007524B5"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Following presentations by expert observers some experts were invited to initiate discussion on activities and ways to strengthen collaboration among ILG members in each of the following areas and all participants of the ILG were encouraged to contribute to this work:</w:t>
      </w:r>
    </w:p>
    <w:p w:rsidR="007524B5" w:rsidRPr="00471447" w:rsidRDefault="007524B5" w:rsidP="00471447">
      <w:pPr>
        <w:pStyle w:val="ListParagraph"/>
        <w:numPr>
          <w:ilvl w:val="1"/>
          <w:numId w:val="31"/>
        </w:numPr>
        <w:spacing w:before="120" w:after="120"/>
        <w:ind w:left="-90" w:firstLine="720"/>
        <w:jc w:val="both"/>
        <w:rPr>
          <w:rFonts w:ascii="Times New Roman" w:eastAsia="Cambria" w:hAnsi="Times New Roman" w:cs="Times New Roman"/>
          <w:kern w:val="22"/>
        </w:rPr>
      </w:pPr>
      <w:r w:rsidRPr="00471447">
        <w:rPr>
          <w:rFonts w:ascii="Times New Roman" w:eastAsia="Cambria" w:hAnsi="Times New Roman" w:cs="Times New Roman"/>
          <w:kern w:val="22"/>
        </w:rPr>
        <w:t>Capacity-building</w:t>
      </w:r>
    </w:p>
    <w:p w:rsidR="007524B5" w:rsidRPr="00471447" w:rsidRDefault="007524B5" w:rsidP="00471447">
      <w:pPr>
        <w:pStyle w:val="ListParagraph"/>
        <w:numPr>
          <w:ilvl w:val="1"/>
          <w:numId w:val="31"/>
        </w:numPr>
        <w:spacing w:before="120" w:after="120"/>
        <w:ind w:left="-90" w:firstLine="720"/>
        <w:jc w:val="both"/>
        <w:rPr>
          <w:rFonts w:ascii="Times New Roman" w:eastAsia="Cambria" w:hAnsi="Times New Roman" w:cs="Times New Roman"/>
          <w:kern w:val="22"/>
        </w:rPr>
      </w:pPr>
      <w:r w:rsidRPr="00471447">
        <w:rPr>
          <w:rFonts w:ascii="Times New Roman" w:eastAsia="Cambria" w:hAnsi="Times New Roman" w:cs="Times New Roman"/>
          <w:kern w:val="22"/>
        </w:rPr>
        <w:t>Datasets</w:t>
      </w:r>
      <w:r w:rsidR="00C322CD" w:rsidRPr="00471447">
        <w:rPr>
          <w:rFonts w:ascii="Times New Roman" w:eastAsia="Cambria" w:hAnsi="Times New Roman" w:cs="Times New Roman"/>
          <w:kern w:val="22"/>
        </w:rPr>
        <w:t>, metrics</w:t>
      </w:r>
      <w:r w:rsidRPr="00471447">
        <w:rPr>
          <w:rFonts w:ascii="Times New Roman" w:eastAsia="Cambria" w:hAnsi="Times New Roman" w:cs="Times New Roman"/>
          <w:kern w:val="22"/>
        </w:rPr>
        <w:t xml:space="preserve"> and indicators </w:t>
      </w:r>
    </w:p>
    <w:p w:rsidR="007524B5" w:rsidRPr="00471447" w:rsidRDefault="008B7577" w:rsidP="00471447">
      <w:pPr>
        <w:pStyle w:val="ListParagraph"/>
        <w:numPr>
          <w:ilvl w:val="1"/>
          <w:numId w:val="31"/>
        </w:numPr>
        <w:spacing w:before="120" w:after="120"/>
        <w:ind w:left="-9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Research gaps, case studies and </w:t>
      </w:r>
      <w:r w:rsidR="007524B5" w:rsidRPr="00471447">
        <w:rPr>
          <w:rFonts w:ascii="Times New Roman" w:eastAsia="Cambria" w:hAnsi="Times New Roman" w:cs="Times New Roman"/>
          <w:kern w:val="22"/>
        </w:rPr>
        <w:t xml:space="preserve">best practices </w:t>
      </w:r>
    </w:p>
    <w:p w:rsidR="007524B5" w:rsidRPr="00471447" w:rsidRDefault="008B7577" w:rsidP="00471447">
      <w:pPr>
        <w:pStyle w:val="ListParagraph"/>
        <w:numPr>
          <w:ilvl w:val="1"/>
          <w:numId w:val="31"/>
        </w:numPr>
        <w:spacing w:before="120" w:after="120"/>
        <w:ind w:left="-90" w:firstLine="720"/>
        <w:jc w:val="both"/>
        <w:rPr>
          <w:rFonts w:ascii="Times New Roman" w:eastAsia="Cambria" w:hAnsi="Times New Roman" w:cs="Times New Roman"/>
          <w:kern w:val="22"/>
        </w:rPr>
      </w:pPr>
      <w:r w:rsidRPr="00471447">
        <w:rPr>
          <w:rFonts w:ascii="Times New Roman" w:eastAsia="Cambria" w:hAnsi="Times New Roman" w:cs="Times New Roman"/>
          <w:kern w:val="22"/>
        </w:rPr>
        <w:t>Communication, a</w:t>
      </w:r>
      <w:r w:rsidR="007524B5" w:rsidRPr="00471447">
        <w:rPr>
          <w:rFonts w:ascii="Times New Roman" w:eastAsia="Cambria" w:hAnsi="Times New Roman" w:cs="Times New Roman"/>
          <w:kern w:val="22"/>
        </w:rPr>
        <w:t>wareness-raising and advocacy</w:t>
      </w:r>
    </w:p>
    <w:p w:rsidR="00495695" w:rsidRPr="00471447" w:rsidRDefault="007524B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Building on experience in the regional capacity building workshops on biodiversity and health in the Americas and Africa regions, co-convened by CBD-WHO in collaboration with other partners, </w:t>
      </w:r>
      <w:r w:rsidR="00495695" w:rsidRPr="00471447">
        <w:rPr>
          <w:rFonts w:ascii="Times New Roman" w:eastAsia="Cambria" w:hAnsi="Times New Roman" w:cs="Times New Roman"/>
          <w:kern w:val="22"/>
        </w:rPr>
        <w:t>M</w:t>
      </w:r>
      <w:r w:rsidRPr="00471447">
        <w:rPr>
          <w:rFonts w:ascii="Times New Roman" w:eastAsia="Cambria" w:hAnsi="Times New Roman" w:cs="Times New Roman"/>
          <w:kern w:val="22"/>
        </w:rPr>
        <w:t>r. Carlos Corvalan</w:t>
      </w:r>
      <w:r w:rsidR="00634ECF" w:rsidRPr="00471447">
        <w:rPr>
          <w:rFonts w:ascii="Times New Roman" w:eastAsia="Cambria" w:hAnsi="Times New Roman" w:cs="Times New Roman"/>
          <w:kern w:val="22"/>
        </w:rPr>
        <w:t xml:space="preserve"> (University of Canberra)</w:t>
      </w:r>
      <w:r w:rsidRPr="00471447">
        <w:rPr>
          <w:rFonts w:ascii="Times New Roman" w:eastAsia="Cambria" w:hAnsi="Times New Roman" w:cs="Times New Roman"/>
          <w:kern w:val="22"/>
        </w:rPr>
        <w:t xml:space="preserve"> was invited to introduce the item on capacity-building to engage participants in broader discussion</w:t>
      </w:r>
      <w:r w:rsidR="00AF18A9" w:rsidRPr="00471447">
        <w:rPr>
          <w:rFonts w:ascii="Times New Roman" w:eastAsia="Cambria" w:hAnsi="Times New Roman" w:cs="Times New Roman"/>
          <w:kern w:val="22"/>
        </w:rPr>
        <w:t xml:space="preserve"> on possible collaboration for capacity development, and promoting collaboration at the </w:t>
      </w:r>
      <w:r w:rsidR="00495695" w:rsidRPr="00471447">
        <w:rPr>
          <w:rFonts w:ascii="Times New Roman" w:eastAsia="Cambria" w:hAnsi="Times New Roman" w:cs="Times New Roman"/>
          <w:kern w:val="22"/>
        </w:rPr>
        <w:t xml:space="preserve">local, </w:t>
      </w:r>
      <w:r w:rsidR="00AF18A9" w:rsidRPr="00471447">
        <w:rPr>
          <w:rFonts w:ascii="Times New Roman" w:eastAsia="Cambria" w:hAnsi="Times New Roman" w:cs="Times New Roman"/>
          <w:kern w:val="22"/>
        </w:rPr>
        <w:t xml:space="preserve">national </w:t>
      </w:r>
      <w:r w:rsidR="00495695" w:rsidRPr="00471447">
        <w:rPr>
          <w:rFonts w:ascii="Times New Roman" w:eastAsia="Cambria" w:hAnsi="Times New Roman" w:cs="Times New Roman"/>
          <w:kern w:val="22"/>
        </w:rPr>
        <w:t>and international</w:t>
      </w:r>
      <w:r w:rsidRPr="00471447">
        <w:rPr>
          <w:rFonts w:ascii="Times New Roman" w:eastAsia="Cambria" w:hAnsi="Times New Roman" w:cs="Times New Roman"/>
          <w:kern w:val="22"/>
        </w:rPr>
        <w:t xml:space="preserve"> </w:t>
      </w:r>
      <w:r w:rsidR="00AF18A9" w:rsidRPr="00471447">
        <w:rPr>
          <w:rFonts w:ascii="Times New Roman" w:eastAsia="Cambria" w:hAnsi="Times New Roman" w:cs="Times New Roman"/>
          <w:kern w:val="22"/>
        </w:rPr>
        <w:t>level</w:t>
      </w:r>
      <w:r w:rsidRPr="00471447">
        <w:rPr>
          <w:rFonts w:ascii="Times New Roman" w:eastAsia="Cambria" w:hAnsi="Times New Roman" w:cs="Times New Roman"/>
          <w:kern w:val="22"/>
        </w:rPr>
        <w:t>s.</w:t>
      </w:r>
      <w:r w:rsidR="00AF18A9" w:rsidRPr="00471447">
        <w:rPr>
          <w:rFonts w:ascii="Times New Roman" w:eastAsia="Cambria" w:hAnsi="Times New Roman" w:cs="Times New Roman"/>
          <w:kern w:val="22"/>
        </w:rPr>
        <w:t xml:space="preserve"> </w:t>
      </w:r>
      <w:r w:rsidR="00495695" w:rsidRPr="00471447">
        <w:rPr>
          <w:rFonts w:ascii="Times New Roman" w:eastAsia="Cambria" w:hAnsi="Times New Roman" w:cs="Times New Roman"/>
          <w:kern w:val="22"/>
        </w:rPr>
        <w:t xml:space="preserve">He noted that capacity-building is very closely related to the other themes, including indicators, best practices and better understanding research gaps and core messages under this theme could center around the ability to strengthen the ability to develop new values, build new partnerships and to work together. </w:t>
      </w:r>
    </w:p>
    <w:p w:rsidR="001C7C05" w:rsidRPr="00471447" w:rsidRDefault="001C7C05" w:rsidP="00471447">
      <w:pPr>
        <w:pStyle w:val="ListParagraph"/>
        <w:keepNext/>
        <w:spacing w:before="120" w:after="120"/>
        <w:ind w:left="72"/>
        <w:jc w:val="center"/>
        <w:rPr>
          <w:rFonts w:ascii="Times New Roman" w:eastAsia="Cambria" w:hAnsi="Times New Roman" w:cs="Times New Roman"/>
          <w:b/>
          <w:color w:val="auto"/>
          <w:kern w:val="22"/>
        </w:rPr>
      </w:pPr>
      <w:r w:rsidRPr="00471447">
        <w:rPr>
          <w:rFonts w:ascii="Times New Roman" w:eastAsia="Cambria" w:hAnsi="Times New Roman" w:cs="Times New Roman"/>
          <w:b/>
          <w:color w:val="auto"/>
          <w:kern w:val="22"/>
        </w:rPr>
        <w:lastRenderedPageBreak/>
        <w:t>Theme A) Capacity-Building</w:t>
      </w:r>
    </w:p>
    <w:p w:rsidR="00495695" w:rsidRPr="00471447" w:rsidRDefault="0049569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Dr. Corvalan indicated that the CBD already has clear boundaries for capacity-building, including in the context of development of national biodiversity strategies and action plans, that date back to the eighth and ninth Conferences of the Parties (COP) </w:t>
      </w:r>
      <w:r w:rsidR="00634ECF" w:rsidRPr="00471447">
        <w:rPr>
          <w:rFonts w:ascii="Times New Roman" w:eastAsia="Cambria" w:hAnsi="Times New Roman" w:cs="Times New Roman"/>
          <w:kern w:val="22"/>
        </w:rPr>
        <w:t xml:space="preserve">notably </w:t>
      </w:r>
      <w:r w:rsidRPr="00471447">
        <w:rPr>
          <w:rFonts w:ascii="Times New Roman" w:eastAsia="Cambria" w:hAnsi="Times New Roman" w:cs="Times New Roman"/>
          <w:kern w:val="22"/>
        </w:rPr>
        <w:t>includ</w:t>
      </w:r>
      <w:r w:rsidR="00634ECF" w:rsidRPr="00471447">
        <w:rPr>
          <w:rFonts w:ascii="Times New Roman" w:eastAsia="Cambria" w:hAnsi="Times New Roman" w:cs="Times New Roman"/>
          <w:kern w:val="22"/>
        </w:rPr>
        <w:t xml:space="preserve">ing </w:t>
      </w:r>
      <w:r w:rsidRPr="00471447">
        <w:rPr>
          <w:rFonts w:ascii="Times New Roman" w:eastAsia="Cambria" w:hAnsi="Times New Roman" w:cs="Times New Roman"/>
          <w:kern w:val="22"/>
        </w:rPr>
        <w:t>COP decisions VIII/8, IX/8 which refer to the ecosystem approach, highlight the contribution of biodiversity and ecosystem services to poverty eradication, national development and human health and well-being and making use of the methodologies and conceptual framework arising from the Millennium Ecosystem Assessment. Such decisions also emphasize that increased knowledge on biodiversity and ecosystem services and its application constitute an important tool for communicating and mainstreaming biodiversity including across sectors. The COP13 decision on health and biodiversity (XIII/6) provides a timely opportunity to refocus these decisions in the context of framing capacity development and multidisciplinarity and also framing in line with these earlier decisions on the ecosystem approach and in terms of the development of education, training and research programs to build capacity on the linkages between biodiversity and health, potentially making a very clear and effective mandate to support implementation.</w:t>
      </w:r>
      <w:r w:rsidR="00C13531" w:rsidRPr="00471447">
        <w:rPr>
          <w:rFonts w:ascii="Times New Roman" w:eastAsia="Cambria" w:hAnsi="Times New Roman" w:cs="Times New Roman"/>
          <w:kern w:val="22"/>
        </w:rPr>
        <w:t xml:space="preserve"> O</w:t>
      </w:r>
      <w:r w:rsidRPr="00471447">
        <w:rPr>
          <w:rFonts w:ascii="Times New Roman" w:eastAsia="Cambria" w:hAnsi="Times New Roman" w:cs="Times New Roman"/>
          <w:kern w:val="22"/>
        </w:rPr>
        <w:t>pportunit</w:t>
      </w:r>
      <w:r w:rsidR="00C13531" w:rsidRPr="00471447">
        <w:rPr>
          <w:rFonts w:ascii="Times New Roman" w:eastAsia="Cambria" w:hAnsi="Times New Roman" w:cs="Times New Roman"/>
          <w:kern w:val="22"/>
        </w:rPr>
        <w:t>ies</w:t>
      </w:r>
      <w:r w:rsidRPr="00471447">
        <w:rPr>
          <w:rFonts w:ascii="Times New Roman" w:eastAsia="Cambria" w:hAnsi="Times New Roman" w:cs="Times New Roman"/>
          <w:kern w:val="22"/>
        </w:rPr>
        <w:t xml:space="preserve"> to strengthen implementation through participatory planning, knowledge management and capacity building</w:t>
      </w:r>
      <w:r w:rsidR="00C13531" w:rsidRPr="00471447">
        <w:rPr>
          <w:rFonts w:ascii="Times New Roman" w:eastAsia="Cambria" w:hAnsi="Times New Roman" w:cs="Times New Roman"/>
          <w:kern w:val="22"/>
        </w:rPr>
        <w:t>, including to support mainstreaming and the implementation of the Strategic Plan for Biodiversity 2011-2020 were also emphasized</w:t>
      </w:r>
      <w:r w:rsidRPr="00471447">
        <w:rPr>
          <w:rFonts w:ascii="Times New Roman" w:eastAsia="Cambria" w:hAnsi="Times New Roman" w:cs="Times New Roman"/>
          <w:kern w:val="22"/>
        </w:rPr>
        <w:t xml:space="preserve">. </w:t>
      </w:r>
      <w:r w:rsidR="00C13531" w:rsidRPr="00471447">
        <w:rPr>
          <w:rFonts w:ascii="Times New Roman" w:eastAsia="Cambria" w:hAnsi="Times New Roman" w:cs="Times New Roman"/>
          <w:kern w:val="22"/>
        </w:rPr>
        <w:t>Mr. Corvalan</w:t>
      </w:r>
      <w:r w:rsidRPr="00471447">
        <w:rPr>
          <w:rFonts w:ascii="Times New Roman" w:eastAsia="Cambria" w:hAnsi="Times New Roman" w:cs="Times New Roman"/>
          <w:kern w:val="22"/>
        </w:rPr>
        <w:t xml:space="preserve"> noted that WHO and CBD, in collaboration with other partners, </w:t>
      </w:r>
      <w:r w:rsidR="00C13531" w:rsidRPr="00471447">
        <w:rPr>
          <w:rFonts w:ascii="Times New Roman" w:eastAsia="Cambria" w:hAnsi="Times New Roman" w:cs="Times New Roman"/>
          <w:kern w:val="22"/>
        </w:rPr>
        <w:t>had co-convened</w:t>
      </w:r>
      <w:r w:rsidRPr="00471447">
        <w:rPr>
          <w:rFonts w:ascii="Times New Roman" w:eastAsia="Cambria" w:hAnsi="Times New Roman" w:cs="Times New Roman"/>
          <w:kern w:val="22"/>
        </w:rPr>
        <w:t xml:space="preserve"> regional capacity building workshops on the interlinkages between biodiversity and health in both the Americas and Africa regions and another one is expected for the WHO European region in 2017. The workshops covered similar issues to those addressed in decision XIII/6 which form</w:t>
      </w:r>
      <w:r w:rsidR="001C7C05" w:rsidRPr="00471447">
        <w:rPr>
          <w:rFonts w:ascii="Times New Roman" w:eastAsia="Cambria" w:hAnsi="Times New Roman" w:cs="Times New Roman"/>
          <w:kern w:val="22"/>
        </w:rPr>
        <w:t xml:space="preserve"> the basis of the ILG’s mandate, notably addressing </w:t>
      </w:r>
      <w:r w:rsidRPr="00471447">
        <w:rPr>
          <w:rFonts w:ascii="Times New Roman" w:eastAsia="Cambria" w:hAnsi="Times New Roman" w:cs="Times New Roman"/>
          <w:kern w:val="22"/>
        </w:rPr>
        <w:t xml:space="preserve">food security and nutrition, water quality and quantity, infectious diseases, traditional medicine, physical and mental well-being. Drawing on these capacity-building workshops, </w:t>
      </w:r>
      <w:r w:rsidR="00C13531" w:rsidRPr="00471447">
        <w:rPr>
          <w:rFonts w:ascii="Times New Roman" w:eastAsia="Cambria" w:hAnsi="Times New Roman" w:cs="Times New Roman"/>
          <w:kern w:val="22"/>
        </w:rPr>
        <w:t>eleven</w:t>
      </w:r>
      <w:r w:rsidRPr="00471447">
        <w:rPr>
          <w:rFonts w:ascii="Times New Roman" w:eastAsia="Cambria" w:hAnsi="Times New Roman" w:cs="Times New Roman"/>
          <w:kern w:val="22"/>
        </w:rPr>
        <w:t xml:space="preserve"> priority interventions</w:t>
      </w:r>
      <w:r w:rsidR="00C13531" w:rsidRPr="00471447">
        <w:rPr>
          <w:rFonts w:ascii="Times New Roman" w:eastAsia="Cambria" w:hAnsi="Times New Roman" w:cs="Times New Roman"/>
          <w:kern w:val="22"/>
        </w:rPr>
        <w:t xml:space="preserve"> were identified including one</w:t>
      </w:r>
      <w:r w:rsidRPr="00471447">
        <w:rPr>
          <w:rFonts w:ascii="Times New Roman" w:eastAsia="Cambria" w:hAnsi="Times New Roman" w:cs="Times New Roman"/>
          <w:kern w:val="22"/>
        </w:rPr>
        <w:t xml:space="preserve"> targeted </w:t>
      </w:r>
      <w:r w:rsidR="00C13531" w:rsidRPr="00471447">
        <w:rPr>
          <w:rFonts w:ascii="Times New Roman" w:eastAsia="Cambria" w:hAnsi="Times New Roman" w:cs="Times New Roman"/>
          <w:kern w:val="22"/>
        </w:rPr>
        <w:t xml:space="preserve">on </w:t>
      </w:r>
      <w:r w:rsidRPr="00471447">
        <w:rPr>
          <w:rFonts w:ascii="Times New Roman" w:eastAsia="Cambria" w:hAnsi="Times New Roman" w:cs="Times New Roman"/>
          <w:kern w:val="22"/>
        </w:rPr>
        <w:t xml:space="preserve">capacity-building but others </w:t>
      </w:r>
      <w:r w:rsidR="00C13531" w:rsidRPr="00471447">
        <w:rPr>
          <w:rFonts w:ascii="Times New Roman" w:eastAsia="Cambria" w:hAnsi="Times New Roman" w:cs="Times New Roman"/>
          <w:kern w:val="22"/>
        </w:rPr>
        <w:t>also examined</w:t>
      </w:r>
      <w:r w:rsidRPr="00471447">
        <w:rPr>
          <w:rFonts w:ascii="Times New Roman" w:eastAsia="Cambria" w:hAnsi="Times New Roman" w:cs="Times New Roman"/>
          <w:kern w:val="22"/>
        </w:rPr>
        <w:t xml:space="preserve"> information exchange, experience sharing, raising awareness, building partnerships, promoting research, and integrated surveillance</w:t>
      </w:r>
      <w:r w:rsidR="001C7C05" w:rsidRPr="00471447">
        <w:rPr>
          <w:rFonts w:ascii="Times New Roman" w:eastAsia="Cambria" w:hAnsi="Times New Roman" w:cs="Times New Roman"/>
          <w:kern w:val="22"/>
        </w:rPr>
        <w:t>. M</w:t>
      </w:r>
      <w:r w:rsidRPr="00471447">
        <w:rPr>
          <w:rFonts w:ascii="Times New Roman" w:eastAsia="Cambria" w:hAnsi="Times New Roman" w:cs="Times New Roman"/>
          <w:kern w:val="22"/>
        </w:rPr>
        <w:t xml:space="preserve">r. Corvalan sought to focus discussions on what </w:t>
      </w:r>
      <w:r w:rsidR="001C7C05" w:rsidRPr="00471447">
        <w:rPr>
          <w:rFonts w:ascii="Times New Roman" w:eastAsia="Cambria" w:hAnsi="Times New Roman" w:cs="Times New Roman"/>
          <w:kern w:val="22"/>
        </w:rPr>
        <w:t>the ILG</w:t>
      </w:r>
      <w:r w:rsidRPr="00471447">
        <w:rPr>
          <w:rFonts w:ascii="Times New Roman" w:eastAsia="Cambria" w:hAnsi="Times New Roman" w:cs="Times New Roman"/>
          <w:kern w:val="22"/>
        </w:rPr>
        <w:t xml:space="preserve"> can do as a Group to </w:t>
      </w:r>
      <w:r w:rsidR="001C7C05" w:rsidRPr="00471447">
        <w:rPr>
          <w:rFonts w:ascii="Times New Roman" w:eastAsia="Cambria" w:hAnsi="Times New Roman" w:cs="Times New Roman"/>
          <w:kern w:val="22"/>
        </w:rPr>
        <w:t>support this work</w:t>
      </w:r>
      <w:r w:rsidRPr="00471447">
        <w:rPr>
          <w:rFonts w:ascii="Times New Roman" w:eastAsia="Cambria" w:hAnsi="Times New Roman" w:cs="Times New Roman"/>
          <w:kern w:val="22"/>
        </w:rPr>
        <w:t xml:space="preserve"> at the global, national and local levels. </w:t>
      </w:r>
      <w:r w:rsidR="00C13531" w:rsidRPr="00471447">
        <w:rPr>
          <w:rFonts w:ascii="Times New Roman" w:eastAsia="Cambria" w:hAnsi="Times New Roman" w:cs="Times New Roman"/>
          <w:kern w:val="22"/>
        </w:rPr>
        <w:t>Opportunities identified include:</w:t>
      </w:r>
    </w:p>
    <w:p w:rsidR="00495695" w:rsidRPr="00471447" w:rsidRDefault="00C13531" w:rsidP="00471447">
      <w:pPr>
        <w:pStyle w:val="ListParagraph"/>
        <w:spacing w:before="120" w:after="120"/>
        <w:ind w:left="66"/>
        <w:jc w:val="both"/>
        <w:rPr>
          <w:rFonts w:ascii="Times New Roman" w:eastAsia="Cambria" w:hAnsi="Times New Roman" w:cs="Times New Roman"/>
          <w:i/>
          <w:kern w:val="22"/>
        </w:rPr>
      </w:pPr>
      <w:r w:rsidRPr="00471447">
        <w:rPr>
          <w:rFonts w:ascii="Times New Roman" w:eastAsia="Cambria" w:hAnsi="Times New Roman" w:cs="Times New Roman"/>
          <w:i/>
          <w:kern w:val="22"/>
        </w:rPr>
        <w:t>A</w:t>
      </w:r>
      <w:r w:rsidR="00495695" w:rsidRPr="00471447">
        <w:rPr>
          <w:rFonts w:ascii="Times New Roman" w:eastAsia="Cambria" w:hAnsi="Times New Roman" w:cs="Times New Roman"/>
          <w:i/>
          <w:kern w:val="22"/>
        </w:rPr>
        <w:t>t the global level</w:t>
      </w:r>
    </w:p>
    <w:p w:rsidR="00495695" w:rsidRPr="00471447" w:rsidRDefault="0049569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At the global level, the </w:t>
      </w:r>
      <w:r w:rsidR="001C7C05" w:rsidRPr="00471447">
        <w:rPr>
          <w:rFonts w:ascii="Times New Roman" w:eastAsia="Cambria" w:hAnsi="Times New Roman" w:cs="Times New Roman"/>
          <w:kern w:val="22"/>
        </w:rPr>
        <w:t>ILG</w:t>
      </w:r>
      <w:r w:rsidRPr="00471447">
        <w:rPr>
          <w:rFonts w:ascii="Times New Roman" w:eastAsia="Cambria" w:hAnsi="Times New Roman" w:cs="Times New Roman"/>
          <w:kern w:val="22"/>
        </w:rPr>
        <w:t xml:space="preserve"> may be well placed to contribute to knowledge and information exchange and raising awareness on the values of biodiversity for human health and the information generated could contribute to supporting and promoting further regional capacity building workshops in other regions. </w:t>
      </w:r>
      <w:r w:rsidR="001C7C05" w:rsidRPr="00471447">
        <w:rPr>
          <w:rFonts w:ascii="Times New Roman" w:eastAsia="Cambria" w:hAnsi="Times New Roman" w:cs="Times New Roman"/>
          <w:kern w:val="22"/>
        </w:rPr>
        <w:t>There is a lot of additional material to work with since the initial regional workshops</w:t>
      </w:r>
      <w:r w:rsidRPr="00471447">
        <w:rPr>
          <w:rFonts w:ascii="Times New Roman" w:eastAsia="Cambria" w:hAnsi="Times New Roman" w:cs="Times New Roman"/>
          <w:kern w:val="22"/>
        </w:rPr>
        <w:t>, including the State of Knowledge Review</w:t>
      </w:r>
      <w:r w:rsidR="001C7C05"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which </w:t>
      </w:r>
      <w:r w:rsidR="001C7C05" w:rsidRPr="00471447">
        <w:rPr>
          <w:rFonts w:ascii="Times New Roman" w:eastAsia="Cambria" w:hAnsi="Times New Roman" w:cs="Times New Roman"/>
          <w:kern w:val="22"/>
        </w:rPr>
        <w:t>was not available until mid-2015</w:t>
      </w:r>
      <w:r w:rsidRPr="00471447">
        <w:rPr>
          <w:rFonts w:ascii="Times New Roman" w:eastAsia="Cambria" w:hAnsi="Times New Roman" w:cs="Times New Roman"/>
          <w:kern w:val="22"/>
        </w:rPr>
        <w:t xml:space="preserve"> and</w:t>
      </w:r>
      <w:r w:rsidR="001C7C05" w:rsidRPr="00471447">
        <w:rPr>
          <w:rFonts w:ascii="Times New Roman" w:eastAsia="Cambria" w:hAnsi="Times New Roman" w:cs="Times New Roman"/>
          <w:kern w:val="22"/>
        </w:rPr>
        <w:t xml:space="preserve"> it </w:t>
      </w:r>
      <w:r w:rsidR="00C13531" w:rsidRPr="00471447">
        <w:rPr>
          <w:rFonts w:ascii="Times New Roman" w:eastAsia="Cambria" w:hAnsi="Times New Roman" w:cs="Times New Roman"/>
          <w:kern w:val="22"/>
        </w:rPr>
        <w:t xml:space="preserve">was noted that it </w:t>
      </w:r>
      <w:r w:rsidR="001C7C05" w:rsidRPr="00471447">
        <w:rPr>
          <w:rFonts w:ascii="Times New Roman" w:eastAsia="Cambria" w:hAnsi="Times New Roman" w:cs="Times New Roman"/>
          <w:kern w:val="22"/>
        </w:rPr>
        <w:t>may be useful to hold workshops in these regions with updated information. There is also potential to convert the information</w:t>
      </w:r>
      <w:r w:rsidRPr="00471447">
        <w:rPr>
          <w:rFonts w:ascii="Times New Roman" w:eastAsia="Cambria" w:hAnsi="Times New Roman" w:cs="Times New Roman"/>
          <w:kern w:val="22"/>
        </w:rPr>
        <w:t xml:space="preserve"> into an online course, </w:t>
      </w:r>
      <w:r w:rsidR="001C7C05" w:rsidRPr="00471447">
        <w:rPr>
          <w:rFonts w:ascii="Times New Roman" w:eastAsia="Cambria" w:hAnsi="Times New Roman" w:cs="Times New Roman"/>
          <w:kern w:val="22"/>
        </w:rPr>
        <w:t>to hold</w:t>
      </w:r>
      <w:r w:rsidRPr="00471447">
        <w:rPr>
          <w:rFonts w:ascii="Times New Roman" w:eastAsia="Cambria" w:hAnsi="Times New Roman" w:cs="Times New Roman"/>
          <w:kern w:val="22"/>
        </w:rPr>
        <w:t xml:space="preserve"> webinars on these interlinkages </w:t>
      </w:r>
      <w:r w:rsidR="001C7C05" w:rsidRPr="00471447">
        <w:rPr>
          <w:rFonts w:ascii="Times New Roman" w:eastAsia="Cambria" w:hAnsi="Times New Roman" w:cs="Times New Roman"/>
          <w:kern w:val="22"/>
        </w:rPr>
        <w:t xml:space="preserve">that draw and build on those findings. These </w:t>
      </w:r>
      <w:r w:rsidRPr="00471447">
        <w:rPr>
          <w:rFonts w:ascii="Times New Roman" w:eastAsia="Cambria" w:hAnsi="Times New Roman" w:cs="Times New Roman"/>
          <w:kern w:val="22"/>
        </w:rPr>
        <w:t xml:space="preserve">could </w:t>
      </w:r>
      <w:r w:rsidR="001C7C05" w:rsidRPr="00471447">
        <w:rPr>
          <w:rFonts w:ascii="Times New Roman" w:eastAsia="Cambria" w:hAnsi="Times New Roman" w:cs="Times New Roman"/>
          <w:kern w:val="22"/>
        </w:rPr>
        <w:t xml:space="preserve">be also </w:t>
      </w:r>
      <w:r w:rsidRPr="00471447">
        <w:rPr>
          <w:rFonts w:ascii="Times New Roman" w:eastAsia="Cambria" w:hAnsi="Times New Roman" w:cs="Times New Roman"/>
          <w:kern w:val="22"/>
        </w:rPr>
        <w:t>frame</w:t>
      </w:r>
      <w:r w:rsidR="001C7C05" w:rsidRPr="00471447">
        <w:rPr>
          <w:rFonts w:ascii="Times New Roman" w:eastAsia="Cambria" w:hAnsi="Times New Roman" w:cs="Times New Roman"/>
          <w:kern w:val="22"/>
        </w:rPr>
        <w:t xml:space="preserve">d </w:t>
      </w:r>
      <w:r w:rsidRPr="00471447">
        <w:rPr>
          <w:rFonts w:ascii="Times New Roman" w:eastAsia="Cambria" w:hAnsi="Times New Roman" w:cs="Times New Roman"/>
          <w:kern w:val="22"/>
        </w:rPr>
        <w:t>in the context of the SDGs</w:t>
      </w:r>
      <w:r w:rsidR="00C13531" w:rsidRPr="00471447">
        <w:rPr>
          <w:rFonts w:ascii="Times New Roman" w:eastAsia="Cambria" w:hAnsi="Times New Roman" w:cs="Times New Roman"/>
          <w:kern w:val="22"/>
        </w:rPr>
        <w:t xml:space="preserve">, </w:t>
      </w:r>
      <w:r w:rsidR="001C7C05" w:rsidRPr="00471447">
        <w:rPr>
          <w:rFonts w:ascii="Times New Roman" w:eastAsia="Cambria" w:hAnsi="Times New Roman" w:cs="Times New Roman"/>
          <w:kern w:val="22"/>
        </w:rPr>
        <w:t xml:space="preserve">other </w:t>
      </w:r>
      <w:r w:rsidR="00C13531" w:rsidRPr="00471447">
        <w:rPr>
          <w:rFonts w:ascii="Times New Roman" w:eastAsia="Cambria" w:hAnsi="Times New Roman" w:cs="Times New Roman"/>
          <w:kern w:val="22"/>
        </w:rPr>
        <w:t>g</w:t>
      </w:r>
      <w:r w:rsidR="001C7C05" w:rsidRPr="00471447">
        <w:rPr>
          <w:rFonts w:ascii="Times New Roman" w:eastAsia="Cambria" w:hAnsi="Times New Roman" w:cs="Times New Roman"/>
          <w:kern w:val="22"/>
        </w:rPr>
        <w:t>lobal commitments</w:t>
      </w:r>
      <w:r w:rsidR="00C13531" w:rsidRPr="00471447">
        <w:rPr>
          <w:rFonts w:ascii="Times New Roman" w:eastAsia="Cambria" w:hAnsi="Times New Roman" w:cs="Times New Roman"/>
          <w:kern w:val="22"/>
        </w:rPr>
        <w:t>,</w:t>
      </w:r>
      <w:r w:rsidR="001C7C05" w:rsidRPr="00471447">
        <w:rPr>
          <w:rFonts w:ascii="Times New Roman" w:eastAsia="Cambria" w:hAnsi="Times New Roman" w:cs="Times New Roman"/>
          <w:kern w:val="22"/>
        </w:rPr>
        <w:t xml:space="preserve"> and </w:t>
      </w:r>
      <w:r w:rsidR="00C13531" w:rsidRPr="00471447">
        <w:rPr>
          <w:rFonts w:ascii="Times New Roman" w:eastAsia="Cambria" w:hAnsi="Times New Roman" w:cs="Times New Roman"/>
          <w:kern w:val="22"/>
        </w:rPr>
        <w:t xml:space="preserve">may </w:t>
      </w:r>
      <w:r w:rsidR="001C7C05" w:rsidRPr="00471447">
        <w:rPr>
          <w:rFonts w:ascii="Times New Roman" w:eastAsia="Cambria" w:hAnsi="Times New Roman" w:cs="Times New Roman"/>
          <w:kern w:val="22"/>
        </w:rPr>
        <w:t>address</w:t>
      </w:r>
      <w:r w:rsidRPr="00471447">
        <w:rPr>
          <w:rFonts w:ascii="Times New Roman" w:eastAsia="Cambria" w:hAnsi="Times New Roman" w:cs="Times New Roman"/>
          <w:kern w:val="22"/>
        </w:rPr>
        <w:t xml:space="preserve"> cross-cutting such as climate, biodi</w:t>
      </w:r>
      <w:r w:rsidR="001C7C05" w:rsidRPr="00471447">
        <w:rPr>
          <w:rFonts w:ascii="Times New Roman" w:eastAsia="Cambria" w:hAnsi="Times New Roman" w:cs="Times New Roman"/>
          <w:kern w:val="22"/>
        </w:rPr>
        <w:t>versity and health</w:t>
      </w:r>
      <w:r w:rsidRPr="00471447">
        <w:rPr>
          <w:rFonts w:ascii="Times New Roman" w:eastAsia="Cambria" w:hAnsi="Times New Roman" w:cs="Times New Roman"/>
          <w:kern w:val="22"/>
        </w:rPr>
        <w:t>.</w:t>
      </w:r>
      <w:r w:rsidR="001C7C05" w:rsidRPr="00471447">
        <w:rPr>
          <w:rFonts w:ascii="Times New Roman" w:eastAsia="Cambria" w:hAnsi="Times New Roman" w:cs="Times New Roman"/>
          <w:kern w:val="22"/>
        </w:rPr>
        <w:t xml:space="preserve"> There is considerable scope to strengthen the capacity-building mandate and support provided at the global level.</w:t>
      </w:r>
    </w:p>
    <w:p w:rsidR="00495695" w:rsidRPr="00471447" w:rsidRDefault="00495695" w:rsidP="00471447">
      <w:pPr>
        <w:spacing w:before="120" w:after="120" w:line="240" w:lineRule="auto"/>
        <w:jc w:val="both"/>
        <w:rPr>
          <w:rFonts w:ascii="Times New Roman" w:eastAsia="Cambria" w:hAnsi="Times New Roman" w:cs="Times New Roman"/>
          <w:i/>
          <w:kern w:val="22"/>
        </w:rPr>
      </w:pPr>
      <w:r w:rsidRPr="00471447">
        <w:rPr>
          <w:rFonts w:ascii="Times New Roman" w:eastAsia="Cambria" w:hAnsi="Times New Roman" w:cs="Times New Roman"/>
          <w:i/>
          <w:kern w:val="22"/>
        </w:rPr>
        <w:t>Opportunities at the national level</w:t>
      </w:r>
    </w:p>
    <w:p w:rsidR="00495695" w:rsidRPr="00471447" w:rsidRDefault="00C13531"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w:t>
      </w:r>
      <w:r w:rsidR="00495695" w:rsidRPr="00471447">
        <w:rPr>
          <w:rFonts w:ascii="Times New Roman" w:eastAsia="Cambria" w:hAnsi="Times New Roman" w:cs="Times New Roman"/>
          <w:kern w:val="22"/>
        </w:rPr>
        <w:t xml:space="preserve"> noted that </w:t>
      </w:r>
      <w:r w:rsidR="001C7C05" w:rsidRPr="00471447">
        <w:rPr>
          <w:rFonts w:ascii="Times New Roman" w:eastAsia="Cambria" w:hAnsi="Times New Roman" w:cs="Times New Roman"/>
          <w:kern w:val="22"/>
        </w:rPr>
        <w:t>biodiversity and health remains</w:t>
      </w:r>
      <w:r w:rsidR="00495695" w:rsidRPr="00471447">
        <w:rPr>
          <w:rFonts w:ascii="Times New Roman" w:eastAsia="Cambria" w:hAnsi="Times New Roman" w:cs="Times New Roman"/>
          <w:kern w:val="22"/>
        </w:rPr>
        <w:t xml:space="preserve"> a poorly understood topic</w:t>
      </w:r>
      <w:r w:rsidR="001C7C0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particularly in </w:t>
      </w:r>
      <w:r w:rsidR="00495695" w:rsidRPr="00471447">
        <w:rPr>
          <w:rFonts w:ascii="Times New Roman" w:eastAsia="Cambria" w:hAnsi="Times New Roman" w:cs="Times New Roman"/>
          <w:kern w:val="22"/>
        </w:rPr>
        <w:t xml:space="preserve">Ministries of Health, </w:t>
      </w:r>
      <w:r w:rsidR="001C7C05" w:rsidRPr="00471447">
        <w:rPr>
          <w:rFonts w:ascii="Times New Roman" w:eastAsia="Cambria" w:hAnsi="Times New Roman" w:cs="Times New Roman"/>
          <w:kern w:val="22"/>
        </w:rPr>
        <w:t>although</w:t>
      </w:r>
      <w:r w:rsidR="00495695" w:rsidRPr="00471447">
        <w:rPr>
          <w:rFonts w:ascii="Times New Roman" w:eastAsia="Cambria" w:hAnsi="Times New Roman" w:cs="Times New Roman"/>
          <w:kern w:val="22"/>
        </w:rPr>
        <w:t xml:space="preserve"> it is </w:t>
      </w:r>
      <w:r w:rsidR="001C7C05" w:rsidRPr="00471447">
        <w:rPr>
          <w:rFonts w:ascii="Times New Roman" w:eastAsia="Cambria" w:hAnsi="Times New Roman" w:cs="Times New Roman"/>
          <w:kern w:val="22"/>
        </w:rPr>
        <w:t>increasingly accepted</w:t>
      </w:r>
      <w:r w:rsidR="00495695" w:rsidRPr="00471447">
        <w:rPr>
          <w:rFonts w:ascii="Times New Roman" w:eastAsia="Cambria" w:hAnsi="Times New Roman" w:cs="Times New Roman"/>
          <w:kern w:val="22"/>
        </w:rPr>
        <w:t xml:space="preserve"> in the biodiversity community</w:t>
      </w:r>
      <w:r w:rsidR="001C7C05" w:rsidRPr="00471447">
        <w:rPr>
          <w:rFonts w:ascii="Times New Roman" w:eastAsia="Cambria" w:hAnsi="Times New Roman" w:cs="Times New Roman"/>
          <w:kern w:val="22"/>
        </w:rPr>
        <w:t xml:space="preserve">. Much </w:t>
      </w:r>
      <w:r w:rsidR="00495695" w:rsidRPr="00471447">
        <w:rPr>
          <w:rFonts w:ascii="Times New Roman" w:eastAsia="Cambria" w:hAnsi="Times New Roman" w:cs="Times New Roman"/>
          <w:kern w:val="22"/>
        </w:rPr>
        <w:t xml:space="preserve">more work </w:t>
      </w:r>
      <w:r w:rsidR="001C7C05" w:rsidRPr="00471447">
        <w:rPr>
          <w:rFonts w:ascii="Times New Roman" w:eastAsia="Cambria" w:hAnsi="Times New Roman" w:cs="Times New Roman"/>
          <w:kern w:val="22"/>
        </w:rPr>
        <w:t xml:space="preserve">is </w:t>
      </w:r>
      <w:r w:rsidR="00495695" w:rsidRPr="00471447">
        <w:rPr>
          <w:rFonts w:ascii="Times New Roman" w:eastAsia="Cambria" w:hAnsi="Times New Roman" w:cs="Times New Roman"/>
          <w:kern w:val="22"/>
        </w:rPr>
        <w:t xml:space="preserve">needed to raise awareness </w:t>
      </w:r>
      <w:r w:rsidR="001C7C05" w:rsidRPr="00471447">
        <w:rPr>
          <w:rFonts w:ascii="Times New Roman" w:eastAsia="Cambria" w:hAnsi="Times New Roman" w:cs="Times New Roman"/>
          <w:kern w:val="22"/>
        </w:rPr>
        <w:t>and build capacity at the</w:t>
      </w:r>
      <w:r w:rsidR="00495695" w:rsidRPr="00471447">
        <w:rPr>
          <w:rFonts w:ascii="Times New Roman" w:eastAsia="Cambria" w:hAnsi="Times New Roman" w:cs="Times New Roman"/>
          <w:kern w:val="22"/>
        </w:rPr>
        <w:t xml:space="preserve"> </w:t>
      </w:r>
      <w:r w:rsidR="001C7C05" w:rsidRPr="00471447">
        <w:rPr>
          <w:rFonts w:ascii="Times New Roman" w:eastAsia="Cambria" w:hAnsi="Times New Roman" w:cs="Times New Roman"/>
          <w:kern w:val="22"/>
        </w:rPr>
        <w:t>national level both i</w:t>
      </w:r>
      <w:r w:rsidR="00495695" w:rsidRPr="00471447">
        <w:rPr>
          <w:rFonts w:ascii="Times New Roman" w:eastAsia="Cambria" w:hAnsi="Times New Roman" w:cs="Times New Roman"/>
          <w:kern w:val="22"/>
        </w:rPr>
        <w:t>n terms of concrete actions by decision makers working respectively in health and biodiversity sectors on the health impacts of ecosystem disruption but also</w:t>
      </w:r>
      <w:r w:rsidR="001C7C05" w:rsidRPr="00471447">
        <w:rPr>
          <w:rFonts w:ascii="Times New Roman" w:eastAsia="Cambria" w:hAnsi="Times New Roman" w:cs="Times New Roman"/>
          <w:kern w:val="22"/>
        </w:rPr>
        <w:t xml:space="preserve"> on</w:t>
      </w:r>
      <w:r w:rsidR="00495695" w:rsidRPr="00471447">
        <w:rPr>
          <w:rFonts w:ascii="Times New Roman" w:eastAsia="Cambria" w:hAnsi="Times New Roman" w:cs="Times New Roman"/>
          <w:kern w:val="22"/>
        </w:rPr>
        <w:t xml:space="preserve"> the health benefits of ecosystem protection. </w:t>
      </w:r>
      <w:r w:rsidR="001C7C05" w:rsidRPr="00471447">
        <w:rPr>
          <w:rFonts w:ascii="Times New Roman" w:eastAsia="Cambria" w:hAnsi="Times New Roman" w:cs="Times New Roman"/>
          <w:kern w:val="22"/>
        </w:rPr>
        <w:t>The ILG</w:t>
      </w:r>
      <w:r w:rsidR="00495695" w:rsidRPr="00471447">
        <w:rPr>
          <w:rFonts w:ascii="Times New Roman" w:eastAsia="Cambria" w:hAnsi="Times New Roman" w:cs="Times New Roman"/>
          <w:kern w:val="22"/>
        </w:rPr>
        <w:t xml:space="preserve"> could jointly contribute to </w:t>
      </w:r>
      <w:r w:rsidR="001C7C05" w:rsidRPr="00471447">
        <w:rPr>
          <w:rFonts w:ascii="Times New Roman" w:eastAsia="Cambria" w:hAnsi="Times New Roman" w:cs="Times New Roman"/>
          <w:kern w:val="22"/>
        </w:rPr>
        <w:t xml:space="preserve">sub-regional and </w:t>
      </w:r>
      <w:r w:rsidR="00495695" w:rsidRPr="00471447">
        <w:rPr>
          <w:rFonts w:ascii="Times New Roman" w:eastAsia="Cambria" w:hAnsi="Times New Roman" w:cs="Times New Roman"/>
          <w:kern w:val="22"/>
        </w:rPr>
        <w:t xml:space="preserve">national workshops, </w:t>
      </w:r>
      <w:r w:rsidR="00CC7CF9" w:rsidRPr="00471447">
        <w:rPr>
          <w:rFonts w:ascii="Times New Roman" w:eastAsia="Cambria" w:hAnsi="Times New Roman" w:cs="Times New Roman"/>
          <w:kern w:val="22"/>
        </w:rPr>
        <w:t xml:space="preserve">and </w:t>
      </w:r>
      <w:r w:rsidR="00495695" w:rsidRPr="00471447">
        <w:rPr>
          <w:rFonts w:ascii="Times New Roman" w:eastAsia="Cambria" w:hAnsi="Times New Roman" w:cs="Times New Roman"/>
          <w:kern w:val="22"/>
        </w:rPr>
        <w:t xml:space="preserve">to strengthening the education system in universities. </w:t>
      </w:r>
    </w:p>
    <w:p w:rsidR="00495695" w:rsidRPr="00471447" w:rsidRDefault="00495695" w:rsidP="00471447">
      <w:pPr>
        <w:pStyle w:val="ListParagraph"/>
        <w:spacing w:before="120" w:after="120"/>
        <w:ind w:left="66"/>
        <w:jc w:val="both"/>
        <w:rPr>
          <w:rFonts w:ascii="Times New Roman" w:eastAsia="Cambria" w:hAnsi="Times New Roman" w:cs="Times New Roman"/>
          <w:i/>
          <w:kern w:val="22"/>
        </w:rPr>
      </w:pPr>
      <w:r w:rsidRPr="00471447">
        <w:rPr>
          <w:rFonts w:ascii="Times New Roman" w:eastAsia="Cambria" w:hAnsi="Times New Roman" w:cs="Times New Roman"/>
          <w:i/>
          <w:kern w:val="22"/>
        </w:rPr>
        <w:t>Opportunities at the local level</w:t>
      </w:r>
    </w:p>
    <w:p w:rsidR="00495695" w:rsidRPr="00471447" w:rsidRDefault="001C7C0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 ILG can</w:t>
      </w:r>
      <w:r w:rsidR="00495695" w:rsidRPr="00471447">
        <w:rPr>
          <w:rFonts w:ascii="Times New Roman" w:eastAsia="Cambria" w:hAnsi="Times New Roman" w:cs="Times New Roman"/>
          <w:kern w:val="22"/>
        </w:rPr>
        <w:t xml:space="preserve"> help to bring together local societies, NGOs, participation from indigenous and local communities specifically in the development of tailored materials on education and communication aimed at increasing knowledge on the links between biodiversity and health, to promote </w:t>
      </w:r>
      <w:r w:rsidR="00495695" w:rsidRPr="00471447">
        <w:rPr>
          <w:rFonts w:ascii="Times New Roman" w:eastAsia="Cambria" w:hAnsi="Times New Roman" w:cs="Times New Roman"/>
          <w:kern w:val="22"/>
        </w:rPr>
        <w:lastRenderedPageBreak/>
        <w:t>ecosystem protection to maximize health outcomes, and to promote and further community health. The dissemination of knowledge is critical to the shaping of values, and to maximizing the protection of biodiversity and health.</w:t>
      </w:r>
      <w:r w:rsidR="00085C3D" w:rsidRPr="00471447">
        <w:rPr>
          <w:rFonts w:ascii="Times New Roman" w:eastAsia="Cambria" w:hAnsi="Times New Roman" w:cs="Times New Roman"/>
          <w:kern w:val="22"/>
        </w:rPr>
        <w:t xml:space="preserve"> The ILG may also potentially contribute to community-to-community exchanges as well as by developing education and awareness raising materials that could be adapted to local contexts. </w:t>
      </w:r>
    </w:p>
    <w:p w:rsidR="00495695" w:rsidRPr="00471447" w:rsidRDefault="007B711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w:t>
      </w:r>
      <w:r w:rsidR="00085C3D" w:rsidRPr="00471447">
        <w:rPr>
          <w:rFonts w:ascii="Times New Roman" w:eastAsia="Cambria" w:hAnsi="Times New Roman" w:cs="Times New Roman"/>
          <w:kern w:val="22"/>
        </w:rPr>
        <w:t>he links between capacity-building,</w:t>
      </w:r>
      <w:r w:rsidR="00495695" w:rsidRPr="00471447">
        <w:rPr>
          <w:rFonts w:ascii="Times New Roman" w:eastAsia="Cambria" w:hAnsi="Times New Roman" w:cs="Times New Roman"/>
          <w:kern w:val="22"/>
        </w:rPr>
        <w:t xml:space="preserve"> other thematic areas </w:t>
      </w:r>
      <w:r w:rsidRPr="00471447">
        <w:rPr>
          <w:rFonts w:ascii="Times New Roman" w:eastAsia="Cambria" w:hAnsi="Times New Roman" w:cs="Times New Roman"/>
          <w:kern w:val="22"/>
        </w:rPr>
        <w:t>and</w:t>
      </w:r>
      <w:r w:rsidR="00495695" w:rsidRPr="00471447">
        <w:rPr>
          <w:rFonts w:ascii="Times New Roman" w:eastAsia="Cambria" w:hAnsi="Times New Roman" w:cs="Times New Roman"/>
          <w:kern w:val="22"/>
        </w:rPr>
        <w:t xml:space="preserve"> development of materials that could be used to support training</w:t>
      </w:r>
      <w:r w:rsidR="00085C3D" w:rsidRPr="00471447">
        <w:rPr>
          <w:rFonts w:ascii="Times New Roman" w:eastAsia="Cambria" w:hAnsi="Times New Roman" w:cs="Times New Roman"/>
          <w:kern w:val="22"/>
        </w:rPr>
        <w:t xml:space="preserve"> across scales</w:t>
      </w:r>
      <w:r w:rsidRPr="00471447">
        <w:rPr>
          <w:rFonts w:ascii="Times New Roman" w:eastAsia="Cambria" w:hAnsi="Times New Roman" w:cs="Times New Roman"/>
          <w:kern w:val="22"/>
        </w:rPr>
        <w:t xml:space="preserve"> was also noted</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Moreover, despite its </w:t>
      </w:r>
      <w:r w:rsidR="00085C3D" w:rsidRPr="00471447">
        <w:rPr>
          <w:rFonts w:ascii="Times New Roman" w:eastAsia="Cambria" w:hAnsi="Times New Roman" w:cs="Times New Roman"/>
          <w:kern w:val="22"/>
        </w:rPr>
        <w:t>mandate to continue the series of capacity-building workshops on biodiversity and health</w:t>
      </w:r>
      <w:r w:rsidRPr="00471447">
        <w:rPr>
          <w:rFonts w:ascii="Times New Roman" w:eastAsia="Cambria" w:hAnsi="Times New Roman" w:cs="Times New Roman"/>
          <w:kern w:val="22"/>
        </w:rPr>
        <w:t xml:space="preserve">, </w:t>
      </w:r>
      <w:r w:rsidR="00085C3D" w:rsidRPr="00471447">
        <w:rPr>
          <w:rFonts w:ascii="Times New Roman" w:eastAsia="Cambria" w:hAnsi="Times New Roman" w:cs="Times New Roman"/>
          <w:kern w:val="22"/>
        </w:rPr>
        <w:t xml:space="preserve">securing </w:t>
      </w:r>
      <w:r w:rsidRPr="00471447">
        <w:rPr>
          <w:rFonts w:ascii="Times New Roman" w:eastAsia="Cambria" w:hAnsi="Times New Roman" w:cs="Times New Roman"/>
          <w:kern w:val="22"/>
        </w:rPr>
        <w:t xml:space="preserve">further </w:t>
      </w:r>
      <w:r w:rsidR="00085C3D" w:rsidRPr="00471447">
        <w:rPr>
          <w:rFonts w:ascii="Times New Roman" w:eastAsia="Cambria" w:hAnsi="Times New Roman" w:cs="Times New Roman"/>
          <w:kern w:val="22"/>
        </w:rPr>
        <w:t>funding</w:t>
      </w:r>
      <w:r w:rsidRPr="00471447">
        <w:rPr>
          <w:rFonts w:ascii="Times New Roman" w:eastAsia="Cambria" w:hAnsi="Times New Roman" w:cs="Times New Roman"/>
          <w:kern w:val="22"/>
        </w:rPr>
        <w:t xml:space="preserve"> to carry out the workshops was identified as a key barrier</w:t>
      </w:r>
      <w:r w:rsidR="00085C3D" w:rsidRPr="00471447">
        <w:rPr>
          <w:rFonts w:ascii="Times New Roman" w:eastAsia="Cambria" w:hAnsi="Times New Roman" w:cs="Times New Roman"/>
          <w:kern w:val="22"/>
        </w:rPr>
        <w:t>.</w:t>
      </w:r>
      <w:r w:rsidR="00495695" w:rsidRPr="00471447">
        <w:rPr>
          <w:rFonts w:ascii="Times New Roman" w:eastAsia="Cambria" w:hAnsi="Times New Roman" w:cs="Times New Roman"/>
          <w:kern w:val="22"/>
        </w:rPr>
        <w:t xml:space="preserve"> </w:t>
      </w:r>
      <w:r w:rsidR="00085C3D" w:rsidRPr="00471447">
        <w:rPr>
          <w:rFonts w:ascii="Times New Roman" w:eastAsia="Cambria" w:hAnsi="Times New Roman" w:cs="Times New Roman"/>
          <w:kern w:val="22"/>
        </w:rPr>
        <w:t xml:space="preserve">He further noted that a key consideration centres around whose capacity </w:t>
      </w:r>
      <w:r w:rsidR="00495695" w:rsidRPr="00471447">
        <w:rPr>
          <w:rFonts w:ascii="Times New Roman" w:eastAsia="Cambria" w:hAnsi="Times New Roman" w:cs="Times New Roman"/>
          <w:kern w:val="22"/>
        </w:rPr>
        <w:t xml:space="preserve">we </w:t>
      </w:r>
      <w:r w:rsidR="00085C3D" w:rsidRPr="00471447">
        <w:rPr>
          <w:rFonts w:ascii="Times New Roman" w:eastAsia="Cambria" w:hAnsi="Times New Roman" w:cs="Times New Roman"/>
          <w:kern w:val="22"/>
        </w:rPr>
        <w:t>are aiming to build and where the greatest impact can be achieved.</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This</w:t>
      </w:r>
      <w:r w:rsidR="00085C3D" w:rsidRPr="00471447">
        <w:rPr>
          <w:rFonts w:ascii="Times New Roman" w:eastAsia="Cambria" w:hAnsi="Times New Roman" w:cs="Times New Roman"/>
          <w:kern w:val="22"/>
        </w:rPr>
        <w:t xml:space="preserve"> has primarily been carried out </w:t>
      </w:r>
      <w:r w:rsidR="00495695" w:rsidRPr="00471447">
        <w:rPr>
          <w:rFonts w:ascii="Times New Roman" w:eastAsia="Cambria" w:hAnsi="Times New Roman" w:cs="Times New Roman"/>
          <w:kern w:val="22"/>
        </w:rPr>
        <w:t xml:space="preserve">within </w:t>
      </w:r>
      <w:r w:rsidR="00085C3D" w:rsidRPr="00471447">
        <w:rPr>
          <w:rFonts w:ascii="Times New Roman" w:eastAsia="Cambria" w:hAnsi="Times New Roman" w:cs="Times New Roman"/>
          <w:kern w:val="22"/>
        </w:rPr>
        <w:t>the Secretariat’s</w:t>
      </w:r>
      <w:r w:rsidR="00495695" w:rsidRPr="00471447">
        <w:rPr>
          <w:rFonts w:ascii="Times New Roman" w:eastAsia="Cambria" w:hAnsi="Times New Roman" w:cs="Times New Roman"/>
          <w:kern w:val="22"/>
        </w:rPr>
        <w:t xml:space="preserve"> institutional frameworks bringing together CBD and WHO constituencies and </w:t>
      </w:r>
      <w:r w:rsidR="00085C3D" w:rsidRPr="00471447">
        <w:rPr>
          <w:rFonts w:ascii="Times New Roman" w:eastAsia="Cambria" w:hAnsi="Times New Roman" w:cs="Times New Roman"/>
          <w:kern w:val="22"/>
        </w:rPr>
        <w:t>facilitating</w:t>
      </w:r>
      <w:r w:rsidR="00495695" w:rsidRPr="00471447">
        <w:rPr>
          <w:rFonts w:ascii="Times New Roman" w:eastAsia="Cambria" w:hAnsi="Times New Roman" w:cs="Times New Roman"/>
          <w:kern w:val="22"/>
        </w:rPr>
        <w:t xml:space="preserve"> interactions </w:t>
      </w:r>
      <w:r w:rsidR="00085C3D" w:rsidRPr="00471447">
        <w:rPr>
          <w:rFonts w:ascii="Times New Roman" w:eastAsia="Cambria" w:hAnsi="Times New Roman" w:cs="Times New Roman"/>
          <w:kern w:val="22"/>
        </w:rPr>
        <w:t xml:space="preserve">across </w:t>
      </w:r>
      <w:r w:rsidR="00495695" w:rsidRPr="00471447">
        <w:rPr>
          <w:rFonts w:ascii="Times New Roman" w:eastAsia="Cambria" w:hAnsi="Times New Roman" w:cs="Times New Roman"/>
          <w:kern w:val="22"/>
        </w:rPr>
        <w:t>these two sec</w:t>
      </w:r>
      <w:r w:rsidR="00085C3D" w:rsidRPr="00471447">
        <w:rPr>
          <w:rFonts w:ascii="Times New Roman" w:eastAsia="Cambria" w:hAnsi="Times New Roman" w:cs="Times New Roman"/>
          <w:kern w:val="22"/>
        </w:rPr>
        <w:t>tors from within the s</w:t>
      </w:r>
      <w:r w:rsidR="00495695" w:rsidRPr="00471447">
        <w:rPr>
          <w:rFonts w:ascii="Times New Roman" w:eastAsia="Cambria" w:hAnsi="Times New Roman" w:cs="Times New Roman"/>
          <w:kern w:val="22"/>
        </w:rPr>
        <w:t>ame country</w:t>
      </w:r>
      <w:r w:rsidR="00085C3D"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which </w:t>
      </w:r>
      <w:r w:rsidR="00085C3D" w:rsidRPr="00471447">
        <w:rPr>
          <w:rFonts w:ascii="Times New Roman" w:eastAsia="Cambria" w:hAnsi="Times New Roman" w:cs="Times New Roman"/>
          <w:kern w:val="22"/>
        </w:rPr>
        <w:t xml:space="preserve">has been particularly beneficial </w:t>
      </w:r>
      <w:r w:rsidRPr="00471447">
        <w:rPr>
          <w:rFonts w:ascii="Times New Roman" w:eastAsia="Cambria" w:hAnsi="Times New Roman" w:cs="Times New Roman"/>
          <w:kern w:val="22"/>
        </w:rPr>
        <w:t xml:space="preserve">and made </w:t>
      </w:r>
      <w:r w:rsidR="00085C3D" w:rsidRPr="00471447">
        <w:rPr>
          <w:rFonts w:ascii="Times New Roman" w:eastAsia="Cambria" w:hAnsi="Times New Roman" w:cs="Times New Roman"/>
          <w:kern w:val="22"/>
        </w:rPr>
        <w:t>it possible</w:t>
      </w:r>
      <w:r w:rsidR="00495695" w:rsidRPr="00471447">
        <w:rPr>
          <w:rFonts w:ascii="Times New Roman" w:eastAsia="Cambria" w:hAnsi="Times New Roman" w:cs="Times New Roman"/>
          <w:kern w:val="22"/>
        </w:rPr>
        <w:t xml:space="preserve"> </w:t>
      </w:r>
      <w:r w:rsidR="00085C3D" w:rsidRPr="00471447">
        <w:rPr>
          <w:rFonts w:ascii="Times New Roman" w:eastAsia="Cambria" w:hAnsi="Times New Roman" w:cs="Times New Roman"/>
          <w:kern w:val="22"/>
        </w:rPr>
        <w:t>t</w:t>
      </w:r>
      <w:r w:rsidR="00495695" w:rsidRPr="00471447">
        <w:rPr>
          <w:rFonts w:ascii="Times New Roman" w:eastAsia="Cambria" w:hAnsi="Times New Roman" w:cs="Times New Roman"/>
          <w:kern w:val="22"/>
        </w:rPr>
        <w:t xml:space="preserve">o exchange lessons at both national and regional levels. </w:t>
      </w:r>
      <w:r w:rsidR="00085C3D" w:rsidRPr="00471447">
        <w:rPr>
          <w:rFonts w:ascii="Times New Roman" w:eastAsia="Cambria" w:hAnsi="Times New Roman" w:cs="Times New Roman"/>
          <w:kern w:val="22"/>
        </w:rPr>
        <w:t>O</w:t>
      </w:r>
      <w:r w:rsidR="00495695" w:rsidRPr="00471447">
        <w:rPr>
          <w:rFonts w:ascii="Times New Roman" w:eastAsia="Cambria" w:hAnsi="Times New Roman" w:cs="Times New Roman"/>
          <w:kern w:val="22"/>
        </w:rPr>
        <w:t xml:space="preserve">ther areas in which </w:t>
      </w:r>
      <w:r w:rsidR="00085C3D" w:rsidRPr="00471447">
        <w:rPr>
          <w:rFonts w:ascii="Times New Roman" w:eastAsia="Cambria" w:hAnsi="Times New Roman" w:cs="Times New Roman"/>
          <w:kern w:val="22"/>
        </w:rPr>
        <w:t>the ILG</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could</w:t>
      </w:r>
      <w:r w:rsidR="00495695" w:rsidRPr="00471447">
        <w:rPr>
          <w:rFonts w:ascii="Times New Roman" w:eastAsia="Cambria" w:hAnsi="Times New Roman" w:cs="Times New Roman"/>
          <w:kern w:val="22"/>
        </w:rPr>
        <w:t xml:space="preserve"> focus capacity building efforts</w:t>
      </w:r>
      <w:r w:rsidR="00085C3D" w:rsidRPr="00471447">
        <w:rPr>
          <w:rFonts w:ascii="Times New Roman" w:eastAsia="Cambria" w:hAnsi="Times New Roman" w:cs="Times New Roman"/>
          <w:kern w:val="22"/>
        </w:rPr>
        <w:t xml:space="preserve"> in tandem were also welcome</w:t>
      </w:r>
      <w:r w:rsidR="00495695" w:rsidRPr="00471447">
        <w:rPr>
          <w:rFonts w:ascii="Times New Roman" w:eastAsia="Cambria" w:hAnsi="Times New Roman" w:cs="Times New Roman"/>
          <w:kern w:val="22"/>
        </w:rPr>
        <w:t>.</w:t>
      </w:r>
    </w:p>
    <w:p w:rsidR="00085C3D" w:rsidRPr="00471447" w:rsidRDefault="00085C3D"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Additional</w:t>
      </w:r>
      <w:r w:rsidR="00495695" w:rsidRPr="00471447">
        <w:rPr>
          <w:rFonts w:ascii="Times New Roman" w:eastAsia="Cambria" w:hAnsi="Times New Roman" w:cs="Times New Roman"/>
          <w:kern w:val="22"/>
        </w:rPr>
        <w:t xml:space="preserve"> interventions </w:t>
      </w:r>
      <w:r w:rsidR="00713B0B" w:rsidRPr="00471447">
        <w:rPr>
          <w:rFonts w:ascii="Times New Roman" w:eastAsia="Cambria" w:hAnsi="Times New Roman" w:cs="Times New Roman"/>
          <w:kern w:val="22"/>
        </w:rPr>
        <w:t>identified</w:t>
      </w:r>
      <w:r w:rsidR="00495695" w:rsidRPr="00471447">
        <w:rPr>
          <w:rFonts w:ascii="Times New Roman" w:eastAsia="Cambria" w:hAnsi="Times New Roman" w:cs="Times New Roman"/>
          <w:kern w:val="22"/>
        </w:rPr>
        <w:t xml:space="preserve"> by ILG members to complement these activities include:</w:t>
      </w:r>
    </w:p>
    <w:p w:rsidR="00085C3D" w:rsidRPr="00471447" w:rsidRDefault="00495695" w:rsidP="00471447">
      <w:pPr>
        <w:pStyle w:val="ListParagraph"/>
        <w:numPr>
          <w:ilvl w:val="1"/>
          <w:numId w:val="36"/>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 possible MOOC to be jointly developed by the Biodiversity Convention, WHO and </w:t>
      </w:r>
      <w:r w:rsidR="007B7110" w:rsidRPr="00471447">
        <w:rPr>
          <w:rFonts w:ascii="Times New Roman" w:eastAsia="Cambria" w:hAnsi="Times New Roman" w:cs="Times New Roman"/>
          <w:kern w:val="22"/>
        </w:rPr>
        <w:t>others</w:t>
      </w:r>
      <w:r w:rsidR="00085C3D" w:rsidRPr="00471447">
        <w:rPr>
          <w:rFonts w:ascii="Times New Roman" w:eastAsia="Cambria" w:hAnsi="Times New Roman" w:cs="Times New Roman"/>
          <w:kern w:val="22"/>
        </w:rPr>
        <w:t xml:space="preserve">, focused on the findings of the State of Knowledge Review </w:t>
      </w:r>
      <w:r w:rsidR="007B7110" w:rsidRPr="00471447">
        <w:rPr>
          <w:rFonts w:ascii="Times New Roman" w:eastAsia="Cambria" w:hAnsi="Times New Roman" w:cs="Times New Roman"/>
          <w:kern w:val="22"/>
        </w:rPr>
        <w:t>and targeted toward</w:t>
      </w:r>
      <w:r w:rsidRPr="00471447">
        <w:rPr>
          <w:rFonts w:ascii="Times New Roman" w:eastAsia="Cambria" w:hAnsi="Times New Roman" w:cs="Times New Roman"/>
          <w:kern w:val="22"/>
        </w:rPr>
        <w:t xml:space="preserve"> decision makers</w:t>
      </w:r>
      <w:r w:rsidR="00085C3D" w:rsidRPr="00471447">
        <w:rPr>
          <w:rFonts w:ascii="Times New Roman" w:eastAsia="Cambria" w:hAnsi="Times New Roman" w:cs="Times New Roman"/>
          <w:kern w:val="22"/>
        </w:rPr>
        <w:t>;</w:t>
      </w:r>
    </w:p>
    <w:p w:rsidR="00085C3D" w:rsidRPr="00471447" w:rsidRDefault="00495695" w:rsidP="00471447">
      <w:pPr>
        <w:pStyle w:val="ListParagraph"/>
        <w:numPr>
          <w:ilvl w:val="1"/>
          <w:numId w:val="36"/>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 CBD &amp; WHO could consider co-convening a side event, together with some members of the </w:t>
      </w:r>
      <w:r w:rsidR="007B7110" w:rsidRPr="00471447">
        <w:rPr>
          <w:rFonts w:ascii="Times New Roman" w:eastAsia="Cambria" w:hAnsi="Times New Roman" w:cs="Times New Roman"/>
          <w:kern w:val="22"/>
        </w:rPr>
        <w:t xml:space="preserve">ILG </w:t>
      </w:r>
      <w:r w:rsidR="00085C3D" w:rsidRPr="00471447">
        <w:rPr>
          <w:rFonts w:ascii="Times New Roman" w:eastAsia="Cambria" w:hAnsi="Times New Roman" w:cs="Times New Roman"/>
          <w:kern w:val="22"/>
        </w:rPr>
        <w:t>at future</w:t>
      </w:r>
      <w:r w:rsidRPr="00471447">
        <w:rPr>
          <w:rFonts w:ascii="Times New Roman" w:eastAsia="Cambria" w:hAnsi="Times New Roman" w:cs="Times New Roman"/>
          <w:kern w:val="22"/>
        </w:rPr>
        <w:t xml:space="preserve"> UNFCCC </w:t>
      </w:r>
      <w:r w:rsidR="00085C3D" w:rsidRPr="00471447">
        <w:rPr>
          <w:rFonts w:ascii="Times New Roman" w:eastAsia="Cambria" w:hAnsi="Times New Roman" w:cs="Times New Roman"/>
          <w:kern w:val="22"/>
        </w:rPr>
        <w:t>as</w:t>
      </w:r>
      <w:r w:rsidRPr="00471447">
        <w:rPr>
          <w:rFonts w:ascii="Times New Roman" w:eastAsia="Cambria" w:hAnsi="Times New Roman" w:cs="Times New Roman"/>
          <w:kern w:val="22"/>
        </w:rPr>
        <w:t xml:space="preserve"> health negotiators in the climate processes are not especially aware of the interlinkages on biodiversity and health in the context of climate change. It was noted that on health WHO is very much involved but the linkages with biodiversity</w:t>
      </w:r>
      <w:r w:rsidR="007B7110" w:rsidRPr="00471447">
        <w:rPr>
          <w:rFonts w:ascii="Times New Roman" w:eastAsia="Cambria" w:hAnsi="Times New Roman" w:cs="Times New Roman"/>
          <w:kern w:val="22"/>
        </w:rPr>
        <w:t>, and across biodiversity and health are generally lacking</w:t>
      </w:r>
      <w:r w:rsidR="0061487C">
        <w:rPr>
          <w:rFonts w:ascii="Times New Roman" w:eastAsia="Cambria" w:hAnsi="Times New Roman" w:cs="Times New Roman"/>
          <w:kern w:val="22"/>
        </w:rPr>
        <w:t>;</w:t>
      </w:r>
    </w:p>
    <w:p w:rsidR="00517730" w:rsidRPr="00471447" w:rsidRDefault="007B7110" w:rsidP="00471447">
      <w:pPr>
        <w:pStyle w:val="ListParagraph"/>
        <w:numPr>
          <w:ilvl w:val="1"/>
          <w:numId w:val="36"/>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B</w:t>
      </w:r>
      <w:r w:rsidR="00495695" w:rsidRPr="00471447">
        <w:rPr>
          <w:rFonts w:ascii="Times New Roman" w:eastAsia="Cambria" w:hAnsi="Times New Roman" w:cs="Times New Roman"/>
          <w:kern w:val="22"/>
        </w:rPr>
        <w:t>road capacity training on</w:t>
      </w:r>
      <w:r w:rsidR="00085C3D" w:rsidRPr="00471447">
        <w:rPr>
          <w:rFonts w:ascii="Times New Roman" w:eastAsia="Cambria" w:hAnsi="Times New Roman" w:cs="Times New Roman"/>
          <w:kern w:val="22"/>
        </w:rPr>
        <w:t xml:space="preserve"> One Health/EcoHealth/Planetary Health</w:t>
      </w:r>
      <w:r w:rsidR="00495695" w:rsidRPr="00471447">
        <w:rPr>
          <w:rFonts w:ascii="Times New Roman" w:eastAsia="Cambria" w:hAnsi="Times New Roman" w:cs="Times New Roman"/>
          <w:kern w:val="22"/>
        </w:rPr>
        <w:t xml:space="preserve"> can </w:t>
      </w:r>
      <w:r w:rsidR="00517730" w:rsidRPr="00471447">
        <w:rPr>
          <w:rFonts w:ascii="Times New Roman" w:eastAsia="Cambria" w:hAnsi="Times New Roman" w:cs="Times New Roman"/>
          <w:kern w:val="22"/>
        </w:rPr>
        <w:t xml:space="preserve">be useful and </w:t>
      </w:r>
      <w:r w:rsidRPr="00471447">
        <w:rPr>
          <w:rFonts w:ascii="Times New Roman" w:eastAsia="Cambria" w:hAnsi="Times New Roman" w:cs="Times New Roman"/>
          <w:kern w:val="22"/>
        </w:rPr>
        <w:t xml:space="preserve">may </w:t>
      </w:r>
      <w:r w:rsidR="00517730" w:rsidRPr="00471447">
        <w:rPr>
          <w:rFonts w:ascii="Times New Roman" w:eastAsia="Cambria" w:hAnsi="Times New Roman" w:cs="Times New Roman"/>
          <w:kern w:val="22"/>
        </w:rPr>
        <w:t xml:space="preserve">also </w:t>
      </w:r>
      <w:r w:rsidR="00495695" w:rsidRPr="00471447">
        <w:rPr>
          <w:rFonts w:ascii="Times New Roman" w:eastAsia="Cambria" w:hAnsi="Times New Roman" w:cs="Times New Roman"/>
          <w:kern w:val="22"/>
        </w:rPr>
        <w:t xml:space="preserve">help to formulate what messages </w:t>
      </w:r>
      <w:r w:rsidR="00517730" w:rsidRPr="00471447">
        <w:rPr>
          <w:rFonts w:ascii="Times New Roman" w:eastAsia="Cambria" w:hAnsi="Times New Roman" w:cs="Times New Roman"/>
          <w:kern w:val="22"/>
        </w:rPr>
        <w:t>the ILG may wish to focus on. Training</w:t>
      </w:r>
      <w:r w:rsidR="00495695" w:rsidRPr="00471447">
        <w:rPr>
          <w:rFonts w:ascii="Times New Roman" w:eastAsia="Cambria" w:hAnsi="Times New Roman" w:cs="Times New Roman"/>
          <w:kern w:val="22"/>
        </w:rPr>
        <w:t xml:space="preserve"> could be structured along the lines of thematic areas outlined in the Chapters of the State of Knowledge Review</w:t>
      </w:r>
      <w:r w:rsidR="00517730" w:rsidRPr="00471447">
        <w:rPr>
          <w:rFonts w:ascii="Times New Roman" w:eastAsia="Cambria" w:hAnsi="Times New Roman" w:cs="Times New Roman"/>
          <w:kern w:val="22"/>
        </w:rPr>
        <w:t xml:space="preserve">, specific issue areas </w:t>
      </w:r>
      <w:r w:rsidRPr="00471447">
        <w:rPr>
          <w:rFonts w:ascii="Times New Roman" w:eastAsia="Cambria" w:hAnsi="Times New Roman" w:cs="Times New Roman"/>
          <w:kern w:val="22"/>
        </w:rPr>
        <w:t>and</w:t>
      </w:r>
      <w:r w:rsidR="00495695" w:rsidRPr="00471447">
        <w:rPr>
          <w:rFonts w:ascii="Times New Roman" w:eastAsia="Cambria" w:hAnsi="Times New Roman" w:cs="Times New Roman"/>
          <w:kern w:val="22"/>
        </w:rPr>
        <w:t xml:space="preserve"> </w:t>
      </w:r>
      <w:r w:rsidR="00517730" w:rsidRPr="00471447">
        <w:rPr>
          <w:rFonts w:ascii="Times New Roman" w:eastAsia="Cambria" w:hAnsi="Times New Roman" w:cs="Times New Roman"/>
          <w:kern w:val="22"/>
        </w:rPr>
        <w:t>broader</w:t>
      </w:r>
      <w:r w:rsidR="00495695" w:rsidRPr="00471447">
        <w:rPr>
          <w:rFonts w:ascii="Times New Roman" w:eastAsia="Cambria" w:hAnsi="Times New Roman" w:cs="Times New Roman"/>
          <w:kern w:val="22"/>
        </w:rPr>
        <w:t xml:space="preserve"> training </w:t>
      </w:r>
      <w:r w:rsidR="00517730" w:rsidRPr="00471447">
        <w:rPr>
          <w:rFonts w:ascii="Times New Roman" w:eastAsia="Cambria" w:hAnsi="Times New Roman" w:cs="Times New Roman"/>
          <w:kern w:val="22"/>
        </w:rPr>
        <w:t xml:space="preserve">on </w:t>
      </w:r>
      <w:r w:rsidR="00495695" w:rsidRPr="00471447">
        <w:rPr>
          <w:rFonts w:ascii="Times New Roman" w:eastAsia="Cambria" w:hAnsi="Times New Roman" w:cs="Times New Roman"/>
          <w:kern w:val="22"/>
        </w:rPr>
        <w:t xml:space="preserve">biodiversity and health </w:t>
      </w:r>
      <w:r w:rsidR="00517730" w:rsidRPr="00471447">
        <w:rPr>
          <w:rFonts w:ascii="Times New Roman" w:eastAsia="Cambria" w:hAnsi="Times New Roman" w:cs="Times New Roman"/>
          <w:kern w:val="22"/>
        </w:rPr>
        <w:t>linkages</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w:t>
      </w:r>
      <w:r w:rsidR="00495695" w:rsidRPr="00471447">
        <w:rPr>
          <w:rFonts w:ascii="Times New Roman" w:eastAsia="Cambria" w:hAnsi="Times New Roman" w:cs="Times New Roman"/>
          <w:kern w:val="22"/>
        </w:rPr>
        <w:t xml:space="preserve">he importance of </w:t>
      </w:r>
      <w:r w:rsidR="00517730" w:rsidRPr="00471447">
        <w:rPr>
          <w:rFonts w:ascii="Times New Roman" w:eastAsia="Cambria" w:hAnsi="Times New Roman" w:cs="Times New Roman"/>
          <w:kern w:val="22"/>
        </w:rPr>
        <w:t xml:space="preserve">linking </w:t>
      </w:r>
      <w:r w:rsidRPr="00471447">
        <w:rPr>
          <w:rFonts w:ascii="Times New Roman" w:eastAsia="Cambria" w:hAnsi="Times New Roman" w:cs="Times New Roman"/>
          <w:kern w:val="22"/>
        </w:rPr>
        <w:t xml:space="preserve">this training </w:t>
      </w:r>
      <w:r w:rsidR="00517730" w:rsidRPr="00471447">
        <w:rPr>
          <w:rFonts w:ascii="Times New Roman" w:eastAsia="Cambria" w:hAnsi="Times New Roman" w:cs="Times New Roman"/>
          <w:kern w:val="22"/>
        </w:rPr>
        <w:t>to the SDG agenda, m</w:t>
      </w:r>
      <w:r w:rsidR="00495695" w:rsidRPr="00471447">
        <w:rPr>
          <w:rFonts w:ascii="Times New Roman" w:eastAsia="Cambria" w:hAnsi="Times New Roman" w:cs="Times New Roman"/>
          <w:kern w:val="22"/>
        </w:rPr>
        <w:t xml:space="preserve">aking links </w:t>
      </w:r>
      <w:r w:rsidRPr="00471447">
        <w:rPr>
          <w:rFonts w:ascii="Times New Roman" w:eastAsia="Cambria" w:hAnsi="Times New Roman" w:cs="Times New Roman"/>
          <w:kern w:val="22"/>
        </w:rPr>
        <w:t xml:space="preserve">with </w:t>
      </w:r>
      <w:r w:rsidR="00495695" w:rsidRPr="00471447">
        <w:rPr>
          <w:rFonts w:ascii="Times New Roman" w:eastAsia="Cambria" w:hAnsi="Times New Roman" w:cs="Times New Roman"/>
          <w:kern w:val="22"/>
        </w:rPr>
        <w:t>SDGs clear through an outcom</w:t>
      </w:r>
      <w:r w:rsidR="00517730" w:rsidRPr="00471447">
        <w:rPr>
          <w:rFonts w:ascii="Times New Roman" w:eastAsia="Cambria" w:hAnsi="Times New Roman" w:cs="Times New Roman"/>
          <w:kern w:val="22"/>
        </w:rPr>
        <w:t xml:space="preserve">e </w:t>
      </w:r>
      <w:r w:rsidR="00495695" w:rsidRPr="00471447">
        <w:rPr>
          <w:rFonts w:ascii="Times New Roman" w:eastAsia="Cambria" w:hAnsi="Times New Roman" w:cs="Times New Roman"/>
          <w:kern w:val="22"/>
        </w:rPr>
        <w:t xml:space="preserve">document focusing on </w:t>
      </w:r>
      <w:r w:rsidR="00517730" w:rsidRPr="00471447">
        <w:rPr>
          <w:rFonts w:ascii="Times New Roman" w:eastAsia="Cambria" w:hAnsi="Times New Roman" w:cs="Times New Roman"/>
          <w:kern w:val="22"/>
        </w:rPr>
        <w:t>a series of</w:t>
      </w:r>
      <w:r w:rsidR="00495695" w:rsidRPr="00471447">
        <w:rPr>
          <w:rFonts w:ascii="Times New Roman" w:eastAsia="Cambria" w:hAnsi="Times New Roman" w:cs="Times New Roman"/>
          <w:kern w:val="22"/>
        </w:rPr>
        <w:t xml:space="preserve"> the most relevant entry points could potentially </w:t>
      </w:r>
      <w:r w:rsidR="00517730" w:rsidRPr="00471447">
        <w:rPr>
          <w:rFonts w:ascii="Times New Roman" w:eastAsia="Cambria" w:hAnsi="Times New Roman" w:cs="Times New Roman"/>
          <w:kern w:val="22"/>
        </w:rPr>
        <w:t xml:space="preserve">also </w:t>
      </w:r>
      <w:r w:rsidR="00495695" w:rsidRPr="00471447">
        <w:rPr>
          <w:rFonts w:ascii="Times New Roman" w:eastAsia="Cambria" w:hAnsi="Times New Roman" w:cs="Times New Roman"/>
          <w:kern w:val="22"/>
        </w:rPr>
        <w:t>be useful</w:t>
      </w:r>
      <w:r w:rsidR="0061487C">
        <w:rPr>
          <w:rFonts w:ascii="Times New Roman" w:eastAsia="Cambria" w:hAnsi="Times New Roman" w:cs="Times New Roman"/>
          <w:kern w:val="22"/>
        </w:rPr>
        <w:t>;</w:t>
      </w:r>
    </w:p>
    <w:p w:rsidR="00517730" w:rsidRPr="00471447" w:rsidRDefault="007B7110" w:rsidP="00471447">
      <w:pPr>
        <w:pStyle w:val="ListParagraph"/>
        <w:numPr>
          <w:ilvl w:val="1"/>
          <w:numId w:val="36"/>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w:t>
      </w:r>
      <w:r w:rsidR="00495695" w:rsidRPr="00471447">
        <w:rPr>
          <w:rFonts w:ascii="Times New Roman" w:eastAsia="Cambria" w:hAnsi="Times New Roman" w:cs="Times New Roman"/>
          <w:kern w:val="22"/>
        </w:rPr>
        <w:t>dentify</w:t>
      </w:r>
      <w:r w:rsidRPr="00471447">
        <w:rPr>
          <w:rFonts w:ascii="Times New Roman" w:eastAsia="Cambria" w:hAnsi="Times New Roman" w:cs="Times New Roman"/>
          <w:kern w:val="22"/>
        </w:rPr>
        <w:t>ing</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some</w:t>
      </w:r>
      <w:r w:rsidR="00495695" w:rsidRPr="00471447">
        <w:rPr>
          <w:rFonts w:ascii="Times New Roman" w:eastAsia="Cambria" w:hAnsi="Times New Roman" w:cs="Times New Roman"/>
          <w:kern w:val="22"/>
        </w:rPr>
        <w:t xml:space="preserve"> </w:t>
      </w:r>
      <w:r w:rsidR="00517730" w:rsidRPr="00471447">
        <w:rPr>
          <w:rFonts w:ascii="Times New Roman" w:eastAsia="Cambria" w:hAnsi="Times New Roman" w:cs="Times New Roman"/>
          <w:kern w:val="22"/>
        </w:rPr>
        <w:t xml:space="preserve">initial thematic </w:t>
      </w:r>
      <w:r w:rsidR="00495695" w:rsidRPr="00471447">
        <w:rPr>
          <w:rFonts w:ascii="Times New Roman" w:eastAsia="Cambria" w:hAnsi="Times New Roman" w:cs="Times New Roman"/>
          <w:kern w:val="22"/>
        </w:rPr>
        <w:t xml:space="preserve">areas </w:t>
      </w:r>
      <w:r w:rsidR="00517730" w:rsidRPr="00471447">
        <w:rPr>
          <w:rFonts w:ascii="Times New Roman" w:eastAsia="Cambria" w:hAnsi="Times New Roman" w:cs="Times New Roman"/>
          <w:kern w:val="22"/>
        </w:rPr>
        <w:t xml:space="preserve">on which to focus </w:t>
      </w:r>
      <w:r w:rsidR="00495695" w:rsidRPr="00471447">
        <w:rPr>
          <w:rFonts w:ascii="Times New Roman" w:eastAsia="Cambria" w:hAnsi="Times New Roman" w:cs="Times New Roman"/>
          <w:kern w:val="22"/>
        </w:rPr>
        <w:t>and specific and tangible action points  to initiate this work</w:t>
      </w:r>
      <w:r w:rsidR="00B878F6" w:rsidRPr="00471447">
        <w:rPr>
          <w:rFonts w:ascii="Times New Roman" w:eastAsia="Cambria" w:hAnsi="Times New Roman" w:cs="Times New Roman"/>
          <w:kern w:val="22"/>
        </w:rPr>
        <w:t xml:space="preserve"> was identified as a useful entry point.</w:t>
      </w:r>
    </w:p>
    <w:p w:rsidR="00B878F6" w:rsidRDefault="00B878F6" w:rsidP="00471447">
      <w:pPr>
        <w:pStyle w:val="ListParagraph"/>
        <w:numPr>
          <w:ilvl w:val="1"/>
          <w:numId w:val="36"/>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L</w:t>
      </w:r>
      <w:r w:rsidR="00495695" w:rsidRPr="00471447">
        <w:rPr>
          <w:rFonts w:ascii="Times New Roman" w:eastAsia="Cambria" w:hAnsi="Times New Roman" w:cs="Times New Roman"/>
          <w:kern w:val="22"/>
        </w:rPr>
        <w:t>ink</w:t>
      </w:r>
      <w:r w:rsidRPr="00471447">
        <w:rPr>
          <w:rFonts w:ascii="Times New Roman" w:eastAsia="Cambria" w:hAnsi="Times New Roman" w:cs="Times New Roman"/>
          <w:kern w:val="22"/>
        </w:rPr>
        <w:t>ing</w:t>
      </w:r>
      <w:r w:rsidR="00495695" w:rsidRPr="00471447">
        <w:rPr>
          <w:rFonts w:ascii="Times New Roman" w:eastAsia="Cambria" w:hAnsi="Times New Roman" w:cs="Times New Roman"/>
          <w:kern w:val="22"/>
        </w:rPr>
        <w:t xml:space="preserve"> the biodiversity agenda to sectoral issues</w:t>
      </w:r>
      <w:r w:rsidRPr="00471447">
        <w:rPr>
          <w:rFonts w:ascii="Times New Roman" w:eastAsia="Cambria" w:hAnsi="Times New Roman" w:cs="Times New Roman"/>
          <w:kern w:val="22"/>
        </w:rPr>
        <w:t xml:space="preserve"> such as</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pollution </w:t>
      </w:r>
      <w:r w:rsidR="00495695" w:rsidRPr="00471447">
        <w:rPr>
          <w:rFonts w:ascii="Times New Roman" w:eastAsia="Cambria" w:hAnsi="Times New Roman" w:cs="Times New Roman"/>
          <w:kern w:val="22"/>
        </w:rPr>
        <w:t xml:space="preserve">to identify </w:t>
      </w:r>
      <w:r w:rsidRPr="00471447">
        <w:rPr>
          <w:rFonts w:ascii="Times New Roman" w:eastAsia="Cambria" w:hAnsi="Times New Roman" w:cs="Times New Roman"/>
          <w:kern w:val="22"/>
        </w:rPr>
        <w:t xml:space="preserve">challenges </w:t>
      </w:r>
      <w:r w:rsidR="00495695" w:rsidRPr="00471447">
        <w:rPr>
          <w:rFonts w:ascii="Times New Roman" w:eastAsia="Cambria" w:hAnsi="Times New Roman" w:cs="Times New Roman"/>
          <w:kern w:val="22"/>
        </w:rPr>
        <w:t>and potential solutions</w:t>
      </w:r>
      <w:r w:rsidRPr="00471447">
        <w:rPr>
          <w:rFonts w:ascii="Times New Roman" w:eastAsia="Cambria" w:hAnsi="Times New Roman" w:cs="Times New Roman"/>
          <w:kern w:val="22"/>
        </w:rPr>
        <w:t xml:space="preserve"> was also proposed</w:t>
      </w:r>
      <w:r w:rsidR="00495695" w:rsidRPr="00471447">
        <w:rPr>
          <w:rFonts w:ascii="Times New Roman" w:eastAsia="Cambria" w:hAnsi="Times New Roman" w:cs="Times New Roman"/>
          <w:kern w:val="22"/>
        </w:rPr>
        <w:t xml:space="preserve">. For example, </w:t>
      </w:r>
      <w:r w:rsidRPr="00471447">
        <w:rPr>
          <w:rFonts w:ascii="Times New Roman" w:eastAsia="Cambria" w:hAnsi="Times New Roman" w:cs="Times New Roman"/>
          <w:kern w:val="22"/>
        </w:rPr>
        <w:t xml:space="preserve">within UN Environment </w:t>
      </w:r>
      <w:r w:rsidR="00495695" w:rsidRPr="00471447">
        <w:rPr>
          <w:rFonts w:ascii="Times New Roman" w:eastAsia="Cambria" w:hAnsi="Times New Roman" w:cs="Times New Roman"/>
          <w:kern w:val="22"/>
        </w:rPr>
        <w:t>they are looking at developing capacity</w:t>
      </w:r>
      <w:r w:rsidRPr="00471447">
        <w:rPr>
          <w:rFonts w:ascii="Times New Roman" w:eastAsia="Cambria" w:hAnsi="Times New Roman" w:cs="Times New Roman"/>
          <w:kern w:val="22"/>
        </w:rPr>
        <w:t>-</w:t>
      </w:r>
      <w:r w:rsidR="00495695" w:rsidRPr="00471447">
        <w:rPr>
          <w:rFonts w:ascii="Times New Roman" w:eastAsia="Cambria" w:hAnsi="Times New Roman" w:cs="Times New Roman"/>
          <w:kern w:val="22"/>
        </w:rPr>
        <w:t>building or awareness raising material on air quality and impacts on biodiversity are often not considered</w:t>
      </w:r>
      <w:r w:rsidRPr="00471447">
        <w:rPr>
          <w:rFonts w:ascii="Times New Roman" w:eastAsia="Cambria" w:hAnsi="Times New Roman" w:cs="Times New Roman"/>
          <w:kern w:val="22"/>
        </w:rPr>
        <w:t>, making this a</w:t>
      </w:r>
      <w:r w:rsidR="00517730"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potential </w:t>
      </w:r>
      <w:r w:rsidR="00495695" w:rsidRPr="00471447">
        <w:rPr>
          <w:rFonts w:ascii="Times New Roman" w:eastAsia="Cambria" w:hAnsi="Times New Roman" w:cs="Times New Roman"/>
          <w:kern w:val="22"/>
        </w:rPr>
        <w:t>entry poin</w:t>
      </w:r>
      <w:r w:rsidRPr="00471447">
        <w:rPr>
          <w:rFonts w:ascii="Times New Roman" w:eastAsia="Cambria" w:hAnsi="Times New Roman" w:cs="Times New Roman"/>
          <w:kern w:val="22"/>
        </w:rPr>
        <w:t>t</w:t>
      </w:r>
      <w:r w:rsidR="0049569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Marine and freshwater pollution was also identified as a potential entry point to further build capacity on biodiversity and health impacts</w:t>
      </w:r>
      <w:r w:rsidR="00A20A93">
        <w:rPr>
          <w:rFonts w:ascii="Times New Roman" w:eastAsia="Cambria" w:hAnsi="Times New Roman" w:cs="Times New Roman"/>
          <w:kern w:val="22"/>
        </w:rPr>
        <w:t>;</w:t>
      </w:r>
      <w:r w:rsidRPr="00471447">
        <w:rPr>
          <w:rFonts w:ascii="Times New Roman" w:eastAsia="Cambria" w:hAnsi="Times New Roman" w:cs="Times New Roman"/>
          <w:kern w:val="22"/>
        </w:rPr>
        <w:t xml:space="preserve"> </w:t>
      </w:r>
    </w:p>
    <w:p w:rsidR="00A81CFC" w:rsidRPr="00471447" w:rsidRDefault="00B878F6" w:rsidP="00471447">
      <w:pPr>
        <w:pStyle w:val="ListParagraph"/>
        <w:spacing w:before="120" w:after="120"/>
        <w:ind w:left="66"/>
        <w:jc w:val="center"/>
        <w:rPr>
          <w:rFonts w:ascii="Times New Roman" w:eastAsia="Cambria" w:hAnsi="Times New Roman" w:cs="Times New Roman"/>
          <w:b/>
          <w:kern w:val="22"/>
        </w:rPr>
      </w:pPr>
      <w:r w:rsidRPr="00471447">
        <w:rPr>
          <w:rFonts w:ascii="Times New Roman" w:eastAsia="Cambria" w:hAnsi="Times New Roman" w:cs="Times New Roman"/>
          <w:kern w:val="22"/>
        </w:rPr>
        <w:t>It was noted</w:t>
      </w:r>
      <w:r w:rsidR="00517730" w:rsidRPr="00471447">
        <w:rPr>
          <w:rFonts w:ascii="Times New Roman" w:eastAsia="Cambria" w:hAnsi="Times New Roman" w:cs="Times New Roman"/>
          <w:kern w:val="22"/>
        </w:rPr>
        <w:t xml:space="preserve"> that it would be valuable for the group to identify and align </w:t>
      </w:r>
      <w:r w:rsidRPr="00471447">
        <w:rPr>
          <w:rFonts w:ascii="Times New Roman" w:eastAsia="Cambria" w:hAnsi="Times New Roman" w:cs="Times New Roman"/>
          <w:kern w:val="22"/>
        </w:rPr>
        <w:t xml:space="preserve">its work </w:t>
      </w:r>
      <w:r w:rsidR="00517730" w:rsidRPr="00471447">
        <w:rPr>
          <w:rFonts w:ascii="Times New Roman" w:eastAsia="Cambria" w:hAnsi="Times New Roman" w:cs="Times New Roman"/>
          <w:kern w:val="22"/>
        </w:rPr>
        <w:t xml:space="preserve">with </w:t>
      </w:r>
      <w:r w:rsidRPr="00471447">
        <w:rPr>
          <w:rFonts w:ascii="Times New Roman" w:eastAsia="Cambria" w:hAnsi="Times New Roman" w:cs="Times New Roman"/>
          <w:kern w:val="22"/>
        </w:rPr>
        <w:t>specific issues or specific components associated with global mandates; these</w:t>
      </w:r>
      <w:r w:rsidR="003C0C3F" w:rsidRPr="00471447">
        <w:rPr>
          <w:rFonts w:ascii="Times New Roman" w:eastAsia="Cambria" w:hAnsi="Times New Roman" w:cs="Times New Roman"/>
          <w:kern w:val="22"/>
        </w:rPr>
        <w:t xml:space="preserve"> provide a sound basis for reporting, joint proposals and financial support.</w:t>
      </w:r>
      <w:r w:rsidR="003C0C3F" w:rsidRPr="00471447">
        <w:t xml:space="preserve"> </w:t>
      </w:r>
      <w:r w:rsidR="00A81CFC" w:rsidRPr="00471447">
        <w:rPr>
          <w:rFonts w:ascii="Times New Roman" w:eastAsia="Cambria" w:hAnsi="Times New Roman" w:cs="Times New Roman"/>
          <w:b/>
          <w:kern w:val="22"/>
        </w:rPr>
        <w:t>Theme B) Datasets, metrics and indicators</w:t>
      </w:r>
    </w:p>
    <w:p w:rsidR="000003B3" w:rsidRPr="00471447" w:rsidRDefault="003C0C3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Mr. Peter Daszak</w:t>
      </w:r>
      <w:r w:rsidR="00C322CD" w:rsidRPr="00471447">
        <w:rPr>
          <w:rFonts w:ascii="Times New Roman" w:eastAsia="Cambria" w:hAnsi="Times New Roman" w:cs="Times New Roman"/>
          <w:kern w:val="22"/>
        </w:rPr>
        <w:t>, of EcoHealth Alliance</w:t>
      </w:r>
      <w:r w:rsidR="00730DEC" w:rsidRPr="00471447">
        <w:rPr>
          <w:rFonts w:ascii="Times New Roman" w:eastAsia="Cambria" w:hAnsi="Times New Roman" w:cs="Times New Roman"/>
          <w:kern w:val="22"/>
        </w:rPr>
        <w:t>,</w:t>
      </w:r>
      <w:r w:rsidR="00C322CD"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was invited to initiate the d</w:t>
      </w:r>
      <w:r w:rsidR="00AF18A9" w:rsidRPr="00471447">
        <w:rPr>
          <w:rFonts w:ascii="Times New Roman" w:eastAsia="Cambria" w:hAnsi="Times New Roman" w:cs="Times New Roman"/>
          <w:kern w:val="22"/>
        </w:rPr>
        <w:t xml:space="preserve">iscussion on available data </w:t>
      </w:r>
      <w:r w:rsidRPr="00471447">
        <w:rPr>
          <w:rFonts w:ascii="Times New Roman" w:eastAsia="Cambria" w:hAnsi="Times New Roman" w:cs="Times New Roman"/>
          <w:kern w:val="22"/>
        </w:rPr>
        <w:t>such as</w:t>
      </w:r>
      <w:r w:rsidR="00AF18A9" w:rsidRPr="00471447">
        <w:rPr>
          <w:rFonts w:ascii="Times New Roman" w:eastAsia="Cambria" w:hAnsi="Times New Roman" w:cs="Times New Roman"/>
          <w:kern w:val="22"/>
        </w:rPr>
        <w:t xml:space="preserve"> links between ecosystem degradation, biodiversity loss and infectious disease emergence</w:t>
      </w:r>
      <w:r w:rsidRPr="00471447">
        <w:rPr>
          <w:rFonts w:ascii="Times New Roman" w:eastAsia="Cambria" w:hAnsi="Times New Roman" w:cs="Times New Roman"/>
          <w:kern w:val="22"/>
        </w:rPr>
        <w:t xml:space="preserve">, and the development of more integrated </w:t>
      </w:r>
      <w:r w:rsidR="00C322CD" w:rsidRPr="00471447">
        <w:rPr>
          <w:rFonts w:ascii="Times New Roman" w:eastAsia="Cambria" w:hAnsi="Times New Roman" w:cs="Times New Roman"/>
          <w:kern w:val="22"/>
        </w:rPr>
        <w:t>metrics and</w:t>
      </w:r>
      <w:r w:rsidRPr="00471447">
        <w:rPr>
          <w:rFonts w:ascii="Times New Roman" w:eastAsia="Cambria" w:hAnsi="Times New Roman" w:cs="Times New Roman"/>
          <w:kern w:val="22"/>
        </w:rPr>
        <w:t xml:space="preserve"> indicators to measure health and biodiversity outcomes.</w:t>
      </w:r>
      <w:r w:rsidR="00C322CD" w:rsidRPr="00471447">
        <w:rPr>
          <w:rFonts w:ascii="Times New Roman" w:eastAsia="Cambria" w:hAnsi="Times New Roman" w:cs="Times New Roman"/>
          <w:kern w:val="22"/>
        </w:rPr>
        <w:t xml:space="preserve"> He noted</w:t>
      </w:r>
      <w:r w:rsidR="00706D49" w:rsidRPr="00471447">
        <w:rPr>
          <w:rFonts w:ascii="Times New Roman" w:eastAsia="Cambria" w:hAnsi="Times New Roman" w:cs="Times New Roman"/>
          <w:kern w:val="22"/>
        </w:rPr>
        <w:t xml:space="preserve"> that the ILG provides valuable opportunities</w:t>
      </w:r>
      <w:r w:rsidR="00C322CD" w:rsidRPr="00471447">
        <w:rPr>
          <w:rFonts w:ascii="Times New Roman" w:eastAsia="Cambria" w:hAnsi="Times New Roman" w:cs="Times New Roman"/>
          <w:kern w:val="22"/>
        </w:rPr>
        <w:t xml:space="preserve"> to </w:t>
      </w:r>
      <w:r w:rsidR="00706D49" w:rsidRPr="00471447">
        <w:rPr>
          <w:rFonts w:ascii="Times New Roman" w:eastAsia="Cambria" w:hAnsi="Times New Roman" w:cs="Times New Roman"/>
          <w:kern w:val="22"/>
        </w:rPr>
        <w:t>deliver</w:t>
      </w:r>
      <w:r w:rsidR="00C322CD" w:rsidRPr="00471447">
        <w:rPr>
          <w:rFonts w:ascii="Times New Roman" w:eastAsia="Cambria" w:hAnsi="Times New Roman" w:cs="Times New Roman"/>
          <w:kern w:val="22"/>
        </w:rPr>
        <w:t xml:space="preserve"> something tangible out of very important issues.</w:t>
      </w:r>
    </w:p>
    <w:p w:rsidR="00706D49" w:rsidRPr="00471447" w:rsidRDefault="00706D4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On data and metrics, Mr. Daszak noted that there are a vast number of indicators and measurements for health and others which have been developed for biodiversity. The challenge is how to develop indicators to monitor the relationship between the two, particularly given the complexity of </w:t>
      </w:r>
      <w:r w:rsidRPr="00471447">
        <w:rPr>
          <w:rFonts w:ascii="Times New Roman" w:eastAsia="Cambria" w:hAnsi="Times New Roman" w:cs="Times New Roman"/>
          <w:kern w:val="22"/>
        </w:rPr>
        <w:lastRenderedPageBreak/>
        <w:t>relationships and the generally poor understanding of them. He suggested several ways forward in this regard including bringing together partners with expertise in indicator development</w:t>
      </w:r>
      <w:r w:rsidR="00730DEC" w:rsidRPr="00471447">
        <w:rPr>
          <w:rFonts w:ascii="Times New Roman" w:eastAsia="Cambria" w:hAnsi="Times New Roman" w:cs="Times New Roman"/>
          <w:kern w:val="22"/>
        </w:rPr>
        <w:t xml:space="preserve"> (E.g. GEO-BON)</w:t>
      </w:r>
      <w:r w:rsidRPr="00471447">
        <w:rPr>
          <w:rFonts w:ascii="Times New Roman" w:eastAsia="Cambria" w:hAnsi="Times New Roman" w:cs="Times New Roman"/>
          <w:kern w:val="22"/>
        </w:rPr>
        <w:t>.</w:t>
      </w:r>
    </w:p>
    <w:p w:rsidR="0013159D" w:rsidRPr="00471447" w:rsidRDefault="0013159D"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Three </w:t>
      </w:r>
      <w:r w:rsidR="00706D49" w:rsidRPr="00471447">
        <w:rPr>
          <w:rFonts w:ascii="Times New Roman" w:eastAsia="Cambria" w:hAnsi="Times New Roman" w:cs="Times New Roman"/>
          <w:kern w:val="22"/>
        </w:rPr>
        <w:t xml:space="preserve">broad issues the ILG may wish to address </w:t>
      </w:r>
      <w:r w:rsidRPr="00471447">
        <w:rPr>
          <w:rFonts w:ascii="Times New Roman" w:eastAsia="Cambria" w:hAnsi="Times New Roman" w:cs="Times New Roman"/>
          <w:kern w:val="22"/>
        </w:rPr>
        <w:t>were initially identified</w:t>
      </w:r>
      <w:r w:rsidR="00706D49" w:rsidRPr="00471447">
        <w:rPr>
          <w:rFonts w:ascii="Times New Roman" w:eastAsia="Cambria" w:hAnsi="Times New Roman" w:cs="Times New Roman"/>
          <w:kern w:val="22"/>
        </w:rPr>
        <w:t>:</w:t>
      </w:r>
    </w:p>
    <w:p w:rsidR="00706D49" w:rsidRPr="00471447" w:rsidRDefault="00706D49" w:rsidP="00471447">
      <w:pPr>
        <w:pStyle w:val="ListParagraph"/>
        <w:numPr>
          <w:ilvl w:val="1"/>
          <w:numId w:val="32"/>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i/>
          <w:kern w:val="22"/>
        </w:rPr>
        <w:t xml:space="preserve">Identifying broad health impacts resulting from anthropogenic changes which also cause biodiversity loss. </w:t>
      </w:r>
      <w:r w:rsidRPr="00471447">
        <w:rPr>
          <w:rFonts w:ascii="Times New Roman" w:eastAsia="Cambria" w:hAnsi="Times New Roman" w:cs="Times New Roman"/>
          <w:kern w:val="22"/>
        </w:rPr>
        <w:t>For example, forest fires in Indonesia leads to a series of respiratory disease that across Southeast Asia but also pose a considerable threat to biodiversity. The ILG could try to identify indicators of the health impacts from anthropogenic changes that also cause biodiversity loss</w:t>
      </w:r>
      <w:r w:rsidR="00A20A93">
        <w:rPr>
          <w:rFonts w:ascii="Times New Roman" w:eastAsia="Cambria" w:hAnsi="Times New Roman" w:cs="Times New Roman"/>
          <w:kern w:val="22"/>
        </w:rPr>
        <w:t>;</w:t>
      </w:r>
    </w:p>
    <w:p w:rsidR="00706D49" w:rsidRPr="00471447" w:rsidRDefault="00706D49" w:rsidP="00471447">
      <w:pPr>
        <w:pStyle w:val="ListParagraph"/>
        <w:numPr>
          <w:ilvl w:val="1"/>
          <w:numId w:val="32"/>
        </w:numPr>
        <w:spacing w:before="120" w:after="120"/>
        <w:ind w:left="0" w:firstLine="720"/>
        <w:jc w:val="both"/>
        <w:rPr>
          <w:rFonts w:ascii="Times New Roman" w:eastAsia="Cambria" w:hAnsi="Times New Roman" w:cs="Times New Roman"/>
          <w:i/>
          <w:kern w:val="22"/>
        </w:rPr>
      </w:pPr>
      <w:r w:rsidRPr="00471447">
        <w:rPr>
          <w:rFonts w:ascii="Times New Roman" w:eastAsia="Cambria" w:hAnsi="Times New Roman" w:cs="Times New Roman"/>
          <w:i/>
          <w:kern w:val="22"/>
        </w:rPr>
        <w:t>Indicators of ecosystem disruption</w:t>
      </w:r>
      <w:r w:rsidR="001D5050" w:rsidRPr="00471447">
        <w:rPr>
          <w:rFonts w:ascii="Times New Roman" w:eastAsia="Cambria" w:hAnsi="Times New Roman" w:cs="Times New Roman"/>
          <w:i/>
          <w:kern w:val="22"/>
        </w:rPr>
        <w:t>:</w:t>
      </w:r>
      <w:r w:rsidRPr="00471447">
        <w:rPr>
          <w:rFonts w:ascii="Times New Roman" w:eastAsia="Cambria" w:hAnsi="Times New Roman" w:cs="Times New Roman"/>
          <w:i/>
          <w:kern w:val="22"/>
        </w:rPr>
        <w:t xml:space="preserve"> </w:t>
      </w:r>
      <w:r w:rsidR="0013159D" w:rsidRPr="00471447">
        <w:rPr>
          <w:rFonts w:ascii="Times New Roman" w:eastAsia="Cambria" w:hAnsi="Times New Roman" w:cs="Times New Roman"/>
          <w:kern w:val="22"/>
        </w:rPr>
        <w:t xml:space="preserve">Several infectious </w:t>
      </w:r>
      <w:r w:rsidRPr="00471447">
        <w:rPr>
          <w:rFonts w:ascii="Times New Roman" w:eastAsia="Cambria" w:hAnsi="Times New Roman" w:cs="Times New Roman"/>
          <w:kern w:val="22"/>
        </w:rPr>
        <w:t xml:space="preserve">diseases </w:t>
      </w:r>
      <w:r w:rsidR="0013159D" w:rsidRPr="00471447">
        <w:rPr>
          <w:rFonts w:ascii="Times New Roman" w:eastAsia="Cambria" w:hAnsi="Times New Roman" w:cs="Times New Roman"/>
          <w:kern w:val="22"/>
        </w:rPr>
        <w:t xml:space="preserve">are </w:t>
      </w:r>
      <w:r w:rsidRPr="00471447">
        <w:rPr>
          <w:rFonts w:ascii="Times New Roman" w:eastAsia="Cambria" w:hAnsi="Times New Roman" w:cs="Times New Roman"/>
          <w:kern w:val="22"/>
        </w:rPr>
        <w:t>linked to biodiversity changes and</w:t>
      </w:r>
      <w:r w:rsidR="0013159D" w:rsidRPr="00471447">
        <w:rPr>
          <w:rFonts w:ascii="Times New Roman" w:eastAsia="Cambria" w:hAnsi="Times New Roman" w:cs="Times New Roman"/>
          <w:kern w:val="22"/>
        </w:rPr>
        <w:t>, more broadly,</w:t>
      </w:r>
      <w:r w:rsidRPr="00471447">
        <w:rPr>
          <w:rFonts w:ascii="Times New Roman" w:eastAsia="Cambria" w:hAnsi="Times New Roman" w:cs="Times New Roman"/>
          <w:kern w:val="22"/>
        </w:rPr>
        <w:t xml:space="preserve"> ecosystem disruption. </w:t>
      </w:r>
      <w:r w:rsidR="0013159D" w:rsidRPr="00471447">
        <w:rPr>
          <w:rFonts w:ascii="Times New Roman" w:eastAsia="Cambria" w:hAnsi="Times New Roman" w:cs="Times New Roman"/>
          <w:kern w:val="22"/>
        </w:rPr>
        <w:t>F</w:t>
      </w:r>
      <w:r w:rsidRPr="00471447">
        <w:rPr>
          <w:rFonts w:ascii="Times New Roman" w:eastAsia="Cambria" w:hAnsi="Times New Roman" w:cs="Times New Roman"/>
          <w:kern w:val="22"/>
        </w:rPr>
        <w:t xml:space="preserve">or </w:t>
      </w:r>
      <w:r w:rsidR="0013159D" w:rsidRPr="00471447">
        <w:rPr>
          <w:rFonts w:ascii="Times New Roman" w:eastAsia="Cambria" w:hAnsi="Times New Roman" w:cs="Times New Roman"/>
          <w:kern w:val="22"/>
        </w:rPr>
        <w:t>example,</w:t>
      </w:r>
      <w:r w:rsidRPr="00471447">
        <w:rPr>
          <w:rFonts w:ascii="Times New Roman" w:eastAsia="Cambria" w:hAnsi="Times New Roman" w:cs="Times New Roman"/>
          <w:kern w:val="22"/>
        </w:rPr>
        <w:t xml:space="preserve"> in some parts of the world, malaria rises as a result of forest fragmentation. </w:t>
      </w:r>
      <w:r w:rsidR="0013159D" w:rsidRPr="00471447">
        <w:rPr>
          <w:rFonts w:ascii="Times New Roman" w:eastAsia="Cambria" w:hAnsi="Times New Roman" w:cs="Times New Roman"/>
          <w:kern w:val="22"/>
        </w:rPr>
        <w:t>Accordingly</w:t>
      </w:r>
      <w:r w:rsidRPr="00471447">
        <w:rPr>
          <w:rFonts w:ascii="Times New Roman" w:eastAsia="Cambria" w:hAnsi="Times New Roman" w:cs="Times New Roman"/>
          <w:kern w:val="22"/>
        </w:rPr>
        <w:t>, perhaps malaria could be a possible indicator of this process</w:t>
      </w:r>
      <w:r w:rsidR="0013159D" w:rsidRPr="00471447">
        <w:rPr>
          <w:rFonts w:ascii="Times New Roman" w:eastAsia="Cambria" w:hAnsi="Times New Roman" w:cs="Times New Roman"/>
          <w:kern w:val="22"/>
        </w:rPr>
        <w:t xml:space="preserve"> or rabies, etc</w:t>
      </w:r>
      <w:r w:rsidRPr="00471447">
        <w:rPr>
          <w:rFonts w:ascii="Times New Roman" w:eastAsia="Cambria" w:hAnsi="Times New Roman" w:cs="Times New Roman"/>
          <w:kern w:val="22"/>
        </w:rPr>
        <w:t xml:space="preserve">. Perhaps </w:t>
      </w:r>
      <w:r w:rsidR="0013159D" w:rsidRPr="00471447">
        <w:rPr>
          <w:rFonts w:ascii="Times New Roman" w:eastAsia="Cambria" w:hAnsi="Times New Roman" w:cs="Times New Roman"/>
          <w:kern w:val="22"/>
        </w:rPr>
        <w:t xml:space="preserve">the ILG could identify a small series of </w:t>
      </w:r>
      <w:r w:rsidRPr="00471447">
        <w:rPr>
          <w:rFonts w:ascii="Times New Roman" w:eastAsia="Cambria" w:hAnsi="Times New Roman" w:cs="Times New Roman"/>
          <w:kern w:val="22"/>
        </w:rPr>
        <w:t xml:space="preserve">indicators of ecosystem disruption, </w:t>
      </w:r>
      <w:r w:rsidR="0013159D" w:rsidRPr="00471447">
        <w:rPr>
          <w:rFonts w:ascii="Times New Roman" w:eastAsia="Cambria" w:hAnsi="Times New Roman" w:cs="Times New Roman"/>
          <w:kern w:val="22"/>
        </w:rPr>
        <w:t>this could bring us closer</w:t>
      </w:r>
      <w:r w:rsidRPr="00471447">
        <w:rPr>
          <w:rFonts w:ascii="Times New Roman" w:eastAsia="Cambria" w:hAnsi="Times New Roman" w:cs="Times New Roman"/>
          <w:kern w:val="22"/>
        </w:rPr>
        <w:t xml:space="preserve"> to measuring human health indicators linked to biodiversity loss and ecosystem disruption. IUCN</w:t>
      </w:r>
      <w:r w:rsidR="0013159D" w:rsidRPr="00471447">
        <w:rPr>
          <w:rFonts w:ascii="Times New Roman" w:eastAsia="Cambria" w:hAnsi="Times New Roman" w:cs="Times New Roman"/>
          <w:kern w:val="22"/>
        </w:rPr>
        <w:t>, for example,</w:t>
      </w:r>
      <w:r w:rsidRPr="00471447">
        <w:rPr>
          <w:rFonts w:ascii="Times New Roman" w:eastAsia="Cambria" w:hAnsi="Times New Roman" w:cs="Times New Roman"/>
          <w:kern w:val="22"/>
        </w:rPr>
        <w:t xml:space="preserve"> is working on a Red List for Ecosystems that will include some health indicators</w:t>
      </w:r>
      <w:r w:rsidR="0013159D" w:rsidRPr="00471447">
        <w:rPr>
          <w:rFonts w:ascii="Times New Roman" w:eastAsia="Cambria" w:hAnsi="Times New Roman" w:cs="Times New Roman"/>
          <w:kern w:val="22"/>
        </w:rPr>
        <w:t>. This</w:t>
      </w:r>
      <w:r w:rsidRPr="00471447">
        <w:rPr>
          <w:rFonts w:ascii="Times New Roman" w:eastAsia="Cambria" w:hAnsi="Times New Roman" w:cs="Times New Roman"/>
          <w:kern w:val="22"/>
        </w:rPr>
        <w:t xml:space="preserve"> may be one way to find a natural partner to design more integrated indicators on ecosystem </w:t>
      </w:r>
      <w:r w:rsidR="0013159D" w:rsidRPr="00471447">
        <w:rPr>
          <w:rFonts w:ascii="Times New Roman" w:eastAsia="Cambria" w:hAnsi="Times New Roman" w:cs="Times New Roman"/>
          <w:kern w:val="22"/>
        </w:rPr>
        <w:t xml:space="preserve">degradation </w:t>
      </w:r>
      <w:r w:rsidRPr="00471447">
        <w:rPr>
          <w:rFonts w:ascii="Times New Roman" w:eastAsia="Cambria" w:hAnsi="Times New Roman" w:cs="Times New Roman"/>
          <w:kern w:val="22"/>
        </w:rPr>
        <w:t>and human health</w:t>
      </w:r>
      <w:r w:rsidR="00A20A93">
        <w:rPr>
          <w:rFonts w:ascii="Times New Roman" w:eastAsia="Cambria" w:hAnsi="Times New Roman" w:cs="Times New Roman"/>
          <w:kern w:val="22"/>
        </w:rPr>
        <w:t>;</w:t>
      </w:r>
    </w:p>
    <w:p w:rsidR="00713B0B" w:rsidRPr="00471447" w:rsidRDefault="00706D49" w:rsidP="00471447">
      <w:pPr>
        <w:pStyle w:val="ListParagraph"/>
        <w:numPr>
          <w:ilvl w:val="1"/>
          <w:numId w:val="32"/>
        </w:numPr>
        <w:spacing w:before="120" w:after="120"/>
        <w:ind w:left="0" w:firstLine="720"/>
        <w:jc w:val="both"/>
        <w:rPr>
          <w:rFonts w:ascii="Times New Roman" w:eastAsia="Cambria" w:hAnsi="Times New Roman" w:cs="Times New Roman"/>
          <w:i/>
          <w:kern w:val="22"/>
        </w:rPr>
      </w:pPr>
      <w:r w:rsidRPr="00471447">
        <w:rPr>
          <w:rFonts w:ascii="Times New Roman" w:eastAsia="Cambria" w:hAnsi="Times New Roman" w:cs="Times New Roman"/>
          <w:i/>
          <w:kern w:val="22"/>
        </w:rPr>
        <w:t>Emergence of new diseases:</w:t>
      </w:r>
      <w:r w:rsidRPr="00471447">
        <w:rPr>
          <w:rFonts w:ascii="Times New Roman" w:eastAsia="Cambria" w:hAnsi="Times New Roman" w:cs="Times New Roman"/>
          <w:b/>
          <w:kern w:val="22"/>
        </w:rPr>
        <w:t xml:space="preserve"> </w:t>
      </w:r>
      <w:r w:rsidR="0013159D" w:rsidRPr="00471447">
        <w:rPr>
          <w:rFonts w:ascii="Times New Roman" w:eastAsia="Cambria" w:hAnsi="Times New Roman" w:cs="Times New Roman"/>
          <w:kern w:val="22"/>
        </w:rPr>
        <w:t>T</w:t>
      </w:r>
      <w:r w:rsidRPr="00471447">
        <w:rPr>
          <w:rFonts w:ascii="Times New Roman" w:eastAsia="Cambria" w:hAnsi="Times New Roman" w:cs="Times New Roman"/>
          <w:kern w:val="22"/>
        </w:rPr>
        <w:t xml:space="preserve">here are measurements of </w:t>
      </w:r>
      <w:r w:rsidR="0013159D" w:rsidRPr="00471447">
        <w:rPr>
          <w:rFonts w:ascii="Times New Roman" w:eastAsia="Cambria" w:hAnsi="Times New Roman" w:cs="Times New Roman"/>
          <w:kern w:val="22"/>
        </w:rPr>
        <w:t xml:space="preserve">where </w:t>
      </w:r>
      <w:r w:rsidRPr="00471447">
        <w:rPr>
          <w:rFonts w:ascii="Times New Roman" w:eastAsia="Cambria" w:hAnsi="Times New Roman" w:cs="Times New Roman"/>
          <w:kern w:val="22"/>
        </w:rPr>
        <w:t xml:space="preserve">human activities contribute to outbreaks of new diseases from wildlife. If we look at the data, the more biodiverse a region the higher the risk, </w:t>
      </w:r>
      <w:r w:rsidR="0013159D" w:rsidRPr="00471447">
        <w:rPr>
          <w:rFonts w:ascii="Times New Roman" w:eastAsia="Cambria" w:hAnsi="Times New Roman" w:cs="Times New Roman"/>
          <w:kern w:val="22"/>
        </w:rPr>
        <w:t>but this relationship should be examined more closely</w:t>
      </w:r>
      <w:r w:rsidRPr="00471447">
        <w:rPr>
          <w:rFonts w:ascii="Times New Roman" w:eastAsia="Cambria" w:hAnsi="Times New Roman" w:cs="Times New Roman"/>
          <w:kern w:val="22"/>
        </w:rPr>
        <w:t xml:space="preserve">. The real issue is that if biodiversity is in its natural state and if it is well managed we should not be at risk of new emerging diseases. </w:t>
      </w:r>
      <w:r w:rsidR="002B1E62" w:rsidRPr="00471447">
        <w:rPr>
          <w:rFonts w:ascii="Times New Roman" w:eastAsia="Cambria" w:hAnsi="Times New Roman" w:cs="Times New Roman"/>
          <w:kern w:val="22"/>
        </w:rPr>
        <w:t xml:space="preserve">There </w:t>
      </w:r>
      <w:r w:rsidRPr="00471447">
        <w:rPr>
          <w:rFonts w:ascii="Times New Roman" w:eastAsia="Cambria" w:hAnsi="Times New Roman" w:cs="Times New Roman"/>
          <w:kern w:val="22"/>
        </w:rPr>
        <w:t>it</w:t>
      </w:r>
      <w:r w:rsidR="002B1E62" w:rsidRPr="00471447">
        <w:rPr>
          <w:rFonts w:ascii="Times New Roman" w:eastAsia="Cambria" w:hAnsi="Times New Roman" w:cs="Times New Roman"/>
          <w:kern w:val="22"/>
        </w:rPr>
        <w:t xml:space="preserve"> i</w:t>
      </w:r>
      <w:r w:rsidRPr="00471447">
        <w:rPr>
          <w:rFonts w:ascii="Times New Roman" w:eastAsia="Cambria" w:hAnsi="Times New Roman" w:cs="Times New Roman"/>
          <w:kern w:val="22"/>
        </w:rPr>
        <w:t xml:space="preserve">s important to gather data on </w:t>
      </w:r>
      <w:r w:rsidR="002B1E62" w:rsidRPr="00471447">
        <w:rPr>
          <w:rFonts w:ascii="Times New Roman" w:eastAsia="Cambria" w:hAnsi="Times New Roman" w:cs="Times New Roman"/>
          <w:kern w:val="22"/>
        </w:rPr>
        <w:t>existing activities that</w:t>
      </w:r>
      <w:r w:rsidRPr="00471447">
        <w:rPr>
          <w:rFonts w:ascii="Times New Roman" w:eastAsia="Cambria" w:hAnsi="Times New Roman" w:cs="Times New Roman"/>
          <w:kern w:val="22"/>
        </w:rPr>
        <w:t xml:space="preserve"> are well known drivers of emerging diseases </w:t>
      </w:r>
      <w:r w:rsidR="002B1E62" w:rsidRPr="00471447">
        <w:rPr>
          <w:rFonts w:ascii="Times New Roman" w:eastAsia="Cambria" w:hAnsi="Times New Roman" w:cs="Times New Roman"/>
          <w:kern w:val="22"/>
        </w:rPr>
        <w:t xml:space="preserve">(e.g. </w:t>
      </w:r>
      <w:r w:rsidRPr="00471447">
        <w:rPr>
          <w:rFonts w:ascii="Times New Roman" w:eastAsia="Cambria" w:hAnsi="Times New Roman" w:cs="Times New Roman"/>
          <w:kern w:val="22"/>
        </w:rPr>
        <w:t>landuse change, wildlife huntin</w:t>
      </w:r>
      <w:r w:rsidR="002B1E62" w:rsidRPr="00471447">
        <w:rPr>
          <w:rFonts w:ascii="Times New Roman" w:eastAsia="Cambria" w:hAnsi="Times New Roman" w:cs="Times New Roman"/>
          <w:kern w:val="22"/>
        </w:rPr>
        <w:t>g, wildlife trade)</w:t>
      </w:r>
      <w:r w:rsidRPr="00471447">
        <w:rPr>
          <w:rFonts w:ascii="Times New Roman" w:eastAsia="Cambria" w:hAnsi="Times New Roman" w:cs="Times New Roman"/>
          <w:kern w:val="22"/>
        </w:rPr>
        <w:t xml:space="preserve">.  Such indicators would be useful to </w:t>
      </w:r>
      <w:r w:rsidR="002B1E62" w:rsidRPr="00471447">
        <w:rPr>
          <w:rFonts w:ascii="Times New Roman" w:eastAsia="Cambria" w:hAnsi="Times New Roman" w:cs="Times New Roman"/>
          <w:kern w:val="22"/>
        </w:rPr>
        <w:t xml:space="preserve">both </w:t>
      </w:r>
      <w:r w:rsidRPr="00471447">
        <w:rPr>
          <w:rFonts w:ascii="Times New Roman" w:eastAsia="Cambria" w:hAnsi="Times New Roman" w:cs="Times New Roman"/>
          <w:kern w:val="22"/>
        </w:rPr>
        <w:t xml:space="preserve">the biodiversity </w:t>
      </w:r>
      <w:r w:rsidR="002B1E62" w:rsidRPr="00471447">
        <w:rPr>
          <w:rFonts w:ascii="Times New Roman" w:eastAsia="Cambria" w:hAnsi="Times New Roman" w:cs="Times New Roman"/>
          <w:kern w:val="22"/>
        </w:rPr>
        <w:t xml:space="preserve">and health </w:t>
      </w:r>
      <w:r w:rsidRPr="00471447">
        <w:rPr>
          <w:rFonts w:ascii="Times New Roman" w:eastAsia="Cambria" w:hAnsi="Times New Roman" w:cs="Times New Roman"/>
          <w:kern w:val="22"/>
        </w:rPr>
        <w:t>communit</w:t>
      </w:r>
      <w:r w:rsidR="002B1E62" w:rsidRPr="00471447">
        <w:rPr>
          <w:rFonts w:ascii="Times New Roman" w:eastAsia="Cambria" w:hAnsi="Times New Roman" w:cs="Times New Roman"/>
          <w:kern w:val="22"/>
        </w:rPr>
        <w:t>ies</w:t>
      </w:r>
      <w:r w:rsidRPr="00471447">
        <w:rPr>
          <w:rFonts w:ascii="Times New Roman" w:eastAsia="Cambria" w:hAnsi="Times New Roman" w:cs="Times New Roman"/>
          <w:kern w:val="22"/>
        </w:rPr>
        <w:t>.</w:t>
      </w:r>
    </w:p>
    <w:p w:rsidR="00713B0B" w:rsidRPr="00471447" w:rsidRDefault="00713B0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141.</w:t>
      </w:r>
      <w:r w:rsidRPr="00471447">
        <w:rPr>
          <w:rFonts w:ascii="Times New Roman" w:eastAsia="Cambria" w:hAnsi="Times New Roman" w:cs="Times New Roman"/>
          <w:kern w:val="22"/>
        </w:rPr>
        <w:tab/>
      </w:r>
      <w:r w:rsidR="002B1E62" w:rsidRPr="00471447">
        <w:rPr>
          <w:rFonts w:ascii="Times New Roman" w:eastAsia="Cambria" w:hAnsi="Times New Roman" w:cs="Times New Roman"/>
          <w:kern w:val="22"/>
        </w:rPr>
        <w:t>T</w:t>
      </w:r>
      <w:r w:rsidRPr="00471447">
        <w:rPr>
          <w:rFonts w:ascii="Times New Roman" w:eastAsia="Cambria" w:hAnsi="Times New Roman" w:cs="Times New Roman"/>
          <w:kern w:val="22"/>
        </w:rPr>
        <w:t xml:space="preserve">wo questions </w:t>
      </w:r>
      <w:r w:rsidR="002B1E62" w:rsidRPr="00471447">
        <w:rPr>
          <w:rFonts w:ascii="Times New Roman" w:eastAsia="Cambria" w:hAnsi="Times New Roman" w:cs="Times New Roman"/>
          <w:kern w:val="22"/>
        </w:rPr>
        <w:t>were raised for the Group’s consideration</w:t>
      </w:r>
      <w:r w:rsidRPr="00471447">
        <w:rPr>
          <w:rFonts w:ascii="Times New Roman" w:eastAsia="Cambria" w:hAnsi="Times New Roman" w:cs="Times New Roman"/>
          <w:kern w:val="22"/>
        </w:rPr>
        <w:t>:</w:t>
      </w:r>
      <w:r w:rsidR="002B1E62" w:rsidRPr="00471447">
        <w:rPr>
          <w:rFonts w:ascii="Times New Roman" w:eastAsia="Cambria" w:hAnsi="Times New Roman" w:cs="Times New Roman"/>
          <w:kern w:val="22"/>
        </w:rPr>
        <w:t xml:space="preserve"> first, </w:t>
      </w:r>
      <w:r w:rsidRPr="00471447">
        <w:rPr>
          <w:rFonts w:ascii="Times New Roman" w:eastAsia="Cambria" w:hAnsi="Times New Roman" w:cs="Times New Roman"/>
          <w:kern w:val="22"/>
        </w:rPr>
        <w:t>in relation to biodiversity and health/disease indicators whether it better if each of these is spatially explicit</w:t>
      </w:r>
      <w:r w:rsidR="002B1E62" w:rsidRPr="00471447">
        <w:rPr>
          <w:rFonts w:ascii="Times New Roman" w:eastAsia="Cambria" w:hAnsi="Times New Roman" w:cs="Times New Roman"/>
          <w:kern w:val="22"/>
        </w:rPr>
        <w:t xml:space="preserve"> (i.e. </w:t>
      </w:r>
      <w:r w:rsidRPr="00471447">
        <w:rPr>
          <w:rFonts w:ascii="Times New Roman" w:eastAsia="Cambria" w:hAnsi="Times New Roman" w:cs="Times New Roman"/>
          <w:kern w:val="22"/>
        </w:rPr>
        <w:t>point data rather than aggregate data at the country level</w:t>
      </w:r>
      <w:r w:rsidR="002B1E62" w:rsidRPr="00471447">
        <w:rPr>
          <w:rFonts w:ascii="Times New Roman" w:eastAsia="Cambria" w:hAnsi="Times New Roman" w:cs="Times New Roman"/>
          <w:kern w:val="22"/>
        </w:rPr>
        <w:t>, or</w:t>
      </w:r>
      <w:r w:rsidRPr="00471447">
        <w:rPr>
          <w:rFonts w:ascii="Times New Roman" w:eastAsia="Cambria" w:hAnsi="Times New Roman" w:cs="Times New Roman"/>
          <w:kern w:val="22"/>
        </w:rPr>
        <w:t xml:space="preserve"> prospects for using big data to examine datasets jointly</w:t>
      </w:r>
      <w:r w:rsidR="002B1E62" w:rsidRPr="00471447">
        <w:rPr>
          <w:rFonts w:ascii="Times New Roman" w:eastAsia="Cambria" w:hAnsi="Times New Roman" w:cs="Times New Roman"/>
          <w:kern w:val="22"/>
        </w:rPr>
        <w:t>)</w:t>
      </w:r>
      <w:r w:rsidRPr="00471447">
        <w:rPr>
          <w:rFonts w:ascii="Times New Roman" w:eastAsia="Cambria" w:hAnsi="Times New Roman" w:cs="Times New Roman"/>
          <w:kern w:val="22"/>
        </w:rPr>
        <w:t>. Secon</w:t>
      </w:r>
      <w:r w:rsidR="002B1E62" w:rsidRPr="00471447">
        <w:rPr>
          <w:rFonts w:ascii="Times New Roman" w:eastAsia="Cambria" w:hAnsi="Times New Roman" w:cs="Times New Roman"/>
          <w:kern w:val="22"/>
        </w:rPr>
        <w:t>d</w:t>
      </w:r>
      <w:r w:rsidRPr="00471447">
        <w:rPr>
          <w:rFonts w:ascii="Times New Roman" w:eastAsia="Cambria" w:hAnsi="Times New Roman" w:cs="Times New Roman"/>
          <w:kern w:val="22"/>
        </w:rPr>
        <w:t xml:space="preserve">, in addition to links with infectious diseases what other dimensions would the group wish to bring </w:t>
      </w:r>
      <w:r w:rsidR="002B1E62" w:rsidRPr="00471447">
        <w:rPr>
          <w:rFonts w:ascii="Times New Roman" w:eastAsia="Cambria" w:hAnsi="Times New Roman" w:cs="Times New Roman"/>
          <w:kern w:val="22"/>
        </w:rPr>
        <w:t xml:space="preserve">(e.g. </w:t>
      </w:r>
      <w:r w:rsidRPr="00471447">
        <w:rPr>
          <w:rFonts w:ascii="Times New Roman" w:eastAsia="Cambria" w:hAnsi="Times New Roman" w:cs="Times New Roman"/>
          <w:kern w:val="22"/>
        </w:rPr>
        <w:t>nutrition</w:t>
      </w:r>
      <w:r w:rsidR="002B1E6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noncommunicable diseases</w:t>
      </w:r>
      <w:r w:rsidR="002B1E62" w:rsidRPr="00471447">
        <w:rPr>
          <w:rFonts w:ascii="Times New Roman" w:eastAsia="Cambria" w:hAnsi="Times New Roman" w:cs="Times New Roman"/>
          <w:kern w:val="22"/>
        </w:rPr>
        <w:t>)</w:t>
      </w:r>
      <w:r w:rsidRPr="00471447">
        <w:rPr>
          <w:rFonts w:ascii="Times New Roman" w:eastAsia="Cambria" w:hAnsi="Times New Roman" w:cs="Times New Roman"/>
          <w:kern w:val="22"/>
        </w:rPr>
        <w:t>.</w:t>
      </w:r>
      <w:r w:rsidR="002B1E6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Additional interventions and considerations identified by ILG members to complement these activities include:</w:t>
      </w:r>
    </w:p>
    <w:p w:rsidR="00713B0B" w:rsidRPr="00471447" w:rsidRDefault="002B1E62"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w:t>
      </w:r>
      <w:r w:rsidR="00706D49" w:rsidRPr="00471447">
        <w:rPr>
          <w:rFonts w:ascii="Times New Roman" w:eastAsia="Cambria" w:hAnsi="Times New Roman" w:cs="Times New Roman"/>
          <w:kern w:val="22"/>
        </w:rPr>
        <w:t>n addition to landuse changes</w:t>
      </w:r>
      <w:r w:rsidR="00713B0B" w:rsidRPr="00471447">
        <w:rPr>
          <w:rFonts w:ascii="Times New Roman" w:eastAsia="Cambria" w:hAnsi="Times New Roman" w:cs="Times New Roman"/>
          <w:kern w:val="22"/>
        </w:rPr>
        <w:t>,</w:t>
      </w:r>
      <w:r w:rsidR="00706D49" w:rsidRPr="00471447">
        <w:rPr>
          <w:rFonts w:ascii="Times New Roman" w:eastAsia="Cambria" w:hAnsi="Times New Roman" w:cs="Times New Roman"/>
          <w:kern w:val="22"/>
        </w:rPr>
        <w:t xml:space="preserve"> industry activities such as mining which compound </w:t>
      </w:r>
      <w:r w:rsidRPr="00471447">
        <w:rPr>
          <w:rFonts w:ascii="Times New Roman" w:eastAsia="Cambria" w:hAnsi="Times New Roman" w:cs="Times New Roman"/>
          <w:kern w:val="22"/>
        </w:rPr>
        <w:t xml:space="preserve">disease </w:t>
      </w:r>
      <w:r w:rsidR="00713B0B" w:rsidRPr="00471447">
        <w:rPr>
          <w:rFonts w:ascii="Times New Roman" w:eastAsia="Cambria" w:hAnsi="Times New Roman" w:cs="Times New Roman"/>
          <w:kern w:val="22"/>
        </w:rPr>
        <w:t>risks</w:t>
      </w:r>
      <w:r w:rsidRPr="00471447">
        <w:rPr>
          <w:rFonts w:ascii="Times New Roman" w:eastAsia="Cambria" w:hAnsi="Times New Roman" w:cs="Times New Roman"/>
          <w:kern w:val="22"/>
        </w:rPr>
        <w:t xml:space="preserve"> </w:t>
      </w:r>
      <w:r w:rsidR="00A362AD" w:rsidRPr="00471447">
        <w:rPr>
          <w:rFonts w:ascii="Times New Roman" w:eastAsia="Cambria" w:hAnsi="Times New Roman" w:cs="Times New Roman"/>
          <w:kern w:val="22"/>
        </w:rPr>
        <w:t>were also proposed as an area of further study</w:t>
      </w:r>
      <w:r w:rsidR="00713B0B" w:rsidRPr="00471447">
        <w:rPr>
          <w:rFonts w:ascii="Times New Roman" w:eastAsia="Cambria" w:hAnsi="Times New Roman" w:cs="Times New Roman"/>
          <w:kern w:val="22"/>
        </w:rPr>
        <w:t xml:space="preserve">. It </w:t>
      </w:r>
      <w:r w:rsidRPr="00471447">
        <w:rPr>
          <w:rFonts w:ascii="Times New Roman" w:eastAsia="Cambria" w:hAnsi="Times New Roman" w:cs="Times New Roman"/>
          <w:kern w:val="22"/>
        </w:rPr>
        <w:t>was</w:t>
      </w:r>
      <w:r w:rsidR="00A362AD" w:rsidRPr="00471447">
        <w:rPr>
          <w:rFonts w:ascii="Times New Roman" w:eastAsia="Cambria" w:hAnsi="Times New Roman" w:cs="Times New Roman"/>
          <w:kern w:val="22"/>
        </w:rPr>
        <w:t xml:space="preserve"> also</w:t>
      </w:r>
      <w:r w:rsidRPr="00471447">
        <w:rPr>
          <w:rFonts w:ascii="Times New Roman" w:eastAsia="Cambria" w:hAnsi="Times New Roman" w:cs="Times New Roman"/>
          <w:kern w:val="22"/>
        </w:rPr>
        <w:t xml:space="preserve"> noted </w:t>
      </w:r>
      <w:r w:rsidR="00713B0B" w:rsidRPr="00471447">
        <w:rPr>
          <w:rFonts w:ascii="Times New Roman" w:eastAsia="Cambria" w:hAnsi="Times New Roman" w:cs="Times New Roman"/>
          <w:kern w:val="22"/>
        </w:rPr>
        <w:t>that w</w:t>
      </w:r>
      <w:r w:rsidR="00706D49" w:rsidRPr="00471447">
        <w:rPr>
          <w:rFonts w:ascii="Times New Roman" w:eastAsia="Cambria" w:hAnsi="Times New Roman" w:cs="Times New Roman"/>
          <w:kern w:val="22"/>
        </w:rPr>
        <w:t xml:space="preserve">hen some areas are opened up for forestry or mining, </w:t>
      </w:r>
      <w:r w:rsidRPr="00471447">
        <w:rPr>
          <w:rFonts w:ascii="Times New Roman" w:eastAsia="Cambria" w:hAnsi="Times New Roman" w:cs="Times New Roman"/>
          <w:kern w:val="22"/>
        </w:rPr>
        <w:t xml:space="preserve">it may </w:t>
      </w:r>
      <w:r w:rsidR="00713B0B" w:rsidRPr="00471447">
        <w:rPr>
          <w:rFonts w:ascii="Times New Roman" w:eastAsia="Cambria" w:hAnsi="Times New Roman" w:cs="Times New Roman"/>
          <w:kern w:val="22"/>
        </w:rPr>
        <w:t xml:space="preserve">also </w:t>
      </w:r>
      <w:r w:rsidR="00706D49" w:rsidRPr="00471447">
        <w:rPr>
          <w:rFonts w:ascii="Times New Roman" w:eastAsia="Cambria" w:hAnsi="Times New Roman" w:cs="Times New Roman"/>
          <w:kern w:val="22"/>
        </w:rPr>
        <w:t xml:space="preserve">improve access including </w:t>
      </w:r>
      <w:r w:rsidRPr="00471447">
        <w:rPr>
          <w:rFonts w:ascii="Times New Roman" w:eastAsia="Cambria" w:hAnsi="Times New Roman" w:cs="Times New Roman"/>
          <w:kern w:val="22"/>
        </w:rPr>
        <w:t>to</w:t>
      </w:r>
      <w:r w:rsidR="00706D49" w:rsidRPr="00471447">
        <w:rPr>
          <w:rFonts w:ascii="Times New Roman" w:eastAsia="Cambria" w:hAnsi="Times New Roman" w:cs="Times New Roman"/>
          <w:kern w:val="22"/>
        </w:rPr>
        <w:t xml:space="preserve"> bushmeat</w:t>
      </w:r>
      <w:r w:rsidR="00A362AD" w:rsidRPr="00471447">
        <w:rPr>
          <w:rFonts w:ascii="Times New Roman" w:eastAsia="Cambria" w:hAnsi="Times New Roman" w:cs="Times New Roman"/>
          <w:kern w:val="22"/>
        </w:rPr>
        <w:t>. Such activities may be of interest to the ILG.</w:t>
      </w:r>
      <w:r w:rsidR="00706D49" w:rsidRPr="00471447">
        <w:rPr>
          <w:rFonts w:ascii="Times New Roman" w:eastAsia="Cambria" w:hAnsi="Times New Roman" w:cs="Times New Roman"/>
          <w:kern w:val="22"/>
        </w:rPr>
        <w:t xml:space="preserve"> </w:t>
      </w:r>
    </w:p>
    <w:p w:rsidR="006662DF" w:rsidRPr="00471447" w:rsidRDefault="00A362AD"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w:t>
      </w:r>
      <w:r w:rsidR="006662DF" w:rsidRPr="00471447">
        <w:rPr>
          <w:rFonts w:ascii="Times New Roman" w:eastAsia="Cambria" w:hAnsi="Times New Roman" w:cs="Times New Roman"/>
          <w:kern w:val="22"/>
        </w:rPr>
        <w:t>environmental and human health crisis resulting from the collapse of a Brazilian mining company’s dam in late 2015</w:t>
      </w:r>
      <w:r w:rsidRPr="00471447">
        <w:rPr>
          <w:rFonts w:ascii="Times New Roman" w:eastAsia="Cambria" w:hAnsi="Times New Roman" w:cs="Times New Roman"/>
          <w:kern w:val="22"/>
        </w:rPr>
        <w:t xml:space="preserve"> was proposed as a potential case study for the ILG’s consideration</w:t>
      </w:r>
      <w:r w:rsidR="006662DF" w:rsidRPr="00471447">
        <w:rPr>
          <w:rFonts w:ascii="Times New Roman" w:eastAsia="Cambria" w:hAnsi="Times New Roman" w:cs="Times New Roman"/>
          <w:kern w:val="22"/>
        </w:rPr>
        <w:t>. The mineral waste from a neighbouring iron-ore mine</w:t>
      </w:r>
      <w:r w:rsidRPr="00471447">
        <w:rPr>
          <w:rFonts w:ascii="Times New Roman" w:eastAsia="Cambria" w:hAnsi="Times New Roman" w:cs="Times New Roman"/>
          <w:kern w:val="22"/>
        </w:rPr>
        <w:t xml:space="preserve"> in the Minas Gerais region caused considerable freshwater pollution, </w:t>
      </w:r>
      <w:r w:rsidR="006662DF" w:rsidRPr="00471447">
        <w:rPr>
          <w:rFonts w:ascii="Times New Roman" w:eastAsia="Cambria" w:hAnsi="Times New Roman" w:cs="Times New Roman"/>
          <w:kern w:val="22"/>
        </w:rPr>
        <w:t>affect</w:t>
      </w:r>
      <w:r w:rsidRPr="00471447">
        <w:rPr>
          <w:rFonts w:ascii="Times New Roman" w:eastAsia="Cambria" w:hAnsi="Times New Roman" w:cs="Times New Roman"/>
          <w:kern w:val="22"/>
        </w:rPr>
        <w:t>ed</w:t>
      </w:r>
      <w:r w:rsidR="006662DF" w:rsidRPr="00471447">
        <w:rPr>
          <w:rFonts w:ascii="Times New Roman" w:eastAsia="Cambria" w:hAnsi="Times New Roman" w:cs="Times New Roman"/>
          <w:kern w:val="22"/>
        </w:rPr>
        <w:t xml:space="preserve"> drinking water supply</w:t>
      </w:r>
      <w:r w:rsidRPr="00471447">
        <w:rPr>
          <w:rFonts w:ascii="Times New Roman" w:eastAsia="Cambria" w:hAnsi="Times New Roman" w:cs="Times New Roman"/>
          <w:kern w:val="22"/>
        </w:rPr>
        <w:t xml:space="preserve"> and</w:t>
      </w:r>
      <w:r w:rsidR="006662DF"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may have led to the</w:t>
      </w:r>
      <w:r w:rsidR="006662DF" w:rsidRPr="00471447">
        <w:rPr>
          <w:rFonts w:ascii="Times New Roman" w:eastAsia="Cambria" w:hAnsi="Times New Roman" w:cs="Times New Roman"/>
          <w:kern w:val="22"/>
        </w:rPr>
        <w:t xml:space="preserve"> large</w:t>
      </w:r>
      <w:r w:rsidRPr="00471447">
        <w:rPr>
          <w:rFonts w:ascii="Times New Roman" w:eastAsia="Cambria" w:hAnsi="Times New Roman" w:cs="Times New Roman"/>
          <w:kern w:val="22"/>
        </w:rPr>
        <w:t>st</w:t>
      </w:r>
      <w:r w:rsidR="006662DF" w:rsidRPr="00471447">
        <w:rPr>
          <w:rFonts w:ascii="Times New Roman" w:eastAsia="Cambria" w:hAnsi="Times New Roman" w:cs="Times New Roman"/>
          <w:kern w:val="22"/>
        </w:rPr>
        <w:t xml:space="preserve"> outbreak of yellow fever</w:t>
      </w:r>
      <w:r w:rsidRPr="00471447">
        <w:rPr>
          <w:rFonts w:ascii="Times New Roman" w:eastAsia="Cambria" w:hAnsi="Times New Roman" w:cs="Times New Roman"/>
          <w:kern w:val="22"/>
        </w:rPr>
        <w:t xml:space="preserve"> in over a decade, </w:t>
      </w:r>
      <w:r w:rsidR="006662DF" w:rsidRPr="00471447">
        <w:rPr>
          <w:rFonts w:ascii="Times New Roman" w:eastAsia="Cambria" w:hAnsi="Times New Roman" w:cs="Times New Roman"/>
          <w:kern w:val="22"/>
        </w:rPr>
        <w:t>affect</w:t>
      </w:r>
      <w:r w:rsidRPr="00471447">
        <w:rPr>
          <w:rFonts w:ascii="Times New Roman" w:eastAsia="Cambria" w:hAnsi="Times New Roman" w:cs="Times New Roman"/>
          <w:kern w:val="22"/>
        </w:rPr>
        <w:t>ing</w:t>
      </w:r>
      <w:r w:rsidR="006662DF" w:rsidRPr="00471447">
        <w:rPr>
          <w:rFonts w:ascii="Times New Roman" w:eastAsia="Cambria" w:hAnsi="Times New Roman" w:cs="Times New Roman"/>
          <w:kern w:val="22"/>
        </w:rPr>
        <w:t xml:space="preserve"> hundreds of people</w:t>
      </w:r>
      <w:r w:rsidRPr="00471447">
        <w:rPr>
          <w:rFonts w:ascii="Times New Roman" w:eastAsia="Cambria" w:hAnsi="Times New Roman" w:cs="Times New Roman"/>
          <w:kern w:val="22"/>
        </w:rPr>
        <w:t>,</w:t>
      </w:r>
      <w:r w:rsidR="006662DF" w:rsidRPr="00471447">
        <w:rPr>
          <w:rFonts w:ascii="Times New Roman" w:eastAsia="Cambria" w:hAnsi="Times New Roman" w:cs="Times New Roman"/>
          <w:kern w:val="22"/>
        </w:rPr>
        <w:t xml:space="preserve"> le</w:t>
      </w:r>
      <w:r w:rsidRPr="00471447">
        <w:rPr>
          <w:rFonts w:ascii="Times New Roman" w:eastAsia="Cambria" w:hAnsi="Times New Roman" w:cs="Times New Roman"/>
          <w:kern w:val="22"/>
        </w:rPr>
        <w:t>a</w:t>
      </w:r>
      <w:r w:rsidR="006662DF" w:rsidRPr="00471447">
        <w:rPr>
          <w:rFonts w:ascii="Times New Roman" w:eastAsia="Cambria" w:hAnsi="Times New Roman" w:cs="Times New Roman"/>
          <w:kern w:val="22"/>
        </w:rPr>
        <w:t>d</w:t>
      </w:r>
      <w:r w:rsidRPr="00471447">
        <w:rPr>
          <w:rFonts w:ascii="Times New Roman" w:eastAsia="Cambria" w:hAnsi="Times New Roman" w:cs="Times New Roman"/>
          <w:kern w:val="22"/>
        </w:rPr>
        <w:t>ing</w:t>
      </w:r>
      <w:r w:rsidR="006662DF" w:rsidRPr="00471447">
        <w:rPr>
          <w:rFonts w:ascii="Times New Roman" w:eastAsia="Cambria" w:hAnsi="Times New Roman" w:cs="Times New Roman"/>
          <w:kern w:val="22"/>
        </w:rPr>
        <w:t xml:space="preserve"> t</w:t>
      </w:r>
      <w:r w:rsidRPr="00471447">
        <w:rPr>
          <w:rFonts w:ascii="Times New Roman" w:eastAsia="Cambria" w:hAnsi="Times New Roman" w:cs="Times New Roman"/>
          <w:kern w:val="22"/>
        </w:rPr>
        <w:t>o</w:t>
      </w:r>
      <w:r w:rsidR="006662DF" w:rsidRPr="00471447">
        <w:rPr>
          <w:rFonts w:ascii="Times New Roman" w:eastAsia="Cambria" w:hAnsi="Times New Roman" w:cs="Times New Roman"/>
          <w:kern w:val="22"/>
        </w:rPr>
        <w:t xml:space="preserve"> over 50 </w:t>
      </w:r>
      <w:r w:rsidRPr="00471447">
        <w:rPr>
          <w:rFonts w:ascii="Times New Roman" w:eastAsia="Cambria" w:hAnsi="Times New Roman" w:cs="Times New Roman"/>
          <w:kern w:val="22"/>
        </w:rPr>
        <w:t xml:space="preserve">human </w:t>
      </w:r>
      <w:r w:rsidR="006662DF" w:rsidRPr="00471447">
        <w:rPr>
          <w:rFonts w:ascii="Times New Roman" w:eastAsia="Cambria" w:hAnsi="Times New Roman" w:cs="Times New Roman"/>
          <w:kern w:val="22"/>
        </w:rPr>
        <w:t>deaths</w:t>
      </w:r>
      <w:r w:rsidRPr="00471447">
        <w:rPr>
          <w:rFonts w:ascii="Times New Roman" w:eastAsia="Cambria" w:hAnsi="Times New Roman" w:cs="Times New Roman"/>
          <w:kern w:val="22"/>
        </w:rPr>
        <w:t xml:space="preserve"> and killing hundreds</w:t>
      </w:r>
      <w:r w:rsidR="006662DF" w:rsidRPr="00471447">
        <w:rPr>
          <w:rFonts w:ascii="Times New Roman" w:eastAsia="Cambria" w:hAnsi="Times New Roman" w:cs="Times New Roman"/>
          <w:kern w:val="22"/>
        </w:rPr>
        <w:t xml:space="preserve"> of monkeys in Brazil's Atlantic rainforest region, threatening the survival of rare South American primates such as Brown Howlers and Masked Titis. </w:t>
      </w:r>
    </w:p>
    <w:p w:rsidR="00713B0B" w:rsidRPr="00471447" w:rsidRDefault="00A362AD"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w:t>
      </w:r>
      <w:r w:rsidR="00706D49" w:rsidRPr="00471447">
        <w:rPr>
          <w:rFonts w:ascii="Times New Roman" w:eastAsia="Cambria" w:hAnsi="Times New Roman" w:cs="Times New Roman"/>
          <w:kern w:val="22"/>
        </w:rPr>
        <w:t xml:space="preserve">he </w:t>
      </w:r>
      <w:r w:rsidR="00104B29" w:rsidRPr="00471447">
        <w:rPr>
          <w:rFonts w:ascii="Times New Roman" w:eastAsia="Cambria" w:hAnsi="Times New Roman" w:cs="Times New Roman"/>
          <w:kern w:val="22"/>
        </w:rPr>
        <w:t>contribution of</w:t>
      </w:r>
      <w:r w:rsidR="00706D49" w:rsidRPr="00471447">
        <w:rPr>
          <w:rFonts w:ascii="Times New Roman" w:eastAsia="Cambria" w:hAnsi="Times New Roman" w:cs="Times New Roman"/>
          <w:kern w:val="22"/>
        </w:rPr>
        <w:t xml:space="preserve"> defaunation to negative health outcomes</w:t>
      </w:r>
      <w:r w:rsidRPr="00471447">
        <w:rPr>
          <w:rFonts w:ascii="Times New Roman" w:eastAsia="Cambria" w:hAnsi="Times New Roman" w:cs="Times New Roman"/>
          <w:kern w:val="22"/>
        </w:rPr>
        <w:t xml:space="preserve"> was also proposed as an area </w:t>
      </w:r>
      <w:r w:rsidR="00104B29" w:rsidRPr="00471447">
        <w:rPr>
          <w:rFonts w:ascii="Times New Roman" w:eastAsia="Cambria" w:hAnsi="Times New Roman" w:cs="Times New Roman"/>
          <w:kern w:val="22"/>
        </w:rPr>
        <w:t>of further study by the ILG (I.e. the empty forest syndrome which is problematic in central Africa where you may not see deforestation as such but you still have ecosystem degradation)</w:t>
      </w:r>
    </w:p>
    <w:p w:rsidR="00713B0B" w:rsidRPr="00471447" w:rsidRDefault="00104B29"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It was</w:t>
      </w:r>
      <w:r w:rsidR="00706D49" w:rsidRPr="00471447">
        <w:rPr>
          <w:rFonts w:ascii="Times New Roman" w:eastAsia="Cambria" w:hAnsi="Times New Roman" w:cs="Times New Roman"/>
          <w:kern w:val="22"/>
        </w:rPr>
        <w:t xml:space="preserve"> noted that biodiversity indicators are not widely available to the health community </w:t>
      </w:r>
      <w:r w:rsidR="00A81CFC" w:rsidRPr="00471447">
        <w:rPr>
          <w:rFonts w:ascii="Times New Roman" w:eastAsia="Cambria" w:hAnsi="Times New Roman" w:cs="Times New Roman"/>
          <w:kern w:val="22"/>
        </w:rPr>
        <w:t xml:space="preserve">in some countries </w:t>
      </w:r>
      <w:r w:rsidRPr="00471447">
        <w:rPr>
          <w:rFonts w:ascii="Times New Roman" w:eastAsia="Cambria" w:hAnsi="Times New Roman" w:cs="Times New Roman"/>
          <w:kern w:val="22"/>
        </w:rPr>
        <w:t xml:space="preserve">(e.g. China) </w:t>
      </w:r>
      <w:r w:rsidR="00706D49" w:rsidRPr="00471447">
        <w:rPr>
          <w:rFonts w:ascii="Times New Roman" w:eastAsia="Cambria" w:hAnsi="Times New Roman" w:cs="Times New Roman"/>
          <w:kern w:val="22"/>
        </w:rPr>
        <w:t xml:space="preserve">and </w:t>
      </w:r>
      <w:r w:rsidR="00713B0B" w:rsidRPr="00471447">
        <w:rPr>
          <w:rFonts w:ascii="Times New Roman" w:eastAsia="Cambria" w:hAnsi="Times New Roman" w:cs="Times New Roman"/>
          <w:kern w:val="22"/>
        </w:rPr>
        <w:t>there is</w:t>
      </w:r>
      <w:r w:rsidR="00706D49" w:rsidRPr="00471447">
        <w:rPr>
          <w:rFonts w:ascii="Times New Roman" w:eastAsia="Cambria" w:hAnsi="Times New Roman" w:cs="Times New Roman"/>
          <w:kern w:val="22"/>
        </w:rPr>
        <w:t xml:space="preserve"> scope to encourage biodiversity data sharing</w:t>
      </w:r>
      <w:r w:rsidR="00713B0B" w:rsidRPr="00471447">
        <w:rPr>
          <w:rFonts w:ascii="Times New Roman" w:eastAsia="Cambria" w:hAnsi="Times New Roman" w:cs="Times New Roman"/>
          <w:kern w:val="22"/>
        </w:rPr>
        <w:t xml:space="preserve"> with the health sector</w:t>
      </w:r>
      <w:r w:rsidRPr="00471447">
        <w:rPr>
          <w:rFonts w:ascii="Times New Roman" w:eastAsia="Cambria" w:hAnsi="Times New Roman" w:cs="Times New Roman"/>
          <w:kern w:val="22"/>
        </w:rPr>
        <w:t xml:space="preserve"> in these areas</w:t>
      </w:r>
      <w:r w:rsidR="00706D49" w:rsidRPr="00471447">
        <w:rPr>
          <w:rFonts w:ascii="Times New Roman" w:eastAsia="Cambria" w:hAnsi="Times New Roman" w:cs="Times New Roman"/>
          <w:kern w:val="22"/>
        </w:rPr>
        <w:t xml:space="preserve">. </w:t>
      </w:r>
      <w:r w:rsidR="00713B0B" w:rsidRPr="00471447">
        <w:rPr>
          <w:rFonts w:ascii="Times New Roman" w:eastAsia="Cambria" w:hAnsi="Times New Roman" w:cs="Times New Roman"/>
          <w:kern w:val="22"/>
        </w:rPr>
        <w:t>Th</w:t>
      </w:r>
      <w:r w:rsidRPr="00471447">
        <w:rPr>
          <w:rFonts w:ascii="Times New Roman" w:eastAsia="Cambria" w:hAnsi="Times New Roman" w:cs="Times New Roman"/>
          <w:kern w:val="22"/>
        </w:rPr>
        <w:t>e information</w:t>
      </w:r>
      <w:r w:rsidR="00713B0B" w:rsidRPr="00471447">
        <w:rPr>
          <w:rFonts w:ascii="Times New Roman" w:eastAsia="Cambria" w:hAnsi="Times New Roman" w:cs="Times New Roman"/>
          <w:kern w:val="22"/>
        </w:rPr>
        <w:t xml:space="preserve"> could be used as a </w:t>
      </w:r>
      <w:r w:rsidR="00706D49" w:rsidRPr="00471447">
        <w:rPr>
          <w:rFonts w:ascii="Times New Roman" w:eastAsia="Cambria" w:hAnsi="Times New Roman" w:cs="Times New Roman"/>
          <w:kern w:val="22"/>
        </w:rPr>
        <w:t>basis</w:t>
      </w:r>
      <w:r w:rsidR="00713B0B" w:rsidRPr="00471447">
        <w:rPr>
          <w:rFonts w:ascii="Times New Roman" w:eastAsia="Cambria" w:hAnsi="Times New Roman" w:cs="Times New Roman"/>
          <w:kern w:val="22"/>
        </w:rPr>
        <w:t xml:space="preserve"> upon which</w:t>
      </w:r>
      <w:r w:rsidR="00706D49" w:rsidRPr="00471447">
        <w:rPr>
          <w:rFonts w:ascii="Times New Roman" w:eastAsia="Cambria" w:hAnsi="Times New Roman" w:cs="Times New Roman"/>
          <w:kern w:val="22"/>
        </w:rPr>
        <w:t xml:space="preserve"> to generate useful indic</w:t>
      </w:r>
      <w:r w:rsidR="00713B0B" w:rsidRPr="00471447">
        <w:rPr>
          <w:rFonts w:ascii="Times New Roman" w:eastAsia="Cambria" w:hAnsi="Times New Roman" w:cs="Times New Roman"/>
          <w:kern w:val="22"/>
        </w:rPr>
        <w:t>ators.</w:t>
      </w:r>
    </w:p>
    <w:p w:rsidR="00713B0B" w:rsidRPr="00471447" w:rsidRDefault="00104B29"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The</w:t>
      </w:r>
      <w:r w:rsidR="00706D49" w:rsidRPr="00471447">
        <w:rPr>
          <w:rFonts w:ascii="Times New Roman" w:eastAsia="Cambria" w:hAnsi="Times New Roman" w:cs="Times New Roman"/>
          <w:kern w:val="22"/>
        </w:rPr>
        <w:t xml:space="preserve"> information could</w:t>
      </w:r>
      <w:r w:rsidRPr="00471447">
        <w:rPr>
          <w:rFonts w:ascii="Times New Roman" w:eastAsia="Cambria" w:hAnsi="Times New Roman" w:cs="Times New Roman"/>
          <w:kern w:val="22"/>
        </w:rPr>
        <w:t xml:space="preserve"> also</w:t>
      </w:r>
      <w:r w:rsidR="00706D49" w:rsidRPr="00471447">
        <w:rPr>
          <w:rFonts w:ascii="Times New Roman" w:eastAsia="Cambria" w:hAnsi="Times New Roman" w:cs="Times New Roman"/>
          <w:kern w:val="22"/>
        </w:rPr>
        <w:t xml:space="preserve"> promote more integrated research and assessment of the health impacts of biodiversity loss and ecosystem degradation</w:t>
      </w:r>
      <w:r w:rsidRPr="00471447">
        <w:rPr>
          <w:rFonts w:ascii="Times New Roman" w:eastAsia="Cambria" w:hAnsi="Times New Roman" w:cs="Times New Roman"/>
          <w:kern w:val="22"/>
        </w:rPr>
        <w:t xml:space="preserve"> in such regions</w:t>
      </w:r>
      <w:r w:rsidR="00706D49" w:rsidRPr="00471447">
        <w:rPr>
          <w:rFonts w:ascii="Times New Roman" w:eastAsia="Cambria" w:hAnsi="Times New Roman" w:cs="Times New Roman"/>
          <w:kern w:val="22"/>
        </w:rPr>
        <w:t>.</w:t>
      </w:r>
    </w:p>
    <w:p w:rsidR="008066A3" w:rsidRPr="00471447" w:rsidRDefault="00104B29"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Participants noted that</w:t>
      </w:r>
      <w:r w:rsidR="00706D49" w:rsidRPr="00471447">
        <w:rPr>
          <w:rFonts w:ascii="Times New Roman" w:eastAsia="Cambria" w:hAnsi="Times New Roman" w:cs="Times New Roman"/>
          <w:kern w:val="22"/>
        </w:rPr>
        <w:t xml:space="preserve"> WHO </w:t>
      </w:r>
      <w:r w:rsidRPr="00471447">
        <w:rPr>
          <w:rFonts w:ascii="Times New Roman" w:eastAsia="Cambria" w:hAnsi="Times New Roman" w:cs="Times New Roman"/>
          <w:kern w:val="22"/>
        </w:rPr>
        <w:t xml:space="preserve">had been </w:t>
      </w:r>
      <w:r w:rsidR="00706D49" w:rsidRPr="00471447">
        <w:rPr>
          <w:rFonts w:ascii="Times New Roman" w:eastAsia="Cambria" w:hAnsi="Times New Roman" w:cs="Times New Roman"/>
          <w:kern w:val="22"/>
        </w:rPr>
        <w:t>tasked with situating the burden of disease from climate change</w:t>
      </w:r>
      <w:r w:rsidRPr="00471447">
        <w:rPr>
          <w:rFonts w:ascii="Times New Roman" w:eastAsia="Cambria" w:hAnsi="Times New Roman" w:cs="Times New Roman"/>
          <w:kern w:val="22"/>
        </w:rPr>
        <w:t xml:space="preserve"> over a decade ago generating</w:t>
      </w:r>
      <w:r w:rsidR="00706D49" w:rsidRPr="00471447">
        <w:rPr>
          <w:rFonts w:ascii="Times New Roman" w:eastAsia="Cambria" w:hAnsi="Times New Roman" w:cs="Times New Roman"/>
          <w:kern w:val="22"/>
        </w:rPr>
        <w:t xml:space="preserve"> a lot of interest in collecting information on the burden of disease resulting from climate change. </w:t>
      </w:r>
      <w:r w:rsidRPr="00471447">
        <w:rPr>
          <w:rFonts w:ascii="Times New Roman" w:eastAsia="Cambria" w:hAnsi="Times New Roman" w:cs="Times New Roman"/>
          <w:kern w:val="22"/>
        </w:rPr>
        <w:t xml:space="preserve">Developing </w:t>
      </w:r>
      <w:r w:rsidR="00706D49" w:rsidRPr="00471447">
        <w:rPr>
          <w:rFonts w:ascii="Times New Roman" w:eastAsia="Cambria" w:hAnsi="Times New Roman" w:cs="Times New Roman"/>
          <w:kern w:val="22"/>
        </w:rPr>
        <w:t>a sim</w:t>
      </w:r>
      <w:r w:rsidR="00CA3B8C" w:rsidRPr="00471447">
        <w:rPr>
          <w:rFonts w:ascii="Times New Roman" w:eastAsia="Cambria" w:hAnsi="Times New Roman" w:cs="Times New Roman"/>
          <w:kern w:val="22"/>
        </w:rPr>
        <w:t xml:space="preserve">ilar account </w:t>
      </w:r>
      <w:r w:rsidRPr="00471447">
        <w:rPr>
          <w:rFonts w:ascii="Times New Roman" w:eastAsia="Cambria" w:hAnsi="Times New Roman" w:cs="Times New Roman"/>
          <w:kern w:val="22"/>
        </w:rPr>
        <w:t xml:space="preserve">on the disease burden attributable to </w:t>
      </w:r>
      <w:r w:rsidR="00CA3B8C" w:rsidRPr="00471447">
        <w:rPr>
          <w:rFonts w:ascii="Times New Roman" w:eastAsia="Cambria" w:hAnsi="Times New Roman" w:cs="Times New Roman"/>
          <w:kern w:val="22"/>
        </w:rPr>
        <w:t xml:space="preserve">biodiversity </w:t>
      </w:r>
      <w:r w:rsidRPr="00471447">
        <w:rPr>
          <w:rFonts w:ascii="Times New Roman" w:eastAsia="Cambria" w:hAnsi="Times New Roman" w:cs="Times New Roman"/>
          <w:kern w:val="22"/>
        </w:rPr>
        <w:t xml:space="preserve">loss, </w:t>
      </w:r>
      <w:r w:rsidR="00CA3B8C" w:rsidRPr="00471447">
        <w:rPr>
          <w:rFonts w:ascii="Times New Roman" w:eastAsia="Cambria" w:hAnsi="Times New Roman" w:cs="Times New Roman"/>
          <w:kern w:val="22"/>
        </w:rPr>
        <w:t>on the basis of</w:t>
      </w:r>
      <w:r w:rsidR="00706D49" w:rsidRPr="00471447">
        <w:rPr>
          <w:rFonts w:ascii="Times New Roman" w:eastAsia="Cambria" w:hAnsi="Times New Roman" w:cs="Times New Roman"/>
          <w:kern w:val="22"/>
        </w:rPr>
        <w:t xml:space="preserve"> clear gui</w:t>
      </w:r>
      <w:r w:rsidR="00CA3B8C" w:rsidRPr="00471447">
        <w:rPr>
          <w:rFonts w:ascii="Times New Roman" w:eastAsia="Cambria" w:hAnsi="Times New Roman" w:cs="Times New Roman"/>
          <w:kern w:val="22"/>
        </w:rPr>
        <w:t>delines</w:t>
      </w:r>
      <w:r w:rsidRPr="00471447">
        <w:rPr>
          <w:rFonts w:ascii="Times New Roman" w:eastAsia="Cambria" w:hAnsi="Times New Roman" w:cs="Times New Roman"/>
          <w:kern w:val="22"/>
        </w:rPr>
        <w:t>, was proposed as a potentially valuable area of work for the ILG</w:t>
      </w:r>
      <w:r w:rsidR="00706D49" w:rsidRPr="00471447">
        <w:rPr>
          <w:rFonts w:ascii="Times New Roman" w:eastAsia="Cambria" w:hAnsi="Times New Roman" w:cs="Times New Roman"/>
          <w:kern w:val="22"/>
        </w:rPr>
        <w:t xml:space="preserve">. </w:t>
      </w:r>
    </w:p>
    <w:p w:rsidR="008066A3" w:rsidRPr="00471447" w:rsidRDefault="008066A3"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Participants agreed </w:t>
      </w:r>
      <w:r w:rsidR="00A81CFC" w:rsidRPr="00471447">
        <w:rPr>
          <w:rFonts w:ascii="Times New Roman" w:eastAsia="Cambria" w:hAnsi="Times New Roman" w:cs="Times New Roman"/>
          <w:kern w:val="22"/>
        </w:rPr>
        <w:t>on the relevance</w:t>
      </w:r>
      <w:r w:rsidRPr="00471447">
        <w:rPr>
          <w:rFonts w:ascii="Times New Roman" w:eastAsia="Cambria" w:hAnsi="Times New Roman" w:cs="Times New Roman"/>
          <w:kern w:val="22"/>
        </w:rPr>
        <w:t xml:space="preserve"> </w:t>
      </w:r>
      <w:r w:rsidR="00A81CFC" w:rsidRPr="00471447">
        <w:rPr>
          <w:rFonts w:ascii="Times New Roman" w:eastAsia="Cambria" w:hAnsi="Times New Roman" w:cs="Times New Roman"/>
          <w:kern w:val="22"/>
        </w:rPr>
        <w:t>of further exploring</w:t>
      </w:r>
      <w:r w:rsidRPr="00471447">
        <w:rPr>
          <w:rFonts w:ascii="Times New Roman" w:eastAsia="Cambria" w:hAnsi="Times New Roman" w:cs="Times New Roman"/>
          <w:kern w:val="22"/>
        </w:rPr>
        <w:t xml:space="preserve"> </w:t>
      </w:r>
      <w:r w:rsidR="00A81CFC" w:rsidRPr="00471447">
        <w:rPr>
          <w:rFonts w:ascii="Times New Roman" w:eastAsia="Cambria" w:hAnsi="Times New Roman" w:cs="Times New Roman"/>
          <w:kern w:val="22"/>
        </w:rPr>
        <w:t xml:space="preserve">the </w:t>
      </w:r>
      <w:r w:rsidRPr="00471447">
        <w:rPr>
          <w:rFonts w:ascii="Times New Roman" w:eastAsia="Cambria" w:hAnsi="Times New Roman" w:cs="Times New Roman"/>
          <w:kern w:val="22"/>
        </w:rPr>
        <w:t>develop</w:t>
      </w:r>
      <w:r w:rsidR="00A81CFC" w:rsidRPr="00471447">
        <w:rPr>
          <w:rFonts w:ascii="Times New Roman" w:eastAsia="Cambria" w:hAnsi="Times New Roman" w:cs="Times New Roman"/>
          <w:kern w:val="22"/>
        </w:rPr>
        <w:t>ment</w:t>
      </w:r>
      <w:r w:rsidRPr="00471447">
        <w:rPr>
          <w:rFonts w:ascii="Times New Roman" w:eastAsia="Cambria" w:hAnsi="Times New Roman" w:cs="Times New Roman"/>
          <w:kern w:val="22"/>
        </w:rPr>
        <w:t xml:space="preserve"> an estimate of the </w:t>
      </w:r>
      <w:r w:rsidR="00A81CFC" w:rsidRPr="00471447">
        <w:rPr>
          <w:rFonts w:ascii="Times New Roman" w:eastAsia="Cambria" w:hAnsi="Times New Roman" w:cs="Times New Roman"/>
          <w:kern w:val="22"/>
        </w:rPr>
        <w:t xml:space="preserve">global </w:t>
      </w:r>
      <w:r w:rsidRPr="00471447">
        <w:rPr>
          <w:rFonts w:ascii="Times New Roman" w:eastAsia="Cambria" w:hAnsi="Times New Roman" w:cs="Times New Roman"/>
          <w:kern w:val="22"/>
        </w:rPr>
        <w:t xml:space="preserve">burden of disease attributable to biodiversity loss. If a global measure is not </w:t>
      </w:r>
      <w:r w:rsidR="00A81CFC" w:rsidRPr="00471447">
        <w:rPr>
          <w:rFonts w:ascii="Times New Roman" w:eastAsia="Cambria" w:hAnsi="Times New Roman" w:cs="Times New Roman"/>
          <w:kern w:val="22"/>
        </w:rPr>
        <w:t>considered possible upon further evaluation</w:t>
      </w:r>
      <w:r w:rsidRPr="00471447">
        <w:rPr>
          <w:rFonts w:ascii="Times New Roman" w:eastAsia="Cambria" w:hAnsi="Times New Roman" w:cs="Times New Roman"/>
          <w:kern w:val="22"/>
        </w:rPr>
        <w:t>, other way</w:t>
      </w:r>
      <w:r w:rsidR="00A81CFC" w:rsidRPr="00471447">
        <w:rPr>
          <w:rFonts w:ascii="Times New Roman" w:eastAsia="Cambria" w:hAnsi="Times New Roman" w:cs="Times New Roman"/>
          <w:kern w:val="22"/>
        </w:rPr>
        <w:t>s</w:t>
      </w:r>
      <w:r w:rsidRPr="00471447">
        <w:rPr>
          <w:rFonts w:ascii="Times New Roman" w:eastAsia="Cambria" w:hAnsi="Times New Roman" w:cs="Times New Roman"/>
          <w:kern w:val="22"/>
        </w:rPr>
        <w:t xml:space="preserve"> to encapsulate the overall health risks</w:t>
      </w:r>
      <w:r w:rsidR="00A81CFC" w:rsidRPr="00471447">
        <w:rPr>
          <w:rFonts w:ascii="Times New Roman" w:eastAsia="Cambria" w:hAnsi="Times New Roman" w:cs="Times New Roman"/>
          <w:kern w:val="22"/>
        </w:rPr>
        <w:t xml:space="preserve"> could be explored</w:t>
      </w:r>
      <w:r w:rsidRPr="00471447">
        <w:rPr>
          <w:rFonts w:ascii="Times New Roman" w:eastAsia="Cambria" w:hAnsi="Times New Roman" w:cs="Times New Roman"/>
          <w:kern w:val="22"/>
        </w:rPr>
        <w:t xml:space="preserve">, either through quantified projections or using qualitative or quantitative measures of the potential damage that could arise from biodiversity loss and ecosystem collapse. It was agreed that this possibility </w:t>
      </w:r>
      <w:r w:rsidR="00A81CFC" w:rsidRPr="00471447">
        <w:rPr>
          <w:rFonts w:ascii="Times New Roman" w:eastAsia="Cambria" w:hAnsi="Times New Roman" w:cs="Times New Roman"/>
          <w:kern w:val="22"/>
        </w:rPr>
        <w:t>w</w:t>
      </w:r>
      <w:r w:rsidRPr="00471447">
        <w:rPr>
          <w:rFonts w:ascii="Times New Roman" w:eastAsia="Cambria" w:hAnsi="Times New Roman" w:cs="Times New Roman"/>
          <w:kern w:val="22"/>
        </w:rPr>
        <w:t xml:space="preserve">ould be examined more closely </w:t>
      </w:r>
      <w:r w:rsidR="00A81CFC" w:rsidRPr="00471447">
        <w:rPr>
          <w:rFonts w:ascii="Times New Roman" w:eastAsia="Cambria" w:hAnsi="Times New Roman" w:cs="Times New Roman"/>
          <w:kern w:val="22"/>
        </w:rPr>
        <w:t xml:space="preserve">and </w:t>
      </w:r>
      <w:r w:rsidRPr="00471447">
        <w:rPr>
          <w:rFonts w:ascii="Times New Roman" w:eastAsia="Cambria" w:hAnsi="Times New Roman" w:cs="Times New Roman"/>
          <w:kern w:val="22"/>
        </w:rPr>
        <w:t xml:space="preserve">discussed </w:t>
      </w:r>
      <w:r w:rsidR="00A81CFC" w:rsidRPr="00471447">
        <w:rPr>
          <w:rFonts w:ascii="Times New Roman" w:eastAsia="Cambria" w:hAnsi="Times New Roman" w:cs="Times New Roman"/>
          <w:kern w:val="22"/>
        </w:rPr>
        <w:t xml:space="preserve">further </w:t>
      </w:r>
      <w:r w:rsidRPr="00471447">
        <w:rPr>
          <w:rFonts w:ascii="Times New Roman" w:eastAsia="Cambria" w:hAnsi="Times New Roman" w:cs="Times New Roman"/>
          <w:kern w:val="22"/>
        </w:rPr>
        <w:t>in a future meeting</w:t>
      </w:r>
      <w:r w:rsidR="00A81CFC" w:rsidRPr="00471447">
        <w:rPr>
          <w:rFonts w:ascii="Times New Roman" w:eastAsia="Cambria" w:hAnsi="Times New Roman" w:cs="Times New Roman"/>
          <w:kern w:val="22"/>
        </w:rPr>
        <w:t xml:space="preserve"> of the ILG</w:t>
      </w:r>
      <w:r w:rsidRPr="00471447">
        <w:rPr>
          <w:rFonts w:ascii="Times New Roman" w:eastAsia="Cambria" w:hAnsi="Times New Roman" w:cs="Times New Roman"/>
          <w:kern w:val="22"/>
        </w:rPr>
        <w:t>.</w:t>
      </w:r>
    </w:p>
    <w:p w:rsidR="00CA3B8C" w:rsidRPr="00471447" w:rsidRDefault="008066A3"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also proposed that an initiative similar to </w:t>
      </w:r>
      <w:r w:rsidR="00104B29" w:rsidRPr="00471447">
        <w:rPr>
          <w:rFonts w:ascii="Times New Roman" w:eastAsia="Cambria" w:hAnsi="Times New Roman" w:cs="Times New Roman"/>
          <w:kern w:val="22"/>
        </w:rPr>
        <w:t>T</w:t>
      </w:r>
      <w:r w:rsidR="00706D49" w:rsidRPr="00471447">
        <w:rPr>
          <w:rFonts w:ascii="Times New Roman" w:eastAsia="Cambria" w:hAnsi="Times New Roman" w:cs="Times New Roman"/>
          <w:kern w:val="22"/>
        </w:rPr>
        <w:t xml:space="preserve">he Lancet Countdown on Climate Change </w:t>
      </w:r>
      <w:r w:rsidRPr="00471447">
        <w:rPr>
          <w:rFonts w:ascii="Times New Roman" w:eastAsia="Cambria" w:hAnsi="Times New Roman" w:cs="Times New Roman"/>
          <w:kern w:val="22"/>
        </w:rPr>
        <w:t>(i.e.</w:t>
      </w:r>
      <w:r w:rsidR="00706D49" w:rsidRPr="00471447">
        <w:rPr>
          <w:rFonts w:ascii="Times New Roman" w:eastAsia="Cambria" w:hAnsi="Times New Roman" w:cs="Times New Roman"/>
          <w:kern w:val="22"/>
        </w:rPr>
        <w:t xml:space="preserve"> measuring health impacts, health resilience and adaptation, health co-benefits of active political engagement and developing financial and economic indicators measuring political engagement</w:t>
      </w:r>
      <w:r w:rsidRPr="00471447">
        <w:rPr>
          <w:rFonts w:ascii="Times New Roman" w:eastAsia="Cambria" w:hAnsi="Times New Roman" w:cs="Times New Roman"/>
          <w:kern w:val="22"/>
        </w:rPr>
        <w:t xml:space="preserve"> at the country level</w:t>
      </w:r>
      <w:r w:rsidR="007E72A5" w:rsidRPr="00471447">
        <w:rPr>
          <w:rFonts w:ascii="Times New Roman" w:eastAsia="Cambria" w:hAnsi="Times New Roman" w:cs="Times New Roman"/>
          <w:kern w:val="22"/>
        </w:rPr>
        <w:t>) could be developed using biodiversity and health indicators</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It was suggested that there may</w:t>
      </w:r>
      <w:r w:rsidR="00706D49" w:rsidRPr="00471447">
        <w:rPr>
          <w:rFonts w:ascii="Times New Roman" w:eastAsia="Cambria" w:hAnsi="Times New Roman" w:cs="Times New Roman"/>
          <w:kern w:val="22"/>
        </w:rPr>
        <w:t xml:space="preserve"> be scope </w:t>
      </w:r>
      <w:r w:rsidR="00104B29" w:rsidRPr="00471447">
        <w:rPr>
          <w:rFonts w:ascii="Times New Roman" w:eastAsia="Cambria" w:hAnsi="Times New Roman" w:cs="Times New Roman"/>
          <w:kern w:val="22"/>
        </w:rPr>
        <w:t xml:space="preserve">for the ILG </w:t>
      </w:r>
      <w:r w:rsidRPr="00471447">
        <w:rPr>
          <w:rFonts w:ascii="Times New Roman" w:eastAsia="Cambria" w:hAnsi="Times New Roman" w:cs="Times New Roman"/>
          <w:kern w:val="22"/>
        </w:rPr>
        <w:t>both</w:t>
      </w:r>
      <w:r w:rsidR="00104B29" w:rsidRPr="00471447">
        <w:rPr>
          <w:rFonts w:ascii="Times New Roman" w:eastAsia="Cambria" w:hAnsi="Times New Roman" w:cs="Times New Roman"/>
          <w:kern w:val="22"/>
        </w:rPr>
        <w:t xml:space="preserve"> to contribute to the work of the Lancet Countdown but also </w:t>
      </w:r>
      <w:r w:rsidR="00CA3B8C" w:rsidRPr="00471447">
        <w:rPr>
          <w:rFonts w:ascii="Times New Roman" w:eastAsia="Cambria" w:hAnsi="Times New Roman" w:cs="Times New Roman"/>
          <w:kern w:val="22"/>
        </w:rPr>
        <w:t>to</w:t>
      </w:r>
      <w:r w:rsidRPr="00471447">
        <w:rPr>
          <w:rFonts w:ascii="Times New Roman" w:eastAsia="Cambria" w:hAnsi="Times New Roman" w:cs="Times New Roman"/>
          <w:kern w:val="22"/>
        </w:rPr>
        <w:t xml:space="preserve"> encourage the Planetary Health commission to</w:t>
      </w:r>
      <w:r w:rsidR="00CA3B8C" w:rsidRPr="00471447">
        <w:rPr>
          <w:rFonts w:ascii="Times New Roman" w:eastAsia="Cambria" w:hAnsi="Times New Roman" w:cs="Times New Roman"/>
          <w:kern w:val="22"/>
        </w:rPr>
        <w:t xml:space="preserve"> </w:t>
      </w:r>
      <w:r w:rsidR="00104B29" w:rsidRPr="00471447">
        <w:rPr>
          <w:rFonts w:ascii="Times New Roman" w:eastAsia="Cambria" w:hAnsi="Times New Roman" w:cs="Times New Roman"/>
          <w:kern w:val="22"/>
        </w:rPr>
        <w:t xml:space="preserve">develop </w:t>
      </w:r>
      <w:r w:rsidR="00706D49" w:rsidRPr="00471447">
        <w:rPr>
          <w:rFonts w:ascii="Times New Roman" w:eastAsia="Cambria" w:hAnsi="Times New Roman" w:cs="Times New Roman"/>
          <w:kern w:val="22"/>
        </w:rPr>
        <w:t xml:space="preserve">a similar initiative to </w:t>
      </w:r>
      <w:r w:rsidR="00CA3B8C" w:rsidRPr="00471447">
        <w:rPr>
          <w:rFonts w:ascii="Times New Roman" w:eastAsia="Cambria" w:hAnsi="Times New Roman" w:cs="Times New Roman"/>
          <w:kern w:val="22"/>
        </w:rPr>
        <w:t xml:space="preserve">measure progress </w:t>
      </w:r>
      <w:r w:rsidRPr="00471447">
        <w:rPr>
          <w:rFonts w:ascii="Times New Roman" w:eastAsia="Cambria" w:hAnsi="Times New Roman" w:cs="Times New Roman"/>
          <w:kern w:val="22"/>
        </w:rPr>
        <w:t>using integrated indicators on biodiversity and health at the country level</w:t>
      </w:r>
      <w:r w:rsidR="00CA3B8C" w:rsidRPr="00471447">
        <w:rPr>
          <w:rFonts w:ascii="Times New Roman" w:eastAsia="Cambria" w:hAnsi="Times New Roman" w:cs="Times New Roman"/>
          <w:kern w:val="22"/>
        </w:rPr>
        <w:t>.</w:t>
      </w:r>
    </w:p>
    <w:p w:rsidR="007E72A5" w:rsidRPr="00471447" w:rsidRDefault="007E72A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w:t>
      </w:r>
      <w:r w:rsidR="00706D49" w:rsidRPr="00471447">
        <w:rPr>
          <w:rFonts w:ascii="Times New Roman" w:eastAsia="Cambria" w:hAnsi="Times New Roman" w:cs="Times New Roman"/>
          <w:kern w:val="22"/>
        </w:rPr>
        <w:t>n terms of trying to identify indicators</w:t>
      </w:r>
      <w:r w:rsidR="00CA3B8C" w:rsidRPr="00471447">
        <w:rPr>
          <w:rFonts w:ascii="Times New Roman" w:eastAsia="Cambria" w:hAnsi="Times New Roman" w:cs="Times New Roman"/>
          <w:kern w:val="22"/>
        </w:rPr>
        <w:t xml:space="preserve"> for </w:t>
      </w:r>
      <w:r w:rsidRPr="00471447">
        <w:rPr>
          <w:rFonts w:ascii="Times New Roman" w:eastAsia="Cambria" w:hAnsi="Times New Roman" w:cs="Times New Roman"/>
          <w:kern w:val="22"/>
        </w:rPr>
        <w:t xml:space="preserve">Planetary Health </w:t>
      </w:r>
      <w:r w:rsidR="00706D49" w:rsidRPr="00471447">
        <w:rPr>
          <w:rFonts w:ascii="Times New Roman" w:eastAsia="Cambria" w:hAnsi="Times New Roman" w:cs="Times New Roman"/>
          <w:kern w:val="22"/>
        </w:rPr>
        <w:t>at the country level</w:t>
      </w:r>
      <w:r w:rsidRPr="00471447">
        <w:rPr>
          <w:rFonts w:ascii="Times New Roman" w:eastAsia="Cambria" w:hAnsi="Times New Roman" w:cs="Times New Roman"/>
          <w:kern w:val="22"/>
        </w:rPr>
        <w:t xml:space="preserve">, it was </w:t>
      </w:r>
      <w:r w:rsidR="00706D49" w:rsidRPr="00471447">
        <w:rPr>
          <w:rFonts w:ascii="Times New Roman" w:eastAsia="Cambria" w:hAnsi="Times New Roman" w:cs="Times New Roman"/>
          <w:kern w:val="22"/>
        </w:rPr>
        <w:t xml:space="preserve">noted that this is an open process by which </w:t>
      </w:r>
      <w:r w:rsidRPr="00471447">
        <w:rPr>
          <w:rFonts w:ascii="Times New Roman" w:eastAsia="Cambria" w:hAnsi="Times New Roman" w:cs="Times New Roman"/>
          <w:kern w:val="22"/>
        </w:rPr>
        <w:t>PHA is</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already </w:t>
      </w:r>
      <w:r w:rsidR="00706D49" w:rsidRPr="00471447">
        <w:rPr>
          <w:rFonts w:ascii="Times New Roman" w:eastAsia="Cambria" w:hAnsi="Times New Roman" w:cs="Times New Roman"/>
          <w:kern w:val="22"/>
        </w:rPr>
        <w:t>soliciting country dat</w:t>
      </w:r>
      <w:r w:rsidRPr="00471447">
        <w:rPr>
          <w:rFonts w:ascii="Times New Roman" w:eastAsia="Cambria" w:hAnsi="Times New Roman" w:cs="Times New Roman"/>
          <w:kern w:val="22"/>
        </w:rPr>
        <w:t>a. However,</w:t>
      </w:r>
      <w:r w:rsidR="00706D49" w:rsidRPr="00471447">
        <w:rPr>
          <w:rFonts w:ascii="Times New Roman" w:eastAsia="Cambria" w:hAnsi="Times New Roman" w:cs="Times New Roman"/>
          <w:kern w:val="22"/>
        </w:rPr>
        <w:t xml:space="preserve"> because Planetary </w:t>
      </w:r>
      <w:r w:rsidRPr="00471447">
        <w:rPr>
          <w:rFonts w:ascii="Times New Roman" w:eastAsia="Cambria" w:hAnsi="Times New Roman" w:cs="Times New Roman"/>
          <w:kern w:val="22"/>
        </w:rPr>
        <w:t>H</w:t>
      </w:r>
      <w:r w:rsidR="00706D49" w:rsidRPr="00471447">
        <w:rPr>
          <w:rFonts w:ascii="Times New Roman" w:eastAsia="Cambria" w:hAnsi="Times New Roman" w:cs="Times New Roman"/>
          <w:kern w:val="22"/>
        </w:rPr>
        <w:t>ealth is broad they may not put any limits or boundaries on the kinds of indicators they are looking for</w:t>
      </w:r>
      <w:r w:rsidRPr="00471447">
        <w:rPr>
          <w:rFonts w:ascii="Times New Roman" w:eastAsia="Cambria" w:hAnsi="Times New Roman" w:cs="Times New Roman"/>
          <w:kern w:val="22"/>
        </w:rPr>
        <w:t xml:space="preserve"> or to make them specific to biodiversity and health</w:t>
      </w:r>
      <w:r w:rsidR="00706D49" w:rsidRPr="00471447">
        <w:rPr>
          <w:rFonts w:ascii="Times New Roman" w:eastAsia="Cambria" w:hAnsi="Times New Roman" w:cs="Times New Roman"/>
          <w:kern w:val="22"/>
        </w:rPr>
        <w:t xml:space="preserve">. </w:t>
      </w:r>
    </w:p>
    <w:p w:rsidR="00CA3B8C" w:rsidRPr="00471447" w:rsidRDefault="007E72A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A participant indicated that c</w:t>
      </w:r>
      <w:r w:rsidR="00706D49" w:rsidRPr="00471447">
        <w:rPr>
          <w:rFonts w:ascii="Times New Roman" w:eastAsia="Cambria" w:hAnsi="Times New Roman" w:cs="Times New Roman"/>
          <w:kern w:val="22"/>
        </w:rPr>
        <w:t>ertainly metrics and indicators are one way to integrate environmental and health considerations but this feeds into the agenda setting process</w:t>
      </w:r>
      <w:r w:rsidRPr="00471447">
        <w:rPr>
          <w:rFonts w:ascii="Times New Roman" w:eastAsia="Cambria" w:hAnsi="Times New Roman" w:cs="Times New Roman"/>
          <w:kern w:val="22"/>
        </w:rPr>
        <w:t xml:space="preserve">, once </w:t>
      </w:r>
      <w:r w:rsidR="00706D49" w:rsidRPr="00471447">
        <w:rPr>
          <w:rFonts w:ascii="Times New Roman" w:eastAsia="Cambria" w:hAnsi="Times New Roman" w:cs="Times New Roman"/>
          <w:kern w:val="22"/>
        </w:rPr>
        <w:t xml:space="preserve">the causal mechanisms behind these relationships are better understood it </w:t>
      </w:r>
      <w:r w:rsidRPr="00471447">
        <w:rPr>
          <w:rFonts w:ascii="Times New Roman" w:eastAsia="Cambria" w:hAnsi="Times New Roman" w:cs="Times New Roman"/>
          <w:kern w:val="22"/>
        </w:rPr>
        <w:t>may be</w:t>
      </w:r>
      <w:r w:rsidR="00706D49" w:rsidRPr="00471447">
        <w:rPr>
          <w:rFonts w:ascii="Times New Roman" w:eastAsia="Cambria" w:hAnsi="Times New Roman" w:cs="Times New Roman"/>
          <w:kern w:val="22"/>
        </w:rPr>
        <w:t xml:space="preserve"> easier to generalize in policy </w:t>
      </w:r>
      <w:r w:rsidRPr="00471447">
        <w:rPr>
          <w:rFonts w:ascii="Times New Roman" w:eastAsia="Cambria" w:hAnsi="Times New Roman" w:cs="Times New Roman"/>
          <w:kern w:val="22"/>
        </w:rPr>
        <w:t>and</w:t>
      </w:r>
      <w:r w:rsidR="00706D49" w:rsidRPr="00471447">
        <w:rPr>
          <w:rFonts w:ascii="Times New Roman" w:eastAsia="Cambria" w:hAnsi="Times New Roman" w:cs="Times New Roman"/>
          <w:kern w:val="22"/>
        </w:rPr>
        <w:t xml:space="preserve"> find relevant metrics.</w:t>
      </w:r>
    </w:p>
    <w:p w:rsidR="007E72A5" w:rsidRPr="00471447" w:rsidRDefault="007E72A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Some participants</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noted</w:t>
      </w:r>
      <w:r w:rsidR="00706D49" w:rsidRPr="00471447">
        <w:rPr>
          <w:rFonts w:ascii="Times New Roman" w:eastAsia="Cambria" w:hAnsi="Times New Roman" w:cs="Times New Roman"/>
          <w:kern w:val="22"/>
        </w:rPr>
        <w:t xml:space="preserve"> that Planetary Health </w:t>
      </w:r>
      <w:r w:rsidR="00CA3B8C" w:rsidRPr="00471447">
        <w:rPr>
          <w:rFonts w:ascii="Times New Roman" w:eastAsia="Cambria" w:hAnsi="Times New Roman" w:cs="Times New Roman"/>
          <w:kern w:val="22"/>
        </w:rPr>
        <w:t>ha</w:t>
      </w:r>
      <w:r w:rsidRPr="00471447">
        <w:rPr>
          <w:rFonts w:ascii="Times New Roman" w:eastAsia="Cambria" w:hAnsi="Times New Roman" w:cs="Times New Roman"/>
          <w:kern w:val="22"/>
        </w:rPr>
        <w:t>d</w:t>
      </w:r>
      <w:r w:rsidR="00CA3B8C" w:rsidRPr="00471447">
        <w:rPr>
          <w:rFonts w:ascii="Times New Roman" w:eastAsia="Cambria" w:hAnsi="Times New Roman" w:cs="Times New Roman"/>
          <w:kern w:val="22"/>
        </w:rPr>
        <w:t xml:space="preserve"> </w:t>
      </w:r>
      <w:r w:rsidR="00706D49" w:rsidRPr="00471447">
        <w:rPr>
          <w:rFonts w:ascii="Times New Roman" w:eastAsia="Cambria" w:hAnsi="Times New Roman" w:cs="Times New Roman"/>
          <w:kern w:val="22"/>
        </w:rPr>
        <w:t xml:space="preserve">so far </w:t>
      </w:r>
      <w:r w:rsidRPr="00471447">
        <w:rPr>
          <w:rFonts w:ascii="Times New Roman" w:eastAsia="Cambria" w:hAnsi="Times New Roman" w:cs="Times New Roman"/>
          <w:kern w:val="22"/>
        </w:rPr>
        <w:t>appeared to be</w:t>
      </w:r>
      <w:r w:rsidR="00706D49" w:rsidRPr="00471447">
        <w:rPr>
          <w:rFonts w:ascii="Times New Roman" w:eastAsia="Cambria" w:hAnsi="Times New Roman" w:cs="Times New Roman"/>
          <w:kern w:val="22"/>
        </w:rPr>
        <w:t xml:space="preserve"> less focused on biodiversity and health </w:t>
      </w:r>
      <w:r w:rsidRPr="00471447">
        <w:rPr>
          <w:rFonts w:ascii="Times New Roman" w:eastAsia="Cambria" w:hAnsi="Times New Roman" w:cs="Times New Roman"/>
          <w:kern w:val="22"/>
        </w:rPr>
        <w:t xml:space="preserve">linkages </w:t>
      </w:r>
      <w:r w:rsidR="00706D49" w:rsidRPr="00471447">
        <w:rPr>
          <w:rFonts w:ascii="Times New Roman" w:eastAsia="Cambria" w:hAnsi="Times New Roman" w:cs="Times New Roman"/>
          <w:kern w:val="22"/>
        </w:rPr>
        <w:t>and it would be</w:t>
      </w:r>
      <w:r w:rsidRPr="00471447">
        <w:rPr>
          <w:rFonts w:ascii="Times New Roman" w:eastAsia="Cambria" w:hAnsi="Times New Roman" w:cs="Times New Roman"/>
          <w:kern w:val="22"/>
        </w:rPr>
        <w:t xml:space="preserve"> valuable</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for</w:t>
      </w:r>
      <w:r w:rsidR="00706D49" w:rsidRPr="00471447">
        <w:rPr>
          <w:rFonts w:ascii="Times New Roman" w:eastAsia="Cambria" w:hAnsi="Times New Roman" w:cs="Times New Roman"/>
          <w:kern w:val="22"/>
        </w:rPr>
        <w:t xml:space="preserve"> a message </w:t>
      </w:r>
      <w:r w:rsidRPr="00471447">
        <w:rPr>
          <w:rFonts w:ascii="Times New Roman" w:eastAsia="Cambria" w:hAnsi="Times New Roman" w:cs="Times New Roman"/>
          <w:kern w:val="22"/>
        </w:rPr>
        <w:t>to</w:t>
      </w:r>
      <w:r w:rsidR="00CA3B8C" w:rsidRPr="00471447">
        <w:rPr>
          <w:rFonts w:ascii="Times New Roman" w:eastAsia="Cambria" w:hAnsi="Times New Roman" w:cs="Times New Roman"/>
          <w:kern w:val="22"/>
        </w:rPr>
        <w:t xml:space="preserve"> </w:t>
      </w:r>
      <w:r w:rsidR="00706D49" w:rsidRPr="00471447">
        <w:rPr>
          <w:rFonts w:ascii="Times New Roman" w:eastAsia="Cambria" w:hAnsi="Times New Roman" w:cs="Times New Roman"/>
          <w:kern w:val="22"/>
        </w:rPr>
        <w:t xml:space="preserve">come from </w:t>
      </w:r>
      <w:r w:rsidR="00CA3B8C" w:rsidRPr="00471447">
        <w:rPr>
          <w:rFonts w:ascii="Times New Roman" w:eastAsia="Cambria" w:hAnsi="Times New Roman" w:cs="Times New Roman"/>
          <w:kern w:val="22"/>
        </w:rPr>
        <w:t xml:space="preserve">the ILG that there is interest in developing </w:t>
      </w:r>
      <w:r w:rsidRPr="00471447">
        <w:rPr>
          <w:rFonts w:ascii="Times New Roman" w:eastAsia="Cambria" w:hAnsi="Times New Roman" w:cs="Times New Roman"/>
          <w:kern w:val="22"/>
        </w:rPr>
        <w:t xml:space="preserve">something </w:t>
      </w:r>
      <w:r w:rsidR="00CA3B8C" w:rsidRPr="00471447">
        <w:rPr>
          <w:rFonts w:ascii="Times New Roman" w:eastAsia="Cambria" w:hAnsi="Times New Roman" w:cs="Times New Roman"/>
          <w:kern w:val="22"/>
        </w:rPr>
        <w:t>similar to the Climate C</w:t>
      </w:r>
      <w:r w:rsidR="00706D49" w:rsidRPr="00471447">
        <w:rPr>
          <w:rFonts w:ascii="Times New Roman" w:eastAsia="Cambria" w:hAnsi="Times New Roman" w:cs="Times New Roman"/>
          <w:kern w:val="22"/>
        </w:rPr>
        <w:t xml:space="preserve">ountdown and that </w:t>
      </w:r>
      <w:r w:rsidR="00CA3B8C" w:rsidRPr="00471447">
        <w:rPr>
          <w:rFonts w:ascii="Times New Roman" w:eastAsia="Cambria" w:hAnsi="Times New Roman" w:cs="Times New Roman"/>
          <w:kern w:val="22"/>
        </w:rPr>
        <w:t>the ILG</w:t>
      </w:r>
      <w:r w:rsidR="00706D49" w:rsidRPr="00471447">
        <w:rPr>
          <w:rFonts w:ascii="Times New Roman" w:eastAsia="Cambria" w:hAnsi="Times New Roman" w:cs="Times New Roman"/>
          <w:kern w:val="22"/>
        </w:rPr>
        <w:t xml:space="preserve"> strongly encourage</w:t>
      </w:r>
      <w:r w:rsidR="00CA3B8C" w:rsidRPr="00471447">
        <w:rPr>
          <w:rFonts w:ascii="Times New Roman" w:eastAsia="Cambria" w:hAnsi="Times New Roman" w:cs="Times New Roman"/>
          <w:kern w:val="22"/>
        </w:rPr>
        <w:t>s</w:t>
      </w:r>
      <w:r w:rsidR="00706D49" w:rsidRPr="00471447">
        <w:rPr>
          <w:rFonts w:ascii="Times New Roman" w:eastAsia="Cambria" w:hAnsi="Times New Roman" w:cs="Times New Roman"/>
          <w:kern w:val="22"/>
        </w:rPr>
        <w:t xml:space="preserve"> the planetary health community to focus more on biodiversity in the context of global environmental change. While it</w:t>
      </w:r>
      <w:r w:rsidRPr="00471447">
        <w:rPr>
          <w:rFonts w:ascii="Times New Roman" w:eastAsia="Cambria" w:hAnsi="Times New Roman" w:cs="Times New Roman"/>
          <w:kern w:val="22"/>
        </w:rPr>
        <w:t xml:space="preserve"> i</w:t>
      </w:r>
      <w:r w:rsidR="00706D49" w:rsidRPr="00471447">
        <w:rPr>
          <w:rFonts w:ascii="Times New Roman" w:eastAsia="Cambria" w:hAnsi="Times New Roman" w:cs="Times New Roman"/>
          <w:kern w:val="22"/>
        </w:rPr>
        <w:t xml:space="preserve">s true that </w:t>
      </w:r>
      <w:r w:rsidR="00CA3B8C" w:rsidRPr="00471447">
        <w:rPr>
          <w:rFonts w:ascii="Times New Roman" w:eastAsia="Cambria" w:hAnsi="Times New Roman" w:cs="Times New Roman"/>
          <w:kern w:val="22"/>
        </w:rPr>
        <w:t>data on</w:t>
      </w:r>
      <w:r w:rsidR="00706D49" w:rsidRPr="00471447">
        <w:rPr>
          <w:rFonts w:ascii="Times New Roman" w:eastAsia="Cambria" w:hAnsi="Times New Roman" w:cs="Times New Roman"/>
          <w:kern w:val="22"/>
        </w:rPr>
        <w:t xml:space="preserve"> mechanisms between biodiversity loss a</w:t>
      </w:r>
      <w:r w:rsidR="00CA3B8C" w:rsidRPr="00471447">
        <w:rPr>
          <w:rFonts w:ascii="Times New Roman" w:eastAsia="Cambria" w:hAnsi="Times New Roman" w:cs="Times New Roman"/>
          <w:kern w:val="22"/>
        </w:rPr>
        <w:t>nd health outcomes</w:t>
      </w:r>
      <w:r w:rsidRPr="00471447">
        <w:rPr>
          <w:rFonts w:ascii="Times New Roman" w:eastAsia="Cambria" w:hAnsi="Times New Roman" w:cs="Times New Roman"/>
          <w:kern w:val="22"/>
        </w:rPr>
        <w:t xml:space="preserve"> is incomplete</w:t>
      </w:r>
      <w:r w:rsidR="00CA3B8C" w:rsidRPr="00471447">
        <w:rPr>
          <w:rFonts w:ascii="Times New Roman" w:eastAsia="Cambria" w:hAnsi="Times New Roman" w:cs="Times New Roman"/>
          <w:kern w:val="22"/>
        </w:rPr>
        <w:t xml:space="preserve"> the same</w:t>
      </w:r>
      <w:r w:rsidRPr="00471447">
        <w:rPr>
          <w:rFonts w:ascii="Times New Roman" w:eastAsia="Cambria" w:hAnsi="Times New Roman" w:cs="Times New Roman"/>
          <w:kern w:val="22"/>
        </w:rPr>
        <w:t xml:space="preserve"> holds</w:t>
      </w:r>
      <w:r w:rsidR="00CA3B8C" w:rsidRPr="00471447">
        <w:rPr>
          <w:rFonts w:ascii="Times New Roman" w:eastAsia="Cambria" w:hAnsi="Times New Roman" w:cs="Times New Roman"/>
          <w:kern w:val="22"/>
        </w:rPr>
        <w:t xml:space="preserve"> true of</w:t>
      </w:r>
      <w:r w:rsidR="00706D49" w:rsidRPr="00471447">
        <w:rPr>
          <w:rFonts w:ascii="Times New Roman" w:eastAsia="Cambria" w:hAnsi="Times New Roman" w:cs="Times New Roman"/>
          <w:kern w:val="22"/>
        </w:rPr>
        <w:t xml:space="preserve"> mechanisms underlying climate and health impacts. </w:t>
      </w:r>
      <w:r w:rsidRPr="00471447">
        <w:rPr>
          <w:rFonts w:ascii="Times New Roman" w:eastAsia="Cambria" w:hAnsi="Times New Roman" w:cs="Times New Roman"/>
          <w:kern w:val="22"/>
        </w:rPr>
        <w:t>Beginning with an</w:t>
      </w:r>
      <w:r w:rsidR="00706D49" w:rsidRPr="00471447">
        <w:rPr>
          <w:rFonts w:ascii="Times New Roman" w:eastAsia="Cambria" w:hAnsi="Times New Roman" w:cs="Times New Roman"/>
          <w:kern w:val="22"/>
        </w:rPr>
        <w:t xml:space="preserve"> exami</w:t>
      </w:r>
      <w:r w:rsidRPr="00471447">
        <w:rPr>
          <w:rFonts w:ascii="Times New Roman" w:eastAsia="Cambria" w:hAnsi="Times New Roman" w:cs="Times New Roman"/>
          <w:kern w:val="22"/>
        </w:rPr>
        <w:t>nation of</w:t>
      </w:r>
      <w:r w:rsidR="00706D49" w:rsidRPr="00471447">
        <w:rPr>
          <w:rFonts w:ascii="Times New Roman" w:eastAsia="Cambria" w:hAnsi="Times New Roman" w:cs="Times New Roman"/>
          <w:kern w:val="22"/>
        </w:rPr>
        <w:t xml:space="preserve"> the health impacts of biodiversity loss could be a significant way forward for the </w:t>
      </w:r>
      <w:r w:rsidRPr="00471447">
        <w:rPr>
          <w:rFonts w:ascii="Times New Roman" w:eastAsia="Cambria" w:hAnsi="Times New Roman" w:cs="Times New Roman"/>
          <w:kern w:val="22"/>
        </w:rPr>
        <w:t xml:space="preserve">ILG </w:t>
      </w:r>
      <w:r w:rsidR="00706D49" w:rsidRPr="00471447">
        <w:rPr>
          <w:rFonts w:ascii="Times New Roman" w:eastAsia="Cambria" w:hAnsi="Times New Roman" w:cs="Times New Roman"/>
          <w:kern w:val="22"/>
        </w:rPr>
        <w:t>not only for infectious diseases but also in terms of nutritional loss, disruption to livelihoods, patter</w:t>
      </w:r>
      <w:r w:rsidR="00CA3B8C" w:rsidRPr="00471447">
        <w:rPr>
          <w:rFonts w:ascii="Times New Roman" w:eastAsia="Cambria" w:hAnsi="Times New Roman" w:cs="Times New Roman"/>
          <w:kern w:val="22"/>
        </w:rPr>
        <w:t>n</w:t>
      </w:r>
      <w:r w:rsidR="00706D49" w:rsidRPr="00471447">
        <w:rPr>
          <w:rFonts w:ascii="Times New Roman" w:eastAsia="Cambria" w:hAnsi="Times New Roman" w:cs="Times New Roman"/>
          <w:kern w:val="22"/>
        </w:rPr>
        <w:t>s of demography</w:t>
      </w:r>
      <w:r w:rsidR="00CA3B8C" w:rsidRPr="00471447">
        <w:rPr>
          <w:rFonts w:ascii="Times New Roman" w:eastAsia="Cambria" w:hAnsi="Times New Roman" w:cs="Times New Roman"/>
          <w:kern w:val="22"/>
        </w:rPr>
        <w:t>, etc</w:t>
      </w:r>
      <w:r w:rsidR="00706D49" w:rsidRPr="00471447">
        <w:rPr>
          <w:rFonts w:ascii="Times New Roman" w:eastAsia="Cambria" w:hAnsi="Times New Roman" w:cs="Times New Roman"/>
          <w:kern w:val="22"/>
        </w:rPr>
        <w:t xml:space="preserve">. </w:t>
      </w:r>
    </w:p>
    <w:p w:rsidR="00701B85" w:rsidRPr="00471447" w:rsidRDefault="00706D49"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There </w:t>
      </w:r>
      <w:r w:rsidR="00701B85" w:rsidRPr="00471447">
        <w:rPr>
          <w:rFonts w:ascii="Times New Roman" w:eastAsia="Cambria" w:hAnsi="Times New Roman" w:cs="Times New Roman"/>
          <w:kern w:val="22"/>
        </w:rPr>
        <w:t xml:space="preserve">was broad consensus that there is already sufficient </w:t>
      </w:r>
      <w:r w:rsidRPr="00471447">
        <w:rPr>
          <w:rFonts w:ascii="Times New Roman" w:eastAsia="Cambria" w:hAnsi="Times New Roman" w:cs="Times New Roman"/>
          <w:kern w:val="22"/>
        </w:rPr>
        <w:t>data to make the same broad links that were made in the climate change report.</w:t>
      </w:r>
      <w:r w:rsidR="00701B85" w:rsidRPr="00471447">
        <w:rPr>
          <w:rFonts w:ascii="Times New Roman" w:eastAsia="Cambria" w:hAnsi="Times New Roman" w:cs="Times New Roman"/>
          <w:kern w:val="22"/>
        </w:rPr>
        <w:t xml:space="preserve"> Others noted that </w:t>
      </w:r>
      <w:r w:rsidR="001E7CB1" w:rsidRPr="00471447">
        <w:rPr>
          <w:rFonts w:ascii="Times New Roman" w:eastAsia="Cambria" w:hAnsi="Times New Roman" w:cs="Times New Roman"/>
          <w:kern w:val="22"/>
        </w:rPr>
        <w:t xml:space="preserve">acquiring new data </w:t>
      </w:r>
      <w:r w:rsidR="00701B85" w:rsidRPr="00471447">
        <w:rPr>
          <w:rFonts w:ascii="Times New Roman" w:eastAsia="Cambria" w:hAnsi="Times New Roman" w:cs="Times New Roman"/>
          <w:kern w:val="22"/>
        </w:rPr>
        <w:t>remains very</w:t>
      </w:r>
      <w:r w:rsidR="001E7CB1" w:rsidRPr="00471447">
        <w:rPr>
          <w:rFonts w:ascii="Times New Roman" w:eastAsia="Cambria" w:hAnsi="Times New Roman" w:cs="Times New Roman"/>
          <w:kern w:val="22"/>
        </w:rPr>
        <w:t xml:space="preserve"> valuable, </w:t>
      </w:r>
      <w:r w:rsidR="00701B85" w:rsidRPr="00471447">
        <w:rPr>
          <w:rFonts w:ascii="Times New Roman" w:eastAsia="Cambria" w:hAnsi="Times New Roman" w:cs="Times New Roman"/>
          <w:kern w:val="22"/>
        </w:rPr>
        <w:t>but</w:t>
      </w:r>
      <w:r w:rsidR="00CA3B8C" w:rsidRPr="00471447">
        <w:rPr>
          <w:rFonts w:ascii="Times New Roman" w:eastAsia="Cambria" w:hAnsi="Times New Roman" w:cs="Times New Roman"/>
          <w:kern w:val="22"/>
        </w:rPr>
        <w:t xml:space="preserve"> data gaps but should not be used as a pretext for inaction or to carry out further work</w:t>
      </w:r>
      <w:r w:rsidR="001E7CB1" w:rsidRPr="00471447">
        <w:rPr>
          <w:rFonts w:ascii="Times New Roman" w:eastAsia="Cambria" w:hAnsi="Times New Roman" w:cs="Times New Roman"/>
          <w:kern w:val="22"/>
        </w:rPr>
        <w:t xml:space="preserve"> </w:t>
      </w:r>
      <w:r w:rsidR="00701B85" w:rsidRPr="00471447">
        <w:rPr>
          <w:rFonts w:ascii="Times New Roman" w:eastAsia="Cambria" w:hAnsi="Times New Roman" w:cs="Times New Roman"/>
          <w:kern w:val="22"/>
        </w:rPr>
        <w:t xml:space="preserve">on the basis of </w:t>
      </w:r>
      <w:r w:rsidR="001E7CB1" w:rsidRPr="00471447">
        <w:rPr>
          <w:rFonts w:ascii="Times New Roman" w:eastAsia="Cambria" w:hAnsi="Times New Roman" w:cs="Times New Roman"/>
          <w:kern w:val="22"/>
        </w:rPr>
        <w:t>available</w:t>
      </w:r>
      <w:r w:rsidR="00701B85" w:rsidRPr="00471447">
        <w:rPr>
          <w:rFonts w:ascii="Times New Roman" w:eastAsia="Cambria" w:hAnsi="Times New Roman" w:cs="Times New Roman"/>
          <w:kern w:val="22"/>
        </w:rPr>
        <w:t xml:space="preserve"> data</w:t>
      </w:r>
      <w:r w:rsidR="00CA3B8C" w:rsidRPr="00471447">
        <w:rPr>
          <w:rFonts w:ascii="Times New Roman" w:eastAsia="Cambria" w:hAnsi="Times New Roman" w:cs="Times New Roman"/>
          <w:kern w:val="22"/>
        </w:rPr>
        <w:t xml:space="preserve">. Projections are particularly helpful at the policy level. </w:t>
      </w:r>
    </w:p>
    <w:p w:rsidR="00CA3B8C" w:rsidRPr="00471447" w:rsidRDefault="00701B8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The Secretariat discussed a study presented by Ms. Golden (PHA)</w:t>
      </w:r>
      <w:r w:rsidR="001E7CB1" w:rsidRPr="00471447">
        <w:rPr>
          <w:rFonts w:ascii="Times New Roman" w:eastAsia="Cambria" w:hAnsi="Times New Roman" w:cs="Times New Roman"/>
          <w:kern w:val="22"/>
        </w:rPr>
        <w:t xml:space="preserve"> </w:t>
      </w:r>
      <w:r w:rsidR="00CA3B8C" w:rsidRPr="00471447">
        <w:rPr>
          <w:rFonts w:ascii="Times New Roman" w:eastAsia="Cambria" w:hAnsi="Times New Roman" w:cs="Times New Roman"/>
          <w:kern w:val="22"/>
        </w:rPr>
        <w:t>at COP 13 which examined fishery declines and human micronutrient deficiencies, including under scenarios of climate change in the context of the Sea Around Us project</w:t>
      </w:r>
      <w:r w:rsidRPr="00471447">
        <w:rPr>
          <w:rFonts w:ascii="Times New Roman" w:eastAsia="Cambria" w:hAnsi="Times New Roman" w:cs="Times New Roman"/>
          <w:kern w:val="22"/>
        </w:rPr>
        <w:t xml:space="preserve"> was highlighted as an excellent example</w:t>
      </w:r>
      <w:r w:rsidR="00CA3B8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On</w:t>
      </w:r>
      <w:r w:rsidR="00CA3B8C" w:rsidRPr="00471447">
        <w:rPr>
          <w:rFonts w:ascii="Times New Roman" w:eastAsia="Cambria" w:hAnsi="Times New Roman" w:cs="Times New Roman"/>
          <w:kern w:val="22"/>
        </w:rPr>
        <w:t xml:space="preserve"> the basis of this work, it was possible to conclude that fish catch has been declining by an estimated 1.2 million metric tons per year since 1996 when wild fish catch peaked and the impacts of sea level rise </w:t>
      </w:r>
      <w:r w:rsidRPr="00471447">
        <w:rPr>
          <w:rFonts w:ascii="Times New Roman" w:eastAsia="Cambria" w:hAnsi="Times New Roman" w:cs="Times New Roman"/>
          <w:kern w:val="22"/>
        </w:rPr>
        <w:t>c</w:t>
      </w:r>
      <w:r w:rsidR="00CA3B8C" w:rsidRPr="00471447">
        <w:rPr>
          <w:rFonts w:ascii="Times New Roman" w:eastAsia="Cambria" w:hAnsi="Times New Roman" w:cs="Times New Roman"/>
          <w:kern w:val="22"/>
        </w:rPr>
        <w:t xml:space="preserve">ould lead to a reduction in fish catch </w:t>
      </w:r>
      <w:r w:rsidRPr="00471447">
        <w:rPr>
          <w:rFonts w:ascii="Times New Roman" w:eastAsia="Cambria" w:hAnsi="Times New Roman" w:cs="Times New Roman"/>
          <w:kern w:val="22"/>
        </w:rPr>
        <w:t xml:space="preserve">ranging </w:t>
      </w:r>
      <w:r w:rsidR="00CA3B8C" w:rsidRPr="00471447">
        <w:rPr>
          <w:rFonts w:ascii="Times New Roman" w:eastAsia="Cambria" w:hAnsi="Times New Roman" w:cs="Times New Roman"/>
          <w:kern w:val="22"/>
        </w:rPr>
        <w:t xml:space="preserve">between 20-50% with between 800 million and 1.2 billion people becoming micronutrient deficient failing the development of sustainable fisheries management practices, promotion of marine conservation areas, and pro-poor aquaculture initiatives. </w:t>
      </w:r>
    </w:p>
    <w:p w:rsidR="009B58D6" w:rsidRPr="00471447" w:rsidRDefault="00701B8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agreed that </w:t>
      </w:r>
      <w:r w:rsidR="00706D49" w:rsidRPr="00471447">
        <w:rPr>
          <w:rFonts w:ascii="Times New Roman" w:eastAsia="Cambria" w:hAnsi="Times New Roman" w:cs="Times New Roman"/>
          <w:kern w:val="22"/>
        </w:rPr>
        <w:t>there is an increasing amount of data available and also significant opportunit</w:t>
      </w:r>
      <w:r w:rsidRPr="00471447">
        <w:rPr>
          <w:rFonts w:ascii="Times New Roman" w:eastAsia="Cambria" w:hAnsi="Times New Roman" w:cs="Times New Roman"/>
          <w:kern w:val="22"/>
        </w:rPr>
        <w:t>ies</w:t>
      </w:r>
      <w:r w:rsidR="00706D49" w:rsidRPr="00471447">
        <w:rPr>
          <w:rFonts w:ascii="Times New Roman" w:eastAsia="Cambria" w:hAnsi="Times New Roman" w:cs="Times New Roman"/>
          <w:kern w:val="22"/>
        </w:rPr>
        <w:t xml:space="preserve"> to provide technical support at the national level and to share and disseminate the data widely. There is also a push for open data platforms</w:t>
      </w:r>
      <w:r w:rsidR="001E7CB1" w:rsidRPr="00471447">
        <w:rPr>
          <w:rFonts w:ascii="Times New Roman" w:eastAsia="Cambria" w:hAnsi="Times New Roman" w:cs="Times New Roman"/>
          <w:kern w:val="22"/>
        </w:rPr>
        <w:t xml:space="preserve"> which can be supported by the efforts of the ILG</w:t>
      </w:r>
      <w:r w:rsidR="009B58D6" w:rsidRPr="00471447">
        <w:rPr>
          <w:rFonts w:ascii="Times New Roman" w:eastAsia="Cambria" w:hAnsi="Times New Roman" w:cs="Times New Roman"/>
          <w:kern w:val="22"/>
        </w:rPr>
        <w:t xml:space="preserve"> </w:t>
      </w:r>
      <w:r w:rsidR="001E7CB1" w:rsidRPr="00471447">
        <w:rPr>
          <w:rFonts w:ascii="Times New Roman" w:eastAsia="Cambria" w:hAnsi="Times New Roman" w:cs="Times New Roman"/>
          <w:kern w:val="22"/>
        </w:rPr>
        <w:t xml:space="preserve">as well as </w:t>
      </w:r>
      <w:r w:rsidR="00706D49" w:rsidRPr="00471447">
        <w:rPr>
          <w:rFonts w:ascii="Times New Roman" w:eastAsia="Cambria" w:hAnsi="Times New Roman" w:cs="Times New Roman"/>
          <w:kern w:val="22"/>
        </w:rPr>
        <w:t xml:space="preserve">opportunities for </w:t>
      </w:r>
      <w:r w:rsidR="001E7CB1" w:rsidRPr="00471447">
        <w:rPr>
          <w:rFonts w:ascii="Times New Roman" w:eastAsia="Cambria" w:hAnsi="Times New Roman" w:cs="Times New Roman"/>
          <w:kern w:val="22"/>
        </w:rPr>
        <w:t>the ILG</w:t>
      </w:r>
      <w:r w:rsidR="00706D49" w:rsidRPr="00471447">
        <w:rPr>
          <w:rFonts w:ascii="Times New Roman" w:eastAsia="Cambria" w:hAnsi="Times New Roman" w:cs="Times New Roman"/>
          <w:kern w:val="22"/>
        </w:rPr>
        <w:t xml:space="preserve"> to link to this work being carried out under SDG processes.</w:t>
      </w:r>
    </w:p>
    <w:p w:rsidR="009B58D6" w:rsidRPr="00471447" w:rsidRDefault="00701B8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O</w:t>
      </w:r>
      <w:r w:rsidR="009B58D6" w:rsidRPr="00471447">
        <w:rPr>
          <w:rFonts w:ascii="Times New Roman" w:eastAsia="Cambria" w:hAnsi="Times New Roman" w:cs="Times New Roman"/>
          <w:kern w:val="22"/>
        </w:rPr>
        <w:t>n the issue of datasets and indi</w:t>
      </w:r>
      <w:r w:rsidR="006662DF" w:rsidRPr="00471447">
        <w:rPr>
          <w:rFonts w:ascii="Times New Roman" w:eastAsia="Cambria" w:hAnsi="Times New Roman" w:cs="Times New Roman"/>
          <w:kern w:val="22"/>
        </w:rPr>
        <w:t>cators, the development of the Agrobiodiversity I</w:t>
      </w:r>
      <w:r w:rsidR="009B58D6" w:rsidRPr="00471447">
        <w:rPr>
          <w:rFonts w:ascii="Times New Roman" w:eastAsia="Cambria" w:hAnsi="Times New Roman" w:cs="Times New Roman"/>
          <w:kern w:val="22"/>
        </w:rPr>
        <w:t>ndex</w:t>
      </w:r>
      <w:r w:rsidRPr="00471447">
        <w:rPr>
          <w:rFonts w:ascii="Times New Roman" w:eastAsia="Cambria" w:hAnsi="Times New Roman" w:cs="Times New Roman"/>
          <w:kern w:val="22"/>
        </w:rPr>
        <w:t>, which</w:t>
      </w:r>
      <w:r w:rsidR="009B58D6" w:rsidRPr="00471447">
        <w:rPr>
          <w:rFonts w:ascii="Times New Roman" w:eastAsia="Cambria" w:hAnsi="Times New Roman" w:cs="Times New Roman"/>
          <w:kern w:val="22"/>
        </w:rPr>
        <w:t xml:space="preserve"> is aligne</w:t>
      </w:r>
      <w:r w:rsidR="006662DF" w:rsidRPr="00471447">
        <w:rPr>
          <w:rFonts w:ascii="Times New Roman" w:eastAsia="Cambria" w:hAnsi="Times New Roman" w:cs="Times New Roman"/>
          <w:kern w:val="22"/>
        </w:rPr>
        <w:t>d with the One Health approach</w:t>
      </w:r>
      <w:r w:rsidRPr="00471447">
        <w:rPr>
          <w:rFonts w:ascii="Times New Roman" w:eastAsia="Cambria" w:hAnsi="Times New Roman" w:cs="Times New Roman"/>
          <w:kern w:val="22"/>
        </w:rPr>
        <w:t>, was also</w:t>
      </w:r>
      <w:r w:rsidR="006662DF"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suggested as a </w:t>
      </w:r>
      <w:r w:rsidR="006662DF" w:rsidRPr="00471447">
        <w:rPr>
          <w:rFonts w:ascii="Times New Roman" w:eastAsia="Cambria" w:hAnsi="Times New Roman" w:cs="Times New Roman"/>
          <w:kern w:val="22"/>
        </w:rPr>
        <w:t xml:space="preserve"> relevant </w:t>
      </w:r>
      <w:r w:rsidRPr="00471447">
        <w:rPr>
          <w:rFonts w:ascii="Times New Roman" w:eastAsia="Cambria" w:hAnsi="Times New Roman" w:cs="Times New Roman"/>
          <w:kern w:val="22"/>
        </w:rPr>
        <w:t xml:space="preserve">tool for the work of the ILG, the the open data approach of the </w:t>
      </w:r>
      <w:r w:rsidR="009B58D6" w:rsidRPr="00471447">
        <w:rPr>
          <w:rFonts w:ascii="Times New Roman" w:eastAsia="Cambria" w:hAnsi="Times New Roman" w:cs="Times New Roman"/>
          <w:kern w:val="22"/>
        </w:rPr>
        <w:t>CG system all results are freely available</w:t>
      </w:r>
      <w:r w:rsidR="006662DF" w:rsidRPr="00471447">
        <w:rPr>
          <w:rFonts w:ascii="Times New Roman" w:eastAsia="Cambria" w:hAnsi="Times New Roman" w:cs="Times New Roman"/>
          <w:kern w:val="22"/>
        </w:rPr>
        <w:t xml:space="preserve"> and can be used</w:t>
      </w:r>
      <w:r w:rsidR="009B58D6" w:rsidRPr="00471447">
        <w:rPr>
          <w:rFonts w:ascii="Times New Roman" w:eastAsia="Cambria" w:hAnsi="Times New Roman" w:cs="Times New Roman"/>
          <w:kern w:val="22"/>
        </w:rPr>
        <w:t>.</w:t>
      </w:r>
    </w:p>
    <w:p w:rsidR="001E7CB1" w:rsidRPr="00471447" w:rsidRDefault="00701B85"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noted that a </w:t>
      </w:r>
      <w:r w:rsidR="006662DF" w:rsidRPr="00471447">
        <w:rPr>
          <w:rFonts w:ascii="Times New Roman" w:eastAsia="Cambria" w:hAnsi="Times New Roman" w:cs="Times New Roman"/>
          <w:kern w:val="22"/>
        </w:rPr>
        <w:t>Global Health S</w:t>
      </w:r>
      <w:r w:rsidR="009B58D6" w:rsidRPr="00471447">
        <w:rPr>
          <w:rFonts w:ascii="Times New Roman" w:eastAsia="Cambria" w:hAnsi="Times New Roman" w:cs="Times New Roman"/>
          <w:kern w:val="22"/>
        </w:rPr>
        <w:t xml:space="preserve">ecurity Index </w:t>
      </w:r>
      <w:r w:rsidRPr="00471447">
        <w:rPr>
          <w:rFonts w:ascii="Times New Roman" w:eastAsia="Cambria" w:hAnsi="Times New Roman" w:cs="Times New Roman"/>
          <w:kern w:val="22"/>
        </w:rPr>
        <w:t xml:space="preserve">is also under development and has been shared with Lancet Countdown. It was suggested that </w:t>
      </w:r>
      <w:r w:rsidR="009B58D6" w:rsidRPr="00471447">
        <w:rPr>
          <w:rFonts w:ascii="Times New Roman" w:eastAsia="Cambria" w:hAnsi="Times New Roman" w:cs="Times New Roman"/>
          <w:kern w:val="22"/>
        </w:rPr>
        <w:t xml:space="preserve">these sets of indicators be considered jointly to avoid duplication and </w:t>
      </w:r>
      <w:r w:rsidR="00206C27" w:rsidRPr="00471447">
        <w:rPr>
          <w:rFonts w:ascii="Times New Roman" w:eastAsia="Cambria" w:hAnsi="Times New Roman" w:cs="Times New Roman"/>
          <w:kern w:val="22"/>
        </w:rPr>
        <w:t xml:space="preserve">further </w:t>
      </w:r>
      <w:r w:rsidR="009B58D6" w:rsidRPr="00471447">
        <w:rPr>
          <w:rFonts w:ascii="Times New Roman" w:eastAsia="Cambria" w:hAnsi="Times New Roman" w:cs="Times New Roman"/>
          <w:kern w:val="22"/>
        </w:rPr>
        <w:t>strengthen collaboration</w:t>
      </w:r>
      <w:r w:rsidR="006662DF" w:rsidRPr="00471447">
        <w:rPr>
          <w:rFonts w:ascii="Times New Roman" w:eastAsia="Cambria" w:hAnsi="Times New Roman" w:cs="Times New Roman"/>
          <w:kern w:val="22"/>
        </w:rPr>
        <w:t>.</w:t>
      </w:r>
    </w:p>
    <w:p w:rsidR="00206C27" w:rsidRPr="00471447" w:rsidRDefault="00206C27"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further agreed that developing an estimated </w:t>
      </w:r>
      <w:r w:rsidR="006662DF" w:rsidRPr="00471447">
        <w:rPr>
          <w:rFonts w:ascii="Times New Roman" w:eastAsia="Cambria" w:hAnsi="Times New Roman" w:cs="Times New Roman"/>
          <w:kern w:val="22"/>
        </w:rPr>
        <w:t xml:space="preserve">disease burden associated with biodiversity loss </w:t>
      </w:r>
      <w:r w:rsidRPr="00471447">
        <w:rPr>
          <w:rFonts w:ascii="Times New Roman" w:eastAsia="Cambria" w:hAnsi="Times New Roman" w:cs="Times New Roman"/>
          <w:kern w:val="22"/>
        </w:rPr>
        <w:t>c</w:t>
      </w:r>
      <w:r w:rsidR="00706D49" w:rsidRPr="00471447">
        <w:rPr>
          <w:rFonts w:ascii="Times New Roman" w:eastAsia="Cambria" w:hAnsi="Times New Roman" w:cs="Times New Roman"/>
          <w:kern w:val="22"/>
        </w:rPr>
        <w:t xml:space="preserve">ould </w:t>
      </w:r>
      <w:r w:rsidRPr="00471447">
        <w:rPr>
          <w:rFonts w:ascii="Times New Roman" w:eastAsia="Cambria" w:hAnsi="Times New Roman" w:cs="Times New Roman"/>
          <w:kern w:val="22"/>
        </w:rPr>
        <w:t xml:space="preserve">also </w:t>
      </w:r>
      <w:r w:rsidR="006662DF" w:rsidRPr="00471447">
        <w:rPr>
          <w:rFonts w:ascii="Times New Roman" w:eastAsia="Cambria" w:hAnsi="Times New Roman" w:cs="Times New Roman"/>
          <w:kern w:val="22"/>
        </w:rPr>
        <w:t>serve to</w:t>
      </w:r>
      <w:r w:rsidR="001E7CB1" w:rsidRPr="00471447">
        <w:rPr>
          <w:rFonts w:ascii="Times New Roman" w:eastAsia="Cambria" w:hAnsi="Times New Roman" w:cs="Times New Roman"/>
          <w:kern w:val="22"/>
        </w:rPr>
        <w:t xml:space="preserve"> encourage better estimates and </w:t>
      </w:r>
      <w:r w:rsidR="00706D49" w:rsidRPr="00471447">
        <w:rPr>
          <w:rFonts w:ascii="Times New Roman" w:eastAsia="Cambria" w:hAnsi="Times New Roman" w:cs="Times New Roman"/>
          <w:kern w:val="22"/>
        </w:rPr>
        <w:t xml:space="preserve">could provide significant impetus for </w:t>
      </w:r>
      <w:r w:rsidR="001E7CB1" w:rsidRPr="00471447">
        <w:rPr>
          <w:rFonts w:ascii="Times New Roman" w:eastAsia="Cambria" w:hAnsi="Times New Roman" w:cs="Times New Roman"/>
          <w:kern w:val="22"/>
        </w:rPr>
        <w:t>supporting mainstreaming and implementation of biodiversity and health</w:t>
      </w:r>
      <w:r w:rsidR="00706D49" w:rsidRPr="00471447">
        <w:rPr>
          <w:rFonts w:ascii="Times New Roman" w:eastAsia="Cambria" w:hAnsi="Times New Roman" w:cs="Times New Roman"/>
          <w:kern w:val="22"/>
        </w:rPr>
        <w:t xml:space="preserve">. </w:t>
      </w:r>
    </w:p>
    <w:p w:rsidR="001E7CB1" w:rsidRDefault="001E7CB1" w:rsidP="00471447">
      <w:pPr>
        <w:pStyle w:val="ListParagraph"/>
        <w:numPr>
          <w:ilvl w:val="1"/>
          <w:numId w:val="40"/>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t>
      </w:r>
      <w:r w:rsidR="00206C27" w:rsidRPr="00471447">
        <w:rPr>
          <w:rFonts w:ascii="Times New Roman" w:eastAsia="Cambria" w:hAnsi="Times New Roman" w:cs="Times New Roman"/>
          <w:kern w:val="22"/>
        </w:rPr>
        <w:t xml:space="preserve">was suggested that </w:t>
      </w:r>
      <w:r w:rsidRPr="00471447">
        <w:rPr>
          <w:rFonts w:ascii="Times New Roman" w:eastAsia="Cambria" w:hAnsi="Times New Roman" w:cs="Times New Roman"/>
          <w:kern w:val="22"/>
        </w:rPr>
        <w:t>examin</w:t>
      </w:r>
      <w:r w:rsidR="00206C27" w:rsidRPr="00471447">
        <w:rPr>
          <w:rFonts w:ascii="Times New Roman" w:eastAsia="Cambria" w:hAnsi="Times New Roman" w:cs="Times New Roman"/>
          <w:kern w:val="22"/>
        </w:rPr>
        <w:t>ing</w:t>
      </w:r>
      <w:r w:rsidRPr="00471447">
        <w:rPr>
          <w:rFonts w:ascii="Times New Roman" w:eastAsia="Cambria" w:hAnsi="Times New Roman" w:cs="Times New Roman"/>
          <w:kern w:val="22"/>
        </w:rPr>
        <w:t xml:space="preserve"> </w:t>
      </w:r>
      <w:r w:rsidR="00706D49" w:rsidRPr="00471447">
        <w:rPr>
          <w:rFonts w:ascii="Times New Roman" w:eastAsia="Cambria" w:hAnsi="Times New Roman" w:cs="Times New Roman"/>
          <w:kern w:val="22"/>
        </w:rPr>
        <w:t xml:space="preserve">the burden of disease </w:t>
      </w:r>
      <w:r w:rsidRPr="00471447">
        <w:rPr>
          <w:rFonts w:ascii="Times New Roman" w:eastAsia="Cambria" w:hAnsi="Times New Roman" w:cs="Times New Roman"/>
          <w:kern w:val="22"/>
        </w:rPr>
        <w:t>associated with</w:t>
      </w:r>
      <w:r w:rsidR="00706D49" w:rsidRPr="00471447">
        <w:rPr>
          <w:rFonts w:ascii="Times New Roman" w:eastAsia="Cambria" w:hAnsi="Times New Roman" w:cs="Times New Roman"/>
          <w:kern w:val="22"/>
        </w:rPr>
        <w:t xml:space="preserve"> biodiversity loss</w:t>
      </w:r>
      <w:r w:rsidR="00206C27" w:rsidRPr="00471447">
        <w:rPr>
          <w:rFonts w:ascii="Times New Roman" w:eastAsia="Cambria" w:hAnsi="Times New Roman" w:cs="Times New Roman"/>
          <w:kern w:val="22"/>
        </w:rPr>
        <w:t xml:space="preserve"> is one area of future work</w:t>
      </w:r>
      <w:r w:rsidR="00706D49" w:rsidRPr="00471447">
        <w:rPr>
          <w:rFonts w:ascii="Times New Roman" w:eastAsia="Cambria" w:hAnsi="Times New Roman" w:cs="Times New Roman"/>
          <w:kern w:val="22"/>
        </w:rPr>
        <w:t>, but</w:t>
      </w:r>
      <w:r w:rsidR="00206C27" w:rsidRPr="00471447">
        <w:rPr>
          <w:rFonts w:ascii="Times New Roman" w:eastAsia="Cambria" w:hAnsi="Times New Roman" w:cs="Times New Roman"/>
          <w:kern w:val="22"/>
        </w:rPr>
        <w:t xml:space="preserve"> it may</w:t>
      </w:r>
      <w:r w:rsidRPr="00471447">
        <w:rPr>
          <w:rFonts w:ascii="Times New Roman" w:eastAsia="Cambria" w:hAnsi="Times New Roman" w:cs="Times New Roman"/>
          <w:kern w:val="22"/>
        </w:rPr>
        <w:t xml:space="preserve"> also be possible to</w:t>
      </w:r>
      <w:r w:rsidR="00206C27" w:rsidRPr="00471447">
        <w:rPr>
          <w:rFonts w:ascii="Times New Roman" w:eastAsia="Cambria" w:hAnsi="Times New Roman" w:cs="Times New Roman"/>
          <w:kern w:val="22"/>
        </w:rPr>
        <w:t xml:space="preserve"> consider</w:t>
      </w:r>
      <w:r w:rsidRPr="00471447">
        <w:rPr>
          <w:rFonts w:ascii="Times New Roman" w:eastAsia="Cambria" w:hAnsi="Times New Roman" w:cs="Times New Roman"/>
          <w:kern w:val="22"/>
        </w:rPr>
        <w:t xml:space="preserve"> examin</w:t>
      </w:r>
      <w:r w:rsidR="00206C27" w:rsidRPr="00471447">
        <w:rPr>
          <w:rFonts w:ascii="Times New Roman" w:eastAsia="Cambria" w:hAnsi="Times New Roman" w:cs="Times New Roman"/>
          <w:kern w:val="22"/>
        </w:rPr>
        <w:t>ing</w:t>
      </w:r>
      <w:r w:rsidRPr="00471447">
        <w:rPr>
          <w:rFonts w:ascii="Times New Roman" w:eastAsia="Cambria" w:hAnsi="Times New Roman" w:cs="Times New Roman"/>
          <w:kern w:val="22"/>
        </w:rPr>
        <w:t xml:space="preserve"> </w:t>
      </w:r>
      <w:r w:rsidR="00706D49" w:rsidRPr="00471447">
        <w:rPr>
          <w:rFonts w:ascii="Times New Roman" w:eastAsia="Cambria" w:hAnsi="Times New Roman" w:cs="Times New Roman"/>
          <w:kern w:val="22"/>
        </w:rPr>
        <w:t xml:space="preserve">the burden of disease </w:t>
      </w:r>
      <w:r w:rsidRPr="00471447">
        <w:rPr>
          <w:rFonts w:ascii="Times New Roman" w:eastAsia="Cambria" w:hAnsi="Times New Roman" w:cs="Times New Roman"/>
          <w:kern w:val="22"/>
        </w:rPr>
        <w:t>associated with specific practices</w:t>
      </w:r>
      <w:r w:rsidR="00706D49" w:rsidRPr="00471447">
        <w:rPr>
          <w:rFonts w:ascii="Times New Roman" w:eastAsia="Cambria" w:hAnsi="Times New Roman" w:cs="Times New Roman"/>
          <w:kern w:val="22"/>
        </w:rPr>
        <w:t xml:space="preserve"> narrowi</w:t>
      </w:r>
      <w:r w:rsidRPr="00471447">
        <w:rPr>
          <w:rFonts w:ascii="Times New Roman" w:eastAsia="Cambria" w:hAnsi="Times New Roman" w:cs="Times New Roman"/>
          <w:kern w:val="22"/>
        </w:rPr>
        <w:t>ng down the genetic food base and</w:t>
      </w:r>
      <w:r w:rsidR="00706D49" w:rsidRPr="00471447">
        <w:rPr>
          <w:rFonts w:ascii="Times New Roman" w:eastAsia="Cambria" w:hAnsi="Times New Roman" w:cs="Times New Roman"/>
          <w:kern w:val="22"/>
        </w:rPr>
        <w:t xml:space="preserve"> nutrition</w:t>
      </w:r>
      <w:r w:rsidRPr="00471447">
        <w:rPr>
          <w:rFonts w:ascii="Times New Roman" w:eastAsia="Cambria" w:hAnsi="Times New Roman" w:cs="Times New Roman"/>
          <w:kern w:val="22"/>
        </w:rPr>
        <w:t xml:space="preserve">, </w:t>
      </w:r>
      <w:r w:rsidR="00206C27" w:rsidRPr="00471447">
        <w:rPr>
          <w:rFonts w:ascii="Times New Roman" w:eastAsia="Cambria" w:hAnsi="Times New Roman" w:cs="Times New Roman"/>
          <w:kern w:val="22"/>
        </w:rPr>
        <w:t xml:space="preserve">deforestation, </w:t>
      </w:r>
      <w:r w:rsidRPr="00471447">
        <w:rPr>
          <w:rFonts w:ascii="Times New Roman" w:eastAsia="Cambria" w:hAnsi="Times New Roman" w:cs="Times New Roman"/>
          <w:kern w:val="22"/>
        </w:rPr>
        <w:t>etc</w:t>
      </w:r>
      <w:r w:rsidR="00706D49" w:rsidRPr="00471447">
        <w:rPr>
          <w:rFonts w:ascii="Times New Roman" w:eastAsia="Cambria" w:hAnsi="Times New Roman" w:cs="Times New Roman"/>
          <w:kern w:val="22"/>
        </w:rPr>
        <w:t xml:space="preserve">. It can </w:t>
      </w:r>
      <w:r w:rsidR="00206C27" w:rsidRPr="00471447">
        <w:rPr>
          <w:rFonts w:ascii="Times New Roman" w:eastAsia="Cambria" w:hAnsi="Times New Roman" w:cs="Times New Roman"/>
          <w:kern w:val="22"/>
        </w:rPr>
        <w:t xml:space="preserve">also </w:t>
      </w:r>
      <w:r w:rsidR="00706D49" w:rsidRPr="00471447">
        <w:rPr>
          <w:rFonts w:ascii="Times New Roman" w:eastAsia="Cambria" w:hAnsi="Times New Roman" w:cs="Times New Roman"/>
          <w:kern w:val="22"/>
        </w:rPr>
        <w:t xml:space="preserve">be broken down into </w:t>
      </w:r>
      <w:r w:rsidR="00206C27" w:rsidRPr="00471447">
        <w:rPr>
          <w:rFonts w:ascii="Times New Roman" w:eastAsia="Cambria" w:hAnsi="Times New Roman" w:cs="Times New Roman"/>
          <w:kern w:val="22"/>
        </w:rPr>
        <w:t>smaller</w:t>
      </w:r>
      <w:r w:rsidR="00706D49" w:rsidRPr="00471447">
        <w:rPr>
          <w:rFonts w:ascii="Times New Roman" w:eastAsia="Cambria" w:hAnsi="Times New Roman" w:cs="Times New Roman"/>
          <w:kern w:val="22"/>
        </w:rPr>
        <w:t xml:space="preserve"> pieces to initiat</w:t>
      </w:r>
      <w:r w:rsidRPr="00471447">
        <w:rPr>
          <w:rFonts w:ascii="Times New Roman" w:eastAsia="Cambria" w:hAnsi="Times New Roman" w:cs="Times New Roman"/>
          <w:kern w:val="22"/>
        </w:rPr>
        <w:t>e the process.</w:t>
      </w:r>
    </w:p>
    <w:p w:rsidR="001E7CB1" w:rsidRPr="00471447" w:rsidRDefault="001E7CB1" w:rsidP="00471447">
      <w:pPr>
        <w:pStyle w:val="ListParagraph"/>
        <w:numPr>
          <w:ilvl w:val="1"/>
          <w:numId w:val="40"/>
        </w:numPr>
        <w:spacing w:before="120" w:after="120"/>
        <w:ind w:left="0" w:firstLine="720"/>
        <w:jc w:val="both"/>
      </w:pPr>
      <w:r w:rsidRPr="00471447">
        <w:rPr>
          <w:rFonts w:ascii="Times New Roman" w:eastAsia="Cambria" w:hAnsi="Times New Roman" w:cs="Times New Roman"/>
          <w:kern w:val="22"/>
        </w:rPr>
        <w:t xml:space="preserve">It was </w:t>
      </w:r>
      <w:r w:rsidR="00206C27" w:rsidRPr="00471447">
        <w:rPr>
          <w:rFonts w:ascii="Times New Roman" w:eastAsia="Cambria" w:hAnsi="Times New Roman" w:cs="Times New Roman"/>
          <w:kern w:val="22"/>
        </w:rPr>
        <w:t xml:space="preserve">further </w:t>
      </w:r>
      <w:r w:rsidRPr="00471447">
        <w:rPr>
          <w:rFonts w:ascii="Times New Roman" w:eastAsia="Cambria" w:hAnsi="Times New Roman" w:cs="Times New Roman"/>
          <w:kern w:val="22"/>
        </w:rPr>
        <w:t xml:space="preserve">suggested that </w:t>
      </w:r>
      <w:r w:rsidR="00206C27" w:rsidRPr="00471447">
        <w:rPr>
          <w:rFonts w:ascii="Times New Roman" w:eastAsia="Cambria" w:hAnsi="Times New Roman" w:cs="Times New Roman"/>
          <w:kern w:val="22"/>
        </w:rPr>
        <w:t xml:space="preserve">the ILG </w:t>
      </w:r>
      <w:r w:rsidRPr="00471447">
        <w:rPr>
          <w:rFonts w:ascii="Times New Roman" w:eastAsia="Cambria" w:hAnsi="Times New Roman" w:cs="Times New Roman"/>
          <w:kern w:val="22"/>
        </w:rPr>
        <w:t>could</w:t>
      </w:r>
      <w:r w:rsidR="00706D49" w:rsidRPr="00471447">
        <w:rPr>
          <w:rFonts w:ascii="Times New Roman" w:eastAsia="Cambria" w:hAnsi="Times New Roman" w:cs="Times New Roman"/>
          <w:kern w:val="22"/>
        </w:rPr>
        <w:t xml:space="preserve"> examine the risks of continued biodiversity loss on disease burdens </w:t>
      </w:r>
      <w:r w:rsidR="00206C27" w:rsidRPr="00471447">
        <w:rPr>
          <w:rFonts w:ascii="Times New Roman" w:eastAsia="Cambria" w:hAnsi="Times New Roman" w:cs="Times New Roman"/>
          <w:kern w:val="22"/>
        </w:rPr>
        <w:t>and these could be</w:t>
      </w:r>
      <w:r w:rsidR="00706D49" w:rsidRPr="00471447">
        <w:rPr>
          <w:rFonts w:ascii="Times New Roman" w:eastAsia="Cambria" w:hAnsi="Times New Roman" w:cs="Times New Roman"/>
          <w:kern w:val="22"/>
        </w:rPr>
        <w:t xml:space="preserve"> align to positive effects of biodiversity protection</w:t>
      </w:r>
      <w:r w:rsidR="00206C27" w:rsidRPr="00471447">
        <w:rPr>
          <w:rFonts w:ascii="Times New Roman" w:eastAsia="Cambria" w:hAnsi="Times New Roman" w:cs="Times New Roman"/>
          <w:kern w:val="22"/>
        </w:rPr>
        <w:t>,</w:t>
      </w:r>
      <w:r w:rsidR="00706D49" w:rsidRPr="00471447">
        <w:rPr>
          <w:rFonts w:ascii="Times New Roman" w:eastAsia="Cambria" w:hAnsi="Times New Roman" w:cs="Times New Roman"/>
          <w:kern w:val="22"/>
        </w:rPr>
        <w:t xml:space="preserve"> </w:t>
      </w:r>
      <w:r w:rsidR="00206C27" w:rsidRPr="00471447">
        <w:rPr>
          <w:rFonts w:ascii="Times New Roman" w:eastAsia="Cambria" w:hAnsi="Times New Roman" w:cs="Times New Roman"/>
          <w:kern w:val="22"/>
        </w:rPr>
        <w:t xml:space="preserve">providing </w:t>
      </w:r>
      <w:r w:rsidR="00706D49" w:rsidRPr="00471447">
        <w:rPr>
          <w:rFonts w:ascii="Times New Roman" w:eastAsia="Cambria" w:hAnsi="Times New Roman" w:cs="Times New Roman"/>
          <w:kern w:val="22"/>
        </w:rPr>
        <w:t xml:space="preserve">an assessment </w:t>
      </w:r>
      <w:r w:rsidR="00206C27" w:rsidRPr="00471447">
        <w:rPr>
          <w:rFonts w:ascii="Times New Roman" w:eastAsia="Cambria" w:hAnsi="Times New Roman" w:cs="Times New Roman"/>
          <w:kern w:val="22"/>
        </w:rPr>
        <w:t xml:space="preserve">that </w:t>
      </w:r>
      <w:r w:rsidR="00706D49" w:rsidRPr="00471447">
        <w:rPr>
          <w:rFonts w:ascii="Times New Roman" w:eastAsia="Cambria" w:hAnsi="Times New Roman" w:cs="Times New Roman"/>
          <w:kern w:val="22"/>
        </w:rPr>
        <w:t>draw</w:t>
      </w:r>
      <w:r w:rsidR="00206C27" w:rsidRPr="00471447">
        <w:rPr>
          <w:rFonts w:ascii="Times New Roman" w:eastAsia="Cambria" w:hAnsi="Times New Roman" w:cs="Times New Roman"/>
          <w:kern w:val="22"/>
        </w:rPr>
        <w:t>s</w:t>
      </w:r>
      <w:r w:rsidR="00706D49" w:rsidRPr="00471447">
        <w:rPr>
          <w:rFonts w:ascii="Times New Roman" w:eastAsia="Cambria" w:hAnsi="Times New Roman" w:cs="Times New Roman"/>
          <w:kern w:val="22"/>
        </w:rPr>
        <w:t xml:space="preserve"> on available data. Perhaps there could be some leads in the global assessment that IPBES is </w:t>
      </w:r>
      <w:r w:rsidRPr="00471447">
        <w:rPr>
          <w:rFonts w:ascii="Times New Roman" w:eastAsia="Cambria" w:hAnsi="Times New Roman" w:cs="Times New Roman"/>
          <w:kern w:val="22"/>
        </w:rPr>
        <w:t xml:space="preserve">currently </w:t>
      </w:r>
      <w:r w:rsidR="00706D49" w:rsidRPr="00471447">
        <w:rPr>
          <w:rFonts w:ascii="Times New Roman" w:eastAsia="Cambria" w:hAnsi="Times New Roman" w:cs="Times New Roman"/>
          <w:kern w:val="22"/>
        </w:rPr>
        <w:t xml:space="preserve">carrying out. </w:t>
      </w:r>
      <w:r w:rsidR="00206C27" w:rsidRPr="00471447">
        <w:rPr>
          <w:rFonts w:ascii="Times New Roman" w:eastAsia="Cambria" w:hAnsi="Times New Roman" w:cs="Times New Roman"/>
          <w:kern w:val="22"/>
        </w:rPr>
        <w:t xml:space="preserve">On this point, the ILG </w:t>
      </w:r>
      <w:r w:rsidR="00706D49" w:rsidRPr="00471447">
        <w:rPr>
          <w:rFonts w:ascii="Times New Roman" w:eastAsia="Cambria" w:hAnsi="Times New Roman" w:cs="Times New Roman"/>
          <w:kern w:val="22"/>
        </w:rPr>
        <w:t>c</w:t>
      </w:r>
      <w:r w:rsidR="00206C27" w:rsidRPr="00471447">
        <w:rPr>
          <w:rFonts w:ascii="Times New Roman" w:eastAsia="Cambria" w:hAnsi="Times New Roman" w:cs="Times New Roman"/>
          <w:kern w:val="22"/>
        </w:rPr>
        <w:t>ould</w:t>
      </w:r>
      <w:r w:rsidR="00706D49" w:rsidRPr="00471447">
        <w:rPr>
          <w:rFonts w:ascii="Times New Roman" w:eastAsia="Cambria" w:hAnsi="Times New Roman" w:cs="Times New Roman"/>
          <w:kern w:val="22"/>
        </w:rPr>
        <w:t xml:space="preserve"> </w:t>
      </w:r>
      <w:r w:rsidR="00206C27" w:rsidRPr="00471447">
        <w:rPr>
          <w:rFonts w:ascii="Times New Roman" w:eastAsia="Cambria" w:hAnsi="Times New Roman" w:cs="Times New Roman"/>
          <w:kern w:val="22"/>
        </w:rPr>
        <w:t xml:space="preserve">further </w:t>
      </w:r>
      <w:r w:rsidR="00706D49" w:rsidRPr="00471447">
        <w:rPr>
          <w:rFonts w:ascii="Times New Roman" w:eastAsia="Cambria" w:hAnsi="Times New Roman" w:cs="Times New Roman"/>
          <w:kern w:val="22"/>
        </w:rPr>
        <w:t xml:space="preserve">examine the development of a concept that could then be carried forward through the ILG </w:t>
      </w:r>
      <w:r w:rsidR="00206C27" w:rsidRPr="00471447">
        <w:rPr>
          <w:rFonts w:ascii="Times New Roman" w:eastAsia="Cambria" w:hAnsi="Times New Roman" w:cs="Times New Roman"/>
          <w:kern w:val="22"/>
        </w:rPr>
        <w:t>to</w:t>
      </w:r>
      <w:r w:rsidR="00706D49" w:rsidRPr="00471447">
        <w:rPr>
          <w:rFonts w:ascii="Times New Roman" w:eastAsia="Cambria" w:hAnsi="Times New Roman" w:cs="Times New Roman"/>
          <w:kern w:val="22"/>
        </w:rPr>
        <w:t xml:space="preserve"> stimulat</w:t>
      </w:r>
      <w:r w:rsidR="00206C27" w:rsidRPr="00471447">
        <w:rPr>
          <w:rFonts w:ascii="Times New Roman" w:eastAsia="Cambria" w:hAnsi="Times New Roman" w:cs="Times New Roman"/>
          <w:kern w:val="22"/>
        </w:rPr>
        <w:t>e</w:t>
      </w:r>
      <w:r w:rsidR="00706D49" w:rsidRPr="00471447">
        <w:rPr>
          <w:rFonts w:ascii="Times New Roman" w:eastAsia="Cambria" w:hAnsi="Times New Roman" w:cs="Times New Roman"/>
          <w:kern w:val="22"/>
        </w:rPr>
        <w:t xml:space="preserve"> others </w:t>
      </w:r>
      <w:r w:rsidR="00206C27" w:rsidRPr="00471447">
        <w:rPr>
          <w:rFonts w:ascii="Times New Roman" w:eastAsia="Cambria" w:hAnsi="Times New Roman" w:cs="Times New Roman"/>
          <w:kern w:val="22"/>
        </w:rPr>
        <w:t>such as</w:t>
      </w:r>
      <w:r w:rsidR="00706D49" w:rsidRPr="00471447">
        <w:rPr>
          <w:rFonts w:ascii="Times New Roman" w:eastAsia="Cambria" w:hAnsi="Times New Roman" w:cs="Times New Roman"/>
          <w:kern w:val="22"/>
        </w:rPr>
        <w:t xml:space="preserve"> the Lancet </w:t>
      </w:r>
      <w:r w:rsidR="00206C27" w:rsidRPr="00471447">
        <w:rPr>
          <w:rFonts w:ascii="Times New Roman" w:eastAsia="Cambria" w:hAnsi="Times New Roman" w:cs="Times New Roman"/>
          <w:kern w:val="22"/>
        </w:rPr>
        <w:t xml:space="preserve">Commission on Planetary Health </w:t>
      </w:r>
      <w:r w:rsidR="00706D49" w:rsidRPr="00471447">
        <w:rPr>
          <w:rFonts w:ascii="Times New Roman" w:eastAsia="Cambria" w:hAnsi="Times New Roman" w:cs="Times New Roman"/>
          <w:kern w:val="22"/>
        </w:rPr>
        <w:t>to move it forward</w:t>
      </w:r>
      <w:r w:rsidRPr="00471447">
        <w:rPr>
          <w:rFonts w:ascii="Times New Roman" w:eastAsia="Cambria" w:hAnsi="Times New Roman" w:cs="Times New Roman"/>
          <w:kern w:val="22"/>
        </w:rPr>
        <w:t>.</w:t>
      </w:r>
    </w:p>
    <w:p w:rsidR="009B58D6" w:rsidRPr="00471447" w:rsidRDefault="00206C27"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Some participants noted that</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there is insufficient attention in the</w:t>
      </w:r>
      <w:r w:rsidR="00706D49" w:rsidRPr="00471447">
        <w:rPr>
          <w:rFonts w:ascii="Times New Roman" w:eastAsia="Cambria" w:hAnsi="Times New Roman" w:cs="Times New Roman"/>
          <w:kern w:val="22"/>
        </w:rPr>
        <w:t xml:space="preserve"> IPBES </w:t>
      </w:r>
      <w:r w:rsidRPr="00471447">
        <w:rPr>
          <w:rFonts w:ascii="Times New Roman" w:eastAsia="Cambria" w:hAnsi="Times New Roman" w:cs="Times New Roman"/>
          <w:kern w:val="22"/>
        </w:rPr>
        <w:t>on</w:t>
      </w:r>
      <w:r w:rsidR="00706D49" w:rsidRPr="00471447">
        <w:rPr>
          <w:rFonts w:ascii="Times New Roman" w:eastAsia="Cambria" w:hAnsi="Times New Roman" w:cs="Times New Roman"/>
          <w:kern w:val="22"/>
        </w:rPr>
        <w:t xml:space="preserve"> health linkages</w:t>
      </w:r>
      <w:r w:rsidRPr="00471447">
        <w:rPr>
          <w:rFonts w:ascii="Times New Roman" w:eastAsia="Cambria" w:hAnsi="Times New Roman" w:cs="Times New Roman"/>
          <w:kern w:val="22"/>
        </w:rPr>
        <w:t>.</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It was agreed </w:t>
      </w:r>
      <w:r w:rsidR="00706D49" w:rsidRPr="00471447">
        <w:rPr>
          <w:rFonts w:ascii="Times New Roman" w:eastAsia="Cambria" w:hAnsi="Times New Roman" w:cs="Times New Roman"/>
          <w:kern w:val="22"/>
        </w:rPr>
        <w:t xml:space="preserve">gathering baseline data for monitoring and evaluating impacts on health and biodiversity </w:t>
      </w:r>
      <w:r w:rsidRPr="00471447">
        <w:rPr>
          <w:rFonts w:ascii="Times New Roman" w:eastAsia="Cambria" w:hAnsi="Times New Roman" w:cs="Times New Roman"/>
          <w:kern w:val="22"/>
        </w:rPr>
        <w:t>is an important area of work and</w:t>
      </w:r>
      <w:r w:rsidR="00706D49" w:rsidRPr="00471447">
        <w:rPr>
          <w:rFonts w:ascii="Times New Roman" w:eastAsia="Cambria" w:hAnsi="Times New Roman" w:cs="Times New Roman"/>
          <w:kern w:val="22"/>
        </w:rPr>
        <w:t xml:space="preserve"> IPBES and other partners </w:t>
      </w:r>
      <w:r w:rsidRPr="00471447">
        <w:rPr>
          <w:rFonts w:ascii="Times New Roman" w:eastAsia="Cambria" w:hAnsi="Times New Roman" w:cs="Times New Roman"/>
          <w:kern w:val="22"/>
        </w:rPr>
        <w:t>should be encouraged by the ILG to consider these</w:t>
      </w:r>
      <w:r w:rsidR="00706D49" w:rsidRPr="00471447">
        <w:rPr>
          <w:rFonts w:ascii="Times New Roman" w:eastAsia="Cambria" w:hAnsi="Times New Roman" w:cs="Times New Roman"/>
          <w:kern w:val="22"/>
        </w:rPr>
        <w:t xml:space="preserve"> linkages.</w:t>
      </w:r>
      <w:r w:rsidR="001E7CB1"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At the same time, it was agreed that </w:t>
      </w:r>
      <w:r w:rsidR="00706D49" w:rsidRPr="00471447">
        <w:rPr>
          <w:rFonts w:ascii="Times New Roman" w:eastAsia="Cambria" w:hAnsi="Times New Roman" w:cs="Times New Roman"/>
          <w:kern w:val="22"/>
        </w:rPr>
        <w:t xml:space="preserve">while the research agenda is important </w:t>
      </w:r>
      <w:r w:rsidR="00E36668" w:rsidRPr="00471447">
        <w:rPr>
          <w:rFonts w:ascii="Times New Roman" w:eastAsia="Cambria" w:hAnsi="Times New Roman" w:cs="Times New Roman"/>
          <w:kern w:val="22"/>
        </w:rPr>
        <w:t xml:space="preserve">potential data gaps should not hinder the development of </w:t>
      </w:r>
      <w:r w:rsidR="00706D49" w:rsidRPr="00471447">
        <w:rPr>
          <w:rFonts w:ascii="Times New Roman" w:eastAsia="Cambria" w:hAnsi="Times New Roman" w:cs="Times New Roman"/>
          <w:kern w:val="22"/>
        </w:rPr>
        <w:t xml:space="preserve">an initial baseline assessment now based on </w:t>
      </w:r>
      <w:r w:rsidR="00E36668" w:rsidRPr="00471447">
        <w:rPr>
          <w:rFonts w:ascii="Times New Roman" w:eastAsia="Cambria" w:hAnsi="Times New Roman" w:cs="Times New Roman"/>
          <w:kern w:val="22"/>
        </w:rPr>
        <w:t>existing data</w:t>
      </w:r>
      <w:r w:rsidR="00706D49" w:rsidRPr="00471447">
        <w:rPr>
          <w:rFonts w:ascii="Times New Roman" w:eastAsia="Cambria" w:hAnsi="Times New Roman" w:cs="Times New Roman"/>
          <w:kern w:val="22"/>
        </w:rPr>
        <w:t xml:space="preserve">. </w:t>
      </w:r>
      <w:r w:rsidR="00E36668" w:rsidRPr="00471447">
        <w:rPr>
          <w:rFonts w:ascii="Times New Roman" w:eastAsia="Cambria" w:hAnsi="Times New Roman" w:cs="Times New Roman"/>
          <w:kern w:val="22"/>
        </w:rPr>
        <w:t xml:space="preserve">Some existing </w:t>
      </w:r>
      <w:r w:rsidR="00706D49" w:rsidRPr="00471447">
        <w:rPr>
          <w:rFonts w:ascii="Times New Roman" w:eastAsia="Cambria" w:hAnsi="Times New Roman" w:cs="Times New Roman"/>
          <w:kern w:val="22"/>
        </w:rPr>
        <w:t xml:space="preserve">morbidity and mortality data could </w:t>
      </w:r>
      <w:r w:rsidR="00E36668" w:rsidRPr="00471447">
        <w:rPr>
          <w:rFonts w:ascii="Times New Roman" w:eastAsia="Cambria" w:hAnsi="Times New Roman" w:cs="Times New Roman"/>
          <w:kern w:val="22"/>
        </w:rPr>
        <w:t xml:space="preserve">greatly </w:t>
      </w:r>
      <w:r w:rsidR="00706D49" w:rsidRPr="00471447">
        <w:rPr>
          <w:rFonts w:ascii="Times New Roman" w:eastAsia="Cambria" w:hAnsi="Times New Roman" w:cs="Times New Roman"/>
          <w:kern w:val="22"/>
        </w:rPr>
        <w:t xml:space="preserve">contribute to </w:t>
      </w:r>
      <w:r w:rsidR="00E36668" w:rsidRPr="00471447">
        <w:rPr>
          <w:rFonts w:ascii="Times New Roman" w:eastAsia="Cambria" w:hAnsi="Times New Roman" w:cs="Times New Roman"/>
          <w:kern w:val="22"/>
        </w:rPr>
        <w:t xml:space="preserve">initial </w:t>
      </w:r>
      <w:r w:rsidR="00706D49" w:rsidRPr="00471447">
        <w:rPr>
          <w:rFonts w:ascii="Times New Roman" w:eastAsia="Cambria" w:hAnsi="Times New Roman" w:cs="Times New Roman"/>
          <w:kern w:val="22"/>
        </w:rPr>
        <w:t>baseline</w:t>
      </w:r>
      <w:r w:rsidR="00E36668" w:rsidRPr="00471447">
        <w:rPr>
          <w:rFonts w:ascii="Times New Roman" w:eastAsia="Cambria" w:hAnsi="Times New Roman" w:cs="Times New Roman"/>
          <w:kern w:val="22"/>
        </w:rPr>
        <w:t xml:space="preserve"> studies in this area</w:t>
      </w:r>
      <w:r w:rsidR="00706D49" w:rsidRPr="00471447">
        <w:rPr>
          <w:rFonts w:ascii="Times New Roman" w:eastAsia="Cambria" w:hAnsi="Times New Roman" w:cs="Times New Roman"/>
          <w:kern w:val="22"/>
        </w:rPr>
        <w:t>.</w:t>
      </w:r>
      <w:r w:rsidR="00E36668" w:rsidRPr="00471447">
        <w:rPr>
          <w:rFonts w:ascii="Times New Roman" w:eastAsia="Cambria" w:hAnsi="Times New Roman" w:cs="Times New Roman"/>
          <w:kern w:val="22"/>
        </w:rPr>
        <w:t xml:space="preserve"> It was noted that there</w:t>
      </w:r>
      <w:r w:rsidR="00706D49" w:rsidRPr="00471447">
        <w:rPr>
          <w:rFonts w:ascii="Times New Roman" w:eastAsia="Cambria" w:hAnsi="Times New Roman" w:cs="Times New Roman"/>
          <w:kern w:val="22"/>
        </w:rPr>
        <w:t xml:space="preserve"> is </w:t>
      </w:r>
      <w:r w:rsidR="00E36668" w:rsidRPr="00471447">
        <w:rPr>
          <w:rFonts w:ascii="Times New Roman" w:eastAsia="Cambria" w:hAnsi="Times New Roman" w:cs="Times New Roman"/>
          <w:kern w:val="22"/>
        </w:rPr>
        <w:t xml:space="preserve">also </w:t>
      </w:r>
      <w:r w:rsidR="00706D49" w:rsidRPr="00471447">
        <w:rPr>
          <w:rFonts w:ascii="Times New Roman" w:eastAsia="Cambria" w:hAnsi="Times New Roman" w:cs="Times New Roman"/>
          <w:kern w:val="22"/>
        </w:rPr>
        <w:t xml:space="preserve">considerable </w:t>
      </w:r>
      <w:r w:rsidR="00E36668" w:rsidRPr="00471447">
        <w:rPr>
          <w:rFonts w:ascii="Times New Roman" w:eastAsia="Cambria" w:hAnsi="Times New Roman" w:cs="Times New Roman"/>
          <w:kern w:val="22"/>
        </w:rPr>
        <w:t xml:space="preserve">point </w:t>
      </w:r>
      <w:r w:rsidR="00706D49" w:rsidRPr="00471447">
        <w:rPr>
          <w:rFonts w:ascii="Times New Roman" w:eastAsia="Cambria" w:hAnsi="Times New Roman" w:cs="Times New Roman"/>
          <w:kern w:val="22"/>
        </w:rPr>
        <w:t>data on landuse change</w:t>
      </w:r>
      <w:r w:rsidR="00E36668" w:rsidRPr="00471447">
        <w:rPr>
          <w:rFonts w:ascii="Times New Roman" w:eastAsia="Cambria" w:hAnsi="Times New Roman" w:cs="Times New Roman"/>
          <w:kern w:val="22"/>
        </w:rPr>
        <w:t>,</w:t>
      </w:r>
      <w:r w:rsidR="00706D49" w:rsidRPr="00471447">
        <w:rPr>
          <w:rFonts w:ascii="Times New Roman" w:eastAsia="Cambria" w:hAnsi="Times New Roman" w:cs="Times New Roman"/>
          <w:kern w:val="22"/>
        </w:rPr>
        <w:t xml:space="preserve"> </w:t>
      </w:r>
      <w:r w:rsidR="001E7CB1" w:rsidRPr="00471447">
        <w:rPr>
          <w:rFonts w:ascii="Times New Roman" w:eastAsia="Cambria" w:hAnsi="Times New Roman" w:cs="Times New Roman"/>
          <w:kern w:val="22"/>
        </w:rPr>
        <w:t>n</w:t>
      </w:r>
      <w:r w:rsidR="00706D49" w:rsidRPr="00471447">
        <w:rPr>
          <w:rFonts w:ascii="Times New Roman" w:eastAsia="Cambria" w:hAnsi="Times New Roman" w:cs="Times New Roman"/>
          <w:kern w:val="22"/>
        </w:rPr>
        <w:t>oncommunicable and infectious diseases a</w:t>
      </w:r>
      <w:r w:rsidR="00E36668" w:rsidRPr="00471447">
        <w:rPr>
          <w:rFonts w:ascii="Times New Roman" w:eastAsia="Cambria" w:hAnsi="Times New Roman" w:cs="Times New Roman"/>
          <w:kern w:val="22"/>
        </w:rPr>
        <w:t>t a</w:t>
      </w:r>
      <w:r w:rsidR="00706D49" w:rsidRPr="00471447">
        <w:rPr>
          <w:rFonts w:ascii="Times New Roman" w:eastAsia="Cambria" w:hAnsi="Times New Roman" w:cs="Times New Roman"/>
          <w:kern w:val="22"/>
        </w:rPr>
        <w:t xml:space="preserve"> country and provincial level</w:t>
      </w:r>
      <w:r w:rsidR="00E36668" w:rsidRPr="00471447">
        <w:rPr>
          <w:rFonts w:ascii="Times New Roman" w:eastAsia="Cambria" w:hAnsi="Times New Roman" w:cs="Times New Roman"/>
          <w:kern w:val="22"/>
        </w:rPr>
        <w:t xml:space="preserve"> that can be used. In</w:t>
      </w:r>
      <w:r w:rsidR="009B58D6" w:rsidRPr="00471447">
        <w:rPr>
          <w:rFonts w:ascii="Times New Roman" w:eastAsia="Cambria" w:hAnsi="Times New Roman" w:cs="Times New Roman"/>
          <w:kern w:val="22"/>
        </w:rPr>
        <w:t xml:space="preserve"> some cases the information is </w:t>
      </w:r>
      <w:r w:rsidR="00706D49" w:rsidRPr="00471447">
        <w:rPr>
          <w:rFonts w:ascii="Times New Roman" w:eastAsia="Cambria" w:hAnsi="Times New Roman" w:cs="Times New Roman"/>
          <w:kern w:val="22"/>
        </w:rPr>
        <w:t xml:space="preserve">publicly available </w:t>
      </w:r>
      <w:r w:rsidR="00E36668" w:rsidRPr="00471447">
        <w:rPr>
          <w:rFonts w:ascii="Times New Roman" w:eastAsia="Cambria" w:hAnsi="Times New Roman" w:cs="Times New Roman"/>
          <w:kern w:val="22"/>
        </w:rPr>
        <w:t>in</w:t>
      </w:r>
      <w:r w:rsidR="00706D49" w:rsidRPr="00471447">
        <w:rPr>
          <w:rFonts w:ascii="Times New Roman" w:eastAsia="Cambria" w:hAnsi="Times New Roman" w:cs="Times New Roman"/>
          <w:kern w:val="22"/>
        </w:rPr>
        <w:t xml:space="preserve"> others </w:t>
      </w:r>
      <w:r w:rsidR="00E36668" w:rsidRPr="00471447">
        <w:rPr>
          <w:rFonts w:ascii="Times New Roman" w:eastAsia="Cambria" w:hAnsi="Times New Roman" w:cs="Times New Roman"/>
          <w:kern w:val="22"/>
        </w:rPr>
        <w:t xml:space="preserve">it </w:t>
      </w:r>
      <w:r w:rsidR="00706D49" w:rsidRPr="00471447">
        <w:rPr>
          <w:rFonts w:ascii="Times New Roman" w:eastAsia="Cambria" w:hAnsi="Times New Roman" w:cs="Times New Roman"/>
          <w:kern w:val="22"/>
        </w:rPr>
        <w:t>c</w:t>
      </w:r>
      <w:r w:rsidR="009B58D6" w:rsidRPr="00471447">
        <w:rPr>
          <w:rFonts w:ascii="Times New Roman" w:eastAsia="Cambria" w:hAnsi="Times New Roman" w:cs="Times New Roman"/>
          <w:kern w:val="22"/>
        </w:rPr>
        <w:t>an be dug out. Th</w:t>
      </w:r>
      <w:r w:rsidR="00E36668" w:rsidRPr="00471447">
        <w:rPr>
          <w:rFonts w:ascii="Times New Roman" w:eastAsia="Cambria" w:hAnsi="Times New Roman" w:cs="Times New Roman"/>
          <w:kern w:val="22"/>
        </w:rPr>
        <w:t>e</w:t>
      </w:r>
      <w:r w:rsidR="009B58D6" w:rsidRPr="00471447">
        <w:rPr>
          <w:rFonts w:ascii="Times New Roman" w:eastAsia="Cambria" w:hAnsi="Times New Roman" w:cs="Times New Roman"/>
          <w:kern w:val="22"/>
        </w:rPr>
        <w:t xml:space="preserve"> data can also </w:t>
      </w:r>
      <w:r w:rsidR="00706D49" w:rsidRPr="00471447">
        <w:rPr>
          <w:rFonts w:ascii="Times New Roman" w:eastAsia="Cambria" w:hAnsi="Times New Roman" w:cs="Times New Roman"/>
          <w:kern w:val="22"/>
        </w:rPr>
        <w:t>contribute to the development of useful indicators including on nutritional issues</w:t>
      </w:r>
      <w:r w:rsidR="009B58D6" w:rsidRPr="00471447">
        <w:rPr>
          <w:rFonts w:ascii="Times New Roman" w:eastAsia="Cambria" w:hAnsi="Times New Roman" w:cs="Times New Roman"/>
          <w:kern w:val="22"/>
        </w:rPr>
        <w:t>.</w:t>
      </w:r>
    </w:p>
    <w:p w:rsidR="009B58D6" w:rsidRPr="00471447" w:rsidRDefault="00E36668"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w:t>
      </w:r>
      <w:r w:rsidR="00706D49" w:rsidRPr="00471447">
        <w:rPr>
          <w:rFonts w:ascii="Times New Roman" w:eastAsia="Cambria" w:hAnsi="Times New Roman" w:cs="Times New Roman"/>
          <w:kern w:val="22"/>
        </w:rPr>
        <w:t xml:space="preserve">t </w:t>
      </w:r>
      <w:r w:rsidRPr="00471447">
        <w:rPr>
          <w:rFonts w:ascii="Times New Roman" w:eastAsia="Cambria" w:hAnsi="Times New Roman" w:cs="Times New Roman"/>
          <w:kern w:val="22"/>
        </w:rPr>
        <w:t xml:space="preserve">was also suggested that it would </w:t>
      </w:r>
      <w:r w:rsidR="00706D49"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be useful</w:t>
      </w:r>
      <w:r w:rsidR="009B58D6" w:rsidRPr="00471447">
        <w:rPr>
          <w:rFonts w:ascii="Times New Roman" w:eastAsia="Cambria" w:hAnsi="Times New Roman" w:cs="Times New Roman"/>
          <w:kern w:val="22"/>
        </w:rPr>
        <w:t xml:space="preserve"> to examine</w:t>
      </w:r>
      <w:r w:rsidR="00706D49" w:rsidRPr="00471447">
        <w:rPr>
          <w:rFonts w:ascii="Times New Roman" w:eastAsia="Cambria" w:hAnsi="Times New Roman" w:cs="Times New Roman"/>
          <w:kern w:val="22"/>
        </w:rPr>
        <w:t xml:space="preserve"> </w:t>
      </w:r>
      <w:r w:rsidR="009B58D6" w:rsidRPr="00471447">
        <w:rPr>
          <w:rFonts w:ascii="Times New Roman" w:eastAsia="Cambria" w:hAnsi="Times New Roman" w:cs="Times New Roman"/>
          <w:kern w:val="22"/>
        </w:rPr>
        <w:t xml:space="preserve">specific activities </w:t>
      </w:r>
      <w:r w:rsidRPr="00471447">
        <w:rPr>
          <w:rFonts w:ascii="Times New Roman" w:eastAsia="Cambria" w:hAnsi="Times New Roman" w:cs="Times New Roman"/>
          <w:kern w:val="22"/>
        </w:rPr>
        <w:t xml:space="preserve">(e.g. extractive industry) </w:t>
      </w:r>
      <w:r w:rsidR="00706D49" w:rsidRPr="00471447">
        <w:rPr>
          <w:rFonts w:ascii="Times New Roman" w:eastAsia="Cambria" w:hAnsi="Times New Roman" w:cs="Times New Roman"/>
          <w:kern w:val="22"/>
        </w:rPr>
        <w:t xml:space="preserve">occurring in biodiversity hotspots, </w:t>
      </w:r>
      <w:r w:rsidR="009B58D6" w:rsidRPr="00471447">
        <w:rPr>
          <w:rFonts w:ascii="Times New Roman" w:eastAsia="Cambria" w:hAnsi="Times New Roman" w:cs="Times New Roman"/>
          <w:kern w:val="22"/>
        </w:rPr>
        <w:t>and associated</w:t>
      </w:r>
      <w:r w:rsidR="00706D49" w:rsidRPr="00471447">
        <w:rPr>
          <w:rFonts w:ascii="Times New Roman" w:eastAsia="Cambria" w:hAnsi="Times New Roman" w:cs="Times New Roman"/>
          <w:kern w:val="22"/>
        </w:rPr>
        <w:t xml:space="preserve"> health impacts.</w:t>
      </w:r>
    </w:p>
    <w:p w:rsidR="00706D49" w:rsidRPr="00471447" w:rsidRDefault="00E36668"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There was general consensus</w:t>
      </w:r>
      <w:r w:rsidR="009B58D6" w:rsidRPr="00471447">
        <w:rPr>
          <w:rFonts w:ascii="Times New Roman" w:eastAsia="Cambria" w:hAnsi="Times New Roman" w:cs="Times New Roman"/>
          <w:kern w:val="22"/>
        </w:rPr>
        <w:t xml:space="preserve"> that there</w:t>
      </w:r>
      <w:r w:rsidR="00706D49" w:rsidRPr="00471447">
        <w:rPr>
          <w:rFonts w:ascii="Times New Roman" w:eastAsia="Cambria" w:hAnsi="Times New Roman" w:cs="Times New Roman"/>
          <w:kern w:val="22"/>
        </w:rPr>
        <w:t xml:space="preserve"> are a series of </w:t>
      </w:r>
      <w:r w:rsidR="009B58D6" w:rsidRPr="00471447">
        <w:rPr>
          <w:rFonts w:ascii="Times New Roman" w:eastAsia="Cambria" w:hAnsi="Times New Roman" w:cs="Times New Roman"/>
          <w:kern w:val="22"/>
        </w:rPr>
        <w:t>available datasets</w:t>
      </w:r>
      <w:r w:rsidR="00706D49" w:rsidRPr="00471447">
        <w:rPr>
          <w:rFonts w:ascii="Times New Roman" w:eastAsia="Cambria" w:hAnsi="Times New Roman" w:cs="Times New Roman"/>
          <w:kern w:val="22"/>
        </w:rPr>
        <w:t xml:space="preserve"> that </w:t>
      </w:r>
      <w:r w:rsidR="009B58D6" w:rsidRPr="00471447">
        <w:rPr>
          <w:rFonts w:ascii="Times New Roman" w:eastAsia="Cambria" w:hAnsi="Times New Roman" w:cs="Times New Roman"/>
          <w:kern w:val="22"/>
        </w:rPr>
        <w:t>the ILG</w:t>
      </w:r>
      <w:r w:rsidR="00706D49" w:rsidRPr="00471447">
        <w:rPr>
          <w:rFonts w:ascii="Times New Roman" w:eastAsia="Cambria" w:hAnsi="Times New Roman" w:cs="Times New Roman"/>
          <w:kern w:val="22"/>
        </w:rPr>
        <w:t xml:space="preserve"> could </w:t>
      </w:r>
      <w:r w:rsidR="009B58D6" w:rsidRPr="00471447">
        <w:rPr>
          <w:rFonts w:ascii="Times New Roman" w:eastAsia="Cambria" w:hAnsi="Times New Roman" w:cs="Times New Roman"/>
          <w:kern w:val="22"/>
        </w:rPr>
        <w:t>bring together</w:t>
      </w:r>
      <w:r w:rsidR="00706D49" w:rsidRPr="00471447">
        <w:rPr>
          <w:rFonts w:ascii="Times New Roman" w:eastAsia="Cambria" w:hAnsi="Times New Roman" w:cs="Times New Roman"/>
          <w:kern w:val="22"/>
        </w:rPr>
        <w:t xml:space="preserve"> that would help to map out linkages between biodiversity and health, as a broad issue, and if underlying mechanisms </w:t>
      </w:r>
      <w:r w:rsidR="009B58D6" w:rsidRPr="00471447">
        <w:rPr>
          <w:rFonts w:ascii="Times New Roman" w:eastAsia="Cambria" w:hAnsi="Times New Roman" w:cs="Times New Roman"/>
          <w:kern w:val="22"/>
        </w:rPr>
        <w:t xml:space="preserve">could also be measured, it would generate something very </w:t>
      </w:r>
      <w:r w:rsidR="00706D49" w:rsidRPr="00471447">
        <w:rPr>
          <w:rFonts w:ascii="Times New Roman" w:eastAsia="Cambria" w:hAnsi="Times New Roman" w:cs="Times New Roman"/>
          <w:kern w:val="22"/>
        </w:rPr>
        <w:t xml:space="preserve">tangible and </w:t>
      </w:r>
      <w:r w:rsidR="009B58D6" w:rsidRPr="00471447">
        <w:rPr>
          <w:rFonts w:ascii="Times New Roman" w:eastAsia="Cambria" w:hAnsi="Times New Roman" w:cs="Times New Roman"/>
          <w:kern w:val="22"/>
        </w:rPr>
        <w:t xml:space="preserve">useful to policy-makers. The ILG agreed that it would further examine </w:t>
      </w:r>
      <w:r w:rsidR="00706D49" w:rsidRPr="00471447">
        <w:rPr>
          <w:rFonts w:ascii="Times New Roman" w:eastAsia="Cambria" w:hAnsi="Times New Roman" w:cs="Times New Roman"/>
          <w:kern w:val="22"/>
        </w:rPr>
        <w:t xml:space="preserve">how it </w:t>
      </w:r>
      <w:r w:rsidR="009B58D6" w:rsidRPr="00471447">
        <w:rPr>
          <w:rFonts w:ascii="Times New Roman" w:eastAsia="Cambria" w:hAnsi="Times New Roman" w:cs="Times New Roman"/>
          <w:kern w:val="22"/>
        </w:rPr>
        <w:t xml:space="preserve">can be formalized to move beyond </w:t>
      </w:r>
      <w:r w:rsidR="00706D49" w:rsidRPr="00471447">
        <w:rPr>
          <w:rFonts w:ascii="Times New Roman" w:eastAsia="Cambria" w:hAnsi="Times New Roman" w:cs="Times New Roman"/>
          <w:kern w:val="22"/>
        </w:rPr>
        <w:t xml:space="preserve">a research agenda </w:t>
      </w:r>
      <w:r w:rsidR="009B58D6" w:rsidRPr="00471447">
        <w:rPr>
          <w:rFonts w:ascii="Times New Roman" w:eastAsia="Cambria" w:hAnsi="Times New Roman" w:cs="Times New Roman"/>
          <w:kern w:val="22"/>
        </w:rPr>
        <w:t>toward</w:t>
      </w:r>
      <w:r w:rsidR="00706D49" w:rsidRPr="00471447">
        <w:rPr>
          <w:rFonts w:ascii="Times New Roman" w:eastAsia="Cambria" w:hAnsi="Times New Roman" w:cs="Times New Roman"/>
          <w:kern w:val="22"/>
        </w:rPr>
        <w:t xml:space="preserve"> actual policy impact.</w:t>
      </w:r>
      <w:r w:rsidR="009B58D6" w:rsidRPr="00471447">
        <w:rPr>
          <w:rFonts w:ascii="Times New Roman" w:eastAsia="Cambria" w:hAnsi="Times New Roman" w:cs="Times New Roman"/>
          <w:kern w:val="22"/>
        </w:rPr>
        <w:t xml:space="preserve"> </w:t>
      </w:r>
      <w:r w:rsidR="00706D49" w:rsidRPr="00471447">
        <w:rPr>
          <w:rFonts w:ascii="Times New Roman" w:eastAsia="Cambria" w:hAnsi="Times New Roman" w:cs="Times New Roman"/>
          <w:kern w:val="22"/>
        </w:rPr>
        <w:t xml:space="preserve">It was also </w:t>
      </w:r>
      <w:r w:rsidR="009B58D6" w:rsidRPr="00471447">
        <w:rPr>
          <w:rFonts w:ascii="Times New Roman" w:eastAsia="Cambria" w:hAnsi="Times New Roman" w:cs="Times New Roman"/>
          <w:kern w:val="22"/>
        </w:rPr>
        <w:t>agreed</w:t>
      </w:r>
      <w:r w:rsidR="00706D49" w:rsidRPr="00471447">
        <w:rPr>
          <w:rFonts w:ascii="Times New Roman" w:eastAsia="Cambria" w:hAnsi="Times New Roman" w:cs="Times New Roman"/>
          <w:kern w:val="22"/>
        </w:rPr>
        <w:t xml:space="preserve"> that </w:t>
      </w:r>
      <w:r w:rsidR="009B58D6" w:rsidRPr="00471447">
        <w:rPr>
          <w:rFonts w:ascii="Times New Roman" w:eastAsia="Cambria" w:hAnsi="Times New Roman" w:cs="Times New Roman"/>
          <w:kern w:val="22"/>
        </w:rPr>
        <w:t xml:space="preserve">this </w:t>
      </w:r>
      <w:r w:rsidRPr="00471447">
        <w:rPr>
          <w:rFonts w:ascii="Times New Roman" w:eastAsia="Cambria" w:hAnsi="Times New Roman" w:cs="Times New Roman"/>
          <w:kern w:val="22"/>
        </w:rPr>
        <w:t>would</w:t>
      </w:r>
      <w:r w:rsidR="009B58D6" w:rsidRPr="00471447">
        <w:rPr>
          <w:rFonts w:ascii="Times New Roman" w:eastAsia="Cambria" w:hAnsi="Times New Roman" w:cs="Times New Roman"/>
          <w:kern w:val="22"/>
        </w:rPr>
        <w:t xml:space="preserve"> be an action item of the </w:t>
      </w:r>
      <w:r w:rsidR="00706D49" w:rsidRPr="00471447">
        <w:rPr>
          <w:rFonts w:ascii="Times New Roman" w:eastAsia="Cambria" w:hAnsi="Times New Roman" w:cs="Times New Roman"/>
          <w:kern w:val="22"/>
        </w:rPr>
        <w:t xml:space="preserve">research agenda </w:t>
      </w:r>
      <w:r w:rsidR="009B58D6" w:rsidRPr="00471447">
        <w:rPr>
          <w:rFonts w:ascii="Times New Roman" w:eastAsia="Cambria" w:hAnsi="Times New Roman" w:cs="Times New Roman"/>
          <w:kern w:val="22"/>
        </w:rPr>
        <w:t xml:space="preserve">addressed </w:t>
      </w:r>
      <w:r w:rsidRPr="00471447">
        <w:rPr>
          <w:rFonts w:ascii="Times New Roman" w:eastAsia="Cambria" w:hAnsi="Times New Roman" w:cs="Times New Roman"/>
          <w:kern w:val="22"/>
        </w:rPr>
        <w:t>under Theme c).</w:t>
      </w:r>
    </w:p>
    <w:p w:rsidR="000003B3" w:rsidRPr="00471447" w:rsidRDefault="006662DF" w:rsidP="00471447">
      <w:pPr>
        <w:spacing w:before="120" w:after="120" w:line="240" w:lineRule="auto"/>
        <w:jc w:val="center"/>
        <w:rPr>
          <w:rFonts w:ascii="Times New Roman" w:eastAsia="Cambria" w:hAnsi="Times New Roman" w:cs="Times New Roman"/>
          <w:b/>
          <w:color w:val="auto"/>
          <w:kern w:val="22"/>
        </w:rPr>
      </w:pPr>
      <w:r w:rsidRPr="00471447">
        <w:rPr>
          <w:rFonts w:ascii="Times New Roman" w:eastAsia="Cambria" w:hAnsi="Times New Roman" w:cs="Times New Roman"/>
          <w:b/>
          <w:color w:val="auto"/>
          <w:kern w:val="22"/>
        </w:rPr>
        <w:t xml:space="preserve">Theme C) </w:t>
      </w:r>
      <w:r w:rsidR="000C2677" w:rsidRPr="00471447">
        <w:rPr>
          <w:rFonts w:ascii="Times New Roman" w:eastAsia="Cambria" w:hAnsi="Times New Roman" w:cs="Times New Roman"/>
          <w:b/>
          <w:color w:val="auto"/>
          <w:kern w:val="22"/>
        </w:rPr>
        <w:t>Research, case studies</w:t>
      </w:r>
      <w:r w:rsidR="00AF18A9" w:rsidRPr="00471447">
        <w:rPr>
          <w:rFonts w:ascii="Times New Roman" w:eastAsia="Cambria" w:hAnsi="Times New Roman" w:cs="Times New Roman"/>
          <w:b/>
          <w:color w:val="auto"/>
          <w:kern w:val="22"/>
        </w:rPr>
        <w:t xml:space="preserve"> and </w:t>
      </w:r>
      <w:r w:rsidR="000C2677" w:rsidRPr="00471447">
        <w:rPr>
          <w:rFonts w:ascii="Times New Roman" w:eastAsia="Cambria" w:hAnsi="Times New Roman" w:cs="Times New Roman"/>
          <w:b/>
          <w:color w:val="auto"/>
          <w:kern w:val="22"/>
        </w:rPr>
        <w:t xml:space="preserve">exchange of </w:t>
      </w:r>
      <w:r w:rsidR="00AF18A9" w:rsidRPr="00471447">
        <w:rPr>
          <w:rFonts w:ascii="Times New Roman" w:eastAsia="Cambria" w:hAnsi="Times New Roman" w:cs="Times New Roman"/>
          <w:b/>
          <w:color w:val="auto"/>
          <w:kern w:val="22"/>
        </w:rPr>
        <w:t>best practices</w:t>
      </w:r>
    </w:p>
    <w:p w:rsidR="00FB633E" w:rsidRPr="00471447" w:rsidRDefault="00AF18A9"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Building on the d</w:t>
      </w:r>
      <w:r w:rsidR="006662DF" w:rsidRPr="00471447">
        <w:rPr>
          <w:rFonts w:ascii="Times New Roman" w:eastAsia="Cambria" w:hAnsi="Times New Roman" w:cs="Times New Roman"/>
          <w:kern w:val="22"/>
        </w:rPr>
        <w:t xml:space="preserve">iscussion of the previous </w:t>
      </w:r>
      <w:r w:rsidR="007F4DB1" w:rsidRPr="00471447">
        <w:rPr>
          <w:rFonts w:ascii="Times New Roman" w:eastAsia="Cambria" w:hAnsi="Times New Roman" w:cs="Times New Roman"/>
          <w:kern w:val="22"/>
        </w:rPr>
        <w:t>theme</w:t>
      </w:r>
      <w:r w:rsidR="006662DF" w:rsidRPr="00471447">
        <w:rPr>
          <w:rFonts w:ascii="Times New Roman" w:eastAsia="Cambria" w:hAnsi="Times New Roman" w:cs="Times New Roman"/>
          <w:kern w:val="22"/>
        </w:rPr>
        <w:t>, Ms. Pongsiri</w:t>
      </w:r>
      <w:r w:rsidR="00FB633E" w:rsidRPr="00471447">
        <w:rPr>
          <w:rFonts w:ascii="Times New Roman" w:eastAsia="Cambria" w:hAnsi="Times New Roman" w:cs="Times New Roman"/>
          <w:kern w:val="22"/>
        </w:rPr>
        <w:t xml:space="preserve"> (PHA)</w:t>
      </w:r>
      <w:r w:rsidR="006662DF" w:rsidRPr="00471447">
        <w:rPr>
          <w:rFonts w:ascii="Times New Roman" w:eastAsia="Cambria" w:hAnsi="Times New Roman" w:cs="Times New Roman"/>
          <w:kern w:val="22"/>
        </w:rPr>
        <w:t xml:space="preserve"> was invited to present the theme of</w:t>
      </w:r>
      <w:r w:rsidR="000C2677" w:rsidRPr="00471447">
        <w:rPr>
          <w:rFonts w:ascii="Times New Roman" w:eastAsia="Cambria" w:hAnsi="Times New Roman" w:cs="Times New Roman"/>
          <w:kern w:val="22"/>
        </w:rPr>
        <w:t xml:space="preserve"> research gaps, case studies and best practices</w:t>
      </w:r>
      <w:r w:rsidR="006662DF" w:rsidRPr="00471447">
        <w:rPr>
          <w:rFonts w:ascii="Times New Roman" w:eastAsia="Cambria" w:hAnsi="Times New Roman" w:cs="Times New Roman"/>
          <w:kern w:val="22"/>
        </w:rPr>
        <w:t>.</w:t>
      </w:r>
      <w:r w:rsidR="00FB633E" w:rsidRPr="00471447">
        <w:rPr>
          <w:rFonts w:ascii="Times New Roman" w:eastAsia="Cambria" w:hAnsi="Times New Roman" w:cs="Times New Roman"/>
          <w:kern w:val="22"/>
        </w:rPr>
        <w:t xml:space="preserve"> She noted that the introduction to the discussion was informed by both the findings of the report of the Lancet Commission on Planetary health and the Future Earth, Health Knowledge Action Network. She began by outlining some initial areas of further research ILG members and other partners may wish to consider </w:t>
      </w:r>
      <w:r w:rsidR="007D714D" w:rsidRPr="00471447">
        <w:rPr>
          <w:rFonts w:ascii="Times New Roman" w:eastAsia="Cambria" w:hAnsi="Times New Roman" w:cs="Times New Roman"/>
          <w:kern w:val="22"/>
        </w:rPr>
        <w:t>for</w:t>
      </w:r>
      <w:r w:rsidR="00FB633E" w:rsidRPr="00471447">
        <w:rPr>
          <w:rFonts w:ascii="Times New Roman" w:eastAsia="Cambria" w:hAnsi="Times New Roman" w:cs="Times New Roman"/>
          <w:kern w:val="22"/>
        </w:rPr>
        <w:t xml:space="preserve"> further work in this area. </w:t>
      </w:r>
      <w:r w:rsidR="007D714D" w:rsidRPr="00471447">
        <w:rPr>
          <w:rFonts w:ascii="Times New Roman" w:eastAsia="Cambria" w:hAnsi="Times New Roman" w:cs="Times New Roman"/>
          <w:kern w:val="22"/>
        </w:rPr>
        <w:t xml:space="preserve">Potential areas and questions for further research may </w:t>
      </w:r>
      <w:r w:rsidR="00FB633E" w:rsidRPr="00471447">
        <w:rPr>
          <w:rFonts w:ascii="Times New Roman" w:eastAsia="Cambria" w:hAnsi="Times New Roman" w:cs="Times New Roman"/>
          <w:kern w:val="22"/>
        </w:rPr>
        <w:t xml:space="preserve">include: </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Impacts of multiple concurrent environmental changes acting together to affect both biodiversity and human health outcomes. She noted that most of the data is around single environmental changes around one single health outcome it would be useful to better understand, the negative synergistic interactions between them (</w:t>
      </w:r>
      <w:r w:rsidR="007D714D" w:rsidRPr="00471447">
        <w:rPr>
          <w:rFonts w:ascii="Times New Roman" w:eastAsia="Cambria" w:hAnsi="Times New Roman" w:cs="Times New Roman"/>
          <w:kern w:val="22"/>
        </w:rPr>
        <w:t xml:space="preserve">i.e. </w:t>
      </w:r>
      <w:r w:rsidRPr="00471447">
        <w:rPr>
          <w:rFonts w:ascii="Times New Roman" w:eastAsia="Cambria" w:hAnsi="Times New Roman" w:cs="Times New Roman"/>
          <w:kern w:val="22"/>
        </w:rPr>
        <w:t xml:space="preserve">cumulative effects of environmental changes on health outcomes; to better understand the impacts of environmental drivers -both singly and in the interaction </w:t>
      </w:r>
      <w:r w:rsidR="007D714D" w:rsidRPr="00471447">
        <w:rPr>
          <w:rFonts w:ascii="Times New Roman" w:eastAsia="Cambria" w:hAnsi="Times New Roman" w:cs="Times New Roman"/>
          <w:kern w:val="22"/>
        </w:rPr>
        <w:t xml:space="preserve">with other </w:t>
      </w:r>
      <w:r w:rsidRPr="00471447">
        <w:rPr>
          <w:rFonts w:ascii="Times New Roman" w:eastAsia="Cambria" w:hAnsi="Times New Roman" w:cs="Times New Roman"/>
          <w:kern w:val="22"/>
        </w:rPr>
        <w:t>drivers – on health and well-being, including causal pathways and mechanisms of change</w:t>
      </w:r>
      <w:r w:rsidR="007D714D" w:rsidRPr="00471447">
        <w:rPr>
          <w:rFonts w:ascii="Times New Roman" w:eastAsia="Cambria" w:hAnsi="Times New Roman" w:cs="Times New Roman"/>
          <w:kern w:val="22"/>
        </w:rPr>
        <w:t>)</w:t>
      </w:r>
      <w:r w:rsidRPr="00471447">
        <w:rPr>
          <w:rFonts w:ascii="Times New Roman" w:eastAsia="Cambria" w:hAnsi="Times New Roman" w:cs="Times New Roman"/>
          <w:kern w:val="22"/>
        </w:rPr>
        <w:t>;</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 xml:space="preserve">Likely health risks of projected environmental changes with development choices; </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Identifying the populations most vulnerable to these changes today and in future based on other environmental changes projected;</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Preparedness, anticipation and planning: how might health impacts be prevented and health and well-being promoted through adaptation and mitigation strategies?</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Which options jointly optimize factors such as health and well-being, equity, environmental sustainability and sound economics</w:t>
      </w:r>
      <w:r w:rsidR="007D714D" w:rsidRPr="00471447">
        <w:rPr>
          <w:rFonts w:ascii="Times New Roman" w:eastAsia="Cambria" w:hAnsi="Times New Roman" w:cs="Times New Roman"/>
          <w:kern w:val="22"/>
        </w:rPr>
        <w:t xml:space="preserve">. It was </w:t>
      </w:r>
      <w:r w:rsidRPr="00471447">
        <w:rPr>
          <w:rFonts w:ascii="Times New Roman" w:eastAsia="Cambria" w:hAnsi="Times New Roman" w:cs="Times New Roman"/>
          <w:kern w:val="22"/>
        </w:rPr>
        <w:t>acknowledged that these may be an overwhelming number of criteria to consider simultaneously but it may encourage the development of new innovative methodologies;</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How do we address trade-offs and unintended consequences</w:t>
      </w:r>
      <w:r w:rsidR="00A20A93">
        <w:rPr>
          <w:rFonts w:ascii="Times New Roman" w:eastAsia="Cambria" w:hAnsi="Times New Roman" w:cs="Times New Roman"/>
          <w:kern w:val="22"/>
        </w:rPr>
        <w:t>?</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Quantifying costs of different policies taking into account health impacts which are normally externalized</w:t>
      </w:r>
      <w:r w:rsidR="00A20A93">
        <w:rPr>
          <w:rFonts w:ascii="Times New Roman" w:eastAsia="Cambria" w:hAnsi="Times New Roman" w:cs="Times New Roman"/>
          <w:kern w:val="22"/>
        </w:rPr>
        <w:t>?</w:t>
      </w:r>
    </w:p>
    <w:p w:rsidR="00FB633E" w:rsidRPr="00471447" w:rsidRDefault="00FB633E" w:rsidP="00471447">
      <w:pPr>
        <w:pStyle w:val="ListParagraph"/>
        <w:numPr>
          <w:ilvl w:val="0"/>
          <w:numId w:val="41"/>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Implementation science: how to inform and evaluate strategies that are implemented on the ground, how they work</w:t>
      </w:r>
      <w:r w:rsidR="007D714D" w:rsidRPr="00471447">
        <w:rPr>
          <w:rFonts w:ascii="Times New Roman" w:eastAsia="Cambria" w:hAnsi="Times New Roman" w:cs="Times New Roman"/>
          <w:kern w:val="22"/>
        </w:rPr>
        <w:t xml:space="preserve"> and</w:t>
      </w:r>
      <w:r w:rsidRPr="00471447">
        <w:rPr>
          <w:rFonts w:ascii="Times New Roman" w:eastAsia="Cambria" w:hAnsi="Times New Roman" w:cs="Times New Roman"/>
          <w:kern w:val="22"/>
        </w:rPr>
        <w:t xml:space="preserve"> why they </w:t>
      </w:r>
      <w:r w:rsidR="007D714D" w:rsidRPr="00471447">
        <w:rPr>
          <w:rFonts w:ascii="Times New Roman" w:eastAsia="Cambria" w:hAnsi="Times New Roman" w:cs="Times New Roman"/>
          <w:kern w:val="22"/>
        </w:rPr>
        <w:t>sometimes fail.</w:t>
      </w:r>
      <w:r w:rsidRPr="00471447">
        <w:rPr>
          <w:rFonts w:ascii="Times New Roman" w:eastAsia="Cambria" w:hAnsi="Times New Roman" w:cs="Times New Roman"/>
          <w:kern w:val="22"/>
        </w:rPr>
        <w:t xml:space="preserve"> </w:t>
      </w:r>
      <w:r w:rsidR="007D714D" w:rsidRPr="00471447">
        <w:rPr>
          <w:rFonts w:ascii="Times New Roman" w:eastAsia="Cambria" w:hAnsi="Times New Roman" w:cs="Times New Roman"/>
          <w:kern w:val="22"/>
        </w:rPr>
        <w:t>D</w:t>
      </w:r>
      <w:r w:rsidRPr="00471447">
        <w:rPr>
          <w:rFonts w:ascii="Times New Roman" w:eastAsia="Cambria" w:hAnsi="Times New Roman" w:cs="Times New Roman"/>
          <w:kern w:val="22"/>
        </w:rPr>
        <w:t>oes th</w:t>
      </w:r>
      <w:r w:rsidR="007D714D" w:rsidRPr="00471447">
        <w:rPr>
          <w:rFonts w:ascii="Times New Roman" w:eastAsia="Cambria" w:hAnsi="Times New Roman" w:cs="Times New Roman"/>
          <w:kern w:val="22"/>
        </w:rPr>
        <w:t>e</w:t>
      </w:r>
      <w:r w:rsidRPr="00471447">
        <w:rPr>
          <w:rFonts w:ascii="Times New Roman" w:eastAsia="Cambria" w:hAnsi="Times New Roman" w:cs="Times New Roman"/>
          <w:kern w:val="22"/>
        </w:rPr>
        <w:t xml:space="preserve"> design of the strategy need to be revised or is governance </w:t>
      </w:r>
      <w:r w:rsidR="007D714D" w:rsidRPr="00471447">
        <w:rPr>
          <w:rFonts w:ascii="Times New Roman" w:eastAsia="Cambria" w:hAnsi="Times New Roman" w:cs="Times New Roman"/>
          <w:kern w:val="22"/>
        </w:rPr>
        <w:t>potentially hindering progress?</w:t>
      </w:r>
    </w:p>
    <w:p w:rsidR="003679BF" w:rsidRPr="00471447" w:rsidRDefault="00FB633E" w:rsidP="00471447">
      <w:pPr>
        <w:pStyle w:val="ListParagraph"/>
        <w:numPr>
          <w:ilvl w:val="0"/>
          <w:numId w:val="3"/>
        </w:numPr>
        <w:spacing w:before="120" w:after="120"/>
        <w:ind w:left="0" w:firstLine="66"/>
        <w:jc w:val="both"/>
        <w:rPr>
          <w:rFonts w:ascii="Times New Roman" w:eastAsia="Cambria" w:hAnsi="Times New Roman" w:cs="Times New Roman"/>
          <w:kern w:val="22"/>
        </w:rPr>
      </w:pPr>
      <w:r w:rsidRPr="00471447">
        <w:rPr>
          <w:rFonts w:ascii="Times New Roman" w:eastAsia="Cambria" w:hAnsi="Times New Roman" w:cs="Times New Roman"/>
          <w:kern w:val="22"/>
        </w:rPr>
        <w:t>On the sharing of best practices, Ms. Pongsiri noted that there are implementation agencies that are asking to share best practices but there is no formal network that freely shares this information and can be widely distributed to the practitioner community beyond the research community. It would be useful for the ILG to contribute to a formalized process that also engages implementation agencies on the ground and the research community to share communication strategies and best practices.</w:t>
      </w:r>
      <w:r w:rsidR="003679BF" w:rsidRPr="00471447">
        <w:rPr>
          <w:rFonts w:ascii="Times New Roman" w:eastAsia="Cambria" w:hAnsi="Times New Roman" w:cs="Times New Roman"/>
          <w:kern w:val="22"/>
        </w:rPr>
        <w:t xml:space="preserve"> </w:t>
      </w:r>
    </w:p>
    <w:p w:rsidR="003679BF" w:rsidRPr="00471447" w:rsidRDefault="003679B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To share best practices, </w:t>
      </w:r>
      <w:r w:rsidR="007D714D" w:rsidRPr="00471447">
        <w:rPr>
          <w:rFonts w:ascii="Times New Roman" w:eastAsia="Cambria" w:hAnsi="Times New Roman" w:cs="Times New Roman"/>
          <w:kern w:val="22"/>
        </w:rPr>
        <w:t>potential</w:t>
      </w:r>
      <w:r w:rsidRPr="00471447">
        <w:rPr>
          <w:rFonts w:ascii="Times New Roman" w:eastAsia="Cambria" w:hAnsi="Times New Roman" w:cs="Times New Roman"/>
          <w:kern w:val="22"/>
        </w:rPr>
        <w:t xml:space="preserve"> research projects </w:t>
      </w:r>
      <w:r w:rsidR="007D714D" w:rsidRPr="00471447">
        <w:rPr>
          <w:rFonts w:ascii="Times New Roman" w:eastAsia="Cambria" w:hAnsi="Times New Roman" w:cs="Times New Roman"/>
          <w:kern w:val="22"/>
        </w:rPr>
        <w:t xml:space="preserve">that </w:t>
      </w:r>
      <w:r w:rsidRPr="00471447">
        <w:rPr>
          <w:rFonts w:ascii="Times New Roman" w:eastAsia="Cambria" w:hAnsi="Times New Roman" w:cs="Times New Roman"/>
          <w:kern w:val="22"/>
        </w:rPr>
        <w:t>c</w:t>
      </w:r>
      <w:r w:rsidR="00FB633E" w:rsidRPr="00471447">
        <w:rPr>
          <w:rFonts w:ascii="Times New Roman" w:eastAsia="Cambria" w:hAnsi="Times New Roman" w:cs="Times New Roman"/>
          <w:kern w:val="22"/>
        </w:rPr>
        <w:t xml:space="preserve">ould </w:t>
      </w:r>
      <w:r w:rsidR="007D714D" w:rsidRPr="00471447">
        <w:rPr>
          <w:rFonts w:ascii="Times New Roman" w:eastAsia="Cambria" w:hAnsi="Times New Roman" w:cs="Times New Roman"/>
          <w:kern w:val="22"/>
        </w:rPr>
        <w:t xml:space="preserve">also </w:t>
      </w:r>
      <w:r w:rsidR="00FB633E" w:rsidRPr="00471447">
        <w:rPr>
          <w:rFonts w:ascii="Times New Roman" w:eastAsia="Cambria" w:hAnsi="Times New Roman" w:cs="Times New Roman"/>
          <w:kern w:val="22"/>
        </w:rPr>
        <w:t>be supported</w:t>
      </w:r>
      <w:r w:rsidR="007D714D" w:rsidRPr="00471447">
        <w:rPr>
          <w:rFonts w:ascii="Times New Roman" w:eastAsia="Cambria" w:hAnsi="Times New Roman" w:cs="Times New Roman"/>
          <w:kern w:val="22"/>
        </w:rPr>
        <w:t xml:space="preserve"> by the ILG may include</w:t>
      </w:r>
      <w:r w:rsidR="00FB633E" w:rsidRPr="00471447">
        <w:rPr>
          <w:rFonts w:ascii="Times New Roman" w:eastAsia="Cambria" w:hAnsi="Times New Roman" w:cs="Times New Roman"/>
          <w:kern w:val="22"/>
        </w:rPr>
        <w:t>: 1) systematic reviews 2) primary research on drivers and causal mechanisms</w:t>
      </w:r>
      <w:r w:rsidRPr="00471447">
        <w:rPr>
          <w:rFonts w:ascii="Times New Roman" w:eastAsia="Cambria" w:hAnsi="Times New Roman" w:cs="Times New Roman"/>
          <w:kern w:val="22"/>
        </w:rPr>
        <w:t>.</w:t>
      </w:r>
    </w:p>
    <w:p w:rsidR="00FB633E" w:rsidRPr="00471447" w:rsidRDefault="00786BD4"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The Co-chairs</w:t>
      </w:r>
      <w:r w:rsidR="007D714D" w:rsidRPr="00471447">
        <w:rPr>
          <w:rFonts w:ascii="Times New Roman" w:eastAsia="Cambria" w:hAnsi="Times New Roman" w:cs="Times New Roman"/>
          <w:kern w:val="22"/>
        </w:rPr>
        <w:t xml:space="preserve"> suggested that it</w:t>
      </w:r>
      <w:r w:rsidR="00FB633E" w:rsidRPr="00471447">
        <w:rPr>
          <w:rFonts w:ascii="Times New Roman" w:eastAsia="Cambria" w:hAnsi="Times New Roman" w:cs="Times New Roman"/>
          <w:kern w:val="22"/>
        </w:rPr>
        <w:t xml:space="preserve"> m</w:t>
      </w:r>
      <w:r w:rsidR="003679BF" w:rsidRPr="00471447">
        <w:rPr>
          <w:rFonts w:ascii="Times New Roman" w:eastAsia="Cambria" w:hAnsi="Times New Roman" w:cs="Times New Roman"/>
          <w:kern w:val="22"/>
        </w:rPr>
        <w:t>ay</w:t>
      </w:r>
      <w:r w:rsidR="00FB633E" w:rsidRPr="00471447">
        <w:rPr>
          <w:rFonts w:ascii="Times New Roman" w:eastAsia="Cambria" w:hAnsi="Times New Roman" w:cs="Times New Roman"/>
          <w:kern w:val="22"/>
        </w:rPr>
        <w:t xml:space="preserve"> be useful to break this </w:t>
      </w:r>
      <w:r w:rsidR="007D714D" w:rsidRPr="00471447">
        <w:rPr>
          <w:rFonts w:ascii="Times New Roman" w:eastAsia="Cambria" w:hAnsi="Times New Roman" w:cs="Times New Roman"/>
          <w:kern w:val="22"/>
        </w:rPr>
        <w:t xml:space="preserve">agenda item </w:t>
      </w:r>
      <w:r w:rsidR="00FB633E" w:rsidRPr="00471447">
        <w:rPr>
          <w:rFonts w:ascii="Times New Roman" w:eastAsia="Cambria" w:hAnsi="Times New Roman" w:cs="Times New Roman"/>
          <w:kern w:val="22"/>
        </w:rPr>
        <w:t xml:space="preserve">down into research and assessment </w:t>
      </w:r>
      <w:r w:rsidR="003679BF" w:rsidRPr="00471447">
        <w:rPr>
          <w:rFonts w:ascii="Times New Roman" w:eastAsia="Cambria" w:hAnsi="Times New Roman" w:cs="Times New Roman"/>
          <w:kern w:val="22"/>
        </w:rPr>
        <w:t xml:space="preserve">to ensure that </w:t>
      </w:r>
      <w:r w:rsidR="007D714D" w:rsidRPr="00471447">
        <w:rPr>
          <w:rFonts w:ascii="Times New Roman" w:eastAsia="Cambria" w:hAnsi="Times New Roman" w:cs="Times New Roman"/>
          <w:kern w:val="22"/>
        </w:rPr>
        <w:t>research is supported while also ensuring ILG members are maximizing opportunities</w:t>
      </w:r>
      <w:r w:rsidR="00FB633E" w:rsidRPr="00471447">
        <w:rPr>
          <w:rFonts w:ascii="Times New Roman" w:eastAsia="Cambria" w:hAnsi="Times New Roman" w:cs="Times New Roman"/>
          <w:kern w:val="22"/>
        </w:rPr>
        <w:t xml:space="preserve"> </w:t>
      </w:r>
      <w:r w:rsidR="007D714D" w:rsidRPr="00471447">
        <w:rPr>
          <w:rFonts w:ascii="Times New Roman" w:eastAsia="Cambria" w:hAnsi="Times New Roman" w:cs="Times New Roman"/>
          <w:kern w:val="22"/>
        </w:rPr>
        <w:t>based on what</w:t>
      </w:r>
      <w:r w:rsidR="00FB633E" w:rsidRPr="00471447">
        <w:rPr>
          <w:rFonts w:ascii="Times New Roman" w:eastAsia="Cambria" w:hAnsi="Times New Roman" w:cs="Times New Roman"/>
          <w:kern w:val="22"/>
        </w:rPr>
        <w:t xml:space="preserve"> is already there (rather than conducting primary research). </w:t>
      </w:r>
      <w:r w:rsidR="003679BF" w:rsidRPr="00471447">
        <w:rPr>
          <w:rFonts w:ascii="Times New Roman" w:eastAsia="Cambria" w:hAnsi="Times New Roman" w:cs="Times New Roman"/>
          <w:kern w:val="22"/>
        </w:rPr>
        <w:t xml:space="preserve">It </w:t>
      </w:r>
      <w:r w:rsidR="007D714D" w:rsidRPr="00471447">
        <w:rPr>
          <w:rFonts w:ascii="Times New Roman" w:eastAsia="Cambria" w:hAnsi="Times New Roman" w:cs="Times New Roman"/>
          <w:kern w:val="22"/>
        </w:rPr>
        <w:t>was also suggested that</w:t>
      </w:r>
      <w:r w:rsidR="003679BF"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 discussion</w:t>
      </w:r>
      <w:r w:rsidR="003679BF" w:rsidRPr="00471447">
        <w:rPr>
          <w:rFonts w:ascii="Times New Roman" w:eastAsia="Cambria" w:hAnsi="Times New Roman" w:cs="Times New Roman"/>
          <w:kern w:val="22"/>
        </w:rPr>
        <w:t xml:space="preserve"> on available </w:t>
      </w:r>
      <w:r w:rsidR="00FB633E" w:rsidRPr="00471447">
        <w:rPr>
          <w:rFonts w:ascii="Times New Roman" w:eastAsia="Cambria" w:hAnsi="Times New Roman" w:cs="Times New Roman"/>
          <w:kern w:val="22"/>
        </w:rPr>
        <w:t>chan</w:t>
      </w:r>
      <w:r w:rsidR="003679BF" w:rsidRPr="00471447">
        <w:rPr>
          <w:rFonts w:ascii="Times New Roman" w:eastAsia="Cambria" w:hAnsi="Times New Roman" w:cs="Times New Roman"/>
          <w:kern w:val="22"/>
        </w:rPr>
        <w:t>nels</w:t>
      </w:r>
      <w:r w:rsidRPr="00471447">
        <w:rPr>
          <w:rFonts w:ascii="Times New Roman" w:eastAsia="Cambria" w:hAnsi="Times New Roman" w:cs="Times New Roman"/>
          <w:kern w:val="22"/>
        </w:rPr>
        <w:t xml:space="preserve"> </w:t>
      </w:r>
      <w:r w:rsidR="003679BF" w:rsidRPr="00471447">
        <w:rPr>
          <w:rFonts w:ascii="Times New Roman" w:eastAsia="Cambria" w:hAnsi="Times New Roman" w:cs="Times New Roman"/>
          <w:kern w:val="22"/>
        </w:rPr>
        <w:t xml:space="preserve">to carry out </w:t>
      </w:r>
      <w:r w:rsidRPr="00471447">
        <w:rPr>
          <w:rFonts w:ascii="Times New Roman" w:eastAsia="Cambria" w:hAnsi="Times New Roman" w:cs="Times New Roman"/>
          <w:kern w:val="22"/>
        </w:rPr>
        <w:t xml:space="preserve">primary </w:t>
      </w:r>
      <w:r w:rsidR="003679BF" w:rsidRPr="00471447">
        <w:rPr>
          <w:rFonts w:ascii="Times New Roman" w:eastAsia="Cambria" w:hAnsi="Times New Roman" w:cs="Times New Roman"/>
          <w:kern w:val="22"/>
        </w:rPr>
        <w:t>research</w:t>
      </w:r>
      <w:r w:rsidRPr="00471447">
        <w:rPr>
          <w:rFonts w:ascii="Times New Roman" w:eastAsia="Cambria" w:hAnsi="Times New Roman" w:cs="Times New Roman"/>
          <w:kern w:val="22"/>
        </w:rPr>
        <w:t xml:space="preserve"> would be helpful</w:t>
      </w:r>
      <w:r w:rsidR="003679BF" w:rsidRPr="00471447">
        <w:rPr>
          <w:rFonts w:ascii="Times New Roman" w:eastAsia="Cambria" w:hAnsi="Times New Roman" w:cs="Times New Roman"/>
          <w:kern w:val="22"/>
        </w:rPr>
        <w:t>. For example,</w:t>
      </w:r>
      <w:r w:rsidR="00FB633E" w:rsidRPr="00471447">
        <w:rPr>
          <w:rFonts w:ascii="Times New Roman" w:eastAsia="Cambria" w:hAnsi="Times New Roman" w:cs="Times New Roman"/>
          <w:kern w:val="22"/>
        </w:rPr>
        <w:t xml:space="preserve"> Future Earth </w:t>
      </w:r>
      <w:r w:rsidRPr="00471447">
        <w:rPr>
          <w:rFonts w:ascii="Times New Roman" w:eastAsia="Cambria" w:hAnsi="Times New Roman" w:cs="Times New Roman"/>
          <w:kern w:val="22"/>
        </w:rPr>
        <w:t>and PHA are there</w:t>
      </w:r>
      <w:r w:rsidR="00FB633E" w:rsidRPr="00471447">
        <w:rPr>
          <w:rFonts w:ascii="Times New Roman" w:eastAsia="Cambria" w:hAnsi="Times New Roman" w:cs="Times New Roman"/>
          <w:kern w:val="22"/>
        </w:rPr>
        <w:t xml:space="preserve"> to </w:t>
      </w:r>
      <w:r w:rsidRPr="00471447">
        <w:rPr>
          <w:rFonts w:ascii="Times New Roman" w:eastAsia="Cambria" w:hAnsi="Times New Roman" w:cs="Times New Roman"/>
          <w:kern w:val="22"/>
        </w:rPr>
        <w:t>address</w:t>
      </w:r>
      <w:r w:rsidR="00FB633E" w:rsidRPr="00471447">
        <w:rPr>
          <w:rFonts w:ascii="Times New Roman" w:eastAsia="Cambria" w:hAnsi="Times New Roman" w:cs="Times New Roman"/>
          <w:kern w:val="22"/>
        </w:rPr>
        <w:t xml:space="preserve"> global </w:t>
      </w:r>
      <w:r w:rsidRPr="00471447">
        <w:rPr>
          <w:rFonts w:ascii="Times New Roman" w:eastAsia="Cambria" w:hAnsi="Times New Roman" w:cs="Times New Roman"/>
          <w:kern w:val="22"/>
        </w:rPr>
        <w:t xml:space="preserve">data </w:t>
      </w:r>
      <w:r w:rsidR="00FB633E" w:rsidRPr="00471447">
        <w:rPr>
          <w:rFonts w:ascii="Times New Roman" w:eastAsia="Cambria" w:hAnsi="Times New Roman" w:cs="Times New Roman"/>
          <w:kern w:val="22"/>
        </w:rPr>
        <w:t xml:space="preserve">needs and to conduct primary research and </w:t>
      </w:r>
      <w:r w:rsidR="003679BF" w:rsidRPr="00471447">
        <w:rPr>
          <w:rFonts w:ascii="Times New Roman" w:eastAsia="Cambria" w:hAnsi="Times New Roman" w:cs="Times New Roman"/>
          <w:kern w:val="22"/>
        </w:rPr>
        <w:t>the ILG can potentially</w:t>
      </w:r>
      <w:r w:rsidR="00FB633E" w:rsidRPr="00471447">
        <w:rPr>
          <w:rFonts w:ascii="Times New Roman" w:eastAsia="Cambria" w:hAnsi="Times New Roman" w:cs="Times New Roman"/>
          <w:kern w:val="22"/>
        </w:rPr>
        <w:t xml:space="preserve"> help </w:t>
      </w:r>
      <w:r w:rsidR="003679BF" w:rsidRPr="00471447">
        <w:rPr>
          <w:rFonts w:ascii="Times New Roman" w:eastAsia="Cambria" w:hAnsi="Times New Roman" w:cs="Times New Roman"/>
          <w:kern w:val="22"/>
        </w:rPr>
        <w:t xml:space="preserve">to </w:t>
      </w:r>
      <w:r w:rsidR="00FB633E" w:rsidRPr="00471447">
        <w:rPr>
          <w:rFonts w:ascii="Times New Roman" w:eastAsia="Cambria" w:hAnsi="Times New Roman" w:cs="Times New Roman"/>
          <w:kern w:val="22"/>
        </w:rPr>
        <w:t xml:space="preserve">define those. </w:t>
      </w:r>
      <w:r w:rsidRPr="00471447">
        <w:rPr>
          <w:rFonts w:ascii="Times New Roman" w:eastAsia="Cambria" w:hAnsi="Times New Roman" w:cs="Times New Roman"/>
          <w:kern w:val="22"/>
        </w:rPr>
        <w:t>I</w:t>
      </w:r>
      <w:r w:rsidR="003679BF" w:rsidRPr="00471447">
        <w:rPr>
          <w:rFonts w:ascii="Times New Roman" w:eastAsia="Cambria" w:hAnsi="Times New Roman" w:cs="Times New Roman"/>
          <w:kern w:val="22"/>
        </w:rPr>
        <w:t>n addition to these</w:t>
      </w:r>
      <w:r w:rsidRPr="00471447">
        <w:rPr>
          <w:rFonts w:ascii="Times New Roman" w:eastAsia="Cambria" w:hAnsi="Times New Roman" w:cs="Times New Roman"/>
          <w:kern w:val="22"/>
        </w:rPr>
        <w:t>,</w:t>
      </w:r>
      <w:r w:rsidR="003679BF"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participants were encouraged to consider what other organizations the ILG may seek to mobilize, h</w:t>
      </w:r>
      <w:r w:rsidR="00FB633E" w:rsidRPr="00471447">
        <w:rPr>
          <w:rFonts w:ascii="Times New Roman" w:eastAsia="Cambria" w:hAnsi="Times New Roman" w:cs="Times New Roman"/>
          <w:kern w:val="22"/>
        </w:rPr>
        <w:t xml:space="preserve">ow </w:t>
      </w:r>
      <w:r w:rsidRPr="00471447">
        <w:rPr>
          <w:rFonts w:ascii="Times New Roman" w:eastAsia="Cambria" w:hAnsi="Times New Roman" w:cs="Times New Roman"/>
          <w:kern w:val="22"/>
        </w:rPr>
        <w:t>to</w:t>
      </w:r>
      <w:r w:rsidR="00FB633E" w:rsidRPr="00471447">
        <w:rPr>
          <w:rFonts w:ascii="Times New Roman" w:eastAsia="Cambria" w:hAnsi="Times New Roman" w:cs="Times New Roman"/>
          <w:kern w:val="22"/>
        </w:rPr>
        <w:t xml:space="preserve"> </w:t>
      </w:r>
      <w:r w:rsidR="003679BF" w:rsidRPr="00471447">
        <w:rPr>
          <w:rFonts w:ascii="Times New Roman" w:eastAsia="Cambria" w:hAnsi="Times New Roman" w:cs="Times New Roman"/>
          <w:kern w:val="22"/>
        </w:rPr>
        <w:t xml:space="preserve">effectively </w:t>
      </w:r>
      <w:r w:rsidR="00FB633E" w:rsidRPr="00471447">
        <w:rPr>
          <w:rFonts w:ascii="Times New Roman" w:eastAsia="Cambria" w:hAnsi="Times New Roman" w:cs="Times New Roman"/>
          <w:kern w:val="22"/>
        </w:rPr>
        <w:t>influence mo</w:t>
      </w:r>
      <w:r w:rsidR="003679BF" w:rsidRPr="00471447">
        <w:rPr>
          <w:rFonts w:ascii="Times New Roman" w:eastAsia="Cambria" w:hAnsi="Times New Roman" w:cs="Times New Roman"/>
          <w:kern w:val="22"/>
        </w:rPr>
        <w:t>re research in this area</w:t>
      </w:r>
      <w:r w:rsidRPr="00471447">
        <w:rPr>
          <w:rFonts w:ascii="Times New Roman" w:eastAsia="Cambria" w:hAnsi="Times New Roman" w:cs="Times New Roman"/>
          <w:kern w:val="22"/>
        </w:rPr>
        <w:t xml:space="preserve"> and</w:t>
      </w:r>
      <w:r w:rsidR="00FB633E" w:rsidRPr="00471447">
        <w:rPr>
          <w:rFonts w:ascii="Times New Roman" w:eastAsia="Cambria" w:hAnsi="Times New Roman" w:cs="Times New Roman"/>
          <w:kern w:val="22"/>
        </w:rPr>
        <w:t xml:space="preserve"> which research </w:t>
      </w:r>
      <w:r w:rsidRPr="00471447">
        <w:rPr>
          <w:rFonts w:ascii="Times New Roman" w:eastAsia="Cambria" w:hAnsi="Times New Roman" w:cs="Times New Roman"/>
          <w:kern w:val="22"/>
        </w:rPr>
        <w:t xml:space="preserve">areas could </w:t>
      </w:r>
      <w:r w:rsidR="003679BF" w:rsidRPr="00471447">
        <w:rPr>
          <w:rFonts w:ascii="Times New Roman" w:eastAsia="Cambria" w:hAnsi="Times New Roman" w:cs="Times New Roman"/>
          <w:kern w:val="22"/>
        </w:rPr>
        <w:t xml:space="preserve">be focused </w:t>
      </w:r>
      <w:r w:rsidRPr="00471447">
        <w:rPr>
          <w:rFonts w:ascii="Times New Roman" w:eastAsia="Cambria" w:hAnsi="Times New Roman" w:cs="Times New Roman"/>
          <w:kern w:val="22"/>
        </w:rPr>
        <w:t>emphasized</w:t>
      </w:r>
      <w:r w:rsidR="003679BF" w:rsidRPr="00471447">
        <w:rPr>
          <w:rFonts w:ascii="Times New Roman" w:eastAsia="Cambria" w:hAnsi="Times New Roman" w:cs="Times New Roman"/>
          <w:kern w:val="22"/>
        </w:rPr>
        <w:t>.</w:t>
      </w:r>
    </w:p>
    <w:p w:rsidR="00FF3FBE" w:rsidRPr="00471447" w:rsidRDefault="00786BD4"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noted</w:t>
      </w:r>
      <w:r w:rsidR="00D304CA" w:rsidRPr="00471447">
        <w:rPr>
          <w:rFonts w:ascii="Times New Roman" w:eastAsia="Cambria" w:hAnsi="Times New Roman" w:cs="Times New Roman"/>
          <w:kern w:val="22"/>
        </w:rPr>
        <w:t xml:space="preserve"> that the CGIAR system also has considerable capacity to undertake research </w:t>
      </w:r>
      <w:r w:rsidR="00C974C2" w:rsidRPr="00471447">
        <w:rPr>
          <w:rFonts w:ascii="Times New Roman" w:eastAsia="Cambria" w:hAnsi="Times New Roman" w:cs="Times New Roman"/>
          <w:kern w:val="22"/>
        </w:rPr>
        <w:t>with</w:t>
      </w:r>
      <w:r w:rsidR="00D304CA" w:rsidRPr="00471447">
        <w:rPr>
          <w:rFonts w:ascii="Times New Roman" w:eastAsia="Cambria" w:hAnsi="Times New Roman" w:cs="Times New Roman"/>
          <w:kern w:val="22"/>
        </w:rPr>
        <w:t xml:space="preserve"> over 10,000 scientists under the CG syste</w:t>
      </w:r>
      <w:r w:rsidR="00C974C2" w:rsidRPr="00471447">
        <w:rPr>
          <w:rFonts w:ascii="Times New Roman" w:eastAsia="Cambria" w:hAnsi="Times New Roman" w:cs="Times New Roman"/>
          <w:kern w:val="22"/>
        </w:rPr>
        <w:t>m.</w:t>
      </w:r>
      <w:r w:rsidR="00D304CA" w:rsidRPr="00471447">
        <w:rPr>
          <w:rFonts w:ascii="Times New Roman" w:eastAsia="Cambria" w:hAnsi="Times New Roman" w:cs="Times New Roman"/>
          <w:kern w:val="22"/>
        </w:rPr>
        <w:t xml:space="preserve"> </w:t>
      </w:r>
      <w:r w:rsidR="00C974C2" w:rsidRPr="00471447">
        <w:rPr>
          <w:rFonts w:ascii="Times New Roman" w:eastAsia="Cambria" w:hAnsi="Times New Roman" w:cs="Times New Roman"/>
          <w:kern w:val="22"/>
        </w:rPr>
        <w:t>I</w:t>
      </w:r>
      <w:r w:rsidR="00D304CA" w:rsidRPr="00471447">
        <w:rPr>
          <w:rFonts w:ascii="Times New Roman" w:eastAsia="Cambria" w:hAnsi="Times New Roman" w:cs="Times New Roman"/>
          <w:kern w:val="22"/>
        </w:rPr>
        <w:t xml:space="preserve">f framed </w:t>
      </w:r>
      <w:r w:rsidR="00C974C2" w:rsidRPr="00471447">
        <w:rPr>
          <w:rFonts w:ascii="Times New Roman" w:eastAsia="Cambria" w:hAnsi="Times New Roman" w:cs="Times New Roman"/>
          <w:kern w:val="22"/>
        </w:rPr>
        <w:t xml:space="preserve">in line with CG </w:t>
      </w:r>
      <w:r w:rsidR="00D304CA" w:rsidRPr="00471447">
        <w:rPr>
          <w:rFonts w:ascii="Times New Roman" w:eastAsia="Cambria" w:hAnsi="Times New Roman" w:cs="Times New Roman"/>
          <w:kern w:val="22"/>
        </w:rPr>
        <w:t>flagship</w:t>
      </w:r>
      <w:r w:rsidRPr="00471447">
        <w:rPr>
          <w:rFonts w:ascii="Times New Roman" w:eastAsia="Cambria" w:hAnsi="Times New Roman" w:cs="Times New Roman"/>
          <w:kern w:val="22"/>
        </w:rPr>
        <w:t xml:space="preserve"> priorities, it may be possible to involve both</w:t>
      </w:r>
      <w:r w:rsidR="00D304CA" w:rsidRPr="00471447">
        <w:rPr>
          <w:rFonts w:ascii="Times New Roman" w:eastAsia="Cambria" w:hAnsi="Times New Roman" w:cs="Times New Roman"/>
          <w:kern w:val="22"/>
        </w:rPr>
        <w:t xml:space="preserve"> CG centres </w:t>
      </w:r>
      <w:r w:rsidRPr="00471447">
        <w:rPr>
          <w:rFonts w:ascii="Times New Roman" w:eastAsia="Cambria" w:hAnsi="Times New Roman" w:cs="Times New Roman"/>
          <w:kern w:val="22"/>
        </w:rPr>
        <w:t>and</w:t>
      </w:r>
      <w:r w:rsidR="00D304CA" w:rsidRPr="00471447">
        <w:rPr>
          <w:rFonts w:ascii="Times New Roman" w:eastAsia="Cambria" w:hAnsi="Times New Roman" w:cs="Times New Roman"/>
          <w:kern w:val="22"/>
        </w:rPr>
        <w:t xml:space="preserve"> other members</w:t>
      </w:r>
      <w:r w:rsidR="00C974C2" w:rsidRPr="00471447">
        <w:rPr>
          <w:rFonts w:ascii="Times New Roman" w:eastAsia="Cambria" w:hAnsi="Times New Roman" w:cs="Times New Roman"/>
          <w:kern w:val="22"/>
        </w:rPr>
        <w:t xml:space="preserve"> in related research work</w:t>
      </w:r>
      <w:r w:rsidR="00D304CA" w:rsidRPr="00471447">
        <w:rPr>
          <w:rFonts w:ascii="Times New Roman" w:eastAsia="Cambria" w:hAnsi="Times New Roman" w:cs="Times New Roman"/>
          <w:kern w:val="22"/>
        </w:rPr>
        <w:t xml:space="preserve">. Linkages with health </w:t>
      </w:r>
      <w:r w:rsidR="00FF3FBE" w:rsidRPr="00471447">
        <w:rPr>
          <w:rFonts w:ascii="Times New Roman" w:eastAsia="Cambria" w:hAnsi="Times New Roman" w:cs="Times New Roman"/>
          <w:kern w:val="22"/>
        </w:rPr>
        <w:t>should also</w:t>
      </w:r>
      <w:r w:rsidR="00D304CA" w:rsidRPr="00471447">
        <w:rPr>
          <w:rFonts w:ascii="Times New Roman" w:eastAsia="Cambria" w:hAnsi="Times New Roman" w:cs="Times New Roman"/>
          <w:kern w:val="22"/>
        </w:rPr>
        <w:t xml:space="preserve"> be reinforced through partnership</w:t>
      </w:r>
      <w:r w:rsidR="00C974C2" w:rsidRPr="00471447">
        <w:rPr>
          <w:rFonts w:ascii="Times New Roman" w:eastAsia="Cambria" w:hAnsi="Times New Roman" w:cs="Times New Roman"/>
          <w:kern w:val="22"/>
        </w:rPr>
        <w:t>s</w:t>
      </w:r>
      <w:r w:rsidR="00D304CA" w:rsidRPr="00471447">
        <w:rPr>
          <w:rFonts w:ascii="Times New Roman" w:eastAsia="Cambria" w:hAnsi="Times New Roman" w:cs="Times New Roman"/>
          <w:kern w:val="22"/>
        </w:rPr>
        <w:t xml:space="preserve"> with organizations that have health expertise. </w:t>
      </w:r>
    </w:p>
    <w:p w:rsidR="00D304CA" w:rsidRPr="00471447" w:rsidRDefault="00D304C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In terms of research gaps, </w:t>
      </w:r>
      <w:r w:rsidR="00FF3FBE" w:rsidRPr="00471447">
        <w:rPr>
          <w:rFonts w:ascii="Times New Roman" w:eastAsia="Cambria" w:hAnsi="Times New Roman" w:cs="Times New Roman"/>
          <w:kern w:val="22"/>
        </w:rPr>
        <w:t xml:space="preserve">Mr. Baccioni noted that </w:t>
      </w:r>
      <w:r w:rsidRPr="00471447">
        <w:rPr>
          <w:rFonts w:ascii="Times New Roman" w:eastAsia="Cambria" w:hAnsi="Times New Roman" w:cs="Times New Roman"/>
          <w:kern w:val="22"/>
        </w:rPr>
        <w:t>Bioversity is currently supporting IFAD in mainstreaming nutrition-sensitive approaches within their development programmes as a first step. As a second step, it seeks to systematize all the research carried out in the first phase to answer to the research needs and gaps i</w:t>
      </w:r>
      <w:r w:rsidR="00E3152A" w:rsidRPr="00471447">
        <w:rPr>
          <w:rFonts w:ascii="Times New Roman" w:eastAsia="Cambria" w:hAnsi="Times New Roman" w:cs="Times New Roman"/>
          <w:kern w:val="22"/>
        </w:rPr>
        <w:t>dentified by IFAD. Under this three-</w:t>
      </w:r>
      <w:r w:rsidRPr="00471447">
        <w:rPr>
          <w:rFonts w:ascii="Times New Roman" w:eastAsia="Cambria" w:hAnsi="Times New Roman" w:cs="Times New Roman"/>
          <w:kern w:val="22"/>
        </w:rPr>
        <w:t>year program</w:t>
      </w:r>
      <w:r w:rsidR="00A20A93">
        <w:rPr>
          <w:rFonts w:ascii="Times New Roman" w:eastAsia="Cambria" w:hAnsi="Times New Roman" w:cs="Times New Roman"/>
          <w:kern w:val="22"/>
        </w:rPr>
        <w:t>me</w:t>
      </w:r>
      <w:r w:rsidRPr="00471447">
        <w:rPr>
          <w:rFonts w:ascii="Times New Roman" w:eastAsia="Cambria" w:hAnsi="Times New Roman" w:cs="Times New Roman"/>
          <w:kern w:val="22"/>
        </w:rPr>
        <w:t xml:space="preserve"> they will identify what the data needs are, what research is currently available and what</w:t>
      </w:r>
      <w:r w:rsidR="00FF3FB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need</w:t>
      </w:r>
      <w:r w:rsidR="00FF3FBE" w:rsidRPr="00471447">
        <w:rPr>
          <w:rFonts w:ascii="Times New Roman" w:eastAsia="Cambria" w:hAnsi="Times New Roman" w:cs="Times New Roman"/>
          <w:kern w:val="22"/>
        </w:rPr>
        <w:t>s</w:t>
      </w:r>
      <w:r w:rsidRPr="00471447">
        <w:rPr>
          <w:rFonts w:ascii="Times New Roman" w:eastAsia="Cambria" w:hAnsi="Times New Roman" w:cs="Times New Roman"/>
          <w:kern w:val="22"/>
        </w:rPr>
        <w:t xml:space="preserve"> to </w:t>
      </w:r>
      <w:r w:rsidR="00FF3FBE" w:rsidRPr="00471447">
        <w:rPr>
          <w:rFonts w:ascii="Times New Roman" w:eastAsia="Cambria" w:hAnsi="Times New Roman" w:cs="Times New Roman"/>
          <w:kern w:val="22"/>
        </w:rPr>
        <w:t>be done</w:t>
      </w:r>
      <w:r w:rsidRPr="00471447">
        <w:rPr>
          <w:rFonts w:ascii="Times New Roman" w:eastAsia="Cambria" w:hAnsi="Times New Roman" w:cs="Times New Roman"/>
          <w:kern w:val="22"/>
        </w:rPr>
        <w:t xml:space="preserve"> and IFAD is able to finance at least some of this research over three years. While this is primarily </w:t>
      </w:r>
      <w:r w:rsidR="00E3152A" w:rsidRPr="00471447">
        <w:rPr>
          <w:rFonts w:ascii="Times New Roman" w:eastAsia="Cambria" w:hAnsi="Times New Roman" w:cs="Times New Roman"/>
          <w:kern w:val="22"/>
        </w:rPr>
        <w:t xml:space="preserve">on the agricultural side, </w:t>
      </w:r>
      <w:r w:rsidRPr="00471447">
        <w:rPr>
          <w:rFonts w:ascii="Times New Roman" w:eastAsia="Cambria" w:hAnsi="Times New Roman" w:cs="Times New Roman"/>
          <w:kern w:val="22"/>
        </w:rPr>
        <w:t>close links with other areas</w:t>
      </w:r>
      <w:r w:rsidR="00E3152A" w:rsidRPr="00471447">
        <w:rPr>
          <w:rFonts w:ascii="Times New Roman" w:eastAsia="Cambria" w:hAnsi="Times New Roman" w:cs="Times New Roman"/>
          <w:kern w:val="22"/>
        </w:rPr>
        <w:t xml:space="preserve"> could also be maximized</w:t>
      </w:r>
      <w:r w:rsidR="00FF3FBE" w:rsidRPr="00471447">
        <w:rPr>
          <w:rFonts w:ascii="Times New Roman" w:eastAsia="Cambria" w:hAnsi="Times New Roman" w:cs="Times New Roman"/>
          <w:kern w:val="22"/>
        </w:rPr>
        <w:t xml:space="preserve">. For example, </w:t>
      </w:r>
      <w:r w:rsidRPr="00471447">
        <w:rPr>
          <w:rFonts w:ascii="Times New Roman" w:eastAsia="Cambria" w:hAnsi="Times New Roman" w:cs="Times New Roman"/>
          <w:kern w:val="22"/>
        </w:rPr>
        <w:t xml:space="preserve">developing varieties of crops or methods that make them more resilient and resistant to parasites, </w:t>
      </w:r>
      <w:r w:rsidR="00FF3FBE" w:rsidRPr="00471447">
        <w:rPr>
          <w:rFonts w:ascii="Times New Roman" w:eastAsia="Cambria" w:hAnsi="Times New Roman" w:cs="Times New Roman"/>
          <w:kern w:val="22"/>
        </w:rPr>
        <w:t xml:space="preserve">which </w:t>
      </w:r>
      <w:r w:rsidRPr="00471447">
        <w:rPr>
          <w:rFonts w:ascii="Times New Roman" w:eastAsia="Cambria" w:hAnsi="Times New Roman" w:cs="Times New Roman"/>
          <w:kern w:val="22"/>
        </w:rPr>
        <w:t xml:space="preserve">would </w:t>
      </w:r>
      <w:r w:rsidR="00FF3FBE" w:rsidRPr="00471447">
        <w:rPr>
          <w:rFonts w:ascii="Times New Roman" w:eastAsia="Cambria" w:hAnsi="Times New Roman" w:cs="Times New Roman"/>
          <w:kern w:val="22"/>
        </w:rPr>
        <w:t xml:space="preserve">also </w:t>
      </w:r>
      <w:r w:rsidRPr="00471447">
        <w:rPr>
          <w:rFonts w:ascii="Times New Roman" w:eastAsia="Cambria" w:hAnsi="Times New Roman" w:cs="Times New Roman"/>
          <w:kern w:val="22"/>
        </w:rPr>
        <w:t>decrease the need for pesticides which have environmental and health impacts.</w:t>
      </w:r>
    </w:p>
    <w:p w:rsidR="00D304CA" w:rsidRPr="00471447" w:rsidRDefault="00FF3FB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co-chairs </w:t>
      </w:r>
      <w:r w:rsidR="00D304CA" w:rsidRPr="00471447">
        <w:rPr>
          <w:rFonts w:ascii="Times New Roman" w:eastAsia="Cambria" w:hAnsi="Times New Roman" w:cs="Times New Roman"/>
          <w:kern w:val="22"/>
        </w:rPr>
        <w:t>noted that this leads to the question</w:t>
      </w:r>
      <w:r w:rsidR="00E3152A" w:rsidRPr="00471447">
        <w:rPr>
          <w:rFonts w:ascii="Times New Roman" w:eastAsia="Cambria" w:hAnsi="Times New Roman" w:cs="Times New Roman"/>
          <w:kern w:val="22"/>
        </w:rPr>
        <w:t xml:space="preserve"> of what </w:t>
      </w:r>
      <w:r w:rsidR="00D304CA" w:rsidRPr="00471447">
        <w:rPr>
          <w:rFonts w:ascii="Times New Roman" w:eastAsia="Cambria" w:hAnsi="Times New Roman" w:cs="Times New Roman"/>
          <w:kern w:val="22"/>
        </w:rPr>
        <w:t xml:space="preserve">the </w:t>
      </w:r>
      <w:r w:rsidR="00E3152A" w:rsidRPr="00471447">
        <w:rPr>
          <w:rFonts w:ascii="Times New Roman" w:eastAsia="Cambria" w:hAnsi="Times New Roman" w:cs="Times New Roman"/>
          <w:kern w:val="22"/>
        </w:rPr>
        <w:t xml:space="preserve">specific </w:t>
      </w:r>
      <w:r w:rsidR="00D304CA" w:rsidRPr="00471447">
        <w:rPr>
          <w:rFonts w:ascii="Times New Roman" w:eastAsia="Cambria" w:hAnsi="Times New Roman" w:cs="Times New Roman"/>
          <w:kern w:val="22"/>
        </w:rPr>
        <w:t xml:space="preserve">role of this ILG </w:t>
      </w:r>
      <w:r w:rsidR="00E3152A" w:rsidRPr="00471447">
        <w:rPr>
          <w:rFonts w:ascii="Times New Roman" w:eastAsia="Cambria" w:hAnsi="Times New Roman" w:cs="Times New Roman"/>
          <w:kern w:val="22"/>
        </w:rPr>
        <w:t>should play. For example, w</w:t>
      </w:r>
      <w:r w:rsidR="00D304CA" w:rsidRPr="00471447">
        <w:rPr>
          <w:rFonts w:ascii="Times New Roman" w:eastAsia="Cambria" w:hAnsi="Times New Roman" w:cs="Times New Roman"/>
          <w:kern w:val="22"/>
        </w:rPr>
        <w:t xml:space="preserve">e can take the definition of research questions and research findings and </w:t>
      </w:r>
      <w:r w:rsidR="00E3152A" w:rsidRPr="00471447">
        <w:rPr>
          <w:rFonts w:ascii="Times New Roman" w:eastAsia="Cambria" w:hAnsi="Times New Roman" w:cs="Times New Roman"/>
          <w:kern w:val="22"/>
        </w:rPr>
        <w:t>mainstream these</w:t>
      </w:r>
      <w:r w:rsidR="00D304CA" w:rsidRPr="00471447">
        <w:rPr>
          <w:rFonts w:ascii="Times New Roman" w:eastAsia="Cambria" w:hAnsi="Times New Roman" w:cs="Times New Roman"/>
          <w:kern w:val="22"/>
        </w:rPr>
        <w:t xml:space="preserve"> into </w:t>
      </w:r>
      <w:r w:rsidRPr="00471447">
        <w:rPr>
          <w:rFonts w:ascii="Times New Roman" w:eastAsia="Cambria" w:hAnsi="Times New Roman" w:cs="Times New Roman"/>
          <w:kern w:val="22"/>
        </w:rPr>
        <w:t xml:space="preserve">individual </w:t>
      </w:r>
      <w:r w:rsidR="00D304CA" w:rsidRPr="00471447">
        <w:rPr>
          <w:rFonts w:ascii="Times New Roman" w:eastAsia="Cambria" w:hAnsi="Times New Roman" w:cs="Times New Roman"/>
          <w:kern w:val="22"/>
        </w:rPr>
        <w:t>constituencies</w:t>
      </w:r>
      <w:r w:rsidR="00E3152A" w:rsidRPr="00471447">
        <w:rPr>
          <w:rFonts w:ascii="Times New Roman" w:eastAsia="Cambria" w:hAnsi="Times New Roman" w:cs="Times New Roman"/>
          <w:kern w:val="22"/>
        </w:rPr>
        <w:t xml:space="preserve"> but we may also wish to discuss </w:t>
      </w:r>
      <w:r w:rsidR="00D304CA" w:rsidRPr="00471447">
        <w:rPr>
          <w:rFonts w:ascii="Times New Roman" w:eastAsia="Cambria" w:hAnsi="Times New Roman" w:cs="Times New Roman"/>
          <w:kern w:val="22"/>
        </w:rPr>
        <w:t>to take on the role of identifying research priorities and setting the</w:t>
      </w:r>
      <w:r w:rsidR="00E3152A" w:rsidRPr="00471447">
        <w:rPr>
          <w:rFonts w:ascii="Times New Roman" w:eastAsia="Cambria" w:hAnsi="Times New Roman" w:cs="Times New Roman"/>
          <w:kern w:val="22"/>
        </w:rPr>
        <w:t xml:space="preserve"> </w:t>
      </w:r>
      <w:r w:rsidR="00D304CA" w:rsidRPr="00471447">
        <w:rPr>
          <w:rFonts w:ascii="Times New Roman" w:eastAsia="Cambria" w:hAnsi="Times New Roman" w:cs="Times New Roman"/>
          <w:kern w:val="22"/>
        </w:rPr>
        <w:t>res</w:t>
      </w:r>
      <w:r w:rsidR="00E3152A" w:rsidRPr="00471447">
        <w:rPr>
          <w:rFonts w:ascii="Times New Roman" w:eastAsia="Cambria" w:hAnsi="Times New Roman" w:cs="Times New Roman"/>
          <w:kern w:val="22"/>
        </w:rPr>
        <w:t xml:space="preserve">earch agenda </w:t>
      </w:r>
      <w:r w:rsidRPr="00471447">
        <w:rPr>
          <w:rFonts w:ascii="Times New Roman" w:eastAsia="Cambria" w:hAnsi="Times New Roman" w:cs="Times New Roman"/>
          <w:kern w:val="22"/>
        </w:rPr>
        <w:t>that</w:t>
      </w:r>
      <w:r w:rsidR="00E3152A" w:rsidRPr="00471447">
        <w:rPr>
          <w:rFonts w:ascii="Times New Roman" w:eastAsia="Cambria" w:hAnsi="Times New Roman" w:cs="Times New Roman"/>
          <w:kern w:val="22"/>
        </w:rPr>
        <w:t xml:space="preserve"> could then be fulfilled by ILG members and other partners.</w:t>
      </w:r>
    </w:p>
    <w:p w:rsidR="00D304CA" w:rsidRPr="00471447" w:rsidRDefault="00FF3FB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It was</w:t>
      </w:r>
      <w:r w:rsidR="00E3152A" w:rsidRPr="00471447">
        <w:rPr>
          <w:rFonts w:ascii="Times New Roman" w:eastAsia="Cambria" w:hAnsi="Times New Roman" w:cs="Times New Roman"/>
          <w:kern w:val="22"/>
        </w:rPr>
        <w:t xml:space="preserve"> noted</w:t>
      </w:r>
      <w:r w:rsidR="00D304CA" w:rsidRPr="00471447">
        <w:rPr>
          <w:rFonts w:ascii="Times New Roman" w:eastAsia="Cambria" w:hAnsi="Times New Roman" w:cs="Times New Roman"/>
          <w:kern w:val="22"/>
        </w:rPr>
        <w:t xml:space="preserve"> that many of the core organizations in the ILG are intergovernmental bodies that have </w:t>
      </w:r>
      <w:r w:rsidR="00E3152A" w:rsidRPr="00471447">
        <w:rPr>
          <w:rFonts w:ascii="Times New Roman" w:eastAsia="Cambria" w:hAnsi="Times New Roman" w:cs="Times New Roman"/>
          <w:kern w:val="22"/>
        </w:rPr>
        <w:t xml:space="preserve">concrete </w:t>
      </w:r>
      <w:r w:rsidR="00D304CA" w:rsidRPr="00471447">
        <w:rPr>
          <w:rFonts w:ascii="Times New Roman" w:eastAsia="Cambria" w:hAnsi="Times New Roman" w:cs="Times New Roman"/>
          <w:kern w:val="22"/>
        </w:rPr>
        <w:t xml:space="preserve">mandates and insofar as we </w:t>
      </w:r>
      <w:r w:rsidR="00E3152A" w:rsidRPr="00471447">
        <w:rPr>
          <w:rFonts w:ascii="Times New Roman" w:eastAsia="Cambria" w:hAnsi="Times New Roman" w:cs="Times New Roman"/>
          <w:kern w:val="22"/>
        </w:rPr>
        <w:t>can align some of the</w:t>
      </w:r>
      <w:r w:rsidR="00D304CA" w:rsidRPr="00471447">
        <w:rPr>
          <w:rFonts w:ascii="Times New Roman" w:eastAsia="Cambria" w:hAnsi="Times New Roman" w:cs="Times New Roman"/>
          <w:kern w:val="22"/>
        </w:rPr>
        <w:t xml:space="preserve"> </w:t>
      </w:r>
      <w:r w:rsidR="00E3152A" w:rsidRPr="00471447">
        <w:rPr>
          <w:rFonts w:ascii="Times New Roman" w:eastAsia="Cambria" w:hAnsi="Times New Roman" w:cs="Times New Roman"/>
          <w:kern w:val="22"/>
        </w:rPr>
        <w:t xml:space="preserve">mandates from respective </w:t>
      </w:r>
      <w:r w:rsidR="00D304CA" w:rsidRPr="00471447">
        <w:rPr>
          <w:rFonts w:ascii="Times New Roman" w:eastAsia="Cambria" w:hAnsi="Times New Roman" w:cs="Times New Roman"/>
          <w:kern w:val="22"/>
        </w:rPr>
        <w:t xml:space="preserve">governing bodies, the ILG can help deliver on those. Following that, through the expert capacity </w:t>
      </w:r>
      <w:r w:rsidR="00E3152A" w:rsidRPr="00471447">
        <w:rPr>
          <w:rFonts w:ascii="Times New Roman" w:eastAsia="Cambria" w:hAnsi="Times New Roman" w:cs="Times New Roman"/>
          <w:kern w:val="22"/>
        </w:rPr>
        <w:t xml:space="preserve">of the ILG </w:t>
      </w:r>
      <w:r w:rsidR="00D304CA" w:rsidRPr="00471447">
        <w:rPr>
          <w:rFonts w:ascii="Times New Roman" w:eastAsia="Cambria" w:hAnsi="Times New Roman" w:cs="Times New Roman"/>
          <w:kern w:val="22"/>
        </w:rPr>
        <w:t xml:space="preserve">we may identify other </w:t>
      </w:r>
      <w:r w:rsidR="00850A2B" w:rsidRPr="00471447">
        <w:rPr>
          <w:rFonts w:ascii="Times New Roman" w:eastAsia="Cambria" w:hAnsi="Times New Roman" w:cs="Times New Roman"/>
          <w:kern w:val="22"/>
        </w:rPr>
        <w:t xml:space="preserve">research </w:t>
      </w:r>
      <w:r w:rsidR="00D304CA" w:rsidRPr="00471447">
        <w:rPr>
          <w:rFonts w:ascii="Times New Roman" w:eastAsia="Cambria" w:hAnsi="Times New Roman" w:cs="Times New Roman"/>
          <w:kern w:val="22"/>
        </w:rPr>
        <w:t>gaps or emerging needs, then it</w:t>
      </w:r>
      <w:r w:rsidR="00850A2B" w:rsidRPr="00471447">
        <w:rPr>
          <w:rFonts w:ascii="Times New Roman" w:eastAsia="Cambria" w:hAnsi="Times New Roman" w:cs="Times New Roman"/>
          <w:kern w:val="22"/>
        </w:rPr>
        <w:t xml:space="preserve"> will be</w:t>
      </w:r>
      <w:r w:rsidR="00D304CA" w:rsidRPr="00471447">
        <w:rPr>
          <w:rFonts w:ascii="Times New Roman" w:eastAsia="Cambria" w:hAnsi="Times New Roman" w:cs="Times New Roman"/>
          <w:kern w:val="22"/>
        </w:rPr>
        <w:t xml:space="preserve"> up to the various bodies that have research programs to </w:t>
      </w:r>
      <w:r w:rsidR="00850A2B" w:rsidRPr="00471447">
        <w:rPr>
          <w:rFonts w:ascii="Times New Roman" w:eastAsia="Cambria" w:hAnsi="Times New Roman" w:cs="Times New Roman"/>
          <w:kern w:val="22"/>
        </w:rPr>
        <w:t>maximize this potential</w:t>
      </w:r>
      <w:r w:rsidR="00D304CA" w:rsidRPr="00471447">
        <w:rPr>
          <w:rFonts w:ascii="Times New Roman" w:eastAsia="Cambria" w:hAnsi="Times New Roman" w:cs="Times New Roman"/>
          <w:kern w:val="22"/>
        </w:rPr>
        <w:t>.</w:t>
      </w:r>
      <w:r w:rsidR="00850A2B" w:rsidRPr="00471447">
        <w:rPr>
          <w:rFonts w:ascii="Times New Roman" w:eastAsia="Cambria" w:hAnsi="Times New Roman" w:cs="Times New Roman"/>
          <w:kern w:val="22"/>
        </w:rPr>
        <w:t xml:space="preserve"> Moreover, the </w:t>
      </w:r>
      <w:r w:rsidRPr="00471447">
        <w:rPr>
          <w:rFonts w:ascii="Times New Roman" w:eastAsia="Cambria" w:hAnsi="Times New Roman" w:cs="Times New Roman"/>
          <w:kern w:val="22"/>
        </w:rPr>
        <w:t>ILG can</w:t>
      </w:r>
      <w:r w:rsidR="00850A2B" w:rsidRPr="00471447">
        <w:rPr>
          <w:rFonts w:ascii="Times New Roman" w:eastAsia="Cambria" w:hAnsi="Times New Roman" w:cs="Times New Roman"/>
          <w:kern w:val="22"/>
        </w:rPr>
        <w:t xml:space="preserve"> develop a joint message to raise awareness among some of the larger </w:t>
      </w:r>
      <w:r w:rsidR="00D304CA" w:rsidRPr="00471447">
        <w:rPr>
          <w:rFonts w:ascii="Times New Roman" w:eastAsia="Cambria" w:hAnsi="Times New Roman" w:cs="Times New Roman"/>
          <w:kern w:val="22"/>
        </w:rPr>
        <w:t>national research bodies</w:t>
      </w:r>
      <w:r w:rsidRPr="00471447">
        <w:rPr>
          <w:rFonts w:ascii="Times New Roman" w:eastAsia="Cambria" w:hAnsi="Times New Roman" w:cs="Times New Roman"/>
          <w:kern w:val="22"/>
        </w:rPr>
        <w:t xml:space="preserve"> (e.g. NIH)</w:t>
      </w:r>
      <w:r w:rsidR="00D304CA" w:rsidRPr="00471447">
        <w:rPr>
          <w:rFonts w:ascii="Times New Roman" w:eastAsia="Cambria" w:hAnsi="Times New Roman" w:cs="Times New Roman"/>
          <w:kern w:val="22"/>
        </w:rPr>
        <w:t xml:space="preserve"> </w:t>
      </w:r>
      <w:r w:rsidR="00850A2B" w:rsidRPr="00471447">
        <w:rPr>
          <w:rFonts w:ascii="Times New Roman" w:eastAsia="Cambria" w:hAnsi="Times New Roman" w:cs="Times New Roman"/>
          <w:kern w:val="22"/>
        </w:rPr>
        <w:t>that examining</w:t>
      </w:r>
      <w:r w:rsidR="00D304CA" w:rsidRPr="00471447">
        <w:rPr>
          <w:rFonts w:ascii="Times New Roman" w:eastAsia="Cambria" w:hAnsi="Times New Roman" w:cs="Times New Roman"/>
          <w:kern w:val="22"/>
        </w:rPr>
        <w:t xml:space="preserve"> biodiversity-health linkages </w:t>
      </w:r>
      <w:r w:rsidR="00850A2B" w:rsidRPr="00471447">
        <w:rPr>
          <w:rFonts w:ascii="Times New Roman" w:eastAsia="Cambria" w:hAnsi="Times New Roman" w:cs="Times New Roman"/>
          <w:kern w:val="22"/>
        </w:rPr>
        <w:t>also contributes to addressing specific issues that</w:t>
      </w:r>
      <w:r w:rsidR="00D304CA" w:rsidRPr="00471447">
        <w:rPr>
          <w:rFonts w:ascii="Times New Roman" w:eastAsia="Cambria" w:hAnsi="Times New Roman" w:cs="Times New Roman"/>
          <w:kern w:val="22"/>
        </w:rPr>
        <w:t xml:space="preserve"> the</w:t>
      </w:r>
      <w:r w:rsidR="00850A2B" w:rsidRPr="00471447">
        <w:rPr>
          <w:rFonts w:ascii="Times New Roman" w:eastAsia="Cambria" w:hAnsi="Times New Roman" w:cs="Times New Roman"/>
          <w:kern w:val="22"/>
        </w:rPr>
        <w:t>y have a mission to address, to facilitate</w:t>
      </w:r>
      <w:r w:rsidR="00D304CA" w:rsidRPr="00471447">
        <w:rPr>
          <w:rFonts w:ascii="Times New Roman" w:eastAsia="Cambria" w:hAnsi="Times New Roman" w:cs="Times New Roman"/>
          <w:kern w:val="22"/>
        </w:rPr>
        <w:t xml:space="preserve"> a move away from </w:t>
      </w:r>
      <w:r w:rsidR="00850A2B" w:rsidRPr="00471447">
        <w:rPr>
          <w:rFonts w:ascii="Times New Roman" w:eastAsia="Cambria" w:hAnsi="Times New Roman" w:cs="Times New Roman"/>
          <w:kern w:val="22"/>
        </w:rPr>
        <w:t xml:space="preserve">widespread reductionist </w:t>
      </w:r>
      <w:r w:rsidR="00D304CA" w:rsidRPr="00471447">
        <w:rPr>
          <w:rFonts w:ascii="Times New Roman" w:eastAsia="Cambria" w:hAnsi="Times New Roman" w:cs="Times New Roman"/>
          <w:kern w:val="22"/>
        </w:rPr>
        <w:t>medical interventions to</w:t>
      </w:r>
      <w:r w:rsidR="00850A2B" w:rsidRPr="00471447">
        <w:rPr>
          <w:rFonts w:ascii="Times New Roman" w:eastAsia="Cambria" w:hAnsi="Times New Roman" w:cs="Times New Roman"/>
          <w:kern w:val="22"/>
        </w:rPr>
        <w:t>ward</w:t>
      </w:r>
      <w:r w:rsidR="00D304CA" w:rsidRPr="00471447">
        <w:rPr>
          <w:rFonts w:ascii="Times New Roman" w:eastAsia="Cambria" w:hAnsi="Times New Roman" w:cs="Times New Roman"/>
          <w:kern w:val="22"/>
        </w:rPr>
        <w:t xml:space="preserve"> more holistic interventions</w:t>
      </w:r>
      <w:r w:rsidR="00850A2B" w:rsidRPr="00471447">
        <w:rPr>
          <w:rFonts w:ascii="Times New Roman" w:eastAsia="Cambria" w:hAnsi="Times New Roman" w:cs="Times New Roman"/>
          <w:kern w:val="22"/>
        </w:rPr>
        <w:t>.</w:t>
      </w:r>
    </w:p>
    <w:p w:rsidR="00D304CA" w:rsidRPr="00471447" w:rsidRDefault="00FF3FB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also</w:t>
      </w:r>
      <w:r w:rsidR="00850A2B" w:rsidRPr="00471447">
        <w:rPr>
          <w:rFonts w:ascii="Times New Roman" w:eastAsia="Cambria" w:hAnsi="Times New Roman" w:cs="Times New Roman"/>
          <w:kern w:val="22"/>
        </w:rPr>
        <w:t xml:space="preserve"> noted that it is i</w:t>
      </w:r>
      <w:r w:rsidR="00D304CA" w:rsidRPr="00471447">
        <w:rPr>
          <w:rFonts w:ascii="Times New Roman" w:eastAsia="Cambria" w:hAnsi="Times New Roman" w:cs="Times New Roman"/>
          <w:kern w:val="22"/>
        </w:rPr>
        <w:t xml:space="preserve">mportant in </w:t>
      </w:r>
      <w:r w:rsidR="00850A2B" w:rsidRPr="00471447">
        <w:rPr>
          <w:rFonts w:ascii="Times New Roman" w:eastAsia="Cambria" w:hAnsi="Times New Roman" w:cs="Times New Roman"/>
          <w:kern w:val="22"/>
        </w:rPr>
        <w:t xml:space="preserve">the work of this </w:t>
      </w:r>
      <w:r w:rsidRPr="00471447">
        <w:rPr>
          <w:rFonts w:ascii="Times New Roman" w:eastAsia="Cambria" w:hAnsi="Times New Roman" w:cs="Times New Roman"/>
          <w:kern w:val="22"/>
        </w:rPr>
        <w:t xml:space="preserve">ILG </w:t>
      </w:r>
      <w:r w:rsidR="00D304CA" w:rsidRPr="00471447">
        <w:rPr>
          <w:rFonts w:ascii="Times New Roman" w:eastAsia="Cambria" w:hAnsi="Times New Roman" w:cs="Times New Roman"/>
          <w:kern w:val="22"/>
        </w:rPr>
        <w:t>to acknowle</w:t>
      </w:r>
      <w:r w:rsidR="00850A2B" w:rsidRPr="00471447">
        <w:rPr>
          <w:rFonts w:ascii="Times New Roman" w:eastAsia="Cambria" w:hAnsi="Times New Roman" w:cs="Times New Roman"/>
          <w:kern w:val="22"/>
        </w:rPr>
        <w:t>dge and build on what has been done so far. For example, a</w:t>
      </w:r>
      <w:r w:rsidR="00D304CA" w:rsidRPr="00471447">
        <w:rPr>
          <w:rFonts w:ascii="Times New Roman" w:eastAsia="Cambria" w:hAnsi="Times New Roman" w:cs="Times New Roman"/>
          <w:kern w:val="22"/>
        </w:rPr>
        <w:t xml:space="preserve">t WHO interesting work </w:t>
      </w:r>
      <w:r w:rsidR="00850A2B" w:rsidRPr="00471447">
        <w:rPr>
          <w:rFonts w:ascii="Times New Roman" w:eastAsia="Cambria" w:hAnsi="Times New Roman" w:cs="Times New Roman"/>
          <w:kern w:val="22"/>
        </w:rPr>
        <w:t>ha</w:t>
      </w:r>
      <w:r w:rsidRPr="00471447">
        <w:rPr>
          <w:rFonts w:ascii="Times New Roman" w:eastAsia="Cambria" w:hAnsi="Times New Roman" w:cs="Times New Roman"/>
          <w:kern w:val="22"/>
        </w:rPr>
        <w:t>s</w:t>
      </w:r>
      <w:r w:rsidR="00850A2B" w:rsidRPr="00471447">
        <w:rPr>
          <w:rFonts w:ascii="Times New Roman" w:eastAsia="Cambria" w:hAnsi="Times New Roman" w:cs="Times New Roman"/>
          <w:kern w:val="22"/>
        </w:rPr>
        <w:t xml:space="preserve"> been carried out</w:t>
      </w:r>
      <w:r w:rsidR="00D304CA" w:rsidRPr="00471447">
        <w:rPr>
          <w:rFonts w:ascii="Times New Roman" w:eastAsia="Cambria" w:hAnsi="Times New Roman" w:cs="Times New Roman"/>
          <w:kern w:val="22"/>
        </w:rPr>
        <w:t xml:space="preserve"> in terms of relational research and eco</w:t>
      </w:r>
      <w:r w:rsidR="00C974C2" w:rsidRPr="00471447">
        <w:rPr>
          <w:rFonts w:ascii="Times New Roman" w:eastAsia="Cambria" w:hAnsi="Times New Roman" w:cs="Times New Roman"/>
          <w:kern w:val="22"/>
        </w:rPr>
        <w:t>-</w:t>
      </w:r>
      <w:r w:rsidR="00D304CA" w:rsidRPr="00471447">
        <w:rPr>
          <w:rFonts w:ascii="Times New Roman" w:eastAsia="Cambria" w:hAnsi="Times New Roman" w:cs="Times New Roman"/>
          <w:kern w:val="22"/>
        </w:rPr>
        <w:t>bio</w:t>
      </w:r>
      <w:r w:rsidR="00C974C2" w:rsidRPr="00471447">
        <w:rPr>
          <w:rFonts w:ascii="Times New Roman" w:eastAsia="Cambria" w:hAnsi="Times New Roman" w:cs="Times New Roman"/>
          <w:kern w:val="22"/>
        </w:rPr>
        <w:t>-</w:t>
      </w:r>
      <w:r w:rsidR="00D304CA" w:rsidRPr="00471447">
        <w:rPr>
          <w:rFonts w:ascii="Times New Roman" w:eastAsia="Cambria" w:hAnsi="Times New Roman" w:cs="Times New Roman"/>
          <w:kern w:val="22"/>
        </w:rPr>
        <w:t>social interventions for the contr</w:t>
      </w:r>
      <w:r w:rsidR="00850A2B" w:rsidRPr="00471447">
        <w:rPr>
          <w:rFonts w:ascii="Times New Roman" w:eastAsia="Cambria" w:hAnsi="Times New Roman" w:cs="Times New Roman"/>
          <w:kern w:val="22"/>
        </w:rPr>
        <w:t>ol of vector borne diseases. It i</w:t>
      </w:r>
      <w:r w:rsidR="00D304CA" w:rsidRPr="00471447">
        <w:rPr>
          <w:rFonts w:ascii="Times New Roman" w:eastAsia="Cambria" w:hAnsi="Times New Roman" w:cs="Times New Roman"/>
          <w:kern w:val="22"/>
        </w:rPr>
        <w:t xml:space="preserve">s very important that </w:t>
      </w:r>
      <w:r w:rsidR="00850A2B" w:rsidRPr="00471447">
        <w:rPr>
          <w:rFonts w:ascii="Times New Roman" w:eastAsia="Cambria" w:hAnsi="Times New Roman" w:cs="Times New Roman"/>
          <w:kern w:val="22"/>
        </w:rPr>
        <w:t xml:space="preserve">future research directions put forward by the </w:t>
      </w:r>
      <w:r w:rsidRPr="00471447">
        <w:rPr>
          <w:rFonts w:ascii="Times New Roman" w:eastAsia="Cambria" w:hAnsi="Times New Roman" w:cs="Times New Roman"/>
          <w:kern w:val="22"/>
        </w:rPr>
        <w:t xml:space="preserve">ILG </w:t>
      </w:r>
      <w:r w:rsidR="00850A2B" w:rsidRPr="00471447">
        <w:rPr>
          <w:rFonts w:ascii="Times New Roman" w:eastAsia="Cambria" w:hAnsi="Times New Roman" w:cs="Times New Roman"/>
          <w:kern w:val="22"/>
        </w:rPr>
        <w:t>acknowledge and</w:t>
      </w:r>
      <w:r w:rsidR="00D304CA" w:rsidRPr="00471447">
        <w:rPr>
          <w:rFonts w:ascii="Times New Roman" w:eastAsia="Cambria" w:hAnsi="Times New Roman" w:cs="Times New Roman"/>
          <w:kern w:val="22"/>
        </w:rPr>
        <w:t xml:space="preserve"> be inclusive of these elements</w:t>
      </w:r>
      <w:r w:rsidRPr="00471447">
        <w:rPr>
          <w:rFonts w:ascii="Times New Roman" w:eastAsia="Cambria" w:hAnsi="Times New Roman" w:cs="Times New Roman"/>
          <w:kern w:val="22"/>
        </w:rPr>
        <w:t xml:space="preserve"> while</w:t>
      </w:r>
      <w:r w:rsidR="00D304CA" w:rsidRPr="00471447">
        <w:rPr>
          <w:rFonts w:ascii="Times New Roman" w:eastAsia="Cambria" w:hAnsi="Times New Roman" w:cs="Times New Roman"/>
          <w:kern w:val="22"/>
        </w:rPr>
        <w:t xml:space="preserve"> </w:t>
      </w:r>
      <w:r w:rsidR="00850A2B" w:rsidRPr="00471447">
        <w:rPr>
          <w:rFonts w:ascii="Times New Roman" w:eastAsia="Cambria" w:hAnsi="Times New Roman" w:cs="Times New Roman"/>
          <w:kern w:val="22"/>
        </w:rPr>
        <w:t>promot</w:t>
      </w:r>
      <w:r w:rsidRPr="00471447">
        <w:rPr>
          <w:rFonts w:ascii="Times New Roman" w:eastAsia="Cambria" w:hAnsi="Times New Roman" w:cs="Times New Roman"/>
          <w:kern w:val="22"/>
        </w:rPr>
        <w:t>ing</w:t>
      </w:r>
      <w:r w:rsidR="00D304CA" w:rsidRPr="00471447">
        <w:rPr>
          <w:rFonts w:ascii="Times New Roman" w:eastAsia="Cambria" w:hAnsi="Times New Roman" w:cs="Times New Roman"/>
          <w:kern w:val="22"/>
        </w:rPr>
        <w:t xml:space="preserve"> </w:t>
      </w:r>
      <w:r w:rsidR="00850A2B" w:rsidRPr="00471447">
        <w:rPr>
          <w:rFonts w:ascii="Times New Roman" w:eastAsia="Cambria" w:hAnsi="Times New Roman" w:cs="Times New Roman"/>
          <w:kern w:val="22"/>
        </w:rPr>
        <w:t xml:space="preserve">tangible </w:t>
      </w:r>
      <w:r w:rsidR="00D304CA" w:rsidRPr="00471447">
        <w:rPr>
          <w:rFonts w:ascii="Times New Roman" w:eastAsia="Cambria" w:hAnsi="Times New Roman" w:cs="Times New Roman"/>
          <w:kern w:val="22"/>
        </w:rPr>
        <w:t>action.</w:t>
      </w:r>
    </w:p>
    <w:p w:rsidR="00D304CA" w:rsidRPr="00471447" w:rsidRDefault="00850A2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Liu (CDC, China) </w:t>
      </w:r>
      <w:r w:rsidR="00D304CA" w:rsidRPr="00471447">
        <w:rPr>
          <w:rFonts w:ascii="Times New Roman" w:eastAsia="Cambria" w:hAnsi="Times New Roman" w:cs="Times New Roman"/>
          <w:kern w:val="22"/>
        </w:rPr>
        <w:t>noted that there is an urgent need for users in the public health sector</w:t>
      </w:r>
      <w:r w:rsidRPr="00471447">
        <w:rPr>
          <w:rFonts w:ascii="Times New Roman" w:eastAsia="Cambria" w:hAnsi="Times New Roman" w:cs="Times New Roman"/>
          <w:kern w:val="22"/>
        </w:rPr>
        <w:t xml:space="preserve"> to have access to biodiversity data. F</w:t>
      </w:r>
      <w:r w:rsidR="00D304CA" w:rsidRPr="00471447">
        <w:rPr>
          <w:rFonts w:ascii="Times New Roman" w:eastAsia="Cambria" w:hAnsi="Times New Roman" w:cs="Times New Roman"/>
          <w:kern w:val="22"/>
        </w:rPr>
        <w:t>or example</w:t>
      </w:r>
      <w:r w:rsidRPr="00471447">
        <w:rPr>
          <w:rFonts w:ascii="Times New Roman" w:eastAsia="Cambria" w:hAnsi="Times New Roman" w:cs="Times New Roman"/>
          <w:kern w:val="22"/>
        </w:rPr>
        <w:t>,</w:t>
      </w:r>
      <w:r w:rsidR="00D304CA" w:rsidRPr="00471447">
        <w:rPr>
          <w:rFonts w:ascii="Times New Roman" w:eastAsia="Cambria" w:hAnsi="Times New Roman" w:cs="Times New Roman"/>
          <w:kern w:val="22"/>
        </w:rPr>
        <w:t xml:space="preserve"> China developed disease surveillance and decision</w:t>
      </w:r>
      <w:r w:rsidR="00A20A93">
        <w:rPr>
          <w:rFonts w:ascii="Times New Roman" w:eastAsia="Cambria" w:hAnsi="Times New Roman" w:cs="Times New Roman"/>
          <w:kern w:val="22"/>
        </w:rPr>
        <w:t>-</w:t>
      </w:r>
      <w:r w:rsidR="00D304CA" w:rsidRPr="00471447">
        <w:rPr>
          <w:rFonts w:ascii="Times New Roman" w:eastAsia="Cambria" w:hAnsi="Times New Roman" w:cs="Times New Roman"/>
          <w:kern w:val="22"/>
        </w:rPr>
        <w:t>making platform</w:t>
      </w:r>
      <w:r w:rsidRPr="00471447">
        <w:rPr>
          <w:rFonts w:ascii="Times New Roman" w:eastAsia="Cambria" w:hAnsi="Times New Roman" w:cs="Times New Roman"/>
          <w:kern w:val="22"/>
        </w:rPr>
        <w:t xml:space="preserve"> and although they attempted to</w:t>
      </w:r>
      <w:r w:rsidR="00D304CA" w:rsidRPr="00471447">
        <w:rPr>
          <w:rFonts w:ascii="Times New Roman" w:eastAsia="Cambria" w:hAnsi="Times New Roman" w:cs="Times New Roman"/>
          <w:kern w:val="22"/>
        </w:rPr>
        <w:t xml:space="preserve"> select indicators for biodiversity </w:t>
      </w:r>
      <w:r w:rsidRPr="00471447">
        <w:rPr>
          <w:rFonts w:ascii="Times New Roman" w:eastAsia="Cambria" w:hAnsi="Times New Roman" w:cs="Times New Roman"/>
          <w:kern w:val="22"/>
        </w:rPr>
        <w:t>they</w:t>
      </w:r>
      <w:r w:rsidR="00D304CA" w:rsidRPr="00471447">
        <w:rPr>
          <w:rFonts w:ascii="Times New Roman" w:eastAsia="Cambria" w:hAnsi="Times New Roman" w:cs="Times New Roman"/>
          <w:kern w:val="22"/>
        </w:rPr>
        <w:t xml:space="preserve"> were unable to identify </w:t>
      </w:r>
      <w:r w:rsidRPr="00471447">
        <w:rPr>
          <w:rFonts w:ascii="Times New Roman" w:eastAsia="Cambria" w:hAnsi="Times New Roman" w:cs="Times New Roman"/>
          <w:kern w:val="22"/>
        </w:rPr>
        <w:t>useful indicators. C</w:t>
      </w:r>
      <w:r w:rsidR="00D304CA" w:rsidRPr="00471447">
        <w:rPr>
          <w:rFonts w:ascii="Times New Roman" w:eastAsia="Cambria" w:hAnsi="Times New Roman" w:cs="Times New Roman"/>
          <w:kern w:val="22"/>
        </w:rPr>
        <w:t>orrespondingly, not very specific indicators are used. It would be of great benefit to their work if they</w:t>
      </w:r>
      <w:r w:rsidRPr="00471447">
        <w:rPr>
          <w:rFonts w:ascii="Times New Roman" w:eastAsia="Cambria" w:hAnsi="Times New Roman" w:cs="Times New Roman"/>
          <w:kern w:val="22"/>
        </w:rPr>
        <w:t xml:space="preserve"> had biodiversity indicators that could be adapted to the</w:t>
      </w:r>
      <w:r w:rsidR="00D304CA" w:rsidRPr="00471447">
        <w:rPr>
          <w:rFonts w:ascii="Times New Roman" w:eastAsia="Cambria" w:hAnsi="Times New Roman" w:cs="Times New Roman"/>
          <w:kern w:val="22"/>
        </w:rPr>
        <w:t xml:space="preserve"> health</w:t>
      </w:r>
      <w:r w:rsidRPr="00471447">
        <w:rPr>
          <w:rFonts w:ascii="Times New Roman" w:eastAsia="Cambria" w:hAnsi="Times New Roman" w:cs="Times New Roman"/>
          <w:kern w:val="22"/>
        </w:rPr>
        <w:t xml:space="preserve"> sector.</w:t>
      </w:r>
      <w:r w:rsidR="00D304CA" w:rsidRPr="00471447">
        <w:rPr>
          <w:rFonts w:ascii="Times New Roman" w:eastAsia="Cambria" w:hAnsi="Times New Roman" w:cs="Times New Roman"/>
          <w:kern w:val="22"/>
        </w:rPr>
        <w:t xml:space="preserve"> </w:t>
      </w:r>
    </w:p>
    <w:p w:rsidR="00D304CA" w:rsidRPr="00471447" w:rsidRDefault="00850A2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Mr. Cooper (CBD) </w:t>
      </w:r>
      <w:r w:rsidR="00D304CA" w:rsidRPr="00471447">
        <w:rPr>
          <w:rFonts w:ascii="Times New Roman" w:eastAsia="Cambria" w:hAnsi="Times New Roman" w:cs="Times New Roman"/>
          <w:kern w:val="22"/>
        </w:rPr>
        <w:t xml:space="preserve">noted that </w:t>
      </w:r>
      <w:r w:rsidRPr="00471447">
        <w:rPr>
          <w:rFonts w:ascii="Times New Roman" w:eastAsia="Cambria" w:hAnsi="Times New Roman" w:cs="Times New Roman"/>
          <w:kern w:val="22"/>
        </w:rPr>
        <w:t>the biodiversity community</w:t>
      </w:r>
      <w:r w:rsidR="00D304C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is improving</w:t>
      </w:r>
      <w:r w:rsidR="00D304CA" w:rsidRPr="00471447">
        <w:rPr>
          <w:rFonts w:ascii="Times New Roman" w:eastAsia="Cambria" w:hAnsi="Times New Roman" w:cs="Times New Roman"/>
          <w:kern w:val="22"/>
        </w:rPr>
        <w:t xml:space="preserve"> in terms of biodiversity data and </w:t>
      </w:r>
      <w:r w:rsidRPr="00471447">
        <w:rPr>
          <w:rFonts w:ascii="Times New Roman" w:eastAsia="Cambria" w:hAnsi="Times New Roman" w:cs="Times New Roman"/>
          <w:kern w:val="22"/>
        </w:rPr>
        <w:t>indicator development</w:t>
      </w:r>
      <w:r w:rsidR="00D304CA" w:rsidRPr="00471447">
        <w:rPr>
          <w:rFonts w:ascii="Times New Roman" w:eastAsia="Cambria" w:hAnsi="Times New Roman" w:cs="Times New Roman"/>
          <w:kern w:val="22"/>
        </w:rPr>
        <w:t xml:space="preserve"> and we are moving towards more spatially explicit information showing change over time. There </w:t>
      </w:r>
      <w:r w:rsidRPr="00471447">
        <w:rPr>
          <w:rFonts w:ascii="Times New Roman" w:eastAsia="Cambria" w:hAnsi="Times New Roman" w:cs="Times New Roman"/>
          <w:kern w:val="22"/>
        </w:rPr>
        <w:t>are many</w:t>
      </w:r>
      <w:r w:rsidR="00D304CA" w:rsidRPr="00471447">
        <w:rPr>
          <w:rFonts w:ascii="Times New Roman" w:eastAsia="Cambria" w:hAnsi="Times New Roman" w:cs="Times New Roman"/>
          <w:kern w:val="22"/>
        </w:rPr>
        <w:t xml:space="preserve"> biodiversity indicators but they are often not spatially explicit and we only have a few points in time rather than continuous monitoring data. There is a lot of work recently which integrates point data with modelling to get an estimate of biodiversity surface geographically and how that changes. Work being done by Predicts Group which examines point source measurements changes at a local level in biodiversity in terms of species richness and abundance to determine a Biodiversity Intactness Index (BII). BII is based on a global database of local biodiversity surveys combined with high resolution global land-use data to examine local changes in species richness and abundance over time. There are other models which have estimates of total diversity, known as gamma diversity, which integrates species richness with change in biodiversity from one point to the next point. That approach coupled with better satellite derived data is </w:t>
      </w:r>
      <w:r w:rsidR="00DC519C" w:rsidRPr="00471447">
        <w:rPr>
          <w:rFonts w:ascii="Times New Roman" w:eastAsia="Cambria" w:hAnsi="Times New Roman" w:cs="Times New Roman"/>
          <w:kern w:val="22"/>
        </w:rPr>
        <w:t>allowing for a better examination of</w:t>
      </w:r>
      <w:r w:rsidR="00D304CA" w:rsidRPr="00471447">
        <w:rPr>
          <w:rFonts w:ascii="Times New Roman" w:eastAsia="Cambria" w:hAnsi="Times New Roman" w:cs="Times New Roman"/>
          <w:kern w:val="22"/>
        </w:rPr>
        <w:t xml:space="preserve"> real time change. </w:t>
      </w:r>
    </w:p>
    <w:p w:rsidR="006334AC" w:rsidRPr="00471447" w:rsidRDefault="006334A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In terms of future research, initial prior</w:t>
      </w:r>
      <w:r w:rsidR="00D4547E" w:rsidRPr="00471447">
        <w:rPr>
          <w:rFonts w:ascii="Times New Roman" w:eastAsia="Cambria" w:hAnsi="Times New Roman" w:cs="Times New Roman"/>
          <w:kern w:val="22"/>
        </w:rPr>
        <w:t>i</w:t>
      </w:r>
      <w:r w:rsidRPr="00471447">
        <w:rPr>
          <w:rFonts w:ascii="Times New Roman" w:eastAsia="Cambria" w:hAnsi="Times New Roman" w:cs="Times New Roman"/>
          <w:kern w:val="22"/>
        </w:rPr>
        <w:t xml:space="preserve">ty areas outlined in decision XIII/6 in which the ILG may wish to focus its work </w:t>
      </w:r>
      <w:r w:rsidR="00D4547E" w:rsidRPr="00471447">
        <w:rPr>
          <w:rFonts w:ascii="Times New Roman" w:eastAsia="Cambria" w:hAnsi="Times New Roman" w:cs="Times New Roman"/>
          <w:kern w:val="22"/>
        </w:rPr>
        <w:t>were noted</w:t>
      </w:r>
      <w:r w:rsidRPr="00471447">
        <w:rPr>
          <w:rFonts w:ascii="Times New Roman" w:eastAsia="Cambria" w:hAnsi="Times New Roman" w:cs="Times New Roman"/>
          <w:kern w:val="22"/>
        </w:rPr>
        <w:t>. In particular, drawing on some of the elements included in decision XIII/6 potential priority areas for research, the ILG may wish to consider as initial priority areas the following four areas</w:t>
      </w:r>
      <w:r w:rsidR="004A7F87" w:rsidRPr="00471447">
        <w:rPr>
          <w:rFonts w:ascii="Times New Roman" w:eastAsia="Cambria" w:hAnsi="Times New Roman" w:cs="Times New Roman"/>
          <w:kern w:val="22"/>
        </w:rPr>
        <w:t xml:space="preserve"> with climate change as a cross-cutting issues</w:t>
      </w:r>
      <w:r w:rsidRPr="00471447">
        <w:rPr>
          <w:rFonts w:ascii="Times New Roman" w:eastAsia="Cambria" w:hAnsi="Times New Roman" w:cs="Times New Roman"/>
          <w:kern w:val="22"/>
        </w:rPr>
        <w:t>:</w:t>
      </w:r>
    </w:p>
    <w:p w:rsidR="006334AC" w:rsidRPr="00471447" w:rsidRDefault="006334AC" w:rsidP="00471447">
      <w:pPr>
        <w:pStyle w:val="ListParagraph"/>
        <w:numPr>
          <w:ilvl w:val="1"/>
          <w:numId w:val="42"/>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relationships between biodiversity, ecosystem degradation and infectious disease emergence, and the implications for land use and ecosystem management; </w:t>
      </w:r>
    </w:p>
    <w:p w:rsidR="006334AC" w:rsidRPr="00471447" w:rsidRDefault="006334AC" w:rsidP="00471447">
      <w:pPr>
        <w:pStyle w:val="ListParagraph"/>
        <w:numPr>
          <w:ilvl w:val="1"/>
          <w:numId w:val="42"/>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links between dietary diversity, health, nutrition and diversity of crops, livestock and other components of biodiversity in agricultural ecosystems, as well as marine and inland water ecosystems; </w:t>
      </w:r>
    </w:p>
    <w:p w:rsidR="006334AC" w:rsidRPr="00471447" w:rsidRDefault="006334AC" w:rsidP="00471447">
      <w:pPr>
        <w:pStyle w:val="ListParagraph"/>
        <w:numPr>
          <w:ilvl w:val="1"/>
          <w:numId w:val="42"/>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Links between consum</w:t>
      </w:r>
      <w:r w:rsidR="004A7F87" w:rsidRPr="00471447">
        <w:rPr>
          <w:rFonts w:ascii="Times New Roman" w:eastAsia="Cambria" w:hAnsi="Times New Roman" w:cs="Times New Roman"/>
          <w:kern w:val="22"/>
        </w:rPr>
        <w:t>ption and the human microbiome</w:t>
      </w:r>
      <w:r w:rsidRPr="00471447">
        <w:rPr>
          <w:rFonts w:ascii="Times New Roman" w:eastAsia="Cambria" w:hAnsi="Times New Roman" w:cs="Times New Roman"/>
          <w:kern w:val="22"/>
        </w:rPr>
        <w:t>;</w:t>
      </w:r>
    </w:p>
    <w:p w:rsidR="006334AC" w:rsidRPr="00471447" w:rsidRDefault="006334AC" w:rsidP="00471447">
      <w:pPr>
        <w:pStyle w:val="ListParagraph"/>
        <w:numPr>
          <w:ilvl w:val="1"/>
          <w:numId w:val="42"/>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The contribution of biodiversity and the natural environment, including protected areas, in promoting mental and physical health, particularl</w:t>
      </w:r>
      <w:r w:rsidR="004A7F87" w:rsidRPr="00471447">
        <w:rPr>
          <w:rFonts w:ascii="Times New Roman" w:eastAsia="Cambria" w:hAnsi="Times New Roman" w:cs="Times New Roman"/>
          <w:kern w:val="22"/>
        </w:rPr>
        <w:t xml:space="preserve">y in urban areas. </w:t>
      </w:r>
      <w:r w:rsidR="00D4547E" w:rsidRPr="00471447">
        <w:rPr>
          <w:rFonts w:ascii="Times New Roman" w:eastAsia="Cambria" w:hAnsi="Times New Roman" w:cs="Times New Roman"/>
          <w:kern w:val="22"/>
        </w:rPr>
        <w:t>T</w:t>
      </w:r>
      <w:r w:rsidRPr="00471447">
        <w:rPr>
          <w:rFonts w:ascii="Times New Roman" w:eastAsia="Cambria" w:hAnsi="Times New Roman" w:cs="Times New Roman"/>
          <w:kern w:val="22"/>
        </w:rPr>
        <w:t xml:space="preserve">aking into account case studies </w:t>
      </w:r>
      <w:r w:rsidR="00D4547E" w:rsidRPr="00471447">
        <w:rPr>
          <w:rFonts w:ascii="Times New Roman" w:eastAsia="Cambria" w:hAnsi="Times New Roman" w:cs="Times New Roman"/>
          <w:kern w:val="22"/>
        </w:rPr>
        <w:t xml:space="preserve">in the recent </w:t>
      </w:r>
      <w:r w:rsidRPr="00471447">
        <w:rPr>
          <w:rFonts w:ascii="Times New Roman" w:eastAsia="Cambria" w:hAnsi="Times New Roman" w:cs="Times New Roman"/>
          <w:kern w:val="22"/>
        </w:rPr>
        <w:t xml:space="preserve">WHO Euro office </w:t>
      </w:r>
      <w:r w:rsidR="00D4547E" w:rsidRPr="00471447">
        <w:rPr>
          <w:rFonts w:ascii="Times New Roman" w:eastAsia="Cambria" w:hAnsi="Times New Roman" w:cs="Times New Roman"/>
          <w:kern w:val="22"/>
        </w:rPr>
        <w:t xml:space="preserve">studies </w:t>
      </w:r>
      <w:r w:rsidRPr="00471447">
        <w:rPr>
          <w:rFonts w:ascii="Times New Roman" w:eastAsia="Cambria" w:hAnsi="Times New Roman" w:cs="Times New Roman"/>
          <w:kern w:val="22"/>
        </w:rPr>
        <w:t>may provide insight on future directions and  research gaps.</w:t>
      </w:r>
    </w:p>
    <w:p w:rsidR="002C504E" w:rsidRPr="00471447" w:rsidRDefault="0061487C" w:rsidP="00471447">
      <w:pPr>
        <w:pStyle w:val="ListParagraph"/>
        <w:numPr>
          <w:ilvl w:val="0"/>
          <w:numId w:val="3"/>
        </w:numPr>
        <w:spacing w:before="120" w:after="120"/>
        <w:ind w:left="0" w:firstLine="0"/>
        <w:jc w:val="both"/>
        <w:rPr>
          <w:rFonts w:ascii="Times New Roman" w:eastAsia="Cambria" w:hAnsi="Times New Roman" w:cs="Times New Roman"/>
          <w:kern w:val="22"/>
        </w:rPr>
      </w:pPr>
      <w:r>
        <w:rPr>
          <w:rFonts w:ascii="Times New Roman" w:eastAsia="Cambria" w:hAnsi="Times New Roman" w:cs="Times New Roman"/>
          <w:kern w:val="22"/>
        </w:rPr>
        <w:t>T</w:t>
      </w:r>
      <w:r w:rsidR="006334AC" w:rsidRPr="00471447">
        <w:rPr>
          <w:rFonts w:ascii="Times New Roman" w:eastAsia="Cambria" w:hAnsi="Times New Roman" w:cs="Times New Roman"/>
          <w:kern w:val="22"/>
        </w:rPr>
        <w:t xml:space="preserve">he group </w:t>
      </w:r>
      <w:r>
        <w:rPr>
          <w:rFonts w:ascii="Times New Roman" w:eastAsia="Cambria" w:hAnsi="Times New Roman" w:cs="Times New Roman"/>
          <w:kern w:val="22"/>
        </w:rPr>
        <w:t>identified</w:t>
      </w:r>
      <w:r w:rsidR="002C504E" w:rsidRPr="00471447">
        <w:rPr>
          <w:rFonts w:ascii="Times New Roman" w:eastAsia="Cambria" w:hAnsi="Times New Roman" w:cs="Times New Roman"/>
          <w:kern w:val="22"/>
        </w:rPr>
        <w:t xml:space="preserve"> a series of potential actionable items for the exchange of case studies and best practices. In particular, the following points were made:</w:t>
      </w:r>
    </w:p>
    <w:p w:rsidR="004A7F87" w:rsidRPr="00471447" w:rsidRDefault="00D4547E" w:rsidP="00471447">
      <w:pPr>
        <w:pStyle w:val="ListParagraph"/>
        <w:numPr>
          <w:ilvl w:val="1"/>
          <w:numId w:val="33"/>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C</w:t>
      </w:r>
      <w:r w:rsidR="002C504E" w:rsidRPr="00471447">
        <w:rPr>
          <w:rFonts w:ascii="Times New Roman" w:eastAsia="Cambria" w:hAnsi="Times New Roman" w:cs="Times New Roman"/>
          <w:kern w:val="22"/>
        </w:rPr>
        <w:t xml:space="preserve">onsidering the focus on implementation it is very important that case studies reflect all target audiences and do not only address infectious diseases or nutrition. </w:t>
      </w:r>
    </w:p>
    <w:p w:rsidR="002C504E" w:rsidRPr="00471447" w:rsidRDefault="002C504E" w:rsidP="00471447">
      <w:pPr>
        <w:pStyle w:val="ListParagraph"/>
        <w:numPr>
          <w:ilvl w:val="1"/>
          <w:numId w:val="33"/>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Conducting a stakeholder mapping of the audience we wish to advocate to and raise awareness with (e.g. public, policy makers in MOH, MOE, scientific community, finance and trade, etc). It is important to ident</w:t>
      </w:r>
      <w:r w:rsidR="004A7F87" w:rsidRPr="00471447">
        <w:rPr>
          <w:rFonts w:ascii="Times New Roman" w:eastAsia="Cambria" w:hAnsi="Times New Roman" w:cs="Times New Roman"/>
          <w:kern w:val="22"/>
        </w:rPr>
        <w:t xml:space="preserve">ify </w:t>
      </w:r>
      <w:r w:rsidRPr="00471447">
        <w:rPr>
          <w:rFonts w:ascii="Times New Roman" w:eastAsia="Cambria" w:hAnsi="Times New Roman" w:cs="Times New Roman"/>
          <w:kern w:val="22"/>
        </w:rPr>
        <w:t>how to most meaningfully support this work among stakeholders and to develop a message about biodiversity that relate</w:t>
      </w:r>
      <w:r w:rsidR="00D4547E" w:rsidRPr="00471447">
        <w:rPr>
          <w:rFonts w:ascii="Times New Roman" w:eastAsia="Cambria" w:hAnsi="Times New Roman" w:cs="Times New Roman"/>
          <w:kern w:val="22"/>
        </w:rPr>
        <w:t>s</w:t>
      </w:r>
      <w:r w:rsidRPr="00471447">
        <w:rPr>
          <w:rFonts w:ascii="Times New Roman" w:eastAsia="Cambria" w:hAnsi="Times New Roman" w:cs="Times New Roman"/>
          <w:kern w:val="22"/>
        </w:rPr>
        <w:t xml:space="preserve"> to a key </w:t>
      </w:r>
      <w:r w:rsidR="00D4547E" w:rsidRPr="00471447">
        <w:rPr>
          <w:rFonts w:ascii="Times New Roman" w:eastAsia="Cambria" w:hAnsi="Times New Roman" w:cs="Times New Roman"/>
          <w:kern w:val="22"/>
        </w:rPr>
        <w:t xml:space="preserve">are </w:t>
      </w:r>
      <w:r w:rsidRPr="00471447">
        <w:rPr>
          <w:rFonts w:ascii="Times New Roman" w:eastAsia="Cambria" w:hAnsi="Times New Roman" w:cs="Times New Roman"/>
          <w:kern w:val="22"/>
        </w:rPr>
        <w:t>of</w:t>
      </w:r>
      <w:r w:rsidR="00251829" w:rsidRPr="00471447">
        <w:rPr>
          <w:rFonts w:ascii="Times New Roman" w:eastAsia="Cambria" w:hAnsi="Times New Roman" w:cs="Times New Roman"/>
          <w:kern w:val="22"/>
        </w:rPr>
        <w:t xml:space="preserve"> their work. C</w:t>
      </w:r>
      <w:r w:rsidRPr="00471447">
        <w:rPr>
          <w:rFonts w:ascii="Times New Roman" w:eastAsia="Cambria" w:hAnsi="Times New Roman" w:cs="Times New Roman"/>
          <w:kern w:val="22"/>
        </w:rPr>
        <w:t xml:space="preserve">ase studies </w:t>
      </w:r>
      <w:r w:rsidR="00251829" w:rsidRPr="00471447">
        <w:rPr>
          <w:rFonts w:ascii="Times New Roman" w:eastAsia="Cambria" w:hAnsi="Times New Roman" w:cs="Times New Roman"/>
          <w:kern w:val="22"/>
        </w:rPr>
        <w:t xml:space="preserve">should cover a broad spectrum </w:t>
      </w:r>
      <w:r w:rsidRPr="00471447">
        <w:rPr>
          <w:rFonts w:ascii="Times New Roman" w:eastAsia="Cambria" w:hAnsi="Times New Roman" w:cs="Times New Roman"/>
          <w:kern w:val="22"/>
        </w:rPr>
        <w:t>so there is a variety of them</w:t>
      </w:r>
      <w:r w:rsidR="00251829" w:rsidRPr="00471447">
        <w:rPr>
          <w:rFonts w:ascii="Times New Roman" w:eastAsia="Cambria" w:hAnsi="Times New Roman" w:cs="Times New Roman"/>
          <w:kern w:val="22"/>
        </w:rPr>
        <w:t xml:space="preserve"> with messages</w:t>
      </w:r>
      <w:r w:rsidRPr="00471447">
        <w:rPr>
          <w:rFonts w:ascii="Times New Roman" w:eastAsia="Cambria" w:hAnsi="Times New Roman" w:cs="Times New Roman"/>
          <w:kern w:val="22"/>
        </w:rPr>
        <w:t xml:space="preserve"> </w:t>
      </w:r>
      <w:r w:rsidR="00251829" w:rsidRPr="00471447">
        <w:rPr>
          <w:rFonts w:ascii="Times New Roman" w:eastAsia="Cambria" w:hAnsi="Times New Roman" w:cs="Times New Roman"/>
          <w:kern w:val="22"/>
        </w:rPr>
        <w:t xml:space="preserve">tailored to a </w:t>
      </w:r>
      <w:r w:rsidR="004A7F87" w:rsidRPr="00471447">
        <w:rPr>
          <w:rFonts w:ascii="Times New Roman" w:eastAsia="Cambria" w:hAnsi="Times New Roman" w:cs="Times New Roman"/>
          <w:kern w:val="22"/>
        </w:rPr>
        <w:t>diverse</w:t>
      </w:r>
      <w:r w:rsidR="00251829" w:rsidRPr="00471447">
        <w:rPr>
          <w:rFonts w:ascii="Times New Roman" w:eastAsia="Cambria" w:hAnsi="Times New Roman" w:cs="Times New Roman"/>
          <w:kern w:val="22"/>
        </w:rPr>
        <w:t xml:space="preserve"> audience</w:t>
      </w:r>
      <w:r w:rsidRPr="00471447">
        <w:rPr>
          <w:rFonts w:ascii="Times New Roman" w:eastAsia="Cambria" w:hAnsi="Times New Roman" w:cs="Times New Roman"/>
          <w:kern w:val="22"/>
        </w:rPr>
        <w:t xml:space="preserve">. </w:t>
      </w:r>
    </w:p>
    <w:p w:rsidR="00C974C2" w:rsidRDefault="004A7F87" w:rsidP="00471447">
      <w:pPr>
        <w:pStyle w:val="ListParagraph"/>
        <w:numPr>
          <w:ilvl w:val="1"/>
          <w:numId w:val="33"/>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Others noted that the group could </w:t>
      </w:r>
      <w:r w:rsidR="0002143A" w:rsidRPr="00471447">
        <w:rPr>
          <w:rFonts w:ascii="Times New Roman" w:eastAsia="Cambria" w:hAnsi="Times New Roman" w:cs="Times New Roman"/>
          <w:kern w:val="22"/>
        </w:rPr>
        <w:t xml:space="preserve">consider </w:t>
      </w:r>
      <w:r w:rsidRPr="00471447">
        <w:rPr>
          <w:rFonts w:ascii="Times New Roman" w:eastAsia="Cambria" w:hAnsi="Times New Roman" w:cs="Times New Roman"/>
          <w:kern w:val="22"/>
        </w:rPr>
        <w:t>target</w:t>
      </w:r>
      <w:r w:rsidR="0002143A" w:rsidRPr="00471447">
        <w:rPr>
          <w:rFonts w:ascii="Times New Roman" w:eastAsia="Cambria" w:hAnsi="Times New Roman" w:cs="Times New Roman"/>
          <w:kern w:val="22"/>
        </w:rPr>
        <w:t>ing</w:t>
      </w:r>
      <w:r w:rsidRPr="00471447">
        <w:rPr>
          <w:rFonts w:ascii="Times New Roman" w:eastAsia="Cambria" w:hAnsi="Times New Roman" w:cs="Times New Roman"/>
          <w:kern w:val="22"/>
        </w:rPr>
        <w:t xml:space="preserve"> </w:t>
      </w:r>
      <w:r w:rsidR="0002143A" w:rsidRPr="00471447">
        <w:rPr>
          <w:rFonts w:ascii="Times New Roman" w:eastAsia="Cambria" w:hAnsi="Times New Roman" w:cs="Times New Roman"/>
          <w:kern w:val="22"/>
        </w:rPr>
        <w:t xml:space="preserve">case studies around </w:t>
      </w:r>
      <w:r w:rsidRPr="00471447">
        <w:rPr>
          <w:rFonts w:ascii="Times New Roman" w:eastAsia="Cambria" w:hAnsi="Times New Roman" w:cs="Times New Roman"/>
          <w:kern w:val="22"/>
        </w:rPr>
        <w:t xml:space="preserve">specific </w:t>
      </w:r>
      <w:r w:rsidR="002C504E" w:rsidRPr="00471447">
        <w:rPr>
          <w:rFonts w:ascii="Times New Roman" w:eastAsia="Cambria" w:hAnsi="Times New Roman" w:cs="Times New Roman"/>
          <w:kern w:val="22"/>
        </w:rPr>
        <w:t>threats, or drivers, such as deforestation</w:t>
      </w:r>
      <w:r w:rsidRPr="00471447">
        <w:rPr>
          <w:rFonts w:ascii="Times New Roman" w:eastAsia="Cambria" w:hAnsi="Times New Roman" w:cs="Times New Roman"/>
          <w:kern w:val="22"/>
        </w:rPr>
        <w:t>,</w:t>
      </w:r>
      <w:r w:rsidR="002C504E" w:rsidRPr="00471447">
        <w:rPr>
          <w:rFonts w:ascii="Times New Roman" w:eastAsia="Cambria" w:hAnsi="Times New Roman" w:cs="Times New Roman"/>
          <w:kern w:val="22"/>
        </w:rPr>
        <w:t xml:space="preserve"> and how that modulates disease outcomes</w:t>
      </w:r>
      <w:r w:rsidR="0002143A" w:rsidRPr="00471447">
        <w:rPr>
          <w:rFonts w:ascii="Times New Roman" w:eastAsia="Cambria" w:hAnsi="Times New Roman" w:cs="Times New Roman"/>
          <w:kern w:val="22"/>
        </w:rPr>
        <w:t>.</w:t>
      </w:r>
    </w:p>
    <w:p w:rsidR="00DC6F9C" w:rsidRPr="00471447" w:rsidRDefault="0002143A" w:rsidP="00471447">
      <w:pPr>
        <w:pStyle w:val="ListParagraph"/>
        <w:numPr>
          <w:ilvl w:val="1"/>
          <w:numId w:val="33"/>
        </w:numPr>
        <w:spacing w:before="120" w:after="120"/>
        <w:ind w:left="0" w:firstLine="720"/>
        <w:jc w:val="both"/>
        <w:rPr>
          <w:rFonts w:ascii="Times New Roman" w:hAnsi="Times New Roman"/>
          <w:kern w:val="22"/>
        </w:rPr>
      </w:pPr>
      <w:r w:rsidRPr="00471447">
        <w:rPr>
          <w:rFonts w:ascii="Times New Roman" w:eastAsia="Cambria" w:hAnsi="Times New Roman" w:cs="Times New Roman"/>
          <w:kern w:val="22"/>
        </w:rPr>
        <w:t xml:space="preserve">The importance of focusing examples around the notion of </w:t>
      </w:r>
      <w:r w:rsidR="002C504E" w:rsidRPr="00471447">
        <w:rPr>
          <w:rFonts w:ascii="Times New Roman" w:eastAsia="Cambria" w:hAnsi="Times New Roman" w:cs="Times New Roman"/>
          <w:kern w:val="22"/>
        </w:rPr>
        <w:t>prevention</w:t>
      </w:r>
      <w:r w:rsidRPr="00471447">
        <w:rPr>
          <w:rFonts w:ascii="Times New Roman" w:eastAsia="Cambria" w:hAnsi="Times New Roman" w:cs="Times New Roman"/>
          <w:kern w:val="22"/>
        </w:rPr>
        <w:t xml:space="preserve">, preparedness and disaster risk reduction was </w:t>
      </w:r>
      <w:r w:rsidR="00D4547E" w:rsidRPr="00471447">
        <w:rPr>
          <w:rFonts w:ascii="Times New Roman" w:eastAsia="Cambria" w:hAnsi="Times New Roman" w:cs="Times New Roman"/>
          <w:kern w:val="22"/>
        </w:rPr>
        <w:t xml:space="preserve">further </w:t>
      </w:r>
      <w:r w:rsidRPr="00471447">
        <w:rPr>
          <w:rFonts w:ascii="Times New Roman" w:eastAsia="Cambria" w:hAnsi="Times New Roman" w:cs="Times New Roman"/>
          <w:kern w:val="22"/>
        </w:rPr>
        <w:t>reiterated.</w:t>
      </w:r>
      <w:r w:rsidR="00D4547E" w:rsidRPr="00471447">
        <w:rPr>
          <w:rFonts w:ascii="Times New Roman" w:eastAsia="Cambria" w:hAnsi="Times New Roman" w:cs="Times New Roman"/>
          <w:kern w:val="22"/>
        </w:rPr>
        <w:t xml:space="preserve"> </w:t>
      </w:r>
    </w:p>
    <w:p w:rsidR="002C504E" w:rsidRPr="00471447" w:rsidRDefault="0004331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Several platforms, mechanisms and institutions were considered for the dissemination of case studies. These include:</w:t>
      </w:r>
    </w:p>
    <w:p w:rsidR="00C35D45" w:rsidRPr="00471447" w:rsidRDefault="0004331C" w:rsidP="00471447">
      <w:pPr>
        <w:pStyle w:val="ListParagraph"/>
        <w:numPr>
          <w:ilvl w:val="1"/>
          <w:numId w:val="43"/>
        </w:numPr>
        <w:spacing w:before="120" w:after="120"/>
        <w:ind w:left="-90" w:firstLine="810"/>
        <w:jc w:val="both"/>
        <w:rPr>
          <w:rFonts w:ascii="Times New Roman" w:eastAsia="Cambria" w:hAnsi="Times New Roman" w:cs="Times New Roman"/>
          <w:kern w:val="22"/>
        </w:rPr>
      </w:pPr>
      <w:r w:rsidRPr="00471447">
        <w:rPr>
          <w:rFonts w:ascii="Times New Roman" w:eastAsia="Cambria" w:hAnsi="Times New Roman" w:cs="Times New Roman"/>
          <w:kern w:val="22"/>
        </w:rPr>
        <w:t>Consortiums</w:t>
      </w:r>
      <w:r w:rsidR="00AD3490" w:rsidRPr="00471447">
        <w:rPr>
          <w:rFonts w:ascii="Times New Roman" w:eastAsia="Cambria" w:hAnsi="Times New Roman" w:cs="Times New Roman"/>
          <w:kern w:val="22"/>
        </w:rPr>
        <w:t xml:space="preserve">: the </w:t>
      </w:r>
      <w:r w:rsidRPr="00471447">
        <w:rPr>
          <w:rFonts w:ascii="Times New Roman" w:eastAsia="Cambria" w:hAnsi="Times New Roman" w:cs="Times New Roman"/>
          <w:kern w:val="22"/>
        </w:rPr>
        <w:t>Conso</w:t>
      </w:r>
      <w:r w:rsidR="00C35D45" w:rsidRPr="00471447">
        <w:rPr>
          <w:rFonts w:ascii="Times New Roman" w:eastAsia="Cambria" w:hAnsi="Times New Roman" w:cs="Times New Roman"/>
          <w:kern w:val="22"/>
        </w:rPr>
        <w:t>rtium of Universities</w:t>
      </w:r>
      <w:r w:rsidRPr="00471447">
        <w:rPr>
          <w:rFonts w:ascii="Times New Roman" w:eastAsia="Cambria" w:hAnsi="Times New Roman" w:cs="Times New Roman"/>
          <w:kern w:val="22"/>
        </w:rPr>
        <w:t xml:space="preserve"> for Global Health, and </w:t>
      </w:r>
      <w:r w:rsidR="00C35D45" w:rsidRPr="00471447">
        <w:rPr>
          <w:rFonts w:ascii="Times New Roman" w:eastAsia="Cambria" w:hAnsi="Times New Roman" w:cs="Times New Roman"/>
          <w:kern w:val="22"/>
        </w:rPr>
        <w:t>other University Consortiums</w:t>
      </w:r>
      <w:r w:rsidRPr="00471447">
        <w:rPr>
          <w:rFonts w:ascii="Times New Roman" w:eastAsia="Cambria" w:hAnsi="Times New Roman" w:cs="Times New Roman"/>
          <w:kern w:val="22"/>
        </w:rPr>
        <w:t xml:space="preserve"> that have programmes focused on One Health all have several</w:t>
      </w:r>
      <w:r w:rsidR="00C35D45" w:rsidRPr="00471447">
        <w:rPr>
          <w:rFonts w:ascii="Times New Roman" w:eastAsia="Cambria" w:hAnsi="Times New Roman" w:cs="Times New Roman"/>
          <w:kern w:val="22"/>
        </w:rPr>
        <w:t xml:space="preserve"> case studies that could be useful</w:t>
      </w:r>
      <w:r w:rsidRPr="00471447">
        <w:rPr>
          <w:rFonts w:ascii="Times New Roman" w:eastAsia="Cambria" w:hAnsi="Times New Roman" w:cs="Times New Roman"/>
          <w:kern w:val="22"/>
        </w:rPr>
        <w:t xml:space="preserve"> for dissemination. </w:t>
      </w:r>
    </w:p>
    <w:p w:rsidR="00C35D45" w:rsidRPr="00471447" w:rsidRDefault="0004331C" w:rsidP="00471447">
      <w:pPr>
        <w:pStyle w:val="ListParagraph"/>
        <w:numPr>
          <w:ilvl w:val="1"/>
          <w:numId w:val="43"/>
        </w:numPr>
        <w:spacing w:before="120" w:after="120"/>
        <w:ind w:left="-90" w:firstLine="810"/>
        <w:jc w:val="both"/>
        <w:rPr>
          <w:rFonts w:ascii="Times New Roman" w:eastAsia="Cambria" w:hAnsi="Times New Roman" w:cs="Times New Roman"/>
          <w:kern w:val="22"/>
        </w:rPr>
      </w:pPr>
      <w:r w:rsidRPr="00471447">
        <w:rPr>
          <w:rFonts w:ascii="Times New Roman" w:eastAsia="Cambria" w:hAnsi="Times New Roman" w:cs="Times New Roman"/>
          <w:kern w:val="22"/>
        </w:rPr>
        <w:t>The NBSAP Forum was suggested as one potential platform on which to further disseminate case studies</w:t>
      </w:r>
      <w:r w:rsidR="00AD3490" w:rsidRPr="00471447">
        <w:rPr>
          <w:rFonts w:ascii="Times New Roman" w:eastAsia="Cambria" w:hAnsi="Times New Roman" w:cs="Times New Roman"/>
          <w:kern w:val="22"/>
        </w:rPr>
        <w:t xml:space="preserve">, although outreach was acknowledged as a possible limitation as participants had to sign up to </w:t>
      </w:r>
      <w:r w:rsidR="00C11905" w:rsidRPr="00471447">
        <w:rPr>
          <w:rFonts w:ascii="Times New Roman" w:eastAsia="Cambria" w:hAnsi="Times New Roman" w:cs="Times New Roman"/>
          <w:kern w:val="22"/>
        </w:rPr>
        <w:t>specific discussion groups</w:t>
      </w:r>
      <w:r w:rsidR="00AD3490" w:rsidRPr="00471447">
        <w:rPr>
          <w:rFonts w:ascii="Times New Roman" w:eastAsia="Cambria" w:hAnsi="Times New Roman" w:cs="Times New Roman"/>
          <w:kern w:val="22"/>
        </w:rPr>
        <w:t xml:space="preserve">. </w:t>
      </w:r>
      <w:r w:rsidR="00C11905" w:rsidRPr="00471447">
        <w:rPr>
          <w:rFonts w:ascii="Times New Roman" w:eastAsia="Cambria" w:hAnsi="Times New Roman" w:cs="Times New Roman"/>
          <w:kern w:val="22"/>
        </w:rPr>
        <w:t xml:space="preserve">Moreover, </w:t>
      </w:r>
      <w:r w:rsidR="00C11905" w:rsidRPr="00471447">
        <w:rPr>
          <w:rFonts w:ascii="Times New Roman" w:eastAsia="Cambria" w:hAnsi="Times New Roman" w:cs="Times New Roman"/>
          <w:kern w:val="22"/>
        </w:rPr>
        <w:t>The CBD had already submitted a request to initiate a discussion group on biodiversity and health and will follow up with UNDP to seek to move it forward.</w:t>
      </w:r>
    </w:p>
    <w:p w:rsidR="002C504E" w:rsidRPr="00471447" w:rsidRDefault="00C35D45" w:rsidP="00471447">
      <w:pPr>
        <w:pStyle w:val="ListParagraph"/>
        <w:numPr>
          <w:ilvl w:val="1"/>
          <w:numId w:val="43"/>
        </w:numPr>
        <w:spacing w:before="120" w:after="120"/>
        <w:ind w:left="-90" w:firstLine="810"/>
        <w:jc w:val="both"/>
        <w:rPr>
          <w:rFonts w:ascii="Times New Roman" w:eastAsia="Cambria" w:hAnsi="Times New Roman" w:cs="Times New Roman"/>
          <w:kern w:val="22"/>
        </w:rPr>
      </w:pPr>
      <w:r w:rsidRPr="00471447">
        <w:rPr>
          <w:rFonts w:ascii="Times New Roman" w:eastAsia="Cambria" w:hAnsi="Times New Roman" w:cs="Times New Roman"/>
          <w:kern w:val="22"/>
        </w:rPr>
        <w:t>The UNISDR Science and Technology P</w:t>
      </w:r>
      <w:r w:rsidR="002C504E" w:rsidRPr="00471447">
        <w:rPr>
          <w:rFonts w:ascii="Times New Roman" w:eastAsia="Cambria" w:hAnsi="Times New Roman" w:cs="Times New Roman"/>
          <w:kern w:val="22"/>
        </w:rPr>
        <w:t>artnership</w:t>
      </w:r>
      <w:r w:rsidRPr="00471447">
        <w:rPr>
          <w:rFonts w:ascii="Times New Roman" w:eastAsia="Cambria" w:hAnsi="Times New Roman" w:cs="Times New Roman"/>
          <w:kern w:val="22"/>
        </w:rPr>
        <w:t xml:space="preserve"> also </w:t>
      </w:r>
      <w:r w:rsidR="00C11905" w:rsidRPr="00471447">
        <w:rPr>
          <w:rFonts w:ascii="Times New Roman" w:eastAsia="Cambria" w:hAnsi="Times New Roman" w:cs="Times New Roman"/>
          <w:kern w:val="22"/>
        </w:rPr>
        <w:t xml:space="preserve">has </w:t>
      </w:r>
      <w:r w:rsidRPr="00471447">
        <w:rPr>
          <w:rFonts w:ascii="Times New Roman" w:eastAsia="Cambria" w:hAnsi="Times New Roman" w:cs="Times New Roman"/>
          <w:kern w:val="22"/>
        </w:rPr>
        <w:t>some 700 members which could be a useful platform for dissemination</w:t>
      </w:r>
      <w:r w:rsidR="009A77AA" w:rsidRPr="00471447">
        <w:rPr>
          <w:rFonts w:ascii="Times New Roman" w:eastAsia="Cambria" w:hAnsi="Times New Roman" w:cs="Times New Roman"/>
          <w:kern w:val="22"/>
        </w:rPr>
        <w:t>.</w:t>
      </w:r>
    </w:p>
    <w:p w:rsidR="009A77AA" w:rsidRPr="00471447" w:rsidRDefault="009A77AA" w:rsidP="00471447">
      <w:pPr>
        <w:pStyle w:val="ListParagraph"/>
        <w:numPr>
          <w:ilvl w:val="1"/>
          <w:numId w:val="43"/>
        </w:numPr>
        <w:spacing w:before="120" w:after="120"/>
        <w:ind w:left="-90" w:firstLine="810"/>
        <w:jc w:val="both"/>
        <w:rPr>
          <w:rFonts w:ascii="Times New Roman" w:eastAsia="Cambria" w:hAnsi="Times New Roman" w:cs="Times New Roman"/>
          <w:kern w:val="22"/>
        </w:rPr>
      </w:pPr>
      <w:r w:rsidRPr="00471447">
        <w:rPr>
          <w:rFonts w:ascii="Times New Roman" w:eastAsia="Cambria" w:hAnsi="Times New Roman" w:cs="Times New Roman"/>
          <w:kern w:val="22"/>
        </w:rPr>
        <w:t>The University of Geneva, which is part of a broader network on Global Health, will also further explore which other networks that may be used for the dissemination of case studies.</w:t>
      </w:r>
    </w:p>
    <w:p w:rsidR="009A77AA" w:rsidRPr="00471447" w:rsidRDefault="009A77AA" w:rsidP="00471447">
      <w:pPr>
        <w:pStyle w:val="ListParagraph"/>
        <w:numPr>
          <w:ilvl w:val="1"/>
          <w:numId w:val="43"/>
        </w:numPr>
        <w:spacing w:before="120" w:after="120"/>
        <w:ind w:left="-90" w:firstLine="810"/>
        <w:jc w:val="both"/>
        <w:rPr>
          <w:rFonts w:ascii="Times New Roman" w:eastAsia="Cambria" w:hAnsi="Times New Roman" w:cs="Times New Roman"/>
          <w:kern w:val="22"/>
        </w:rPr>
      </w:pPr>
      <w:r w:rsidRPr="00471447">
        <w:rPr>
          <w:rFonts w:ascii="Times New Roman" w:eastAsia="Cambria" w:hAnsi="Times New Roman" w:cs="Times New Roman"/>
          <w:kern w:val="22"/>
        </w:rPr>
        <w:t>The Brazilian Node of the GBIF platform may potentially include case studies on biodiversity and health as it is still under construction (sibbr.gov.br) It is an information system on Brazilian biodiversity. Further information can be sought.</w:t>
      </w:r>
    </w:p>
    <w:p w:rsidR="00CE0496" w:rsidRPr="00471447" w:rsidRDefault="00CE0496" w:rsidP="00471447">
      <w:pPr>
        <w:pStyle w:val="ListParagraph"/>
        <w:numPr>
          <w:ilvl w:val="1"/>
          <w:numId w:val="43"/>
        </w:numPr>
        <w:spacing w:before="120" w:after="120"/>
        <w:ind w:left="-9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Other platforms such as UNU’s Our World platform and Future Earth’s scientific and engagement committee can also provide good platforms for dissemination. </w:t>
      </w:r>
    </w:p>
    <w:p w:rsidR="00C35D45" w:rsidRPr="00471447" w:rsidRDefault="00C35D4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co-chairs inquired </w:t>
      </w:r>
      <w:r w:rsidR="00AD3490" w:rsidRPr="00471447">
        <w:rPr>
          <w:rFonts w:ascii="Times New Roman" w:eastAsia="Cambria" w:hAnsi="Times New Roman" w:cs="Times New Roman"/>
          <w:kern w:val="22"/>
        </w:rPr>
        <w:t xml:space="preserve">about </w:t>
      </w:r>
      <w:r w:rsidRPr="00471447">
        <w:rPr>
          <w:rFonts w:ascii="Times New Roman" w:eastAsia="Cambria" w:hAnsi="Times New Roman" w:cs="Times New Roman"/>
          <w:kern w:val="22"/>
        </w:rPr>
        <w:t xml:space="preserve">the scope and breadth for the </w:t>
      </w:r>
      <w:r w:rsidRPr="00471447">
        <w:rPr>
          <w:rFonts w:ascii="Times New Roman" w:eastAsia="Cambria" w:hAnsi="Times New Roman" w:cs="Times New Roman"/>
          <w:i/>
          <w:kern w:val="22"/>
        </w:rPr>
        <w:t>compilation</w:t>
      </w:r>
      <w:r w:rsidRPr="00471447">
        <w:rPr>
          <w:rFonts w:ascii="Times New Roman" w:eastAsia="Cambria" w:hAnsi="Times New Roman" w:cs="Times New Roman"/>
          <w:kern w:val="22"/>
        </w:rPr>
        <w:t xml:space="preserve"> of case studies and a series of </w:t>
      </w:r>
      <w:r w:rsidRPr="00471447">
        <w:rPr>
          <w:rFonts w:ascii="Times New Roman" w:eastAsia="Cambria" w:hAnsi="Times New Roman" w:cs="Times New Roman"/>
          <w:b/>
          <w:kern w:val="22"/>
        </w:rPr>
        <w:t>actionable items</w:t>
      </w:r>
      <w:r w:rsidRPr="00471447">
        <w:rPr>
          <w:rFonts w:ascii="Times New Roman" w:eastAsia="Cambria" w:hAnsi="Times New Roman" w:cs="Times New Roman"/>
          <w:kern w:val="22"/>
        </w:rPr>
        <w:t xml:space="preserve"> were identified by the group. </w:t>
      </w:r>
      <w:r w:rsidR="0061487C" w:rsidRPr="00471447">
        <w:rPr>
          <w:rFonts w:ascii="Times New Roman" w:eastAsia="Cambria" w:hAnsi="Times New Roman" w:cs="Times New Roman"/>
          <w:kern w:val="22"/>
        </w:rPr>
        <w:t>These</w:t>
      </w:r>
      <w:r w:rsidRPr="00471447">
        <w:rPr>
          <w:rFonts w:ascii="Times New Roman" w:eastAsia="Cambria" w:hAnsi="Times New Roman" w:cs="Times New Roman"/>
          <w:b/>
          <w:kern w:val="22"/>
        </w:rPr>
        <w:t xml:space="preserve"> </w:t>
      </w:r>
      <w:r w:rsidRPr="00471447">
        <w:rPr>
          <w:rFonts w:ascii="Times New Roman" w:eastAsia="Cambria" w:hAnsi="Times New Roman" w:cs="Times New Roman"/>
          <w:kern w:val="22"/>
        </w:rPr>
        <w:t xml:space="preserve">notably include: </w:t>
      </w:r>
    </w:p>
    <w:p w:rsidR="00AD3490" w:rsidRPr="00471447" w:rsidRDefault="00AD3490" w:rsidP="00471447">
      <w:pPr>
        <w:pStyle w:val="ListParagraph"/>
        <w:numPr>
          <w:ilvl w:val="1"/>
          <w:numId w:val="44"/>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w:t>
      </w:r>
      <w:r w:rsidR="00C35D45" w:rsidRPr="00471447">
        <w:rPr>
          <w:rFonts w:ascii="Times New Roman" w:eastAsia="Cambria" w:hAnsi="Times New Roman" w:cs="Times New Roman"/>
          <w:kern w:val="22"/>
        </w:rPr>
        <w:t>n the short</w:t>
      </w:r>
      <w:r w:rsidRPr="00471447">
        <w:rPr>
          <w:rFonts w:ascii="Times New Roman" w:eastAsia="Cambria" w:hAnsi="Times New Roman" w:cs="Times New Roman"/>
          <w:kern w:val="22"/>
        </w:rPr>
        <w:t>er</w:t>
      </w:r>
      <w:r w:rsidR="00C35D45" w:rsidRPr="00471447">
        <w:rPr>
          <w:rFonts w:ascii="Times New Roman" w:eastAsia="Cambria" w:hAnsi="Times New Roman" w:cs="Times New Roman"/>
          <w:kern w:val="22"/>
        </w:rPr>
        <w:t xml:space="preserve"> term, the ILG </w:t>
      </w:r>
      <w:r w:rsidR="00C11905" w:rsidRPr="00471447">
        <w:rPr>
          <w:rFonts w:ascii="Times New Roman" w:eastAsia="Cambria" w:hAnsi="Times New Roman" w:cs="Times New Roman"/>
          <w:kern w:val="22"/>
        </w:rPr>
        <w:t xml:space="preserve">would </w:t>
      </w:r>
      <w:r w:rsidR="00C35D45" w:rsidRPr="00471447">
        <w:rPr>
          <w:rFonts w:ascii="Times New Roman" w:eastAsia="Cambria" w:hAnsi="Times New Roman" w:cs="Times New Roman"/>
          <w:kern w:val="22"/>
        </w:rPr>
        <w:t>provide an important platform for the dissemination of case studies and exchange best practices including through the CBD-WHO website</w:t>
      </w:r>
      <w:r w:rsidR="00C11905" w:rsidRPr="00471447">
        <w:rPr>
          <w:rFonts w:ascii="Times New Roman" w:eastAsia="Cambria" w:hAnsi="Times New Roman" w:cs="Times New Roman"/>
          <w:kern w:val="22"/>
        </w:rPr>
        <w:t>s</w:t>
      </w:r>
      <w:r w:rsidR="00C35D45" w:rsidRPr="00471447">
        <w:rPr>
          <w:rFonts w:ascii="Times New Roman" w:eastAsia="Cambria" w:hAnsi="Times New Roman" w:cs="Times New Roman"/>
          <w:kern w:val="22"/>
        </w:rPr>
        <w:t xml:space="preserve"> of the joint work programme</w:t>
      </w:r>
      <w:r w:rsidR="00241FF7" w:rsidRPr="00471447">
        <w:rPr>
          <w:rFonts w:ascii="Times New Roman" w:eastAsia="Cambria" w:hAnsi="Times New Roman" w:cs="Times New Roman"/>
          <w:kern w:val="22"/>
        </w:rPr>
        <w:t>. It will begin to compile and add case studies to its website as other platforms are identified for further dissemination.</w:t>
      </w:r>
      <w:r w:rsidR="00C35D45" w:rsidRPr="00471447">
        <w:rPr>
          <w:rFonts w:ascii="Times New Roman" w:eastAsia="Cambria" w:hAnsi="Times New Roman" w:cs="Times New Roman"/>
          <w:kern w:val="22"/>
        </w:rPr>
        <w:t xml:space="preserve"> </w:t>
      </w:r>
      <w:r w:rsidR="006C149A" w:rsidRPr="00471447">
        <w:rPr>
          <w:rFonts w:ascii="Times New Roman" w:eastAsia="Cambria" w:hAnsi="Times New Roman" w:cs="Times New Roman"/>
          <w:kern w:val="22"/>
        </w:rPr>
        <w:t xml:space="preserve">A </w:t>
      </w:r>
      <w:r w:rsidR="00C11905" w:rsidRPr="00471447">
        <w:rPr>
          <w:rFonts w:ascii="Times New Roman" w:eastAsia="Cambria" w:hAnsi="Times New Roman" w:cs="Times New Roman"/>
          <w:kern w:val="22"/>
        </w:rPr>
        <w:t xml:space="preserve">formal </w:t>
      </w:r>
      <w:r w:rsidR="006C149A" w:rsidRPr="00471447">
        <w:rPr>
          <w:rFonts w:ascii="Times New Roman" w:eastAsia="Cambria" w:hAnsi="Times New Roman" w:cs="Times New Roman"/>
          <w:kern w:val="22"/>
        </w:rPr>
        <w:t xml:space="preserve">call for best practices could be </w:t>
      </w:r>
      <w:r w:rsidR="00C11905" w:rsidRPr="00471447">
        <w:rPr>
          <w:rFonts w:ascii="Times New Roman" w:eastAsia="Cambria" w:hAnsi="Times New Roman" w:cs="Times New Roman"/>
          <w:kern w:val="22"/>
        </w:rPr>
        <w:t>issued to</w:t>
      </w:r>
      <w:r w:rsidR="006C149A" w:rsidRPr="00471447">
        <w:rPr>
          <w:rFonts w:ascii="Times New Roman" w:eastAsia="Cambria" w:hAnsi="Times New Roman" w:cs="Times New Roman"/>
          <w:kern w:val="22"/>
        </w:rPr>
        <w:t xml:space="preserve"> Parties </w:t>
      </w:r>
      <w:r w:rsidR="00C11905" w:rsidRPr="00471447">
        <w:rPr>
          <w:rFonts w:ascii="Times New Roman" w:eastAsia="Cambria" w:hAnsi="Times New Roman" w:cs="Times New Roman"/>
          <w:kern w:val="22"/>
        </w:rPr>
        <w:t xml:space="preserve">to the Convention (with a notification) </w:t>
      </w:r>
      <w:r w:rsidR="006C149A" w:rsidRPr="00471447">
        <w:rPr>
          <w:rFonts w:ascii="Times New Roman" w:eastAsia="Cambria" w:hAnsi="Times New Roman" w:cs="Times New Roman"/>
          <w:kern w:val="22"/>
        </w:rPr>
        <w:t xml:space="preserve">so they may play an active role in reporting actual progress and initiatives developed on the ground. </w:t>
      </w:r>
    </w:p>
    <w:p w:rsidR="006C149A" w:rsidRDefault="00AD3490" w:rsidP="00471447">
      <w:pPr>
        <w:pStyle w:val="ListParagraph"/>
        <w:numPr>
          <w:ilvl w:val="1"/>
          <w:numId w:val="44"/>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Subject to the availability of resources, a</w:t>
      </w:r>
      <w:r w:rsidR="006C149A" w:rsidRPr="00471447">
        <w:rPr>
          <w:rFonts w:ascii="Times New Roman" w:eastAsia="Cambria" w:hAnsi="Times New Roman" w:cs="Times New Roman"/>
          <w:kern w:val="22"/>
        </w:rPr>
        <w:t xml:space="preserve"> second volume of the State of Knowledge Review, </w:t>
      </w:r>
      <w:r w:rsidRPr="00471447">
        <w:rPr>
          <w:rFonts w:ascii="Times New Roman" w:eastAsia="Cambria" w:hAnsi="Times New Roman" w:cs="Times New Roman"/>
          <w:i/>
          <w:kern w:val="22"/>
        </w:rPr>
        <w:t>Connecting Global Priorities:</w:t>
      </w:r>
      <w:r w:rsidRPr="00471447">
        <w:rPr>
          <w:rFonts w:ascii="Times New Roman" w:eastAsia="Cambria" w:hAnsi="Times New Roman" w:cs="Times New Roman"/>
          <w:kern w:val="22"/>
        </w:rPr>
        <w:t xml:space="preserve"> </w:t>
      </w:r>
      <w:r w:rsidR="006C149A" w:rsidRPr="00471447">
        <w:rPr>
          <w:rFonts w:ascii="Times New Roman" w:eastAsia="Cambria" w:hAnsi="Times New Roman" w:cs="Times New Roman"/>
          <w:i/>
          <w:kern w:val="22"/>
        </w:rPr>
        <w:t>From Science to Implementation</w:t>
      </w:r>
      <w:r w:rsidR="006C149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was identified as a useful means</w:t>
      </w:r>
      <w:r w:rsidR="006C149A" w:rsidRPr="00471447">
        <w:rPr>
          <w:rFonts w:ascii="Times New Roman" w:eastAsia="Cambria" w:hAnsi="Times New Roman" w:cs="Times New Roman"/>
          <w:kern w:val="22"/>
        </w:rPr>
        <w:t xml:space="preserve"> to further disseminate best practices among Parties. Case studies </w:t>
      </w:r>
      <w:r w:rsidRPr="00471447">
        <w:rPr>
          <w:rFonts w:ascii="Times New Roman" w:eastAsia="Cambria" w:hAnsi="Times New Roman" w:cs="Times New Roman"/>
          <w:kern w:val="22"/>
        </w:rPr>
        <w:t xml:space="preserve">would </w:t>
      </w:r>
      <w:r w:rsidR="006C149A" w:rsidRPr="00471447">
        <w:rPr>
          <w:rFonts w:ascii="Times New Roman" w:eastAsia="Cambria" w:hAnsi="Times New Roman" w:cs="Times New Roman"/>
          <w:kern w:val="22"/>
        </w:rPr>
        <w:t>be invited both informally, through regional capacity-building workshops</w:t>
      </w:r>
      <w:r w:rsidRPr="00471447">
        <w:rPr>
          <w:rFonts w:ascii="Times New Roman" w:eastAsia="Cambria" w:hAnsi="Times New Roman" w:cs="Times New Roman"/>
          <w:kern w:val="22"/>
        </w:rPr>
        <w:t>,</w:t>
      </w:r>
      <w:r w:rsidR="006C149A" w:rsidRPr="00471447">
        <w:rPr>
          <w:rFonts w:ascii="Times New Roman" w:eastAsia="Cambria" w:hAnsi="Times New Roman" w:cs="Times New Roman"/>
          <w:kern w:val="22"/>
        </w:rPr>
        <w:t xml:space="preserve"> and more formally through a request to CBD Parties to report on progress</w:t>
      </w:r>
      <w:r w:rsidRPr="00471447">
        <w:rPr>
          <w:rFonts w:ascii="Times New Roman" w:eastAsia="Cambria" w:hAnsi="Times New Roman" w:cs="Times New Roman"/>
          <w:kern w:val="22"/>
        </w:rPr>
        <w:t xml:space="preserve"> and case studies would be considered for inclusion in the volume based on defined selection criteria</w:t>
      </w:r>
      <w:r w:rsidR="006C149A" w:rsidRPr="00471447">
        <w:rPr>
          <w:rFonts w:ascii="Times New Roman" w:eastAsia="Cambria" w:hAnsi="Times New Roman" w:cs="Times New Roman"/>
          <w:kern w:val="22"/>
        </w:rPr>
        <w:t xml:space="preserve">; </w:t>
      </w:r>
    </w:p>
    <w:p w:rsidR="00AD3490" w:rsidRPr="00A20A93" w:rsidRDefault="00AD3490" w:rsidP="00471447">
      <w:pPr>
        <w:pStyle w:val="ListParagraph"/>
        <w:numPr>
          <w:ilvl w:val="1"/>
          <w:numId w:val="44"/>
        </w:numPr>
        <w:spacing w:before="120" w:after="120"/>
        <w:ind w:left="0" w:firstLine="720"/>
        <w:jc w:val="both"/>
      </w:pPr>
      <w:r w:rsidRPr="00471447">
        <w:rPr>
          <w:rFonts w:ascii="Times New Roman" w:eastAsia="Cambria" w:hAnsi="Times New Roman" w:cs="Times New Roman"/>
          <w:kern w:val="22"/>
        </w:rPr>
        <w:t>In the medium to longer term, once financial resources are secured, with sufficient resources</w:t>
      </w:r>
      <w:r w:rsidR="00C11905"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a database by type could </w:t>
      </w:r>
      <w:r w:rsidR="00C11905" w:rsidRPr="00471447">
        <w:rPr>
          <w:rFonts w:ascii="Times New Roman" w:eastAsia="Cambria" w:hAnsi="Times New Roman" w:cs="Times New Roman"/>
          <w:kern w:val="22"/>
        </w:rPr>
        <w:t xml:space="preserve">also </w:t>
      </w:r>
      <w:r w:rsidRPr="00471447">
        <w:rPr>
          <w:rFonts w:ascii="Times New Roman" w:eastAsia="Cambria" w:hAnsi="Times New Roman" w:cs="Times New Roman"/>
          <w:kern w:val="22"/>
        </w:rPr>
        <w:t xml:space="preserve">be developed. It </w:t>
      </w:r>
      <w:r w:rsidR="00C11905" w:rsidRPr="00471447">
        <w:rPr>
          <w:rFonts w:ascii="Times New Roman" w:eastAsia="Cambria" w:hAnsi="Times New Roman" w:cs="Times New Roman"/>
          <w:kern w:val="22"/>
        </w:rPr>
        <w:t>c</w:t>
      </w:r>
      <w:r w:rsidRPr="00471447">
        <w:rPr>
          <w:rFonts w:ascii="Times New Roman" w:eastAsia="Cambria" w:hAnsi="Times New Roman" w:cs="Times New Roman"/>
          <w:kern w:val="22"/>
        </w:rPr>
        <w:t>ould seek to be an open platform for exchange and dissemination so items remain current;</w:t>
      </w:r>
    </w:p>
    <w:p w:rsidR="002C504E" w:rsidRPr="00471447" w:rsidRDefault="006C149A"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As a partnership, the ILG may also </w:t>
      </w:r>
      <w:r w:rsidR="002C504E" w:rsidRPr="00471447">
        <w:rPr>
          <w:rFonts w:ascii="Times New Roman" w:eastAsia="Cambria" w:hAnsi="Times New Roman" w:cs="Times New Roman"/>
          <w:kern w:val="22"/>
        </w:rPr>
        <w:t xml:space="preserve">consider the </w:t>
      </w:r>
      <w:r w:rsidR="00C35D45" w:rsidRPr="00471447">
        <w:rPr>
          <w:rFonts w:ascii="Times New Roman" w:eastAsia="Cambria" w:hAnsi="Times New Roman" w:cs="Times New Roman"/>
          <w:kern w:val="22"/>
        </w:rPr>
        <w:t>Global Network of the National Academies of Sciences</w:t>
      </w:r>
      <w:r w:rsidR="002C504E" w:rsidRPr="00471447">
        <w:rPr>
          <w:rFonts w:ascii="Times New Roman" w:eastAsia="Cambria" w:hAnsi="Times New Roman" w:cs="Times New Roman"/>
          <w:kern w:val="22"/>
        </w:rPr>
        <w:t xml:space="preserve"> which includes regional hubs comprising national academies of sciences that go beyond health </w:t>
      </w:r>
      <w:r w:rsidR="002C504E" w:rsidRPr="00471447">
        <w:rPr>
          <w:rFonts w:ascii="Times New Roman" w:eastAsia="Cambria" w:hAnsi="Times New Roman" w:cs="Times New Roman"/>
          <w:kern w:val="22"/>
        </w:rPr>
        <w:lastRenderedPageBreak/>
        <w:t xml:space="preserve">to also include engineering and other areas. </w:t>
      </w:r>
      <w:r w:rsidR="00C35D45" w:rsidRPr="00471447">
        <w:rPr>
          <w:rFonts w:ascii="Times New Roman" w:eastAsia="Cambria" w:hAnsi="Times New Roman" w:cs="Times New Roman"/>
          <w:kern w:val="22"/>
        </w:rPr>
        <w:t>The ILG</w:t>
      </w:r>
      <w:r w:rsidRPr="00471447">
        <w:rPr>
          <w:rFonts w:ascii="Times New Roman" w:eastAsia="Cambria" w:hAnsi="Times New Roman" w:cs="Times New Roman"/>
          <w:kern w:val="22"/>
        </w:rPr>
        <w:t xml:space="preserve"> </w:t>
      </w:r>
      <w:r w:rsidR="00C11905" w:rsidRPr="00471447">
        <w:rPr>
          <w:rFonts w:ascii="Times New Roman" w:eastAsia="Cambria" w:hAnsi="Times New Roman" w:cs="Times New Roman"/>
          <w:kern w:val="22"/>
        </w:rPr>
        <w:t xml:space="preserve">could consider </w:t>
      </w:r>
      <w:r w:rsidRPr="00471447">
        <w:rPr>
          <w:rFonts w:ascii="Times New Roman" w:eastAsia="Cambria" w:hAnsi="Times New Roman" w:cs="Times New Roman"/>
          <w:kern w:val="22"/>
        </w:rPr>
        <w:t>prepar</w:t>
      </w:r>
      <w:r w:rsidR="00C11905" w:rsidRPr="00471447">
        <w:rPr>
          <w:rFonts w:ascii="Times New Roman" w:eastAsia="Cambria" w:hAnsi="Times New Roman" w:cs="Times New Roman"/>
          <w:kern w:val="22"/>
        </w:rPr>
        <w:t>ing</w:t>
      </w:r>
      <w:r w:rsidR="002C504E" w:rsidRPr="00471447">
        <w:rPr>
          <w:rFonts w:ascii="Times New Roman" w:eastAsia="Cambria" w:hAnsi="Times New Roman" w:cs="Times New Roman"/>
          <w:kern w:val="22"/>
        </w:rPr>
        <w:t xml:space="preserve"> a </w:t>
      </w:r>
      <w:r w:rsidRPr="00471447">
        <w:rPr>
          <w:rFonts w:ascii="Times New Roman" w:eastAsia="Cambria" w:hAnsi="Times New Roman" w:cs="Times New Roman"/>
          <w:kern w:val="22"/>
        </w:rPr>
        <w:t>joint solicitation for</w:t>
      </w:r>
      <w:r w:rsidR="002C504E" w:rsidRPr="00471447">
        <w:rPr>
          <w:rFonts w:ascii="Times New Roman" w:eastAsia="Cambria" w:hAnsi="Times New Roman" w:cs="Times New Roman"/>
          <w:kern w:val="22"/>
        </w:rPr>
        <w:t xml:space="preserve"> case studies on biodiversity and health linkages. PHA has </w:t>
      </w:r>
      <w:r w:rsidRPr="00471447">
        <w:rPr>
          <w:rFonts w:ascii="Times New Roman" w:eastAsia="Cambria" w:hAnsi="Times New Roman" w:cs="Times New Roman"/>
          <w:kern w:val="22"/>
        </w:rPr>
        <w:t xml:space="preserve">also </w:t>
      </w:r>
      <w:r w:rsidR="002C504E" w:rsidRPr="00471447">
        <w:rPr>
          <w:rFonts w:ascii="Times New Roman" w:eastAsia="Cambria" w:hAnsi="Times New Roman" w:cs="Times New Roman"/>
          <w:kern w:val="22"/>
        </w:rPr>
        <w:t xml:space="preserve">begun to solicit a call </w:t>
      </w:r>
      <w:r w:rsidR="00C11905" w:rsidRPr="00471447">
        <w:rPr>
          <w:rFonts w:ascii="Times New Roman" w:eastAsia="Cambria" w:hAnsi="Times New Roman" w:cs="Times New Roman"/>
          <w:kern w:val="22"/>
        </w:rPr>
        <w:t xml:space="preserve">for </w:t>
      </w:r>
      <w:r w:rsidR="002C504E" w:rsidRPr="00471447">
        <w:rPr>
          <w:rFonts w:ascii="Times New Roman" w:eastAsia="Cambria" w:hAnsi="Times New Roman" w:cs="Times New Roman"/>
          <w:kern w:val="22"/>
        </w:rPr>
        <w:t>applied case studies on planetary health. They are already beginning that process and seeking ways to fund it</w:t>
      </w:r>
      <w:r w:rsidRPr="00471447">
        <w:rPr>
          <w:rFonts w:ascii="Times New Roman" w:eastAsia="Cambria" w:hAnsi="Times New Roman" w:cs="Times New Roman"/>
          <w:kern w:val="22"/>
        </w:rPr>
        <w:t xml:space="preserve">. The ILG </w:t>
      </w:r>
      <w:r w:rsidR="009A77AA" w:rsidRPr="00471447">
        <w:rPr>
          <w:rFonts w:ascii="Times New Roman" w:eastAsia="Cambria" w:hAnsi="Times New Roman" w:cs="Times New Roman"/>
          <w:kern w:val="22"/>
        </w:rPr>
        <w:t>could</w:t>
      </w:r>
      <w:r w:rsidR="00C1190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help </w:t>
      </w:r>
      <w:r w:rsidR="00C11905" w:rsidRPr="00471447">
        <w:rPr>
          <w:rFonts w:ascii="Times New Roman" w:eastAsia="Cambria" w:hAnsi="Times New Roman" w:cs="Times New Roman"/>
          <w:kern w:val="22"/>
        </w:rPr>
        <w:t xml:space="preserve">to </w:t>
      </w:r>
      <w:r w:rsidRPr="00471447">
        <w:rPr>
          <w:rFonts w:ascii="Times New Roman" w:eastAsia="Cambria" w:hAnsi="Times New Roman" w:cs="Times New Roman"/>
          <w:kern w:val="22"/>
        </w:rPr>
        <w:t>shape a</w:t>
      </w:r>
      <w:r w:rsidR="002C504E" w:rsidRPr="00471447">
        <w:rPr>
          <w:rFonts w:ascii="Times New Roman" w:eastAsia="Cambria" w:hAnsi="Times New Roman" w:cs="Times New Roman"/>
          <w:kern w:val="22"/>
        </w:rPr>
        <w:t xml:space="preserve"> call </w:t>
      </w:r>
      <w:r w:rsidRPr="00471447">
        <w:rPr>
          <w:rFonts w:ascii="Times New Roman" w:eastAsia="Cambria" w:hAnsi="Times New Roman" w:cs="Times New Roman"/>
          <w:kern w:val="22"/>
        </w:rPr>
        <w:t>for proposals</w:t>
      </w:r>
      <w:r w:rsidR="009A77AA" w:rsidRPr="00471447">
        <w:rPr>
          <w:rFonts w:ascii="Times New Roman" w:eastAsia="Cambria" w:hAnsi="Times New Roman" w:cs="Times New Roman"/>
          <w:kern w:val="22"/>
        </w:rPr>
        <w:t xml:space="preserve"> or use the platform to disseminate case studies.</w:t>
      </w:r>
    </w:p>
    <w:p w:rsidR="000C2677" w:rsidRPr="00471447" w:rsidRDefault="000C2677" w:rsidP="00471447">
      <w:pPr>
        <w:pStyle w:val="ListParagraph"/>
        <w:spacing w:before="120" w:after="120"/>
        <w:jc w:val="center"/>
        <w:rPr>
          <w:rFonts w:ascii="Times New Roman" w:eastAsia="Cambria" w:hAnsi="Times New Roman" w:cs="Times New Roman"/>
          <w:b/>
          <w:color w:val="auto"/>
          <w:kern w:val="22"/>
        </w:rPr>
      </w:pPr>
      <w:r w:rsidRPr="00471447">
        <w:rPr>
          <w:rFonts w:ascii="Times New Roman" w:eastAsia="Cambria" w:hAnsi="Times New Roman" w:cs="Times New Roman"/>
          <w:b/>
          <w:color w:val="auto"/>
          <w:kern w:val="22"/>
        </w:rPr>
        <w:t>Theme D) Communication, awareness-raising and advocacy</w:t>
      </w:r>
    </w:p>
    <w:p w:rsidR="000B003A" w:rsidRPr="00471447" w:rsidRDefault="000C2677"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final </w:t>
      </w:r>
      <w:r w:rsidR="009A77AA" w:rsidRPr="00471447">
        <w:rPr>
          <w:rFonts w:ascii="Times New Roman" w:eastAsia="Cambria" w:hAnsi="Times New Roman" w:cs="Times New Roman"/>
          <w:kern w:val="22"/>
        </w:rPr>
        <w:t>sub-</w:t>
      </w:r>
      <w:r w:rsidRPr="00471447">
        <w:rPr>
          <w:rFonts w:ascii="Times New Roman" w:eastAsia="Cambria" w:hAnsi="Times New Roman" w:cs="Times New Roman"/>
          <w:kern w:val="22"/>
        </w:rPr>
        <w:t xml:space="preserve">theme </w:t>
      </w:r>
      <w:r w:rsidR="009A77AA" w:rsidRPr="00471447">
        <w:rPr>
          <w:rFonts w:ascii="Times New Roman" w:eastAsia="Cambria" w:hAnsi="Times New Roman" w:cs="Times New Roman"/>
          <w:kern w:val="22"/>
        </w:rPr>
        <w:t>under Item 9</w:t>
      </w:r>
      <w:r w:rsidRPr="00471447">
        <w:rPr>
          <w:rFonts w:ascii="Times New Roman" w:eastAsia="Cambria" w:hAnsi="Times New Roman" w:cs="Times New Roman"/>
          <w:kern w:val="22"/>
        </w:rPr>
        <w:t xml:space="preserve"> was introduced by Mr. Cooper, building on the discussion on the previous day led by Ms. </w:t>
      </w:r>
      <w:r w:rsidR="009A77AA" w:rsidRPr="00471447">
        <w:rPr>
          <w:rFonts w:ascii="Times New Roman" w:eastAsia="Cambria" w:hAnsi="Times New Roman" w:cs="Times New Roman"/>
          <w:kern w:val="22"/>
        </w:rPr>
        <w:t xml:space="preserve">Maria </w:t>
      </w:r>
      <w:r w:rsidRPr="00471447">
        <w:rPr>
          <w:rFonts w:ascii="Times New Roman" w:eastAsia="Cambria" w:hAnsi="Times New Roman" w:cs="Times New Roman"/>
          <w:kern w:val="22"/>
        </w:rPr>
        <w:t xml:space="preserve">Neira (WHO). He reiterated that while cross-cutting, communication is a particularly crucial aspect. The CBD </w:t>
      </w:r>
      <w:r w:rsidR="00E02C70" w:rsidRPr="00471447">
        <w:rPr>
          <w:rFonts w:ascii="Times New Roman" w:eastAsia="Cambria" w:hAnsi="Times New Roman" w:cs="Times New Roman"/>
          <w:kern w:val="22"/>
        </w:rPr>
        <w:t>is examining opportunities to intensify</w:t>
      </w:r>
      <w:r w:rsidRPr="00471447">
        <w:rPr>
          <w:rFonts w:ascii="Times New Roman" w:eastAsia="Cambria" w:hAnsi="Times New Roman" w:cs="Times New Roman"/>
          <w:kern w:val="22"/>
        </w:rPr>
        <w:t xml:space="preserve"> efforts to increase visibility and outreach</w:t>
      </w:r>
      <w:r w:rsidR="00A428DB" w:rsidRPr="00471447">
        <w:rPr>
          <w:rFonts w:ascii="Times New Roman" w:eastAsia="Cambria" w:hAnsi="Times New Roman" w:cs="Times New Roman"/>
          <w:kern w:val="22"/>
        </w:rPr>
        <w:t xml:space="preserve"> and it will be important to tailor messages </w:t>
      </w:r>
      <w:r w:rsidR="00E02C70" w:rsidRPr="00471447">
        <w:rPr>
          <w:rFonts w:ascii="Times New Roman" w:eastAsia="Cambria" w:hAnsi="Times New Roman" w:cs="Times New Roman"/>
          <w:kern w:val="22"/>
        </w:rPr>
        <w:t xml:space="preserve">each </w:t>
      </w:r>
      <w:r w:rsidR="00A428DB" w:rsidRPr="00471447">
        <w:rPr>
          <w:rFonts w:ascii="Times New Roman" w:eastAsia="Cambria" w:hAnsi="Times New Roman" w:cs="Times New Roman"/>
          <w:kern w:val="22"/>
        </w:rPr>
        <w:t>with</w:t>
      </w:r>
      <w:r w:rsidR="00E02C70" w:rsidRPr="00471447">
        <w:rPr>
          <w:rFonts w:ascii="Times New Roman" w:eastAsia="Cambria" w:hAnsi="Times New Roman" w:cs="Times New Roman"/>
          <w:kern w:val="22"/>
        </w:rPr>
        <w:t xml:space="preserve"> policy-makers,</w:t>
      </w:r>
      <w:r w:rsidR="00A428DB" w:rsidRPr="00471447">
        <w:rPr>
          <w:rFonts w:ascii="Times New Roman" w:eastAsia="Cambria" w:hAnsi="Times New Roman" w:cs="Times New Roman"/>
          <w:kern w:val="22"/>
        </w:rPr>
        <w:t xml:space="preserve"> targeted stakeholders identified by the ILG and</w:t>
      </w:r>
      <w:r w:rsidR="00E02C70" w:rsidRPr="00471447">
        <w:rPr>
          <w:rFonts w:ascii="Times New Roman" w:eastAsia="Cambria" w:hAnsi="Times New Roman" w:cs="Times New Roman"/>
          <w:kern w:val="22"/>
        </w:rPr>
        <w:t xml:space="preserve"> </w:t>
      </w:r>
      <w:r w:rsidR="00A428DB" w:rsidRPr="00471447">
        <w:rPr>
          <w:rFonts w:ascii="Times New Roman" w:eastAsia="Cambria" w:hAnsi="Times New Roman" w:cs="Times New Roman"/>
          <w:kern w:val="22"/>
        </w:rPr>
        <w:t>the</w:t>
      </w:r>
      <w:r w:rsidRPr="00471447">
        <w:rPr>
          <w:rFonts w:ascii="Times New Roman" w:eastAsia="Cambria" w:hAnsi="Times New Roman" w:cs="Times New Roman"/>
          <w:kern w:val="22"/>
        </w:rPr>
        <w:t xml:space="preserve"> general public. </w:t>
      </w:r>
      <w:r w:rsidR="00E02C70" w:rsidRPr="00471447">
        <w:rPr>
          <w:rFonts w:ascii="Times New Roman" w:eastAsia="Cambria" w:hAnsi="Times New Roman" w:cs="Times New Roman"/>
          <w:kern w:val="22"/>
        </w:rPr>
        <w:t xml:space="preserve">At the next meeting of the ILG, it </w:t>
      </w:r>
      <w:r w:rsidR="00A428DB" w:rsidRPr="00471447">
        <w:rPr>
          <w:rFonts w:ascii="Times New Roman" w:eastAsia="Cambria" w:hAnsi="Times New Roman" w:cs="Times New Roman"/>
          <w:kern w:val="22"/>
        </w:rPr>
        <w:t xml:space="preserve">It will be </w:t>
      </w:r>
      <w:r w:rsidR="00E02C70" w:rsidRPr="00471447">
        <w:rPr>
          <w:rFonts w:ascii="Times New Roman" w:eastAsia="Cambria" w:hAnsi="Times New Roman" w:cs="Times New Roman"/>
          <w:kern w:val="22"/>
        </w:rPr>
        <w:t xml:space="preserve">important </w:t>
      </w:r>
      <w:r w:rsidR="00A428DB" w:rsidRPr="00471447">
        <w:rPr>
          <w:rFonts w:ascii="Times New Roman" w:eastAsia="Cambria" w:hAnsi="Times New Roman" w:cs="Times New Roman"/>
          <w:kern w:val="22"/>
        </w:rPr>
        <w:t xml:space="preserve">to </w:t>
      </w:r>
      <w:r w:rsidRPr="00471447">
        <w:rPr>
          <w:rFonts w:ascii="Times New Roman" w:eastAsia="Cambria" w:hAnsi="Times New Roman" w:cs="Times New Roman"/>
          <w:kern w:val="22"/>
        </w:rPr>
        <w:t xml:space="preserve">identify </w:t>
      </w:r>
      <w:r w:rsidR="00A428DB" w:rsidRPr="00471447">
        <w:rPr>
          <w:rFonts w:ascii="Times New Roman" w:eastAsia="Cambria" w:hAnsi="Times New Roman" w:cs="Times New Roman"/>
          <w:kern w:val="22"/>
        </w:rPr>
        <w:t xml:space="preserve">preliminary </w:t>
      </w:r>
      <w:r w:rsidRPr="00471447">
        <w:rPr>
          <w:rFonts w:ascii="Times New Roman" w:eastAsia="Cambria" w:hAnsi="Times New Roman" w:cs="Times New Roman"/>
          <w:kern w:val="22"/>
        </w:rPr>
        <w:t>key messages</w:t>
      </w:r>
      <w:r w:rsidR="00A428DB" w:rsidRPr="00471447">
        <w:rPr>
          <w:rFonts w:ascii="Times New Roman" w:eastAsia="Cambria" w:hAnsi="Times New Roman" w:cs="Times New Roman"/>
          <w:kern w:val="22"/>
        </w:rPr>
        <w:t xml:space="preserve"> for the ILG to focus its work</w:t>
      </w:r>
      <w:r w:rsidRPr="00471447">
        <w:rPr>
          <w:rFonts w:ascii="Times New Roman" w:eastAsia="Cambria" w:hAnsi="Times New Roman" w:cs="Times New Roman"/>
          <w:kern w:val="22"/>
        </w:rPr>
        <w:t xml:space="preserve">. </w:t>
      </w:r>
      <w:r w:rsidR="00A428DB" w:rsidRPr="00471447">
        <w:rPr>
          <w:rFonts w:ascii="Times New Roman" w:eastAsia="Cambria" w:hAnsi="Times New Roman" w:cs="Times New Roman"/>
          <w:kern w:val="22"/>
        </w:rPr>
        <w:t xml:space="preserve">While the State of Knowledge contains several key messages, there are too many for a </w:t>
      </w:r>
      <w:r w:rsidR="00E02C70" w:rsidRPr="00471447">
        <w:rPr>
          <w:rFonts w:ascii="Times New Roman" w:eastAsia="Cambria" w:hAnsi="Times New Roman" w:cs="Times New Roman"/>
          <w:kern w:val="22"/>
        </w:rPr>
        <w:t xml:space="preserve">broader </w:t>
      </w:r>
      <w:r w:rsidR="00A428DB" w:rsidRPr="00471447">
        <w:rPr>
          <w:rFonts w:ascii="Times New Roman" w:eastAsia="Cambria" w:hAnsi="Times New Roman" w:cs="Times New Roman"/>
          <w:kern w:val="22"/>
        </w:rPr>
        <w:t>communication and awareness</w:t>
      </w:r>
      <w:r w:rsidR="00E02C70" w:rsidRPr="00471447">
        <w:rPr>
          <w:rFonts w:ascii="Times New Roman" w:eastAsia="Cambria" w:hAnsi="Times New Roman" w:cs="Times New Roman"/>
          <w:kern w:val="22"/>
        </w:rPr>
        <w:t>-</w:t>
      </w:r>
      <w:r w:rsidR="00A428DB" w:rsidRPr="00471447">
        <w:rPr>
          <w:rFonts w:ascii="Times New Roman" w:eastAsia="Cambria" w:hAnsi="Times New Roman" w:cs="Times New Roman"/>
          <w:kern w:val="22"/>
        </w:rPr>
        <w:t>raising campaign</w:t>
      </w:r>
      <w:r w:rsidR="00E02C70" w:rsidRPr="00471447">
        <w:rPr>
          <w:rFonts w:ascii="Times New Roman" w:eastAsia="Cambria" w:hAnsi="Times New Roman" w:cs="Times New Roman"/>
          <w:kern w:val="22"/>
        </w:rPr>
        <w:t>, though these can serve as the basis.</w:t>
      </w:r>
      <w:r w:rsidR="00A428DB" w:rsidRPr="00471447">
        <w:rPr>
          <w:rFonts w:ascii="Times New Roman" w:eastAsia="Cambria" w:hAnsi="Times New Roman" w:cs="Times New Roman"/>
          <w:kern w:val="22"/>
        </w:rPr>
        <w:t xml:space="preserve"> </w:t>
      </w:r>
    </w:p>
    <w:p w:rsidR="008B7577" w:rsidRPr="00471447" w:rsidRDefault="00E02C7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w:t>
      </w:r>
      <w:r w:rsidR="000B003A" w:rsidRPr="00471447">
        <w:rPr>
          <w:rFonts w:ascii="Times New Roman" w:eastAsia="Cambria" w:hAnsi="Times New Roman" w:cs="Times New Roman"/>
          <w:kern w:val="22"/>
        </w:rPr>
        <w:t xml:space="preserve"> also noted that awareness raising should be linked to real life communication, and creative work to translate key messages</w:t>
      </w:r>
      <w:r w:rsidRPr="00471447">
        <w:rPr>
          <w:rFonts w:ascii="Times New Roman" w:eastAsia="Cambria" w:hAnsi="Times New Roman" w:cs="Times New Roman"/>
          <w:kern w:val="22"/>
        </w:rPr>
        <w:t xml:space="preserve"> aimed at reconnecting people to nature</w:t>
      </w:r>
      <w:r w:rsidR="000B003A" w:rsidRPr="00471447">
        <w:rPr>
          <w:rFonts w:ascii="Times New Roman" w:eastAsia="Cambria" w:hAnsi="Times New Roman" w:cs="Times New Roman"/>
          <w:kern w:val="22"/>
        </w:rPr>
        <w:t xml:space="preserve">, including </w:t>
      </w:r>
      <w:r w:rsidRPr="00471447">
        <w:rPr>
          <w:rFonts w:ascii="Times New Roman" w:eastAsia="Cambria" w:hAnsi="Times New Roman" w:cs="Times New Roman"/>
          <w:kern w:val="22"/>
        </w:rPr>
        <w:t xml:space="preserve">by developing </w:t>
      </w:r>
      <w:r w:rsidR="000B003A" w:rsidRPr="00471447">
        <w:rPr>
          <w:rFonts w:ascii="Times New Roman" w:eastAsia="Cambria" w:hAnsi="Times New Roman" w:cs="Times New Roman"/>
          <w:kern w:val="22"/>
        </w:rPr>
        <w:t xml:space="preserve">infographics that could be </w:t>
      </w:r>
      <w:r w:rsidRPr="00471447">
        <w:rPr>
          <w:rFonts w:ascii="Times New Roman" w:eastAsia="Cambria" w:hAnsi="Times New Roman" w:cs="Times New Roman"/>
          <w:kern w:val="22"/>
        </w:rPr>
        <w:t>used</w:t>
      </w:r>
      <w:r w:rsidR="000B003A" w:rsidRPr="00471447">
        <w:rPr>
          <w:rFonts w:ascii="Times New Roman" w:eastAsia="Cambria" w:hAnsi="Times New Roman" w:cs="Times New Roman"/>
          <w:kern w:val="22"/>
        </w:rPr>
        <w:t xml:space="preserve"> across various platforms</w:t>
      </w:r>
      <w:r w:rsidRPr="00471447">
        <w:rPr>
          <w:rFonts w:ascii="Times New Roman" w:eastAsia="Cambria" w:hAnsi="Times New Roman" w:cs="Times New Roman"/>
          <w:kern w:val="22"/>
        </w:rPr>
        <w:t xml:space="preserve"> and </w:t>
      </w:r>
      <w:r w:rsidR="000B003A" w:rsidRPr="00471447">
        <w:rPr>
          <w:rFonts w:ascii="Times New Roman" w:eastAsia="Cambria" w:hAnsi="Times New Roman" w:cs="Times New Roman"/>
          <w:kern w:val="22"/>
        </w:rPr>
        <w:t>through social media.</w:t>
      </w:r>
    </w:p>
    <w:p w:rsidR="00A428DB" w:rsidRPr="00471447" w:rsidRDefault="00A428DB"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following </w:t>
      </w:r>
      <w:r w:rsidRPr="00471447">
        <w:rPr>
          <w:rFonts w:ascii="Times New Roman" w:eastAsia="Cambria" w:hAnsi="Times New Roman" w:cs="Times New Roman"/>
          <w:b/>
          <w:kern w:val="22"/>
        </w:rPr>
        <w:t>actionable items</w:t>
      </w:r>
      <w:r w:rsidRPr="00471447">
        <w:rPr>
          <w:rFonts w:ascii="Times New Roman" w:eastAsia="Cambria" w:hAnsi="Times New Roman" w:cs="Times New Roman"/>
          <w:kern w:val="22"/>
        </w:rPr>
        <w:t xml:space="preserve"> were</w:t>
      </w:r>
      <w:r w:rsidR="000B003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identified by the group:</w:t>
      </w:r>
    </w:p>
    <w:p w:rsidR="00AA451A" w:rsidRPr="00471447" w:rsidRDefault="00CE0496"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One common theme is the need to craft key messages in a form that can be adapted for different purposes. Core key messages can be developed within some of the categories in line with the Annex for the CBD decision XIII/6 which covers different dimensions of this issue and does provide some general guidance under each heading.</w:t>
      </w:r>
      <w:r w:rsidRPr="00471447">
        <w:rPr>
          <w:rFonts w:ascii="Times New Roman" w:eastAsia="Cambria" w:hAnsi="Times New Roman" w:cs="Times New Roman"/>
          <w:kern w:val="22"/>
        </w:rPr>
        <w:t xml:space="preserve"> It was agreed that </w:t>
      </w:r>
      <w:r w:rsidR="00A428DB" w:rsidRPr="00471447">
        <w:rPr>
          <w:rFonts w:ascii="Times New Roman" w:eastAsia="Cambria" w:hAnsi="Times New Roman" w:cs="Times New Roman"/>
          <w:kern w:val="22"/>
        </w:rPr>
        <w:t>a</w:t>
      </w:r>
      <w:r w:rsidRPr="00471447">
        <w:rPr>
          <w:rFonts w:ascii="Times New Roman" w:eastAsia="Cambria" w:hAnsi="Times New Roman" w:cs="Times New Roman"/>
          <w:kern w:val="22"/>
        </w:rPr>
        <w:t>n initial</w:t>
      </w:r>
      <w:r w:rsidR="00A428DB" w:rsidRPr="00471447">
        <w:rPr>
          <w:rFonts w:ascii="Times New Roman" w:eastAsia="Cambria" w:hAnsi="Times New Roman" w:cs="Times New Roman"/>
          <w:kern w:val="22"/>
        </w:rPr>
        <w:t xml:space="preserve"> small number of simple key messages targeted to different stakeholder groups</w:t>
      </w:r>
      <w:r w:rsidRPr="00471447">
        <w:rPr>
          <w:rFonts w:ascii="Times New Roman" w:eastAsia="Cambria" w:hAnsi="Times New Roman" w:cs="Times New Roman"/>
          <w:kern w:val="22"/>
        </w:rPr>
        <w:t xml:space="preserve"> could be developed at the next meeting</w:t>
      </w:r>
      <w:r w:rsidR="00AA451A" w:rsidRPr="00471447">
        <w:rPr>
          <w:rFonts w:ascii="Times New Roman" w:eastAsia="Cambria" w:hAnsi="Times New Roman" w:cs="Times New Roman"/>
          <w:kern w:val="22"/>
        </w:rPr>
        <w:t xml:space="preserve">. </w:t>
      </w:r>
    </w:p>
    <w:p w:rsidR="00E02C70" w:rsidRPr="00471447" w:rsidRDefault="00E02C70"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Building on the IUCN World Congress on Public Health Global Leadership Dialogue, </w:t>
      </w:r>
      <w:r w:rsidR="00CE0496" w:rsidRPr="00471447">
        <w:rPr>
          <w:rFonts w:ascii="Times New Roman" w:eastAsia="Cambria" w:hAnsi="Times New Roman" w:cs="Times New Roman"/>
          <w:kern w:val="22"/>
        </w:rPr>
        <w:t xml:space="preserve">(with contributions from </w:t>
      </w:r>
      <w:r w:rsidRPr="00471447">
        <w:rPr>
          <w:rFonts w:ascii="Times New Roman" w:eastAsia="Cambria" w:hAnsi="Times New Roman" w:cs="Times New Roman"/>
          <w:kern w:val="22"/>
        </w:rPr>
        <w:t>WHO and CBD</w:t>
      </w:r>
      <w:r w:rsidR="00CE0496" w:rsidRPr="00471447">
        <w:rPr>
          <w:rFonts w:ascii="Times New Roman" w:eastAsia="Cambria" w:hAnsi="Times New Roman" w:cs="Times New Roman"/>
          <w:kern w:val="22"/>
        </w:rPr>
        <w:t>)</w:t>
      </w:r>
      <w:r w:rsidRPr="00471447">
        <w:rPr>
          <w:rFonts w:ascii="Times New Roman" w:eastAsia="Cambria" w:hAnsi="Times New Roman" w:cs="Times New Roman"/>
          <w:kern w:val="22"/>
        </w:rPr>
        <w:t>, the document containing KM can be reformulated</w:t>
      </w:r>
      <w:r w:rsidR="00CE0496" w:rsidRPr="00471447">
        <w:rPr>
          <w:rFonts w:ascii="Times New Roman" w:eastAsia="Cambria" w:hAnsi="Times New Roman" w:cs="Times New Roman"/>
          <w:kern w:val="22"/>
        </w:rPr>
        <w:t xml:space="preserve"> and</w:t>
      </w:r>
      <w:r w:rsidRPr="00471447">
        <w:rPr>
          <w:rFonts w:ascii="Times New Roman" w:eastAsia="Cambria" w:hAnsi="Times New Roman" w:cs="Times New Roman"/>
          <w:kern w:val="22"/>
        </w:rPr>
        <w:t xml:space="preserve"> reused </w:t>
      </w:r>
      <w:r w:rsidR="00CE0496" w:rsidRPr="00471447">
        <w:rPr>
          <w:rFonts w:ascii="Times New Roman" w:eastAsia="Cambria" w:hAnsi="Times New Roman" w:cs="Times New Roman"/>
          <w:kern w:val="22"/>
        </w:rPr>
        <w:t xml:space="preserve">by the ILG </w:t>
      </w:r>
      <w:r w:rsidRPr="00471447">
        <w:rPr>
          <w:rFonts w:ascii="Times New Roman" w:eastAsia="Cambria" w:hAnsi="Times New Roman" w:cs="Times New Roman"/>
          <w:kern w:val="22"/>
        </w:rPr>
        <w:t>and disseminated in other forums including upcoming workshops and conferences.</w:t>
      </w:r>
    </w:p>
    <w:p w:rsidR="00E02C70" w:rsidRPr="00471447" w:rsidRDefault="00AA451A"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D</w:t>
      </w:r>
      <w:r w:rsidR="000C2677" w:rsidRPr="00471447">
        <w:rPr>
          <w:rFonts w:ascii="Times New Roman" w:eastAsia="Cambria" w:hAnsi="Times New Roman" w:cs="Times New Roman"/>
          <w:kern w:val="22"/>
        </w:rPr>
        <w:t xml:space="preserve">evelop a </w:t>
      </w:r>
      <w:r w:rsidRPr="00471447">
        <w:rPr>
          <w:rFonts w:ascii="Times New Roman" w:eastAsia="Cambria" w:hAnsi="Times New Roman" w:cs="Times New Roman"/>
          <w:kern w:val="22"/>
        </w:rPr>
        <w:t>presentation</w:t>
      </w:r>
      <w:r w:rsidR="000C2677" w:rsidRPr="00471447">
        <w:rPr>
          <w:rFonts w:ascii="Times New Roman" w:eastAsia="Cambria" w:hAnsi="Times New Roman" w:cs="Times New Roman"/>
          <w:kern w:val="22"/>
        </w:rPr>
        <w:t xml:space="preserve"> jointly which could be adapted to specific target audiences</w:t>
      </w:r>
      <w:r w:rsidR="00E02C70" w:rsidRPr="00471447">
        <w:rPr>
          <w:rFonts w:ascii="Times New Roman" w:eastAsia="Cambria" w:hAnsi="Times New Roman" w:cs="Times New Roman"/>
          <w:kern w:val="22"/>
        </w:rPr>
        <w:t>.</w:t>
      </w:r>
    </w:p>
    <w:p w:rsidR="00AA451A" w:rsidRPr="00471447" w:rsidRDefault="00E02C70"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The group agreed that an important</w:t>
      </w:r>
      <w:r w:rsidR="00AA451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means </w:t>
      </w:r>
      <w:r w:rsidR="00AA451A" w:rsidRPr="00471447">
        <w:rPr>
          <w:rFonts w:ascii="Times New Roman" w:eastAsia="Cambria" w:hAnsi="Times New Roman" w:cs="Times New Roman"/>
          <w:kern w:val="22"/>
        </w:rPr>
        <w:t xml:space="preserve">to </w:t>
      </w:r>
      <w:r w:rsidRPr="00471447">
        <w:rPr>
          <w:rFonts w:ascii="Times New Roman" w:eastAsia="Cambria" w:hAnsi="Times New Roman" w:cs="Times New Roman"/>
          <w:kern w:val="22"/>
        </w:rPr>
        <w:t>disseminating key messages this work</w:t>
      </w:r>
      <w:r w:rsidR="00AA451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is</w:t>
      </w:r>
      <w:r w:rsidR="00AA451A" w:rsidRPr="00471447">
        <w:rPr>
          <w:rFonts w:ascii="Times New Roman" w:eastAsia="Cambria" w:hAnsi="Times New Roman" w:cs="Times New Roman"/>
          <w:kern w:val="22"/>
        </w:rPr>
        <w:t xml:space="preserve"> through focal points</w:t>
      </w:r>
      <w:r w:rsidRPr="00471447">
        <w:rPr>
          <w:rFonts w:ascii="Times New Roman" w:eastAsia="Cambria" w:hAnsi="Times New Roman" w:cs="Times New Roman"/>
          <w:kern w:val="22"/>
        </w:rPr>
        <w:t xml:space="preserve"> of the various inter-governmental agencies (CBD, WHO, FAO, OIE, etc)</w:t>
      </w:r>
      <w:r w:rsidR="00AA451A" w:rsidRPr="00471447">
        <w:rPr>
          <w:rFonts w:ascii="Times New Roman" w:eastAsia="Cambria" w:hAnsi="Times New Roman" w:cs="Times New Roman"/>
          <w:kern w:val="22"/>
        </w:rPr>
        <w:t xml:space="preserve">. For example, at the OIE there are a number of </w:t>
      </w:r>
      <w:r w:rsidR="000C2677" w:rsidRPr="00471447">
        <w:rPr>
          <w:rFonts w:ascii="Times New Roman" w:eastAsia="Cambria" w:hAnsi="Times New Roman" w:cs="Times New Roman"/>
          <w:kern w:val="22"/>
        </w:rPr>
        <w:t>focal points for select</w:t>
      </w:r>
      <w:r w:rsidR="00AA451A" w:rsidRPr="00471447">
        <w:rPr>
          <w:rFonts w:ascii="Times New Roman" w:eastAsia="Cambria" w:hAnsi="Times New Roman" w:cs="Times New Roman"/>
          <w:kern w:val="22"/>
        </w:rPr>
        <w:t xml:space="preserve"> topics (e.g. wildlife)</w:t>
      </w:r>
      <w:r w:rsidR="000C2677" w:rsidRPr="00471447">
        <w:rPr>
          <w:rFonts w:ascii="Times New Roman" w:eastAsia="Cambria" w:hAnsi="Times New Roman" w:cs="Times New Roman"/>
          <w:kern w:val="22"/>
        </w:rPr>
        <w:t xml:space="preserve"> </w:t>
      </w:r>
      <w:r w:rsidR="00AA451A" w:rsidRPr="00471447">
        <w:rPr>
          <w:rFonts w:ascii="Times New Roman" w:eastAsia="Cambria" w:hAnsi="Times New Roman" w:cs="Times New Roman"/>
          <w:kern w:val="22"/>
        </w:rPr>
        <w:t xml:space="preserve">with training for these focal points </w:t>
      </w:r>
      <w:r w:rsidR="000C2677" w:rsidRPr="00471447">
        <w:rPr>
          <w:rFonts w:ascii="Times New Roman" w:eastAsia="Cambria" w:hAnsi="Times New Roman" w:cs="Times New Roman"/>
          <w:kern w:val="22"/>
        </w:rPr>
        <w:t xml:space="preserve">in all regions every two years. </w:t>
      </w:r>
      <w:r w:rsidR="00AA451A" w:rsidRPr="00471447">
        <w:rPr>
          <w:rFonts w:ascii="Times New Roman" w:eastAsia="Cambria" w:hAnsi="Times New Roman" w:cs="Times New Roman"/>
          <w:kern w:val="22"/>
        </w:rPr>
        <w:t>Some</w:t>
      </w:r>
      <w:r w:rsidR="000C2677" w:rsidRPr="00471447">
        <w:rPr>
          <w:rFonts w:ascii="Times New Roman" w:eastAsia="Cambria" w:hAnsi="Times New Roman" w:cs="Times New Roman"/>
          <w:kern w:val="22"/>
        </w:rPr>
        <w:t xml:space="preserve"> </w:t>
      </w:r>
      <w:r w:rsidR="00AA451A" w:rsidRPr="00471447">
        <w:rPr>
          <w:rFonts w:ascii="Times New Roman" w:eastAsia="Cambria" w:hAnsi="Times New Roman" w:cs="Times New Roman"/>
          <w:kern w:val="22"/>
        </w:rPr>
        <w:t xml:space="preserve">of that time could be dedicated to training on the </w:t>
      </w:r>
      <w:r w:rsidR="000C2677" w:rsidRPr="00471447">
        <w:rPr>
          <w:rFonts w:ascii="Times New Roman" w:eastAsia="Cambria" w:hAnsi="Times New Roman" w:cs="Times New Roman"/>
          <w:kern w:val="22"/>
        </w:rPr>
        <w:t xml:space="preserve">importance of biodiversity. </w:t>
      </w:r>
    </w:p>
    <w:p w:rsidR="000B003A" w:rsidRPr="00471447" w:rsidRDefault="00AA451A"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There are a number of </w:t>
      </w:r>
      <w:r w:rsidR="00E02C70" w:rsidRPr="00471447">
        <w:rPr>
          <w:rFonts w:ascii="Times New Roman" w:eastAsia="Cambria" w:hAnsi="Times New Roman" w:cs="Times New Roman"/>
          <w:kern w:val="22"/>
        </w:rPr>
        <w:t xml:space="preserve">upcoming </w:t>
      </w:r>
      <w:r w:rsidRPr="00471447">
        <w:rPr>
          <w:rFonts w:ascii="Times New Roman" w:eastAsia="Cambria" w:hAnsi="Times New Roman" w:cs="Times New Roman"/>
          <w:kern w:val="22"/>
        </w:rPr>
        <w:t xml:space="preserve">events </w:t>
      </w:r>
      <w:r w:rsidR="00E02C70" w:rsidRPr="00471447">
        <w:rPr>
          <w:rFonts w:ascii="Times New Roman" w:eastAsia="Cambria" w:hAnsi="Times New Roman" w:cs="Times New Roman"/>
          <w:kern w:val="22"/>
        </w:rPr>
        <w:t>(e.g.</w:t>
      </w:r>
      <w:r w:rsidRPr="00471447">
        <w:rPr>
          <w:rFonts w:ascii="Times New Roman" w:eastAsia="Cambria" w:hAnsi="Times New Roman" w:cs="Times New Roman"/>
          <w:kern w:val="22"/>
        </w:rPr>
        <w:t xml:space="preserve"> International Day for Biodiversity</w:t>
      </w:r>
      <w:r w:rsidR="000C2677" w:rsidRPr="00471447">
        <w:rPr>
          <w:rFonts w:ascii="Times New Roman" w:eastAsia="Cambria" w:hAnsi="Times New Roman" w:cs="Times New Roman"/>
          <w:kern w:val="22"/>
        </w:rPr>
        <w:t xml:space="preserve">, </w:t>
      </w:r>
      <w:r w:rsidR="00E02C70" w:rsidRPr="00471447">
        <w:rPr>
          <w:rFonts w:ascii="Times New Roman" w:eastAsia="Cambria" w:hAnsi="Times New Roman" w:cs="Times New Roman"/>
          <w:kern w:val="22"/>
        </w:rPr>
        <w:t xml:space="preserve">World Health Day, World Environment Day, </w:t>
      </w:r>
      <w:r w:rsidR="00CE0496" w:rsidRPr="00471447">
        <w:rPr>
          <w:rFonts w:ascii="Times New Roman" w:eastAsia="Cambria" w:hAnsi="Times New Roman" w:cs="Times New Roman"/>
          <w:kern w:val="22"/>
        </w:rPr>
        <w:t xml:space="preserve">UN Environmental Assembly, </w:t>
      </w:r>
      <w:r w:rsidR="00E02C70" w:rsidRPr="00471447">
        <w:rPr>
          <w:rFonts w:ascii="Times New Roman" w:eastAsia="Cambria" w:hAnsi="Times New Roman" w:cs="Times New Roman"/>
          <w:kern w:val="22"/>
        </w:rPr>
        <w:t xml:space="preserve">etc) </w:t>
      </w:r>
      <w:r w:rsidRPr="00471447">
        <w:rPr>
          <w:rFonts w:ascii="Times New Roman" w:eastAsia="Cambria" w:hAnsi="Times New Roman" w:cs="Times New Roman"/>
          <w:kern w:val="22"/>
        </w:rPr>
        <w:t>which can be harnessed as an opportunity to further disseminate key messages</w:t>
      </w:r>
      <w:r w:rsidR="000C2677"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including</w:t>
      </w:r>
      <w:r w:rsidR="000C2677" w:rsidRPr="00471447">
        <w:rPr>
          <w:rFonts w:ascii="Times New Roman" w:eastAsia="Cambria" w:hAnsi="Times New Roman" w:cs="Times New Roman"/>
          <w:kern w:val="22"/>
        </w:rPr>
        <w:t xml:space="preserve"> through social media.</w:t>
      </w:r>
    </w:p>
    <w:p w:rsidR="00F904AC" w:rsidRPr="00471447" w:rsidRDefault="00F904AC"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At the 14th CBD Conference of the Parties, it would be valuable to identify high level speakers such as a champion Minister of Environment or Health to present some key messages in this regard. This is particularly relevant given that health is one of the mainstreaming priorities in the upcoming COP. </w:t>
      </w:r>
    </w:p>
    <w:p w:rsidR="00F904AC" w:rsidRPr="00471447" w:rsidRDefault="00F904AC" w:rsidP="00471447">
      <w:pPr>
        <w:pStyle w:val="ListParagraph"/>
        <w:numPr>
          <w:ilvl w:val="1"/>
          <w:numId w:val="34"/>
        </w:numPr>
        <w:spacing w:before="120" w:after="120"/>
        <w:ind w:left="0" w:firstLine="810"/>
        <w:jc w:val="both"/>
        <w:rPr>
          <w:rFonts w:ascii="Times New Roman" w:eastAsia="Cambria" w:hAnsi="Times New Roman" w:cs="Times New Roman"/>
          <w:kern w:val="22"/>
        </w:rPr>
      </w:pPr>
      <w:r w:rsidRPr="00471447">
        <w:rPr>
          <w:rFonts w:ascii="Times New Roman" w:eastAsia="Cambria" w:hAnsi="Times New Roman" w:cs="Times New Roman"/>
          <w:kern w:val="22"/>
        </w:rPr>
        <w:t>It was also noted that the OIE holds regular general sessions and at the beginning of each session, they have slots for international organizations with whom they have agreement and this may constitute an additional opportunity to make a statement in the OIE General Session. For example, the Executive Secretary can be encouraged to make a statement on behalf of delegates of the ILG.</w:t>
      </w:r>
    </w:p>
    <w:p w:rsidR="00E2573C" w:rsidRPr="00471447" w:rsidRDefault="00F904AC" w:rsidP="00471447">
      <w:pPr>
        <w:pStyle w:val="HEADINGNOTFORTOC"/>
        <w:spacing w:before="120" w:after="120"/>
        <w:rPr>
          <w:kern w:val="22"/>
          <w:szCs w:val="22"/>
        </w:rPr>
      </w:pPr>
      <w:r w:rsidRPr="00471447">
        <w:rPr>
          <w:rFonts w:eastAsia="Cambria"/>
          <w:kern w:val="22"/>
        </w:rPr>
        <w:t>CBD and WHO could prepare an op-ed article co-signed by all members of the ILG that could be promoted through mainstream media.</w:t>
      </w:r>
      <w:r w:rsidR="00E2573C" w:rsidRPr="00471447">
        <w:rPr>
          <w:kern w:val="22"/>
          <w:szCs w:val="22"/>
        </w:rPr>
        <w:t>Item 10: Next meeting and other matters</w:t>
      </w:r>
    </w:p>
    <w:p w:rsidR="00D56394" w:rsidRPr="00471447" w:rsidRDefault="00D56394"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Mr. Cooper (CBD)</w:t>
      </w:r>
      <w:r w:rsidR="009A77AA"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reiterated that the the twenty first meeting of the SBSTTA,</w:t>
      </w:r>
      <w:r w:rsidR="000C2677" w:rsidRPr="00471447">
        <w:rPr>
          <w:rFonts w:ascii="Times New Roman" w:eastAsia="Cambria" w:hAnsi="Times New Roman" w:cs="Times New Roman"/>
          <w:kern w:val="22"/>
        </w:rPr>
        <w:t xml:space="preserve"> policy guidance </w:t>
      </w:r>
      <w:r w:rsidRPr="00471447">
        <w:rPr>
          <w:rFonts w:ascii="Times New Roman" w:eastAsia="Cambria" w:hAnsi="Times New Roman" w:cs="Times New Roman"/>
          <w:kern w:val="22"/>
        </w:rPr>
        <w:t xml:space="preserve">on how to better integrate biodiversity and ecosystem management in One Health and how </w:t>
      </w:r>
      <w:r w:rsidR="000C2677" w:rsidRPr="00471447">
        <w:rPr>
          <w:rFonts w:ascii="Times New Roman" w:eastAsia="Cambria" w:hAnsi="Times New Roman" w:cs="Times New Roman"/>
          <w:kern w:val="22"/>
        </w:rPr>
        <w:t xml:space="preserve">to take </w:t>
      </w:r>
      <w:r w:rsidR="000C2677" w:rsidRPr="00471447">
        <w:rPr>
          <w:rFonts w:ascii="Times New Roman" w:eastAsia="Cambria" w:hAnsi="Times New Roman" w:cs="Times New Roman"/>
          <w:kern w:val="22"/>
        </w:rPr>
        <w:lastRenderedPageBreak/>
        <w:t>everything forward</w:t>
      </w:r>
      <w:r w:rsidRPr="00471447">
        <w:rPr>
          <w:rFonts w:ascii="Times New Roman" w:eastAsia="Cambria" w:hAnsi="Times New Roman" w:cs="Times New Roman"/>
          <w:kern w:val="22"/>
        </w:rPr>
        <w:t xml:space="preserve"> the work of the ILG would also be considered and while we would not have time to return to them in this meeting, it would be important for ILG members to consider how to support the implementation of </w:t>
      </w:r>
      <w:r w:rsidR="00CE0496" w:rsidRPr="00471447">
        <w:rPr>
          <w:rFonts w:ascii="Times New Roman" w:eastAsia="Cambria" w:hAnsi="Times New Roman" w:cs="Times New Roman"/>
          <w:kern w:val="22"/>
        </w:rPr>
        <w:t>an eventual</w:t>
      </w:r>
      <w:r w:rsidRPr="00471447">
        <w:rPr>
          <w:rFonts w:ascii="Times New Roman" w:eastAsia="Cambria" w:hAnsi="Times New Roman" w:cs="Times New Roman"/>
          <w:kern w:val="22"/>
        </w:rPr>
        <w:t xml:space="preserve"> decision </w:t>
      </w:r>
      <w:r w:rsidR="009A77AA" w:rsidRPr="00471447">
        <w:rPr>
          <w:rFonts w:ascii="Times New Roman" w:eastAsia="Cambria" w:hAnsi="Times New Roman" w:cs="Times New Roman"/>
          <w:kern w:val="22"/>
        </w:rPr>
        <w:t xml:space="preserve">on the </w:t>
      </w:r>
      <w:r w:rsidRPr="00471447">
        <w:rPr>
          <w:rFonts w:ascii="Times New Roman" w:eastAsia="Cambria" w:hAnsi="Times New Roman" w:cs="Times New Roman"/>
          <w:kern w:val="22"/>
        </w:rPr>
        <w:t>guidance on One Health at the next meeting of the ILG</w:t>
      </w:r>
      <w:r w:rsidR="000C2677" w:rsidRPr="00471447">
        <w:rPr>
          <w:rFonts w:ascii="Times New Roman" w:eastAsia="Cambria" w:hAnsi="Times New Roman" w:cs="Times New Roman"/>
          <w:kern w:val="22"/>
        </w:rPr>
        <w:t xml:space="preserve">. </w:t>
      </w:r>
    </w:p>
    <w:p w:rsidR="00194781" w:rsidRPr="00471447" w:rsidRDefault="00194781"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Participants</w:t>
      </w:r>
      <w:r w:rsidR="000C2677" w:rsidRPr="00471447">
        <w:rPr>
          <w:rFonts w:ascii="Times New Roman" w:eastAsia="Cambria" w:hAnsi="Times New Roman" w:cs="Times New Roman"/>
          <w:kern w:val="22"/>
        </w:rPr>
        <w:t xml:space="preserve"> have noted </w:t>
      </w:r>
      <w:r w:rsidR="00D56394" w:rsidRPr="00471447">
        <w:rPr>
          <w:rFonts w:ascii="Times New Roman" w:eastAsia="Cambria" w:hAnsi="Times New Roman" w:cs="Times New Roman"/>
          <w:kern w:val="22"/>
        </w:rPr>
        <w:t>several</w:t>
      </w:r>
      <w:r w:rsidR="000C2677" w:rsidRPr="00471447">
        <w:rPr>
          <w:rFonts w:ascii="Times New Roman" w:eastAsia="Cambria" w:hAnsi="Times New Roman" w:cs="Times New Roman"/>
          <w:kern w:val="22"/>
        </w:rPr>
        <w:t xml:space="preserve"> areas </w:t>
      </w:r>
      <w:r w:rsidR="00D56394" w:rsidRPr="00471447">
        <w:rPr>
          <w:rFonts w:ascii="Times New Roman" w:eastAsia="Cambria" w:hAnsi="Times New Roman" w:cs="Times New Roman"/>
          <w:kern w:val="22"/>
        </w:rPr>
        <w:t>in which</w:t>
      </w:r>
      <w:r w:rsidR="000C2677" w:rsidRPr="00471447">
        <w:rPr>
          <w:rFonts w:ascii="Times New Roman" w:eastAsia="Cambria" w:hAnsi="Times New Roman" w:cs="Times New Roman"/>
          <w:kern w:val="22"/>
        </w:rPr>
        <w:t xml:space="preserve"> different organizations are already carrying out </w:t>
      </w:r>
      <w:r w:rsidR="00D56394" w:rsidRPr="00471447">
        <w:rPr>
          <w:rFonts w:ascii="Times New Roman" w:eastAsia="Cambria" w:hAnsi="Times New Roman" w:cs="Times New Roman"/>
          <w:kern w:val="22"/>
        </w:rPr>
        <w:t xml:space="preserve">relevant </w:t>
      </w:r>
      <w:r w:rsidR="000C2677" w:rsidRPr="00471447">
        <w:rPr>
          <w:rFonts w:ascii="Times New Roman" w:eastAsia="Cambria" w:hAnsi="Times New Roman" w:cs="Times New Roman"/>
          <w:kern w:val="22"/>
        </w:rPr>
        <w:t xml:space="preserve">work as a subset of </w:t>
      </w:r>
      <w:r w:rsidR="00D56394" w:rsidRPr="00471447">
        <w:rPr>
          <w:rFonts w:ascii="Times New Roman" w:eastAsia="Cambria" w:hAnsi="Times New Roman" w:cs="Times New Roman"/>
          <w:kern w:val="22"/>
        </w:rPr>
        <w:t xml:space="preserve">each </w:t>
      </w:r>
      <w:r w:rsidR="00CE0496" w:rsidRPr="00471447">
        <w:rPr>
          <w:rFonts w:ascii="Times New Roman" w:eastAsia="Cambria" w:hAnsi="Times New Roman" w:cs="Times New Roman"/>
          <w:kern w:val="22"/>
        </w:rPr>
        <w:t xml:space="preserve">agenda </w:t>
      </w:r>
      <w:r w:rsidR="00D56394" w:rsidRPr="00471447">
        <w:rPr>
          <w:rFonts w:ascii="Times New Roman" w:eastAsia="Cambria" w:hAnsi="Times New Roman" w:cs="Times New Roman"/>
          <w:kern w:val="22"/>
        </w:rPr>
        <w:t>item</w:t>
      </w:r>
      <w:r w:rsidR="000C2677" w:rsidRPr="00471447">
        <w:rPr>
          <w:rFonts w:ascii="Times New Roman" w:eastAsia="Cambria" w:hAnsi="Times New Roman" w:cs="Times New Roman"/>
          <w:kern w:val="22"/>
        </w:rPr>
        <w:t xml:space="preserve"> and </w:t>
      </w:r>
      <w:r w:rsidR="00D56394" w:rsidRPr="00471447">
        <w:rPr>
          <w:rFonts w:ascii="Times New Roman" w:eastAsia="Cambria" w:hAnsi="Times New Roman" w:cs="Times New Roman"/>
          <w:kern w:val="22"/>
        </w:rPr>
        <w:t xml:space="preserve">these would be acknowledged </w:t>
      </w:r>
      <w:r w:rsidR="000C2677" w:rsidRPr="00471447">
        <w:rPr>
          <w:rFonts w:ascii="Times New Roman" w:eastAsia="Cambria" w:hAnsi="Times New Roman" w:cs="Times New Roman"/>
          <w:kern w:val="22"/>
        </w:rPr>
        <w:t xml:space="preserve">in the report but </w:t>
      </w:r>
      <w:r w:rsidR="00D56394" w:rsidRPr="00471447">
        <w:rPr>
          <w:rFonts w:ascii="Times New Roman" w:eastAsia="Cambria" w:hAnsi="Times New Roman" w:cs="Times New Roman"/>
          <w:kern w:val="22"/>
        </w:rPr>
        <w:t xml:space="preserve">participants were </w:t>
      </w:r>
      <w:r w:rsidRPr="00471447">
        <w:rPr>
          <w:rFonts w:ascii="Times New Roman" w:eastAsia="Cambria" w:hAnsi="Times New Roman" w:cs="Times New Roman"/>
          <w:kern w:val="22"/>
        </w:rPr>
        <w:t>also</w:t>
      </w:r>
      <w:r w:rsidR="00D56394" w:rsidRPr="00471447">
        <w:rPr>
          <w:rFonts w:ascii="Times New Roman" w:eastAsia="Cambria" w:hAnsi="Times New Roman" w:cs="Times New Roman"/>
          <w:kern w:val="22"/>
        </w:rPr>
        <w:t xml:space="preserve"> encouraged to think about other areas in which ILG members can work together to support implementation of mandates</w:t>
      </w:r>
      <w:r w:rsidR="009A77AA" w:rsidRPr="00471447">
        <w:rPr>
          <w:rFonts w:ascii="Times New Roman" w:eastAsia="Cambria" w:hAnsi="Times New Roman" w:cs="Times New Roman"/>
          <w:kern w:val="22"/>
        </w:rPr>
        <w:t xml:space="preserve"> from the COP</w:t>
      </w:r>
      <w:r w:rsidR="000C2677" w:rsidRPr="00471447">
        <w:rPr>
          <w:rFonts w:ascii="Times New Roman" w:eastAsia="Cambria" w:hAnsi="Times New Roman" w:cs="Times New Roman"/>
          <w:kern w:val="22"/>
        </w:rPr>
        <w:t xml:space="preserve">. </w:t>
      </w:r>
    </w:p>
    <w:p w:rsidR="00194781" w:rsidRPr="00471447" w:rsidRDefault="00CE0496"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w:t>
      </w:r>
      <w:r w:rsidR="00194781" w:rsidRPr="00471447">
        <w:rPr>
          <w:rFonts w:ascii="Times New Roman" w:eastAsia="Cambria" w:hAnsi="Times New Roman" w:cs="Times New Roman"/>
          <w:kern w:val="22"/>
        </w:rPr>
        <w:t xml:space="preserve">he </w:t>
      </w:r>
      <w:r w:rsidR="00F522C6" w:rsidRPr="00471447">
        <w:rPr>
          <w:rFonts w:ascii="Times New Roman" w:eastAsia="Cambria" w:hAnsi="Times New Roman" w:cs="Times New Roman"/>
          <w:kern w:val="22"/>
        </w:rPr>
        <w:t xml:space="preserve">OIE reiterated the </w:t>
      </w:r>
      <w:r w:rsidR="00194781" w:rsidRPr="00471447">
        <w:rPr>
          <w:rFonts w:ascii="Times New Roman" w:eastAsia="Cambria" w:hAnsi="Times New Roman" w:cs="Times New Roman"/>
          <w:kern w:val="22"/>
        </w:rPr>
        <w:t>importance of developing standards or guidelines adapted to protecting biodiversity in the context of human health and health more broadly</w:t>
      </w:r>
      <w:r w:rsidR="00F522C6" w:rsidRPr="00471447">
        <w:rPr>
          <w:rFonts w:ascii="Times New Roman" w:eastAsia="Cambria" w:hAnsi="Times New Roman" w:cs="Times New Roman"/>
          <w:kern w:val="22"/>
        </w:rPr>
        <w:t xml:space="preserve"> (e.g. guidelines for the protection of wild bees)</w:t>
      </w:r>
      <w:r w:rsidRPr="00471447">
        <w:rPr>
          <w:rFonts w:ascii="Times New Roman" w:eastAsia="Cambria" w:hAnsi="Times New Roman" w:cs="Times New Roman"/>
          <w:kern w:val="22"/>
        </w:rPr>
        <w:t xml:space="preserve">, suggesting that this be </w:t>
      </w:r>
      <w:r w:rsidR="00F522C6" w:rsidRPr="00471447">
        <w:rPr>
          <w:rFonts w:ascii="Times New Roman" w:eastAsia="Cambria" w:hAnsi="Times New Roman" w:cs="Times New Roman"/>
          <w:kern w:val="22"/>
        </w:rPr>
        <w:t>included for discussion</w:t>
      </w:r>
      <w:r w:rsidRPr="00471447">
        <w:rPr>
          <w:rFonts w:ascii="Times New Roman" w:eastAsia="Cambria" w:hAnsi="Times New Roman" w:cs="Times New Roman"/>
          <w:kern w:val="22"/>
        </w:rPr>
        <w:t xml:space="preserve"> in the next meeting</w:t>
      </w:r>
      <w:r w:rsidR="00F522C6" w:rsidRPr="00471447">
        <w:rPr>
          <w:rFonts w:ascii="Times New Roman" w:eastAsia="Cambria" w:hAnsi="Times New Roman" w:cs="Times New Roman"/>
          <w:kern w:val="22"/>
        </w:rPr>
        <w:t>.</w:t>
      </w:r>
      <w:r w:rsidR="00194781" w:rsidRPr="00471447">
        <w:rPr>
          <w:rFonts w:ascii="Times New Roman" w:eastAsia="Cambria" w:hAnsi="Times New Roman" w:cs="Times New Roman"/>
          <w:kern w:val="22"/>
        </w:rPr>
        <w:t xml:space="preserve"> </w:t>
      </w:r>
    </w:p>
    <w:p w:rsidR="00F522C6" w:rsidRPr="00471447" w:rsidRDefault="003F01E5"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In regard to the </w:t>
      </w:r>
      <w:r w:rsidR="009A77AA" w:rsidRPr="00471447">
        <w:rPr>
          <w:rFonts w:ascii="Times New Roman" w:eastAsia="Cambria" w:hAnsi="Times New Roman" w:cs="Times New Roman"/>
          <w:kern w:val="22"/>
        </w:rPr>
        <w:t xml:space="preserve">guidance on </w:t>
      </w:r>
      <w:r w:rsidRPr="00471447">
        <w:rPr>
          <w:rFonts w:ascii="Times New Roman" w:eastAsia="Cambria" w:hAnsi="Times New Roman" w:cs="Times New Roman"/>
          <w:kern w:val="22"/>
        </w:rPr>
        <w:t xml:space="preserve">One </w:t>
      </w:r>
      <w:r w:rsidR="009A77AA" w:rsidRPr="00471447">
        <w:rPr>
          <w:rFonts w:ascii="Times New Roman" w:eastAsia="Cambria" w:hAnsi="Times New Roman" w:cs="Times New Roman"/>
          <w:kern w:val="22"/>
        </w:rPr>
        <w:t>H</w:t>
      </w:r>
      <w:r w:rsidRPr="00471447">
        <w:rPr>
          <w:rFonts w:ascii="Times New Roman" w:eastAsia="Cambria" w:hAnsi="Times New Roman" w:cs="Times New Roman"/>
          <w:kern w:val="22"/>
        </w:rPr>
        <w:t>ealth it was noted that often</w:t>
      </w:r>
      <w:r w:rsidR="00194781" w:rsidRPr="00471447">
        <w:rPr>
          <w:rFonts w:ascii="Times New Roman" w:eastAsia="Cambria" w:hAnsi="Times New Roman" w:cs="Times New Roman"/>
          <w:kern w:val="22"/>
        </w:rPr>
        <w:t xml:space="preserve"> One health </w:t>
      </w:r>
      <w:r w:rsidRPr="00471447">
        <w:rPr>
          <w:rFonts w:ascii="Times New Roman" w:eastAsia="Cambria" w:hAnsi="Times New Roman" w:cs="Times New Roman"/>
          <w:kern w:val="22"/>
        </w:rPr>
        <w:t>does not pay sufficient</w:t>
      </w:r>
      <w:r w:rsidR="00194781" w:rsidRPr="00471447">
        <w:rPr>
          <w:rFonts w:ascii="Times New Roman" w:eastAsia="Cambria" w:hAnsi="Times New Roman" w:cs="Times New Roman"/>
          <w:kern w:val="22"/>
        </w:rPr>
        <w:t xml:space="preserve"> a</w:t>
      </w:r>
      <w:r w:rsidRPr="00471447">
        <w:rPr>
          <w:rFonts w:ascii="Times New Roman" w:eastAsia="Cambria" w:hAnsi="Times New Roman" w:cs="Times New Roman"/>
          <w:kern w:val="22"/>
        </w:rPr>
        <w:t xml:space="preserve">ttention to biodiversity and </w:t>
      </w:r>
      <w:r w:rsidR="00194781" w:rsidRPr="00471447">
        <w:rPr>
          <w:rFonts w:ascii="Times New Roman" w:eastAsia="Cambria" w:hAnsi="Times New Roman" w:cs="Times New Roman"/>
          <w:kern w:val="22"/>
        </w:rPr>
        <w:t xml:space="preserve">ecosystem dynamics </w:t>
      </w:r>
      <w:r w:rsidRPr="00471447">
        <w:rPr>
          <w:rFonts w:ascii="Times New Roman" w:eastAsia="Cambria" w:hAnsi="Times New Roman" w:cs="Times New Roman"/>
          <w:kern w:val="22"/>
        </w:rPr>
        <w:t xml:space="preserve">which are frequently </w:t>
      </w:r>
      <w:r w:rsidR="00194781" w:rsidRPr="00471447">
        <w:rPr>
          <w:rFonts w:ascii="Times New Roman" w:eastAsia="Cambria" w:hAnsi="Times New Roman" w:cs="Times New Roman"/>
          <w:kern w:val="22"/>
        </w:rPr>
        <w:t xml:space="preserve">under-represented.   </w:t>
      </w:r>
      <w:r w:rsidRPr="00471447">
        <w:rPr>
          <w:rFonts w:ascii="Times New Roman" w:eastAsia="Cambria" w:hAnsi="Times New Roman" w:cs="Times New Roman"/>
          <w:kern w:val="22"/>
        </w:rPr>
        <w:t xml:space="preserve">It was noted that </w:t>
      </w:r>
      <w:r w:rsidR="00194781" w:rsidRPr="00471447">
        <w:rPr>
          <w:rFonts w:ascii="Times New Roman" w:eastAsia="Cambria" w:hAnsi="Times New Roman" w:cs="Times New Roman"/>
          <w:kern w:val="22"/>
        </w:rPr>
        <w:t xml:space="preserve">One Health is an approach </w:t>
      </w:r>
      <w:r w:rsidRPr="00471447">
        <w:rPr>
          <w:rFonts w:ascii="Times New Roman" w:eastAsia="Cambria" w:hAnsi="Times New Roman" w:cs="Times New Roman"/>
          <w:kern w:val="22"/>
        </w:rPr>
        <w:t>that can be applied to specific projects, plans and policies rather than</w:t>
      </w:r>
      <w:r w:rsidR="00194781" w:rsidRPr="00471447">
        <w:rPr>
          <w:rFonts w:ascii="Times New Roman" w:eastAsia="Cambria" w:hAnsi="Times New Roman" w:cs="Times New Roman"/>
          <w:kern w:val="22"/>
        </w:rPr>
        <w:t xml:space="preserve"> a specific organizational mechanism</w:t>
      </w:r>
      <w:r w:rsidR="00F522C6" w:rsidRPr="00471447">
        <w:rPr>
          <w:rFonts w:ascii="Times New Roman" w:eastAsia="Cambria" w:hAnsi="Times New Roman" w:cs="Times New Roman"/>
          <w:kern w:val="22"/>
        </w:rPr>
        <w:t>.</w:t>
      </w:r>
      <w:r w:rsidR="00194781" w:rsidRPr="00471447">
        <w:rPr>
          <w:rFonts w:ascii="Times New Roman" w:eastAsia="Cambria" w:hAnsi="Times New Roman" w:cs="Times New Roman"/>
          <w:kern w:val="22"/>
        </w:rPr>
        <w:t xml:space="preserve"> </w:t>
      </w:r>
      <w:r w:rsidR="00F522C6" w:rsidRPr="00471447">
        <w:rPr>
          <w:rFonts w:ascii="Times New Roman" w:eastAsia="Cambria" w:hAnsi="Times New Roman" w:cs="Times New Roman"/>
          <w:kern w:val="22"/>
        </w:rPr>
        <w:t>I</w:t>
      </w:r>
      <w:r w:rsidR="00194781" w:rsidRPr="00471447">
        <w:rPr>
          <w:rFonts w:ascii="Times New Roman" w:eastAsia="Cambria" w:hAnsi="Times New Roman" w:cs="Times New Roman"/>
          <w:kern w:val="22"/>
        </w:rPr>
        <w:t>n some ways</w:t>
      </w:r>
      <w:r w:rsidR="00F522C6" w:rsidRPr="00471447">
        <w:rPr>
          <w:rFonts w:ascii="Times New Roman" w:eastAsia="Cambria" w:hAnsi="Times New Roman" w:cs="Times New Roman"/>
          <w:kern w:val="22"/>
        </w:rPr>
        <w:t>,</w:t>
      </w:r>
      <w:r w:rsidR="00194781" w:rsidRPr="00471447">
        <w:rPr>
          <w:rFonts w:ascii="Times New Roman" w:eastAsia="Cambria" w:hAnsi="Times New Roman" w:cs="Times New Roman"/>
          <w:kern w:val="22"/>
        </w:rPr>
        <w:t xml:space="preserve"> planetary health </w:t>
      </w:r>
      <w:r w:rsidR="00F522C6" w:rsidRPr="00471447">
        <w:rPr>
          <w:rFonts w:ascii="Times New Roman" w:eastAsia="Cambria" w:hAnsi="Times New Roman" w:cs="Times New Roman"/>
          <w:kern w:val="22"/>
        </w:rPr>
        <w:t xml:space="preserve">may be perceived as a response to the frequent under-representation of environmental and ecosystem considerations in the </w:t>
      </w:r>
      <w:r w:rsidR="00194781" w:rsidRPr="00471447">
        <w:rPr>
          <w:rFonts w:ascii="Times New Roman" w:eastAsia="Cambria" w:hAnsi="Times New Roman" w:cs="Times New Roman"/>
          <w:kern w:val="22"/>
        </w:rPr>
        <w:t>One Health</w:t>
      </w:r>
      <w:r w:rsidR="00F522C6" w:rsidRPr="00471447">
        <w:rPr>
          <w:rFonts w:ascii="Times New Roman" w:eastAsia="Cambria" w:hAnsi="Times New Roman" w:cs="Times New Roman"/>
          <w:kern w:val="22"/>
        </w:rPr>
        <w:t xml:space="preserve"> (although this is not always the case)</w:t>
      </w:r>
      <w:r w:rsidRPr="00471447">
        <w:rPr>
          <w:rFonts w:ascii="Times New Roman" w:eastAsia="Cambria" w:hAnsi="Times New Roman" w:cs="Times New Roman"/>
          <w:kern w:val="22"/>
        </w:rPr>
        <w:t>. It was also noted that One H</w:t>
      </w:r>
      <w:r w:rsidR="00194781" w:rsidRPr="00471447">
        <w:rPr>
          <w:rFonts w:ascii="Times New Roman" w:eastAsia="Cambria" w:hAnsi="Times New Roman" w:cs="Times New Roman"/>
          <w:kern w:val="22"/>
        </w:rPr>
        <w:t xml:space="preserve">ealth conversations are </w:t>
      </w:r>
      <w:r w:rsidRPr="00471447">
        <w:rPr>
          <w:rFonts w:ascii="Times New Roman" w:eastAsia="Cambria" w:hAnsi="Times New Roman" w:cs="Times New Roman"/>
          <w:kern w:val="22"/>
        </w:rPr>
        <w:t xml:space="preserve">often </w:t>
      </w:r>
      <w:r w:rsidR="00194781" w:rsidRPr="00471447">
        <w:rPr>
          <w:rFonts w:ascii="Times New Roman" w:eastAsia="Cambria" w:hAnsi="Times New Roman" w:cs="Times New Roman"/>
          <w:kern w:val="22"/>
        </w:rPr>
        <w:t xml:space="preserve">very different depending on who you </w:t>
      </w:r>
      <w:r w:rsidR="00F522C6" w:rsidRPr="00471447">
        <w:rPr>
          <w:rFonts w:ascii="Times New Roman" w:eastAsia="Cambria" w:hAnsi="Times New Roman" w:cs="Times New Roman"/>
          <w:kern w:val="22"/>
        </w:rPr>
        <w:t xml:space="preserve">are speaking to </w:t>
      </w:r>
      <w:r w:rsidRPr="00471447">
        <w:rPr>
          <w:rFonts w:ascii="Times New Roman" w:eastAsia="Cambria" w:hAnsi="Times New Roman" w:cs="Times New Roman"/>
          <w:kern w:val="22"/>
        </w:rPr>
        <w:t>and can be</w:t>
      </w:r>
      <w:r w:rsidR="00194781" w:rsidRPr="00471447">
        <w:rPr>
          <w:rFonts w:ascii="Times New Roman" w:eastAsia="Cambria" w:hAnsi="Times New Roman" w:cs="Times New Roman"/>
          <w:kern w:val="22"/>
        </w:rPr>
        <w:t xml:space="preserve"> more or less focused on environment and ecology. </w:t>
      </w:r>
    </w:p>
    <w:p w:rsidR="00194781" w:rsidRPr="00471447" w:rsidRDefault="00194781"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OIE</w:t>
      </w:r>
      <w:r w:rsidR="00254955" w:rsidRPr="00471447">
        <w:rPr>
          <w:rFonts w:ascii="Times New Roman" w:eastAsia="Cambria" w:hAnsi="Times New Roman" w:cs="Times New Roman"/>
          <w:kern w:val="22"/>
        </w:rPr>
        <w:t>, WHO, FAO</w:t>
      </w:r>
      <w:r w:rsidRPr="00471447">
        <w:rPr>
          <w:rFonts w:ascii="Times New Roman" w:eastAsia="Cambria" w:hAnsi="Times New Roman" w:cs="Times New Roman"/>
          <w:kern w:val="22"/>
        </w:rPr>
        <w:t xml:space="preserve"> conversations started </w:t>
      </w:r>
      <w:r w:rsidR="00254955" w:rsidRPr="00471447">
        <w:rPr>
          <w:rFonts w:ascii="Times New Roman" w:eastAsia="Cambria" w:hAnsi="Times New Roman" w:cs="Times New Roman"/>
          <w:kern w:val="22"/>
        </w:rPr>
        <w:t xml:space="preserve">by </w:t>
      </w:r>
      <w:r w:rsidRPr="00471447">
        <w:rPr>
          <w:rFonts w:ascii="Times New Roman" w:eastAsia="Cambria" w:hAnsi="Times New Roman" w:cs="Times New Roman"/>
          <w:kern w:val="22"/>
        </w:rPr>
        <w:t xml:space="preserve">identifying a need, </w:t>
      </w:r>
      <w:r w:rsidR="003F01E5" w:rsidRPr="00471447">
        <w:rPr>
          <w:rFonts w:ascii="Times New Roman" w:eastAsia="Cambria" w:hAnsi="Times New Roman" w:cs="Times New Roman"/>
          <w:kern w:val="22"/>
        </w:rPr>
        <w:t xml:space="preserve">the </w:t>
      </w:r>
      <w:r w:rsidRPr="00471447">
        <w:rPr>
          <w:rFonts w:ascii="Times New Roman" w:eastAsia="Cambria" w:hAnsi="Times New Roman" w:cs="Times New Roman"/>
          <w:kern w:val="22"/>
        </w:rPr>
        <w:t>problems they were trying to</w:t>
      </w:r>
      <w:r w:rsidR="003F01E5" w:rsidRPr="00471447">
        <w:rPr>
          <w:rFonts w:ascii="Times New Roman" w:eastAsia="Cambria" w:hAnsi="Times New Roman" w:cs="Times New Roman"/>
          <w:kern w:val="22"/>
        </w:rPr>
        <w:t xml:space="preserve"> solve led to the need for the three</w:t>
      </w:r>
      <w:r w:rsidRPr="00471447">
        <w:rPr>
          <w:rFonts w:ascii="Times New Roman" w:eastAsia="Cambria" w:hAnsi="Times New Roman" w:cs="Times New Roman"/>
          <w:kern w:val="22"/>
        </w:rPr>
        <w:t xml:space="preserve"> organizations to work </w:t>
      </w:r>
      <w:r w:rsidR="003F01E5" w:rsidRPr="00471447">
        <w:rPr>
          <w:rFonts w:ascii="Times New Roman" w:eastAsia="Cambria" w:hAnsi="Times New Roman" w:cs="Times New Roman"/>
          <w:kern w:val="22"/>
        </w:rPr>
        <w:t>more closely through a formalized mechanism</w:t>
      </w:r>
      <w:r w:rsidRPr="00471447">
        <w:rPr>
          <w:rFonts w:ascii="Times New Roman" w:eastAsia="Cambria" w:hAnsi="Times New Roman" w:cs="Times New Roman"/>
          <w:kern w:val="22"/>
        </w:rPr>
        <w:t xml:space="preserve">. </w:t>
      </w:r>
      <w:r w:rsidR="00254955" w:rsidRPr="00471447">
        <w:rPr>
          <w:rFonts w:ascii="Times New Roman" w:eastAsia="Cambria" w:hAnsi="Times New Roman" w:cs="Times New Roman"/>
          <w:kern w:val="22"/>
        </w:rPr>
        <w:t xml:space="preserve">It was noted that in 2011, an international conference on One Health was organized and three </w:t>
      </w:r>
      <w:r w:rsidR="00F3226C" w:rsidRPr="00471447">
        <w:rPr>
          <w:rFonts w:ascii="Times New Roman" w:eastAsia="Cambria" w:hAnsi="Times New Roman" w:cs="Times New Roman"/>
          <w:kern w:val="22"/>
        </w:rPr>
        <w:t>priority areas</w:t>
      </w:r>
      <w:r w:rsidR="00254955" w:rsidRPr="00471447">
        <w:rPr>
          <w:rFonts w:ascii="Times New Roman" w:eastAsia="Cambria" w:hAnsi="Times New Roman" w:cs="Times New Roman"/>
          <w:kern w:val="22"/>
        </w:rPr>
        <w:t xml:space="preserve"> identified (rabies, influenza, and AMR) out of which the WHO-FAO-OIE collaboration emerged. In that conversation they tried to include environmental partners but there was little interest at the time, though it is clear that there is a strong needed for greater integration now</w:t>
      </w:r>
      <w:r w:rsidR="00F3226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Because that happened at the same time as One Health was emerging</w:t>
      </w:r>
      <w:r w:rsidR="00254955"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the</w:t>
      </w:r>
      <w:r w:rsidR="00254955" w:rsidRPr="00471447">
        <w:rPr>
          <w:rFonts w:ascii="Times New Roman" w:eastAsia="Cambria" w:hAnsi="Times New Roman" w:cs="Times New Roman"/>
          <w:kern w:val="22"/>
        </w:rPr>
        <w:t xml:space="preserve"> terms</w:t>
      </w:r>
      <w:r w:rsidRPr="00471447">
        <w:rPr>
          <w:rFonts w:ascii="Times New Roman" w:eastAsia="Cambria" w:hAnsi="Times New Roman" w:cs="Times New Roman"/>
          <w:kern w:val="22"/>
        </w:rPr>
        <w:t xml:space="preserve"> </w:t>
      </w:r>
      <w:r w:rsidR="003F01E5" w:rsidRPr="00471447">
        <w:rPr>
          <w:rFonts w:ascii="Times New Roman" w:eastAsia="Cambria" w:hAnsi="Times New Roman" w:cs="Times New Roman"/>
          <w:kern w:val="22"/>
        </w:rPr>
        <w:t xml:space="preserve">got confounded </w:t>
      </w:r>
      <w:r w:rsidRPr="00471447">
        <w:rPr>
          <w:rFonts w:ascii="Times New Roman" w:eastAsia="Cambria" w:hAnsi="Times New Roman" w:cs="Times New Roman"/>
          <w:kern w:val="22"/>
        </w:rPr>
        <w:t xml:space="preserve">but </w:t>
      </w:r>
      <w:r w:rsidR="003F01E5" w:rsidRPr="00471447">
        <w:rPr>
          <w:rFonts w:ascii="Times New Roman" w:eastAsia="Cambria" w:hAnsi="Times New Roman" w:cs="Times New Roman"/>
          <w:kern w:val="22"/>
        </w:rPr>
        <w:t>the OIE-FAO-WHO</w:t>
      </w:r>
      <w:r w:rsidR="00254955" w:rsidRPr="00471447">
        <w:rPr>
          <w:rFonts w:ascii="Times New Roman" w:eastAsia="Cambria" w:hAnsi="Times New Roman" w:cs="Times New Roman"/>
          <w:kern w:val="22"/>
        </w:rPr>
        <w:t xml:space="preserve"> collaboration</w:t>
      </w:r>
      <w:r w:rsidR="003F01E5" w:rsidRPr="00471447">
        <w:rPr>
          <w:rFonts w:ascii="Times New Roman" w:eastAsia="Cambria" w:hAnsi="Times New Roman" w:cs="Times New Roman"/>
          <w:kern w:val="22"/>
        </w:rPr>
        <w:t xml:space="preserve"> is </w:t>
      </w:r>
      <w:r w:rsidR="00254955" w:rsidRPr="00471447">
        <w:rPr>
          <w:rFonts w:ascii="Times New Roman" w:eastAsia="Cambria" w:hAnsi="Times New Roman" w:cs="Times New Roman"/>
          <w:kern w:val="22"/>
        </w:rPr>
        <w:t xml:space="preserve">perhaps </w:t>
      </w:r>
      <w:r w:rsidR="003F01E5" w:rsidRPr="00471447">
        <w:rPr>
          <w:rFonts w:ascii="Times New Roman" w:eastAsia="Cambria" w:hAnsi="Times New Roman" w:cs="Times New Roman"/>
          <w:kern w:val="22"/>
        </w:rPr>
        <w:t xml:space="preserve">more explicitly focused </w:t>
      </w:r>
      <w:r w:rsidRPr="00471447">
        <w:rPr>
          <w:rFonts w:ascii="Times New Roman" w:eastAsia="Cambria" w:hAnsi="Times New Roman" w:cs="Times New Roman"/>
          <w:kern w:val="22"/>
        </w:rPr>
        <w:t>on the animal-human interface</w:t>
      </w:r>
      <w:r w:rsidR="00254955" w:rsidRPr="00471447">
        <w:rPr>
          <w:rFonts w:ascii="Times New Roman" w:eastAsia="Cambria" w:hAnsi="Times New Roman" w:cs="Times New Roman"/>
          <w:kern w:val="22"/>
        </w:rPr>
        <w:t xml:space="preserve"> than many other applications of One Health</w:t>
      </w:r>
      <w:r w:rsidRPr="00471447">
        <w:rPr>
          <w:rFonts w:ascii="Times New Roman" w:eastAsia="Cambria" w:hAnsi="Times New Roman" w:cs="Times New Roman"/>
          <w:kern w:val="22"/>
        </w:rPr>
        <w:t>. At the country level, a similar situation</w:t>
      </w:r>
      <w:r w:rsidR="003F01E5" w:rsidRPr="00471447">
        <w:rPr>
          <w:rFonts w:ascii="Times New Roman" w:eastAsia="Cambria" w:hAnsi="Times New Roman" w:cs="Times New Roman"/>
          <w:kern w:val="22"/>
        </w:rPr>
        <w:t xml:space="preserve"> occurred and </w:t>
      </w:r>
      <w:r w:rsidRPr="00471447">
        <w:rPr>
          <w:rFonts w:ascii="Times New Roman" w:eastAsia="Cambria" w:hAnsi="Times New Roman" w:cs="Times New Roman"/>
          <w:kern w:val="22"/>
        </w:rPr>
        <w:t xml:space="preserve">environment </w:t>
      </w:r>
      <w:r w:rsidR="003F01E5" w:rsidRPr="00471447">
        <w:rPr>
          <w:rFonts w:ascii="Times New Roman" w:eastAsia="Cambria" w:hAnsi="Times New Roman" w:cs="Times New Roman"/>
          <w:kern w:val="22"/>
        </w:rPr>
        <w:t xml:space="preserve">was not systematically </w:t>
      </w:r>
      <w:r w:rsidR="00254955" w:rsidRPr="00471447">
        <w:rPr>
          <w:rFonts w:ascii="Times New Roman" w:eastAsia="Cambria" w:hAnsi="Times New Roman" w:cs="Times New Roman"/>
          <w:kern w:val="22"/>
        </w:rPr>
        <w:t>included</w:t>
      </w:r>
      <w:r w:rsidR="003F01E5" w:rsidRPr="00471447">
        <w:rPr>
          <w:rFonts w:ascii="Times New Roman" w:eastAsia="Cambria" w:hAnsi="Times New Roman" w:cs="Times New Roman"/>
          <w:kern w:val="22"/>
        </w:rPr>
        <w:t xml:space="preserve"> which may explain, at least in part, why there has often been less direct involvement of the environment sector</w:t>
      </w:r>
      <w:r w:rsidR="00254955" w:rsidRPr="00471447">
        <w:rPr>
          <w:rFonts w:ascii="Times New Roman" w:eastAsia="Cambria" w:hAnsi="Times New Roman" w:cs="Times New Roman"/>
          <w:kern w:val="22"/>
        </w:rPr>
        <w:t xml:space="preserve"> in the formal collaboration</w:t>
      </w:r>
      <w:r w:rsidR="003F01E5" w:rsidRPr="00471447">
        <w:rPr>
          <w:rFonts w:ascii="Times New Roman" w:eastAsia="Cambria" w:hAnsi="Times New Roman" w:cs="Times New Roman"/>
          <w:kern w:val="22"/>
        </w:rPr>
        <w:t>. Now that the notion of One Health</w:t>
      </w:r>
      <w:r w:rsidRPr="00471447">
        <w:rPr>
          <w:rFonts w:ascii="Times New Roman" w:eastAsia="Cambria" w:hAnsi="Times New Roman" w:cs="Times New Roman"/>
          <w:kern w:val="22"/>
        </w:rPr>
        <w:t xml:space="preserve"> </w:t>
      </w:r>
      <w:r w:rsidR="003F01E5" w:rsidRPr="00471447">
        <w:rPr>
          <w:rFonts w:ascii="Times New Roman" w:eastAsia="Cambria" w:hAnsi="Times New Roman" w:cs="Times New Roman"/>
          <w:kern w:val="22"/>
        </w:rPr>
        <w:t xml:space="preserve">has matured, </w:t>
      </w:r>
      <w:r w:rsidRPr="00471447">
        <w:rPr>
          <w:rFonts w:ascii="Times New Roman" w:eastAsia="Cambria" w:hAnsi="Times New Roman" w:cs="Times New Roman"/>
          <w:kern w:val="22"/>
        </w:rPr>
        <w:t>the</w:t>
      </w:r>
      <w:r w:rsidR="00254955" w:rsidRPr="00471447">
        <w:rPr>
          <w:rFonts w:ascii="Times New Roman" w:eastAsia="Cambria" w:hAnsi="Times New Roman" w:cs="Times New Roman"/>
          <w:kern w:val="22"/>
        </w:rPr>
        <w:t xml:space="preserve">re may be greater opportunity </w:t>
      </w:r>
      <w:r w:rsidRPr="00471447">
        <w:rPr>
          <w:rFonts w:ascii="Times New Roman" w:eastAsia="Cambria" w:hAnsi="Times New Roman" w:cs="Times New Roman"/>
          <w:kern w:val="22"/>
        </w:rPr>
        <w:t xml:space="preserve">to expand </w:t>
      </w:r>
      <w:r w:rsidR="00254955" w:rsidRPr="00471447">
        <w:rPr>
          <w:rFonts w:ascii="Times New Roman" w:eastAsia="Cambria" w:hAnsi="Times New Roman" w:cs="Times New Roman"/>
          <w:kern w:val="22"/>
        </w:rPr>
        <w:t xml:space="preserve">the WHO-OIE-FAO </w:t>
      </w:r>
      <w:r w:rsidR="00375720" w:rsidRPr="00471447">
        <w:rPr>
          <w:rFonts w:ascii="Times New Roman" w:eastAsia="Cambria" w:hAnsi="Times New Roman" w:cs="Times New Roman"/>
          <w:kern w:val="22"/>
        </w:rPr>
        <w:t>partnership</w:t>
      </w:r>
      <w:r w:rsidRPr="00471447">
        <w:rPr>
          <w:rFonts w:ascii="Times New Roman" w:eastAsia="Cambria" w:hAnsi="Times New Roman" w:cs="Times New Roman"/>
          <w:kern w:val="22"/>
        </w:rPr>
        <w:t>.</w:t>
      </w:r>
    </w:p>
    <w:p w:rsidR="00BC1CC7" w:rsidRPr="00471447" w:rsidRDefault="0037572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WHO noted that the </w:t>
      </w:r>
      <w:r w:rsidR="00194781" w:rsidRPr="00471447">
        <w:rPr>
          <w:rFonts w:ascii="Times New Roman" w:eastAsia="Cambria" w:hAnsi="Times New Roman" w:cs="Times New Roman"/>
          <w:kern w:val="22"/>
        </w:rPr>
        <w:t xml:space="preserve">IHR monitoring and evaluation framework is very focused on the global health security agenda principles at the moment </w:t>
      </w:r>
      <w:r w:rsidR="00254955" w:rsidRPr="00471447">
        <w:rPr>
          <w:rFonts w:ascii="Times New Roman" w:eastAsia="Cambria" w:hAnsi="Times New Roman" w:cs="Times New Roman"/>
          <w:kern w:val="22"/>
        </w:rPr>
        <w:t>(closely aligned with the</w:t>
      </w:r>
      <w:r w:rsidR="00194781" w:rsidRPr="00471447">
        <w:rPr>
          <w:rFonts w:ascii="Times New Roman" w:eastAsia="Cambria" w:hAnsi="Times New Roman" w:cs="Times New Roman"/>
          <w:kern w:val="22"/>
        </w:rPr>
        <w:t xml:space="preserve"> One Health</w:t>
      </w:r>
      <w:r w:rsidR="00254955" w:rsidRPr="00471447">
        <w:rPr>
          <w:rFonts w:ascii="Times New Roman" w:eastAsia="Cambria" w:hAnsi="Times New Roman" w:cs="Times New Roman"/>
          <w:kern w:val="22"/>
        </w:rPr>
        <w:t xml:space="preserve"> approach)</w:t>
      </w:r>
      <w:r w:rsidR="00194781" w:rsidRPr="00471447">
        <w:rPr>
          <w:rFonts w:ascii="Times New Roman" w:eastAsia="Cambria" w:hAnsi="Times New Roman" w:cs="Times New Roman"/>
          <w:kern w:val="22"/>
        </w:rPr>
        <w:t>. The monitoring and evaluation framework has tried to promote</w:t>
      </w:r>
      <w:r w:rsidRPr="00471447">
        <w:rPr>
          <w:rFonts w:ascii="Times New Roman" w:eastAsia="Cambria" w:hAnsi="Times New Roman" w:cs="Times New Roman"/>
          <w:kern w:val="22"/>
        </w:rPr>
        <w:t xml:space="preserve"> a more inclusive approach </w:t>
      </w:r>
      <w:r w:rsidR="00194781" w:rsidRPr="00471447">
        <w:rPr>
          <w:rFonts w:ascii="Times New Roman" w:eastAsia="Cambria" w:hAnsi="Times New Roman" w:cs="Times New Roman"/>
          <w:kern w:val="22"/>
        </w:rPr>
        <w:t xml:space="preserve">so when country IHR monitoring </w:t>
      </w:r>
      <w:r w:rsidRPr="00471447">
        <w:rPr>
          <w:rFonts w:ascii="Times New Roman" w:eastAsia="Cambria" w:hAnsi="Times New Roman" w:cs="Times New Roman"/>
          <w:kern w:val="22"/>
        </w:rPr>
        <w:t xml:space="preserve">is carried out all </w:t>
      </w:r>
      <w:r w:rsidR="00194781" w:rsidRPr="00471447">
        <w:rPr>
          <w:rFonts w:ascii="Times New Roman" w:eastAsia="Cambria" w:hAnsi="Times New Roman" w:cs="Times New Roman"/>
          <w:kern w:val="22"/>
        </w:rPr>
        <w:t xml:space="preserve">stakeholders </w:t>
      </w:r>
      <w:r w:rsidRPr="00471447">
        <w:rPr>
          <w:rFonts w:ascii="Times New Roman" w:eastAsia="Cambria" w:hAnsi="Times New Roman" w:cs="Times New Roman"/>
          <w:kern w:val="22"/>
        </w:rPr>
        <w:t xml:space="preserve">are around the table. </w:t>
      </w:r>
    </w:p>
    <w:p w:rsidR="00194781" w:rsidRPr="00471447" w:rsidRDefault="00BC1CC7"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A participant suggested the ILG be kept informed of developments on the World Bank Operational Framework for One Health so the broader group may also feed into follow up in this area. It was agreed the link would be shared in 2018 when made available on the World Bank website.</w:t>
      </w:r>
    </w:p>
    <w:p w:rsidR="00194781" w:rsidRPr="00471447" w:rsidRDefault="00F3226C"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It was suggested that</w:t>
      </w:r>
      <w:r w:rsidR="00375720" w:rsidRPr="00471447">
        <w:rPr>
          <w:rFonts w:ascii="Times New Roman" w:eastAsia="Cambria" w:hAnsi="Times New Roman" w:cs="Times New Roman"/>
          <w:kern w:val="22"/>
        </w:rPr>
        <w:t xml:space="preserve"> </w:t>
      </w:r>
      <w:r w:rsidR="00601FBB" w:rsidRPr="00471447">
        <w:rPr>
          <w:rFonts w:ascii="Times New Roman" w:eastAsia="Cambria" w:hAnsi="Times New Roman" w:cs="Times New Roman"/>
          <w:kern w:val="22"/>
        </w:rPr>
        <w:t xml:space="preserve">a possible </w:t>
      </w:r>
      <w:r w:rsidR="00375720" w:rsidRPr="00471447">
        <w:rPr>
          <w:rFonts w:ascii="Times New Roman" w:eastAsia="Cambria" w:hAnsi="Times New Roman" w:cs="Times New Roman"/>
          <w:kern w:val="22"/>
        </w:rPr>
        <w:t xml:space="preserve">one to achieve </w:t>
      </w:r>
      <w:r w:rsidR="00787451" w:rsidRPr="00471447">
        <w:rPr>
          <w:rFonts w:ascii="Times New Roman" w:eastAsia="Cambria" w:hAnsi="Times New Roman" w:cs="Times New Roman"/>
          <w:kern w:val="22"/>
        </w:rPr>
        <w:t>greater</w:t>
      </w:r>
      <w:r w:rsidRPr="00471447">
        <w:rPr>
          <w:rFonts w:ascii="Times New Roman" w:eastAsia="Cambria" w:hAnsi="Times New Roman" w:cs="Times New Roman"/>
          <w:kern w:val="22"/>
        </w:rPr>
        <w:t xml:space="preserve"> inclusiveness </w:t>
      </w:r>
      <w:r w:rsidR="00787451" w:rsidRPr="00471447">
        <w:rPr>
          <w:rFonts w:ascii="Times New Roman" w:eastAsia="Cambria" w:hAnsi="Times New Roman" w:cs="Times New Roman"/>
          <w:kern w:val="22"/>
        </w:rPr>
        <w:t xml:space="preserve">of the environment sector </w:t>
      </w:r>
      <w:r w:rsidRPr="00471447">
        <w:rPr>
          <w:rFonts w:ascii="Times New Roman" w:eastAsia="Cambria" w:hAnsi="Times New Roman" w:cs="Times New Roman"/>
          <w:kern w:val="22"/>
        </w:rPr>
        <w:t xml:space="preserve">in One Health </w:t>
      </w:r>
      <w:r w:rsidR="00601FBB" w:rsidRPr="00471447">
        <w:rPr>
          <w:rFonts w:ascii="Times New Roman" w:eastAsia="Cambria" w:hAnsi="Times New Roman" w:cs="Times New Roman"/>
          <w:kern w:val="22"/>
        </w:rPr>
        <w:t>in the work of the</w:t>
      </w:r>
      <w:r w:rsidRPr="00471447">
        <w:rPr>
          <w:rFonts w:ascii="Times New Roman" w:eastAsia="Cambria" w:hAnsi="Times New Roman" w:cs="Times New Roman"/>
          <w:kern w:val="22"/>
        </w:rPr>
        <w:t xml:space="preserve"> ILG </w:t>
      </w:r>
      <w:r w:rsidR="00601FBB" w:rsidRPr="00471447">
        <w:rPr>
          <w:rFonts w:ascii="Times New Roman" w:eastAsia="Cambria" w:hAnsi="Times New Roman" w:cs="Times New Roman"/>
          <w:kern w:val="22"/>
        </w:rPr>
        <w:t xml:space="preserve">could be </w:t>
      </w:r>
      <w:r w:rsidRPr="00471447">
        <w:rPr>
          <w:rFonts w:ascii="Times New Roman" w:eastAsia="Cambria" w:hAnsi="Times New Roman" w:cs="Times New Roman"/>
          <w:kern w:val="22"/>
        </w:rPr>
        <w:t>to</w:t>
      </w:r>
      <w:r w:rsidR="00375720" w:rsidRPr="00471447">
        <w:rPr>
          <w:rFonts w:ascii="Times New Roman" w:eastAsia="Cambria" w:hAnsi="Times New Roman" w:cs="Times New Roman"/>
          <w:kern w:val="22"/>
        </w:rPr>
        <w:t xml:space="preserve"> examin</w:t>
      </w:r>
      <w:r w:rsidRPr="00471447">
        <w:rPr>
          <w:rFonts w:ascii="Times New Roman" w:eastAsia="Cambria" w:hAnsi="Times New Roman" w:cs="Times New Roman"/>
          <w:kern w:val="22"/>
        </w:rPr>
        <w:t>e</w:t>
      </w:r>
      <w:r w:rsidR="00375720" w:rsidRPr="00471447">
        <w:rPr>
          <w:rFonts w:ascii="Times New Roman" w:eastAsia="Cambria" w:hAnsi="Times New Roman" w:cs="Times New Roman"/>
          <w:kern w:val="22"/>
        </w:rPr>
        <w:t xml:space="preserve"> mosquito-borne diseases such as malaria, </w:t>
      </w:r>
      <w:r w:rsidR="00787451" w:rsidRPr="00471447">
        <w:rPr>
          <w:rFonts w:ascii="Times New Roman" w:eastAsia="Cambria" w:hAnsi="Times New Roman" w:cs="Times New Roman"/>
          <w:kern w:val="22"/>
        </w:rPr>
        <w:t>Z</w:t>
      </w:r>
      <w:r w:rsidR="00375720" w:rsidRPr="00471447">
        <w:rPr>
          <w:rFonts w:ascii="Times New Roman" w:eastAsia="Cambria" w:hAnsi="Times New Roman" w:cs="Times New Roman"/>
          <w:kern w:val="22"/>
        </w:rPr>
        <w:t xml:space="preserve">ika, in which </w:t>
      </w:r>
      <w:r w:rsidR="00601FBB" w:rsidRPr="00471447">
        <w:rPr>
          <w:rFonts w:ascii="Times New Roman" w:eastAsia="Cambria" w:hAnsi="Times New Roman" w:cs="Times New Roman"/>
          <w:kern w:val="22"/>
        </w:rPr>
        <w:t>ecological</w:t>
      </w:r>
      <w:r w:rsidR="00375720" w:rsidRPr="00471447">
        <w:rPr>
          <w:rFonts w:ascii="Times New Roman" w:eastAsia="Cambria" w:hAnsi="Times New Roman" w:cs="Times New Roman"/>
          <w:kern w:val="22"/>
        </w:rPr>
        <w:t xml:space="preserve"> components</w:t>
      </w:r>
      <w:r w:rsidR="00601FBB" w:rsidRPr="00471447">
        <w:rPr>
          <w:rFonts w:ascii="Times New Roman" w:eastAsia="Cambria" w:hAnsi="Times New Roman" w:cs="Times New Roman"/>
          <w:kern w:val="22"/>
        </w:rPr>
        <w:t xml:space="preserve"> may be prominent</w:t>
      </w:r>
      <w:r w:rsidR="00375720"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BC1CC7" w:rsidRPr="00471447">
        <w:rPr>
          <w:rFonts w:ascii="Times New Roman" w:eastAsia="Cambria" w:hAnsi="Times New Roman" w:cs="Times New Roman"/>
          <w:kern w:val="22"/>
        </w:rPr>
        <w:t>It was</w:t>
      </w:r>
      <w:r w:rsidRPr="00471447">
        <w:rPr>
          <w:rFonts w:ascii="Times New Roman" w:eastAsia="Cambria" w:hAnsi="Times New Roman" w:cs="Times New Roman"/>
          <w:kern w:val="22"/>
        </w:rPr>
        <w:t xml:space="preserve"> suggested that </w:t>
      </w:r>
      <w:r w:rsidR="00375720" w:rsidRPr="00471447">
        <w:rPr>
          <w:rFonts w:ascii="Times New Roman" w:eastAsia="Cambria" w:hAnsi="Times New Roman" w:cs="Times New Roman"/>
          <w:kern w:val="22"/>
        </w:rPr>
        <w:t xml:space="preserve">focusing on the </w:t>
      </w:r>
      <w:r w:rsidR="00601FBB" w:rsidRPr="00471447">
        <w:rPr>
          <w:rFonts w:ascii="Times New Roman" w:eastAsia="Cambria" w:hAnsi="Times New Roman" w:cs="Times New Roman"/>
          <w:kern w:val="22"/>
        </w:rPr>
        <w:t>land</w:t>
      </w:r>
      <w:r w:rsidR="00BC1CC7" w:rsidRPr="00471447">
        <w:rPr>
          <w:rFonts w:ascii="Times New Roman" w:eastAsia="Cambria" w:hAnsi="Times New Roman" w:cs="Times New Roman"/>
          <w:kern w:val="22"/>
        </w:rPr>
        <w:t>s</w:t>
      </w:r>
      <w:r w:rsidR="00601FBB" w:rsidRPr="00471447">
        <w:rPr>
          <w:rFonts w:ascii="Times New Roman" w:eastAsia="Cambria" w:hAnsi="Times New Roman" w:cs="Times New Roman"/>
          <w:kern w:val="22"/>
        </w:rPr>
        <w:t xml:space="preserve">cape, </w:t>
      </w:r>
      <w:r w:rsidR="00375720" w:rsidRPr="00471447">
        <w:rPr>
          <w:rFonts w:ascii="Times New Roman" w:eastAsia="Cambria" w:hAnsi="Times New Roman" w:cs="Times New Roman"/>
          <w:kern w:val="22"/>
        </w:rPr>
        <w:t>reservoir, vector and pathogen in tandem was an important entry point</w:t>
      </w:r>
      <w:r w:rsidR="00BC1CC7" w:rsidRPr="00471447">
        <w:rPr>
          <w:rFonts w:ascii="Times New Roman" w:eastAsia="Cambria" w:hAnsi="Times New Roman" w:cs="Times New Roman"/>
          <w:kern w:val="22"/>
        </w:rPr>
        <w:t xml:space="preserve">, noting </w:t>
      </w:r>
      <w:r w:rsidR="00601FBB" w:rsidRPr="00471447">
        <w:rPr>
          <w:rFonts w:ascii="Times New Roman" w:eastAsia="Cambria" w:hAnsi="Times New Roman" w:cs="Times New Roman"/>
          <w:kern w:val="22"/>
        </w:rPr>
        <w:t>that</w:t>
      </w:r>
      <w:r w:rsidR="00375720" w:rsidRPr="00471447">
        <w:rPr>
          <w:rFonts w:ascii="Times New Roman" w:eastAsia="Cambria" w:hAnsi="Times New Roman" w:cs="Times New Roman"/>
          <w:kern w:val="22"/>
        </w:rPr>
        <w:t xml:space="preserve"> yellow fever </w:t>
      </w:r>
      <w:r w:rsidR="00601FBB" w:rsidRPr="00471447">
        <w:rPr>
          <w:rFonts w:ascii="Times New Roman" w:eastAsia="Cambria" w:hAnsi="Times New Roman" w:cs="Times New Roman"/>
          <w:kern w:val="22"/>
        </w:rPr>
        <w:t>w</w:t>
      </w:r>
      <w:r w:rsidR="00375720" w:rsidRPr="00471447">
        <w:rPr>
          <w:rFonts w:ascii="Times New Roman" w:eastAsia="Cambria" w:hAnsi="Times New Roman" w:cs="Times New Roman"/>
          <w:kern w:val="22"/>
        </w:rPr>
        <w:t xml:space="preserve">ould be an excellent case study </w:t>
      </w:r>
      <w:r w:rsidR="00BC1CC7" w:rsidRPr="00471447">
        <w:rPr>
          <w:rFonts w:ascii="Times New Roman" w:eastAsia="Cambria" w:hAnsi="Times New Roman" w:cs="Times New Roman"/>
          <w:kern w:val="22"/>
        </w:rPr>
        <w:t xml:space="preserve">for the ILG </w:t>
      </w:r>
      <w:r w:rsidR="00375720" w:rsidRPr="00471447">
        <w:rPr>
          <w:rFonts w:ascii="Times New Roman" w:eastAsia="Cambria" w:hAnsi="Times New Roman" w:cs="Times New Roman"/>
          <w:kern w:val="22"/>
        </w:rPr>
        <w:t>to consider</w:t>
      </w:r>
      <w:r w:rsidR="00601FBB" w:rsidRPr="00471447">
        <w:rPr>
          <w:rFonts w:ascii="Times New Roman" w:eastAsia="Cambria" w:hAnsi="Times New Roman" w:cs="Times New Roman"/>
          <w:kern w:val="22"/>
        </w:rPr>
        <w:t xml:space="preserve"> </w:t>
      </w:r>
      <w:r w:rsidR="00BC1CC7" w:rsidRPr="00471447">
        <w:rPr>
          <w:rFonts w:ascii="Times New Roman" w:eastAsia="Cambria" w:hAnsi="Times New Roman" w:cs="Times New Roman"/>
          <w:kern w:val="22"/>
        </w:rPr>
        <w:t>in its</w:t>
      </w:r>
      <w:r w:rsidR="00601FBB" w:rsidRPr="00471447">
        <w:rPr>
          <w:rFonts w:ascii="Times New Roman" w:eastAsia="Cambria" w:hAnsi="Times New Roman" w:cs="Times New Roman"/>
          <w:kern w:val="22"/>
        </w:rPr>
        <w:t xml:space="preserve"> work</w:t>
      </w:r>
      <w:r w:rsidR="00375720" w:rsidRPr="00471447">
        <w:rPr>
          <w:rFonts w:ascii="Times New Roman" w:eastAsia="Cambria" w:hAnsi="Times New Roman" w:cs="Times New Roman"/>
          <w:kern w:val="22"/>
        </w:rPr>
        <w:t>.</w:t>
      </w:r>
      <w:r w:rsidR="00BC1CC7" w:rsidRPr="00471447">
        <w:rPr>
          <w:rFonts w:ascii="Times New Roman" w:eastAsia="Cambria" w:hAnsi="Times New Roman" w:cs="Times New Roman"/>
          <w:kern w:val="22"/>
        </w:rPr>
        <w:t>Some</w:t>
      </w:r>
      <w:r w:rsidR="00774A60" w:rsidRPr="00471447">
        <w:rPr>
          <w:rFonts w:ascii="Times New Roman" w:eastAsia="Cambria" w:hAnsi="Times New Roman" w:cs="Times New Roman"/>
          <w:kern w:val="22"/>
        </w:rPr>
        <w:t xml:space="preserve"> </w:t>
      </w:r>
      <w:r w:rsidR="00BC1CC7" w:rsidRPr="00471447">
        <w:rPr>
          <w:rFonts w:ascii="Times New Roman" w:eastAsia="Cambria" w:hAnsi="Times New Roman" w:cs="Times New Roman"/>
          <w:kern w:val="22"/>
        </w:rPr>
        <w:t xml:space="preserve">questioned the value of focusing the ILGs </w:t>
      </w:r>
      <w:r w:rsidR="00774A60" w:rsidRPr="00471447">
        <w:rPr>
          <w:rFonts w:ascii="Times New Roman" w:eastAsia="Cambria" w:hAnsi="Times New Roman" w:cs="Times New Roman"/>
          <w:kern w:val="22"/>
        </w:rPr>
        <w:t>work on One Health on a case</w:t>
      </w:r>
      <w:r w:rsidR="00BC1CC7" w:rsidRPr="00471447">
        <w:rPr>
          <w:rFonts w:ascii="Times New Roman" w:eastAsia="Cambria" w:hAnsi="Times New Roman" w:cs="Times New Roman"/>
          <w:kern w:val="22"/>
        </w:rPr>
        <w:t>-</w:t>
      </w:r>
      <w:r w:rsidR="00774A60" w:rsidRPr="00471447">
        <w:rPr>
          <w:rFonts w:ascii="Times New Roman" w:eastAsia="Cambria" w:hAnsi="Times New Roman" w:cs="Times New Roman"/>
          <w:kern w:val="22"/>
        </w:rPr>
        <w:t>by</w:t>
      </w:r>
      <w:r w:rsidR="00BC1CC7" w:rsidRPr="00471447">
        <w:rPr>
          <w:rFonts w:ascii="Times New Roman" w:eastAsia="Cambria" w:hAnsi="Times New Roman" w:cs="Times New Roman"/>
          <w:kern w:val="22"/>
        </w:rPr>
        <w:t>-</w:t>
      </w:r>
      <w:r w:rsidR="00774A60" w:rsidRPr="00471447">
        <w:rPr>
          <w:rFonts w:ascii="Times New Roman" w:eastAsia="Cambria" w:hAnsi="Times New Roman" w:cs="Times New Roman"/>
          <w:kern w:val="22"/>
        </w:rPr>
        <w:t xml:space="preserve">case basis </w:t>
      </w:r>
      <w:r w:rsidR="00BC1CC7" w:rsidRPr="00471447">
        <w:rPr>
          <w:rFonts w:ascii="Times New Roman" w:eastAsia="Cambria" w:hAnsi="Times New Roman" w:cs="Times New Roman"/>
          <w:kern w:val="22"/>
        </w:rPr>
        <w:t>suggesting there may be</w:t>
      </w:r>
      <w:r w:rsidR="00774A60" w:rsidRPr="00471447">
        <w:rPr>
          <w:rFonts w:ascii="Times New Roman" w:eastAsia="Cambria" w:hAnsi="Times New Roman" w:cs="Times New Roman"/>
          <w:kern w:val="22"/>
        </w:rPr>
        <w:t xml:space="preserve"> a more systematic way to ensure greater integration of the environment/biodiversity </w:t>
      </w:r>
      <w:r w:rsidR="00BC1CC7" w:rsidRPr="00471447">
        <w:rPr>
          <w:rFonts w:ascii="Times New Roman" w:eastAsia="Cambria" w:hAnsi="Times New Roman" w:cs="Times New Roman"/>
          <w:kern w:val="22"/>
        </w:rPr>
        <w:t xml:space="preserve">components in the ILG’s work on </w:t>
      </w:r>
      <w:r w:rsidR="00774A60" w:rsidRPr="00471447">
        <w:rPr>
          <w:rFonts w:ascii="Times New Roman" w:eastAsia="Cambria" w:hAnsi="Times New Roman" w:cs="Times New Roman"/>
          <w:kern w:val="22"/>
        </w:rPr>
        <w:t xml:space="preserve">One Health. Two ways forward were </w:t>
      </w:r>
      <w:r w:rsidR="00BC1CC7" w:rsidRPr="00471447">
        <w:rPr>
          <w:rFonts w:ascii="Times New Roman" w:eastAsia="Cambria" w:hAnsi="Times New Roman" w:cs="Times New Roman"/>
          <w:kern w:val="22"/>
        </w:rPr>
        <w:t>put forth:</w:t>
      </w:r>
      <w:r w:rsidR="00774A60" w:rsidRPr="00471447">
        <w:rPr>
          <w:rFonts w:ascii="Times New Roman" w:eastAsia="Cambria" w:hAnsi="Times New Roman" w:cs="Times New Roman"/>
          <w:kern w:val="22"/>
        </w:rPr>
        <w:t xml:space="preserve"> </w:t>
      </w:r>
      <w:r w:rsidR="00BC1CC7" w:rsidRPr="00471447">
        <w:rPr>
          <w:rFonts w:ascii="Times New Roman" w:eastAsia="Cambria" w:hAnsi="Times New Roman" w:cs="Times New Roman"/>
          <w:kern w:val="22"/>
        </w:rPr>
        <w:t xml:space="preserve">On the one hand, </w:t>
      </w:r>
      <w:r w:rsidR="00194781" w:rsidRPr="00471447">
        <w:rPr>
          <w:rFonts w:ascii="Times New Roman" w:eastAsia="Cambria" w:hAnsi="Times New Roman" w:cs="Times New Roman"/>
          <w:kern w:val="22"/>
        </w:rPr>
        <w:t>issue</w:t>
      </w:r>
      <w:r w:rsidR="00BC1CC7" w:rsidRPr="00471447">
        <w:rPr>
          <w:rFonts w:ascii="Times New Roman" w:eastAsia="Cambria" w:hAnsi="Times New Roman" w:cs="Times New Roman"/>
          <w:kern w:val="22"/>
        </w:rPr>
        <w:t>s</w:t>
      </w:r>
      <w:r w:rsidR="00194781" w:rsidRPr="00471447">
        <w:rPr>
          <w:rFonts w:ascii="Times New Roman" w:eastAsia="Cambria" w:hAnsi="Times New Roman" w:cs="Times New Roman"/>
          <w:kern w:val="22"/>
        </w:rPr>
        <w:t xml:space="preserve"> that encapsulate those links </w:t>
      </w:r>
      <w:r w:rsidR="00BC1CC7" w:rsidRPr="00471447">
        <w:rPr>
          <w:rFonts w:ascii="Times New Roman" w:eastAsia="Cambria" w:hAnsi="Times New Roman" w:cs="Times New Roman"/>
          <w:kern w:val="22"/>
        </w:rPr>
        <w:t>may be selected for future work</w:t>
      </w:r>
      <w:r w:rsidR="00BF4E4E" w:rsidRPr="00471447">
        <w:rPr>
          <w:rFonts w:ascii="Times New Roman" w:eastAsia="Cambria" w:hAnsi="Times New Roman" w:cs="Times New Roman"/>
          <w:kern w:val="22"/>
        </w:rPr>
        <w:t xml:space="preserve">. </w:t>
      </w:r>
      <w:r w:rsidR="00BC1CC7" w:rsidRPr="00471447">
        <w:rPr>
          <w:rFonts w:ascii="Times New Roman" w:eastAsia="Cambria" w:hAnsi="Times New Roman" w:cs="Times New Roman"/>
          <w:kern w:val="22"/>
        </w:rPr>
        <w:t>On the other</w:t>
      </w:r>
      <w:r w:rsidR="00BF4E4E" w:rsidRPr="00471447">
        <w:rPr>
          <w:rFonts w:ascii="Times New Roman" w:eastAsia="Cambria" w:hAnsi="Times New Roman" w:cs="Times New Roman"/>
          <w:kern w:val="22"/>
        </w:rPr>
        <w:t xml:space="preserve">, the ILG could serve as a </w:t>
      </w:r>
      <w:r w:rsidR="00194781" w:rsidRPr="00471447">
        <w:rPr>
          <w:rFonts w:ascii="Times New Roman" w:eastAsia="Cambria" w:hAnsi="Times New Roman" w:cs="Times New Roman"/>
          <w:kern w:val="22"/>
        </w:rPr>
        <w:t xml:space="preserve">resource for </w:t>
      </w:r>
      <w:r w:rsidR="00BC1CC7" w:rsidRPr="00471447">
        <w:rPr>
          <w:rFonts w:ascii="Times New Roman" w:eastAsia="Cambria" w:hAnsi="Times New Roman" w:cs="Times New Roman"/>
          <w:kern w:val="22"/>
        </w:rPr>
        <w:t xml:space="preserve">any relevant </w:t>
      </w:r>
      <w:r w:rsidR="00194781" w:rsidRPr="00471447">
        <w:rPr>
          <w:rFonts w:ascii="Times New Roman" w:eastAsia="Cambria" w:hAnsi="Times New Roman" w:cs="Times New Roman"/>
          <w:kern w:val="22"/>
        </w:rPr>
        <w:t>issues that arise</w:t>
      </w:r>
      <w:r w:rsidR="006825EF" w:rsidRPr="00471447">
        <w:rPr>
          <w:rFonts w:ascii="Times New Roman" w:eastAsia="Cambria" w:hAnsi="Times New Roman" w:cs="Times New Roman"/>
          <w:kern w:val="22"/>
        </w:rPr>
        <w:t>s</w:t>
      </w:r>
      <w:r w:rsidR="00BF4E4E" w:rsidRPr="00471447">
        <w:rPr>
          <w:rFonts w:ascii="Times New Roman" w:eastAsia="Cambria" w:hAnsi="Times New Roman" w:cs="Times New Roman"/>
          <w:kern w:val="22"/>
        </w:rPr>
        <w:t>. I</w:t>
      </w:r>
      <w:r w:rsidR="00BC1CC7" w:rsidRPr="00471447">
        <w:rPr>
          <w:rFonts w:ascii="Times New Roman" w:eastAsia="Cambria" w:hAnsi="Times New Roman" w:cs="Times New Roman"/>
          <w:kern w:val="22"/>
        </w:rPr>
        <w:t>t was agreed that the second option was preferable</w:t>
      </w:r>
      <w:r w:rsidR="00561D0E" w:rsidRPr="00471447">
        <w:rPr>
          <w:rFonts w:ascii="Times New Roman" w:eastAsia="Cambria" w:hAnsi="Times New Roman" w:cs="Times New Roman"/>
          <w:kern w:val="22"/>
        </w:rPr>
        <w:t xml:space="preserve"> but it will be important </w:t>
      </w:r>
      <w:r w:rsidR="00BC1CC7" w:rsidRPr="00471447">
        <w:rPr>
          <w:rFonts w:ascii="Times New Roman" w:eastAsia="Cambria" w:hAnsi="Times New Roman" w:cs="Times New Roman"/>
          <w:kern w:val="22"/>
        </w:rPr>
        <w:t xml:space="preserve">for co-chairs </w:t>
      </w:r>
      <w:r w:rsidR="00561D0E" w:rsidRPr="00471447">
        <w:rPr>
          <w:rFonts w:ascii="Times New Roman" w:eastAsia="Cambria" w:hAnsi="Times New Roman" w:cs="Times New Roman"/>
          <w:kern w:val="22"/>
        </w:rPr>
        <w:t xml:space="preserve">to develop a common narrative </w:t>
      </w:r>
      <w:r w:rsidR="00BC1CC7" w:rsidRPr="00471447">
        <w:rPr>
          <w:rFonts w:ascii="Times New Roman" w:eastAsia="Cambria" w:hAnsi="Times New Roman" w:cs="Times New Roman"/>
          <w:kern w:val="22"/>
        </w:rPr>
        <w:t xml:space="preserve">in the </w:t>
      </w:r>
      <w:r w:rsidR="00561D0E" w:rsidRPr="00471447">
        <w:rPr>
          <w:rFonts w:ascii="Times New Roman" w:eastAsia="Cambria" w:hAnsi="Times New Roman" w:cs="Times New Roman"/>
          <w:kern w:val="22"/>
        </w:rPr>
        <w:t>first</w:t>
      </w:r>
      <w:r w:rsidR="00BC1CC7" w:rsidRPr="00471447">
        <w:rPr>
          <w:rFonts w:ascii="Times New Roman" w:eastAsia="Cambria" w:hAnsi="Times New Roman" w:cs="Times New Roman"/>
          <w:kern w:val="22"/>
        </w:rPr>
        <w:t xml:space="preserve"> instance</w:t>
      </w:r>
      <w:r w:rsidR="00194781" w:rsidRPr="00471447">
        <w:rPr>
          <w:rFonts w:ascii="Times New Roman" w:eastAsia="Cambria" w:hAnsi="Times New Roman" w:cs="Times New Roman"/>
          <w:kern w:val="22"/>
        </w:rPr>
        <w:t xml:space="preserve">. </w:t>
      </w:r>
    </w:p>
    <w:p w:rsidR="00194781" w:rsidRPr="00471447" w:rsidRDefault="006825EF"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Moreover, with regard to</w:t>
      </w:r>
      <w:r w:rsidR="00BF4E4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the ILG’s </w:t>
      </w:r>
      <w:r w:rsidR="00BF4E4E" w:rsidRPr="00471447">
        <w:rPr>
          <w:rFonts w:ascii="Times New Roman" w:eastAsia="Cambria" w:hAnsi="Times New Roman" w:cs="Times New Roman"/>
          <w:kern w:val="22"/>
        </w:rPr>
        <w:t>mandate to engag</w:t>
      </w:r>
      <w:r w:rsidRPr="00471447">
        <w:rPr>
          <w:rFonts w:ascii="Times New Roman" w:eastAsia="Cambria" w:hAnsi="Times New Roman" w:cs="Times New Roman"/>
          <w:kern w:val="22"/>
        </w:rPr>
        <w:t>ing</w:t>
      </w:r>
      <w:r w:rsidR="00BF4E4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on </w:t>
      </w:r>
      <w:r w:rsidR="00BF4E4E" w:rsidRPr="00471447">
        <w:rPr>
          <w:rFonts w:ascii="Times New Roman" w:eastAsia="Cambria" w:hAnsi="Times New Roman" w:cs="Times New Roman"/>
          <w:kern w:val="22"/>
        </w:rPr>
        <w:t xml:space="preserve">environment/biodiversity in international One Health conversations and activities </w:t>
      </w:r>
      <w:r w:rsidRPr="00471447">
        <w:rPr>
          <w:rFonts w:ascii="Times New Roman" w:eastAsia="Cambria" w:hAnsi="Times New Roman" w:cs="Times New Roman"/>
          <w:kern w:val="22"/>
        </w:rPr>
        <w:t xml:space="preserve">(of the OIE-WHO-FAO) </w:t>
      </w:r>
      <w:r w:rsidR="00BF4E4E" w:rsidRPr="00471447">
        <w:rPr>
          <w:rFonts w:ascii="Times New Roman" w:eastAsia="Cambria" w:hAnsi="Times New Roman" w:cs="Times New Roman"/>
          <w:kern w:val="22"/>
        </w:rPr>
        <w:t xml:space="preserve">more fully it was </w:t>
      </w:r>
      <w:r w:rsidRPr="00471447">
        <w:rPr>
          <w:rFonts w:ascii="Times New Roman" w:eastAsia="Cambria" w:hAnsi="Times New Roman" w:cs="Times New Roman"/>
          <w:kern w:val="22"/>
        </w:rPr>
        <w:lastRenderedPageBreak/>
        <w:t xml:space="preserve">suggested </w:t>
      </w:r>
      <w:r w:rsidR="00BF4E4E" w:rsidRPr="00471447">
        <w:rPr>
          <w:rFonts w:ascii="Times New Roman" w:eastAsia="Cambria" w:hAnsi="Times New Roman" w:cs="Times New Roman"/>
          <w:kern w:val="22"/>
        </w:rPr>
        <w:t xml:space="preserve">that to </w:t>
      </w:r>
      <w:r w:rsidRPr="00471447">
        <w:rPr>
          <w:rFonts w:ascii="Times New Roman" w:eastAsia="Cambria" w:hAnsi="Times New Roman" w:cs="Times New Roman"/>
          <w:kern w:val="22"/>
        </w:rPr>
        <w:t>ful</w:t>
      </w:r>
      <w:r w:rsidR="00BF4E4E" w:rsidRPr="00471447">
        <w:rPr>
          <w:rFonts w:ascii="Times New Roman" w:eastAsia="Cambria" w:hAnsi="Times New Roman" w:cs="Times New Roman"/>
          <w:kern w:val="22"/>
        </w:rPr>
        <w:t xml:space="preserve">fill this mandate the ILG could </w:t>
      </w:r>
      <w:r w:rsidRPr="00471447">
        <w:rPr>
          <w:rFonts w:ascii="Times New Roman" w:eastAsia="Cambria" w:hAnsi="Times New Roman" w:cs="Times New Roman"/>
          <w:kern w:val="22"/>
        </w:rPr>
        <w:t xml:space="preserve">also </w:t>
      </w:r>
      <w:r w:rsidR="00BF4E4E" w:rsidRPr="00471447">
        <w:rPr>
          <w:rFonts w:ascii="Times New Roman" w:eastAsia="Cambria" w:hAnsi="Times New Roman" w:cs="Times New Roman"/>
          <w:kern w:val="22"/>
        </w:rPr>
        <w:t xml:space="preserve">propose themselves as a partner of the environment sector for international health issues. </w:t>
      </w:r>
      <w:r w:rsidRPr="00471447">
        <w:rPr>
          <w:rFonts w:ascii="Times New Roman" w:eastAsia="Cambria" w:hAnsi="Times New Roman" w:cs="Times New Roman"/>
          <w:kern w:val="22"/>
        </w:rPr>
        <w:t>It was suggested that one</w:t>
      </w:r>
      <w:r w:rsidR="00BF4E4E" w:rsidRPr="00471447">
        <w:rPr>
          <w:rFonts w:ascii="Times New Roman" w:eastAsia="Cambria" w:hAnsi="Times New Roman" w:cs="Times New Roman"/>
          <w:kern w:val="22"/>
        </w:rPr>
        <w:t xml:space="preserve"> way to </w:t>
      </w:r>
      <w:r w:rsidRPr="00471447">
        <w:rPr>
          <w:rFonts w:ascii="Times New Roman" w:eastAsia="Cambria" w:hAnsi="Times New Roman" w:cs="Times New Roman"/>
          <w:kern w:val="22"/>
        </w:rPr>
        <w:t>meaningfully begin</w:t>
      </w:r>
      <w:r w:rsidR="00BF4E4E" w:rsidRPr="00471447">
        <w:rPr>
          <w:rFonts w:ascii="Times New Roman" w:eastAsia="Cambria" w:hAnsi="Times New Roman" w:cs="Times New Roman"/>
          <w:kern w:val="22"/>
        </w:rPr>
        <w:t xml:space="preserve"> to engage with this group would be for the </w:t>
      </w:r>
      <w:r w:rsidRPr="00471447">
        <w:rPr>
          <w:rFonts w:ascii="Times New Roman" w:eastAsia="Cambria" w:hAnsi="Times New Roman" w:cs="Times New Roman"/>
          <w:kern w:val="22"/>
        </w:rPr>
        <w:t>ILG</w:t>
      </w:r>
      <w:r w:rsidR="00BF4E4E" w:rsidRPr="00471447">
        <w:rPr>
          <w:rFonts w:ascii="Times New Roman" w:eastAsia="Cambria" w:hAnsi="Times New Roman" w:cs="Times New Roman"/>
          <w:kern w:val="22"/>
        </w:rPr>
        <w:t xml:space="preserve"> to identify areas in which biodiversity and ecosystem health input</w:t>
      </w:r>
      <w:r w:rsidRPr="00471447">
        <w:rPr>
          <w:rFonts w:ascii="Times New Roman" w:eastAsia="Cambria" w:hAnsi="Times New Roman" w:cs="Times New Roman"/>
          <w:kern w:val="22"/>
        </w:rPr>
        <w:t>s</w:t>
      </w:r>
      <w:r w:rsidR="00BF4E4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are </w:t>
      </w:r>
      <w:r w:rsidR="00BF4E4E" w:rsidRPr="00471447">
        <w:rPr>
          <w:rFonts w:ascii="Times New Roman" w:eastAsia="Cambria" w:hAnsi="Times New Roman" w:cs="Times New Roman"/>
          <w:kern w:val="22"/>
        </w:rPr>
        <w:t xml:space="preserve">particularly important to addressing a </w:t>
      </w:r>
      <w:r w:rsidR="00AD08A5" w:rsidRPr="00471447">
        <w:rPr>
          <w:rFonts w:ascii="Times New Roman" w:eastAsia="Cambria" w:hAnsi="Times New Roman" w:cs="Times New Roman"/>
          <w:kern w:val="22"/>
        </w:rPr>
        <w:t xml:space="preserve">given </w:t>
      </w:r>
      <w:r w:rsidR="00BF4E4E" w:rsidRPr="00471447">
        <w:rPr>
          <w:rFonts w:ascii="Times New Roman" w:eastAsia="Cambria" w:hAnsi="Times New Roman" w:cs="Times New Roman"/>
          <w:kern w:val="22"/>
        </w:rPr>
        <w:t xml:space="preserve">health issue </w:t>
      </w:r>
      <w:r w:rsidRPr="00471447">
        <w:rPr>
          <w:rFonts w:ascii="Times New Roman" w:eastAsia="Cambria" w:hAnsi="Times New Roman" w:cs="Times New Roman"/>
          <w:kern w:val="22"/>
        </w:rPr>
        <w:t>in which collaboration is required</w:t>
      </w:r>
      <w:r w:rsidR="00AD08A5" w:rsidRPr="00471447">
        <w:rPr>
          <w:rFonts w:ascii="Times New Roman" w:eastAsia="Cambria" w:hAnsi="Times New Roman" w:cs="Times New Roman"/>
          <w:kern w:val="22"/>
        </w:rPr>
        <w:t xml:space="preserve">. The idea </w:t>
      </w:r>
      <w:r w:rsidR="00BF4E4E" w:rsidRPr="00471447">
        <w:rPr>
          <w:rFonts w:ascii="Times New Roman" w:eastAsia="Cambria" w:hAnsi="Times New Roman" w:cs="Times New Roman"/>
          <w:kern w:val="22"/>
        </w:rPr>
        <w:t xml:space="preserve">was raised that the group could enter into an existing ‘One Health’ conversation, i.e. how can the environment sector contribute to control of health issues </w:t>
      </w:r>
      <w:r w:rsidR="00AD08A5" w:rsidRPr="00471447">
        <w:rPr>
          <w:rFonts w:ascii="Times New Roman" w:eastAsia="Cambria" w:hAnsi="Times New Roman" w:cs="Times New Roman"/>
          <w:kern w:val="22"/>
        </w:rPr>
        <w:t>in which</w:t>
      </w:r>
      <w:r w:rsidR="00BF4E4E" w:rsidRPr="00471447">
        <w:rPr>
          <w:rFonts w:ascii="Times New Roman" w:eastAsia="Cambria" w:hAnsi="Times New Roman" w:cs="Times New Roman"/>
          <w:kern w:val="22"/>
        </w:rPr>
        <w:t xml:space="preserve"> WHO, OIE, and FAO were already working that had a biodiversity/environment component</w:t>
      </w:r>
      <w:r w:rsidR="00AD08A5" w:rsidRPr="00471447">
        <w:rPr>
          <w:rFonts w:ascii="Times New Roman" w:eastAsia="Cambria" w:hAnsi="Times New Roman" w:cs="Times New Roman"/>
          <w:kern w:val="22"/>
        </w:rPr>
        <w:t xml:space="preserve">. </w:t>
      </w:r>
      <w:r w:rsidR="00BF4E4E" w:rsidRPr="00471447">
        <w:rPr>
          <w:rFonts w:ascii="Times New Roman" w:eastAsia="Cambria" w:hAnsi="Times New Roman" w:cs="Times New Roman"/>
          <w:kern w:val="22"/>
        </w:rPr>
        <w:t xml:space="preserve">The </w:t>
      </w:r>
      <w:r w:rsidRPr="00471447">
        <w:rPr>
          <w:rFonts w:ascii="Times New Roman" w:eastAsia="Cambria" w:hAnsi="Times New Roman" w:cs="Times New Roman"/>
          <w:kern w:val="22"/>
        </w:rPr>
        <w:t>ILG</w:t>
      </w:r>
      <w:r w:rsidR="00BF4E4E" w:rsidRPr="00471447">
        <w:rPr>
          <w:rFonts w:ascii="Times New Roman" w:eastAsia="Cambria" w:hAnsi="Times New Roman" w:cs="Times New Roman"/>
          <w:kern w:val="22"/>
        </w:rPr>
        <w:t xml:space="preserve"> will </w:t>
      </w:r>
      <w:r w:rsidRPr="00471447">
        <w:rPr>
          <w:rFonts w:ascii="Times New Roman" w:eastAsia="Cambria" w:hAnsi="Times New Roman" w:cs="Times New Roman"/>
          <w:kern w:val="22"/>
        </w:rPr>
        <w:t xml:space="preserve">further </w:t>
      </w:r>
      <w:r w:rsidR="00BF4E4E" w:rsidRPr="00471447">
        <w:rPr>
          <w:rFonts w:ascii="Times New Roman" w:eastAsia="Cambria" w:hAnsi="Times New Roman" w:cs="Times New Roman"/>
          <w:kern w:val="22"/>
        </w:rPr>
        <w:t xml:space="preserve">develop ideas </w:t>
      </w:r>
      <w:r w:rsidR="00AD08A5" w:rsidRPr="00471447">
        <w:rPr>
          <w:rFonts w:ascii="Times New Roman" w:eastAsia="Cambria" w:hAnsi="Times New Roman" w:cs="Times New Roman"/>
          <w:kern w:val="22"/>
        </w:rPr>
        <w:t>and</w:t>
      </w:r>
      <w:r w:rsidRPr="00471447">
        <w:rPr>
          <w:rFonts w:ascii="Times New Roman" w:eastAsia="Cambria" w:hAnsi="Times New Roman" w:cs="Times New Roman"/>
          <w:kern w:val="22"/>
        </w:rPr>
        <w:t xml:space="preserve"> </w:t>
      </w:r>
      <w:r w:rsidR="00BF4E4E" w:rsidRPr="00471447">
        <w:rPr>
          <w:rFonts w:ascii="Times New Roman" w:eastAsia="Cambria" w:hAnsi="Times New Roman" w:cs="Times New Roman"/>
          <w:kern w:val="22"/>
        </w:rPr>
        <w:t>proposals</w:t>
      </w:r>
      <w:r w:rsidR="00AD08A5" w:rsidRPr="00471447">
        <w:rPr>
          <w:rFonts w:ascii="Times New Roman" w:eastAsia="Cambria" w:hAnsi="Times New Roman" w:cs="Times New Roman"/>
          <w:kern w:val="22"/>
        </w:rPr>
        <w:t xml:space="preserve"> on how this can be achieved at the international level in future meetings of the ILG</w:t>
      </w:r>
      <w:r w:rsidR="00BF4E4E" w:rsidRPr="00471447">
        <w:rPr>
          <w:rFonts w:ascii="Times New Roman" w:eastAsia="Cambria" w:hAnsi="Times New Roman" w:cs="Times New Roman"/>
          <w:kern w:val="22"/>
        </w:rPr>
        <w:t xml:space="preserve">. </w:t>
      </w:r>
      <w:r w:rsidR="00AD08A5" w:rsidRPr="00471447">
        <w:rPr>
          <w:rFonts w:ascii="Times New Roman" w:eastAsia="Cambria" w:hAnsi="Times New Roman" w:cs="Times New Roman"/>
          <w:kern w:val="22"/>
        </w:rPr>
        <w:t>Some initial discussions will be proposed</w:t>
      </w:r>
      <w:r w:rsidR="00561D0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 xml:space="preserve">among a subset of members of the ILG </w:t>
      </w:r>
      <w:r w:rsidR="00561D0E" w:rsidRPr="00471447">
        <w:rPr>
          <w:rFonts w:ascii="Times New Roman" w:eastAsia="Cambria" w:hAnsi="Times New Roman" w:cs="Times New Roman"/>
          <w:kern w:val="22"/>
        </w:rPr>
        <w:t>on how to engage at this level as well</w:t>
      </w:r>
      <w:r w:rsidR="001C2AC1" w:rsidRPr="00471447">
        <w:rPr>
          <w:rFonts w:ascii="Times New Roman" w:eastAsia="Cambria" w:hAnsi="Times New Roman" w:cs="Times New Roman"/>
          <w:kern w:val="22"/>
        </w:rPr>
        <w:t xml:space="preserve"> and will be further discussed at a future meeting.</w:t>
      </w:r>
    </w:p>
    <w:p w:rsidR="00C01AA8" w:rsidRPr="00471447" w:rsidRDefault="00561D0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Prior to summarizing key actions, t</w:t>
      </w:r>
      <w:r w:rsidR="00AD08A5" w:rsidRPr="00471447">
        <w:rPr>
          <w:rFonts w:ascii="Times New Roman" w:eastAsia="Cambria" w:hAnsi="Times New Roman" w:cs="Times New Roman"/>
          <w:kern w:val="22"/>
        </w:rPr>
        <w:t xml:space="preserve">he </w:t>
      </w:r>
      <w:r w:rsidR="001C2AC1" w:rsidRPr="00471447">
        <w:rPr>
          <w:rFonts w:ascii="Times New Roman" w:eastAsia="Cambria" w:hAnsi="Times New Roman" w:cs="Times New Roman"/>
          <w:kern w:val="22"/>
        </w:rPr>
        <w:t xml:space="preserve">co-chairs invited the </w:t>
      </w:r>
      <w:r w:rsidR="00AD08A5" w:rsidRPr="00471447">
        <w:rPr>
          <w:rFonts w:ascii="Times New Roman" w:eastAsia="Cambria" w:hAnsi="Times New Roman" w:cs="Times New Roman"/>
          <w:kern w:val="22"/>
        </w:rPr>
        <w:t xml:space="preserve">group to make </w:t>
      </w:r>
      <w:r w:rsidRPr="00471447">
        <w:rPr>
          <w:rFonts w:ascii="Times New Roman" w:eastAsia="Cambria" w:hAnsi="Times New Roman" w:cs="Times New Roman"/>
          <w:kern w:val="22"/>
        </w:rPr>
        <w:t>final comments</w:t>
      </w:r>
      <w:r w:rsidR="001C2AC1" w:rsidRPr="00471447">
        <w:rPr>
          <w:rFonts w:ascii="Times New Roman" w:eastAsia="Cambria" w:hAnsi="Times New Roman" w:cs="Times New Roman"/>
          <w:kern w:val="22"/>
        </w:rPr>
        <w:t xml:space="preserve"> on</w:t>
      </w:r>
      <w:r w:rsidRPr="00471447">
        <w:rPr>
          <w:rFonts w:ascii="Times New Roman" w:eastAsia="Cambria" w:hAnsi="Times New Roman" w:cs="Times New Roman"/>
          <w:kern w:val="22"/>
        </w:rPr>
        <w:t xml:space="preserve"> the Terms of Reference and Modus O</w:t>
      </w:r>
      <w:r w:rsidR="00AD08A5" w:rsidRPr="00471447">
        <w:rPr>
          <w:rFonts w:ascii="Times New Roman" w:eastAsia="Cambria" w:hAnsi="Times New Roman" w:cs="Times New Roman"/>
          <w:kern w:val="22"/>
        </w:rPr>
        <w:t>perandi</w:t>
      </w:r>
      <w:r w:rsidRPr="00471447">
        <w:rPr>
          <w:rFonts w:ascii="Times New Roman" w:eastAsia="Cambria" w:hAnsi="Times New Roman" w:cs="Times New Roman"/>
          <w:kern w:val="22"/>
        </w:rPr>
        <w:t xml:space="preserve"> for the ILG</w:t>
      </w:r>
      <w:r w:rsidR="00AD08A5" w:rsidRPr="00471447">
        <w:rPr>
          <w:rFonts w:ascii="Times New Roman" w:eastAsia="Cambria" w:hAnsi="Times New Roman" w:cs="Times New Roman"/>
          <w:kern w:val="22"/>
        </w:rPr>
        <w:t>.</w:t>
      </w:r>
      <w:r w:rsidRPr="00471447">
        <w:rPr>
          <w:rFonts w:ascii="Times New Roman" w:eastAsia="Cambria" w:hAnsi="Times New Roman" w:cs="Times New Roman"/>
          <w:kern w:val="22"/>
        </w:rPr>
        <w:t xml:space="preserve"> </w:t>
      </w:r>
      <w:r w:rsidR="00D56394" w:rsidRPr="00471447">
        <w:rPr>
          <w:rFonts w:ascii="Times New Roman" w:eastAsia="Cambria" w:hAnsi="Times New Roman" w:cs="Times New Roman"/>
          <w:kern w:val="22"/>
        </w:rPr>
        <w:t xml:space="preserve">Further ideas in preparation for the next meeting </w:t>
      </w:r>
      <w:r w:rsidR="00CD366E" w:rsidRPr="00471447">
        <w:rPr>
          <w:rFonts w:ascii="Times New Roman" w:eastAsia="Cambria" w:hAnsi="Times New Roman" w:cs="Times New Roman"/>
          <w:kern w:val="22"/>
        </w:rPr>
        <w:t xml:space="preserve">were </w:t>
      </w:r>
      <w:r w:rsidR="001C2AC1" w:rsidRPr="00471447">
        <w:rPr>
          <w:rFonts w:ascii="Times New Roman" w:eastAsia="Cambria" w:hAnsi="Times New Roman" w:cs="Times New Roman"/>
          <w:kern w:val="22"/>
        </w:rPr>
        <w:t xml:space="preserve">also </w:t>
      </w:r>
      <w:r w:rsidR="00CD366E" w:rsidRPr="00471447">
        <w:rPr>
          <w:rFonts w:ascii="Times New Roman" w:eastAsia="Cambria" w:hAnsi="Times New Roman" w:cs="Times New Roman"/>
          <w:kern w:val="22"/>
        </w:rPr>
        <w:t>invited</w:t>
      </w:r>
      <w:r w:rsidR="00D56394" w:rsidRPr="00471447">
        <w:rPr>
          <w:rFonts w:ascii="Times New Roman" w:eastAsia="Cambria" w:hAnsi="Times New Roman" w:cs="Times New Roman"/>
          <w:kern w:val="22"/>
        </w:rPr>
        <w:t>.</w:t>
      </w:r>
      <w:r w:rsidR="00CD366E" w:rsidRPr="00471447">
        <w:rPr>
          <w:rFonts w:ascii="Times New Roman" w:eastAsia="Cambria" w:hAnsi="Times New Roman" w:cs="Times New Roman"/>
          <w:kern w:val="22"/>
        </w:rPr>
        <w:t xml:space="preserve"> </w:t>
      </w:r>
    </w:p>
    <w:p w:rsidR="00D56394" w:rsidRPr="00471447" w:rsidRDefault="00CD366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T</w:t>
      </w:r>
      <w:r w:rsidR="00C01AA8" w:rsidRPr="00471447">
        <w:rPr>
          <w:rFonts w:ascii="Times New Roman" w:eastAsia="Cambria" w:hAnsi="Times New Roman" w:cs="Times New Roman"/>
          <w:kern w:val="22"/>
        </w:rPr>
        <w:t>o conclude, t</w:t>
      </w:r>
      <w:r w:rsidRPr="00471447">
        <w:rPr>
          <w:rFonts w:ascii="Times New Roman" w:eastAsia="Cambria" w:hAnsi="Times New Roman" w:cs="Times New Roman"/>
          <w:kern w:val="22"/>
        </w:rPr>
        <w:t>he following</w:t>
      </w:r>
      <w:r w:rsidR="00C01AA8"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summary</w:t>
      </w:r>
      <w:r w:rsidR="00D56394" w:rsidRPr="00471447">
        <w:rPr>
          <w:rFonts w:ascii="Times New Roman" w:eastAsia="Cambria" w:hAnsi="Times New Roman" w:cs="Times New Roman"/>
          <w:kern w:val="22"/>
        </w:rPr>
        <w:t xml:space="preserve"> and</w:t>
      </w:r>
      <w:r w:rsidR="00F9200A" w:rsidRPr="00471447">
        <w:rPr>
          <w:rFonts w:ascii="Times New Roman" w:eastAsia="Cambria" w:hAnsi="Times New Roman" w:cs="Times New Roman"/>
          <w:kern w:val="22"/>
        </w:rPr>
        <w:t xml:space="preserve"> follow-up </w:t>
      </w:r>
      <w:r w:rsidR="00C01AA8" w:rsidRPr="00471447">
        <w:rPr>
          <w:rFonts w:ascii="Times New Roman" w:eastAsia="Cambria" w:hAnsi="Times New Roman" w:cs="Times New Roman"/>
          <w:kern w:val="22"/>
        </w:rPr>
        <w:t xml:space="preserve">actions </w:t>
      </w:r>
      <w:r w:rsidR="00D56394" w:rsidRPr="00471447">
        <w:rPr>
          <w:rFonts w:ascii="Times New Roman" w:eastAsia="Cambria" w:hAnsi="Times New Roman" w:cs="Times New Roman"/>
          <w:kern w:val="22"/>
        </w:rPr>
        <w:t>were identified</w:t>
      </w:r>
      <w:r w:rsidR="00F904AC" w:rsidRPr="00471447">
        <w:rPr>
          <w:rFonts w:ascii="Times New Roman" w:eastAsia="Cambria" w:hAnsi="Times New Roman" w:cs="Times New Roman"/>
          <w:kern w:val="22"/>
        </w:rPr>
        <w:t>. It was agreed</w:t>
      </w:r>
      <w:r w:rsidR="00D56394" w:rsidRPr="00471447">
        <w:rPr>
          <w:rFonts w:ascii="Times New Roman" w:eastAsia="Cambria" w:hAnsi="Times New Roman" w:cs="Times New Roman"/>
          <w:kern w:val="22"/>
        </w:rPr>
        <w:t>:</w:t>
      </w:r>
    </w:p>
    <w:p w:rsidR="00CD366E" w:rsidRPr="00471447" w:rsidRDefault="00F904AC"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t>
      </w:r>
      <w:r w:rsidR="00F9200A" w:rsidRPr="00471447">
        <w:rPr>
          <w:rFonts w:ascii="Times New Roman" w:eastAsia="Cambria" w:hAnsi="Times New Roman" w:cs="Times New Roman"/>
          <w:kern w:val="22"/>
        </w:rPr>
        <w:t xml:space="preserve">could support further work on indicators on biodiversity and health, </w:t>
      </w:r>
      <w:r w:rsidR="00CD366E" w:rsidRPr="00471447">
        <w:rPr>
          <w:rFonts w:ascii="Times New Roman" w:eastAsia="Cambria" w:hAnsi="Times New Roman" w:cs="Times New Roman"/>
          <w:kern w:val="22"/>
        </w:rPr>
        <w:t>leverag</w:t>
      </w:r>
      <w:r w:rsidR="00F9200A" w:rsidRPr="00471447">
        <w:rPr>
          <w:rFonts w:ascii="Times New Roman" w:eastAsia="Cambria" w:hAnsi="Times New Roman" w:cs="Times New Roman"/>
          <w:kern w:val="22"/>
        </w:rPr>
        <w:t>ing</w:t>
      </w:r>
      <w:r w:rsidR="00CD366E" w:rsidRPr="00471447">
        <w:rPr>
          <w:rFonts w:ascii="Times New Roman" w:eastAsia="Cambria" w:hAnsi="Times New Roman" w:cs="Times New Roman"/>
          <w:kern w:val="22"/>
        </w:rPr>
        <w:t xml:space="preserve"> existing biodiversity indicators </w:t>
      </w:r>
      <w:r w:rsidR="00B77E3E" w:rsidRPr="00471447">
        <w:rPr>
          <w:rFonts w:ascii="Times New Roman" w:eastAsia="Cambria" w:hAnsi="Times New Roman" w:cs="Times New Roman"/>
          <w:kern w:val="22"/>
        </w:rPr>
        <w:t>to</w:t>
      </w:r>
      <w:r w:rsidR="00CD366E" w:rsidRPr="00471447">
        <w:rPr>
          <w:rFonts w:ascii="Times New Roman" w:eastAsia="Cambria" w:hAnsi="Times New Roman" w:cs="Times New Roman"/>
          <w:kern w:val="22"/>
        </w:rPr>
        <w:t xml:space="preserve"> meaningfully inform public health work. </w:t>
      </w:r>
      <w:r w:rsidR="00F9200A" w:rsidRPr="00471447">
        <w:rPr>
          <w:rFonts w:ascii="Times New Roman" w:eastAsia="Cambria" w:hAnsi="Times New Roman" w:cs="Times New Roman"/>
          <w:kern w:val="22"/>
        </w:rPr>
        <w:t>It will also submit further information requested by the Chinese CDC</w:t>
      </w:r>
      <w:r w:rsidRPr="00471447">
        <w:rPr>
          <w:rFonts w:ascii="Times New Roman" w:eastAsia="Cambria" w:hAnsi="Times New Roman" w:cs="Times New Roman"/>
          <w:kern w:val="22"/>
        </w:rPr>
        <w:t xml:space="preserve"> in this regard</w:t>
      </w:r>
      <w:r w:rsidR="00F9200A" w:rsidRPr="00471447">
        <w:rPr>
          <w:rFonts w:ascii="Times New Roman" w:eastAsia="Cambria" w:hAnsi="Times New Roman" w:cs="Times New Roman"/>
          <w:kern w:val="22"/>
        </w:rPr>
        <w:t xml:space="preserve">. ILG </w:t>
      </w:r>
      <w:r w:rsidR="00CD366E" w:rsidRPr="00471447">
        <w:rPr>
          <w:rFonts w:ascii="Times New Roman" w:eastAsia="Cambria" w:hAnsi="Times New Roman" w:cs="Times New Roman"/>
          <w:kern w:val="22"/>
        </w:rPr>
        <w:t xml:space="preserve">Members </w:t>
      </w:r>
      <w:r w:rsidR="00B77E3E" w:rsidRPr="00471447">
        <w:rPr>
          <w:rFonts w:ascii="Times New Roman" w:eastAsia="Cambria" w:hAnsi="Times New Roman" w:cs="Times New Roman"/>
          <w:kern w:val="22"/>
        </w:rPr>
        <w:t>will give further thought to</w:t>
      </w:r>
      <w:r w:rsidR="00CD366E" w:rsidRPr="00471447">
        <w:rPr>
          <w:rFonts w:ascii="Times New Roman" w:eastAsia="Cambria" w:hAnsi="Times New Roman" w:cs="Times New Roman"/>
          <w:kern w:val="22"/>
        </w:rPr>
        <w:t xml:space="preserve"> </w:t>
      </w:r>
      <w:r w:rsidR="00F9200A" w:rsidRPr="00471447">
        <w:rPr>
          <w:rFonts w:ascii="Times New Roman" w:eastAsia="Cambria" w:hAnsi="Times New Roman" w:cs="Times New Roman"/>
          <w:kern w:val="22"/>
        </w:rPr>
        <w:t xml:space="preserve">other </w:t>
      </w:r>
      <w:r w:rsidR="00CD366E" w:rsidRPr="00471447">
        <w:rPr>
          <w:rFonts w:ascii="Times New Roman" w:eastAsia="Cambria" w:hAnsi="Times New Roman" w:cs="Times New Roman"/>
          <w:kern w:val="22"/>
        </w:rPr>
        <w:t xml:space="preserve">partners </w:t>
      </w:r>
      <w:r w:rsidR="00F9200A" w:rsidRPr="00471447">
        <w:rPr>
          <w:rFonts w:ascii="Times New Roman" w:eastAsia="Cambria" w:hAnsi="Times New Roman" w:cs="Times New Roman"/>
          <w:kern w:val="22"/>
        </w:rPr>
        <w:t>who</w:t>
      </w:r>
      <w:r w:rsidR="00CD366E" w:rsidRPr="00471447">
        <w:rPr>
          <w:rFonts w:ascii="Times New Roman" w:eastAsia="Cambria" w:hAnsi="Times New Roman" w:cs="Times New Roman"/>
          <w:kern w:val="22"/>
        </w:rPr>
        <w:t xml:space="preserve"> </w:t>
      </w:r>
      <w:r w:rsidR="00F9200A" w:rsidRPr="00471447">
        <w:rPr>
          <w:rFonts w:ascii="Times New Roman" w:eastAsia="Cambria" w:hAnsi="Times New Roman" w:cs="Times New Roman"/>
          <w:kern w:val="22"/>
        </w:rPr>
        <w:t>may</w:t>
      </w:r>
      <w:r w:rsidR="00CD366E" w:rsidRPr="00471447">
        <w:rPr>
          <w:rFonts w:ascii="Times New Roman" w:eastAsia="Cambria" w:hAnsi="Times New Roman" w:cs="Times New Roman"/>
          <w:kern w:val="22"/>
        </w:rPr>
        <w:t xml:space="preserve"> </w:t>
      </w:r>
      <w:r w:rsidR="00B77E3E" w:rsidRPr="00471447">
        <w:rPr>
          <w:rFonts w:ascii="Times New Roman" w:eastAsia="Cambria" w:hAnsi="Times New Roman" w:cs="Times New Roman"/>
          <w:kern w:val="22"/>
        </w:rPr>
        <w:t xml:space="preserve">assist </w:t>
      </w:r>
      <w:r w:rsidR="00CD366E" w:rsidRPr="00471447">
        <w:rPr>
          <w:rFonts w:ascii="Times New Roman" w:eastAsia="Cambria" w:hAnsi="Times New Roman" w:cs="Times New Roman"/>
          <w:kern w:val="22"/>
        </w:rPr>
        <w:t>with this task.</w:t>
      </w:r>
    </w:p>
    <w:p w:rsidR="00F9200A" w:rsidRPr="00471447" w:rsidRDefault="00F904AC"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t>
      </w:r>
      <w:r w:rsidR="00B77E3E" w:rsidRPr="00471447">
        <w:rPr>
          <w:rFonts w:ascii="Times New Roman" w:eastAsia="Cambria" w:hAnsi="Times New Roman" w:cs="Times New Roman"/>
          <w:kern w:val="22"/>
        </w:rPr>
        <w:t xml:space="preserve">will </w:t>
      </w:r>
      <w:r w:rsidR="00CD366E" w:rsidRPr="00471447">
        <w:rPr>
          <w:rFonts w:ascii="Times New Roman" w:eastAsia="Cambria" w:hAnsi="Times New Roman" w:cs="Times New Roman"/>
          <w:kern w:val="22"/>
        </w:rPr>
        <w:t xml:space="preserve">continue </w:t>
      </w:r>
      <w:r w:rsidRPr="00471447">
        <w:rPr>
          <w:rFonts w:ascii="Times New Roman" w:eastAsia="Cambria" w:hAnsi="Times New Roman" w:cs="Times New Roman"/>
          <w:kern w:val="22"/>
        </w:rPr>
        <w:t xml:space="preserve">its </w:t>
      </w:r>
      <w:r w:rsidR="00CD366E" w:rsidRPr="00471447">
        <w:rPr>
          <w:rFonts w:ascii="Times New Roman" w:eastAsia="Cambria" w:hAnsi="Times New Roman" w:cs="Times New Roman"/>
          <w:kern w:val="22"/>
        </w:rPr>
        <w:t xml:space="preserve">work to </w:t>
      </w:r>
      <w:r w:rsidR="00B77E3E" w:rsidRPr="00471447">
        <w:rPr>
          <w:rFonts w:ascii="Times New Roman" w:eastAsia="Cambria" w:hAnsi="Times New Roman" w:cs="Times New Roman"/>
          <w:kern w:val="22"/>
        </w:rPr>
        <w:t xml:space="preserve">further </w:t>
      </w:r>
      <w:r w:rsidR="00CD366E" w:rsidRPr="00471447">
        <w:rPr>
          <w:rFonts w:ascii="Times New Roman" w:eastAsia="Cambria" w:hAnsi="Times New Roman" w:cs="Times New Roman"/>
          <w:kern w:val="22"/>
        </w:rPr>
        <w:t xml:space="preserve">define </w:t>
      </w:r>
      <w:r w:rsidR="00B77E3E" w:rsidRPr="00471447">
        <w:rPr>
          <w:rFonts w:ascii="Times New Roman" w:eastAsia="Cambria" w:hAnsi="Times New Roman" w:cs="Times New Roman"/>
          <w:kern w:val="22"/>
        </w:rPr>
        <w:t>initial</w:t>
      </w:r>
      <w:r w:rsidRPr="00471447">
        <w:rPr>
          <w:rFonts w:ascii="Times New Roman" w:eastAsia="Cambria" w:hAnsi="Times New Roman" w:cs="Times New Roman"/>
          <w:kern w:val="22"/>
        </w:rPr>
        <w:t xml:space="preserve"> priority areas</w:t>
      </w:r>
      <w:r w:rsidR="00CD366E" w:rsidRPr="00471447">
        <w:rPr>
          <w:rFonts w:ascii="Times New Roman" w:eastAsia="Cambria" w:hAnsi="Times New Roman" w:cs="Times New Roman"/>
          <w:kern w:val="22"/>
        </w:rPr>
        <w:t xml:space="preserve"> </w:t>
      </w:r>
      <w:r w:rsidR="00B77E3E" w:rsidRPr="00471447">
        <w:rPr>
          <w:rFonts w:ascii="Times New Roman" w:eastAsia="Cambria" w:hAnsi="Times New Roman" w:cs="Times New Roman"/>
          <w:kern w:val="22"/>
        </w:rPr>
        <w:t>with a view to preparing</w:t>
      </w:r>
      <w:r w:rsidR="00CD366E" w:rsidRPr="00471447">
        <w:rPr>
          <w:rFonts w:ascii="Times New Roman" w:eastAsia="Cambria" w:hAnsi="Times New Roman" w:cs="Times New Roman"/>
          <w:kern w:val="22"/>
        </w:rPr>
        <w:t xml:space="preserve"> a </w:t>
      </w:r>
      <w:r w:rsidR="00F9200A" w:rsidRPr="00471447">
        <w:rPr>
          <w:rFonts w:ascii="Times New Roman" w:eastAsia="Cambria" w:hAnsi="Times New Roman" w:cs="Times New Roman"/>
          <w:kern w:val="22"/>
        </w:rPr>
        <w:t>work plan/</w:t>
      </w:r>
      <w:r w:rsidR="00CD366E" w:rsidRPr="00471447">
        <w:rPr>
          <w:rFonts w:ascii="Times New Roman" w:eastAsia="Cambria" w:hAnsi="Times New Roman" w:cs="Times New Roman"/>
          <w:kern w:val="22"/>
        </w:rPr>
        <w:t xml:space="preserve">roadmap for further work in each of </w:t>
      </w:r>
      <w:r w:rsidR="00777915" w:rsidRPr="00471447">
        <w:rPr>
          <w:rFonts w:ascii="Times New Roman" w:eastAsia="Cambria" w:hAnsi="Times New Roman" w:cs="Times New Roman"/>
          <w:kern w:val="22"/>
        </w:rPr>
        <w:t>them</w:t>
      </w:r>
      <w:r w:rsidR="00CD366E" w:rsidRPr="00471447">
        <w:rPr>
          <w:rFonts w:ascii="Times New Roman" w:eastAsia="Cambria" w:hAnsi="Times New Roman" w:cs="Times New Roman"/>
          <w:kern w:val="22"/>
        </w:rPr>
        <w:t>.</w:t>
      </w:r>
      <w:r w:rsidR="004A2908" w:rsidRPr="00471447">
        <w:rPr>
          <w:rFonts w:ascii="Times New Roman" w:eastAsia="Cambria" w:hAnsi="Times New Roman" w:cs="Times New Roman"/>
          <w:kern w:val="22"/>
        </w:rPr>
        <w:t xml:space="preserve"> </w:t>
      </w:r>
    </w:p>
    <w:p w:rsidR="00B77E3E" w:rsidRPr="00471447" w:rsidRDefault="00777915"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t>
      </w:r>
      <w:r w:rsidR="00CD366E" w:rsidRPr="00471447">
        <w:rPr>
          <w:rFonts w:ascii="Times New Roman" w:eastAsia="Cambria" w:hAnsi="Times New Roman" w:cs="Times New Roman"/>
          <w:kern w:val="22"/>
        </w:rPr>
        <w:t xml:space="preserve">will </w:t>
      </w:r>
      <w:r w:rsidR="00B77E3E" w:rsidRPr="00471447">
        <w:rPr>
          <w:rFonts w:ascii="Times New Roman" w:eastAsia="Cambria" w:hAnsi="Times New Roman" w:cs="Times New Roman"/>
          <w:kern w:val="22"/>
        </w:rPr>
        <w:t xml:space="preserve">also </w:t>
      </w:r>
      <w:r w:rsidR="00CD366E" w:rsidRPr="00471447">
        <w:rPr>
          <w:rFonts w:ascii="Times New Roman" w:eastAsia="Cambria" w:hAnsi="Times New Roman" w:cs="Times New Roman"/>
          <w:kern w:val="22"/>
        </w:rPr>
        <w:t xml:space="preserve">work to </w:t>
      </w:r>
      <w:r w:rsidRPr="00471447">
        <w:rPr>
          <w:rFonts w:ascii="Times New Roman" w:eastAsia="Cambria" w:hAnsi="Times New Roman" w:cs="Times New Roman"/>
          <w:kern w:val="22"/>
        </w:rPr>
        <w:t xml:space="preserve">develop </w:t>
      </w:r>
      <w:r w:rsidR="00CD366E" w:rsidRPr="00471447">
        <w:rPr>
          <w:rFonts w:ascii="Times New Roman" w:eastAsia="Cambria" w:hAnsi="Times New Roman" w:cs="Times New Roman"/>
          <w:kern w:val="22"/>
        </w:rPr>
        <w:t>key messages for each of the areas</w:t>
      </w:r>
      <w:r w:rsidR="004A2908" w:rsidRPr="00471447">
        <w:rPr>
          <w:rFonts w:ascii="Times New Roman" w:eastAsia="Cambria" w:hAnsi="Times New Roman" w:cs="Times New Roman"/>
          <w:kern w:val="22"/>
        </w:rPr>
        <w:t xml:space="preserve"> identified as initial priority areas</w:t>
      </w:r>
      <w:r w:rsidR="00B77E3E" w:rsidRPr="00471447">
        <w:rPr>
          <w:rFonts w:ascii="Times New Roman" w:eastAsia="Cambria" w:hAnsi="Times New Roman" w:cs="Times New Roman"/>
          <w:kern w:val="22"/>
        </w:rPr>
        <w:t xml:space="preserve"> for the development of key messages</w:t>
      </w:r>
      <w:r w:rsidRPr="00471447">
        <w:rPr>
          <w:rFonts w:ascii="Times New Roman" w:eastAsia="Cambria" w:hAnsi="Times New Roman" w:cs="Times New Roman"/>
          <w:kern w:val="22"/>
        </w:rPr>
        <w:t xml:space="preserve"> on</w:t>
      </w:r>
      <w:r w:rsidR="00CD366E" w:rsidRPr="00471447">
        <w:rPr>
          <w:rFonts w:ascii="Times New Roman" w:eastAsia="Cambria" w:hAnsi="Times New Roman" w:cs="Times New Roman"/>
          <w:kern w:val="22"/>
        </w:rPr>
        <w:t xml:space="preserve">: 1) ecosystem degradation 2) diversity of </w:t>
      </w:r>
      <w:r w:rsidR="004A2908" w:rsidRPr="00471447">
        <w:rPr>
          <w:rFonts w:ascii="Times New Roman" w:eastAsia="Cambria" w:hAnsi="Times New Roman" w:cs="Times New Roman"/>
          <w:kern w:val="22"/>
        </w:rPr>
        <w:t>diets/</w:t>
      </w:r>
      <w:r w:rsidR="00CD366E" w:rsidRPr="00471447">
        <w:rPr>
          <w:rFonts w:ascii="Times New Roman" w:eastAsia="Cambria" w:hAnsi="Times New Roman" w:cs="Times New Roman"/>
          <w:kern w:val="22"/>
        </w:rPr>
        <w:t xml:space="preserve">nutrition 3) urban green spaces 4) prevention. </w:t>
      </w:r>
      <w:r w:rsidR="00F9200A" w:rsidRPr="00471447">
        <w:rPr>
          <w:rFonts w:ascii="Times New Roman" w:eastAsia="Cambria" w:hAnsi="Times New Roman" w:cs="Times New Roman"/>
          <w:kern w:val="22"/>
        </w:rPr>
        <w:t>Simple k</w:t>
      </w:r>
      <w:r w:rsidR="004A2908" w:rsidRPr="00471447">
        <w:rPr>
          <w:rFonts w:ascii="Times New Roman" w:eastAsia="Cambria" w:hAnsi="Times New Roman" w:cs="Times New Roman"/>
          <w:kern w:val="22"/>
        </w:rPr>
        <w:t xml:space="preserve">ey messages will be </w:t>
      </w:r>
      <w:r w:rsidR="00CD366E" w:rsidRPr="00471447">
        <w:rPr>
          <w:rFonts w:ascii="Times New Roman" w:eastAsia="Cambria" w:hAnsi="Times New Roman" w:cs="Times New Roman"/>
          <w:kern w:val="22"/>
        </w:rPr>
        <w:t>formulated</w:t>
      </w:r>
      <w:r w:rsidR="00B77E3E" w:rsidRPr="00471447">
        <w:rPr>
          <w:rFonts w:ascii="Times New Roman" w:eastAsia="Cambria" w:hAnsi="Times New Roman" w:cs="Times New Roman"/>
          <w:kern w:val="22"/>
        </w:rPr>
        <w:t xml:space="preserve"> for each of the</w:t>
      </w:r>
      <w:r w:rsidR="00F9200A" w:rsidRPr="00471447">
        <w:rPr>
          <w:rFonts w:ascii="Times New Roman" w:eastAsia="Cambria" w:hAnsi="Times New Roman" w:cs="Times New Roman"/>
          <w:kern w:val="22"/>
        </w:rPr>
        <w:t>se</w:t>
      </w:r>
      <w:r w:rsidR="00B77E3E" w:rsidRPr="00471447">
        <w:rPr>
          <w:rFonts w:ascii="Times New Roman" w:eastAsia="Cambria" w:hAnsi="Times New Roman" w:cs="Times New Roman"/>
          <w:kern w:val="22"/>
        </w:rPr>
        <w:t>, with climate change as a cross-cutting issue</w:t>
      </w:r>
      <w:r w:rsidR="00CD366E" w:rsidRPr="00471447">
        <w:rPr>
          <w:rFonts w:ascii="Times New Roman" w:eastAsia="Cambria" w:hAnsi="Times New Roman" w:cs="Times New Roman"/>
          <w:kern w:val="22"/>
        </w:rPr>
        <w:t xml:space="preserve">. </w:t>
      </w:r>
      <w:r w:rsidR="00B77E3E" w:rsidRPr="00471447">
        <w:rPr>
          <w:rFonts w:ascii="Times New Roman" w:eastAsia="Cambria" w:hAnsi="Times New Roman" w:cs="Times New Roman"/>
          <w:kern w:val="22"/>
        </w:rPr>
        <w:t>S</w:t>
      </w:r>
      <w:r w:rsidR="00CD366E" w:rsidRPr="00471447">
        <w:rPr>
          <w:rFonts w:ascii="Times New Roman" w:eastAsia="Cambria" w:hAnsi="Times New Roman" w:cs="Times New Roman"/>
          <w:kern w:val="22"/>
        </w:rPr>
        <w:t>imple key messages that can be disseminated on social media platforms</w:t>
      </w:r>
      <w:r w:rsidR="00B77E3E"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should</w:t>
      </w:r>
      <w:r w:rsidR="00B77E3E" w:rsidRPr="00471447">
        <w:rPr>
          <w:rFonts w:ascii="Times New Roman" w:eastAsia="Cambria" w:hAnsi="Times New Roman" w:cs="Times New Roman"/>
          <w:kern w:val="22"/>
        </w:rPr>
        <w:t xml:space="preserve"> </w:t>
      </w:r>
      <w:r w:rsidR="00F9200A" w:rsidRPr="00471447">
        <w:rPr>
          <w:rFonts w:ascii="Times New Roman" w:eastAsia="Cambria" w:hAnsi="Times New Roman" w:cs="Times New Roman"/>
          <w:kern w:val="22"/>
        </w:rPr>
        <w:t>be prioritized</w:t>
      </w:r>
      <w:r w:rsidR="004A2908" w:rsidRPr="00471447">
        <w:rPr>
          <w:rFonts w:ascii="Times New Roman" w:eastAsia="Cambria" w:hAnsi="Times New Roman" w:cs="Times New Roman"/>
          <w:kern w:val="22"/>
        </w:rPr>
        <w:t>.</w:t>
      </w:r>
      <w:r w:rsidR="00CD366E" w:rsidRPr="00471447">
        <w:rPr>
          <w:rFonts w:ascii="Times New Roman" w:eastAsia="Cambria" w:hAnsi="Times New Roman" w:cs="Times New Roman"/>
          <w:kern w:val="22"/>
        </w:rPr>
        <w:t xml:space="preserve"> </w:t>
      </w:r>
    </w:p>
    <w:p w:rsidR="00777915" w:rsidRPr="00471447" w:rsidRDefault="004A2908"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Once the </w:t>
      </w:r>
      <w:r w:rsidR="00B77E3E" w:rsidRPr="00471447">
        <w:rPr>
          <w:rFonts w:ascii="Times New Roman" w:eastAsia="Cambria" w:hAnsi="Times New Roman" w:cs="Times New Roman"/>
          <w:kern w:val="22"/>
        </w:rPr>
        <w:t>work plan/</w:t>
      </w:r>
      <w:r w:rsidRPr="00471447">
        <w:rPr>
          <w:rFonts w:ascii="Times New Roman" w:eastAsia="Cambria" w:hAnsi="Times New Roman" w:cs="Times New Roman"/>
          <w:kern w:val="22"/>
        </w:rPr>
        <w:t xml:space="preserve">roadmap </w:t>
      </w:r>
      <w:r w:rsidR="00777915" w:rsidRPr="00471447">
        <w:rPr>
          <w:rFonts w:ascii="Times New Roman" w:eastAsia="Cambria" w:hAnsi="Times New Roman" w:cs="Times New Roman"/>
          <w:kern w:val="22"/>
        </w:rPr>
        <w:t xml:space="preserve">is </w:t>
      </w:r>
      <w:r w:rsidRPr="00471447">
        <w:rPr>
          <w:rFonts w:ascii="Times New Roman" w:eastAsia="Cambria" w:hAnsi="Times New Roman" w:cs="Times New Roman"/>
          <w:kern w:val="22"/>
        </w:rPr>
        <w:t xml:space="preserve">defined a more specific research agenda, aligned with policy priorities, will also be </w:t>
      </w:r>
      <w:r w:rsidR="00B77E3E" w:rsidRPr="00471447">
        <w:rPr>
          <w:rFonts w:ascii="Times New Roman" w:eastAsia="Cambria" w:hAnsi="Times New Roman" w:cs="Times New Roman"/>
          <w:kern w:val="22"/>
        </w:rPr>
        <w:t>identified</w:t>
      </w:r>
      <w:r w:rsidR="00F904AC" w:rsidRPr="00471447">
        <w:rPr>
          <w:rFonts w:ascii="Times New Roman" w:eastAsia="Cambria" w:hAnsi="Times New Roman" w:cs="Times New Roman"/>
          <w:kern w:val="22"/>
        </w:rPr>
        <w:t>. This item will be</w:t>
      </w:r>
      <w:r w:rsidR="00B77E3E" w:rsidRPr="00471447">
        <w:rPr>
          <w:rFonts w:ascii="Times New Roman" w:eastAsia="Cambria" w:hAnsi="Times New Roman" w:cs="Times New Roman"/>
          <w:kern w:val="22"/>
        </w:rPr>
        <w:t xml:space="preserve"> discussed</w:t>
      </w:r>
      <w:r w:rsidRPr="00471447">
        <w:rPr>
          <w:rFonts w:ascii="Times New Roman" w:eastAsia="Cambria" w:hAnsi="Times New Roman" w:cs="Times New Roman"/>
          <w:kern w:val="22"/>
        </w:rPr>
        <w:t xml:space="preserve"> </w:t>
      </w:r>
      <w:r w:rsidR="00777915" w:rsidRPr="00471447">
        <w:rPr>
          <w:rFonts w:ascii="Times New Roman" w:eastAsia="Cambria" w:hAnsi="Times New Roman" w:cs="Times New Roman"/>
          <w:kern w:val="22"/>
        </w:rPr>
        <w:t xml:space="preserve">further </w:t>
      </w:r>
      <w:r w:rsidRPr="00471447">
        <w:rPr>
          <w:rFonts w:ascii="Times New Roman" w:eastAsia="Cambria" w:hAnsi="Times New Roman" w:cs="Times New Roman"/>
          <w:kern w:val="22"/>
        </w:rPr>
        <w:t xml:space="preserve">at future meeting of the ILG. </w:t>
      </w:r>
    </w:p>
    <w:p w:rsidR="004A2908" w:rsidRPr="00471447" w:rsidRDefault="00777915"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The ILG will further explore ways in which the ILG can support Parties in the implementation of the guidance on integrating biodiversity and ecosystem management in One Health, in line with the outcomes of SBSTTA 21.</w:t>
      </w:r>
    </w:p>
    <w:p w:rsidR="00F9200A" w:rsidRPr="00471447" w:rsidRDefault="00777915"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t>
      </w:r>
      <w:r w:rsidR="00F904AC" w:rsidRPr="00471447">
        <w:rPr>
          <w:rFonts w:ascii="Times New Roman" w:eastAsia="Cambria" w:hAnsi="Times New Roman" w:cs="Times New Roman"/>
          <w:kern w:val="22"/>
        </w:rPr>
        <w:t>recognizes the need to raise awareness of biodiversity and health co-benefits within the health sector</w:t>
      </w:r>
      <w:r w:rsidRPr="00471447">
        <w:rPr>
          <w:rFonts w:ascii="Times New Roman" w:eastAsia="Cambria" w:hAnsi="Times New Roman" w:cs="Times New Roman"/>
          <w:kern w:val="22"/>
        </w:rPr>
        <w:t xml:space="preserve"> as a key priority</w:t>
      </w:r>
      <w:r w:rsidR="000C2677" w:rsidRPr="00471447">
        <w:rPr>
          <w:rFonts w:ascii="Times New Roman" w:eastAsia="Cambria" w:hAnsi="Times New Roman" w:cs="Times New Roman"/>
          <w:kern w:val="22"/>
        </w:rPr>
        <w:t xml:space="preserve">. Raising these issues within the World Health Assembly </w:t>
      </w:r>
      <w:r w:rsidR="009B1AC6" w:rsidRPr="00471447">
        <w:rPr>
          <w:rFonts w:ascii="Times New Roman" w:eastAsia="Cambria" w:hAnsi="Times New Roman" w:cs="Times New Roman"/>
          <w:kern w:val="22"/>
        </w:rPr>
        <w:t>was</w:t>
      </w:r>
      <w:r w:rsidR="00D5538E" w:rsidRPr="00471447">
        <w:rPr>
          <w:rFonts w:ascii="Times New Roman" w:eastAsia="Cambria" w:hAnsi="Times New Roman" w:cs="Times New Roman"/>
          <w:kern w:val="22"/>
        </w:rPr>
        <w:t xml:space="preserve"> also</w:t>
      </w:r>
      <w:r w:rsidR="009B1AC6" w:rsidRPr="00471447">
        <w:rPr>
          <w:rFonts w:ascii="Times New Roman" w:eastAsia="Cambria" w:hAnsi="Times New Roman" w:cs="Times New Roman"/>
          <w:kern w:val="22"/>
        </w:rPr>
        <w:t xml:space="preserve"> identified as</w:t>
      </w:r>
      <w:r w:rsidR="000C2677" w:rsidRPr="00471447">
        <w:rPr>
          <w:rFonts w:ascii="Times New Roman" w:eastAsia="Cambria" w:hAnsi="Times New Roman" w:cs="Times New Roman"/>
          <w:kern w:val="22"/>
        </w:rPr>
        <w:t xml:space="preserve"> </w:t>
      </w:r>
      <w:r w:rsidR="00D5538E" w:rsidRPr="00471447">
        <w:rPr>
          <w:rFonts w:ascii="Times New Roman" w:eastAsia="Cambria" w:hAnsi="Times New Roman" w:cs="Times New Roman"/>
          <w:kern w:val="22"/>
        </w:rPr>
        <w:t>important</w:t>
      </w:r>
      <w:r w:rsidR="000C2677" w:rsidRPr="00471447">
        <w:rPr>
          <w:rFonts w:ascii="Times New Roman" w:eastAsia="Cambria" w:hAnsi="Times New Roman" w:cs="Times New Roman"/>
          <w:kern w:val="22"/>
        </w:rPr>
        <w:t>.</w:t>
      </w:r>
    </w:p>
    <w:p w:rsidR="009B1AC6" w:rsidRPr="00471447" w:rsidRDefault="00777915"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The ILG will seek</w:t>
      </w:r>
      <w:r w:rsidR="000C2677" w:rsidRPr="00471447">
        <w:rPr>
          <w:rFonts w:ascii="Times New Roman" w:eastAsia="Cambria" w:hAnsi="Times New Roman" w:cs="Times New Roman"/>
          <w:kern w:val="22"/>
        </w:rPr>
        <w:t xml:space="preserve"> </w:t>
      </w:r>
      <w:r w:rsidR="00F9200A" w:rsidRPr="00471447">
        <w:rPr>
          <w:rFonts w:ascii="Times New Roman" w:eastAsia="Cambria" w:hAnsi="Times New Roman" w:cs="Times New Roman"/>
          <w:kern w:val="22"/>
        </w:rPr>
        <w:t>to support</w:t>
      </w:r>
      <w:r w:rsidR="000C2677" w:rsidRPr="00471447">
        <w:rPr>
          <w:rFonts w:ascii="Times New Roman" w:eastAsia="Cambria" w:hAnsi="Times New Roman" w:cs="Times New Roman"/>
          <w:kern w:val="22"/>
        </w:rPr>
        <w:t xml:space="preserve"> a </w:t>
      </w:r>
      <w:r w:rsidRPr="00471447">
        <w:rPr>
          <w:rFonts w:ascii="Times New Roman" w:eastAsia="Cambria" w:hAnsi="Times New Roman" w:cs="Times New Roman"/>
          <w:kern w:val="22"/>
        </w:rPr>
        <w:t xml:space="preserve">future </w:t>
      </w:r>
      <w:r w:rsidR="000C2677" w:rsidRPr="00471447">
        <w:rPr>
          <w:rFonts w:ascii="Times New Roman" w:eastAsia="Cambria" w:hAnsi="Times New Roman" w:cs="Times New Roman"/>
          <w:kern w:val="22"/>
        </w:rPr>
        <w:t xml:space="preserve">World </w:t>
      </w:r>
      <w:r w:rsidR="00D5538E" w:rsidRPr="00471447">
        <w:rPr>
          <w:rFonts w:ascii="Times New Roman" w:eastAsia="Cambria" w:hAnsi="Times New Roman" w:cs="Times New Roman"/>
          <w:kern w:val="22"/>
        </w:rPr>
        <w:t>H</w:t>
      </w:r>
      <w:r w:rsidR="000C2677" w:rsidRPr="00471447">
        <w:rPr>
          <w:rFonts w:ascii="Times New Roman" w:eastAsia="Cambria" w:hAnsi="Times New Roman" w:cs="Times New Roman"/>
          <w:kern w:val="22"/>
        </w:rPr>
        <w:t xml:space="preserve">ealth Day </w:t>
      </w:r>
      <w:r w:rsidR="00B32B15" w:rsidRPr="00471447">
        <w:rPr>
          <w:rFonts w:ascii="Times New Roman" w:eastAsia="Cambria" w:hAnsi="Times New Roman" w:cs="Times New Roman"/>
          <w:kern w:val="22"/>
        </w:rPr>
        <w:t>and related</w:t>
      </w:r>
      <w:r w:rsidRPr="00471447">
        <w:rPr>
          <w:rFonts w:ascii="Times New Roman" w:eastAsia="Cambria" w:hAnsi="Times New Roman" w:cs="Times New Roman"/>
          <w:kern w:val="22"/>
        </w:rPr>
        <w:t xml:space="preserve"> event</w:t>
      </w:r>
      <w:r w:rsidR="00B32B15" w:rsidRPr="00471447">
        <w:rPr>
          <w:rFonts w:ascii="Times New Roman" w:eastAsia="Cambria" w:hAnsi="Times New Roman" w:cs="Times New Roman"/>
          <w:kern w:val="22"/>
        </w:rPr>
        <w:t>s with a focus</w:t>
      </w:r>
      <w:r w:rsidR="00F9200A" w:rsidRPr="00471447">
        <w:rPr>
          <w:rFonts w:ascii="Times New Roman" w:eastAsia="Cambria" w:hAnsi="Times New Roman" w:cs="Times New Roman"/>
          <w:kern w:val="22"/>
        </w:rPr>
        <w:t xml:space="preserve"> </w:t>
      </w:r>
      <w:r w:rsidR="000C2677" w:rsidRPr="00471447">
        <w:rPr>
          <w:rFonts w:ascii="Times New Roman" w:eastAsia="Cambria" w:hAnsi="Times New Roman" w:cs="Times New Roman"/>
          <w:kern w:val="22"/>
        </w:rPr>
        <w:t>on biodiversity for health</w:t>
      </w:r>
      <w:r w:rsidR="00F9200A" w:rsidRPr="00471447">
        <w:rPr>
          <w:rFonts w:ascii="Times New Roman" w:eastAsia="Cambria" w:hAnsi="Times New Roman" w:cs="Times New Roman"/>
          <w:kern w:val="22"/>
        </w:rPr>
        <w:t xml:space="preserve"> as a </w:t>
      </w:r>
      <w:r w:rsidR="00F904AC" w:rsidRPr="00471447">
        <w:rPr>
          <w:rFonts w:ascii="Times New Roman" w:eastAsia="Cambria" w:hAnsi="Times New Roman" w:cs="Times New Roman"/>
          <w:kern w:val="22"/>
        </w:rPr>
        <w:t>core theme</w:t>
      </w:r>
      <w:r w:rsidR="00B32B15" w:rsidRPr="00471447">
        <w:rPr>
          <w:rFonts w:ascii="Times New Roman" w:eastAsia="Cambria" w:hAnsi="Times New Roman" w:cs="Times New Roman"/>
          <w:kern w:val="22"/>
        </w:rPr>
        <w:t>. It will</w:t>
      </w:r>
      <w:r w:rsidR="000C2677" w:rsidRPr="00471447">
        <w:rPr>
          <w:rFonts w:ascii="Times New Roman" w:eastAsia="Cambria" w:hAnsi="Times New Roman" w:cs="Times New Roman"/>
          <w:kern w:val="22"/>
        </w:rPr>
        <w:t xml:space="preserve"> </w:t>
      </w:r>
      <w:r w:rsidR="00F904AC" w:rsidRPr="00471447">
        <w:rPr>
          <w:rFonts w:ascii="Times New Roman" w:eastAsia="Cambria" w:hAnsi="Times New Roman" w:cs="Times New Roman"/>
          <w:kern w:val="22"/>
        </w:rPr>
        <w:t>explore ways to build</w:t>
      </w:r>
      <w:r w:rsidR="009B1AC6" w:rsidRPr="00471447">
        <w:rPr>
          <w:rFonts w:ascii="Times New Roman" w:eastAsia="Cambria" w:hAnsi="Times New Roman" w:cs="Times New Roman"/>
          <w:kern w:val="22"/>
        </w:rPr>
        <w:t xml:space="preserve"> momentum towards </w:t>
      </w:r>
      <w:r w:rsidR="00B32B15" w:rsidRPr="00471447">
        <w:rPr>
          <w:rFonts w:ascii="Times New Roman" w:eastAsia="Cambria" w:hAnsi="Times New Roman" w:cs="Times New Roman"/>
          <w:kern w:val="22"/>
        </w:rPr>
        <w:t>these</w:t>
      </w:r>
      <w:r w:rsidR="009B1AC6" w:rsidRPr="00471447">
        <w:rPr>
          <w:rFonts w:ascii="Times New Roman" w:eastAsia="Cambria" w:hAnsi="Times New Roman" w:cs="Times New Roman"/>
          <w:kern w:val="22"/>
        </w:rPr>
        <w:t>.</w:t>
      </w:r>
    </w:p>
    <w:p w:rsidR="004A2908" w:rsidRPr="00471447" w:rsidRDefault="00B32B15"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t>
      </w:r>
      <w:r w:rsidR="004A2908" w:rsidRPr="00471447">
        <w:rPr>
          <w:rFonts w:ascii="Times New Roman" w:eastAsia="Cambria" w:hAnsi="Times New Roman" w:cs="Times New Roman"/>
          <w:kern w:val="22"/>
        </w:rPr>
        <w:t xml:space="preserve">should </w:t>
      </w:r>
      <w:r w:rsidR="00D5538E" w:rsidRPr="00471447">
        <w:rPr>
          <w:rFonts w:ascii="Times New Roman" w:eastAsia="Cambria" w:hAnsi="Times New Roman" w:cs="Times New Roman"/>
          <w:kern w:val="22"/>
        </w:rPr>
        <w:t xml:space="preserve">also </w:t>
      </w:r>
      <w:r w:rsidR="004A2908" w:rsidRPr="00471447">
        <w:rPr>
          <w:rFonts w:ascii="Times New Roman" w:eastAsia="Cambria" w:hAnsi="Times New Roman" w:cs="Times New Roman"/>
          <w:kern w:val="22"/>
        </w:rPr>
        <w:t xml:space="preserve">consider ways to strengthen synergies with </w:t>
      </w:r>
      <w:r w:rsidR="00F904AC" w:rsidRPr="00471447">
        <w:rPr>
          <w:rFonts w:ascii="Times New Roman" w:eastAsia="Cambria" w:hAnsi="Times New Roman" w:cs="Times New Roman"/>
          <w:kern w:val="22"/>
        </w:rPr>
        <w:t xml:space="preserve">the </w:t>
      </w:r>
      <w:r w:rsidR="004A2908" w:rsidRPr="00471447">
        <w:rPr>
          <w:rFonts w:ascii="Times New Roman" w:eastAsia="Cambria" w:hAnsi="Times New Roman" w:cs="Times New Roman"/>
          <w:kern w:val="22"/>
        </w:rPr>
        <w:t xml:space="preserve">other Rio Conventions. </w:t>
      </w:r>
      <w:r w:rsidR="00D5538E" w:rsidRPr="00471447">
        <w:rPr>
          <w:rFonts w:ascii="Times New Roman" w:eastAsia="Cambria" w:hAnsi="Times New Roman" w:cs="Times New Roman"/>
          <w:kern w:val="22"/>
        </w:rPr>
        <w:t>This</w:t>
      </w:r>
      <w:r w:rsidR="00F904AC"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objective</w:t>
      </w:r>
      <w:r w:rsidR="00F904AC" w:rsidRPr="00471447">
        <w:rPr>
          <w:rFonts w:ascii="Times New Roman" w:eastAsia="Cambria" w:hAnsi="Times New Roman" w:cs="Times New Roman"/>
          <w:kern w:val="22"/>
        </w:rPr>
        <w:t xml:space="preserve"> </w:t>
      </w:r>
      <w:r w:rsidR="00D5538E" w:rsidRPr="00471447">
        <w:rPr>
          <w:rFonts w:ascii="Times New Roman" w:eastAsia="Cambria" w:hAnsi="Times New Roman" w:cs="Times New Roman"/>
          <w:kern w:val="22"/>
        </w:rPr>
        <w:t>will be discussed further in the next meeting</w:t>
      </w:r>
      <w:r w:rsidR="00F904AC" w:rsidRPr="00471447">
        <w:rPr>
          <w:rFonts w:ascii="Times New Roman" w:eastAsia="Cambria" w:hAnsi="Times New Roman" w:cs="Times New Roman"/>
          <w:kern w:val="22"/>
        </w:rPr>
        <w:t xml:space="preserve"> of the ILG</w:t>
      </w:r>
      <w:r w:rsidR="004A2908" w:rsidRPr="00471447">
        <w:rPr>
          <w:rFonts w:ascii="Times New Roman" w:eastAsia="Cambria" w:hAnsi="Times New Roman" w:cs="Times New Roman"/>
          <w:kern w:val="22"/>
        </w:rPr>
        <w:t>.</w:t>
      </w:r>
    </w:p>
    <w:p w:rsidR="001D6FD2" w:rsidRPr="00471447" w:rsidRDefault="00090EF7"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 medium-term cross-sectoral strategy/roadmap should be developed and joint activities identified based on a one to four-year time frame. This will contribute </w:t>
      </w:r>
      <w:r w:rsidR="000C2677" w:rsidRPr="00471447">
        <w:rPr>
          <w:rFonts w:ascii="Times New Roman" w:eastAsia="Cambria" w:hAnsi="Times New Roman" w:cs="Times New Roman"/>
          <w:kern w:val="22"/>
        </w:rPr>
        <w:t>to build</w:t>
      </w:r>
      <w:r w:rsidRPr="00471447">
        <w:rPr>
          <w:rFonts w:ascii="Times New Roman" w:eastAsia="Cambria" w:hAnsi="Times New Roman" w:cs="Times New Roman"/>
          <w:kern w:val="22"/>
        </w:rPr>
        <w:t>ing</w:t>
      </w:r>
      <w:r w:rsidR="00B32B15" w:rsidRPr="00471447">
        <w:rPr>
          <w:rFonts w:ascii="Times New Roman" w:eastAsia="Cambria" w:hAnsi="Times New Roman" w:cs="Times New Roman"/>
          <w:kern w:val="22"/>
        </w:rPr>
        <w:t xml:space="preserve"> </w:t>
      </w:r>
      <w:r w:rsidR="009B1AC6" w:rsidRPr="00471447">
        <w:rPr>
          <w:rFonts w:ascii="Times New Roman" w:eastAsia="Cambria" w:hAnsi="Times New Roman" w:cs="Times New Roman"/>
          <w:kern w:val="22"/>
        </w:rPr>
        <w:t xml:space="preserve">momentum </w:t>
      </w:r>
      <w:r w:rsidR="00B32B15" w:rsidRPr="00471447">
        <w:rPr>
          <w:rFonts w:ascii="Times New Roman" w:eastAsia="Cambria" w:hAnsi="Times New Roman" w:cs="Times New Roman"/>
          <w:kern w:val="22"/>
        </w:rPr>
        <w:t>toward key international events (e.g. COP 14 in Egypt, possible Heads of State Summit on the margins of the General Assembly, COP 15 in China</w:t>
      </w:r>
      <w:r w:rsidRPr="00471447">
        <w:rPr>
          <w:rFonts w:ascii="Times New Roman" w:eastAsia="Cambria" w:hAnsi="Times New Roman" w:cs="Times New Roman"/>
          <w:kern w:val="22"/>
        </w:rPr>
        <w:t>, etc.</w:t>
      </w:r>
      <w:r w:rsidR="00B32B15" w:rsidRPr="00471447">
        <w:rPr>
          <w:rFonts w:ascii="Times New Roman" w:eastAsia="Cambria" w:hAnsi="Times New Roman" w:cs="Times New Roman"/>
          <w:kern w:val="22"/>
        </w:rPr>
        <w:t>)</w:t>
      </w:r>
      <w:r w:rsidR="000C2677" w:rsidRPr="00471447">
        <w:rPr>
          <w:rFonts w:ascii="Times New Roman" w:eastAsia="Cambria" w:hAnsi="Times New Roman" w:cs="Times New Roman"/>
          <w:kern w:val="22"/>
        </w:rPr>
        <w:t xml:space="preserve">. </w:t>
      </w:r>
    </w:p>
    <w:p w:rsidR="00053A57" w:rsidRPr="00471447" w:rsidRDefault="00B32B15"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The ILG will explore ways to</w:t>
      </w:r>
      <w:r w:rsidR="009B1AC6" w:rsidRPr="00471447">
        <w:rPr>
          <w:rFonts w:ascii="Times New Roman" w:eastAsia="Cambria" w:hAnsi="Times New Roman" w:cs="Times New Roman"/>
          <w:kern w:val="22"/>
        </w:rPr>
        <w:t xml:space="preserve"> raise awareness</w:t>
      </w:r>
      <w:r w:rsidR="001D6FD2" w:rsidRPr="00471447">
        <w:rPr>
          <w:rFonts w:ascii="Times New Roman" w:eastAsia="Cambria" w:hAnsi="Times New Roman" w:cs="Times New Roman"/>
          <w:kern w:val="22"/>
        </w:rPr>
        <w:t xml:space="preserve"> within</w:t>
      </w:r>
      <w:r w:rsidR="009B1AC6" w:rsidRPr="00471447">
        <w:rPr>
          <w:rFonts w:ascii="Times New Roman" w:eastAsia="Cambria" w:hAnsi="Times New Roman" w:cs="Times New Roman"/>
          <w:kern w:val="22"/>
        </w:rPr>
        <w:t xml:space="preserve"> </w:t>
      </w:r>
      <w:r w:rsidR="001D6FD2" w:rsidRPr="00471447">
        <w:rPr>
          <w:rFonts w:ascii="Times New Roman" w:eastAsia="Cambria" w:hAnsi="Times New Roman" w:cs="Times New Roman"/>
          <w:kern w:val="22"/>
        </w:rPr>
        <w:t xml:space="preserve">the WHO constituency </w:t>
      </w:r>
      <w:r w:rsidRPr="00471447">
        <w:rPr>
          <w:rFonts w:ascii="Times New Roman" w:eastAsia="Cambria" w:hAnsi="Times New Roman" w:cs="Times New Roman"/>
          <w:kern w:val="22"/>
        </w:rPr>
        <w:t xml:space="preserve">including in future meetings of </w:t>
      </w:r>
      <w:r w:rsidR="009B1AC6" w:rsidRPr="00471447">
        <w:rPr>
          <w:rFonts w:ascii="Times New Roman" w:eastAsia="Cambria" w:hAnsi="Times New Roman" w:cs="Times New Roman"/>
          <w:kern w:val="22"/>
        </w:rPr>
        <w:t>WHA.</w:t>
      </w:r>
      <w:r w:rsidR="001D6FD2"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It was noted that</w:t>
      </w:r>
      <w:r w:rsidR="00053A57" w:rsidRPr="00471447">
        <w:rPr>
          <w:rFonts w:ascii="Times New Roman" w:eastAsia="Cambria" w:hAnsi="Times New Roman" w:cs="Times New Roman"/>
          <w:kern w:val="22"/>
        </w:rPr>
        <w:t xml:space="preserve"> a CBD COP with a strong focus on health could be a significant catalyst for further discussions at WHA particularly if </w:t>
      </w:r>
      <w:r w:rsidR="00090EF7" w:rsidRPr="00471447">
        <w:rPr>
          <w:rFonts w:ascii="Times New Roman" w:eastAsia="Cambria" w:hAnsi="Times New Roman" w:cs="Times New Roman"/>
          <w:kern w:val="22"/>
        </w:rPr>
        <w:t>key messages</w:t>
      </w:r>
      <w:r w:rsidR="00053A57" w:rsidRPr="00471447">
        <w:rPr>
          <w:rFonts w:ascii="Times New Roman" w:eastAsia="Cambria" w:hAnsi="Times New Roman" w:cs="Times New Roman"/>
          <w:kern w:val="22"/>
        </w:rPr>
        <w:t xml:space="preserve"> are </w:t>
      </w:r>
      <w:r w:rsidR="00090EF7" w:rsidRPr="00471447">
        <w:rPr>
          <w:rFonts w:ascii="Times New Roman" w:eastAsia="Cambria" w:hAnsi="Times New Roman" w:cs="Times New Roman"/>
          <w:kern w:val="22"/>
        </w:rPr>
        <w:t xml:space="preserve">jointly </w:t>
      </w:r>
      <w:r w:rsidR="00053A57" w:rsidRPr="00471447">
        <w:rPr>
          <w:rFonts w:ascii="Times New Roman" w:eastAsia="Cambria" w:hAnsi="Times New Roman" w:cs="Times New Roman"/>
          <w:kern w:val="22"/>
        </w:rPr>
        <w:t>developed and disseminated prior to the meeting.</w:t>
      </w:r>
    </w:p>
    <w:p w:rsidR="000C2677"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w:t>
      </w:r>
      <w:r w:rsidR="00053A57" w:rsidRPr="00471447">
        <w:rPr>
          <w:rFonts w:ascii="Times New Roman" w:eastAsia="Cambria" w:hAnsi="Times New Roman" w:cs="Times New Roman"/>
          <w:kern w:val="22"/>
        </w:rPr>
        <w:t xml:space="preserve">he </w:t>
      </w:r>
      <w:r w:rsidR="000C2677" w:rsidRPr="00471447">
        <w:rPr>
          <w:rFonts w:ascii="Times New Roman" w:eastAsia="Cambria" w:hAnsi="Times New Roman" w:cs="Times New Roman"/>
          <w:kern w:val="22"/>
        </w:rPr>
        <w:t>current</w:t>
      </w:r>
      <w:r w:rsidR="00A92669" w:rsidRPr="00471447">
        <w:rPr>
          <w:rFonts w:ascii="Times New Roman" w:eastAsia="Cambria" w:hAnsi="Times New Roman" w:cs="Times New Roman"/>
          <w:kern w:val="22"/>
        </w:rPr>
        <w:t xml:space="preserve"> CBD</w:t>
      </w:r>
      <w:r w:rsidR="000C2677" w:rsidRPr="00471447">
        <w:rPr>
          <w:rFonts w:ascii="Times New Roman" w:eastAsia="Cambria" w:hAnsi="Times New Roman" w:cs="Times New Roman"/>
          <w:kern w:val="22"/>
        </w:rPr>
        <w:t xml:space="preserve"> </w:t>
      </w:r>
      <w:r w:rsidR="00090EF7" w:rsidRPr="00471447">
        <w:rPr>
          <w:rFonts w:ascii="Times New Roman" w:eastAsia="Cambria" w:hAnsi="Times New Roman" w:cs="Times New Roman"/>
          <w:kern w:val="22"/>
        </w:rPr>
        <w:t xml:space="preserve">COP </w:t>
      </w:r>
      <w:r w:rsidR="000C2677" w:rsidRPr="00471447">
        <w:rPr>
          <w:rFonts w:ascii="Times New Roman" w:eastAsia="Cambria" w:hAnsi="Times New Roman" w:cs="Times New Roman"/>
          <w:kern w:val="22"/>
        </w:rPr>
        <w:t xml:space="preserve">presidency (Mexico), </w:t>
      </w:r>
      <w:r w:rsidR="00A92669" w:rsidRPr="00471447">
        <w:rPr>
          <w:rFonts w:ascii="Times New Roman" w:eastAsia="Cambria" w:hAnsi="Times New Roman" w:cs="Times New Roman"/>
          <w:kern w:val="22"/>
        </w:rPr>
        <w:t>and</w:t>
      </w:r>
      <w:r w:rsidR="000C2677" w:rsidRPr="00471447">
        <w:rPr>
          <w:rFonts w:ascii="Times New Roman" w:eastAsia="Cambria" w:hAnsi="Times New Roman" w:cs="Times New Roman"/>
          <w:kern w:val="22"/>
        </w:rPr>
        <w:t xml:space="preserve"> </w:t>
      </w:r>
      <w:r w:rsidR="00090EF7" w:rsidRPr="00471447">
        <w:rPr>
          <w:rFonts w:ascii="Times New Roman" w:eastAsia="Cambria" w:hAnsi="Times New Roman" w:cs="Times New Roman"/>
          <w:kern w:val="22"/>
        </w:rPr>
        <w:t xml:space="preserve">upcoming COP </w:t>
      </w:r>
      <w:r w:rsidR="000C2677" w:rsidRPr="00471447">
        <w:rPr>
          <w:rFonts w:ascii="Times New Roman" w:eastAsia="Cambria" w:hAnsi="Times New Roman" w:cs="Times New Roman"/>
          <w:kern w:val="22"/>
        </w:rPr>
        <w:t>presidencies (</w:t>
      </w:r>
      <w:r w:rsidR="00A92669" w:rsidRPr="00471447">
        <w:rPr>
          <w:rFonts w:ascii="Times New Roman" w:eastAsia="Cambria" w:hAnsi="Times New Roman" w:cs="Times New Roman"/>
          <w:kern w:val="22"/>
        </w:rPr>
        <w:t>i.e. Egypt and</w:t>
      </w:r>
      <w:r w:rsidR="000C2677" w:rsidRPr="00471447">
        <w:rPr>
          <w:rFonts w:ascii="Times New Roman" w:eastAsia="Cambria" w:hAnsi="Times New Roman" w:cs="Times New Roman"/>
          <w:kern w:val="22"/>
        </w:rPr>
        <w:t xml:space="preserve"> China</w:t>
      </w:r>
      <w:r w:rsidR="00A92669" w:rsidRPr="00471447">
        <w:rPr>
          <w:rFonts w:ascii="Times New Roman" w:eastAsia="Cambria" w:hAnsi="Times New Roman" w:cs="Times New Roman"/>
          <w:kern w:val="22"/>
        </w:rPr>
        <w:t xml:space="preserve"> respectively</w:t>
      </w:r>
      <w:r w:rsidR="000C2677" w:rsidRPr="00471447">
        <w:rPr>
          <w:rFonts w:ascii="Times New Roman" w:eastAsia="Cambria" w:hAnsi="Times New Roman" w:cs="Times New Roman"/>
          <w:kern w:val="22"/>
        </w:rPr>
        <w:t xml:space="preserve">) and other countries </w:t>
      </w:r>
      <w:r w:rsidR="00053A57" w:rsidRPr="00471447">
        <w:rPr>
          <w:rFonts w:ascii="Times New Roman" w:eastAsia="Cambria" w:hAnsi="Times New Roman" w:cs="Times New Roman"/>
          <w:kern w:val="22"/>
        </w:rPr>
        <w:t xml:space="preserve">should </w:t>
      </w:r>
      <w:r w:rsidR="00A92669" w:rsidRPr="00471447">
        <w:rPr>
          <w:rFonts w:ascii="Times New Roman" w:eastAsia="Cambria" w:hAnsi="Times New Roman" w:cs="Times New Roman"/>
          <w:kern w:val="22"/>
        </w:rPr>
        <w:t>also be encouraged to support leadership in this area particularly given the immediate relevance to SDGs.</w:t>
      </w:r>
    </w:p>
    <w:p w:rsidR="004A2908" w:rsidRPr="00471447" w:rsidRDefault="004A2908"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lastRenderedPageBreak/>
        <w:t xml:space="preserve">The CBD Secretariat will also </w:t>
      </w:r>
      <w:r w:rsidR="00053A57" w:rsidRPr="00471447">
        <w:rPr>
          <w:rFonts w:ascii="Times New Roman" w:eastAsia="Cambria" w:hAnsi="Times New Roman" w:cs="Times New Roman"/>
          <w:kern w:val="22"/>
        </w:rPr>
        <w:t>endeavor to communicate with</w:t>
      </w:r>
      <w:r w:rsidRPr="00471447">
        <w:rPr>
          <w:rFonts w:ascii="Times New Roman" w:eastAsia="Cambria" w:hAnsi="Times New Roman" w:cs="Times New Roman"/>
          <w:kern w:val="22"/>
        </w:rPr>
        <w:t xml:space="preserve"> the IPBES Secretariat in regards to the global assessment to raise attention to these issues.</w:t>
      </w:r>
    </w:p>
    <w:p w:rsidR="00A92669"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The ILG identified</w:t>
      </w:r>
      <w:r w:rsidR="00A92669" w:rsidRPr="00471447">
        <w:rPr>
          <w:rFonts w:ascii="Times New Roman" w:eastAsia="Cambria" w:hAnsi="Times New Roman" w:cs="Times New Roman"/>
          <w:kern w:val="22"/>
        </w:rPr>
        <w:t xml:space="preserve"> a need</w:t>
      </w:r>
      <w:r w:rsidR="00053A57" w:rsidRPr="00471447">
        <w:rPr>
          <w:rFonts w:ascii="Times New Roman" w:eastAsia="Cambria" w:hAnsi="Times New Roman" w:cs="Times New Roman"/>
          <w:kern w:val="22"/>
        </w:rPr>
        <w:t xml:space="preserve"> </w:t>
      </w:r>
      <w:r w:rsidR="00A92669" w:rsidRPr="00471447">
        <w:rPr>
          <w:rFonts w:ascii="Times New Roman" w:eastAsia="Cambria" w:hAnsi="Times New Roman" w:cs="Times New Roman"/>
          <w:kern w:val="22"/>
        </w:rPr>
        <w:t xml:space="preserve">to communicate on the importance of biodiversity </w:t>
      </w:r>
      <w:r w:rsidR="00053A57" w:rsidRPr="00471447">
        <w:rPr>
          <w:rFonts w:ascii="Times New Roman" w:eastAsia="Cambria" w:hAnsi="Times New Roman" w:cs="Times New Roman"/>
          <w:kern w:val="22"/>
        </w:rPr>
        <w:t>and</w:t>
      </w:r>
      <w:r w:rsidR="00A92669" w:rsidRPr="00471447">
        <w:rPr>
          <w:rFonts w:ascii="Times New Roman" w:eastAsia="Cambria" w:hAnsi="Times New Roman" w:cs="Times New Roman"/>
          <w:kern w:val="22"/>
        </w:rPr>
        <w:t xml:space="preserve"> health</w:t>
      </w:r>
      <w:r w:rsidR="00053A57" w:rsidRPr="00471447">
        <w:rPr>
          <w:rFonts w:ascii="Times New Roman" w:eastAsia="Cambria" w:hAnsi="Times New Roman" w:cs="Times New Roman"/>
          <w:kern w:val="22"/>
        </w:rPr>
        <w:t xml:space="preserve"> among intergovernmental organizations</w:t>
      </w:r>
      <w:r w:rsidR="00A92669" w:rsidRPr="00471447">
        <w:rPr>
          <w:rFonts w:ascii="Times New Roman" w:eastAsia="Cambria" w:hAnsi="Times New Roman" w:cs="Times New Roman"/>
          <w:kern w:val="22"/>
        </w:rPr>
        <w:t xml:space="preserve">, including via different focal points and </w:t>
      </w:r>
      <w:r w:rsidR="00053A57" w:rsidRPr="00471447">
        <w:rPr>
          <w:rFonts w:ascii="Times New Roman" w:eastAsia="Cambria" w:hAnsi="Times New Roman" w:cs="Times New Roman"/>
          <w:kern w:val="22"/>
        </w:rPr>
        <w:t xml:space="preserve">through respective </w:t>
      </w:r>
      <w:r w:rsidR="00A92669" w:rsidRPr="00471447">
        <w:rPr>
          <w:rFonts w:ascii="Times New Roman" w:eastAsia="Cambria" w:hAnsi="Times New Roman" w:cs="Times New Roman"/>
          <w:kern w:val="22"/>
        </w:rPr>
        <w:t>capacity-building activities.</w:t>
      </w:r>
    </w:p>
    <w:p w:rsidR="00022A45" w:rsidRPr="00471447" w:rsidRDefault="00053A57"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Relevant </w:t>
      </w:r>
      <w:r w:rsidR="00A058B1" w:rsidRPr="00471447">
        <w:rPr>
          <w:rFonts w:ascii="Times New Roman" w:eastAsia="Cambria" w:hAnsi="Times New Roman" w:cs="Times New Roman"/>
          <w:kern w:val="22"/>
        </w:rPr>
        <w:t xml:space="preserve">ILG </w:t>
      </w:r>
      <w:r w:rsidRPr="00471447">
        <w:rPr>
          <w:rFonts w:ascii="Times New Roman" w:eastAsia="Cambria" w:hAnsi="Times New Roman" w:cs="Times New Roman"/>
          <w:kern w:val="22"/>
        </w:rPr>
        <w:t xml:space="preserve">members will </w:t>
      </w:r>
      <w:r w:rsidR="00A058B1" w:rsidRPr="00471447">
        <w:rPr>
          <w:rFonts w:ascii="Times New Roman" w:eastAsia="Cambria" w:hAnsi="Times New Roman" w:cs="Times New Roman"/>
          <w:kern w:val="22"/>
        </w:rPr>
        <w:t xml:space="preserve">be invited to contribute to the development of </w:t>
      </w:r>
      <w:r w:rsidR="00090EF7" w:rsidRPr="00471447">
        <w:rPr>
          <w:rFonts w:ascii="Times New Roman" w:eastAsia="Cambria" w:hAnsi="Times New Roman" w:cs="Times New Roman"/>
          <w:kern w:val="22"/>
        </w:rPr>
        <w:t>an</w:t>
      </w:r>
      <w:r w:rsidRPr="00471447">
        <w:rPr>
          <w:rFonts w:ascii="Times New Roman" w:eastAsia="Cambria" w:hAnsi="Times New Roman" w:cs="Times New Roman"/>
          <w:kern w:val="22"/>
        </w:rPr>
        <w:t xml:space="preserve"> initial 10-part </w:t>
      </w:r>
      <w:r w:rsidR="00090EF7" w:rsidRPr="00471447">
        <w:rPr>
          <w:rFonts w:ascii="Times New Roman" w:eastAsia="Cambria" w:hAnsi="Times New Roman" w:cs="Times New Roman"/>
          <w:kern w:val="22"/>
        </w:rPr>
        <w:t xml:space="preserve">‘pilot’ </w:t>
      </w:r>
      <w:r w:rsidR="00A058B1" w:rsidRPr="00471447">
        <w:rPr>
          <w:rFonts w:ascii="Times New Roman" w:eastAsia="Cambria" w:hAnsi="Times New Roman" w:cs="Times New Roman"/>
          <w:kern w:val="22"/>
        </w:rPr>
        <w:t>module for the Massive Open Online Course</w:t>
      </w:r>
      <w:r w:rsidR="000C0B99" w:rsidRPr="00471447">
        <w:rPr>
          <w:rFonts w:ascii="Times New Roman" w:eastAsia="Cambria" w:hAnsi="Times New Roman" w:cs="Times New Roman"/>
          <w:kern w:val="22"/>
        </w:rPr>
        <w:t xml:space="preserve"> (MOOC)</w:t>
      </w:r>
      <w:r w:rsidR="00A058B1" w:rsidRPr="00471447">
        <w:rPr>
          <w:rFonts w:ascii="Times New Roman" w:eastAsia="Cambria" w:hAnsi="Times New Roman" w:cs="Times New Roman"/>
          <w:kern w:val="22"/>
        </w:rPr>
        <w:t xml:space="preserve"> for Global Health led by the University of Geneva</w:t>
      </w:r>
      <w:r w:rsidRPr="00471447">
        <w:rPr>
          <w:rFonts w:ascii="Times New Roman" w:eastAsia="Cambria" w:hAnsi="Times New Roman" w:cs="Times New Roman"/>
          <w:kern w:val="22"/>
        </w:rPr>
        <w:t>. The module will</w:t>
      </w:r>
      <w:r w:rsidR="00A058B1" w:rsidRPr="00471447">
        <w:rPr>
          <w:rFonts w:ascii="Times New Roman" w:eastAsia="Cambria" w:hAnsi="Times New Roman" w:cs="Times New Roman"/>
          <w:kern w:val="22"/>
        </w:rPr>
        <w:t xml:space="preserve"> focus on links between biodiversity</w:t>
      </w:r>
      <w:r w:rsidR="00022A45" w:rsidRPr="00471447">
        <w:rPr>
          <w:rFonts w:ascii="Times New Roman" w:eastAsia="Cambria" w:hAnsi="Times New Roman" w:cs="Times New Roman"/>
          <w:kern w:val="22"/>
        </w:rPr>
        <w:t xml:space="preserve"> loss</w:t>
      </w:r>
      <w:r w:rsidR="00A058B1" w:rsidRPr="00471447">
        <w:rPr>
          <w:rFonts w:ascii="Times New Roman" w:eastAsia="Cambria" w:hAnsi="Times New Roman" w:cs="Times New Roman"/>
          <w:kern w:val="22"/>
        </w:rPr>
        <w:t xml:space="preserve"> and other global environmental changes in the context of food systems. </w:t>
      </w:r>
    </w:p>
    <w:p w:rsidR="00A058B1"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will discuss </w:t>
      </w:r>
      <w:r w:rsidR="00A058B1" w:rsidRPr="00471447">
        <w:rPr>
          <w:rFonts w:ascii="Times New Roman" w:eastAsia="Cambria" w:hAnsi="Times New Roman" w:cs="Times New Roman"/>
          <w:kern w:val="22"/>
        </w:rPr>
        <w:t>a concrete timeline</w:t>
      </w:r>
      <w:r w:rsidRPr="00471447">
        <w:rPr>
          <w:rFonts w:ascii="Times New Roman" w:eastAsia="Cambria" w:hAnsi="Times New Roman" w:cs="Times New Roman"/>
          <w:kern w:val="22"/>
        </w:rPr>
        <w:t xml:space="preserve"> for the development of a MOOC</w:t>
      </w:r>
      <w:r w:rsidR="00A058B1" w:rsidRPr="00471447">
        <w:rPr>
          <w:rFonts w:ascii="Times New Roman" w:eastAsia="Cambria" w:hAnsi="Times New Roman" w:cs="Times New Roman"/>
          <w:kern w:val="22"/>
        </w:rPr>
        <w:t xml:space="preserve"> aimed at policy-makers,</w:t>
      </w:r>
      <w:r w:rsidR="00022A45" w:rsidRPr="00471447">
        <w:rPr>
          <w:rFonts w:ascii="Times New Roman" w:eastAsia="Cambria" w:hAnsi="Times New Roman" w:cs="Times New Roman"/>
          <w:kern w:val="22"/>
        </w:rPr>
        <w:t xml:space="preserve"> </w:t>
      </w:r>
      <w:r w:rsidRPr="00471447">
        <w:rPr>
          <w:rFonts w:ascii="Times New Roman" w:eastAsia="Cambria" w:hAnsi="Times New Roman" w:cs="Times New Roman"/>
          <w:kern w:val="22"/>
        </w:rPr>
        <w:t>aligned with</w:t>
      </w:r>
      <w:r w:rsidR="00A058B1" w:rsidRPr="00471447">
        <w:rPr>
          <w:rFonts w:ascii="Times New Roman" w:eastAsia="Cambria" w:hAnsi="Times New Roman" w:cs="Times New Roman"/>
          <w:kern w:val="22"/>
        </w:rPr>
        <w:t xml:space="preserve"> the findings</w:t>
      </w:r>
      <w:r w:rsidR="00022A45" w:rsidRPr="00471447">
        <w:rPr>
          <w:rFonts w:ascii="Times New Roman" w:eastAsia="Cambria" w:hAnsi="Times New Roman" w:cs="Times New Roman"/>
          <w:kern w:val="22"/>
        </w:rPr>
        <w:t>/themes covered</w:t>
      </w:r>
      <w:r w:rsidR="00A058B1" w:rsidRPr="00471447">
        <w:rPr>
          <w:rFonts w:ascii="Times New Roman" w:eastAsia="Cambria" w:hAnsi="Times New Roman" w:cs="Times New Roman"/>
          <w:kern w:val="22"/>
        </w:rPr>
        <w:t xml:space="preserve"> </w:t>
      </w:r>
      <w:r w:rsidR="00022A45" w:rsidRPr="00471447">
        <w:rPr>
          <w:rFonts w:ascii="Times New Roman" w:eastAsia="Cambria" w:hAnsi="Times New Roman" w:cs="Times New Roman"/>
          <w:kern w:val="22"/>
        </w:rPr>
        <w:t xml:space="preserve">in </w:t>
      </w:r>
      <w:r w:rsidR="00A058B1" w:rsidRPr="00471447">
        <w:rPr>
          <w:rFonts w:ascii="Times New Roman" w:eastAsia="Cambria" w:hAnsi="Times New Roman" w:cs="Times New Roman"/>
          <w:kern w:val="22"/>
        </w:rPr>
        <w:t>the State of Knowledge Review.</w:t>
      </w:r>
    </w:p>
    <w:p w:rsidR="000C0B99"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ILG will examine ways to further support capacity-building and awareness raising including through CBD-WHO workshops and the development of tools and guidance. </w:t>
      </w:r>
    </w:p>
    <w:p w:rsidR="00A92669" w:rsidRPr="00471447" w:rsidRDefault="00A9266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ILG members </w:t>
      </w:r>
      <w:r w:rsidR="000C0B99" w:rsidRPr="00471447">
        <w:rPr>
          <w:rFonts w:ascii="Times New Roman" w:eastAsia="Cambria" w:hAnsi="Times New Roman" w:cs="Times New Roman"/>
          <w:kern w:val="22"/>
        </w:rPr>
        <w:t>are</w:t>
      </w:r>
      <w:r w:rsidRPr="00471447">
        <w:rPr>
          <w:rFonts w:ascii="Times New Roman" w:eastAsia="Cambria" w:hAnsi="Times New Roman" w:cs="Times New Roman"/>
          <w:kern w:val="22"/>
        </w:rPr>
        <w:t xml:space="preserve"> invited to submit their case studies for inclusion on the</w:t>
      </w:r>
      <w:r w:rsidR="000C0B99" w:rsidRPr="00471447">
        <w:rPr>
          <w:rFonts w:ascii="Times New Roman" w:eastAsia="Cambria" w:hAnsi="Times New Roman" w:cs="Times New Roman"/>
          <w:kern w:val="22"/>
        </w:rPr>
        <w:t xml:space="preserve"> CBD-WHO</w:t>
      </w:r>
      <w:r w:rsidRPr="00471447">
        <w:rPr>
          <w:rFonts w:ascii="Times New Roman" w:eastAsia="Cambria" w:hAnsi="Times New Roman" w:cs="Times New Roman"/>
          <w:kern w:val="22"/>
        </w:rPr>
        <w:t xml:space="preserve"> health and biodiversity website as a first step </w:t>
      </w:r>
      <w:r w:rsidR="000C0B99" w:rsidRPr="00471447">
        <w:rPr>
          <w:rFonts w:ascii="Times New Roman" w:eastAsia="Cambria" w:hAnsi="Times New Roman" w:cs="Times New Roman"/>
          <w:kern w:val="22"/>
        </w:rPr>
        <w:t xml:space="preserve">and </w:t>
      </w:r>
      <w:r w:rsidRPr="00471447">
        <w:rPr>
          <w:rFonts w:ascii="Times New Roman" w:eastAsia="Cambria" w:hAnsi="Times New Roman" w:cs="Times New Roman"/>
          <w:kern w:val="22"/>
        </w:rPr>
        <w:t>further conside</w:t>
      </w:r>
      <w:r w:rsidR="000C0B99" w:rsidRPr="00471447">
        <w:rPr>
          <w:rFonts w:ascii="Times New Roman" w:eastAsia="Cambria" w:hAnsi="Times New Roman" w:cs="Times New Roman"/>
          <w:kern w:val="22"/>
        </w:rPr>
        <w:t>r</w:t>
      </w:r>
      <w:r w:rsidRPr="00471447">
        <w:rPr>
          <w:rFonts w:ascii="Times New Roman" w:eastAsia="Cambria" w:hAnsi="Times New Roman" w:cs="Times New Roman"/>
          <w:kern w:val="22"/>
        </w:rPr>
        <w:t xml:space="preserve"> a more formal platform/database for the dissemination of case studies and best practices</w:t>
      </w:r>
      <w:r w:rsidR="00022A45" w:rsidRPr="00471447">
        <w:rPr>
          <w:rFonts w:ascii="Times New Roman" w:eastAsia="Cambria" w:hAnsi="Times New Roman" w:cs="Times New Roman"/>
          <w:kern w:val="22"/>
        </w:rPr>
        <w:t xml:space="preserve"> in the longer-term</w:t>
      </w:r>
      <w:r w:rsidRPr="00471447">
        <w:rPr>
          <w:rFonts w:ascii="Times New Roman" w:eastAsia="Cambria" w:hAnsi="Times New Roman" w:cs="Times New Roman"/>
          <w:kern w:val="22"/>
        </w:rPr>
        <w:t>.</w:t>
      </w:r>
    </w:p>
    <w:p w:rsidR="00A92669"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ILG members will take steps to develop</w:t>
      </w:r>
      <w:r w:rsidR="00A92669" w:rsidRPr="00471447">
        <w:rPr>
          <w:rFonts w:ascii="Times New Roman" w:eastAsia="Cambria" w:hAnsi="Times New Roman" w:cs="Times New Roman"/>
          <w:kern w:val="22"/>
        </w:rPr>
        <w:t xml:space="preserve"> </w:t>
      </w:r>
      <w:r w:rsidR="00022A45" w:rsidRPr="00471447">
        <w:rPr>
          <w:rFonts w:ascii="Times New Roman" w:eastAsia="Cambria" w:hAnsi="Times New Roman" w:cs="Times New Roman"/>
          <w:kern w:val="22"/>
        </w:rPr>
        <w:t>initial</w:t>
      </w:r>
      <w:r w:rsidR="00A92669" w:rsidRPr="00471447">
        <w:rPr>
          <w:rFonts w:ascii="Times New Roman" w:eastAsia="Cambria" w:hAnsi="Times New Roman" w:cs="Times New Roman"/>
          <w:kern w:val="22"/>
        </w:rPr>
        <w:t xml:space="preserve"> criteria for the inclusion of case studies </w:t>
      </w:r>
      <w:r w:rsidR="00022A45" w:rsidRPr="00471447">
        <w:rPr>
          <w:rFonts w:ascii="Times New Roman" w:eastAsia="Cambria" w:hAnsi="Times New Roman" w:cs="Times New Roman"/>
          <w:kern w:val="22"/>
        </w:rPr>
        <w:t>for</w:t>
      </w:r>
      <w:r w:rsidR="00A92669" w:rsidRPr="00471447">
        <w:rPr>
          <w:rFonts w:ascii="Times New Roman" w:eastAsia="Cambria" w:hAnsi="Times New Roman" w:cs="Times New Roman"/>
          <w:kern w:val="22"/>
        </w:rPr>
        <w:t xml:space="preserve"> </w:t>
      </w:r>
      <w:r w:rsidR="00022A45" w:rsidRPr="00471447">
        <w:rPr>
          <w:rFonts w:ascii="Times New Roman" w:eastAsia="Cambria" w:hAnsi="Times New Roman" w:cs="Times New Roman"/>
          <w:kern w:val="22"/>
        </w:rPr>
        <w:t xml:space="preserve">a prospective </w:t>
      </w:r>
      <w:r w:rsidR="00A92669" w:rsidRPr="00471447">
        <w:rPr>
          <w:rFonts w:ascii="Times New Roman" w:eastAsia="Cambria" w:hAnsi="Times New Roman" w:cs="Times New Roman"/>
          <w:kern w:val="22"/>
        </w:rPr>
        <w:t>follow up volume to the State of Knowledge Review,</w:t>
      </w:r>
      <w:r w:rsidR="00A92669" w:rsidRPr="00471447">
        <w:rPr>
          <w:rFonts w:ascii="Times New Roman" w:eastAsia="Cambria" w:hAnsi="Times New Roman" w:cs="Times New Roman"/>
          <w:i/>
          <w:kern w:val="22"/>
        </w:rPr>
        <w:t xml:space="preserve"> </w:t>
      </w:r>
      <w:r w:rsidR="00022A45" w:rsidRPr="00471447">
        <w:rPr>
          <w:rFonts w:ascii="Times New Roman" w:eastAsia="Cambria" w:hAnsi="Times New Roman" w:cs="Times New Roman"/>
          <w:i/>
          <w:kern w:val="22"/>
        </w:rPr>
        <w:t xml:space="preserve">Connecting Global Priorities: </w:t>
      </w:r>
      <w:r w:rsidR="00A92669" w:rsidRPr="00471447">
        <w:rPr>
          <w:rFonts w:ascii="Times New Roman" w:eastAsia="Cambria" w:hAnsi="Times New Roman" w:cs="Times New Roman"/>
          <w:i/>
          <w:kern w:val="22"/>
        </w:rPr>
        <w:t>from Implementation to Practice</w:t>
      </w:r>
      <w:r w:rsidR="00A92669" w:rsidRPr="00471447">
        <w:rPr>
          <w:rFonts w:ascii="Times New Roman" w:eastAsia="Cambria" w:hAnsi="Times New Roman" w:cs="Times New Roman"/>
          <w:kern w:val="22"/>
        </w:rPr>
        <w:t>.</w:t>
      </w:r>
    </w:p>
    <w:p w:rsidR="00A92669" w:rsidRPr="00471447" w:rsidRDefault="00A9266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ILG members will identify further ways in which </w:t>
      </w:r>
      <w:r w:rsidR="000C0B99" w:rsidRPr="00471447">
        <w:rPr>
          <w:rFonts w:ascii="Times New Roman" w:eastAsia="Cambria" w:hAnsi="Times New Roman" w:cs="Times New Roman"/>
          <w:kern w:val="22"/>
        </w:rPr>
        <w:t xml:space="preserve">it </w:t>
      </w:r>
      <w:r w:rsidRPr="00471447">
        <w:rPr>
          <w:rFonts w:ascii="Times New Roman" w:eastAsia="Cambria" w:hAnsi="Times New Roman" w:cs="Times New Roman"/>
          <w:kern w:val="22"/>
        </w:rPr>
        <w:t>can contribute to the three action networks developed under the UN Decade for Nutrition.</w:t>
      </w:r>
    </w:p>
    <w:p w:rsidR="00482070"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T</w:t>
      </w:r>
      <w:r w:rsidR="00482070" w:rsidRPr="00471447">
        <w:rPr>
          <w:rFonts w:ascii="Times New Roman" w:eastAsia="Cambria" w:hAnsi="Times New Roman" w:cs="Times New Roman"/>
          <w:kern w:val="22"/>
        </w:rPr>
        <w:t xml:space="preserve">he concept, scope and feasibility of </w:t>
      </w:r>
      <w:r w:rsidRPr="00471447">
        <w:rPr>
          <w:rFonts w:ascii="Times New Roman" w:eastAsia="Cambria" w:hAnsi="Times New Roman" w:cs="Times New Roman"/>
          <w:kern w:val="22"/>
        </w:rPr>
        <w:t xml:space="preserve">preparing or contributing to </w:t>
      </w:r>
      <w:r w:rsidR="00A058B1" w:rsidRPr="00471447">
        <w:rPr>
          <w:rFonts w:ascii="Times New Roman" w:eastAsia="Cambria" w:hAnsi="Times New Roman" w:cs="Times New Roman"/>
          <w:kern w:val="22"/>
        </w:rPr>
        <w:t xml:space="preserve">a joint study to estimate the </w:t>
      </w:r>
      <w:r w:rsidR="00482070" w:rsidRPr="00471447">
        <w:rPr>
          <w:rFonts w:ascii="Times New Roman" w:eastAsia="Cambria" w:hAnsi="Times New Roman" w:cs="Times New Roman"/>
          <w:kern w:val="22"/>
        </w:rPr>
        <w:t xml:space="preserve">global </w:t>
      </w:r>
      <w:r w:rsidR="00A058B1" w:rsidRPr="00471447">
        <w:rPr>
          <w:rFonts w:ascii="Times New Roman" w:eastAsia="Cambria" w:hAnsi="Times New Roman" w:cs="Times New Roman"/>
          <w:kern w:val="22"/>
        </w:rPr>
        <w:t>burden of disease associated with biodiversity</w:t>
      </w:r>
      <w:r w:rsidR="00482070" w:rsidRPr="00471447">
        <w:rPr>
          <w:rFonts w:ascii="Times New Roman" w:eastAsia="Cambria" w:hAnsi="Times New Roman" w:cs="Times New Roman"/>
          <w:kern w:val="22"/>
        </w:rPr>
        <w:t xml:space="preserve"> loss and ecosystem degradation </w:t>
      </w:r>
      <w:r w:rsidR="00022A45" w:rsidRPr="00471447">
        <w:rPr>
          <w:rFonts w:ascii="Times New Roman" w:eastAsia="Cambria" w:hAnsi="Times New Roman" w:cs="Times New Roman"/>
          <w:kern w:val="22"/>
        </w:rPr>
        <w:t xml:space="preserve">would be </w:t>
      </w:r>
      <w:r w:rsidRPr="00471447">
        <w:rPr>
          <w:rFonts w:ascii="Times New Roman" w:eastAsia="Cambria" w:hAnsi="Times New Roman" w:cs="Times New Roman"/>
          <w:kern w:val="22"/>
        </w:rPr>
        <w:t xml:space="preserve">explored and further </w:t>
      </w:r>
      <w:r w:rsidR="00022A45" w:rsidRPr="00471447">
        <w:rPr>
          <w:rFonts w:ascii="Times New Roman" w:eastAsia="Cambria" w:hAnsi="Times New Roman" w:cs="Times New Roman"/>
          <w:kern w:val="22"/>
        </w:rPr>
        <w:t>discussed at the next meeting of the ILG</w:t>
      </w:r>
      <w:r w:rsidR="00482070" w:rsidRPr="00471447">
        <w:rPr>
          <w:rFonts w:ascii="Times New Roman" w:eastAsia="Cambria" w:hAnsi="Times New Roman" w:cs="Times New Roman"/>
          <w:kern w:val="22"/>
        </w:rPr>
        <w:t xml:space="preserve">.  </w:t>
      </w:r>
    </w:p>
    <w:p w:rsidR="00482070" w:rsidRPr="00471447" w:rsidRDefault="000C0B99"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A</w:t>
      </w:r>
      <w:r w:rsidR="00706E2D" w:rsidRPr="00471447">
        <w:rPr>
          <w:rFonts w:ascii="Times New Roman" w:eastAsia="Cambria" w:hAnsi="Times New Roman" w:cs="Times New Roman"/>
          <w:kern w:val="22"/>
        </w:rPr>
        <w:t xml:space="preserve"> </w:t>
      </w:r>
      <w:r w:rsidR="00022A45" w:rsidRPr="00471447">
        <w:rPr>
          <w:rFonts w:ascii="Times New Roman" w:eastAsia="Cambria" w:hAnsi="Times New Roman" w:cs="Times New Roman"/>
          <w:kern w:val="22"/>
        </w:rPr>
        <w:t xml:space="preserve">limited </w:t>
      </w:r>
      <w:r w:rsidR="00706E2D" w:rsidRPr="00471447">
        <w:rPr>
          <w:rFonts w:ascii="Times New Roman" w:eastAsia="Cambria" w:hAnsi="Times New Roman" w:cs="Times New Roman"/>
          <w:kern w:val="22"/>
        </w:rPr>
        <w:t xml:space="preserve">number of additional members </w:t>
      </w:r>
      <w:r w:rsidR="00022A45" w:rsidRPr="00471447">
        <w:rPr>
          <w:rFonts w:ascii="Times New Roman" w:eastAsia="Cambria" w:hAnsi="Times New Roman" w:cs="Times New Roman"/>
          <w:kern w:val="22"/>
        </w:rPr>
        <w:t>may</w:t>
      </w:r>
      <w:r w:rsidR="00706E2D" w:rsidRPr="00471447">
        <w:rPr>
          <w:rFonts w:ascii="Times New Roman" w:eastAsia="Cambria" w:hAnsi="Times New Roman" w:cs="Times New Roman"/>
          <w:kern w:val="22"/>
        </w:rPr>
        <w:t xml:space="preserve"> be invited to join the group as core members and</w:t>
      </w:r>
      <w:r w:rsidR="00022A45" w:rsidRPr="00471447">
        <w:rPr>
          <w:rFonts w:ascii="Times New Roman" w:eastAsia="Cambria" w:hAnsi="Times New Roman" w:cs="Times New Roman"/>
          <w:kern w:val="22"/>
        </w:rPr>
        <w:t>/</w:t>
      </w:r>
      <w:r w:rsidR="00706E2D" w:rsidRPr="00471447">
        <w:rPr>
          <w:rFonts w:ascii="Times New Roman" w:eastAsia="Cambria" w:hAnsi="Times New Roman" w:cs="Times New Roman"/>
          <w:kern w:val="22"/>
        </w:rPr>
        <w:t>or expert observers, including to ensure regional balance.</w:t>
      </w:r>
      <w:r w:rsidR="00D647C5" w:rsidRPr="00471447">
        <w:rPr>
          <w:rFonts w:ascii="Times New Roman" w:eastAsia="Cambria" w:hAnsi="Times New Roman" w:cs="Times New Roman"/>
          <w:kern w:val="22"/>
        </w:rPr>
        <w:t xml:space="preserve"> </w:t>
      </w:r>
    </w:p>
    <w:p w:rsidR="00D0261C" w:rsidRPr="00471447" w:rsidRDefault="00FB061B"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C</w:t>
      </w:r>
      <w:r w:rsidR="00022A45" w:rsidRPr="00471447">
        <w:rPr>
          <w:rFonts w:ascii="Times New Roman" w:eastAsia="Cambria" w:hAnsi="Times New Roman" w:cs="Times New Roman"/>
          <w:kern w:val="22"/>
        </w:rPr>
        <w:t xml:space="preserve">o-chairs </w:t>
      </w:r>
      <w:r w:rsidR="00482070" w:rsidRPr="00471447">
        <w:rPr>
          <w:rFonts w:ascii="Times New Roman" w:eastAsia="Cambria" w:hAnsi="Times New Roman" w:cs="Times New Roman"/>
          <w:kern w:val="22"/>
        </w:rPr>
        <w:t>w</w:t>
      </w:r>
      <w:r w:rsidR="00D647C5" w:rsidRPr="00471447">
        <w:rPr>
          <w:rFonts w:ascii="Times New Roman" w:eastAsia="Cambria" w:hAnsi="Times New Roman" w:cs="Times New Roman"/>
          <w:kern w:val="22"/>
        </w:rPr>
        <w:t xml:space="preserve">ould </w:t>
      </w:r>
      <w:r w:rsidR="00774A60" w:rsidRPr="00471447">
        <w:rPr>
          <w:rFonts w:ascii="Times New Roman" w:eastAsia="Cambria" w:hAnsi="Times New Roman" w:cs="Times New Roman"/>
          <w:kern w:val="22"/>
        </w:rPr>
        <w:t xml:space="preserve">jointly </w:t>
      </w:r>
      <w:r w:rsidR="00022A45" w:rsidRPr="00471447">
        <w:rPr>
          <w:rFonts w:ascii="Times New Roman" w:eastAsia="Cambria" w:hAnsi="Times New Roman" w:cs="Times New Roman"/>
          <w:kern w:val="22"/>
        </w:rPr>
        <w:t>prepare</w:t>
      </w:r>
      <w:r w:rsidR="00D647C5" w:rsidRPr="00471447">
        <w:rPr>
          <w:rFonts w:ascii="Times New Roman" w:eastAsia="Cambria" w:hAnsi="Times New Roman" w:cs="Times New Roman"/>
          <w:kern w:val="22"/>
        </w:rPr>
        <w:t xml:space="preserve"> an overall narrati</w:t>
      </w:r>
      <w:r w:rsidR="00774A60" w:rsidRPr="00471447">
        <w:rPr>
          <w:rFonts w:ascii="Times New Roman" w:eastAsia="Cambria" w:hAnsi="Times New Roman" w:cs="Times New Roman"/>
          <w:kern w:val="22"/>
        </w:rPr>
        <w:t xml:space="preserve">ve </w:t>
      </w:r>
      <w:r w:rsidR="00D0261C" w:rsidRPr="00471447">
        <w:rPr>
          <w:rFonts w:ascii="Times New Roman" w:eastAsia="Cambria" w:hAnsi="Times New Roman" w:cs="Times New Roman"/>
          <w:kern w:val="22"/>
        </w:rPr>
        <w:t>on One Health to guide future work of the ILG in this area and to support implementation of the One Health approach more broadly</w:t>
      </w:r>
      <w:r w:rsidR="00D647C5" w:rsidRPr="00471447">
        <w:rPr>
          <w:rFonts w:ascii="Times New Roman" w:eastAsia="Cambria" w:hAnsi="Times New Roman" w:cs="Times New Roman"/>
          <w:kern w:val="22"/>
        </w:rPr>
        <w:t xml:space="preserve">. </w:t>
      </w:r>
      <w:r w:rsidR="00D0261C" w:rsidRPr="00471447">
        <w:rPr>
          <w:rFonts w:ascii="Times New Roman" w:eastAsia="Cambria" w:hAnsi="Times New Roman" w:cs="Times New Roman"/>
          <w:kern w:val="22"/>
        </w:rPr>
        <w:t>T</w:t>
      </w:r>
      <w:r w:rsidR="00774A60" w:rsidRPr="00471447">
        <w:rPr>
          <w:rFonts w:ascii="Times New Roman" w:eastAsia="Cambria" w:hAnsi="Times New Roman" w:cs="Times New Roman"/>
          <w:kern w:val="22"/>
        </w:rPr>
        <w:t xml:space="preserve">he </w:t>
      </w:r>
      <w:r w:rsidR="00D647C5" w:rsidRPr="00471447">
        <w:rPr>
          <w:rFonts w:ascii="Times New Roman" w:eastAsia="Cambria" w:hAnsi="Times New Roman" w:cs="Times New Roman"/>
          <w:kern w:val="22"/>
        </w:rPr>
        <w:t>proposed narrative</w:t>
      </w:r>
      <w:r w:rsidR="00561D0E" w:rsidRPr="00471447">
        <w:rPr>
          <w:rFonts w:ascii="Times New Roman" w:eastAsia="Cambria" w:hAnsi="Times New Roman" w:cs="Times New Roman"/>
          <w:kern w:val="22"/>
        </w:rPr>
        <w:t xml:space="preserve"> would</w:t>
      </w:r>
      <w:r w:rsidR="00D647C5" w:rsidRPr="00471447">
        <w:rPr>
          <w:rFonts w:ascii="Times New Roman" w:eastAsia="Cambria" w:hAnsi="Times New Roman" w:cs="Times New Roman"/>
          <w:kern w:val="22"/>
        </w:rPr>
        <w:t xml:space="preserve"> be presented to ILG members at a future meeting of the ILG.</w:t>
      </w:r>
      <w:r w:rsidR="00D0261C" w:rsidRPr="00471447">
        <w:rPr>
          <w:rFonts w:ascii="Times New Roman" w:eastAsia="Cambria" w:hAnsi="Times New Roman" w:cs="Times New Roman"/>
          <w:kern w:val="22"/>
        </w:rPr>
        <w:t xml:space="preserve"> </w:t>
      </w:r>
    </w:p>
    <w:p w:rsidR="00C01AA8" w:rsidRPr="00471447" w:rsidRDefault="00D0261C" w:rsidP="00471447">
      <w:pPr>
        <w:pStyle w:val="ListParagraph"/>
        <w:numPr>
          <w:ilvl w:val="1"/>
          <w:numId w:val="45"/>
        </w:numPr>
        <w:spacing w:before="120" w:after="120"/>
        <w:ind w:left="0" w:firstLine="72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At the international level, </w:t>
      </w:r>
      <w:r w:rsidRPr="00471447">
        <w:rPr>
          <w:rFonts w:ascii="Times New Roman" w:eastAsia="Cambria" w:hAnsi="Times New Roman" w:cs="Times New Roman"/>
          <w:kern w:val="22"/>
        </w:rPr>
        <w:t>co-chairs will also discuss potential opportunities to engage with One Health at the international level through the WHO-OIE-FAO collaboration.</w:t>
      </w:r>
    </w:p>
    <w:p w:rsidR="00482070" w:rsidRPr="00471447" w:rsidRDefault="0048207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The CBD reminded participants that the Secretariat would report on activities carried out under the </w:t>
      </w:r>
      <w:r w:rsidR="0061487C" w:rsidRPr="009C20A3">
        <w:rPr>
          <w:rFonts w:ascii="Times New Roman" w:eastAsia="Cambria" w:hAnsi="Times New Roman" w:cs="Times New Roman"/>
          <w:kern w:val="22"/>
        </w:rPr>
        <w:t>joint work programme</w:t>
      </w:r>
      <w:r w:rsidR="00D0261C" w:rsidRPr="00471447">
        <w:rPr>
          <w:rFonts w:ascii="Times New Roman" w:eastAsia="Cambria" w:hAnsi="Times New Roman" w:cs="Times New Roman"/>
          <w:kern w:val="22"/>
        </w:rPr>
        <w:t xml:space="preserve">, </w:t>
      </w:r>
      <w:r w:rsidR="00561D0E" w:rsidRPr="00471447">
        <w:rPr>
          <w:rFonts w:ascii="Times New Roman" w:eastAsia="Cambria" w:hAnsi="Times New Roman" w:cs="Times New Roman"/>
          <w:kern w:val="22"/>
        </w:rPr>
        <w:t>including the first meeting of the ILG</w:t>
      </w:r>
      <w:r w:rsidR="00D0261C" w:rsidRPr="00471447">
        <w:rPr>
          <w:rFonts w:ascii="Times New Roman" w:eastAsia="Cambria" w:hAnsi="Times New Roman" w:cs="Times New Roman"/>
          <w:kern w:val="22"/>
        </w:rPr>
        <w:t>, at the twenty first meeting of the SBSTTA</w:t>
      </w:r>
      <w:r w:rsidR="00561D0E" w:rsidRPr="00471447">
        <w:rPr>
          <w:rFonts w:ascii="Times New Roman" w:eastAsia="Cambria" w:hAnsi="Times New Roman" w:cs="Times New Roman"/>
          <w:kern w:val="22"/>
        </w:rPr>
        <w:t xml:space="preserve">. </w:t>
      </w:r>
    </w:p>
    <w:p w:rsidR="00D0261C" w:rsidRPr="00471447" w:rsidRDefault="00CD366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It was agreed </w:t>
      </w:r>
      <w:r w:rsidR="00482070" w:rsidRPr="00471447">
        <w:rPr>
          <w:rFonts w:ascii="Times New Roman" w:eastAsia="Cambria" w:hAnsi="Times New Roman" w:cs="Times New Roman"/>
          <w:kern w:val="22"/>
        </w:rPr>
        <w:t xml:space="preserve">among all members that the group </w:t>
      </w:r>
      <w:r w:rsidR="00D0261C" w:rsidRPr="00471447">
        <w:rPr>
          <w:rFonts w:ascii="Times New Roman" w:eastAsia="Cambria" w:hAnsi="Times New Roman" w:cs="Times New Roman"/>
          <w:kern w:val="22"/>
        </w:rPr>
        <w:t xml:space="preserve">is committed </w:t>
      </w:r>
      <w:r w:rsidRPr="00471447">
        <w:rPr>
          <w:rFonts w:ascii="Times New Roman" w:eastAsia="Cambria" w:hAnsi="Times New Roman" w:cs="Times New Roman"/>
          <w:kern w:val="22"/>
        </w:rPr>
        <w:t>to continu</w:t>
      </w:r>
      <w:r w:rsidR="00D0261C" w:rsidRPr="00471447">
        <w:rPr>
          <w:rFonts w:ascii="Times New Roman" w:eastAsia="Cambria" w:hAnsi="Times New Roman" w:cs="Times New Roman"/>
          <w:kern w:val="22"/>
        </w:rPr>
        <w:t>ing</w:t>
      </w:r>
      <w:r w:rsidRPr="00471447">
        <w:rPr>
          <w:rFonts w:ascii="Times New Roman" w:eastAsia="Cambria" w:hAnsi="Times New Roman" w:cs="Times New Roman"/>
          <w:kern w:val="22"/>
        </w:rPr>
        <w:t xml:space="preserve"> the work of the </w:t>
      </w:r>
      <w:r w:rsidR="00482070" w:rsidRPr="00471447">
        <w:rPr>
          <w:rFonts w:ascii="Times New Roman" w:eastAsia="Cambria" w:hAnsi="Times New Roman" w:cs="Times New Roman"/>
          <w:kern w:val="22"/>
        </w:rPr>
        <w:t xml:space="preserve">ILG. Members </w:t>
      </w:r>
      <w:r w:rsidR="00D0261C" w:rsidRPr="00471447">
        <w:rPr>
          <w:rFonts w:ascii="Times New Roman" w:eastAsia="Cambria" w:hAnsi="Times New Roman" w:cs="Times New Roman"/>
          <w:kern w:val="22"/>
        </w:rPr>
        <w:t>emphasized</w:t>
      </w:r>
      <w:r w:rsidR="00482070" w:rsidRPr="00471447">
        <w:rPr>
          <w:rFonts w:ascii="Times New Roman" w:eastAsia="Cambria" w:hAnsi="Times New Roman" w:cs="Times New Roman"/>
          <w:kern w:val="22"/>
        </w:rPr>
        <w:t xml:space="preserve"> </w:t>
      </w:r>
      <w:r w:rsidR="005E67D0" w:rsidRPr="00471447">
        <w:rPr>
          <w:rFonts w:ascii="Times New Roman" w:eastAsia="Cambria" w:hAnsi="Times New Roman" w:cs="Times New Roman"/>
          <w:kern w:val="22"/>
        </w:rPr>
        <w:t xml:space="preserve">the unique </w:t>
      </w:r>
      <w:r w:rsidR="00D0261C" w:rsidRPr="00471447">
        <w:rPr>
          <w:rFonts w:ascii="Times New Roman" w:eastAsia="Cambria" w:hAnsi="Times New Roman" w:cs="Times New Roman"/>
          <w:kern w:val="22"/>
        </w:rPr>
        <w:t xml:space="preserve">collaboration and </w:t>
      </w:r>
      <w:r w:rsidR="005E67D0" w:rsidRPr="00471447">
        <w:rPr>
          <w:rFonts w:ascii="Times New Roman" w:eastAsia="Cambria" w:hAnsi="Times New Roman" w:cs="Times New Roman"/>
          <w:kern w:val="22"/>
        </w:rPr>
        <w:t>added value of the ILG</w:t>
      </w:r>
      <w:r w:rsidRPr="00471447">
        <w:rPr>
          <w:rFonts w:ascii="Times New Roman" w:eastAsia="Cambria" w:hAnsi="Times New Roman" w:cs="Times New Roman"/>
          <w:kern w:val="22"/>
        </w:rPr>
        <w:t xml:space="preserve">. </w:t>
      </w:r>
    </w:p>
    <w:p w:rsidR="00D0261C" w:rsidRPr="00471447" w:rsidRDefault="005E67D0"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Possible locations </w:t>
      </w:r>
      <w:r w:rsidR="00482070" w:rsidRPr="00471447">
        <w:rPr>
          <w:rFonts w:ascii="Times New Roman" w:eastAsia="Cambria" w:hAnsi="Times New Roman" w:cs="Times New Roman"/>
          <w:kern w:val="22"/>
        </w:rPr>
        <w:t xml:space="preserve">for the next meeting of the group were </w:t>
      </w:r>
      <w:r w:rsidR="00D0261C" w:rsidRPr="00471447">
        <w:rPr>
          <w:rFonts w:ascii="Times New Roman" w:eastAsia="Cambria" w:hAnsi="Times New Roman" w:cs="Times New Roman"/>
          <w:kern w:val="22"/>
        </w:rPr>
        <w:t xml:space="preserve">also </w:t>
      </w:r>
      <w:r w:rsidR="00482070" w:rsidRPr="00471447">
        <w:rPr>
          <w:rFonts w:ascii="Times New Roman" w:eastAsia="Cambria" w:hAnsi="Times New Roman" w:cs="Times New Roman"/>
          <w:kern w:val="22"/>
        </w:rPr>
        <w:t xml:space="preserve">discussed. It was </w:t>
      </w:r>
      <w:r w:rsidR="00D0261C" w:rsidRPr="00471447">
        <w:rPr>
          <w:rFonts w:ascii="Times New Roman" w:eastAsia="Cambria" w:hAnsi="Times New Roman" w:cs="Times New Roman"/>
          <w:kern w:val="22"/>
        </w:rPr>
        <w:t>agreed</w:t>
      </w:r>
      <w:r w:rsidR="00482070" w:rsidRPr="00471447">
        <w:rPr>
          <w:rFonts w:ascii="Times New Roman" w:eastAsia="Cambria" w:hAnsi="Times New Roman" w:cs="Times New Roman"/>
          <w:kern w:val="22"/>
        </w:rPr>
        <w:t xml:space="preserve"> that </w:t>
      </w:r>
      <w:r w:rsidRPr="00471447">
        <w:rPr>
          <w:rFonts w:ascii="Times New Roman" w:eastAsia="Cambria" w:hAnsi="Times New Roman" w:cs="Times New Roman"/>
          <w:kern w:val="22"/>
        </w:rPr>
        <w:t xml:space="preserve">because </w:t>
      </w:r>
      <w:r w:rsidR="00482070" w:rsidRPr="00471447">
        <w:rPr>
          <w:rFonts w:ascii="Times New Roman" w:eastAsia="Cambria" w:hAnsi="Times New Roman" w:cs="Times New Roman"/>
          <w:kern w:val="22"/>
        </w:rPr>
        <w:t xml:space="preserve">the majority of </w:t>
      </w:r>
      <w:r w:rsidR="00CD366E" w:rsidRPr="00471447">
        <w:rPr>
          <w:rFonts w:ascii="Times New Roman" w:eastAsia="Cambria" w:hAnsi="Times New Roman" w:cs="Times New Roman"/>
          <w:kern w:val="22"/>
        </w:rPr>
        <w:t xml:space="preserve">ILG </w:t>
      </w:r>
      <w:r w:rsidR="00482070" w:rsidRPr="00471447">
        <w:rPr>
          <w:rFonts w:ascii="Times New Roman" w:eastAsia="Cambria" w:hAnsi="Times New Roman" w:cs="Times New Roman"/>
          <w:kern w:val="22"/>
        </w:rPr>
        <w:t xml:space="preserve">participants </w:t>
      </w:r>
      <w:r w:rsidR="00CD366E" w:rsidRPr="00471447">
        <w:rPr>
          <w:rFonts w:ascii="Times New Roman" w:eastAsia="Cambria" w:hAnsi="Times New Roman" w:cs="Times New Roman"/>
          <w:kern w:val="22"/>
        </w:rPr>
        <w:t xml:space="preserve">are from Europe, it </w:t>
      </w:r>
      <w:r w:rsidR="00F84C40" w:rsidRPr="00471447">
        <w:rPr>
          <w:rFonts w:ascii="Times New Roman" w:eastAsia="Cambria" w:hAnsi="Times New Roman" w:cs="Times New Roman"/>
          <w:kern w:val="22"/>
        </w:rPr>
        <w:t>would be preferable</w:t>
      </w:r>
      <w:r w:rsidR="00482070" w:rsidRPr="00471447">
        <w:rPr>
          <w:rFonts w:ascii="Times New Roman" w:eastAsia="Cambria" w:hAnsi="Times New Roman" w:cs="Times New Roman"/>
          <w:kern w:val="22"/>
        </w:rPr>
        <w:t xml:space="preserve"> to meet in Europe</w:t>
      </w:r>
      <w:r w:rsidR="00D0261C" w:rsidRPr="00471447">
        <w:rPr>
          <w:rFonts w:ascii="Times New Roman" w:eastAsia="Cambria" w:hAnsi="Times New Roman" w:cs="Times New Roman"/>
          <w:kern w:val="22"/>
        </w:rPr>
        <w:t xml:space="preserve"> in 2018</w:t>
      </w:r>
      <w:r w:rsidR="00F84C40" w:rsidRPr="00471447">
        <w:rPr>
          <w:rFonts w:ascii="Times New Roman" w:eastAsia="Cambria" w:hAnsi="Times New Roman" w:cs="Times New Roman"/>
          <w:kern w:val="22"/>
        </w:rPr>
        <w:t>. This</w:t>
      </w:r>
      <w:r w:rsidR="00482070" w:rsidRPr="00471447">
        <w:rPr>
          <w:rFonts w:ascii="Times New Roman" w:eastAsia="Cambria" w:hAnsi="Times New Roman" w:cs="Times New Roman"/>
          <w:kern w:val="22"/>
        </w:rPr>
        <w:t xml:space="preserve"> </w:t>
      </w:r>
      <w:r w:rsidR="00D0261C" w:rsidRPr="00471447">
        <w:rPr>
          <w:rFonts w:ascii="Times New Roman" w:eastAsia="Cambria" w:hAnsi="Times New Roman" w:cs="Times New Roman"/>
          <w:kern w:val="22"/>
        </w:rPr>
        <w:t>could</w:t>
      </w:r>
      <w:r w:rsidR="00482070" w:rsidRPr="00471447">
        <w:rPr>
          <w:rFonts w:ascii="Times New Roman" w:eastAsia="Cambria" w:hAnsi="Times New Roman" w:cs="Times New Roman"/>
          <w:kern w:val="22"/>
        </w:rPr>
        <w:t xml:space="preserve"> ha</w:t>
      </w:r>
      <w:r w:rsidR="00561D0E" w:rsidRPr="00471447">
        <w:rPr>
          <w:rFonts w:ascii="Times New Roman" w:eastAsia="Cambria" w:hAnsi="Times New Roman" w:cs="Times New Roman"/>
          <w:kern w:val="22"/>
        </w:rPr>
        <w:t>v</w:t>
      </w:r>
      <w:r w:rsidR="00482070" w:rsidRPr="00471447">
        <w:rPr>
          <w:rFonts w:ascii="Times New Roman" w:eastAsia="Cambria" w:hAnsi="Times New Roman" w:cs="Times New Roman"/>
          <w:kern w:val="22"/>
        </w:rPr>
        <w:t>e the added benefit of ensuring</w:t>
      </w:r>
      <w:r w:rsidR="00CD366E" w:rsidRPr="00471447">
        <w:rPr>
          <w:rFonts w:ascii="Times New Roman" w:eastAsia="Cambria" w:hAnsi="Times New Roman" w:cs="Times New Roman"/>
          <w:kern w:val="22"/>
        </w:rPr>
        <w:t xml:space="preserve"> </w:t>
      </w:r>
      <w:r w:rsidR="00482070" w:rsidRPr="00471447">
        <w:rPr>
          <w:rFonts w:ascii="Times New Roman" w:eastAsia="Cambria" w:hAnsi="Times New Roman" w:cs="Times New Roman"/>
          <w:kern w:val="22"/>
        </w:rPr>
        <w:t>greater WHO representation</w:t>
      </w:r>
      <w:r w:rsidR="00CD366E" w:rsidRPr="00471447">
        <w:rPr>
          <w:rFonts w:ascii="Times New Roman" w:eastAsia="Cambria" w:hAnsi="Times New Roman" w:cs="Times New Roman"/>
          <w:kern w:val="22"/>
        </w:rPr>
        <w:t>.</w:t>
      </w:r>
      <w:r w:rsidR="00561D0E" w:rsidRPr="00471447">
        <w:rPr>
          <w:rFonts w:ascii="Times New Roman" w:eastAsia="Cambria" w:hAnsi="Times New Roman" w:cs="Times New Roman"/>
          <w:kern w:val="22"/>
        </w:rPr>
        <w:t xml:space="preserve"> </w:t>
      </w:r>
    </w:p>
    <w:p w:rsidR="00CD366E" w:rsidRPr="00471447" w:rsidRDefault="00CD366E" w:rsidP="00471447">
      <w:pPr>
        <w:pStyle w:val="ListParagraph"/>
        <w:numPr>
          <w:ilvl w:val="0"/>
          <w:numId w:val="3"/>
        </w:numPr>
        <w:spacing w:before="120" w:after="120"/>
        <w:ind w:left="0" w:firstLine="0"/>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Views </w:t>
      </w:r>
      <w:r w:rsidR="00561D0E" w:rsidRPr="00471447">
        <w:rPr>
          <w:rFonts w:ascii="Times New Roman" w:eastAsia="Cambria" w:hAnsi="Times New Roman" w:cs="Times New Roman"/>
          <w:kern w:val="22"/>
        </w:rPr>
        <w:t xml:space="preserve">were also exchanged </w:t>
      </w:r>
      <w:r w:rsidRPr="00471447">
        <w:rPr>
          <w:rFonts w:ascii="Times New Roman" w:eastAsia="Cambria" w:hAnsi="Times New Roman" w:cs="Times New Roman"/>
          <w:kern w:val="22"/>
        </w:rPr>
        <w:t xml:space="preserve">on intervals of time to </w:t>
      </w:r>
      <w:r w:rsidR="00561D0E" w:rsidRPr="00471447">
        <w:rPr>
          <w:rFonts w:ascii="Times New Roman" w:eastAsia="Cambria" w:hAnsi="Times New Roman" w:cs="Times New Roman"/>
          <w:kern w:val="22"/>
        </w:rPr>
        <w:t xml:space="preserve">prepare for the next meeting prior to </w:t>
      </w:r>
      <w:r w:rsidR="00F84C40" w:rsidRPr="00471447">
        <w:rPr>
          <w:rFonts w:ascii="Times New Roman" w:eastAsia="Cambria" w:hAnsi="Times New Roman" w:cs="Times New Roman"/>
          <w:kern w:val="22"/>
        </w:rPr>
        <w:t>the next face-to-face meeting</w:t>
      </w:r>
      <w:r w:rsidRPr="00471447">
        <w:rPr>
          <w:rFonts w:ascii="Times New Roman" w:eastAsia="Cambria" w:hAnsi="Times New Roman" w:cs="Times New Roman"/>
          <w:kern w:val="22"/>
        </w:rPr>
        <w:t xml:space="preserve">. It was agreed that a </w:t>
      </w:r>
      <w:r w:rsidR="00F84C40" w:rsidRPr="00471447">
        <w:rPr>
          <w:rFonts w:ascii="Times New Roman" w:eastAsia="Cambria" w:hAnsi="Times New Roman" w:cs="Times New Roman"/>
          <w:kern w:val="22"/>
        </w:rPr>
        <w:t>short virtual meeting</w:t>
      </w:r>
      <w:r w:rsidRPr="00471447">
        <w:rPr>
          <w:rFonts w:ascii="Times New Roman" w:eastAsia="Cambria" w:hAnsi="Times New Roman" w:cs="Times New Roman"/>
          <w:kern w:val="22"/>
        </w:rPr>
        <w:t xml:space="preserve"> </w:t>
      </w:r>
      <w:r w:rsidR="00F84C40" w:rsidRPr="00471447">
        <w:rPr>
          <w:rFonts w:ascii="Times New Roman" w:eastAsia="Cambria" w:hAnsi="Times New Roman" w:cs="Times New Roman"/>
          <w:kern w:val="22"/>
        </w:rPr>
        <w:t xml:space="preserve">would </w:t>
      </w:r>
      <w:r w:rsidRPr="00471447">
        <w:rPr>
          <w:rFonts w:ascii="Times New Roman" w:eastAsia="Cambria" w:hAnsi="Times New Roman" w:cs="Times New Roman"/>
          <w:kern w:val="22"/>
        </w:rPr>
        <w:t xml:space="preserve">be planned in </w:t>
      </w:r>
      <w:r w:rsidR="00F84C40" w:rsidRPr="00471447">
        <w:rPr>
          <w:rFonts w:ascii="Times New Roman" w:eastAsia="Cambria" w:hAnsi="Times New Roman" w:cs="Times New Roman"/>
          <w:kern w:val="22"/>
        </w:rPr>
        <w:t>the first quarter of</w:t>
      </w:r>
      <w:r w:rsidR="00561D0E" w:rsidRPr="00471447">
        <w:rPr>
          <w:rFonts w:ascii="Times New Roman" w:eastAsia="Cambria" w:hAnsi="Times New Roman" w:cs="Times New Roman"/>
          <w:kern w:val="22"/>
        </w:rPr>
        <w:t xml:space="preserve"> 2018</w:t>
      </w:r>
      <w:r w:rsidR="00F84C40" w:rsidRPr="00471447">
        <w:rPr>
          <w:rFonts w:ascii="Times New Roman" w:eastAsia="Cambria" w:hAnsi="Times New Roman" w:cs="Times New Roman"/>
          <w:kern w:val="22"/>
        </w:rPr>
        <w:t>. The second</w:t>
      </w:r>
      <w:r w:rsidR="00561D0E" w:rsidRPr="00471447">
        <w:rPr>
          <w:rFonts w:ascii="Times New Roman" w:eastAsia="Cambria" w:hAnsi="Times New Roman" w:cs="Times New Roman"/>
          <w:kern w:val="22"/>
        </w:rPr>
        <w:t xml:space="preserve"> </w:t>
      </w:r>
      <w:r w:rsidR="005E67D0" w:rsidRPr="00471447">
        <w:rPr>
          <w:rFonts w:ascii="Times New Roman" w:eastAsia="Cambria" w:hAnsi="Times New Roman" w:cs="Times New Roman"/>
          <w:kern w:val="22"/>
        </w:rPr>
        <w:t>face-to-face</w:t>
      </w:r>
      <w:r w:rsidR="00561D0E" w:rsidRPr="00471447">
        <w:rPr>
          <w:rFonts w:ascii="Times New Roman" w:eastAsia="Cambria" w:hAnsi="Times New Roman" w:cs="Times New Roman"/>
          <w:kern w:val="22"/>
        </w:rPr>
        <w:t xml:space="preserve"> meeting </w:t>
      </w:r>
      <w:r w:rsidR="005E67D0" w:rsidRPr="00471447">
        <w:rPr>
          <w:rFonts w:ascii="Times New Roman" w:eastAsia="Cambria" w:hAnsi="Times New Roman" w:cs="Times New Roman"/>
          <w:kern w:val="22"/>
        </w:rPr>
        <w:t>will</w:t>
      </w:r>
      <w:r w:rsidR="00561D0E" w:rsidRPr="00471447">
        <w:rPr>
          <w:rFonts w:ascii="Times New Roman" w:eastAsia="Cambria" w:hAnsi="Times New Roman" w:cs="Times New Roman"/>
          <w:kern w:val="22"/>
        </w:rPr>
        <w:t xml:space="preserve"> be held before the </w:t>
      </w:r>
      <w:r w:rsidR="005E67D0" w:rsidRPr="00471447">
        <w:rPr>
          <w:rFonts w:ascii="Times New Roman" w:eastAsia="Cambria" w:hAnsi="Times New Roman" w:cs="Times New Roman"/>
          <w:kern w:val="22"/>
        </w:rPr>
        <w:t xml:space="preserve">fourteenth </w:t>
      </w:r>
      <w:r w:rsidR="00561D0E" w:rsidRPr="00471447">
        <w:rPr>
          <w:rFonts w:ascii="Times New Roman" w:eastAsia="Cambria" w:hAnsi="Times New Roman" w:cs="Times New Roman"/>
          <w:kern w:val="22"/>
        </w:rPr>
        <w:t>Conference of the Parties.</w:t>
      </w:r>
    </w:p>
    <w:p w:rsidR="004C6EA3" w:rsidRPr="00471447" w:rsidRDefault="004C6EA3" w:rsidP="00471447">
      <w:pPr>
        <w:pStyle w:val="Heading1"/>
        <w:spacing w:before="120" w:line="240" w:lineRule="auto"/>
        <w:contextualSpacing w:val="0"/>
        <w:jc w:val="center"/>
        <w:rPr>
          <w:rFonts w:ascii="Times New Roman" w:hAnsi="Times New Roman" w:cs="Times New Roman"/>
          <w:b/>
          <w:kern w:val="22"/>
          <w:sz w:val="22"/>
          <w:szCs w:val="22"/>
        </w:rPr>
      </w:pPr>
      <w:r w:rsidRPr="00471447">
        <w:rPr>
          <w:rFonts w:ascii="Times New Roman" w:hAnsi="Times New Roman" w:cs="Times New Roman"/>
          <w:b/>
          <w:caps/>
          <w:kern w:val="22"/>
          <w:sz w:val="22"/>
          <w:szCs w:val="22"/>
        </w:rPr>
        <w:t xml:space="preserve">ITEM </w:t>
      </w:r>
      <w:r w:rsidR="00213C5E" w:rsidRPr="00471447">
        <w:rPr>
          <w:rFonts w:ascii="Times New Roman" w:hAnsi="Times New Roman" w:cs="Times New Roman"/>
          <w:b/>
          <w:kern w:val="22"/>
          <w:sz w:val="22"/>
          <w:szCs w:val="22"/>
        </w:rPr>
        <w:t>12</w:t>
      </w:r>
      <w:r w:rsidRPr="00471447">
        <w:rPr>
          <w:rFonts w:ascii="Times New Roman" w:hAnsi="Times New Roman" w:cs="Times New Roman"/>
          <w:b/>
          <w:kern w:val="22"/>
          <w:sz w:val="22"/>
          <w:szCs w:val="22"/>
        </w:rPr>
        <w:t>.</w:t>
      </w:r>
      <w:r w:rsidRPr="00471447">
        <w:rPr>
          <w:rFonts w:ascii="Times New Roman" w:hAnsi="Times New Roman" w:cs="Times New Roman"/>
          <w:b/>
          <w:kern w:val="22"/>
          <w:sz w:val="22"/>
          <w:szCs w:val="22"/>
        </w:rPr>
        <w:tab/>
        <w:t>CLOSURE OF THE MEETING</w:t>
      </w:r>
    </w:p>
    <w:p w:rsidR="00C01AA8" w:rsidRPr="00471447" w:rsidRDefault="004C6EA3" w:rsidP="00471447">
      <w:pPr>
        <w:pStyle w:val="ListParagraph"/>
        <w:numPr>
          <w:ilvl w:val="0"/>
          <w:numId w:val="3"/>
        </w:numPr>
        <w:spacing w:before="120" w:after="120"/>
        <w:ind w:left="0" w:firstLine="0"/>
        <w:jc w:val="both"/>
        <w:rPr>
          <w:rFonts w:ascii="Times New Roman" w:eastAsia="Cambria" w:hAnsi="Times New Roman"/>
          <w:kern w:val="22"/>
        </w:rPr>
      </w:pPr>
      <w:r w:rsidRPr="00471447">
        <w:rPr>
          <w:rFonts w:ascii="Times New Roman" w:eastAsia="Cambria" w:hAnsi="Times New Roman" w:cs="Times New Roman"/>
          <w:kern w:val="22"/>
        </w:rPr>
        <w:t xml:space="preserve">Mr. Cooper (CBD) </w:t>
      </w:r>
      <w:r w:rsidR="00A058B1" w:rsidRPr="00471447">
        <w:rPr>
          <w:rFonts w:ascii="Times New Roman" w:eastAsia="Cambria" w:hAnsi="Times New Roman" w:cs="Times New Roman"/>
          <w:kern w:val="22"/>
        </w:rPr>
        <w:t>thanked</w:t>
      </w:r>
      <w:r w:rsidRPr="00471447">
        <w:rPr>
          <w:rFonts w:ascii="Times New Roman" w:eastAsia="Cambria" w:hAnsi="Times New Roman" w:cs="Times New Roman"/>
          <w:kern w:val="22"/>
        </w:rPr>
        <w:t xml:space="preserve"> WHO </w:t>
      </w:r>
      <w:r w:rsidR="00A058B1" w:rsidRPr="00471447">
        <w:rPr>
          <w:rFonts w:ascii="Times New Roman" w:eastAsia="Cambria" w:hAnsi="Times New Roman" w:cs="Times New Roman"/>
          <w:kern w:val="22"/>
        </w:rPr>
        <w:t xml:space="preserve">colleagues </w:t>
      </w:r>
      <w:r w:rsidR="00561D0E" w:rsidRPr="00471447">
        <w:rPr>
          <w:rFonts w:ascii="Times New Roman" w:eastAsia="Cambria" w:hAnsi="Times New Roman" w:cs="Times New Roman"/>
          <w:kern w:val="22"/>
        </w:rPr>
        <w:t>as hosts and co-chairs for</w:t>
      </w:r>
      <w:r w:rsidRPr="00471447">
        <w:rPr>
          <w:rFonts w:ascii="Times New Roman" w:eastAsia="Cambria" w:hAnsi="Times New Roman" w:cs="Times New Roman"/>
          <w:kern w:val="22"/>
        </w:rPr>
        <w:t xml:space="preserve"> hosting the first meeting of the </w:t>
      </w:r>
      <w:r w:rsidR="00D0261C" w:rsidRPr="00471447">
        <w:rPr>
          <w:rFonts w:ascii="Times New Roman" w:eastAsia="Cambria" w:hAnsi="Times New Roman" w:cs="Times New Roman"/>
          <w:kern w:val="22"/>
        </w:rPr>
        <w:t>ILG</w:t>
      </w:r>
      <w:r w:rsidRPr="00471447">
        <w:rPr>
          <w:rFonts w:ascii="Times New Roman" w:eastAsia="Cambria" w:hAnsi="Times New Roman" w:cs="Times New Roman"/>
          <w:kern w:val="22"/>
        </w:rPr>
        <w:t xml:space="preserve"> on biodiversity and health</w:t>
      </w:r>
      <w:r w:rsidR="00076532" w:rsidRPr="00471447">
        <w:rPr>
          <w:rFonts w:ascii="Times New Roman" w:eastAsia="Cambria" w:hAnsi="Times New Roman" w:cs="Times New Roman"/>
          <w:kern w:val="22"/>
        </w:rPr>
        <w:t xml:space="preserve"> </w:t>
      </w:r>
      <w:r w:rsidR="00C01AA8" w:rsidRPr="00471447">
        <w:rPr>
          <w:rFonts w:ascii="Times New Roman" w:eastAsia="Cambria" w:hAnsi="Times New Roman" w:cs="Times New Roman"/>
          <w:kern w:val="22"/>
        </w:rPr>
        <w:t xml:space="preserve">and for </w:t>
      </w:r>
      <w:r w:rsidR="00D0261C" w:rsidRPr="00471447">
        <w:rPr>
          <w:rFonts w:ascii="Times New Roman" w:eastAsia="Cambria" w:hAnsi="Times New Roman" w:cs="Times New Roman"/>
          <w:kern w:val="22"/>
        </w:rPr>
        <w:t xml:space="preserve">valuable </w:t>
      </w:r>
      <w:r w:rsidR="00671726" w:rsidRPr="00471447">
        <w:rPr>
          <w:rFonts w:ascii="Times New Roman" w:eastAsia="Cambria" w:hAnsi="Times New Roman" w:cs="Times New Roman"/>
          <w:kern w:val="22"/>
        </w:rPr>
        <w:t>logistical and</w:t>
      </w:r>
      <w:r w:rsidR="00D0261C" w:rsidRPr="00471447">
        <w:rPr>
          <w:rFonts w:ascii="Times New Roman" w:eastAsia="Cambria" w:hAnsi="Times New Roman" w:cs="Times New Roman"/>
          <w:kern w:val="22"/>
        </w:rPr>
        <w:t xml:space="preserve"> technical support</w:t>
      </w:r>
      <w:r w:rsidR="00C01AA8" w:rsidRPr="00471447">
        <w:rPr>
          <w:rFonts w:ascii="Times New Roman" w:eastAsia="Cambria" w:hAnsi="Times New Roman" w:cs="Times New Roman"/>
          <w:kern w:val="22"/>
        </w:rPr>
        <w:t xml:space="preserve">. He also thanked participants </w:t>
      </w:r>
      <w:r w:rsidR="00671726" w:rsidRPr="00471447">
        <w:rPr>
          <w:rFonts w:ascii="Times New Roman" w:eastAsia="Cambria" w:hAnsi="Times New Roman" w:cs="Times New Roman"/>
          <w:kern w:val="22"/>
        </w:rPr>
        <w:t>of the ILG for</w:t>
      </w:r>
      <w:r w:rsidR="00C01AA8" w:rsidRPr="00471447">
        <w:rPr>
          <w:rFonts w:ascii="Times New Roman" w:eastAsia="Cambria" w:hAnsi="Times New Roman" w:cs="Times New Roman"/>
          <w:kern w:val="22"/>
        </w:rPr>
        <w:t xml:space="preserve"> </w:t>
      </w:r>
      <w:r w:rsidR="00671726" w:rsidRPr="00471447">
        <w:rPr>
          <w:rFonts w:ascii="Times New Roman" w:eastAsia="Cambria" w:hAnsi="Times New Roman" w:cs="Times New Roman"/>
          <w:kern w:val="22"/>
        </w:rPr>
        <w:t xml:space="preserve">exceptionally </w:t>
      </w:r>
      <w:r w:rsidR="00C01AA8" w:rsidRPr="00471447">
        <w:rPr>
          <w:rFonts w:ascii="Times New Roman" w:eastAsia="Cambria" w:hAnsi="Times New Roman" w:cs="Times New Roman"/>
          <w:kern w:val="22"/>
        </w:rPr>
        <w:t>active</w:t>
      </w:r>
      <w:r w:rsidR="00671726" w:rsidRPr="00471447">
        <w:rPr>
          <w:rFonts w:ascii="Times New Roman" w:eastAsia="Cambria" w:hAnsi="Times New Roman" w:cs="Times New Roman"/>
          <w:kern w:val="22"/>
        </w:rPr>
        <w:t xml:space="preserve">, and collaborative, </w:t>
      </w:r>
      <w:r w:rsidR="00C01AA8" w:rsidRPr="00471447">
        <w:rPr>
          <w:rFonts w:ascii="Times New Roman" w:eastAsia="Cambria" w:hAnsi="Times New Roman" w:cs="Times New Roman"/>
          <w:kern w:val="22"/>
        </w:rPr>
        <w:t xml:space="preserve">participation. </w:t>
      </w:r>
    </w:p>
    <w:p w:rsidR="00671726" w:rsidRPr="00471447" w:rsidRDefault="00774A60" w:rsidP="00471447">
      <w:pPr>
        <w:pStyle w:val="ListParagraph"/>
        <w:numPr>
          <w:ilvl w:val="0"/>
          <w:numId w:val="3"/>
        </w:numPr>
        <w:spacing w:before="120" w:after="120"/>
        <w:ind w:left="0" w:firstLine="0"/>
        <w:jc w:val="both"/>
        <w:rPr>
          <w:rFonts w:ascii="Times New Roman" w:eastAsia="Cambria" w:hAnsi="Times New Roman"/>
          <w:kern w:val="22"/>
        </w:rPr>
      </w:pPr>
      <w:r w:rsidRPr="00471447">
        <w:rPr>
          <w:rFonts w:ascii="Times New Roman" w:eastAsia="Cambria" w:hAnsi="Times New Roman" w:cs="Times New Roman"/>
          <w:kern w:val="22"/>
        </w:rPr>
        <w:lastRenderedPageBreak/>
        <w:t xml:space="preserve">Mr. Campbell-Lendrum also thanked all participants, and the CBD for its </w:t>
      </w:r>
      <w:r w:rsidR="00C01AA8" w:rsidRPr="00471447">
        <w:rPr>
          <w:rFonts w:ascii="Times New Roman" w:eastAsia="Cambria" w:hAnsi="Times New Roman" w:cs="Times New Roman"/>
          <w:kern w:val="22"/>
        </w:rPr>
        <w:t xml:space="preserve">valuable </w:t>
      </w:r>
      <w:r w:rsidRPr="00471447">
        <w:rPr>
          <w:rFonts w:ascii="Times New Roman" w:eastAsia="Cambria" w:hAnsi="Times New Roman" w:cs="Times New Roman"/>
          <w:kern w:val="22"/>
        </w:rPr>
        <w:t xml:space="preserve">collaboration in </w:t>
      </w:r>
      <w:r w:rsidR="00671726" w:rsidRPr="00471447">
        <w:rPr>
          <w:rFonts w:ascii="Times New Roman" w:eastAsia="Cambria" w:hAnsi="Times New Roman" w:cs="Times New Roman"/>
          <w:kern w:val="22"/>
        </w:rPr>
        <w:t xml:space="preserve">helping to </w:t>
      </w:r>
      <w:r w:rsidRPr="00471447">
        <w:rPr>
          <w:rFonts w:ascii="Times New Roman" w:eastAsia="Cambria" w:hAnsi="Times New Roman" w:cs="Times New Roman"/>
          <w:kern w:val="22"/>
        </w:rPr>
        <w:t>driv</w:t>
      </w:r>
      <w:r w:rsidR="00671726" w:rsidRPr="00471447">
        <w:rPr>
          <w:rFonts w:ascii="Times New Roman" w:eastAsia="Cambria" w:hAnsi="Times New Roman" w:cs="Times New Roman"/>
          <w:kern w:val="22"/>
        </w:rPr>
        <w:t>e</w:t>
      </w:r>
      <w:r w:rsidRPr="00471447">
        <w:rPr>
          <w:rFonts w:ascii="Times New Roman" w:eastAsia="Cambria" w:hAnsi="Times New Roman" w:cs="Times New Roman"/>
          <w:kern w:val="22"/>
        </w:rPr>
        <w:t xml:space="preserve"> the process forward. </w:t>
      </w:r>
      <w:r w:rsidR="00C01AA8" w:rsidRPr="00471447">
        <w:rPr>
          <w:rFonts w:ascii="Times New Roman" w:eastAsia="Cambria" w:hAnsi="Times New Roman" w:cs="Times New Roman"/>
          <w:kern w:val="22"/>
        </w:rPr>
        <w:t xml:space="preserve">He </w:t>
      </w:r>
      <w:r w:rsidR="00671726" w:rsidRPr="00471447">
        <w:rPr>
          <w:rFonts w:ascii="Times New Roman" w:eastAsia="Cambria" w:hAnsi="Times New Roman" w:cs="Times New Roman"/>
          <w:kern w:val="22"/>
        </w:rPr>
        <w:t>concluded by emphasizing the importance and value of also</w:t>
      </w:r>
      <w:r w:rsidRPr="00471447">
        <w:rPr>
          <w:rFonts w:ascii="Times New Roman" w:eastAsia="Cambria" w:hAnsi="Times New Roman" w:cs="Times New Roman"/>
          <w:kern w:val="22"/>
        </w:rPr>
        <w:t xml:space="preserve"> engaging the next generation</w:t>
      </w:r>
      <w:r w:rsidR="00671726" w:rsidRPr="00471447">
        <w:rPr>
          <w:rFonts w:ascii="Times New Roman" w:eastAsia="Cambria" w:hAnsi="Times New Roman" w:cs="Times New Roman"/>
          <w:kern w:val="22"/>
        </w:rPr>
        <w:t xml:space="preserve"> in this work</w:t>
      </w:r>
      <w:r w:rsidRPr="00471447">
        <w:rPr>
          <w:rFonts w:ascii="Times New Roman" w:eastAsia="Cambria" w:hAnsi="Times New Roman" w:cs="Times New Roman"/>
          <w:kern w:val="22"/>
        </w:rPr>
        <w:t xml:space="preserve">. </w:t>
      </w:r>
    </w:p>
    <w:p w:rsidR="004C6EA3" w:rsidRPr="00471447" w:rsidRDefault="00671726" w:rsidP="00471447">
      <w:pPr>
        <w:pStyle w:val="ListParagraph"/>
        <w:numPr>
          <w:ilvl w:val="0"/>
          <w:numId w:val="3"/>
        </w:numPr>
        <w:spacing w:before="120" w:after="120"/>
        <w:ind w:left="0" w:firstLine="0"/>
        <w:jc w:val="both"/>
        <w:rPr>
          <w:rFonts w:ascii="Times New Roman" w:eastAsia="Cambria" w:hAnsi="Times New Roman"/>
          <w:kern w:val="22"/>
        </w:rPr>
      </w:pPr>
      <w:r w:rsidRPr="00471447">
        <w:rPr>
          <w:rFonts w:ascii="Times New Roman" w:eastAsia="Cambria" w:hAnsi="Times New Roman" w:cs="Times New Roman"/>
          <w:kern w:val="22"/>
        </w:rPr>
        <w:t xml:space="preserve">The first meeting of the interagency liaison group on biodiversity and health was closed at </w:t>
      </w:r>
      <w:r w:rsidRPr="00471447" w:rsidDel="00671726">
        <w:rPr>
          <w:rFonts w:ascii="Times New Roman" w:eastAsia="Cambria" w:hAnsi="Times New Roman" w:cs="Times New Roman"/>
          <w:kern w:val="22"/>
        </w:rPr>
        <w:t xml:space="preserve"> </w:t>
      </w:r>
      <w:r w:rsidR="00774A60" w:rsidRPr="00471447">
        <w:rPr>
          <w:rFonts w:ascii="Times New Roman" w:eastAsia="Cambria" w:hAnsi="Times New Roman" w:cs="Times New Roman"/>
          <w:kern w:val="22"/>
        </w:rPr>
        <w:t>6</w:t>
      </w:r>
      <w:r w:rsidR="004C6EA3" w:rsidRPr="00471447">
        <w:rPr>
          <w:rFonts w:ascii="Times New Roman" w:eastAsia="Cambria" w:hAnsi="Times New Roman" w:cs="Times New Roman"/>
          <w:kern w:val="22"/>
        </w:rPr>
        <w:t xml:space="preserve">p.m. on 5 </w:t>
      </w:r>
      <w:r w:rsidR="00A20A93">
        <w:rPr>
          <w:rFonts w:ascii="Times New Roman" w:eastAsia="Cambria" w:hAnsi="Times New Roman" w:cs="Times New Roman"/>
          <w:kern w:val="22"/>
        </w:rPr>
        <w:t>M</w:t>
      </w:r>
      <w:r w:rsidR="004C6EA3" w:rsidRPr="00471447">
        <w:rPr>
          <w:rFonts w:ascii="Times New Roman" w:eastAsia="Cambria" w:hAnsi="Times New Roman" w:cs="Times New Roman"/>
          <w:kern w:val="22"/>
        </w:rPr>
        <w:t>ay 2017.</w:t>
      </w:r>
    </w:p>
    <w:p w:rsidR="00B0542D" w:rsidRPr="00471447" w:rsidRDefault="00B0542D"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br w:type="page"/>
      </w:r>
    </w:p>
    <w:p w:rsidR="00B0542D" w:rsidRPr="00471447" w:rsidRDefault="006D2F03" w:rsidP="00471447">
      <w:pPr>
        <w:spacing w:before="120" w:after="120" w:line="240" w:lineRule="auto"/>
        <w:jc w:val="center"/>
        <w:rPr>
          <w:rFonts w:ascii="Times New Roman" w:eastAsia="Times New Roman" w:hAnsi="Times New Roman" w:cs="Times New Roman"/>
          <w:b/>
          <w:caps/>
          <w:color w:val="auto"/>
          <w:kern w:val="22"/>
          <w:lang w:val="en-GB"/>
        </w:rPr>
      </w:pPr>
      <w:r w:rsidRPr="00471447">
        <w:rPr>
          <w:rFonts w:ascii="Times New Roman" w:hAnsi="Times New Roman" w:cs="Times New Roman"/>
          <w:noProof/>
          <w:kern w:val="22"/>
        </w:rPr>
        <w:lastRenderedPageBreak/>
        <w:drawing>
          <wp:anchor distT="0" distB="0" distL="114300" distR="114300" simplePos="0" relativeHeight="251662336" behindDoc="0" locked="0" layoutInCell="1" allowOverlap="1" wp14:anchorId="5D343109" wp14:editId="1E4A7822">
            <wp:simplePos x="0" y="0"/>
            <wp:positionH relativeFrom="column">
              <wp:posOffset>4051393</wp:posOffset>
            </wp:positionH>
            <wp:positionV relativeFrom="paragraph">
              <wp:posOffset>108356</wp:posOffset>
            </wp:positionV>
            <wp:extent cx="1600742" cy="10665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ogo.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08211" cy="1071491"/>
                    </a:xfrm>
                    <a:prstGeom prst="rect">
                      <a:avLst/>
                    </a:prstGeom>
                  </pic:spPr>
                </pic:pic>
              </a:graphicData>
            </a:graphic>
            <wp14:sizeRelH relativeFrom="page">
              <wp14:pctWidth>0</wp14:pctWidth>
            </wp14:sizeRelH>
            <wp14:sizeRelV relativeFrom="page">
              <wp14:pctHeight>0</wp14:pctHeight>
            </wp14:sizeRelV>
          </wp:anchor>
        </w:drawing>
      </w:r>
      <w:r w:rsidRPr="00471447">
        <w:rPr>
          <w:rFonts w:ascii="Times New Roman" w:eastAsia="Cambria" w:hAnsi="Times New Roman" w:cs="Times New Roman"/>
          <w:b/>
          <w:kern w:val="22"/>
        </w:rPr>
        <w:t>A</w:t>
      </w:r>
      <w:r w:rsidRPr="00471447">
        <w:rPr>
          <w:rFonts w:ascii="Times New Roman" w:eastAsia="Times New Roman" w:hAnsi="Times New Roman" w:cs="Times New Roman"/>
          <w:b/>
          <w:caps/>
          <w:color w:val="auto"/>
          <w:kern w:val="22"/>
          <w:lang w:val="en-GB"/>
        </w:rPr>
        <w:t>nnex I</w:t>
      </w:r>
      <w:r w:rsidR="00B0542D" w:rsidRPr="00471447">
        <w:rPr>
          <w:rFonts w:ascii="Times New Roman" w:eastAsia="Times New Roman" w:hAnsi="Times New Roman" w:cs="Times New Roman"/>
          <w:b/>
          <w:caps/>
          <w:color w:val="auto"/>
          <w:kern w:val="22"/>
          <w:lang w:val="en-GB"/>
        </w:rPr>
        <w:t xml:space="preserve"> – </w:t>
      </w:r>
      <w:r w:rsidR="00653F2D" w:rsidRPr="00471447">
        <w:rPr>
          <w:rFonts w:ascii="Times New Roman" w:eastAsia="Times New Roman" w:hAnsi="Times New Roman" w:cs="Times New Roman"/>
          <w:b/>
          <w:caps/>
          <w:color w:val="auto"/>
          <w:kern w:val="22"/>
          <w:lang w:val="en-GB"/>
        </w:rPr>
        <w:t>Provisional</w:t>
      </w:r>
      <w:r w:rsidR="00AF5D7B" w:rsidRPr="00471447">
        <w:rPr>
          <w:rFonts w:ascii="Times New Roman" w:eastAsia="Times New Roman" w:hAnsi="Times New Roman" w:cs="Times New Roman"/>
          <w:b/>
          <w:caps/>
          <w:color w:val="auto"/>
          <w:kern w:val="22"/>
          <w:lang w:val="en-GB"/>
        </w:rPr>
        <w:t xml:space="preserve"> </w:t>
      </w:r>
      <w:r w:rsidR="00B0542D" w:rsidRPr="00471447">
        <w:rPr>
          <w:rFonts w:ascii="Times New Roman" w:eastAsia="Times New Roman" w:hAnsi="Times New Roman" w:cs="Times New Roman"/>
          <w:b/>
          <w:caps/>
          <w:color w:val="auto"/>
          <w:kern w:val="22"/>
          <w:lang w:val="en-GB"/>
        </w:rPr>
        <w:t>Agenda</w:t>
      </w:r>
    </w:p>
    <w:p w:rsidR="00401B0D" w:rsidRPr="00471447" w:rsidRDefault="006D2F03" w:rsidP="00471447">
      <w:pPr>
        <w:spacing w:before="120" w:after="120" w:line="240" w:lineRule="auto"/>
        <w:rPr>
          <w:rFonts w:ascii="Times New Roman" w:hAnsi="Times New Roman" w:cs="Times New Roman"/>
          <w:kern w:val="22"/>
        </w:rPr>
      </w:pPr>
      <w:r w:rsidRPr="00471447">
        <w:rPr>
          <w:rFonts w:ascii="Times New Roman" w:hAnsi="Times New Roman" w:cs="Times New Roman"/>
          <w:noProof/>
          <w:kern w:val="22"/>
        </w:rPr>
        <w:drawing>
          <wp:anchor distT="0" distB="0" distL="114300" distR="114300" simplePos="0" relativeHeight="251661312" behindDoc="0" locked="0" layoutInCell="1" allowOverlap="1" wp14:anchorId="529F2510" wp14:editId="7BD15A04">
            <wp:simplePos x="0" y="0"/>
            <wp:positionH relativeFrom="column">
              <wp:posOffset>40047</wp:posOffset>
            </wp:positionH>
            <wp:positionV relativeFrom="paragraph">
              <wp:posOffset>77439</wp:posOffset>
            </wp:positionV>
            <wp:extent cx="3440388" cy="633756"/>
            <wp:effectExtent l="0" t="0" r="0" b="1270"/>
            <wp:wrapNone/>
            <wp:docPr id="4"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54793" cy="636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B0D" w:rsidRPr="00471447" w:rsidRDefault="00401B0D" w:rsidP="00471447">
      <w:pPr>
        <w:spacing w:before="120" w:after="120" w:line="240" w:lineRule="auto"/>
        <w:rPr>
          <w:rFonts w:ascii="Times New Roman" w:hAnsi="Times New Roman" w:cs="Times New Roman"/>
          <w:kern w:val="22"/>
        </w:rPr>
      </w:pPr>
    </w:p>
    <w:p w:rsidR="00401B0D" w:rsidRPr="00471447" w:rsidRDefault="00401B0D" w:rsidP="00471447">
      <w:pPr>
        <w:spacing w:before="120" w:after="120" w:line="240" w:lineRule="auto"/>
        <w:jc w:val="center"/>
        <w:rPr>
          <w:rFonts w:ascii="Times New Roman" w:hAnsi="Times New Roman" w:cs="Times New Roman"/>
          <w:color w:val="FF0000"/>
          <w:kern w:val="22"/>
        </w:rPr>
      </w:pPr>
    </w:p>
    <w:p w:rsidR="00401B0D" w:rsidRPr="00471447" w:rsidRDefault="00401B0D" w:rsidP="00471447">
      <w:pPr>
        <w:spacing w:before="120" w:after="120" w:line="240" w:lineRule="auto"/>
        <w:jc w:val="center"/>
        <w:rPr>
          <w:rFonts w:ascii="Times New Roman" w:hAnsi="Times New Roman" w:cs="Times New Roman"/>
          <w:color w:val="FF0000"/>
          <w:kern w:val="22"/>
        </w:rPr>
      </w:pPr>
    </w:p>
    <w:p w:rsidR="00401B0D" w:rsidRPr="00471447" w:rsidRDefault="00401B0D" w:rsidP="00471447">
      <w:pPr>
        <w:spacing w:before="120" w:after="120" w:line="240" w:lineRule="auto"/>
        <w:jc w:val="center"/>
        <w:rPr>
          <w:rFonts w:ascii="Times New Roman" w:hAnsi="Times New Roman" w:cs="Times New Roman"/>
          <w:b/>
          <w:kern w:val="22"/>
        </w:rPr>
      </w:pPr>
    </w:p>
    <w:p w:rsidR="00401B0D" w:rsidRPr="00471447" w:rsidRDefault="00401B0D" w:rsidP="00471447">
      <w:pPr>
        <w:spacing w:before="120" w:after="120" w:line="240" w:lineRule="auto"/>
        <w:rPr>
          <w:rFonts w:ascii="Times New Roman" w:hAnsi="Times New Roman" w:cs="Times New Roman"/>
          <w:b/>
          <w:kern w:val="22"/>
        </w:rPr>
      </w:pPr>
    </w:p>
    <w:p w:rsidR="00401B0D" w:rsidRPr="00471447" w:rsidRDefault="00401B0D" w:rsidP="00471447">
      <w:pPr>
        <w:spacing w:before="120" w:after="120" w:line="240" w:lineRule="auto"/>
        <w:jc w:val="center"/>
        <w:rPr>
          <w:rFonts w:ascii="Times New Roman" w:hAnsi="Times New Roman" w:cs="Times New Roman"/>
          <w:b/>
          <w:kern w:val="22"/>
        </w:rPr>
      </w:pPr>
      <w:r w:rsidRPr="00471447">
        <w:rPr>
          <w:rFonts w:ascii="Times New Roman" w:hAnsi="Times New Roman" w:cs="Times New Roman"/>
          <w:b/>
          <w:kern w:val="22"/>
        </w:rPr>
        <w:t>First Meeting of the Interagency Liaison Group on Biodiversity and Human Health</w:t>
      </w:r>
    </w:p>
    <w:p w:rsidR="00401B0D" w:rsidRPr="00471447" w:rsidRDefault="00401B0D" w:rsidP="00471447">
      <w:pPr>
        <w:spacing w:before="120" w:after="120" w:line="240" w:lineRule="auto"/>
        <w:jc w:val="center"/>
        <w:rPr>
          <w:rFonts w:ascii="Times New Roman" w:hAnsi="Times New Roman" w:cs="Times New Roman"/>
          <w:b/>
          <w:kern w:val="22"/>
        </w:rPr>
      </w:pPr>
      <w:r w:rsidRPr="00471447">
        <w:rPr>
          <w:rFonts w:ascii="Times New Roman" w:hAnsi="Times New Roman" w:cs="Times New Roman"/>
          <w:b/>
          <w:kern w:val="22"/>
        </w:rPr>
        <w:t>At the World Health Organization</w:t>
      </w:r>
    </w:p>
    <w:p w:rsidR="00401B0D" w:rsidRPr="00471447" w:rsidRDefault="00401B0D" w:rsidP="00471447">
      <w:pPr>
        <w:spacing w:before="120" w:after="120" w:line="240" w:lineRule="auto"/>
        <w:jc w:val="center"/>
        <w:rPr>
          <w:rFonts w:ascii="Times New Roman" w:hAnsi="Times New Roman" w:cs="Times New Roman"/>
          <w:b/>
          <w:kern w:val="22"/>
        </w:rPr>
      </w:pPr>
      <w:r w:rsidRPr="00471447">
        <w:rPr>
          <w:rFonts w:ascii="Times New Roman" w:hAnsi="Times New Roman" w:cs="Times New Roman"/>
          <w:b/>
          <w:kern w:val="22"/>
        </w:rPr>
        <w:t>Geneva, Switzerland 4-5 May 2017</w:t>
      </w:r>
    </w:p>
    <w:p w:rsidR="0025285F" w:rsidRPr="00471447" w:rsidRDefault="0025285F" w:rsidP="00471447">
      <w:pPr>
        <w:spacing w:before="120" w:after="120" w:line="240" w:lineRule="auto"/>
        <w:jc w:val="center"/>
        <w:rPr>
          <w:rFonts w:ascii="Times New Roman" w:hAnsi="Times New Roman" w:cs="Times New Roman"/>
          <w:b/>
          <w:kern w:val="22"/>
        </w:rPr>
      </w:pPr>
      <w:r w:rsidRPr="00471447">
        <w:rPr>
          <w:rFonts w:ascii="Times New Roman" w:hAnsi="Times New Roman" w:cs="Times New Roman"/>
          <w:b/>
          <w:kern w:val="22"/>
        </w:rPr>
        <w:t>(Room M105)</w:t>
      </w:r>
    </w:p>
    <w:p w:rsidR="00C01AA8" w:rsidRPr="00471447" w:rsidRDefault="00C01AA8" w:rsidP="00471447">
      <w:pPr>
        <w:spacing w:before="120" w:after="120" w:line="240" w:lineRule="auto"/>
        <w:ind w:left="709" w:hanging="709"/>
        <w:rPr>
          <w:rFonts w:ascii="Times New Roman" w:eastAsia="Times New Roman" w:hAnsi="Times New Roman" w:cs="Times New Roman"/>
          <w:b/>
          <w:caps/>
          <w:color w:val="auto"/>
          <w:kern w:val="22"/>
          <w:lang w:val="en-GB"/>
        </w:rPr>
      </w:pPr>
    </w:p>
    <w:p w:rsidR="00401B0D" w:rsidRPr="00471447" w:rsidRDefault="00401B0D" w:rsidP="00471447">
      <w:pPr>
        <w:spacing w:before="120" w:after="120" w:line="240" w:lineRule="auto"/>
        <w:ind w:left="709" w:hanging="709"/>
        <w:rPr>
          <w:rFonts w:ascii="Times New Roman" w:hAnsi="Times New Roman" w:cs="Times New Roman"/>
          <w:b/>
          <w:kern w:val="22"/>
        </w:rPr>
      </w:pPr>
      <w:r w:rsidRPr="00471447">
        <w:rPr>
          <w:rFonts w:ascii="Times New Roman" w:hAnsi="Times New Roman" w:cs="Times New Roman"/>
          <w:b/>
          <w:kern w:val="22"/>
        </w:rPr>
        <w:t>DAY 1</w:t>
      </w:r>
    </w:p>
    <w:p w:rsidR="00401B0D" w:rsidRPr="00471447" w:rsidRDefault="0025285F" w:rsidP="00471447">
      <w:pPr>
        <w:spacing w:before="120" w:after="120" w:line="240" w:lineRule="auto"/>
        <w:ind w:left="709" w:hanging="709"/>
        <w:rPr>
          <w:rFonts w:ascii="Times New Roman" w:hAnsi="Times New Roman" w:cs="Times New Roman"/>
          <w:b/>
          <w:kern w:val="22"/>
        </w:rPr>
      </w:pPr>
      <w:r w:rsidRPr="00471447">
        <w:rPr>
          <w:rFonts w:ascii="Times New Roman" w:hAnsi="Times New Roman" w:cs="Times New Roman"/>
          <w:b/>
          <w:kern w:val="22"/>
        </w:rPr>
        <w:t xml:space="preserve">9:05 - 9:15 a.m.: </w:t>
      </w:r>
      <w:r w:rsidRPr="00471447">
        <w:rPr>
          <w:rFonts w:ascii="Times New Roman" w:hAnsi="Times New Roman" w:cs="Times New Roman"/>
          <w:b/>
          <w:kern w:val="22"/>
        </w:rPr>
        <w:tab/>
      </w:r>
      <w:r w:rsidR="00401B0D" w:rsidRPr="00471447">
        <w:rPr>
          <w:rFonts w:ascii="Times New Roman" w:hAnsi="Times New Roman" w:cs="Times New Roman"/>
          <w:kern w:val="22"/>
        </w:rPr>
        <w:t>P</w:t>
      </w:r>
      <w:r w:rsidRPr="00471447">
        <w:rPr>
          <w:rFonts w:ascii="Times New Roman" w:hAnsi="Times New Roman" w:cs="Times New Roman"/>
          <w:kern w:val="22"/>
        </w:rPr>
        <w:t>ick-up at the WHO main entrance</w:t>
      </w:r>
    </w:p>
    <w:p w:rsidR="00401B0D" w:rsidRPr="00471447" w:rsidRDefault="0025285F"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9:15 - 9:30 a.m.:</w:t>
      </w:r>
      <w:r w:rsidRPr="00471447">
        <w:rPr>
          <w:rFonts w:ascii="Times New Roman" w:hAnsi="Times New Roman" w:cs="Times New Roman"/>
          <w:b/>
          <w:kern w:val="22"/>
        </w:rPr>
        <w:tab/>
      </w:r>
      <w:r w:rsidR="00401B0D" w:rsidRPr="00471447">
        <w:rPr>
          <w:rFonts w:ascii="Times New Roman" w:hAnsi="Times New Roman" w:cs="Times New Roman"/>
          <w:kern w:val="22"/>
        </w:rPr>
        <w:t>Registration and welcome coffee</w:t>
      </w:r>
    </w:p>
    <w:p w:rsidR="00401B0D" w:rsidRPr="00471447" w:rsidRDefault="00401B0D" w:rsidP="00471447">
      <w:pPr>
        <w:spacing w:before="120" w:after="120" w:line="240" w:lineRule="auto"/>
        <w:rPr>
          <w:rFonts w:ascii="Times New Roman" w:hAnsi="Times New Roman" w:cs="Times New Roman"/>
          <w:kern w:val="22"/>
        </w:rPr>
      </w:pPr>
    </w:p>
    <w:p w:rsidR="00957DC7" w:rsidRPr="00471447" w:rsidRDefault="00957DC7"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1: Opening of the Meeting</w:t>
      </w:r>
    </w:p>
    <w:p w:rsidR="00401B0D" w:rsidRPr="00471447" w:rsidRDefault="00401B0D" w:rsidP="00471447">
      <w:pPr>
        <w:pStyle w:val="ListParagraph"/>
        <w:numPr>
          <w:ilvl w:val="0"/>
          <w:numId w:val="10"/>
        </w:numPr>
        <w:spacing w:before="120" w:after="120"/>
        <w:rPr>
          <w:rFonts w:ascii="Times New Roman" w:hAnsi="Times New Roman" w:cs="Times New Roman"/>
          <w:kern w:val="22"/>
        </w:rPr>
      </w:pPr>
      <w:r w:rsidRPr="00471447">
        <w:rPr>
          <w:rFonts w:ascii="Times New Roman" w:hAnsi="Times New Roman" w:cs="Times New Roman"/>
          <w:kern w:val="22"/>
        </w:rPr>
        <w:t>Welcome by WHO Director, Department of Public Health, Environmental and Social Determinants of Health (PHE), Dr. Maria Neira</w:t>
      </w:r>
    </w:p>
    <w:p w:rsidR="00957DC7" w:rsidRPr="00471447" w:rsidRDefault="00957DC7" w:rsidP="00471447">
      <w:pPr>
        <w:pStyle w:val="ListParagraph"/>
        <w:widowControl w:val="0"/>
        <w:suppressAutoHyphens/>
        <w:spacing w:before="120" w:after="120"/>
        <w:rPr>
          <w:rFonts w:ascii="Times New Roman" w:hAnsi="Times New Roman" w:cs="Times New Roman"/>
          <w:kern w:val="22"/>
        </w:rPr>
      </w:pPr>
    </w:p>
    <w:p w:rsidR="0025285F" w:rsidRPr="00471447" w:rsidRDefault="00957DC7"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2: Organization of the Work</w:t>
      </w:r>
    </w:p>
    <w:p w:rsidR="0025285F" w:rsidRPr="00471447" w:rsidRDefault="00401B0D" w:rsidP="00471447">
      <w:pPr>
        <w:pStyle w:val="ListParagraph"/>
        <w:numPr>
          <w:ilvl w:val="0"/>
          <w:numId w:val="11"/>
        </w:numPr>
        <w:spacing w:before="120" w:after="120"/>
        <w:rPr>
          <w:rFonts w:ascii="Times New Roman" w:hAnsi="Times New Roman" w:cs="Times New Roman"/>
          <w:kern w:val="22"/>
        </w:rPr>
      </w:pPr>
      <w:r w:rsidRPr="00471447">
        <w:rPr>
          <w:rFonts w:ascii="Times New Roman" w:hAnsi="Times New Roman" w:cs="Times New Roman"/>
          <w:kern w:val="22"/>
        </w:rPr>
        <w:t>Overview of purpose of the Interagency Liaison Group on Biodiversity and Health</w:t>
      </w:r>
      <w:r w:rsidR="006D311A" w:rsidRPr="00471447">
        <w:rPr>
          <w:rFonts w:ascii="Times New Roman" w:hAnsi="Times New Roman" w:cs="Times New Roman"/>
          <w:kern w:val="22"/>
        </w:rPr>
        <w:t xml:space="preserve"> (Diarmid Campbell-Lendrum and David Cooper, co-chairs)</w:t>
      </w:r>
    </w:p>
    <w:p w:rsidR="0025285F" w:rsidRPr="00471447" w:rsidRDefault="00401B0D" w:rsidP="00471447">
      <w:pPr>
        <w:pStyle w:val="ListParagraph"/>
        <w:numPr>
          <w:ilvl w:val="0"/>
          <w:numId w:val="11"/>
        </w:numPr>
        <w:spacing w:before="120" w:after="120"/>
        <w:rPr>
          <w:rFonts w:ascii="Times New Roman" w:hAnsi="Times New Roman" w:cs="Times New Roman"/>
          <w:kern w:val="22"/>
        </w:rPr>
      </w:pPr>
      <w:r w:rsidRPr="00471447">
        <w:rPr>
          <w:rFonts w:ascii="Times New Roman" w:hAnsi="Times New Roman" w:cs="Times New Roman"/>
          <w:kern w:val="22"/>
        </w:rPr>
        <w:t>Self-introductions: core members and expert observers</w:t>
      </w:r>
    </w:p>
    <w:p w:rsidR="00401B0D" w:rsidRPr="00471447" w:rsidRDefault="00401B0D" w:rsidP="00471447">
      <w:pPr>
        <w:pStyle w:val="ListParagraph"/>
        <w:numPr>
          <w:ilvl w:val="0"/>
          <w:numId w:val="11"/>
        </w:numPr>
        <w:spacing w:before="120" w:after="120"/>
        <w:rPr>
          <w:rFonts w:ascii="Times New Roman" w:hAnsi="Times New Roman" w:cs="Times New Roman"/>
          <w:kern w:val="22"/>
        </w:rPr>
      </w:pPr>
      <w:r w:rsidRPr="00471447">
        <w:rPr>
          <w:rFonts w:ascii="Times New Roman" w:hAnsi="Times New Roman" w:cs="Times New Roman"/>
          <w:kern w:val="22"/>
        </w:rPr>
        <w:t>Organizational matters:</w:t>
      </w:r>
    </w:p>
    <w:p w:rsidR="00401B0D" w:rsidRPr="00471447" w:rsidRDefault="00401B0D" w:rsidP="00471447">
      <w:pPr>
        <w:pStyle w:val="ListParagraph"/>
        <w:widowControl w:val="0"/>
        <w:numPr>
          <w:ilvl w:val="2"/>
          <w:numId w:val="7"/>
        </w:numPr>
        <w:suppressAutoHyphens/>
        <w:spacing w:before="120" w:after="120"/>
        <w:rPr>
          <w:rFonts w:ascii="Times New Roman" w:hAnsi="Times New Roman" w:cs="Times New Roman"/>
          <w:kern w:val="22"/>
        </w:rPr>
      </w:pPr>
      <w:r w:rsidRPr="00471447">
        <w:rPr>
          <w:rFonts w:ascii="Times New Roman" w:hAnsi="Times New Roman" w:cs="Times New Roman"/>
          <w:kern w:val="22"/>
        </w:rPr>
        <w:t xml:space="preserve">Adoption of agenda </w:t>
      </w:r>
    </w:p>
    <w:p w:rsidR="0025285F" w:rsidRPr="00471447" w:rsidRDefault="0025285F" w:rsidP="00471447">
      <w:pPr>
        <w:pStyle w:val="ListParagraph"/>
        <w:widowControl w:val="0"/>
        <w:suppressAutoHyphens/>
        <w:spacing w:before="120" w:after="120"/>
        <w:ind w:left="2160"/>
        <w:rPr>
          <w:rFonts w:ascii="Times New Roman" w:hAnsi="Times New Roman" w:cs="Times New Roman"/>
          <w:kern w:val="22"/>
        </w:rPr>
      </w:pPr>
    </w:p>
    <w:p w:rsidR="00401B0D" w:rsidRPr="00471447" w:rsidRDefault="00957DC7"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 xml:space="preserve">Item 3: </w:t>
      </w:r>
      <w:r w:rsidR="00401B0D" w:rsidRPr="00471447">
        <w:rPr>
          <w:rFonts w:ascii="Times New Roman" w:hAnsi="Times New Roman" w:cs="Times New Roman"/>
          <w:b/>
          <w:kern w:val="22"/>
        </w:rPr>
        <w:t>Background presentations on Biodiversity and Health: Overview</w:t>
      </w:r>
    </w:p>
    <w:p w:rsidR="00401B0D" w:rsidRPr="00471447" w:rsidRDefault="00401B0D" w:rsidP="00471447">
      <w:pPr>
        <w:pStyle w:val="ListParagraph"/>
        <w:numPr>
          <w:ilvl w:val="0"/>
          <w:numId w:val="12"/>
        </w:numPr>
        <w:spacing w:before="120" w:after="120"/>
        <w:rPr>
          <w:rFonts w:ascii="Times New Roman" w:hAnsi="Times New Roman" w:cs="Times New Roman"/>
          <w:kern w:val="22"/>
        </w:rPr>
      </w:pPr>
      <w:r w:rsidRPr="00471447">
        <w:rPr>
          <w:rFonts w:ascii="Times New Roman" w:hAnsi="Times New Roman" w:cs="Times New Roman"/>
          <w:kern w:val="22"/>
        </w:rPr>
        <w:t>Strategic Plan for Biodiversity 2011-2020 &amp; CBD-WHO joint work programme on health and biodiversity (Cristina Romanelli</w:t>
      </w:r>
      <w:r w:rsidR="006D311A" w:rsidRPr="00471447">
        <w:rPr>
          <w:rFonts w:ascii="Times New Roman" w:hAnsi="Times New Roman" w:cs="Times New Roman"/>
          <w:kern w:val="22"/>
        </w:rPr>
        <w:t>, CBD Secretariat</w:t>
      </w:r>
      <w:r w:rsidRPr="00471447">
        <w:rPr>
          <w:rFonts w:ascii="Times New Roman" w:hAnsi="Times New Roman" w:cs="Times New Roman"/>
          <w:kern w:val="22"/>
        </w:rPr>
        <w:t>)</w:t>
      </w:r>
    </w:p>
    <w:p w:rsidR="00401B0D" w:rsidRPr="00471447" w:rsidRDefault="00401B0D" w:rsidP="00471447">
      <w:pPr>
        <w:pStyle w:val="ListParagraph"/>
        <w:numPr>
          <w:ilvl w:val="0"/>
          <w:numId w:val="12"/>
        </w:numPr>
        <w:spacing w:before="120" w:after="120"/>
        <w:rPr>
          <w:rFonts w:ascii="Times New Roman" w:hAnsi="Times New Roman" w:cs="Times New Roman"/>
          <w:kern w:val="22"/>
        </w:rPr>
      </w:pPr>
      <w:r w:rsidRPr="00471447">
        <w:rPr>
          <w:rFonts w:ascii="Times New Roman" w:hAnsi="Times New Roman" w:cs="Times New Roman"/>
          <w:kern w:val="22"/>
        </w:rPr>
        <w:t>The Rockefeller Foundation Lancet Commission on Planetary Health report and synergies with the State of Knowledge Review on Biodiversity and Health</w:t>
      </w:r>
      <w:r w:rsidR="0025285F" w:rsidRPr="00471447">
        <w:rPr>
          <w:rFonts w:ascii="Times New Roman" w:hAnsi="Times New Roman" w:cs="Times New Roman"/>
          <w:kern w:val="22"/>
        </w:rPr>
        <w:t xml:space="preserve"> </w:t>
      </w:r>
      <w:r w:rsidRPr="00471447">
        <w:rPr>
          <w:rFonts w:ascii="Times New Roman" w:hAnsi="Times New Roman" w:cs="Times New Roman"/>
          <w:kern w:val="22"/>
        </w:rPr>
        <w:t>(Prof. Andy Haines</w:t>
      </w:r>
      <w:r w:rsidR="0012620E" w:rsidRPr="00471447">
        <w:rPr>
          <w:rFonts w:ascii="Times New Roman" w:hAnsi="Times New Roman" w:cs="Times New Roman"/>
          <w:kern w:val="22"/>
        </w:rPr>
        <w:t>, LSHTM</w:t>
      </w:r>
      <w:r w:rsidRPr="00471447">
        <w:rPr>
          <w:rFonts w:ascii="Times New Roman" w:hAnsi="Times New Roman" w:cs="Times New Roman"/>
          <w:kern w:val="22"/>
        </w:rPr>
        <w:t>)</w:t>
      </w:r>
    </w:p>
    <w:p w:rsidR="0025285F" w:rsidRPr="00471447" w:rsidRDefault="00401B0D" w:rsidP="00471447">
      <w:pPr>
        <w:pStyle w:val="ListParagraph"/>
        <w:numPr>
          <w:ilvl w:val="0"/>
          <w:numId w:val="12"/>
        </w:numPr>
        <w:spacing w:before="120" w:after="120"/>
        <w:rPr>
          <w:rFonts w:ascii="Times New Roman" w:hAnsi="Times New Roman" w:cs="Times New Roman"/>
          <w:kern w:val="22"/>
        </w:rPr>
      </w:pPr>
      <w:r w:rsidRPr="00471447">
        <w:rPr>
          <w:rFonts w:ascii="Times New Roman" w:hAnsi="Times New Roman" w:cs="Times New Roman"/>
          <w:kern w:val="22"/>
        </w:rPr>
        <w:t xml:space="preserve">Questions &amp; Answers </w:t>
      </w:r>
    </w:p>
    <w:p w:rsidR="00401B0D" w:rsidRPr="00471447" w:rsidRDefault="00401B0D" w:rsidP="00471447">
      <w:pPr>
        <w:pStyle w:val="ListParagraph"/>
        <w:numPr>
          <w:ilvl w:val="0"/>
          <w:numId w:val="12"/>
        </w:numPr>
        <w:spacing w:before="120" w:after="120"/>
        <w:rPr>
          <w:rFonts w:ascii="Times New Roman" w:hAnsi="Times New Roman" w:cs="Times New Roman"/>
          <w:kern w:val="22"/>
        </w:rPr>
      </w:pPr>
      <w:r w:rsidRPr="00471447">
        <w:rPr>
          <w:rFonts w:ascii="Times New Roman" w:hAnsi="Times New Roman" w:cs="Times New Roman"/>
          <w:kern w:val="22"/>
        </w:rPr>
        <w:t xml:space="preserve">Discussion with participants of the ILG on leveraging the CBD-WHO joint work programme on biodiversity and health </w:t>
      </w:r>
    </w:p>
    <w:p w:rsidR="00401B0D" w:rsidRPr="00471447" w:rsidRDefault="00401B0D" w:rsidP="00471447">
      <w:pPr>
        <w:spacing w:before="120" w:after="120" w:line="240" w:lineRule="auto"/>
        <w:ind w:left="1080"/>
        <w:rPr>
          <w:rFonts w:ascii="Times New Roman" w:hAnsi="Times New Roman" w:cs="Times New Roman"/>
          <w:kern w:val="22"/>
        </w:rPr>
      </w:pPr>
    </w:p>
    <w:p w:rsidR="0025285F" w:rsidRPr="00471447" w:rsidRDefault="0025285F"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4: Role of the Liaison</w:t>
      </w:r>
      <w:r w:rsidR="00401B0D" w:rsidRPr="00471447">
        <w:rPr>
          <w:rFonts w:ascii="Times New Roman" w:hAnsi="Times New Roman" w:cs="Times New Roman"/>
          <w:b/>
          <w:kern w:val="22"/>
        </w:rPr>
        <w:t xml:space="preserve"> </w:t>
      </w:r>
      <w:r w:rsidRPr="00471447">
        <w:rPr>
          <w:rFonts w:ascii="Times New Roman" w:hAnsi="Times New Roman" w:cs="Times New Roman"/>
          <w:b/>
          <w:kern w:val="22"/>
        </w:rPr>
        <w:t>Group and Terms of Reference</w:t>
      </w:r>
    </w:p>
    <w:p w:rsidR="00401B0D" w:rsidRPr="00471447" w:rsidRDefault="00401B0D" w:rsidP="00471447">
      <w:pPr>
        <w:pStyle w:val="ListParagraph"/>
        <w:numPr>
          <w:ilvl w:val="0"/>
          <w:numId w:val="13"/>
        </w:numPr>
        <w:spacing w:before="120" w:after="120"/>
        <w:rPr>
          <w:rFonts w:ascii="Times New Roman" w:hAnsi="Times New Roman" w:cs="Times New Roman"/>
          <w:kern w:val="22"/>
        </w:rPr>
      </w:pPr>
      <w:r w:rsidRPr="00471447">
        <w:rPr>
          <w:rFonts w:ascii="Times New Roman" w:hAnsi="Times New Roman" w:cs="Times New Roman"/>
          <w:kern w:val="22"/>
        </w:rPr>
        <w:lastRenderedPageBreak/>
        <w:t xml:space="preserve">Role of the </w:t>
      </w:r>
      <w:r w:rsidR="0025285F" w:rsidRPr="00471447">
        <w:rPr>
          <w:rFonts w:ascii="Times New Roman" w:hAnsi="Times New Roman" w:cs="Times New Roman"/>
          <w:kern w:val="22"/>
        </w:rPr>
        <w:t xml:space="preserve">Interagency </w:t>
      </w:r>
      <w:r w:rsidRPr="00471447">
        <w:rPr>
          <w:rFonts w:ascii="Times New Roman" w:hAnsi="Times New Roman" w:cs="Times New Roman"/>
          <w:kern w:val="22"/>
        </w:rPr>
        <w:t xml:space="preserve">Liaison Group </w:t>
      </w:r>
      <w:r w:rsidR="0025285F" w:rsidRPr="00471447">
        <w:rPr>
          <w:rFonts w:ascii="Times New Roman" w:hAnsi="Times New Roman" w:cs="Times New Roman"/>
          <w:kern w:val="22"/>
        </w:rPr>
        <w:t xml:space="preserve">on Biodiversity and Health </w:t>
      </w:r>
      <w:r w:rsidRPr="00471447">
        <w:rPr>
          <w:rFonts w:ascii="Times New Roman" w:hAnsi="Times New Roman" w:cs="Times New Roman"/>
          <w:kern w:val="22"/>
        </w:rPr>
        <w:t>(Mr. David Cooper)</w:t>
      </w:r>
    </w:p>
    <w:p w:rsidR="00401B0D" w:rsidRPr="00471447" w:rsidRDefault="00401B0D" w:rsidP="00471447">
      <w:pPr>
        <w:pStyle w:val="ListParagraph"/>
        <w:numPr>
          <w:ilvl w:val="0"/>
          <w:numId w:val="13"/>
        </w:numPr>
        <w:spacing w:before="120" w:after="120"/>
        <w:rPr>
          <w:rFonts w:ascii="Times New Roman" w:hAnsi="Times New Roman" w:cs="Times New Roman"/>
          <w:kern w:val="22"/>
        </w:rPr>
      </w:pPr>
      <w:r w:rsidRPr="00471447">
        <w:rPr>
          <w:rFonts w:ascii="Times New Roman" w:hAnsi="Times New Roman" w:cs="Times New Roman"/>
          <w:kern w:val="22"/>
        </w:rPr>
        <w:t xml:space="preserve">Presentation of Terms of Reference and Modus Operandi </w:t>
      </w:r>
    </w:p>
    <w:p w:rsidR="00401B0D" w:rsidRPr="00471447" w:rsidRDefault="00401B0D" w:rsidP="00471447">
      <w:pPr>
        <w:pStyle w:val="ListParagraph"/>
        <w:numPr>
          <w:ilvl w:val="0"/>
          <w:numId w:val="13"/>
        </w:numPr>
        <w:spacing w:before="120" w:after="120"/>
        <w:rPr>
          <w:rFonts w:ascii="Times New Roman" w:hAnsi="Times New Roman" w:cs="Times New Roman"/>
          <w:kern w:val="22"/>
        </w:rPr>
      </w:pPr>
      <w:r w:rsidRPr="00471447">
        <w:rPr>
          <w:rFonts w:ascii="Times New Roman" w:hAnsi="Times New Roman" w:cs="Times New Roman"/>
          <w:kern w:val="22"/>
        </w:rPr>
        <w:t xml:space="preserve">Mandates under Decisions XII/21 and XIII/6 </w:t>
      </w:r>
    </w:p>
    <w:p w:rsidR="000A0257" w:rsidRPr="00471447" w:rsidRDefault="000A0257" w:rsidP="00471447">
      <w:pPr>
        <w:pStyle w:val="ListParagraph"/>
        <w:spacing w:before="120" w:after="120"/>
        <w:ind w:left="1440"/>
        <w:rPr>
          <w:rFonts w:ascii="Times New Roman" w:hAnsi="Times New Roman" w:cs="Times New Roman"/>
          <w:kern w:val="22"/>
        </w:rPr>
      </w:pPr>
    </w:p>
    <w:p w:rsidR="00401B0D" w:rsidRPr="00471447" w:rsidRDefault="000A0257"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 xml:space="preserve">12:30-1:30 p.m.: </w:t>
      </w:r>
      <w:r w:rsidRPr="00471447">
        <w:rPr>
          <w:rFonts w:ascii="Times New Roman" w:hAnsi="Times New Roman" w:cs="Times New Roman"/>
          <w:b/>
          <w:kern w:val="22"/>
        </w:rPr>
        <w:tab/>
      </w:r>
      <w:r w:rsidRPr="00471447">
        <w:rPr>
          <w:rFonts w:ascii="Times New Roman" w:hAnsi="Times New Roman" w:cs="Times New Roman"/>
          <w:kern w:val="22"/>
        </w:rPr>
        <w:t>Lunch</w:t>
      </w:r>
    </w:p>
    <w:p w:rsidR="000A0257" w:rsidRPr="00471447" w:rsidRDefault="000A0257" w:rsidP="00471447">
      <w:pPr>
        <w:spacing w:before="120" w:after="120" w:line="240" w:lineRule="auto"/>
        <w:rPr>
          <w:rFonts w:ascii="Times New Roman" w:hAnsi="Times New Roman" w:cs="Times New Roman"/>
          <w:b/>
          <w:kern w:val="22"/>
        </w:rPr>
      </w:pPr>
    </w:p>
    <w:p w:rsidR="00401B0D" w:rsidRPr="00471447" w:rsidRDefault="0025285F" w:rsidP="00471447">
      <w:pPr>
        <w:widowControl w:val="0"/>
        <w:tabs>
          <w:tab w:val="left" w:pos="2802"/>
        </w:tabs>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5: Presentations</w:t>
      </w:r>
      <w:r w:rsidR="00401B0D" w:rsidRPr="00471447">
        <w:rPr>
          <w:rFonts w:ascii="Times New Roman" w:hAnsi="Times New Roman" w:cs="Times New Roman"/>
          <w:b/>
          <w:kern w:val="22"/>
        </w:rPr>
        <w:t xml:space="preserve"> by Core Members: Introduction of key activities within their organizations and potential areas of collaboration with the ILG</w:t>
      </w:r>
    </w:p>
    <w:p w:rsidR="00401B0D" w:rsidRPr="00471447" w:rsidRDefault="00401B0D" w:rsidP="00471447">
      <w:pPr>
        <w:pStyle w:val="ListParagraph"/>
        <w:tabs>
          <w:tab w:val="left" w:pos="2802"/>
        </w:tabs>
        <w:spacing w:before="120" w:after="120"/>
        <w:rPr>
          <w:rFonts w:ascii="Times New Roman" w:hAnsi="Times New Roman" w:cs="Times New Roman"/>
          <w:kern w:val="22"/>
        </w:rPr>
      </w:pPr>
    </w:p>
    <w:p w:rsidR="00401B0D" w:rsidRPr="00471447" w:rsidRDefault="0025285F" w:rsidP="00471447">
      <w:pPr>
        <w:widowControl w:val="0"/>
        <w:tabs>
          <w:tab w:val="left" w:pos="2802"/>
        </w:tabs>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 xml:space="preserve">Item 6: </w:t>
      </w:r>
      <w:r w:rsidR="00401B0D" w:rsidRPr="00471447">
        <w:rPr>
          <w:rFonts w:ascii="Times New Roman" w:hAnsi="Times New Roman" w:cs="Times New Roman"/>
          <w:b/>
          <w:kern w:val="22"/>
        </w:rPr>
        <w:t xml:space="preserve">Brainstorming: Draft guidance for the integration of biodiversity and ecosystem management in “One Health” </w:t>
      </w:r>
    </w:p>
    <w:p w:rsidR="00401B0D" w:rsidRPr="00471447" w:rsidRDefault="00401B0D" w:rsidP="00471447">
      <w:pPr>
        <w:tabs>
          <w:tab w:val="left" w:pos="2802"/>
        </w:tabs>
        <w:spacing w:before="120" w:after="120" w:line="240" w:lineRule="auto"/>
        <w:rPr>
          <w:rFonts w:ascii="Times New Roman" w:hAnsi="Times New Roman" w:cs="Times New Roman"/>
          <w:kern w:val="22"/>
        </w:rPr>
      </w:pPr>
    </w:p>
    <w:p w:rsidR="00401B0D" w:rsidRPr="00471447" w:rsidRDefault="00401B0D" w:rsidP="00471447">
      <w:pPr>
        <w:tabs>
          <w:tab w:val="left" w:pos="2802"/>
        </w:tabs>
        <w:spacing w:before="120" w:after="120" w:line="240" w:lineRule="auto"/>
        <w:rPr>
          <w:rFonts w:ascii="Times New Roman" w:hAnsi="Times New Roman" w:cs="Times New Roman"/>
          <w:kern w:val="22"/>
        </w:rPr>
      </w:pPr>
      <w:r w:rsidRPr="00471447">
        <w:rPr>
          <w:rFonts w:ascii="Times New Roman" w:hAnsi="Times New Roman" w:cs="Times New Roman"/>
          <w:b/>
          <w:kern w:val="22"/>
        </w:rPr>
        <w:t xml:space="preserve">5:30 </w:t>
      </w:r>
      <w:r w:rsidR="0025285F" w:rsidRPr="00471447">
        <w:rPr>
          <w:rFonts w:ascii="Times New Roman" w:hAnsi="Times New Roman" w:cs="Times New Roman"/>
          <w:b/>
          <w:kern w:val="22"/>
        </w:rPr>
        <w:t>p.m.:</w:t>
      </w:r>
      <w:r w:rsidRPr="00471447">
        <w:rPr>
          <w:rFonts w:ascii="Times New Roman" w:hAnsi="Times New Roman" w:cs="Times New Roman"/>
          <w:kern w:val="22"/>
        </w:rPr>
        <w:t xml:space="preserve">   </w:t>
      </w:r>
      <w:r w:rsidR="00A163E4" w:rsidRPr="00471447">
        <w:rPr>
          <w:rFonts w:ascii="Times New Roman" w:hAnsi="Times New Roman" w:cs="Times New Roman"/>
          <w:kern w:val="22"/>
        </w:rPr>
        <w:t xml:space="preserve">                    </w:t>
      </w:r>
      <w:r w:rsidRPr="00471447">
        <w:rPr>
          <w:rFonts w:ascii="Times New Roman" w:hAnsi="Times New Roman" w:cs="Times New Roman"/>
          <w:kern w:val="22"/>
        </w:rPr>
        <w:t>Closure of the meeting for the first day</w:t>
      </w:r>
    </w:p>
    <w:p w:rsidR="00401B0D" w:rsidRPr="00471447" w:rsidRDefault="00401B0D" w:rsidP="00471447">
      <w:pPr>
        <w:spacing w:before="120" w:after="120" w:line="240" w:lineRule="auto"/>
        <w:rPr>
          <w:rFonts w:ascii="Times New Roman" w:hAnsi="Times New Roman" w:cs="Times New Roman"/>
          <w:b/>
          <w:kern w:val="22"/>
        </w:rPr>
      </w:pPr>
    </w:p>
    <w:p w:rsidR="00401B0D" w:rsidRPr="00471447" w:rsidRDefault="00401B0D"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DAY 2</w:t>
      </w:r>
      <w:r w:rsidR="00A163E4" w:rsidRPr="00471447">
        <w:rPr>
          <w:rFonts w:ascii="Times New Roman" w:hAnsi="Times New Roman" w:cs="Times New Roman"/>
          <w:b/>
          <w:kern w:val="22"/>
        </w:rPr>
        <w:tab/>
      </w:r>
      <w:r w:rsidR="00A163E4" w:rsidRPr="00471447">
        <w:rPr>
          <w:rFonts w:ascii="Times New Roman" w:hAnsi="Times New Roman" w:cs="Times New Roman"/>
          <w:b/>
          <w:kern w:val="22"/>
        </w:rPr>
        <w:tab/>
        <w:t xml:space="preserve"> </w:t>
      </w:r>
    </w:p>
    <w:p w:rsidR="00A163E4" w:rsidRPr="00471447" w:rsidRDefault="00A163E4"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9:15 - 9:30 a.m.:</w:t>
      </w:r>
      <w:r w:rsidRPr="00471447">
        <w:rPr>
          <w:rFonts w:ascii="Times New Roman" w:hAnsi="Times New Roman" w:cs="Times New Roman"/>
          <w:b/>
          <w:kern w:val="22"/>
        </w:rPr>
        <w:tab/>
      </w:r>
      <w:r w:rsidRPr="00471447">
        <w:rPr>
          <w:rFonts w:ascii="Times New Roman" w:hAnsi="Times New Roman" w:cs="Times New Roman"/>
          <w:kern w:val="22"/>
        </w:rPr>
        <w:t>Pick up and welcome coffee (Meeting to be held in Room L14)</w:t>
      </w:r>
    </w:p>
    <w:p w:rsidR="00401B0D" w:rsidRPr="00471447" w:rsidRDefault="00401B0D" w:rsidP="00471447">
      <w:pPr>
        <w:spacing w:before="120" w:after="120" w:line="240" w:lineRule="auto"/>
        <w:ind w:left="709" w:hanging="709"/>
        <w:rPr>
          <w:rFonts w:ascii="Times New Roman" w:hAnsi="Times New Roman" w:cs="Times New Roman"/>
          <w:kern w:val="22"/>
        </w:rPr>
      </w:pPr>
    </w:p>
    <w:p w:rsidR="00A163E4" w:rsidRPr="00471447" w:rsidRDefault="00A163E4" w:rsidP="00471447">
      <w:pPr>
        <w:widowControl w:val="0"/>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7: Organizational Matters</w:t>
      </w:r>
    </w:p>
    <w:p w:rsidR="00401B0D" w:rsidRPr="00471447" w:rsidRDefault="00401B0D" w:rsidP="00471447">
      <w:pPr>
        <w:pStyle w:val="ListParagraph"/>
        <w:numPr>
          <w:ilvl w:val="0"/>
          <w:numId w:val="14"/>
        </w:numPr>
        <w:spacing w:before="120" w:after="120"/>
        <w:rPr>
          <w:rFonts w:ascii="Times New Roman" w:hAnsi="Times New Roman" w:cs="Times New Roman"/>
          <w:kern w:val="22"/>
        </w:rPr>
      </w:pPr>
      <w:r w:rsidRPr="00471447">
        <w:rPr>
          <w:rFonts w:ascii="Times New Roman" w:hAnsi="Times New Roman" w:cs="Times New Roman"/>
          <w:kern w:val="22"/>
        </w:rPr>
        <w:t>Re</w:t>
      </w:r>
      <w:r w:rsidR="00A163E4" w:rsidRPr="00471447">
        <w:rPr>
          <w:rFonts w:ascii="Times New Roman" w:hAnsi="Times New Roman" w:cs="Times New Roman"/>
          <w:kern w:val="22"/>
        </w:rPr>
        <w:t>cap</w:t>
      </w:r>
      <w:r w:rsidRPr="00471447">
        <w:rPr>
          <w:rFonts w:ascii="Times New Roman" w:hAnsi="Times New Roman" w:cs="Times New Roman"/>
          <w:kern w:val="22"/>
        </w:rPr>
        <w:t xml:space="preserve"> from the co-chairs </w:t>
      </w:r>
      <w:r w:rsidR="00A163E4" w:rsidRPr="00471447">
        <w:rPr>
          <w:rFonts w:ascii="Times New Roman" w:hAnsi="Times New Roman" w:cs="Times New Roman"/>
          <w:kern w:val="22"/>
        </w:rPr>
        <w:t>on</w:t>
      </w:r>
      <w:r w:rsidRPr="00471447">
        <w:rPr>
          <w:rFonts w:ascii="Times New Roman" w:hAnsi="Times New Roman" w:cs="Times New Roman"/>
          <w:kern w:val="22"/>
        </w:rPr>
        <w:t xml:space="preserve"> the outcomes of </w:t>
      </w:r>
      <w:r w:rsidR="00A163E4" w:rsidRPr="00471447">
        <w:rPr>
          <w:rFonts w:ascii="Times New Roman" w:hAnsi="Times New Roman" w:cs="Times New Roman"/>
          <w:kern w:val="22"/>
        </w:rPr>
        <w:t>the first day of the meeting</w:t>
      </w:r>
    </w:p>
    <w:p w:rsidR="00A163E4" w:rsidRPr="00471447" w:rsidRDefault="00A163E4" w:rsidP="00471447">
      <w:pPr>
        <w:pStyle w:val="ListParagraph"/>
        <w:numPr>
          <w:ilvl w:val="0"/>
          <w:numId w:val="14"/>
        </w:numPr>
        <w:spacing w:before="120" w:after="120"/>
        <w:rPr>
          <w:rFonts w:ascii="Times New Roman" w:hAnsi="Times New Roman" w:cs="Times New Roman"/>
          <w:kern w:val="22"/>
        </w:rPr>
      </w:pPr>
      <w:r w:rsidRPr="00471447">
        <w:rPr>
          <w:rFonts w:ascii="Times New Roman" w:hAnsi="Times New Roman" w:cs="Times New Roman"/>
          <w:kern w:val="22"/>
        </w:rPr>
        <w:t xml:space="preserve">Questions comments by participants on outcomes of the first day of the meeting </w:t>
      </w:r>
    </w:p>
    <w:p w:rsidR="00401B0D" w:rsidRPr="00471447" w:rsidRDefault="00401B0D" w:rsidP="00471447">
      <w:pPr>
        <w:spacing w:before="120" w:after="120" w:line="240" w:lineRule="auto"/>
        <w:rPr>
          <w:rFonts w:ascii="Times New Roman" w:hAnsi="Times New Roman" w:cs="Times New Roman"/>
          <w:kern w:val="22"/>
        </w:rPr>
      </w:pPr>
    </w:p>
    <w:p w:rsidR="00401B0D" w:rsidRPr="00471447" w:rsidRDefault="00A163E4" w:rsidP="00471447">
      <w:pPr>
        <w:widowControl w:val="0"/>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8: R</w:t>
      </w:r>
      <w:r w:rsidR="00401B0D" w:rsidRPr="00471447">
        <w:rPr>
          <w:rFonts w:ascii="Times New Roman" w:hAnsi="Times New Roman" w:cs="Times New Roman"/>
          <w:b/>
          <w:kern w:val="22"/>
        </w:rPr>
        <w:t xml:space="preserve">elevant activities and potential areas of synergy: </w:t>
      </w:r>
      <w:r w:rsidRPr="00471447">
        <w:rPr>
          <w:rFonts w:ascii="Times New Roman" w:hAnsi="Times New Roman" w:cs="Times New Roman"/>
          <w:b/>
          <w:kern w:val="22"/>
        </w:rPr>
        <w:t xml:space="preserve">presentations from </w:t>
      </w:r>
      <w:r w:rsidR="0002556C" w:rsidRPr="00471447">
        <w:rPr>
          <w:rFonts w:ascii="Times New Roman" w:hAnsi="Times New Roman" w:cs="Times New Roman"/>
          <w:b/>
          <w:kern w:val="22"/>
        </w:rPr>
        <w:t xml:space="preserve">WHO followed by </w:t>
      </w:r>
      <w:r w:rsidR="00401B0D" w:rsidRPr="00471447">
        <w:rPr>
          <w:rFonts w:ascii="Times New Roman" w:hAnsi="Times New Roman" w:cs="Times New Roman"/>
          <w:b/>
          <w:kern w:val="22"/>
        </w:rPr>
        <w:t>invited experts</w:t>
      </w:r>
      <w:r w:rsidR="00401B0D" w:rsidRPr="00471447">
        <w:rPr>
          <w:rFonts w:ascii="Times New Roman" w:hAnsi="Times New Roman" w:cs="Times New Roman"/>
          <w:kern w:val="22"/>
        </w:rPr>
        <w:t xml:space="preserve"> </w:t>
      </w:r>
    </w:p>
    <w:p w:rsidR="00D11EF9" w:rsidRPr="00471447" w:rsidRDefault="00D11EF9"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 xml:space="preserve">Francesco Branca, WHO: Integrating Biodiversity and Human Health in the Decade for Nutrition </w:t>
      </w:r>
    </w:p>
    <w:p w:rsidR="0002556C" w:rsidRPr="00471447" w:rsidRDefault="0002556C"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Aldo Di Benedetto, Italian MoH: Biodiversity and Health in the context of the G7</w:t>
      </w:r>
    </w:p>
    <w:p w:rsidR="00401B0D" w:rsidRPr="00471447" w:rsidRDefault="00401B0D"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Qiyong Liu, China CDC: Capacity building and the Chinese Center for Disease Control and Prevention</w:t>
      </w:r>
    </w:p>
    <w:p w:rsidR="00401B0D" w:rsidRPr="00471447" w:rsidRDefault="00401B0D"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Manuela Da Silva, FIOCRUZ: biodiversity and human health in megadiverse Latin America</w:t>
      </w:r>
    </w:p>
    <w:p w:rsidR="00401B0D" w:rsidRPr="00471447" w:rsidRDefault="00401B0D"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Carlos Zambrana Torrelio, Ecohealth Alliance: Ways forward for biodiversity monitoring, indicators and human health outcomes</w:t>
      </w:r>
    </w:p>
    <w:p w:rsidR="0002556C" w:rsidRPr="00471447" w:rsidRDefault="00401B0D"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Rafael Ruiz de Castañeda &amp; Isabelle Bolon, University of Geneva: One Health research and practice</w:t>
      </w:r>
    </w:p>
    <w:p w:rsidR="00401B0D" w:rsidRPr="00471447" w:rsidRDefault="00401B0D" w:rsidP="00471447">
      <w:pPr>
        <w:pStyle w:val="ListParagraph"/>
        <w:numPr>
          <w:ilvl w:val="0"/>
          <w:numId w:val="17"/>
        </w:numPr>
        <w:spacing w:before="120" w:after="120"/>
        <w:ind w:left="1418"/>
        <w:rPr>
          <w:rFonts w:ascii="Times New Roman" w:hAnsi="Times New Roman" w:cs="Times New Roman"/>
          <w:kern w:val="22"/>
        </w:rPr>
      </w:pPr>
      <w:r w:rsidRPr="00471447">
        <w:rPr>
          <w:rFonts w:ascii="Times New Roman" w:hAnsi="Times New Roman" w:cs="Times New Roman"/>
          <w:kern w:val="22"/>
        </w:rPr>
        <w:t>Montira Pongsiri, Planetary Health Alliance: Science-policy bridge building: case studies from planetary health science policy engagement</w:t>
      </w:r>
    </w:p>
    <w:p w:rsidR="00401B0D" w:rsidRPr="00471447" w:rsidRDefault="00401B0D" w:rsidP="00471447">
      <w:pPr>
        <w:pStyle w:val="ListParagraph"/>
        <w:spacing w:before="120" w:after="120"/>
        <w:ind w:left="1440"/>
        <w:rPr>
          <w:rFonts w:ascii="Times New Roman" w:hAnsi="Times New Roman" w:cs="Times New Roman"/>
          <w:kern w:val="22"/>
        </w:rPr>
      </w:pPr>
    </w:p>
    <w:p w:rsidR="00401B0D" w:rsidRPr="00471447" w:rsidRDefault="00401B0D" w:rsidP="00471447">
      <w:pPr>
        <w:spacing w:before="120" w:after="120" w:line="240" w:lineRule="auto"/>
        <w:rPr>
          <w:rFonts w:ascii="Times New Roman" w:hAnsi="Times New Roman" w:cs="Times New Roman"/>
          <w:b/>
          <w:kern w:val="22"/>
        </w:rPr>
      </w:pPr>
      <w:r w:rsidRPr="00471447">
        <w:rPr>
          <w:rFonts w:ascii="Times New Roman" w:hAnsi="Times New Roman" w:cs="Times New Roman"/>
          <w:b/>
          <w:kern w:val="22"/>
        </w:rPr>
        <w:t>12:30-1</w:t>
      </w:r>
      <w:r w:rsidR="00A163E4" w:rsidRPr="00471447">
        <w:rPr>
          <w:rFonts w:ascii="Times New Roman" w:hAnsi="Times New Roman" w:cs="Times New Roman"/>
          <w:b/>
          <w:kern w:val="22"/>
        </w:rPr>
        <w:t>:</w:t>
      </w:r>
      <w:r w:rsidR="000A0257" w:rsidRPr="00471447">
        <w:rPr>
          <w:rFonts w:ascii="Times New Roman" w:hAnsi="Times New Roman" w:cs="Times New Roman"/>
          <w:b/>
          <w:kern w:val="22"/>
        </w:rPr>
        <w:t>30 p.m.</w:t>
      </w:r>
      <w:r w:rsidR="00A163E4" w:rsidRPr="00471447">
        <w:rPr>
          <w:rFonts w:ascii="Times New Roman" w:hAnsi="Times New Roman" w:cs="Times New Roman"/>
          <w:b/>
          <w:kern w:val="22"/>
        </w:rPr>
        <w:t xml:space="preserve"> </w:t>
      </w:r>
      <w:r w:rsidR="000A0257" w:rsidRPr="00471447">
        <w:rPr>
          <w:rFonts w:ascii="Times New Roman" w:hAnsi="Times New Roman" w:cs="Times New Roman"/>
          <w:kern w:val="22"/>
        </w:rPr>
        <w:tab/>
      </w:r>
      <w:r w:rsidR="00A163E4" w:rsidRPr="00471447">
        <w:rPr>
          <w:rFonts w:ascii="Times New Roman" w:hAnsi="Times New Roman" w:cs="Times New Roman"/>
          <w:kern w:val="22"/>
        </w:rPr>
        <w:t>Lunch</w:t>
      </w:r>
    </w:p>
    <w:p w:rsidR="00401B0D" w:rsidRPr="00471447" w:rsidRDefault="00401B0D" w:rsidP="00471447">
      <w:pPr>
        <w:spacing w:before="120" w:after="120" w:line="240" w:lineRule="auto"/>
        <w:rPr>
          <w:rFonts w:ascii="Times New Roman" w:hAnsi="Times New Roman" w:cs="Times New Roman"/>
          <w:b/>
          <w:kern w:val="22"/>
        </w:rPr>
      </w:pPr>
    </w:p>
    <w:p w:rsidR="00401B0D" w:rsidRPr="00471447" w:rsidRDefault="00655335" w:rsidP="00471447">
      <w:pPr>
        <w:widowControl w:val="0"/>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lastRenderedPageBreak/>
        <w:t>Item 8</w:t>
      </w:r>
      <w:r w:rsidR="00401B0D" w:rsidRPr="00471447">
        <w:rPr>
          <w:rFonts w:ascii="Times New Roman" w:hAnsi="Times New Roman" w:cs="Times New Roman"/>
          <w:b/>
          <w:kern w:val="22"/>
        </w:rPr>
        <w:t xml:space="preserve"> (continued): Briefing on relevant activities </w:t>
      </w:r>
      <w:r w:rsidRPr="00471447">
        <w:rPr>
          <w:rFonts w:ascii="Times New Roman" w:hAnsi="Times New Roman" w:cs="Times New Roman"/>
          <w:b/>
          <w:kern w:val="22"/>
        </w:rPr>
        <w:t>and potential areas of synergy</w:t>
      </w:r>
    </w:p>
    <w:p w:rsidR="0002556C" w:rsidRPr="00471447" w:rsidRDefault="00401B0D" w:rsidP="00471447">
      <w:pPr>
        <w:pStyle w:val="ListParagraph"/>
        <w:numPr>
          <w:ilvl w:val="0"/>
          <w:numId w:val="17"/>
        </w:numPr>
        <w:spacing w:before="120" w:after="120"/>
        <w:ind w:left="1276" w:hanging="338"/>
        <w:rPr>
          <w:rFonts w:ascii="Times New Roman" w:hAnsi="Times New Roman" w:cs="Times New Roman"/>
          <w:kern w:val="22"/>
        </w:rPr>
      </w:pPr>
      <w:r w:rsidRPr="00471447">
        <w:rPr>
          <w:rFonts w:ascii="Times New Roman" w:hAnsi="Times New Roman" w:cs="Times New Roman"/>
          <w:kern w:val="22"/>
        </w:rPr>
        <w:t xml:space="preserve">Timothy Bouley: World Bank activities on climate and health and One Health </w:t>
      </w:r>
      <w:r w:rsidR="0002556C" w:rsidRPr="00471447">
        <w:rPr>
          <w:rFonts w:ascii="Times New Roman" w:hAnsi="Times New Roman" w:cs="Times New Roman"/>
          <w:kern w:val="22"/>
        </w:rPr>
        <w:t xml:space="preserve">   </w:t>
      </w:r>
    </w:p>
    <w:p w:rsidR="00401B0D" w:rsidRPr="00471447" w:rsidRDefault="0002556C" w:rsidP="00471447">
      <w:pPr>
        <w:pStyle w:val="ListParagraph"/>
        <w:spacing w:before="120" w:after="120"/>
        <w:ind w:left="1276"/>
        <w:rPr>
          <w:rFonts w:ascii="Times New Roman" w:hAnsi="Times New Roman" w:cs="Times New Roman"/>
          <w:kern w:val="22"/>
        </w:rPr>
      </w:pPr>
      <w:r w:rsidRPr="00471447">
        <w:rPr>
          <w:rFonts w:ascii="Times New Roman" w:hAnsi="Times New Roman" w:cs="Times New Roman"/>
          <w:kern w:val="22"/>
        </w:rPr>
        <w:t xml:space="preserve">   </w:t>
      </w:r>
      <w:r w:rsidR="00401B0D" w:rsidRPr="00471447">
        <w:rPr>
          <w:rFonts w:ascii="Times New Roman" w:hAnsi="Times New Roman" w:cs="Times New Roman"/>
          <w:kern w:val="22"/>
        </w:rPr>
        <w:t>(by teleconference)</w:t>
      </w:r>
    </w:p>
    <w:p w:rsidR="00655335" w:rsidRPr="00471447" w:rsidRDefault="00655335" w:rsidP="00471447">
      <w:pPr>
        <w:pStyle w:val="ListParagraph"/>
        <w:numPr>
          <w:ilvl w:val="0"/>
          <w:numId w:val="17"/>
        </w:numPr>
        <w:spacing w:before="120" w:after="120"/>
        <w:rPr>
          <w:rFonts w:ascii="Times New Roman" w:hAnsi="Times New Roman" w:cs="Times New Roman"/>
          <w:kern w:val="22"/>
        </w:rPr>
      </w:pPr>
      <w:r w:rsidRPr="00471447">
        <w:rPr>
          <w:rFonts w:ascii="Times New Roman" w:hAnsi="Times New Roman" w:cs="Times New Roman"/>
          <w:kern w:val="22"/>
        </w:rPr>
        <w:t>Questions and answers to invited expert</w:t>
      </w:r>
      <w:r w:rsidR="0002556C" w:rsidRPr="00471447">
        <w:rPr>
          <w:rFonts w:ascii="Times New Roman" w:hAnsi="Times New Roman" w:cs="Times New Roman"/>
          <w:kern w:val="22"/>
        </w:rPr>
        <w:t xml:space="preserve"> observer</w:t>
      </w:r>
      <w:r w:rsidRPr="00471447">
        <w:rPr>
          <w:rFonts w:ascii="Times New Roman" w:hAnsi="Times New Roman" w:cs="Times New Roman"/>
          <w:kern w:val="22"/>
        </w:rPr>
        <w:t>s</w:t>
      </w:r>
    </w:p>
    <w:p w:rsidR="000A0257" w:rsidRPr="00471447" w:rsidRDefault="000A0257" w:rsidP="00471447">
      <w:pPr>
        <w:spacing w:before="120" w:after="120" w:line="240" w:lineRule="auto"/>
        <w:rPr>
          <w:rFonts w:ascii="Times New Roman" w:hAnsi="Times New Roman" w:cs="Times New Roman"/>
          <w:kern w:val="22"/>
        </w:rPr>
      </w:pPr>
    </w:p>
    <w:p w:rsidR="00401B0D" w:rsidRPr="00471447" w:rsidRDefault="003A164A" w:rsidP="00471447">
      <w:pPr>
        <w:widowControl w:val="0"/>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9</w:t>
      </w:r>
      <w:r w:rsidR="00655335" w:rsidRPr="00471447">
        <w:rPr>
          <w:rFonts w:ascii="Times New Roman" w:hAnsi="Times New Roman" w:cs="Times New Roman"/>
          <w:b/>
          <w:kern w:val="22"/>
        </w:rPr>
        <w:t>: Ways forward</w:t>
      </w:r>
      <w:r w:rsidRPr="00471447">
        <w:rPr>
          <w:rFonts w:ascii="Times New Roman" w:hAnsi="Times New Roman" w:cs="Times New Roman"/>
          <w:b/>
          <w:kern w:val="22"/>
        </w:rPr>
        <w:t xml:space="preserve">: </w:t>
      </w:r>
      <w:r w:rsidR="00452B99" w:rsidRPr="00471447">
        <w:rPr>
          <w:rFonts w:ascii="Times New Roman" w:hAnsi="Times New Roman" w:cs="Times New Roman"/>
          <w:b/>
          <w:kern w:val="22"/>
        </w:rPr>
        <w:t>Areas of cooperation among the members of the</w:t>
      </w:r>
      <w:r w:rsidRPr="00471447">
        <w:rPr>
          <w:rFonts w:ascii="Times New Roman" w:hAnsi="Times New Roman" w:cs="Times New Roman"/>
          <w:b/>
          <w:kern w:val="22"/>
        </w:rPr>
        <w:t xml:space="preserve"> ILG</w:t>
      </w:r>
      <w:r w:rsidR="00452B99" w:rsidRPr="00471447">
        <w:rPr>
          <w:rFonts w:ascii="Times New Roman" w:hAnsi="Times New Roman" w:cs="Times New Roman"/>
          <w:b/>
          <w:kern w:val="22"/>
        </w:rPr>
        <w:t xml:space="preserve"> to support the implementation of decision XIII/6</w:t>
      </w:r>
    </w:p>
    <w:p w:rsidR="00401B0D" w:rsidRPr="00471447" w:rsidRDefault="00655335" w:rsidP="00471447">
      <w:pPr>
        <w:pStyle w:val="ListParagraph"/>
        <w:spacing w:before="120" w:after="120"/>
        <w:ind w:left="1080"/>
        <w:rPr>
          <w:rFonts w:ascii="Times New Roman" w:hAnsi="Times New Roman" w:cs="Times New Roman"/>
          <w:i/>
          <w:kern w:val="22"/>
        </w:rPr>
      </w:pPr>
      <w:r w:rsidRPr="00471447">
        <w:rPr>
          <w:rFonts w:ascii="Times New Roman" w:hAnsi="Times New Roman" w:cs="Times New Roman"/>
          <w:i/>
          <w:kern w:val="22"/>
        </w:rPr>
        <w:t>Select expert</w:t>
      </w:r>
      <w:r w:rsidR="00401B0D" w:rsidRPr="00471447">
        <w:rPr>
          <w:rFonts w:ascii="Times New Roman" w:hAnsi="Times New Roman" w:cs="Times New Roman"/>
          <w:i/>
          <w:kern w:val="22"/>
        </w:rPr>
        <w:t>s will be invited to initiate discussion on activities and ways to strengthen collaboration among ILG members in each of the following areas. All participants are encouraged to contribute to this dialogue.</w:t>
      </w:r>
    </w:p>
    <w:p w:rsidR="00401B0D" w:rsidRPr="00471447" w:rsidRDefault="00401B0D" w:rsidP="00471447">
      <w:pPr>
        <w:pStyle w:val="ListParagraph"/>
        <w:widowControl w:val="0"/>
        <w:numPr>
          <w:ilvl w:val="0"/>
          <w:numId w:val="8"/>
        </w:numPr>
        <w:suppressAutoHyphens/>
        <w:spacing w:before="120" w:after="120"/>
        <w:rPr>
          <w:rFonts w:ascii="Times New Roman" w:hAnsi="Times New Roman" w:cs="Times New Roman"/>
          <w:b/>
          <w:kern w:val="22"/>
        </w:rPr>
      </w:pPr>
      <w:r w:rsidRPr="00471447">
        <w:rPr>
          <w:rFonts w:ascii="Times New Roman" w:hAnsi="Times New Roman" w:cs="Times New Roman"/>
          <w:b/>
          <w:kern w:val="22"/>
        </w:rPr>
        <w:t xml:space="preserve">Capacity-building </w:t>
      </w:r>
    </w:p>
    <w:p w:rsidR="00401B0D" w:rsidRPr="00471447" w:rsidRDefault="00401B0D" w:rsidP="00471447">
      <w:pPr>
        <w:pStyle w:val="ListParagraph"/>
        <w:widowControl w:val="0"/>
        <w:suppressAutoHyphens/>
        <w:spacing w:before="120" w:after="120"/>
        <w:ind w:left="1800"/>
        <w:rPr>
          <w:rFonts w:ascii="Times New Roman" w:hAnsi="Times New Roman" w:cs="Times New Roman"/>
          <w:i/>
          <w:kern w:val="22"/>
        </w:rPr>
      </w:pPr>
      <w:r w:rsidRPr="00471447">
        <w:rPr>
          <w:rFonts w:ascii="Times New Roman" w:hAnsi="Times New Roman" w:cs="Times New Roman"/>
          <w:i/>
          <w:kern w:val="22"/>
        </w:rPr>
        <w:t>Discussion on possible collaboration for capacity development, and promoting collaboration at the national level building on previous regional capacity-building workshops on biodiversity and human health</w:t>
      </w:r>
    </w:p>
    <w:p w:rsidR="00401B0D" w:rsidRPr="00471447" w:rsidRDefault="00401B0D" w:rsidP="00471447">
      <w:pPr>
        <w:pStyle w:val="ListParagraph"/>
        <w:widowControl w:val="0"/>
        <w:numPr>
          <w:ilvl w:val="0"/>
          <w:numId w:val="8"/>
        </w:numPr>
        <w:suppressAutoHyphens/>
        <w:spacing w:before="120" w:after="120"/>
        <w:rPr>
          <w:rFonts w:ascii="Times New Roman" w:hAnsi="Times New Roman" w:cs="Times New Roman"/>
          <w:b/>
          <w:kern w:val="22"/>
        </w:rPr>
      </w:pPr>
      <w:r w:rsidRPr="00471447">
        <w:rPr>
          <w:rFonts w:ascii="Times New Roman" w:hAnsi="Times New Roman" w:cs="Times New Roman"/>
          <w:b/>
          <w:kern w:val="22"/>
        </w:rPr>
        <w:t xml:space="preserve">Datasets </w:t>
      </w:r>
      <w:r w:rsidR="00C322CD" w:rsidRPr="00471447">
        <w:rPr>
          <w:rFonts w:ascii="Times New Roman" w:hAnsi="Times New Roman" w:cs="Times New Roman"/>
          <w:b/>
          <w:kern w:val="22"/>
        </w:rPr>
        <w:t xml:space="preserve">, metrics </w:t>
      </w:r>
      <w:r w:rsidRPr="00471447">
        <w:rPr>
          <w:rFonts w:ascii="Times New Roman" w:hAnsi="Times New Roman" w:cs="Times New Roman"/>
          <w:b/>
          <w:kern w:val="22"/>
        </w:rPr>
        <w:t xml:space="preserve">and indicators </w:t>
      </w:r>
    </w:p>
    <w:p w:rsidR="00401B0D" w:rsidRPr="00471447" w:rsidRDefault="00401B0D" w:rsidP="00471447">
      <w:pPr>
        <w:pStyle w:val="ListParagraph"/>
        <w:widowControl w:val="0"/>
        <w:suppressAutoHyphens/>
        <w:spacing w:before="120" w:after="120"/>
        <w:ind w:left="1800"/>
        <w:rPr>
          <w:rFonts w:ascii="Times New Roman" w:hAnsi="Times New Roman" w:cs="Times New Roman"/>
          <w:kern w:val="22"/>
        </w:rPr>
      </w:pPr>
      <w:r w:rsidRPr="00471447">
        <w:rPr>
          <w:rFonts w:ascii="Times New Roman" w:hAnsi="Times New Roman" w:cs="Times New Roman"/>
          <w:i/>
          <w:kern w:val="22"/>
        </w:rPr>
        <w:t xml:space="preserve">Discussion on available data sets e.g. links between ecosystem degradation, biodiversity loss and infectious disease emergence </w:t>
      </w:r>
    </w:p>
    <w:p w:rsidR="00401B0D" w:rsidRPr="00471447" w:rsidRDefault="00401B0D" w:rsidP="00471447">
      <w:pPr>
        <w:pStyle w:val="ListParagraph"/>
        <w:widowControl w:val="0"/>
        <w:numPr>
          <w:ilvl w:val="0"/>
          <w:numId w:val="8"/>
        </w:numPr>
        <w:suppressAutoHyphens/>
        <w:spacing w:before="120" w:after="120"/>
        <w:rPr>
          <w:rFonts w:ascii="Times New Roman" w:hAnsi="Times New Roman" w:cs="Times New Roman"/>
          <w:b/>
          <w:kern w:val="22"/>
        </w:rPr>
      </w:pPr>
      <w:r w:rsidRPr="00471447">
        <w:rPr>
          <w:rFonts w:ascii="Times New Roman" w:hAnsi="Times New Roman" w:cs="Times New Roman"/>
          <w:b/>
          <w:kern w:val="22"/>
        </w:rPr>
        <w:t xml:space="preserve">Research gaps and best practices </w:t>
      </w:r>
    </w:p>
    <w:p w:rsidR="00401B0D" w:rsidRPr="00471447" w:rsidRDefault="00401B0D" w:rsidP="00471447">
      <w:pPr>
        <w:pStyle w:val="ListParagraph"/>
        <w:widowControl w:val="0"/>
        <w:suppressAutoHyphens/>
        <w:spacing w:before="120" w:after="120"/>
        <w:ind w:left="1800"/>
        <w:rPr>
          <w:rFonts w:ascii="Times New Roman" w:hAnsi="Times New Roman" w:cs="Times New Roman"/>
          <w:i/>
          <w:kern w:val="22"/>
        </w:rPr>
      </w:pPr>
      <w:r w:rsidRPr="00471447">
        <w:rPr>
          <w:rFonts w:ascii="Times New Roman" w:hAnsi="Times New Roman" w:cs="Times New Roman"/>
          <w:i/>
          <w:kern w:val="22"/>
        </w:rPr>
        <w:t xml:space="preserve">Building on the findings of the State of Knowledge Review, discussion on key research gaps and best practices </w:t>
      </w:r>
    </w:p>
    <w:p w:rsidR="00401B0D" w:rsidRPr="00471447" w:rsidRDefault="00401B0D" w:rsidP="00471447">
      <w:pPr>
        <w:pStyle w:val="ListParagraph"/>
        <w:widowControl w:val="0"/>
        <w:numPr>
          <w:ilvl w:val="0"/>
          <w:numId w:val="8"/>
        </w:numPr>
        <w:suppressAutoHyphens/>
        <w:spacing w:before="120" w:after="120"/>
        <w:rPr>
          <w:rFonts w:ascii="Times New Roman" w:hAnsi="Times New Roman" w:cs="Times New Roman"/>
          <w:b/>
          <w:kern w:val="22"/>
        </w:rPr>
      </w:pPr>
      <w:r w:rsidRPr="00471447">
        <w:rPr>
          <w:rFonts w:ascii="Times New Roman" w:hAnsi="Times New Roman" w:cs="Times New Roman"/>
          <w:b/>
          <w:kern w:val="22"/>
        </w:rPr>
        <w:t xml:space="preserve">Awareness-raising </w:t>
      </w:r>
    </w:p>
    <w:p w:rsidR="00401B0D" w:rsidRPr="00471447" w:rsidRDefault="00401B0D" w:rsidP="00471447">
      <w:pPr>
        <w:pStyle w:val="ListParagraph"/>
        <w:widowControl w:val="0"/>
        <w:suppressAutoHyphens/>
        <w:spacing w:before="120" w:after="120"/>
        <w:ind w:left="1800"/>
        <w:rPr>
          <w:rFonts w:ascii="Times New Roman" w:hAnsi="Times New Roman" w:cs="Times New Roman"/>
          <w:i/>
          <w:kern w:val="22"/>
        </w:rPr>
      </w:pPr>
      <w:r w:rsidRPr="00471447">
        <w:rPr>
          <w:rFonts w:ascii="Times New Roman" w:hAnsi="Times New Roman" w:cs="Times New Roman"/>
          <w:i/>
          <w:kern w:val="22"/>
        </w:rPr>
        <w:t xml:space="preserve">Collaborative opportunities for the development of tools and awareness raising materials </w:t>
      </w:r>
    </w:p>
    <w:p w:rsidR="00655335" w:rsidRPr="00471447" w:rsidRDefault="00655335" w:rsidP="00471447">
      <w:pPr>
        <w:widowControl w:val="0"/>
        <w:suppressAutoHyphens/>
        <w:spacing w:before="120" w:after="120" w:line="240" w:lineRule="auto"/>
        <w:rPr>
          <w:rFonts w:ascii="Times New Roman" w:hAnsi="Times New Roman" w:cs="Times New Roman"/>
          <w:i/>
          <w:kern w:val="22"/>
        </w:rPr>
      </w:pPr>
    </w:p>
    <w:p w:rsidR="00401B0D" w:rsidRPr="00471447" w:rsidRDefault="00E2573C" w:rsidP="00471447">
      <w:pPr>
        <w:widowControl w:val="0"/>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10</w:t>
      </w:r>
      <w:r w:rsidR="00655335" w:rsidRPr="00471447">
        <w:rPr>
          <w:rFonts w:ascii="Times New Roman" w:hAnsi="Times New Roman" w:cs="Times New Roman"/>
          <w:b/>
          <w:kern w:val="22"/>
        </w:rPr>
        <w:t>: Next meeting and other matters</w:t>
      </w:r>
    </w:p>
    <w:p w:rsidR="00655335" w:rsidRPr="00471447" w:rsidRDefault="00401B0D" w:rsidP="00471447">
      <w:pPr>
        <w:pStyle w:val="ListParagraph"/>
        <w:numPr>
          <w:ilvl w:val="0"/>
          <w:numId w:val="16"/>
        </w:numPr>
        <w:spacing w:before="120" w:after="120"/>
        <w:rPr>
          <w:rFonts w:ascii="Times New Roman" w:hAnsi="Times New Roman" w:cs="Times New Roman"/>
          <w:kern w:val="22"/>
        </w:rPr>
      </w:pPr>
      <w:r w:rsidRPr="00471447">
        <w:rPr>
          <w:rFonts w:ascii="Times New Roman" w:hAnsi="Times New Roman" w:cs="Times New Roman"/>
          <w:kern w:val="22"/>
        </w:rPr>
        <w:t>In addition to areas of collaboration identified during the brainstorming session, core members will be invited to identify</w:t>
      </w:r>
      <w:r w:rsidR="00C01AA8" w:rsidRPr="00471447">
        <w:rPr>
          <w:rFonts w:ascii="Times New Roman" w:hAnsi="Times New Roman" w:cs="Times New Roman"/>
          <w:kern w:val="22"/>
        </w:rPr>
        <w:t xml:space="preserve"> and summarize</w:t>
      </w:r>
      <w:r w:rsidRPr="00471447">
        <w:rPr>
          <w:rFonts w:ascii="Times New Roman" w:hAnsi="Times New Roman" w:cs="Times New Roman"/>
          <w:kern w:val="22"/>
        </w:rPr>
        <w:t xml:space="preserve"> </w:t>
      </w:r>
      <w:r w:rsidR="00C01AA8" w:rsidRPr="00471447">
        <w:rPr>
          <w:rFonts w:ascii="Times New Roman" w:hAnsi="Times New Roman" w:cs="Times New Roman"/>
          <w:kern w:val="22"/>
        </w:rPr>
        <w:t>key areas for follow up action</w:t>
      </w:r>
      <w:r w:rsidRPr="00471447">
        <w:rPr>
          <w:rFonts w:ascii="Times New Roman" w:hAnsi="Times New Roman" w:cs="Times New Roman"/>
          <w:kern w:val="22"/>
        </w:rPr>
        <w:t xml:space="preserve"> </w:t>
      </w:r>
      <w:r w:rsidR="00C01AA8" w:rsidRPr="00471447">
        <w:rPr>
          <w:rFonts w:ascii="Times New Roman" w:hAnsi="Times New Roman" w:cs="Times New Roman"/>
          <w:kern w:val="22"/>
        </w:rPr>
        <w:t xml:space="preserve">and </w:t>
      </w:r>
      <w:r w:rsidRPr="00471447">
        <w:rPr>
          <w:rFonts w:ascii="Times New Roman" w:hAnsi="Times New Roman" w:cs="Times New Roman"/>
          <w:kern w:val="22"/>
        </w:rPr>
        <w:t>collaboration to better integrate and disseminate b</w:t>
      </w:r>
      <w:r w:rsidR="00C01AA8" w:rsidRPr="00471447">
        <w:rPr>
          <w:rFonts w:ascii="Times New Roman" w:hAnsi="Times New Roman" w:cs="Times New Roman"/>
          <w:kern w:val="22"/>
        </w:rPr>
        <w:t>iodiversity and health linkages drawing on discussions held during the meeting.</w:t>
      </w:r>
    </w:p>
    <w:p w:rsidR="00655335" w:rsidRPr="00471447" w:rsidRDefault="00401B0D" w:rsidP="00471447">
      <w:pPr>
        <w:pStyle w:val="ListParagraph"/>
        <w:numPr>
          <w:ilvl w:val="0"/>
          <w:numId w:val="16"/>
        </w:numPr>
        <w:spacing w:before="120" w:after="120"/>
        <w:rPr>
          <w:rFonts w:ascii="Times New Roman" w:hAnsi="Times New Roman" w:cs="Times New Roman"/>
          <w:kern w:val="22"/>
        </w:rPr>
      </w:pPr>
      <w:r w:rsidRPr="00471447">
        <w:rPr>
          <w:rFonts w:ascii="Times New Roman" w:hAnsi="Times New Roman" w:cs="Times New Roman"/>
          <w:kern w:val="22"/>
        </w:rPr>
        <w:t>Next steps: CBD SBSTTA 21 to be held in Montreal, Canada in December 2017</w:t>
      </w:r>
    </w:p>
    <w:p w:rsidR="00401B0D" w:rsidRPr="00471447" w:rsidRDefault="00401B0D" w:rsidP="00471447">
      <w:pPr>
        <w:pStyle w:val="ListParagraph"/>
        <w:numPr>
          <w:ilvl w:val="0"/>
          <w:numId w:val="16"/>
        </w:numPr>
        <w:spacing w:before="120" w:after="120"/>
        <w:rPr>
          <w:rFonts w:ascii="Times New Roman" w:hAnsi="Times New Roman" w:cs="Times New Roman"/>
          <w:kern w:val="22"/>
        </w:rPr>
      </w:pPr>
      <w:r w:rsidRPr="00471447">
        <w:rPr>
          <w:rFonts w:ascii="Times New Roman" w:hAnsi="Times New Roman" w:cs="Times New Roman"/>
          <w:kern w:val="22"/>
        </w:rPr>
        <w:t>Next meeting of the Interagency Liaison Group on biodiversity and health</w:t>
      </w:r>
    </w:p>
    <w:p w:rsidR="00401B0D" w:rsidRPr="00471447" w:rsidRDefault="00401B0D" w:rsidP="00471447">
      <w:pPr>
        <w:pStyle w:val="ListParagraph"/>
        <w:spacing w:before="120" w:after="120"/>
        <w:ind w:left="1440"/>
        <w:rPr>
          <w:rFonts w:ascii="Times New Roman" w:hAnsi="Times New Roman" w:cs="Times New Roman"/>
          <w:kern w:val="22"/>
        </w:rPr>
      </w:pPr>
    </w:p>
    <w:p w:rsidR="00401B0D" w:rsidRPr="00471447" w:rsidRDefault="00E2573C" w:rsidP="00471447">
      <w:pPr>
        <w:widowControl w:val="0"/>
        <w:suppressAutoHyphens/>
        <w:spacing w:before="120" w:after="120" w:line="240" w:lineRule="auto"/>
        <w:rPr>
          <w:rFonts w:ascii="Times New Roman" w:hAnsi="Times New Roman" w:cs="Times New Roman"/>
          <w:b/>
          <w:kern w:val="22"/>
        </w:rPr>
      </w:pPr>
      <w:r w:rsidRPr="00471447">
        <w:rPr>
          <w:rFonts w:ascii="Times New Roman" w:hAnsi="Times New Roman" w:cs="Times New Roman"/>
          <w:b/>
          <w:kern w:val="22"/>
        </w:rPr>
        <w:t>Item 11</w:t>
      </w:r>
      <w:r w:rsidR="00655335" w:rsidRPr="00471447">
        <w:rPr>
          <w:rFonts w:ascii="Times New Roman" w:hAnsi="Times New Roman" w:cs="Times New Roman"/>
          <w:b/>
          <w:kern w:val="22"/>
        </w:rPr>
        <w:t xml:space="preserve">: </w:t>
      </w:r>
      <w:r w:rsidR="00401B0D" w:rsidRPr="00471447">
        <w:rPr>
          <w:rFonts w:ascii="Times New Roman" w:hAnsi="Times New Roman" w:cs="Times New Roman"/>
          <w:b/>
          <w:kern w:val="22"/>
        </w:rPr>
        <w:t>Closure of meeting</w:t>
      </w:r>
    </w:p>
    <w:p w:rsidR="00B0542D" w:rsidRPr="00471447" w:rsidRDefault="00B0542D" w:rsidP="00471447">
      <w:pPr>
        <w:spacing w:before="120" w:after="120" w:line="240" w:lineRule="auto"/>
        <w:jc w:val="both"/>
        <w:rPr>
          <w:rFonts w:ascii="Times New Roman" w:eastAsia="Cambria" w:hAnsi="Times New Roman" w:cs="Times New Roman"/>
          <w:b/>
          <w:kern w:val="22"/>
        </w:rPr>
      </w:pPr>
    </w:p>
    <w:p w:rsidR="008F59A6" w:rsidRPr="00471447" w:rsidRDefault="008F59A6" w:rsidP="00471447">
      <w:pPr>
        <w:spacing w:before="120" w:after="120" w:line="240" w:lineRule="auto"/>
        <w:rPr>
          <w:rFonts w:ascii="Times New Roman" w:eastAsia="Cambria" w:hAnsi="Times New Roman" w:cs="Times New Roman"/>
          <w:b/>
          <w:kern w:val="22"/>
        </w:rPr>
      </w:pPr>
      <w:r w:rsidRPr="00471447">
        <w:rPr>
          <w:rFonts w:ascii="Times New Roman" w:eastAsia="Cambria" w:hAnsi="Times New Roman" w:cs="Times New Roman"/>
          <w:b/>
          <w:kern w:val="22"/>
        </w:rPr>
        <w:br w:type="page"/>
      </w:r>
    </w:p>
    <w:p w:rsidR="009A7195" w:rsidRPr="00471447" w:rsidRDefault="009A7195" w:rsidP="00471447">
      <w:pPr>
        <w:pStyle w:val="HEADINGNOTFORTOC"/>
        <w:spacing w:before="120" w:after="120"/>
        <w:rPr>
          <w:kern w:val="22"/>
          <w:szCs w:val="22"/>
        </w:rPr>
      </w:pPr>
      <w:r w:rsidRPr="00471447">
        <w:rPr>
          <w:kern w:val="22"/>
          <w:szCs w:val="22"/>
        </w:rPr>
        <w:lastRenderedPageBreak/>
        <w:t>Annex II</w:t>
      </w:r>
      <w:r w:rsidR="00C01AA8" w:rsidRPr="00471447">
        <w:rPr>
          <w:kern w:val="22"/>
          <w:szCs w:val="22"/>
        </w:rPr>
        <w:t xml:space="preserve"> - </w:t>
      </w:r>
      <w:r w:rsidRPr="00471447">
        <w:rPr>
          <w:kern w:val="22"/>
          <w:szCs w:val="22"/>
        </w:rPr>
        <w:t>List of participants</w:t>
      </w:r>
    </w:p>
    <w:p w:rsidR="009A7195" w:rsidRPr="00471447" w:rsidRDefault="009A7195" w:rsidP="00471447">
      <w:pPr>
        <w:spacing w:before="120" w:after="120" w:line="240" w:lineRule="auto"/>
        <w:rPr>
          <w:rFonts w:ascii="Times New Roman" w:hAnsi="Times New Roman" w:cs="Times New Roman"/>
          <w:kern w:val="22"/>
        </w:rPr>
      </w:pPr>
      <w:r w:rsidRPr="00471447">
        <w:rPr>
          <w:rFonts w:ascii="Times New Roman" w:hAnsi="Times New Roman" w:cs="Times New Roman"/>
          <w:kern w:val="22"/>
        </w:rPr>
        <w:t>-------------------------------------------------------------------------------------------------------------</w:t>
      </w:r>
    </w:p>
    <w:p w:rsidR="009A7195" w:rsidRPr="00471447" w:rsidRDefault="009A7195" w:rsidP="00471447">
      <w:pPr>
        <w:spacing w:before="120" w:after="120" w:line="240" w:lineRule="auto"/>
        <w:ind w:left="2835" w:hanging="2835"/>
        <w:rPr>
          <w:rFonts w:ascii="Times New Roman" w:hAnsi="Times New Roman" w:cs="Times New Roman"/>
          <w:kern w:val="22"/>
          <w:lang w:val="en-CA"/>
        </w:rPr>
      </w:pPr>
      <w:r w:rsidRPr="00471447">
        <w:rPr>
          <w:rFonts w:ascii="Times New Roman" w:hAnsi="Times New Roman" w:cs="Times New Roman"/>
          <w:kern w:val="22"/>
          <w:lang w:val="en-CA"/>
        </w:rPr>
        <w:t xml:space="preserve">Name </w:t>
      </w:r>
      <w:r w:rsidRPr="00471447">
        <w:rPr>
          <w:rFonts w:ascii="Times New Roman" w:hAnsi="Times New Roman" w:cs="Times New Roman"/>
          <w:kern w:val="22"/>
          <w:lang w:val="en-CA"/>
        </w:rPr>
        <w:tab/>
      </w:r>
      <w:r w:rsidR="00C83B6B" w:rsidRPr="00471447">
        <w:rPr>
          <w:rFonts w:ascii="Times New Roman" w:hAnsi="Times New Roman" w:cs="Times New Roman"/>
          <w:kern w:val="22"/>
          <w:lang w:val="en-CA"/>
        </w:rPr>
        <w:tab/>
      </w:r>
      <w:r w:rsidR="00C83B6B" w:rsidRPr="00471447">
        <w:rPr>
          <w:rFonts w:ascii="Times New Roman" w:hAnsi="Times New Roman" w:cs="Times New Roman"/>
          <w:kern w:val="22"/>
          <w:lang w:val="en-CA"/>
        </w:rPr>
        <w:tab/>
      </w:r>
      <w:r w:rsidRPr="00471447">
        <w:rPr>
          <w:rFonts w:ascii="Times New Roman" w:hAnsi="Times New Roman" w:cs="Times New Roman"/>
          <w:kern w:val="22"/>
          <w:lang w:val="en-CA"/>
        </w:rPr>
        <w:t>Organization</w:t>
      </w:r>
    </w:p>
    <w:p w:rsidR="006D2F03" w:rsidRPr="00471447" w:rsidRDefault="009A7195" w:rsidP="00471447">
      <w:pPr>
        <w:spacing w:before="120" w:after="120" w:line="240" w:lineRule="auto"/>
        <w:rPr>
          <w:rFonts w:ascii="Times New Roman" w:hAnsi="Times New Roman" w:cs="Times New Roman"/>
          <w:kern w:val="22"/>
          <w:lang w:val="en-CA"/>
        </w:rPr>
      </w:pPr>
      <w:r w:rsidRPr="00471447">
        <w:rPr>
          <w:rFonts w:ascii="Times New Roman" w:hAnsi="Times New Roman" w:cs="Times New Roman"/>
          <w:kern w:val="22"/>
          <w:lang w:val="en-CA"/>
        </w:rPr>
        <w:t>-------------------------------------------------------------------------------------------------------------</w:t>
      </w:r>
    </w:p>
    <w:p w:rsidR="009A7195" w:rsidRPr="00471447" w:rsidRDefault="009A7195"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Maria Neira</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ab/>
      </w:r>
      <w:r w:rsidRPr="00471447">
        <w:rPr>
          <w:rFonts w:ascii="Times New Roman" w:eastAsia="Cambria" w:hAnsi="Times New Roman" w:cs="Times New Roman"/>
          <w:kern w:val="22"/>
        </w:rPr>
        <w:t>World Health Organization/PHE</w:t>
      </w:r>
    </w:p>
    <w:p w:rsidR="001D335B" w:rsidRPr="00471447" w:rsidRDefault="009A7195"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Diarmid Campbell-Lendrum</w:t>
      </w:r>
      <w:r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ab/>
      </w:r>
      <w:r w:rsidRPr="00471447">
        <w:rPr>
          <w:rFonts w:ascii="Times New Roman" w:eastAsia="Cambria" w:hAnsi="Times New Roman" w:cs="Times New Roman"/>
          <w:kern w:val="22"/>
        </w:rPr>
        <w:t>World Health Organization/PHE</w:t>
      </w:r>
    </w:p>
    <w:p w:rsidR="001D335B" w:rsidRPr="00471447" w:rsidRDefault="001D335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Marina Maiero</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t>World Health Organization/PHE</w:t>
      </w:r>
    </w:p>
    <w:p w:rsidR="001D335B" w:rsidRPr="00471447" w:rsidRDefault="00F35EBF"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Elena Villalobos</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World Health Organization/PHE</w:t>
      </w:r>
      <w:r w:rsidR="001D335B" w:rsidRPr="00471447">
        <w:rPr>
          <w:rFonts w:ascii="Times New Roman" w:eastAsia="Cambria" w:hAnsi="Times New Roman" w:cs="Times New Roman"/>
          <w:kern w:val="22"/>
        </w:rPr>
        <w:tab/>
      </w:r>
    </w:p>
    <w:p w:rsidR="008F59A6" w:rsidRPr="00471447" w:rsidRDefault="008F59A6"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David Cooper</w:t>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ab/>
      </w:r>
      <w:r w:rsidR="00C83B6B"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Convention on Biological Diversity</w:t>
      </w:r>
    </w:p>
    <w:p w:rsidR="008F59A6" w:rsidRPr="00471447" w:rsidRDefault="008F59A6" w:rsidP="00471447">
      <w:pPr>
        <w:spacing w:before="120" w:after="120" w:line="240" w:lineRule="auto"/>
        <w:ind w:left="3600" w:hanging="3600"/>
        <w:jc w:val="both"/>
        <w:rPr>
          <w:rFonts w:ascii="Times New Roman" w:eastAsia="Cambria" w:hAnsi="Times New Roman" w:cs="Times New Roman"/>
          <w:kern w:val="22"/>
        </w:rPr>
      </w:pPr>
      <w:r w:rsidRPr="00471447">
        <w:rPr>
          <w:rFonts w:ascii="Times New Roman" w:eastAsia="Cambria" w:hAnsi="Times New Roman" w:cs="Times New Roman"/>
          <w:kern w:val="22"/>
        </w:rPr>
        <w:t>Cristina Romanelli</w:t>
      </w:r>
      <w:r w:rsidR="001D335B"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Convention on Biological Diversity</w:t>
      </w:r>
      <w:r w:rsidR="001D335B" w:rsidRPr="00471447">
        <w:rPr>
          <w:rFonts w:ascii="Times New Roman" w:eastAsia="Cambria" w:hAnsi="Times New Roman" w:cs="Times New Roman"/>
          <w:kern w:val="22"/>
        </w:rPr>
        <w:t xml:space="preserve">/ </w:t>
      </w:r>
      <w:r w:rsidR="009A7195" w:rsidRPr="00471447">
        <w:rPr>
          <w:rFonts w:ascii="Times New Roman" w:eastAsia="Cambria" w:hAnsi="Times New Roman" w:cs="Times New Roman"/>
          <w:kern w:val="22"/>
        </w:rPr>
        <w:t>CBD-WHO joint work programme</w:t>
      </w:r>
      <w:r w:rsidR="001D335B" w:rsidRPr="00471447">
        <w:rPr>
          <w:rFonts w:ascii="Times New Roman" w:eastAsia="Cambria" w:hAnsi="Times New Roman" w:cs="Times New Roman"/>
          <w:kern w:val="22"/>
        </w:rPr>
        <w:t xml:space="preserve"> on biodiversity and health</w:t>
      </w:r>
    </w:p>
    <w:p w:rsidR="009A7195"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Enrico Baccioni</w:t>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CGIAR /</w:t>
      </w:r>
      <w:r w:rsidR="009A7195" w:rsidRPr="00471447">
        <w:rPr>
          <w:rFonts w:ascii="Times New Roman" w:eastAsia="Cambria" w:hAnsi="Times New Roman" w:cs="Times New Roman"/>
          <w:kern w:val="22"/>
        </w:rPr>
        <w:t xml:space="preserve"> Bioversity International (CGIAR)</w:t>
      </w:r>
    </w:p>
    <w:p w:rsidR="008F59A6"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Wirya Khim</w:t>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F35EBF" w:rsidRPr="00471447">
        <w:rPr>
          <w:rFonts w:ascii="Times New Roman" w:eastAsia="Cambria" w:hAnsi="Times New Roman" w:cs="Times New Roman"/>
          <w:kern w:val="22"/>
        </w:rPr>
        <w:t xml:space="preserve">UN </w:t>
      </w:r>
      <w:r w:rsidR="008F59A6" w:rsidRPr="00471447">
        <w:rPr>
          <w:rFonts w:ascii="Times New Roman" w:eastAsia="Cambria" w:hAnsi="Times New Roman" w:cs="Times New Roman"/>
          <w:kern w:val="22"/>
        </w:rPr>
        <w:t>Food and Agriculture Organization (FAO)</w:t>
      </w:r>
    </w:p>
    <w:p w:rsidR="009A7195"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Catherine Machalaba</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Future Earth</w:t>
      </w:r>
    </w:p>
    <w:p w:rsidR="009A7195" w:rsidRPr="00471447" w:rsidRDefault="002D211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Peter Cochrane</w:t>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00C83B6B"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International Union for the Conservation of Nature (IUCN)</w:t>
      </w:r>
    </w:p>
    <w:p w:rsidR="009A7195"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Francois Dias</w:t>
      </w:r>
      <w:r w:rsidR="009A7195"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9A7195" w:rsidRPr="00471447">
        <w:rPr>
          <w:rFonts w:ascii="Times New Roman" w:eastAsia="Cambria" w:hAnsi="Times New Roman" w:cs="Times New Roman"/>
          <w:kern w:val="22"/>
        </w:rPr>
        <w:t>World Organization for Animal Health (OIE)</w:t>
      </w:r>
    </w:p>
    <w:p w:rsidR="00C83B6B" w:rsidRPr="00471447" w:rsidRDefault="009A7195" w:rsidP="00471447">
      <w:pPr>
        <w:spacing w:before="120" w:after="120" w:line="240" w:lineRule="auto"/>
        <w:jc w:val="both"/>
        <w:rPr>
          <w:rFonts w:ascii="Times New Roman" w:eastAsia="Cambria" w:hAnsi="Times New Roman" w:cs="Times New Roman"/>
          <w:kern w:val="22"/>
          <w:lang w:val="fr-FR"/>
        </w:rPr>
      </w:pPr>
      <w:r w:rsidRPr="00471447">
        <w:rPr>
          <w:rFonts w:ascii="Times New Roman" w:eastAsia="Cambria" w:hAnsi="Times New Roman" w:cs="Times New Roman"/>
          <w:kern w:val="22"/>
          <w:lang w:val="fr-FR"/>
        </w:rPr>
        <w:t>Fanny Demassieux</w:t>
      </w:r>
      <w:r w:rsidRPr="00471447">
        <w:rPr>
          <w:rFonts w:ascii="Times New Roman" w:eastAsia="Cambria" w:hAnsi="Times New Roman" w:cs="Times New Roman"/>
          <w:kern w:val="22"/>
          <w:lang w:val="fr-FR"/>
        </w:rPr>
        <w:tab/>
      </w:r>
      <w:r w:rsidRPr="00471447">
        <w:rPr>
          <w:rFonts w:ascii="Times New Roman" w:eastAsia="Cambria" w:hAnsi="Times New Roman" w:cs="Times New Roman"/>
          <w:kern w:val="22"/>
          <w:lang w:val="fr-FR"/>
        </w:rPr>
        <w:tab/>
      </w:r>
      <w:r w:rsidR="00C83B6B" w:rsidRPr="00471447">
        <w:rPr>
          <w:rFonts w:ascii="Times New Roman" w:eastAsia="Cambria" w:hAnsi="Times New Roman" w:cs="Times New Roman"/>
          <w:kern w:val="22"/>
          <w:lang w:val="fr-FR"/>
        </w:rPr>
        <w:tab/>
      </w:r>
      <w:r w:rsidR="008F59A6" w:rsidRPr="00471447">
        <w:rPr>
          <w:rFonts w:ascii="Times New Roman" w:eastAsia="Cambria" w:hAnsi="Times New Roman" w:cs="Times New Roman"/>
          <w:kern w:val="22"/>
          <w:lang w:val="fr-FR"/>
        </w:rPr>
        <w:t>UN Environment (UNEP)</w:t>
      </w:r>
    </w:p>
    <w:p w:rsidR="008F59A6" w:rsidRPr="00471447" w:rsidRDefault="009A7195" w:rsidP="00471447">
      <w:pPr>
        <w:spacing w:before="120" w:after="120" w:line="240" w:lineRule="auto"/>
        <w:ind w:left="3600" w:hanging="3600"/>
        <w:jc w:val="both"/>
        <w:rPr>
          <w:rFonts w:ascii="Times New Roman" w:eastAsia="Cambria" w:hAnsi="Times New Roman" w:cs="Times New Roman"/>
          <w:kern w:val="22"/>
        </w:rPr>
      </w:pPr>
      <w:r w:rsidRPr="00471447">
        <w:rPr>
          <w:rFonts w:ascii="Times New Roman" w:eastAsia="Cambria" w:hAnsi="Times New Roman" w:cs="Times New Roman"/>
          <w:kern w:val="22"/>
        </w:rPr>
        <w:t>Tiffany Hodgso</w:t>
      </w:r>
      <w:r w:rsidR="00C83B6B" w:rsidRPr="00471447">
        <w:rPr>
          <w:rFonts w:ascii="Times New Roman" w:eastAsia="Cambria" w:hAnsi="Times New Roman" w:cs="Times New Roman"/>
          <w:kern w:val="22"/>
        </w:rPr>
        <w:t>n</w:t>
      </w:r>
      <w:r w:rsidR="00C83B6B"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Nations Framework Convention on Climate Change (UNFCCC)</w:t>
      </w:r>
    </w:p>
    <w:p w:rsidR="008F59A6" w:rsidRPr="00471447" w:rsidRDefault="00F35EBF" w:rsidP="00471447">
      <w:pPr>
        <w:spacing w:before="120" w:after="120" w:line="240" w:lineRule="auto"/>
        <w:ind w:left="3600" w:hanging="3600"/>
        <w:jc w:val="both"/>
        <w:rPr>
          <w:rFonts w:ascii="Times New Roman" w:eastAsia="Cambria" w:hAnsi="Times New Roman" w:cs="Times New Roman"/>
          <w:kern w:val="22"/>
        </w:rPr>
      </w:pPr>
      <w:r w:rsidRPr="00471447">
        <w:rPr>
          <w:rFonts w:ascii="Times New Roman" w:eastAsia="Cambria" w:hAnsi="Times New Roman" w:cs="Times New Roman"/>
          <w:kern w:val="22"/>
        </w:rPr>
        <w:t>Chadia Wannous</w:t>
      </w:r>
      <w:r w:rsidRPr="00471447">
        <w:rPr>
          <w:rFonts w:ascii="Times New Roman" w:eastAsia="Cambria" w:hAnsi="Times New Roman" w:cs="Times New Roman"/>
          <w:kern w:val="22"/>
        </w:rPr>
        <w:tab/>
      </w:r>
      <w:r w:rsidR="00C83B6B" w:rsidRPr="00471447">
        <w:rPr>
          <w:rFonts w:ascii="Times New Roman" w:eastAsia="Cambria" w:hAnsi="Times New Roman" w:cs="Times New Roman"/>
          <w:kern w:val="22"/>
        </w:rPr>
        <w:t xml:space="preserve">United </w:t>
      </w:r>
      <w:r w:rsidR="008F59A6" w:rsidRPr="00471447">
        <w:rPr>
          <w:rFonts w:ascii="Times New Roman" w:eastAsia="Cambria" w:hAnsi="Times New Roman" w:cs="Times New Roman"/>
          <w:kern w:val="22"/>
        </w:rPr>
        <w:t>Nations Office for Disaster Risk Reduction (UNISDR)</w:t>
      </w:r>
    </w:p>
    <w:p w:rsidR="008F59A6" w:rsidRPr="00471447" w:rsidRDefault="001D335B" w:rsidP="00471447">
      <w:pPr>
        <w:spacing w:before="120" w:after="120" w:line="240" w:lineRule="auto"/>
        <w:ind w:left="3600" w:hanging="3600"/>
        <w:jc w:val="both"/>
        <w:rPr>
          <w:rFonts w:ascii="Times New Roman" w:eastAsia="Cambria" w:hAnsi="Times New Roman" w:cs="Times New Roman"/>
          <w:kern w:val="22"/>
        </w:rPr>
      </w:pPr>
      <w:r w:rsidRPr="00471447">
        <w:rPr>
          <w:rFonts w:ascii="Times New Roman" w:eastAsia="Cambria" w:hAnsi="Times New Roman" w:cs="Times New Roman"/>
          <w:kern w:val="22"/>
        </w:rPr>
        <w:t>Unnikrishnan Payyappallimana</w:t>
      </w:r>
      <w:r w:rsidR="009A7195"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United Nations University (UNU) represented by UNU International Institute for Global Health (UNU IIGH)</w:t>
      </w:r>
    </w:p>
    <w:p w:rsidR="009A7195"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Aneke Oenema</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UN Standing Committee on Nutrition (UNSCN)</w:t>
      </w:r>
    </w:p>
    <w:p w:rsidR="008F59A6" w:rsidRPr="00471447" w:rsidRDefault="008F59A6" w:rsidP="00471447">
      <w:pPr>
        <w:spacing w:before="120" w:after="120" w:line="240" w:lineRule="auto"/>
        <w:jc w:val="both"/>
        <w:rPr>
          <w:rFonts w:ascii="Times New Roman" w:eastAsia="Cambria" w:hAnsi="Times New Roman" w:cs="Times New Roman"/>
          <w:b/>
          <w:kern w:val="22"/>
        </w:rPr>
      </w:pPr>
    </w:p>
    <w:p w:rsidR="008F59A6" w:rsidRPr="00471447" w:rsidRDefault="008F59A6" w:rsidP="00471447">
      <w:pPr>
        <w:spacing w:before="120" w:after="120" w:line="240" w:lineRule="auto"/>
        <w:jc w:val="both"/>
        <w:rPr>
          <w:rFonts w:ascii="Times New Roman" w:eastAsia="Cambria" w:hAnsi="Times New Roman" w:cs="Times New Roman"/>
          <w:b/>
          <w:kern w:val="22"/>
        </w:rPr>
      </w:pPr>
      <w:r w:rsidRPr="00471447">
        <w:rPr>
          <w:rFonts w:ascii="Times New Roman" w:eastAsia="Cambria" w:hAnsi="Times New Roman" w:cs="Times New Roman"/>
          <w:b/>
          <w:kern w:val="22"/>
        </w:rPr>
        <w:t>Expert observers</w:t>
      </w:r>
    </w:p>
    <w:p w:rsidR="00C83B6B"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Qiyong Liu</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 xml:space="preserve">Chinese Centre for Disease Control and Prevention </w:t>
      </w:r>
    </w:p>
    <w:p w:rsidR="008F59A6" w:rsidRPr="00471447" w:rsidRDefault="008F59A6" w:rsidP="00471447">
      <w:pPr>
        <w:spacing w:before="120" w:after="120" w:line="240" w:lineRule="auto"/>
        <w:ind w:left="2880" w:firstLine="720"/>
        <w:jc w:val="both"/>
        <w:rPr>
          <w:rFonts w:ascii="Times New Roman" w:eastAsia="Cambria" w:hAnsi="Times New Roman" w:cs="Times New Roman"/>
          <w:kern w:val="22"/>
        </w:rPr>
      </w:pPr>
      <w:r w:rsidRPr="00471447">
        <w:rPr>
          <w:rFonts w:ascii="Times New Roman" w:eastAsia="Cambria" w:hAnsi="Times New Roman" w:cs="Times New Roman"/>
          <w:kern w:val="22"/>
        </w:rPr>
        <w:t>(China CDC)</w:t>
      </w:r>
    </w:p>
    <w:p w:rsidR="008F59A6"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Peter Daszak</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EcoHealth Alliance (EHA)</w:t>
      </w:r>
      <w:r w:rsidRPr="00471447">
        <w:rPr>
          <w:rFonts w:ascii="Times New Roman" w:eastAsia="Cambria" w:hAnsi="Times New Roman" w:cs="Times New Roman"/>
          <w:kern w:val="22"/>
        </w:rPr>
        <w:t xml:space="preserve"> / Future Earth</w:t>
      </w:r>
    </w:p>
    <w:p w:rsidR="00C83B6B" w:rsidRPr="00471447" w:rsidRDefault="00C83B6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Carlos Zambrana Torrelio</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t>EcoHealth Alliance (EHA)</w:t>
      </w:r>
      <w:r w:rsidRPr="00471447">
        <w:rPr>
          <w:rFonts w:ascii="Times New Roman" w:eastAsia="Cambria" w:hAnsi="Times New Roman" w:cs="Times New Roman"/>
          <w:kern w:val="22"/>
        </w:rPr>
        <w:tab/>
      </w:r>
    </w:p>
    <w:p w:rsidR="008F59A6" w:rsidRPr="00471447" w:rsidRDefault="00E71D6E"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Andy Haines</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London School of hygiene and Tropical Medicine (LSHTM)</w:t>
      </w:r>
    </w:p>
    <w:p w:rsidR="008F59A6" w:rsidRPr="00471447" w:rsidRDefault="002D211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Manu</w:t>
      </w:r>
      <w:r w:rsidR="00E71D6E" w:rsidRPr="00471447">
        <w:rPr>
          <w:rFonts w:ascii="Times New Roman" w:eastAsia="Cambria" w:hAnsi="Times New Roman" w:cs="Times New Roman"/>
          <w:kern w:val="22"/>
        </w:rPr>
        <w:t>ela</w:t>
      </w:r>
      <w:r w:rsidRPr="00471447">
        <w:rPr>
          <w:rFonts w:ascii="Times New Roman" w:eastAsia="Cambria" w:hAnsi="Times New Roman" w:cs="Times New Roman"/>
          <w:kern w:val="22"/>
        </w:rPr>
        <w:t xml:space="preserve"> Da Silva</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Oswaldo Cruz Foundation (FIOCRUZ)</w:t>
      </w:r>
    </w:p>
    <w:p w:rsidR="002D211B" w:rsidRPr="00471447" w:rsidRDefault="002D211B"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Aldo Di Benedetto</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t>Ministry of Health, Italy</w:t>
      </w:r>
    </w:p>
    <w:p w:rsidR="008F59A6" w:rsidRPr="00471447" w:rsidRDefault="00E71D6E"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Montira Pongsiri</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Planetary Health Alliance (PHA)</w:t>
      </w:r>
    </w:p>
    <w:p w:rsidR="00E71D6E" w:rsidRPr="00471447" w:rsidRDefault="00E71D6E"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Christopher Golden</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t>Planetary Health Alliance (PHA)</w:t>
      </w:r>
    </w:p>
    <w:p w:rsidR="008F59A6" w:rsidRPr="00471447" w:rsidRDefault="008E31AD"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 xml:space="preserve">Carlos Corvalan </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University of Canberra, Faculty of Health</w:t>
      </w:r>
    </w:p>
    <w:p w:rsidR="008F59A6" w:rsidRPr="00471447" w:rsidRDefault="00E71D6E"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Rafael Ruiz de Castaneda</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University of Geneva</w:t>
      </w:r>
      <w:r w:rsidR="009A7195" w:rsidRPr="00471447">
        <w:rPr>
          <w:rFonts w:ascii="Times New Roman" w:eastAsia="Cambria" w:hAnsi="Times New Roman" w:cs="Times New Roman"/>
          <w:kern w:val="22"/>
        </w:rPr>
        <w:t>, Institute of Global Health</w:t>
      </w:r>
    </w:p>
    <w:p w:rsidR="00E71D6E" w:rsidRPr="00471447" w:rsidRDefault="00E71D6E"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Isabelle Bolon</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t>University of Geneva, Institute of Global Health</w:t>
      </w:r>
    </w:p>
    <w:p w:rsidR="008F59A6" w:rsidRPr="00471447" w:rsidRDefault="008E31AD" w:rsidP="00471447">
      <w:pPr>
        <w:spacing w:before="120" w:after="120" w:line="240" w:lineRule="auto"/>
        <w:jc w:val="both"/>
        <w:rPr>
          <w:rFonts w:ascii="Times New Roman" w:eastAsia="Cambria" w:hAnsi="Times New Roman" w:cs="Times New Roman"/>
          <w:kern w:val="22"/>
        </w:rPr>
      </w:pPr>
      <w:r w:rsidRPr="00471447">
        <w:rPr>
          <w:rFonts w:ascii="Times New Roman" w:eastAsia="Cambria" w:hAnsi="Times New Roman" w:cs="Times New Roman"/>
          <w:kern w:val="22"/>
        </w:rPr>
        <w:t>Timothy Bouley</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8F59A6" w:rsidRPr="00471447">
        <w:rPr>
          <w:rFonts w:ascii="Times New Roman" w:eastAsia="Cambria" w:hAnsi="Times New Roman" w:cs="Times New Roman"/>
          <w:kern w:val="22"/>
        </w:rPr>
        <w:t>World Bank Group</w:t>
      </w:r>
    </w:p>
    <w:p w:rsidR="00AF5D7B" w:rsidRPr="00471447" w:rsidRDefault="00AF5D7B" w:rsidP="00471447">
      <w:pPr>
        <w:spacing w:before="120" w:after="120" w:line="240" w:lineRule="auto"/>
        <w:jc w:val="both"/>
        <w:rPr>
          <w:rFonts w:ascii="Times New Roman" w:eastAsia="Cambria" w:hAnsi="Times New Roman" w:cs="Times New Roman"/>
          <w:b/>
          <w:kern w:val="22"/>
        </w:rPr>
      </w:pPr>
    </w:p>
    <w:p w:rsidR="009A7195" w:rsidRPr="00471447" w:rsidRDefault="009A7195" w:rsidP="00471447">
      <w:pPr>
        <w:spacing w:before="120" w:after="120" w:line="240" w:lineRule="auto"/>
        <w:jc w:val="both"/>
        <w:rPr>
          <w:rFonts w:ascii="Times New Roman" w:eastAsia="Cambria" w:hAnsi="Times New Roman" w:cs="Times New Roman"/>
          <w:b/>
          <w:kern w:val="22"/>
        </w:rPr>
      </w:pPr>
      <w:r w:rsidRPr="00471447">
        <w:rPr>
          <w:rFonts w:ascii="Times New Roman" w:eastAsia="Cambria" w:hAnsi="Times New Roman" w:cs="Times New Roman"/>
          <w:b/>
          <w:kern w:val="22"/>
        </w:rPr>
        <w:t xml:space="preserve">World Health Organization &amp; WHO </w:t>
      </w:r>
      <w:r w:rsidR="006D2F03" w:rsidRPr="00471447">
        <w:rPr>
          <w:rFonts w:ascii="Times New Roman" w:eastAsia="Cambria" w:hAnsi="Times New Roman" w:cs="Times New Roman"/>
          <w:b/>
          <w:kern w:val="22"/>
        </w:rPr>
        <w:t>regional offices</w:t>
      </w:r>
    </w:p>
    <w:p w:rsidR="001D335B" w:rsidRPr="00471447" w:rsidRDefault="008E31AD"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Benedetta Rossi</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C83B6B" w:rsidRPr="00471447">
        <w:rPr>
          <w:rFonts w:ascii="Times New Roman" w:eastAsia="Cambria" w:hAnsi="Times New Roman" w:cs="Times New Roman"/>
          <w:kern w:val="22"/>
        </w:rPr>
        <w:t>HQ/PHE</w:t>
      </w:r>
    </w:p>
    <w:p w:rsidR="001D335B" w:rsidRPr="00471447" w:rsidRDefault="001D335B"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 xml:space="preserve">Jonathan </w:t>
      </w:r>
      <w:r w:rsidR="00C83B6B" w:rsidRPr="00471447">
        <w:rPr>
          <w:rFonts w:ascii="Times New Roman" w:eastAsia="Cambria" w:hAnsi="Times New Roman" w:cs="Times New Roman"/>
          <w:kern w:val="22"/>
        </w:rPr>
        <w:t>Abrahams</w:t>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Pr="00471447">
        <w:rPr>
          <w:rFonts w:ascii="Times New Roman" w:eastAsia="Cambria" w:hAnsi="Times New Roman" w:cs="Times New Roman"/>
          <w:kern w:val="22"/>
        </w:rPr>
        <w:t>HQ/WHE/CPI</w:t>
      </w:r>
    </w:p>
    <w:p w:rsidR="001D335B" w:rsidRPr="00471447" w:rsidRDefault="008E31AD"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Francesco Branca</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HQ/NHD Nutrition for Health and Development</w:t>
      </w:r>
    </w:p>
    <w:p w:rsidR="001D335B" w:rsidRPr="00471447" w:rsidRDefault="00C83B6B"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 xml:space="preserve">Anthony Mark </w:t>
      </w:r>
      <w:r w:rsidR="001D335B" w:rsidRPr="00471447">
        <w:rPr>
          <w:rFonts w:ascii="Times New Roman" w:eastAsia="Cambria" w:hAnsi="Times New Roman" w:cs="Times New Roman"/>
          <w:kern w:val="22"/>
        </w:rPr>
        <w:t xml:space="preserve">Costello </w:t>
      </w:r>
      <w:r w:rsidR="001D335B"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ab/>
        <w:t>HQ/FWC/MCA</w:t>
      </w:r>
    </w:p>
    <w:p w:rsidR="001D335B" w:rsidRPr="00471447" w:rsidRDefault="001D335B" w:rsidP="00471447">
      <w:pPr>
        <w:spacing w:before="120" w:after="120" w:line="240" w:lineRule="auto"/>
        <w:ind w:left="3600" w:hanging="3600"/>
        <w:rPr>
          <w:rFonts w:ascii="Times New Roman" w:eastAsia="Cambria" w:hAnsi="Times New Roman" w:cs="Times New Roman"/>
          <w:kern w:val="22"/>
        </w:rPr>
      </w:pPr>
      <w:r w:rsidRPr="00471447">
        <w:rPr>
          <w:rFonts w:ascii="Times New Roman" w:eastAsia="Cambria" w:hAnsi="Times New Roman" w:cs="Times New Roman"/>
          <w:kern w:val="22"/>
        </w:rPr>
        <w:t xml:space="preserve">Stephane </w:t>
      </w:r>
      <w:r w:rsidR="00C83B6B" w:rsidRPr="00471447">
        <w:rPr>
          <w:rFonts w:ascii="Times New Roman" w:eastAsia="Cambria" w:hAnsi="Times New Roman" w:cs="Times New Roman"/>
          <w:kern w:val="22"/>
        </w:rPr>
        <w:t>d</w:t>
      </w:r>
      <w:r w:rsidR="008E31AD" w:rsidRPr="00471447">
        <w:rPr>
          <w:rFonts w:ascii="Times New Roman" w:eastAsia="Cambria" w:hAnsi="Times New Roman" w:cs="Times New Roman"/>
          <w:kern w:val="22"/>
        </w:rPr>
        <w:t xml:space="preserve">e la Rocque </w:t>
      </w:r>
      <w:r w:rsidR="008E31AD" w:rsidRPr="00471447">
        <w:rPr>
          <w:rFonts w:ascii="Times New Roman" w:eastAsia="Cambria" w:hAnsi="Times New Roman" w:cs="Times New Roman"/>
          <w:kern w:val="22"/>
        </w:rPr>
        <w:tab/>
      </w:r>
      <w:r w:rsidRPr="00471447">
        <w:rPr>
          <w:rFonts w:ascii="Times New Roman" w:eastAsia="Cambria" w:hAnsi="Times New Roman" w:cs="Times New Roman"/>
          <w:kern w:val="22"/>
        </w:rPr>
        <w:t>HQ/WHE/CPI/CME/One Health and Human-Animal interface Team</w:t>
      </w:r>
    </w:p>
    <w:p w:rsidR="001D335B" w:rsidRPr="00471447" w:rsidRDefault="00C83B6B"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 xml:space="preserve">Daniel </w:t>
      </w:r>
      <w:r w:rsidR="001D335B" w:rsidRPr="00471447">
        <w:rPr>
          <w:rFonts w:ascii="Times New Roman" w:eastAsia="Cambria" w:hAnsi="Times New Roman" w:cs="Times New Roman"/>
          <w:kern w:val="22"/>
        </w:rPr>
        <w:t>H</w:t>
      </w:r>
      <w:r w:rsidRPr="00471447">
        <w:rPr>
          <w:rFonts w:ascii="Times New Roman" w:eastAsia="Cambria" w:hAnsi="Times New Roman" w:cs="Times New Roman"/>
          <w:kern w:val="22"/>
        </w:rPr>
        <w:t>ougendobler</w:t>
      </w:r>
      <w:r w:rsidR="001D335B"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HQ/PED Pandemic and Epidemic Diseases</w:t>
      </w:r>
    </w:p>
    <w:p w:rsidR="00C83B6B" w:rsidRPr="00471447" w:rsidRDefault="001D335B" w:rsidP="00471447">
      <w:pPr>
        <w:spacing w:before="120" w:after="120" w:line="240" w:lineRule="auto"/>
        <w:ind w:left="3600" w:hanging="3600"/>
        <w:rPr>
          <w:rFonts w:ascii="Times New Roman" w:eastAsia="Cambria" w:hAnsi="Times New Roman" w:cs="Times New Roman"/>
          <w:kern w:val="22"/>
        </w:rPr>
      </w:pPr>
      <w:r w:rsidRPr="00471447">
        <w:rPr>
          <w:rFonts w:ascii="Times New Roman" w:eastAsia="Cambria" w:hAnsi="Times New Roman" w:cs="Times New Roman"/>
          <w:kern w:val="22"/>
        </w:rPr>
        <w:t>Elizabeth</w:t>
      </w:r>
      <w:r w:rsidR="008E31AD" w:rsidRPr="00471447">
        <w:rPr>
          <w:rFonts w:ascii="Times New Roman" w:eastAsia="Cambria" w:hAnsi="Times New Roman" w:cs="Times New Roman"/>
          <w:kern w:val="22"/>
        </w:rPr>
        <w:t xml:space="preserve"> Mumford</w:t>
      </w:r>
      <w:r w:rsidR="008E31AD" w:rsidRPr="00471447">
        <w:rPr>
          <w:rFonts w:ascii="Times New Roman" w:eastAsia="Cambria" w:hAnsi="Times New Roman" w:cs="Times New Roman"/>
          <w:kern w:val="22"/>
        </w:rPr>
        <w:tab/>
      </w:r>
      <w:r w:rsidRPr="00471447">
        <w:rPr>
          <w:rFonts w:ascii="Times New Roman" w:eastAsia="Cambria" w:hAnsi="Times New Roman" w:cs="Times New Roman"/>
          <w:kern w:val="22"/>
        </w:rPr>
        <w:t>HQ Department of Country Health Emergency</w:t>
      </w:r>
      <w:r w:rsidR="00C83B6B" w:rsidRPr="00471447">
        <w:rPr>
          <w:rFonts w:ascii="Times New Roman" w:eastAsia="Cambria" w:hAnsi="Times New Roman" w:cs="Times New Roman"/>
          <w:kern w:val="22"/>
        </w:rPr>
        <w:t xml:space="preserve"> Preparedness and IHR/ One Health and</w:t>
      </w:r>
      <w:r w:rsidR="00E71D6E" w:rsidRPr="00471447">
        <w:rPr>
          <w:rFonts w:ascii="Times New Roman" w:eastAsia="Cambria" w:hAnsi="Times New Roman" w:cs="Times New Roman"/>
          <w:kern w:val="22"/>
        </w:rPr>
        <w:t xml:space="preserve"> Human-Animal I</w:t>
      </w:r>
      <w:r w:rsidR="00C83B6B" w:rsidRPr="00471447">
        <w:rPr>
          <w:rFonts w:ascii="Times New Roman" w:eastAsia="Cambria" w:hAnsi="Times New Roman" w:cs="Times New Roman"/>
          <w:kern w:val="22"/>
        </w:rPr>
        <w:t>nterface Team</w:t>
      </w:r>
    </w:p>
    <w:p w:rsidR="001D335B" w:rsidRPr="00471447" w:rsidRDefault="001D335B"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Amelie</w:t>
      </w:r>
      <w:r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Rioux</w:t>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Pr="00471447">
        <w:rPr>
          <w:rFonts w:ascii="Times New Roman" w:eastAsia="Cambria" w:hAnsi="Times New Roman" w:cs="Times New Roman"/>
          <w:kern w:val="22"/>
        </w:rPr>
        <w:t>HQ/PED Pandemic and Epidemic Diseases</w:t>
      </w:r>
    </w:p>
    <w:p w:rsidR="001D335B" w:rsidRPr="00471447" w:rsidRDefault="008E31AD"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Magaran Monzon Bagayoko</w:t>
      </w:r>
      <w:r w:rsidRPr="00471447">
        <w:rPr>
          <w:rFonts w:ascii="Times New Roman" w:eastAsia="Cambria" w:hAnsi="Times New Roman" w:cs="Times New Roman"/>
          <w:kern w:val="22"/>
        </w:rPr>
        <w:tab/>
      </w:r>
      <w:r w:rsidRPr="00471447">
        <w:rPr>
          <w:rFonts w:ascii="Times New Roman" w:eastAsia="Cambria" w:hAnsi="Times New Roman" w:cs="Times New Roman"/>
          <w:kern w:val="22"/>
        </w:rPr>
        <w:tab/>
      </w:r>
      <w:r w:rsidR="001D335B" w:rsidRPr="00471447">
        <w:rPr>
          <w:rFonts w:ascii="Times New Roman" w:eastAsia="Cambria" w:hAnsi="Times New Roman" w:cs="Times New Roman"/>
          <w:kern w:val="22"/>
        </w:rPr>
        <w:t>Regional Focal Point, WHO AFRO</w:t>
      </w:r>
    </w:p>
    <w:p w:rsidR="001D335B" w:rsidRPr="00471447" w:rsidRDefault="001D335B" w:rsidP="00471447">
      <w:pPr>
        <w:spacing w:before="120" w:after="120" w:line="240" w:lineRule="auto"/>
        <w:rPr>
          <w:rFonts w:ascii="Times New Roman" w:eastAsia="Cambria" w:hAnsi="Times New Roman" w:cs="Times New Roman"/>
          <w:kern w:val="22"/>
        </w:rPr>
      </w:pPr>
      <w:r w:rsidRPr="00471447">
        <w:rPr>
          <w:rFonts w:ascii="Times New Roman" w:eastAsia="Cambria" w:hAnsi="Times New Roman" w:cs="Times New Roman"/>
          <w:kern w:val="22"/>
        </w:rPr>
        <w:t xml:space="preserve">Matthias </w:t>
      </w:r>
      <w:r w:rsidR="00C83B6B" w:rsidRPr="00471447">
        <w:rPr>
          <w:rFonts w:ascii="Times New Roman" w:eastAsia="Cambria" w:hAnsi="Times New Roman" w:cs="Times New Roman"/>
          <w:kern w:val="22"/>
        </w:rPr>
        <w:t>Braubach</w:t>
      </w:r>
      <w:r w:rsidR="00C83B6B"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008E31AD" w:rsidRPr="00471447">
        <w:rPr>
          <w:rFonts w:ascii="Times New Roman" w:eastAsia="Cambria" w:hAnsi="Times New Roman" w:cs="Times New Roman"/>
          <w:kern w:val="22"/>
        </w:rPr>
        <w:tab/>
      </w:r>
      <w:r w:rsidRPr="00471447">
        <w:rPr>
          <w:rFonts w:ascii="Times New Roman" w:eastAsia="Cambria" w:hAnsi="Times New Roman" w:cs="Times New Roman"/>
          <w:kern w:val="22"/>
        </w:rPr>
        <w:t>Regional Focal Point, WHO Europe</w:t>
      </w:r>
    </w:p>
    <w:p w:rsidR="00401B0D" w:rsidRPr="00471447" w:rsidRDefault="00401B0D" w:rsidP="00471447">
      <w:pPr>
        <w:spacing w:before="120" w:after="120" w:line="240" w:lineRule="auto"/>
        <w:rPr>
          <w:rFonts w:ascii="Times New Roman" w:eastAsia="Cambria" w:hAnsi="Times New Roman" w:cs="Times New Roman"/>
          <w:b/>
          <w:kern w:val="22"/>
        </w:rPr>
      </w:pPr>
      <w:r w:rsidRPr="00471447">
        <w:rPr>
          <w:rFonts w:ascii="Times New Roman" w:eastAsia="Cambria" w:hAnsi="Times New Roman" w:cs="Times New Roman"/>
          <w:b/>
          <w:kern w:val="22"/>
        </w:rPr>
        <w:br w:type="page"/>
      </w:r>
    </w:p>
    <w:p w:rsidR="0014508C" w:rsidRPr="00471447" w:rsidRDefault="0014508C" w:rsidP="00471447">
      <w:pPr>
        <w:pStyle w:val="HEADINGNOTFORTOC"/>
        <w:spacing w:before="120" w:after="120"/>
        <w:jc w:val="left"/>
        <w:rPr>
          <w:kern w:val="22"/>
          <w:szCs w:val="22"/>
        </w:rPr>
        <w:sectPr w:rsidR="0014508C" w:rsidRPr="00471447" w:rsidSect="00471447">
          <w:headerReference w:type="even" r:id="rId34"/>
          <w:headerReference w:type="default" r:id="rId35"/>
          <w:footerReference w:type="even" r:id="rId36"/>
          <w:footerReference w:type="default" r:id="rId37"/>
          <w:pgSz w:w="11909" w:h="16834"/>
          <w:pgMar w:top="1440" w:right="1440" w:bottom="1440" w:left="1440" w:header="432" w:footer="720" w:gutter="0"/>
          <w:pgNumType w:start="1"/>
          <w:cols w:space="720"/>
          <w:titlePg/>
          <w:docGrid w:linePitch="299"/>
        </w:sectPr>
      </w:pPr>
    </w:p>
    <w:p w:rsidR="0014508C" w:rsidRPr="00471447" w:rsidRDefault="00AF5D7B" w:rsidP="00471447">
      <w:pPr>
        <w:pStyle w:val="HEADINGNOTFORTOC"/>
        <w:spacing w:before="120" w:after="120"/>
        <w:rPr>
          <w:kern w:val="22"/>
          <w:szCs w:val="22"/>
        </w:rPr>
      </w:pPr>
      <w:r w:rsidRPr="00471447">
        <w:rPr>
          <w:kern w:val="22"/>
          <w:szCs w:val="22"/>
        </w:rPr>
        <w:lastRenderedPageBreak/>
        <w:t xml:space="preserve">Annex 3 </w:t>
      </w:r>
      <w:r w:rsidR="0014508C" w:rsidRPr="00471447">
        <w:rPr>
          <w:kern w:val="22"/>
          <w:szCs w:val="22"/>
        </w:rPr>
        <w:t>- TERMS OF REFERENCE AND MODUS</w:t>
      </w:r>
      <w:r w:rsidR="0014508C" w:rsidRPr="00471447">
        <w:rPr>
          <w:spacing w:val="-12"/>
          <w:kern w:val="22"/>
          <w:szCs w:val="22"/>
        </w:rPr>
        <w:t xml:space="preserve"> </w:t>
      </w:r>
      <w:r w:rsidR="0014508C" w:rsidRPr="00471447">
        <w:rPr>
          <w:kern w:val="22"/>
          <w:szCs w:val="22"/>
        </w:rPr>
        <w:t>OPERANDI</w:t>
      </w:r>
    </w:p>
    <w:p w:rsidR="0014508C" w:rsidRPr="00471447" w:rsidRDefault="0014508C" w:rsidP="00471447">
      <w:pPr>
        <w:pStyle w:val="Heading2"/>
        <w:spacing w:before="120" w:line="240" w:lineRule="auto"/>
        <w:contextualSpacing w:val="0"/>
        <w:jc w:val="center"/>
        <w:rPr>
          <w:rFonts w:ascii="Times New Roman" w:hAnsi="Times New Roman" w:cs="Times New Roman"/>
          <w:kern w:val="22"/>
          <w:sz w:val="22"/>
          <w:szCs w:val="22"/>
        </w:rPr>
      </w:pPr>
      <w:r w:rsidRPr="00471447">
        <w:rPr>
          <w:rFonts w:ascii="Times New Roman" w:hAnsi="Times New Roman" w:cs="Times New Roman"/>
          <w:b/>
          <w:kern w:val="22"/>
          <w:sz w:val="22"/>
          <w:szCs w:val="22"/>
        </w:rPr>
        <w:t>INTERAGENCY LIAISON GROUP ON BIODIVERSITY AND HEALTH</w:t>
      </w:r>
    </w:p>
    <w:p w:rsidR="0014508C" w:rsidRPr="00471447" w:rsidRDefault="0014508C" w:rsidP="00471447">
      <w:pPr>
        <w:spacing w:before="120" w:after="120" w:line="240" w:lineRule="auto"/>
        <w:rPr>
          <w:rFonts w:ascii="Times New Roman" w:eastAsia="Calibri" w:hAnsi="Times New Roman" w:cs="Times New Roman"/>
          <w:i/>
          <w:kern w:val="22"/>
        </w:rPr>
      </w:pPr>
    </w:p>
    <w:p w:rsidR="0014508C" w:rsidRPr="00471447" w:rsidRDefault="0014508C" w:rsidP="00471447">
      <w:pPr>
        <w:pStyle w:val="ListParagraph"/>
        <w:widowControl w:val="0"/>
        <w:numPr>
          <w:ilvl w:val="0"/>
          <w:numId w:val="25"/>
        </w:numPr>
        <w:tabs>
          <w:tab w:val="left" w:pos="687"/>
        </w:tabs>
        <w:spacing w:before="120" w:after="120"/>
        <w:ind w:right="641" w:hanging="566"/>
        <w:rPr>
          <w:rFonts w:ascii="Times New Roman" w:eastAsia="Calibri" w:hAnsi="Times New Roman" w:cs="Times New Roman"/>
          <w:kern w:val="22"/>
        </w:rPr>
      </w:pPr>
      <w:r w:rsidRPr="00471447">
        <w:rPr>
          <w:rFonts w:ascii="Times New Roman" w:eastAsia="Calibri" w:hAnsi="Times New Roman" w:cs="Times New Roman"/>
          <w:kern w:val="22"/>
        </w:rPr>
        <w:t xml:space="preserve">The Conference of the Parties, at its ninth, tenth and eleventh meetings, called for and welcomed the strengthening of cooperation with the World Health Organization (WHO) and other relevant organizations, on issues at the nexus of biodiversity and human health. At its twelfth meeting, the Conference of the Parties, in decision XII/21, welcomed progress in the preparation of the </w:t>
      </w:r>
      <w:r w:rsidRPr="00471447">
        <w:rPr>
          <w:rFonts w:ascii="Times New Roman" w:eastAsia="Calibri" w:hAnsi="Times New Roman" w:cs="Times New Roman"/>
          <w:i/>
          <w:kern w:val="22"/>
        </w:rPr>
        <w:t>State of Knowledge Review: Connecting Global Priorities: Biodiversity and Human Health</w:t>
      </w:r>
      <w:r w:rsidRPr="00471447">
        <w:rPr>
          <w:rFonts w:ascii="Times New Roman" w:eastAsia="Calibri" w:hAnsi="Times New Roman" w:cs="Times New Roman"/>
          <w:kern w:val="22"/>
        </w:rPr>
        <w:t xml:space="preserve">. The Conference of the Parties also emphasized the relevance of the linkages between biodiversity and human health for the 2030 agenda for Sustainable Development and the sustainable development goals of the United Nations. </w:t>
      </w:r>
    </w:p>
    <w:p w:rsidR="0014508C" w:rsidRPr="00471447" w:rsidRDefault="0014508C" w:rsidP="00471447">
      <w:pPr>
        <w:pStyle w:val="ListParagraph"/>
        <w:widowControl w:val="0"/>
        <w:numPr>
          <w:ilvl w:val="0"/>
          <w:numId w:val="25"/>
        </w:numPr>
        <w:tabs>
          <w:tab w:val="left" w:pos="687"/>
        </w:tabs>
        <w:spacing w:before="120" w:after="120"/>
        <w:ind w:right="641" w:hanging="566"/>
        <w:rPr>
          <w:rFonts w:ascii="Times New Roman" w:eastAsia="Calibri" w:hAnsi="Times New Roman" w:cs="Times New Roman"/>
          <w:kern w:val="22"/>
        </w:rPr>
      </w:pPr>
      <w:r w:rsidRPr="00471447">
        <w:rPr>
          <w:rFonts w:ascii="Times New Roman" w:eastAsia="Calibri" w:hAnsi="Times New Roman" w:cs="Times New Roman"/>
          <w:kern w:val="22"/>
        </w:rPr>
        <w:t>At its Thirteenth Meeting, the Conference of the Parties, invites Parties and other Governments, inter alia, to consider using the State of Knowledge Review and its key messages, to promote the understanding of health biodiversity linkages with a view to maximizing health benefits, addressing trade-offs, and where possible, addressing common drivers for health risks and biodiversity loss. In the same decision, the Conference of the Parties also invited the Executive Secretary to collaborate with the World Health Organization and other relevant organizations, to promote and facilitate implementation of decision XIII/6, including by convening a meeting by the interagency liaison group on biodiversity and human health.</w:t>
      </w:r>
      <w:r w:rsidRPr="00471447">
        <w:rPr>
          <w:rStyle w:val="FootnoteReference"/>
          <w:rFonts w:ascii="Times New Roman" w:eastAsia="Calibri" w:hAnsi="Times New Roman" w:cs="Times New Roman"/>
          <w:kern w:val="22"/>
        </w:rPr>
        <w:t xml:space="preserve"> </w:t>
      </w:r>
    </w:p>
    <w:p w:rsidR="0014508C" w:rsidRPr="00471447" w:rsidRDefault="0014508C" w:rsidP="00471447">
      <w:pPr>
        <w:pStyle w:val="ListParagraph"/>
        <w:widowControl w:val="0"/>
        <w:numPr>
          <w:ilvl w:val="0"/>
          <w:numId w:val="25"/>
        </w:numPr>
        <w:tabs>
          <w:tab w:val="left" w:pos="687"/>
        </w:tabs>
        <w:spacing w:before="120" w:after="120"/>
        <w:ind w:right="641" w:hanging="566"/>
        <w:rPr>
          <w:rFonts w:ascii="Times New Roman" w:eastAsia="Calibri" w:hAnsi="Times New Roman" w:cs="Times New Roman"/>
          <w:kern w:val="22"/>
        </w:rPr>
      </w:pPr>
      <w:r w:rsidRPr="00471447">
        <w:rPr>
          <w:rFonts w:ascii="Times New Roman" w:hAnsi="Times New Roman" w:cs="Times New Roman"/>
          <w:kern w:val="22"/>
        </w:rPr>
        <w:t>Biodiversity sustains health and well-being and biodiversity loss can be a major driver of ill health, also causing severe impacts on many aspects of human wellbeing as well as affecting multiple other sectors such as agriculture, aquaculture, fisheries, forestry, transport and</w:t>
      </w:r>
      <w:r w:rsidRPr="00471447">
        <w:rPr>
          <w:rFonts w:ascii="Times New Roman" w:hAnsi="Times New Roman" w:cs="Times New Roman"/>
          <w:spacing w:val="-21"/>
          <w:kern w:val="22"/>
        </w:rPr>
        <w:t xml:space="preserve"> </w:t>
      </w:r>
      <w:r w:rsidRPr="00471447">
        <w:rPr>
          <w:rFonts w:ascii="Times New Roman" w:hAnsi="Times New Roman" w:cs="Times New Roman"/>
          <w:kern w:val="22"/>
        </w:rPr>
        <w:t>trade.</w:t>
      </w:r>
    </w:p>
    <w:p w:rsidR="0014508C" w:rsidRPr="00471447" w:rsidRDefault="0014508C" w:rsidP="00471447">
      <w:pPr>
        <w:pStyle w:val="ListParagraph"/>
        <w:widowControl w:val="0"/>
        <w:numPr>
          <w:ilvl w:val="0"/>
          <w:numId w:val="25"/>
        </w:numPr>
        <w:tabs>
          <w:tab w:val="left" w:pos="687"/>
        </w:tabs>
        <w:spacing w:before="120" w:after="120"/>
        <w:ind w:right="641" w:hanging="566"/>
        <w:rPr>
          <w:rFonts w:ascii="Times New Roman" w:eastAsia="Calibri" w:hAnsi="Times New Roman" w:cs="Times New Roman"/>
          <w:kern w:val="22"/>
        </w:rPr>
      </w:pPr>
      <w:r w:rsidRPr="00471447">
        <w:rPr>
          <w:rFonts w:ascii="Times New Roman" w:eastAsia="Calibri" w:hAnsi="Times New Roman" w:cs="Times New Roman"/>
          <w:kern w:val="22"/>
        </w:rPr>
        <w:t>Further to paragraph 9(d) of decision XII/21, the Secretariat of the Convention and the World Health Organization (WHO) have signed a memorandum of understanding (MoU).  The MoU envisages the joint establishment of an interagency liaison group co-convened by the CBD Secretariat and WHO. The liaison group will further strengthen collaboration on the interlinkages between biodiversity and human health with other relevant organizations as requested in paragraph 9(e) of the same decision and will further the objectives set out in decision XIII/6.</w:t>
      </w:r>
    </w:p>
    <w:p w:rsidR="0014508C" w:rsidRPr="00471447" w:rsidRDefault="0014508C" w:rsidP="00471447">
      <w:pPr>
        <w:pStyle w:val="ListParagraph"/>
        <w:widowControl w:val="0"/>
        <w:numPr>
          <w:ilvl w:val="0"/>
          <w:numId w:val="25"/>
        </w:numPr>
        <w:tabs>
          <w:tab w:val="left" w:pos="687"/>
        </w:tabs>
        <w:spacing w:before="120" w:after="120"/>
        <w:ind w:right="948" w:hanging="566"/>
        <w:rPr>
          <w:rFonts w:ascii="Times New Roman" w:eastAsia="Calibri" w:hAnsi="Times New Roman" w:cs="Times New Roman"/>
          <w:kern w:val="22"/>
        </w:rPr>
      </w:pPr>
      <w:r w:rsidRPr="00471447">
        <w:rPr>
          <w:rFonts w:ascii="Times New Roman" w:hAnsi="Times New Roman" w:cs="Times New Roman"/>
          <w:kern w:val="22"/>
        </w:rPr>
        <w:t>The Executive Secretary of the CBD, in collaboration with WHO, invited several international organizations to form an Interagency Liaison Group on Biodiversity and Health.</w:t>
      </w:r>
      <w:r w:rsidRPr="00471447">
        <w:rPr>
          <w:rStyle w:val="FootnoteReference"/>
          <w:rFonts w:ascii="Times New Roman" w:eastAsia="Calibri" w:hAnsi="Times New Roman" w:cs="Times New Roman"/>
          <w:kern w:val="22"/>
        </w:rPr>
        <w:t>1</w:t>
      </w:r>
    </w:p>
    <w:p w:rsidR="0014508C" w:rsidRPr="00471447" w:rsidRDefault="0014508C" w:rsidP="00471447">
      <w:pPr>
        <w:pStyle w:val="ListParagraph"/>
        <w:widowControl w:val="0"/>
        <w:numPr>
          <w:ilvl w:val="0"/>
          <w:numId w:val="25"/>
        </w:numPr>
        <w:tabs>
          <w:tab w:val="left" w:pos="687"/>
        </w:tabs>
        <w:spacing w:before="120" w:after="120"/>
        <w:ind w:right="223" w:hanging="566"/>
        <w:rPr>
          <w:rFonts w:ascii="Times New Roman" w:eastAsia="Calibri" w:hAnsi="Times New Roman" w:cs="Times New Roman"/>
          <w:kern w:val="22"/>
        </w:rPr>
      </w:pPr>
      <w:r w:rsidRPr="00471447">
        <w:rPr>
          <w:rFonts w:ascii="Times New Roman" w:eastAsia="Calibri" w:hAnsi="Times New Roman" w:cs="Times New Roman"/>
          <w:kern w:val="22"/>
        </w:rPr>
        <w:t>The Terms of Reference and Modus Operandi were presented to the liaison group Core Members at its first meeting, held in Geneva on 4-5 May 2017. The general purpose of the Liaison Group is to facilitate cooperation among relevant organizations to jointly maximize co-benefits to biodiversity and health.</w:t>
      </w:r>
      <w:r w:rsidRPr="00471447">
        <w:rPr>
          <w:rStyle w:val="FootnoteReference"/>
          <w:rFonts w:ascii="Times New Roman" w:eastAsia="Calibri" w:hAnsi="Times New Roman" w:cs="Times New Roman"/>
          <w:kern w:val="22"/>
        </w:rPr>
        <w:t xml:space="preserve"> </w:t>
      </w:r>
      <w:r w:rsidRPr="00471447">
        <w:rPr>
          <w:rStyle w:val="FootnoteReference"/>
          <w:rFonts w:ascii="Times New Roman" w:eastAsia="Calibri" w:hAnsi="Times New Roman" w:cs="Times New Roman"/>
          <w:kern w:val="22"/>
        </w:rPr>
        <w:footnoteReference w:id="6"/>
      </w:r>
      <w:r w:rsidRPr="00471447">
        <w:rPr>
          <w:rFonts w:ascii="Times New Roman" w:eastAsia="Calibri" w:hAnsi="Times New Roman" w:cs="Times New Roman"/>
          <w:kern w:val="22"/>
        </w:rPr>
        <w:t xml:space="preserve"> In the period up to 2020 the Strategic Plan for Biodiversity 2011-2020, and in particular Aichi Target 14, the decision of the Conference of the Parties XIII/6 and the Sustainable Development Goals will provide the main focus of the work of this</w:t>
      </w:r>
      <w:r w:rsidRPr="00471447">
        <w:rPr>
          <w:rFonts w:ascii="Times New Roman" w:eastAsia="Calibri" w:hAnsi="Times New Roman" w:cs="Times New Roman"/>
          <w:spacing w:val="-10"/>
          <w:kern w:val="22"/>
        </w:rPr>
        <w:t xml:space="preserve"> </w:t>
      </w:r>
      <w:r w:rsidRPr="00471447">
        <w:rPr>
          <w:rFonts w:ascii="Times New Roman" w:eastAsia="Calibri" w:hAnsi="Times New Roman" w:cs="Times New Roman"/>
          <w:kern w:val="22"/>
        </w:rPr>
        <w:t>group.</w:t>
      </w:r>
    </w:p>
    <w:p w:rsidR="0014508C" w:rsidRPr="00471447" w:rsidRDefault="0014508C" w:rsidP="00471447">
      <w:pPr>
        <w:pStyle w:val="ListParagraph"/>
        <w:widowControl w:val="0"/>
        <w:numPr>
          <w:ilvl w:val="0"/>
          <w:numId w:val="25"/>
        </w:numPr>
        <w:tabs>
          <w:tab w:val="left" w:pos="687"/>
        </w:tabs>
        <w:spacing w:before="120" w:after="120"/>
        <w:ind w:right="405" w:hanging="566"/>
        <w:rPr>
          <w:rFonts w:ascii="Times New Roman" w:eastAsia="Calibri" w:hAnsi="Times New Roman" w:cs="Times New Roman"/>
          <w:kern w:val="22"/>
        </w:rPr>
      </w:pPr>
      <w:r w:rsidRPr="00471447">
        <w:rPr>
          <w:rFonts w:ascii="Times New Roman" w:hAnsi="Times New Roman" w:cs="Times New Roman"/>
          <w:kern w:val="22"/>
        </w:rPr>
        <w:t xml:space="preserve">The Liaison Group will work by exchanging information on relevant policies and activities to ensure that they are complementary so as to optimize efficiency, build </w:t>
      </w:r>
      <w:r w:rsidRPr="00471447">
        <w:rPr>
          <w:rFonts w:ascii="Times New Roman" w:hAnsi="Times New Roman" w:cs="Times New Roman"/>
          <w:kern w:val="22"/>
        </w:rPr>
        <w:lastRenderedPageBreak/>
        <w:t>synergies and avoid any unnecessary</w:t>
      </w:r>
      <w:r w:rsidRPr="00471447">
        <w:rPr>
          <w:rFonts w:ascii="Times New Roman" w:hAnsi="Times New Roman" w:cs="Times New Roman"/>
          <w:spacing w:val="-8"/>
          <w:kern w:val="22"/>
        </w:rPr>
        <w:t xml:space="preserve"> </w:t>
      </w:r>
      <w:r w:rsidRPr="00471447">
        <w:rPr>
          <w:rFonts w:ascii="Times New Roman" w:hAnsi="Times New Roman" w:cs="Times New Roman"/>
          <w:kern w:val="22"/>
        </w:rPr>
        <w:t>duplications;</w:t>
      </w:r>
    </w:p>
    <w:p w:rsidR="0014508C" w:rsidRPr="00471447" w:rsidRDefault="0014508C" w:rsidP="00471447">
      <w:pPr>
        <w:pStyle w:val="ListParagraph"/>
        <w:widowControl w:val="0"/>
        <w:numPr>
          <w:ilvl w:val="0"/>
          <w:numId w:val="25"/>
        </w:numPr>
        <w:tabs>
          <w:tab w:val="left" w:pos="687"/>
        </w:tabs>
        <w:spacing w:before="120" w:after="120"/>
        <w:ind w:hanging="566"/>
        <w:rPr>
          <w:rFonts w:ascii="Times New Roman" w:eastAsia="Calibri" w:hAnsi="Times New Roman" w:cs="Times New Roman"/>
          <w:kern w:val="22"/>
        </w:rPr>
      </w:pPr>
      <w:r w:rsidRPr="00471447">
        <w:rPr>
          <w:rFonts w:ascii="Times New Roman" w:hAnsi="Times New Roman" w:cs="Times New Roman"/>
          <w:kern w:val="22"/>
        </w:rPr>
        <w:t>Among its priority activities, the Liaison Group will specifically address the following:</w:t>
      </w:r>
    </w:p>
    <w:p w:rsidR="0014508C" w:rsidRPr="00471447" w:rsidRDefault="0014508C" w:rsidP="00471447">
      <w:pPr>
        <w:pStyle w:val="ListParagraph"/>
        <w:widowControl w:val="0"/>
        <w:numPr>
          <w:ilvl w:val="1"/>
          <w:numId w:val="25"/>
        </w:numPr>
        <w:tabs>
          <w:tab w:val="left" w:pos="1254"/>
        </w:tabs>
        <w:spacing w:before="120" w:after="120"/>
        <w:ind w:right="228"/>
        <w:rPr>
          <w:rFonts w:ascii="Times New Roman" w:eastAsia="Calibri" w:hAnsi="Times New Roman" w:cs="Times New Roman"/>
          <w:kern w:val="22"/>
        </w:rPr>
      </w:pPr>
      <w:r w:rsidRPr="00471447">
        <w:rPr>
          <w:rFonts w:ascii="Times New Roman" w:hAnsi="Times New Roman" w:cs="Times New Roman"/>
          <w:kern w:val="22"/>
        </w:rPr>
        <w:t>Follow up to support decisions COP XII/21 and COP XIII/6 on biodiversity and human health and relevant decisions arising from the Conference of the Parties to the CBD and relevant decisions of the WHO;</w:t>
      </w:r>
    </w:p>
    <w:p w:rsidR="0014508C" w:rsidRPr="00471447" w:rsidRDefault="0014508C" w:rsidP="00471447">
      <w:pPr>
        <w:pStyle w:val="ListParagraph"/>
        <w:widowControl w:val="0"/>
        <w:numPr>
          <w:ilvl w:val="1"/>
          <w:numId w:val="25"/>
        </w:numPr>
        <w:tabs>
          <w:tab w:val="left" w:pos="1254"/>
        </w:tabs>
        <w:spacing w:before="120" w:after="120"/>
        <w:ind w:right="947"/>
        <w:rPr>
          <w:rFonts w:ascii="Times New Roman" w:eastAsia="Calibri" w:hAnsi="Times New Roman" w:cs="Times New Roman"/>
          <w:kern w:val="22"/>
        </w:rPr>
      </w:pPr>
      <w:r w:rsidRPr="00471447">
        <w:rPr>
          <w:rFonts w:ascii="Times New Roman" w:hAnsi="Times New Roman" w:cs="Times New Roman"/>
          <w:kern w:val="22"/>
        </w:rPr>
        <w:t>Promoting inter-sectoral cooperation, education and capacity-development activities at the nexus between biodiversity and human health;</w:t>
      </w:r>
    </w:p>
    <w:p w:rsidR="0014508C" w:rsidRPr="00471447" w:rsidRDefault="0014508C" w:rsidP="00471447">
      <w:pPr>
        <w:pStyle w:val="ListParagraph"/>
        <w:widowControl w:val="0"/>
        <w:numPr>
          <w:ilvl w:val="1"/>
          <w:numId w:val="25"/>
        </w:numPr>
        <w:tabs>
          <w:tab w:val="left" w:pos="1254"/>
        </w:tabs>
        <w:spacing w:before="120" w:after="120"/>
        <w:ind w:right="1007"/>
        <w:rPr>
          <w:rFonts w:ascii="Times New Roman" w:eastAsia="Calibri" w:hAnsi="Times New Roman" w:cs="Times New Roman"/>
          <w:kern w:val="22"/>
        </w:rPr>
      </w:pPr>
      <w:r w:rsidRPr="00471447">
        <w:rPr>
          <w:rFonts w:ascii="Times New Roman" w:eastAsia="Calibri" w:hAnsi="Times New Roman" w:cs="Times New Roman"/>
          <w:kern w:val="22"/>
        </w:rPr>
        <w:t>Supporting advocacy and/or awareness raising actions for policy makers, practitioners, and the general public at all levels to support the objectives and implementation of the Strategic Plan for Biodiversity 2011-2020, the Sustainable Development Goals (SDG), Climate Change Agenda (CCA), Sendai Framework for DRR, and the New Urban Agenda , including to support global health security.</w:t>
      </w:r>
    </w:p>
    <w:p w:rsidR="0014508C" w:rsidRPr="00471447" w:rsidRDefault="0014508C" w:rsidP="00471447">
      <w:pPr>
        <w:pStyle w:val="ListParagraph"/>
        <w:widowControl w:val="0"/>
        <w:numPr>
          <w:ilvl w:val="1"/>
          <w:numId w:val="25"/>
        </w:numPr>
        <w:tabs>
          <w:tab w:val="left" w:pos="1254"/>
        </w:tabs>
        <w:spacing w:before="120" w:after="120"/>
        <w:ind w:right="1007"/>
        <w:rPr>
          <w:rFonts w:ascii="Times New Roman" w:eastAsia="Calibri" w:hAnsi="Times New Roman" w:cs="Times New Roman"/>
          <w:kern w:val="22"/>
        </w:rPr>
      </w:pPr>
      <w:r w:rsidRPr="00471447">
        <w:rPr>
          <w:rFonts w:ascii="Times New Roman" w:hAnsi="Times New Roman" w:cs="Times New Roman"/>
          <w:kern w:val="22"/>
        </w:rPr>
        <w:t>Promoting cooperation in the gathering, access and use of relevant and reliable information and metrics on biodiversity and health.</w:t>
      </w:r>
    </w:p>
    <w:p w:rsidR="0014508C" w:rsidRPr="00471447" w:rsidRDefault="0014508C" w:rsidP="00471447">
      <w:pPr>
        <w:pStyle w:val="ListParagraph"/>
        <w:widowControl w:val="0"/>
        <w:numPr>
          <w:ilvl w:val="1"/>
          <w:numId w:val="25"/>
        </w:numPr>
        <w:tabs>
          <w:tab w:val="left" w:pos="1254"/>
        </w:tabs>
        <w:spacing w:before="120" w:after="120"/>
        <w:ind w:right="1007"/>
        <w:rPr>
          <w:rFonts w:ascii="Times New Roman" w:eastAsia="Calibri" w:hAnsi="Times New Roman" w:cs="Times New Roman"/>
          <w:kern w:val="22"/>
        </w:rPr>
      </w:pPr>
      <w:r w:rsidRPr="00471447">
        <w:rPr>
          <w:rFonts w:ascii="Times New Roman" w:eastAsia="Calibri" w:hAnsi="Times New Roman" w:cs="Times New Roman"/>
          <w:kern w:val="22"/>
        </w:rPr>
        <w:t xml:space="preserve">identifying and articulating a multidisciplinary research agenda on biodiversity and health and promoting co-design, implementation and dissemination among members of the group in ways that support relevant policy processes, contribute to bridge science-policy gaps, and that ensure complementarity and coherence </w:t>
      </w:r>
    </w:p>
    <w:p w:rsidR="0014508C" w:rsidRPr="00471447" w:rsidRDefault="0014508C" w:rsidP="00471447">
      <w:pPr>
        <w:pStyle w:val="ListParagraph"/>
        <w:widowControl w:val="0"/>
        <w:numPr>
          <w:ilvl w:val="0"/>
          <w:numId w:val="25"/>
        </w:numPr>
        <w:tabs>
          <w:tab w:val="left" w:pos="687"/>
        </w:tabs>
        <w:spacing w:before="120" w:after="120"/>
        <w:ind w:right="419" w:hanging="566"/>
        <w:rPr>
          <w:rFonts w:ascii="Times New Roman" w:eastAsia="Calibri" w:hAnsi="Times New Roman" w:cs="Times New Roman"/>
          <w:kern w:val="22"/>
        </w:rPr>
      </w:pPr>
      <w:r w:rsidRPr="00471447">
        <w:rPr>
          <w:rFonts w:ascii="Times New Roman" w:hAnsi="Times New Roman" w:cs="Times New Roman"/>
          <w:kern w:val="22"/>
        </w:rPr>
        <w:t>As co-chairs, the Convention on Biological Diversity (CBD) and World Health Organization (WHO) invite the secretariats of the following international organizations participate in the interagency liaison group as core</w:t>
      </w:r>
      <w:r w:rsidRPr="00471447">
        <w:rPr>
          <w:rFonts w:ascii="Times New Roman" w:hAnsi="Times New Roman" w:cs="Times New Roman"/>
          <w:spacing w:val="-1"/>
          <w:kern w:val="22"/>
        </w:rPr>
        <w:t xml:space="preserve"> </w:t>
      </w:r>
      <w:r w:rsidRPr="00471447">
        <w:rPr>
          <w:rFonts w:ascii="Times New Roman" w:hAnsi="Times New Roman" w:cs="Times New Roman"/>
          <w:kern w:val="22"/>
        </w:rPr>
        <w:t>members:</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eastAsia="Calibri" w:hAnsi="Times New Roman" w:cs="Times New Roman"/>
          <w:kern w:val="22"/>
        </w:rPr>
        <w:t>CGIAR Consortium</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hAnsi="Times New Roman" w:cs="Times New Roman"/>
          <w:kern w:val="22"/>
        </w:rPr>
        <w:t>Food and Agriculture Organization</w:t>
      </w:r>
      <w:r w:rsidRPr="00471447">
        <w:rPr>
          <w:rFonts w:ascii="Times New Roman" w:hAnsi="Times New Roman" w:cs="Times New Roman"/>
          <w:spacing w:val="-14"/>
          <w:kern w:val="22"/>
        </w:rPr>
        <w:t xml:space="preserve"> </w:t>
      </w:r>
      <w:r w:rsidRPr="00471447">
        <w:rPr>
          <w:rFonts w:ascii="Times New Roman" w:hAnsi="Times New Roman" w:cs="Times New Roman"/>
          <w:kern w:val="22"/>
        </w:rPr>
        <w:t>(FAO)</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hAnsi="Times New Roman" w:cs="Times New Roman"/>
          <w:kern w:val="22"/>
        </w:rPr>
        <w:t>Future Earth</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hAnsi="Times New Roman" w:cs="Times New Roman"/>
          <w:kern w:val="22"/>
        </w:rPr>
        <w:t>International Union for the Conservation of Nature (IUCN)</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hAnsi="Times New Roman" w:cs="Times New Roman"/>
          <w:kern w:val="22"/>
        </w:rPr>
        <w:t>World Organisation for Animal Health</w:t>
      </w:r>
      <w:r w:rsidRPr="00471447">
        <w:rPr>
          <w:rFonts w:ascii="Times New Roman" w:hAnsi="Times New Roman" w:cs="Times New Roman"/>
          <w:spacing w:val="-12"/>
          <w:kern w:val="22"/>
        </w:rPr>
        <w:t xml:space="preserve"> </w:t>
      </w:r>
      <w:r w:rsidRPr="00471447">
        <w:rPr>
          <w:rFonts w:ascii="Times New Roman" w:hAnsi="Times New Roman" w:cs="Times New Roman"/>
          <w:kern w:val="22"/>
        </w:rPr>
        <w:t>(OIE)</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eastAsia="Calibri" w:hAnsi="Times New Roman" w:cs="Times New Roman"/>
          <w:kern w:val="22"/>
        </w:rPr>
        <w:t>United Nations Environment Programme (UNEP)</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eastAsia="Calibri" w:hAnsi="Times New Roman" w:cs="Times New Roman"/>
          <w:kern w:val="22"/>
        </w:rPr>
        <w:t>United Nations Office for Disaster Risk Reduction (UNISDR)</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eastAsia="Calibri" w:hAnsi="Times New Roman" w:cs="Times New Roman"/>
          <w:kern w:val="22"/>
        </w:rPr>
        <w:t>UN System Standing Committee on Nutrition (UNSCN)</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hAnsi="Times New Roman" w:cs="Times New Roman"/>
          <w:kern w:val="22"/>
        </w:rPr>
        <w:t>United Nations University International Institute for Global Health (UNU-IIGH)</w:t>
      </w:r>
    </w:p>
    <w:p w:rsidR="0014508C" w:rsidRPr="00471447" w:rsidRDefault="0014508C" w:rsidP="00471447">
      <w:pPr>
        <w:pStyle w:val="ListParagraph"/>
        <w:widowControl w:val="0"/>
        <w:numPr>
          <w:ilvl w:val="0"/>
          <w:numId w:val="24"/>
        </w:numPr>
        <w:tabs>
          <w:tab w:val="left" w:pos="841"/>
        </w:tabs>
        <w:spacing w:before="120" w:after="120"/>
        <w:rPr>
          <w:rFonts w:ascii="Times New Roman" w:eastAsia="Calibri" w:hAnsi="Times New Roman" w:cs="Times New Roman"/>
          <w:kern w:val="22"/>
        </w:rPr>
      </w:pPr>
      <w:r w:rsidRPr="00471447">
        <w:rPr>
          <w:rFonts w:ascii="Times New Roman" w:hAnsi="Times New Roman" w:cs="Times New Roman"/>
          <w:kern w:val="22"/>
        </w:rPr>
        <w:t>United Nations Framework Convention on Climate Change (UNFCCC)</w:t>
      </w:r>
    </w:p>
    <w:p w:rsidR="0014508C" w:rsidRPr="00471447" w:rsidRDefault="0014508C" w:rsidP="00471447">
      <w:pPr>
        <w:pStyle w:val="ListParagraph"/>
        <w:widowControl w:val="0"/>
        <w:numPr>
          <w:ilvl w:val="0"/>
          <w:numId w:val="24"/>
        </w:numPr>
        <w:tabs>
          <w:tab w:val="left" w:pos="841"/>
        </w:tabs>
        <w:spacing w:before="120" w:after="120"/>
        <w:rPr>
          <w:rFonts w:ascii="Times New Roman" w:hAnsi="Times New Roman" w:cs="Times New Roman"/>
          <w:kern w:val="22"/>
        </w:rPr>
      </w:pPr>
      <w:r w:rsidRPr="00471447">
        <w:rPr>
          <w:rFonts w:ascii="Times New Roman" w:hAnsi="Times New Roman" w:cs="Times New Roman"/>
          <w:kern w:val="22"/>
        </w:rPr>
        <w:t>Regional offices of the World Health Organizations (WHO African Region, WHO Region of the Americas, WHO South-East Asia Region, WHO European Region, WHO Eastern Mediterranean Region, and WHO Western Pacific Region).</w:t>
      </w:r>
    </w:p>
    <w:p w:rsidR="0014508C" w:rsidRPr="00471447" w:rsidRDefault="0014508C" w:rsidP="00471447">
      <w:pPr>
        <w:pStyle w:val="ListParagraph"/>
        <w:widowControl w:val="0"/>
        <w:numPr>
          <w:ilvl w:val="0"/>
          <w:numId w:val="25"/>
        </w:numPr>
        <w:tabs>
          <w:tab w:val="left" w:pos="687"/>
        </w:tabs>
        <w:spacing w:before="120" w:after="120"/>
        <w:ind w:right="292" w:hanging="566"/>
        <w:rPr>
          <w:rFonts w:ascii="Times New Roman" w:eastAsia="Calibri" w:hAnsi="Times New Roman" w:cs="Times New Roman"/>
          <w:kern w:val="22"/>
        </w:rPr>
      </w:pPr>
      <w:r w:rsidRPr="00471447">
        <w:rPr>
          <w:rFonts w:ascii="Times New Roman" w:hAnsi="Times New Roman" w:cs="Times New Roman"/>
          <w:kern w:val="22"/>
        </w:rPr>
        <w:t>Further membership may be decided by the co-chairs of the Liaison Group and additional organizations may be invited to participate in the meetings and work of the</w:t>
      </w:r>
      <w:r w:rsidRPr="00471447">
        <w:rPr>
          <w:rFonts w:ascii="Times New Roman" w:hAnsi="Times New Roman" w:cs="Times New Roman"/>
          <w:spacing w:val="-16"/>
          <w:kern w:val="22"/>
        </w:rPr>
        <w:t xml:space="preserve"> </w:t>
      </w:r>
      <w:r w:rsidRPr="00471447">
        <w:rPr>
          <w:rFonts w:ascii="Times New Roman" w:hAnsi="Times New Roman" w:cs="Times New Roman"/>
          <w:kern w:val="22"/>
        </w:rPr>
        <w:t>Group.</w:t>
      </w:r>
      <w:r w:rsidRPr="00471447">
        <w:rPr>
          <w:rStyle w:val="FootnoteReference"/>
          <w:rFonts w:ascii="Times New Roman" w:hAnsi="Times New Roman" w:cs="Times New Roman"/>
          <w:kern w:val="22"/>
        </w:rPr>
        <w:footnoteReference w:id="7"/>
      </w:r>
    </w:p>
    <w:p w:rsidR="0014508C" w:rsidRPr="00471447" w:rsidRDefault="0014508C" w:rsidP="00471447">
      <w:pPr>
        <w:pStyle w:val="ListParagraph"/>
        <w:widowControl w:val="0"/>
        <w:numPr>
          <w:ilvl w:val="0"/>
          <w:numId w:val="25"/>
        </w:numPr>
        <w:tabs>
          <w:tab w:val="left" w:pos="687"/>
        </w:tabs>
        <w:spacing w:before="120" w:after="120"/>
        <w:ind w:right="129" w:hanging="566"/>
        <w:rPr>
          <w:rFonts w:ascii="Times New Roman" w:eastAsia="Calibri" w:hAnsi="Times New Roman" w:cs="Times New Roman"/>
          <w:kern w:val="22"/>
        </w:rPr>
      </w:pPr>
      <w:r w:rsidRPr="00471447">
        <w:rPr>
          <w:rFonts w:ascii="Times New Roman" w:hAnsi="Times New Roman" w:cs="Times New Roman"/>
          <w:kern w:val="22"/>
        </w:rPr>
        <w:t xml:space="preserve">Each organization shall identify one or more representatives to participate in the meetings of </w:t>
      </w:r>
      <w:r w:rsidRPr="00471447">
        <w:rPr>
          <w:rFonts w:ascii="Times New Roman" w:hAnsi="Times New Roman" w:cs="Times New Roman"/>
          <w:kern w:val="22"/>
        </w:rPr>
        <w:lastRenderedPageBreak/>
        <w:t>the Liaison Group and each organization shall determine a focal point to ensure communication between</w:t>
      </w:r>
      <w:r w:rsidRPr="00471447">
        <w:rPr>
          <w:rFonts w:ascii="Times New Roman" w:hAnsi="Times New Roman" w:cs="Times New Roman"/>
          <w:spacing w:val="-6"/>
          <w:kern w:val="22"/>
        </w:rPr>
        <w:t xml:space="preserve"> </w:t>
      </w:r>
      <w:r w:rsidRPr="00471447">
        <w:rPr>
          <w:rFonts w:ascii="Times New Roman" w:hAnsi="Times New Roman" w:cs="Times New Roman"/>
          <w:kern w:val="22"/>
        </w:rPr>
        <w:t>meetings.</w:t>
      </w:r>
    </w:p>
    <w:p w:rsidR="0014508C" w:rsidRPr="00471447" w:rsidRDefault="0014508C" w:rsidP="00471447">
      <w:pPr>
        <w:pStyle w:val="ListParagraph"/>
        <w:widowControl w:val="0"/>
        <w:numPr>
          <w:ilvl w:val="0"/>
          <w:numId w:val="25"/>
        </w:numPr>
        <w:tabs>
          <w:tab w:val="left" w:pos="687"/>
        </w:tabs>
        <w:spacing w:before="120" w:after="120"/>
        <w:ind w:right="108" w:hanging="566"/>
        <w:rPr>
          <w:rFonts w:ascii="Times New Roman" w:eastAsia="Calibri" w:hAnsi="Times New Roman" w:cs="Times New Roman"/>
          <w:kern w:val="22"/>
        </w:rPr>
      </w:pPr>
      <w:r w:rsidRPr="00471447">
        <w:rPr>
          <w:rFonts w:ascii="Times New Roman" w:hAnsi="Times New Roman" w:cs="Times New Roman"/>
          <w:kern w:val="22"/>
        </w:rPr>
        <w:t xml:space="preserve">Meetings of the Liaison Group may be held using modern technologies or face-to face meetings, as needed and will be co-convened by the CBD and WHO. The convening organizations will act as the secretariat of the Liaison Group, supported by other members as needed. The convening organizations can arrange teleconferences or e-mail exchanges, will prepare a draft agenda at least one month in advance of the meeting, chair the meeting and prepare and finalize the report, with support from other members, within one month after the end of the meeting. </w:t>
      </w:r>
    </w:p>
    <w:p w:rsidR="0014508C" w:rsidRPr="00471447" w:rsidRDefault="0014508C" w:rsidP="00471447">
      <w:pPr>
        <w:pStyle w:val="ListParagraph"/>
        <w:widowControl w:val="0"/>
        <w:numPr>
          <w:ilvl w:val="0"/>
          <w:numId w:val="25"/>
        </w:numPr>
        <w:tabs>
          <w:tab w:val="left" w:pos="687"/>
        </w:tabs>
        <w:spacing w:before="120" w:after="120"/>
        <w:ind w:right="665" w:hanging="566"/>
        <w:rPr>
          <w:rFonts w:ascii="Times New Roman" w:eastAsia="Times New Roman" w:hAnsi="Times New Roman" w:cs="Times New Roman"/>
          <w:kern w:val="22"/>
        </w:rPr>
      </w:pPr>
      <w:r w:rsidRPr="00471447">
        <w:rPr>
          <w:rFonts w:ascii="Times New Roman" w:hAnsi="Times New Roman" w:cs="Times New Roman"/>
          <w:kern w:val="22"/>
        </w:rPr>
        <w:t>The CBD Secretariat will provide a public web site</w:t>
      </w:r>
      <w:r w:rsidRPr="00471447">
        <w:rPr>
          <w:rStyle w:val="FootnoteReference"/>
          <w:rFonts w:ascii="Times New Roman" w:hAnsi="Times New Roman" w:cs="Times New Roman"/>
          <w:kern w:val="22"/>
        </w:rPr>
        <w:footnoteReference w:id="8"/>
      </w:r>
      <w:r w:rsidRPr="00471447">
        <w:rPr>
          <w:rFonts w:ascii="Times New Roman" w:hAnsi="Times New Roman" w:cs="Times New Roman"/>
          <w:kern w:val="22"/>
        </w:rPr>
        <w:t xml:space="preserve"> where updated terms of reference, final reports and other official documentation as finalized by the Interagency Liaison Group will be</w:t>
      </w:r>
      <w:r w:rsidRPr="00471447">
        <w:rPr>
          <w:rFonts w:ascii="Times New Roman" w:hAnsi="Times New Roman" w:cs="Times New Roman"/>
          <w:spacing w:val="-23"/>
          <w:kern w:val="22"/>
        </w:rPr>
        <w:t xml:space="preserve"> </w:t>
      </w:r>
      <w:r w:rsidRPr="00471447">
        <w:rPr>
          <w:rFonts w:ascii="Times New Roman" w:hAnsi="Times New Roman" w:cs="Times New Roman"/>
          <w:kern w:val="22"/>
        </w:rPr>
        <w:t>posted.</w:t>
      </w:r>
      <w:r w:rsidRPr="00471447">
        <w:rPr>
          <w:rFonts w:ascii="Times New Roman" w:eastAsia="Times New Roman" w:hAnsi="Times New Roman" w:cs="Times New Roman"/>
          <w:kern w:val="22"/>
        </w:rPr>
        <w:t xml:space="preserve"> </w:t>
      </w:r>
    </w:p>
    <w:p w:rsidR="0014508C" w:rsidRPr="00471447" w:rsidRDefault="0014508C" w:rsidP="00471447">
      <w:pPr>
        <w:pStyle w:val="Heading2"/>
        <w:spacing w:before="120" w:line="240" w:lineRule="auto"/>
        <w:contextualSpacing w:val="0"/>
        <w:rPr>
          <w:rFonts w:ascii="Times New Roman" w:hAnsi="Times New Roman" w:cs="Times New Roman"/>
          <w:kern w:val="22"/>
          <w:sz w:val="22"/>
          <w:szCs w:val="22"/>
        </w:rPr>
      </w:pPr>
    </w:p>
    <w:p w:rsidR="00DF2F6A" w:rsidRPr="00471447" w:rsidRDefault="00DF2F6A" w:rsidP="00471447">
      <w:pPr>
        <w:spacing w:before="120" w:after="120" w:line="240" w:lineRule="auto"/>
        <w:jc w:val="both"/>
        <w:rPr>
          <w:rFonts w:ascii="Times New Roman" w:eastAsia="Cambria" w:hAnsi="Times New Roman" w:cs="Times New Roman"/>
          <w:b/>
          <w:kern w:val="22"/>
        </w:rPr>
      </w:pPr>
    </w:p>
    <w:p w:rsidR="000003B3" w:rsidRPr="00471447" w:rsidRDefault="000003B3" w:rsidP="00471447">
      <w:pPr>
        <w:spacing w:before="120" w:after="120" w:line="240" w:lineRule="auto"/>
        <w:rPr>
          <w:rFonts w:ascii="Times New Roman" w:hAnsi="Times New Roman" w:cs="Times New Roman"/>
          <w:kern w:val="22"/>
        </w:rPr>
      </w:pPr>
    </w:p>
    <w:sectPr w:rsidR="000003B3" w:rsidRPr="00471447" w:rsidSect="00471447">
      <w:pgSz w:w="11909" w:h="16834"/>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A7" w:rsidRDefault="00A348A7" w:rsidP="003866DB">
      <w:pPr>
        <w:spacing w:line="240" w:lineRule="auto"/>
      </w:pPr>
      <w:r>
        <w:separator/>
      </w:r>
    </w:p>
  </w:endnote>
  <w:endnote w:type="continuationSeparator" w:id="0">
    <w:p w:rsidR="00A348A7" w:rsidRDefault="00A348A7" w:rsidP="00386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A7" w:rsidRDefault="00A348A7" w:rsidP="00386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8A7" w:rsidRPr="00471447" w:rsidRDefault="00A348A7" w:rsidP="003866D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A7" w:rsidRDefault="00A348A7" w:rsidP="003866DB">
      <w:pPr>
        <w:spacing w:line="240" w:lineRule="auto"/>
      </w:pPr>
      <w:r>
        <w:separator/>
      </w:r>
    </w:p>
  </w:footnote>
  <w:footnote w:type="continuationSeparator" w:id="0">
    <w:p w:rsidR="00A348A7" w:rsidRDefault="00A348A7" w:rsidP="003866DB">
      <w:pPr>
        <w:spacing w:line="240" w:lineRule="auto"/>
      </w:pPr>
      <w:r>
        <w:continuationSeparator/>
      </w:r>
    </w:p>
  </w:footnote>
  <w:footnote w:id="1">
    <w:p w:rsidR="00CD6DBF" w:rsidRPr="00A20A93" w:rsidRDefault="00CD6DBF">
      <w:pPr>
        <w:pStyle w:val="FootnoteText"/>
      </w:pPr>
      <w:r>
        <w:rPr>
          <w:rStyle w:val="FootnoteReference"/>
        </w:rPr>
        <w:footnoteRef/>
      </w:r>
      <w:r>
        <w:t xml:space="preserve"> </w:t>
      </w:r>
      <w:hyperlink r:id="rId1" w:tgtFrame="_blank" w:history="1">
        <w:r w:rsidRPr="00471447">
          <w:rPr>
            <w:rFonts w:ascii="Times New Roman" w:eastAsia="Times New Roman" w:hAnsi="Times New Roman" w:cs="Times New Roman"/>
            <w:color w:val="0000FF"/>
            <w:kern w:val="22"/>
            <w:sz w:val="18"/>
            <w:szCs w:val="18"/>
            <w:u w:val="single"/>
          </w:rPr>
          <w:t>https://www.forestry.gov.uk/pdf/LONDONI-TREEECOREPORT151202.pdf/$FILE/LONDONI-TREEECOREPORT151202.pdf</w:t>
        </w:r>
      </w:hyperlink>
      <w:r w:rsidRPr="009C20A3">
        <w:rPr>
          <w:rFonts w:ascii="Times New Roman" w:eastAsia="Times New Roman" w:hAnsi="Times New Roman" w:cs="Times New Roman"/>
          <w:kern w:val="22"/>
        </w:rPr>
        <w:t> </w:t>
      </w:r>
    </w:p>
  </w:footnote>
  <w:footnote w:id="2">
    <w:p w:rsidR="00CD6DBF" w:rsidRPr="00A20A93" w:rsidRDefault="00CD6DBF">
      <w:pPr>
        <w:pStyle w:val="FootnoteText"/>
      </w:pPr>
      <w:r>
        <w:rPr>
          <w:rStyle w:val="FootnoteReference"/>
        </w:rPr>
        <w:footnoteRef/>
      </w:r>
      <w:r>
        <w:t xml:space="preserve"> </w:t>
      </w:r>
      <w:hyperlink r:id="rId2" w:tgtFrame="_blank" w:history="1">
        <w:r w:rsidRPr="00471447">
          <w:rPr>
            <w:rFonts w:ascii="Times New Roman" w:eastAsia="Times New Roman" w:hAnsi="Times New Roman" w:cs="Times New Roman"/>
            <w:color w:val="0000FF"/>
            <w:kern w:val="22"/>
            <w:sz w:val="18"/>
            <w:szCs w:val="18"/>
            <w:u w:val="single"/>
          </w:rPr>
          <w:t>http://www.euro.who.int/__data/assets/pdf_file/0009/334269/culture-matters.pdf?ua=1</w:t>
        </w:r>
      </w:hyperlink>
    </w:p>
  </w:footnote>
  <w:footnote w:id="3">
    <w:p w:rsidR="004806DB" w:rsidRPr="00A20A93" w:rsidRDefault="004806DB">
      <w:pPr>
        <w:pStyle w:val="FootnoteText"/>
      </w:pPr>
      <w:r>
        <w:rPr>
          <w:rStyle w:val="FootnoteReference"/>
        </w:rPr>
        <w:footnoteRef/>
      </w:r>
      <w:r>
        <w:t xml:space="preserve"> </w:t>
      </w:r>
      <w:hyperlink r:id="rId3" w:history="1">
        <w:r w:rsidRPr="00471447">
          <w:rPr>
            <w:rStyle w:val="Hyperlink"/>
            <w:rFonts w:ascii="Times New Roman" w:eastAsia="Times New Roman" w:hAnsi="Times New Roman" w:cs="Times New Roman"/>
            <w:kern w:val="22"/>
            <w:sz w:val="18"/>
            <w:szCs w:val="18"/>
          </w:rPr>
          <w:t>http://www.euro.who.int/__data/assets/pdf_file/0005/321971/Urban-green-spaces-and-health-review-evidence.pdf?ua=1</w:t>
        </w:r>
      </w:hyperlink>
    </w:p>
  </w:footnote>
  <w:footnote w:id="4">
    <w:p w:rsidR="00A348A7" w:rsidRPr="001A62AC" w:rsidRDefault="00A348A7" w:rsidP="00471447">
      <w:pPr>
        <w:spacing w:line="240" w:lineRule="auto"/>
        <w:jc w:val="both"/>
        <w:rPr>
          <w:rFonts w:ascii="Times New Roman" w:eastAsia="Cambria" w:hAnsi="Times New Roman" w:cs="Times New Roman"/>
          <w:sz w:val="18"/>
          <w:szCs w:val="18"/>
        </w:rPr>
      </w:pPr>
      <w:r w:rsidRPr="001A62AC">
        <w:rPr>
          <w:rStyle w:val="FootnoteReference"/>
          <w:rFonts w:ascii="Times New Roman" w:hAnsi="Times New Roman" w:cs="Times New Roman"/>
          <w:sz w:val="18"/>
          <w:szCs w:val="18"/>
        </w:rPr>
        <w:footnoteRef/>
      </w:r>
      <w:r w:rsidRPr="001A62AC">
        <w:rPr>
          <w:rFonts w:ascii="Times New Roman" w:hAnsi="Times New Roman" w:cs="Times New Roman"/>
          <w:sz w:val="18"/>
          <w:szCs w:val="18"/>
        </w:rPr>
        <w:t xml:space="preserve"> </w:t>
      </w:r>
      <w:r w:rsidRPr="001A62AC">
        <w:rPr>
          <w:rFonts w:ascii="Times New Roman" w:eastAsia="Cambria" w:hAnsi="Times New Roman" w:cs="Times New Roman"/>
          <w:sz w:val="18"/>
          <w:szCs w:val="18"/>
        </w:rPr>
        <w:t>Three main activities associated with the Guidelines include: (1) Research: need to improve knowledge and benefits of using different varieties of breeds of plants and animals (2) Implementation: aims to put this into action and integrate biodiversity for food and agriculture in nutritional and related policies, program</w:t>
      </w:r>
      <w:r w:rsidR="00C47DE3">
        <w:rPr>
          <w:rFonts w:ascii="Times New Roman" w:eastAsia="Cambria" w:hAnsi="Times New Roman" w:cs="Times New Roman"/>
          <w:sz w:val="18"/>
          <w:szCs w:val="18"/>
        </w:rPr>
        <w:t>me</w:t>
      </w:r>
      <w:r w:rsidRPr="001A62AC">
        <w:rPr>
          <w:rFonts w:ascii="Times New Roman" w:eastAsia="Cambria" w:hAnsi="Times New Roman" w:cs="Times New Roman"/>
          <w:sz w:val="18"/>
          <w:szCs w:val="18"/>
        </w:rPr>
        <w:t xml:space="preserve">s and action plans (3) Raise awareness of General public: on the importance of food from different varieties. </w:t>
      </w:r>
    </w:p>
    <w:p w:rsidR="00A348A7" w:rsidRPr="001A62AC" w:rsidRDefault="00A348A7">
      <w:pPr>
        <w:pStyle w:val="FootnoteText"/>
        <w:rPr>
          <w:rFonts w:ascii="Times New Roman" w:hAnsi="Times New Roman" w:cs="Times New Roman"/>
          <w:sz w:val="18"/>
          <w:szCs w:val="18"/>
        </w:rPr>
      </w:pPr>
    </w:p>
  </w:footnote>
  <w:footnote w:id="5">
    <w:p w:rsidR="004806DB" w:rsidRPr="00A20A93" w:rsidRDefault="004806DB">
      <w:pPr>
        <w:pStyle w:val="FootnoteText"/>
      </w:pPr>
      <w:r>
        <w:rPr>
          <w:rStyle w:val="FootnoteReference"/>
        </w:rPr>
        <w:footnoteRef/>
      </w:r>
      <w:r w:rsidRPr="00471447">
        <w:rPr>
          <w:sz w:val="18"/>
          <w:szCs w:val="18"/>
        </w:rPr>
        <w:t xml:space="preserve"> </w:t>
      </w:r>
      <w:r w:rsidRPr="00471447">
        <w:rPr>
          <w:rFonts w:ascii="Times New Roman" w:eastAsia="Cambria" w:hAnsi="Times New Roman" w:cs="Times New Roman"/>
          <w:kern w:val="22"/>
          <w:sz w:val="18"/>
          <w:szCs w:val="18"/>
        </w:rPr>
        <w:t>https://www.youtube.com/watch?v=WT7-cC21uLU)</w:t>
      </w:r>
    </w:p>
  </w:footnote>
  <w:footnote w:id="6">
    <w:p w:rsidR="00A348A7" w:rsidRPr="001A62AC" w:rsidRDefault="00A348A7" w:rsidP="0014508C">
      <w:pPr>
        <w:pStyle w:val="FootnoteText"/>
        <w:rPr>
          <w:rFonts w:ascii="Times New Roman" w:hAnsi="Times New Roman" w:cs="Times New Roman"/>
          <w:sz w:val="18"/>
          <w:szCs w:val="18"/>
        </w:rPr>
      </w:pPr>
      <w:r w:rsidRPr="001A62AC">
        <w:rPr>
          <w:rStyle w:val="FootnoteReference"/>
          <w:rFonts w:ascii="Times New Roman" w:hAnsi="Times New Roman" w:cs="Times New Roman"/>
          <w:sz w:val="18"/>
          <w:szCs w:val="18"/>
        </w:rPr>
        <w:footnoteRef/>
      </w:r>
      <w:r w:rsidRPr="001A62AC">
        <w:rPr>
          <w:rFonts w:ascii="Times New Roman" w:hAnsi="Times New Roman" w:cs="Times New Roman"/>
          <w:sz w:val="18"/>
          <w:szCs w:val="18"/>
        </w:rPr>
        <w:t xml:space="preserve"> In line with the State of Knowledge Review and its findings, biodiversity refers to biological diversity is understood as understood as “variability among living organisms from all sources including, inter alia, terrestrial, marine and other aquatic ecosystems and the ecological complexes of which they are part; this includes diversity within species, between species and of ecosystems”, and refers at all levels from microbial to planetary scale interactions. Human health is understood as “a state of complete physical, mental and social well-being and not merely the absence of disease or infirmity”, in line with the WHO definition of health.</w:t>
      </w:r>
    </w:p>
  </w:footnote>
  <w:footnote w:id="7">
    <w:p w:rsidR="00A348A7" w:rsidRPr="00471447" w:rsidRDefault="00A348A7" w:rsidP="0014508C">
      <w:pPr>
        <w:pStyle w:val="FootnoteText"/>
        <w:rPr>
          <w:rFonts w:ascii="Times New Roman" w:hAnsi="Times New Roman" w:cs="Times New Roman"/>
          <w:sz w:val="18"/>
          <w:szCs w:val="18"/>
        </w:rPr>
      </w:pPr>
      <w:r w:rsidRPr="001A62AC">
        <w:rPr>
          <w:rStyle w:val="FootnoteReference"/>
          <w:rFonts w:ascii="Times New Roman" w:hAnsi="Times New Roman" w:cs="Times New Roman"/>
          <w:sz w:val="18"/>
          <w:szCs w:val="18"/>
        </w:rPr>
        <w:footnoteRef/>
      </w:r>
      <w:r w:rsidRPr="001A62AC">
        <w:rPr>
          <w:rFonts w:ascii="Times New Roman" w:hAnsi="Times New Roman" w:cs="Times New Roman"/>
          <w:sz w:val="18"/>
          <w:szCs w:val="18"/>
        </w:rPr>
        <w:t xml:space="preserve"> O</w:t>
      </w:r>
      <w:r>
        <w:rPr>
          <w:rFonts w:ascii="Times New Roman" w:hAnsi="Times New Roman" w:cs="Times New Roman"/>
          <w:sz w:val="18"/>
          <w:szCs w:val="18"/>
        </w:rPr>
        <w:t>ther o</w:t>
      </w:r>
      <w:r w:rsidRPr="001A62AC">
        <w:rPr>
          <w:rFonts w:ascii="Times New Roman" w:hAnsi="Times New Roman" w:cs="Times New Roman"/>
          <w:sz w:val="18"/>
          <w:szCs w:val="18"/>
        </w:rPr>
        <w:t xml:space="preserve">rganizations that have played an important support role in the development of the State of Knowledge Review </w:t>
      </w:r>
      <w:r w:rsidRPr="001A62AC">
        <w:rPr>
          <w:rFonts w:ascii="Times New Roman" w:hAnsi="Times New Roman" w:cs="Times New Roman"/>
          <w:i/>
          <w:sz w:val="18"/>
          <w:szCs w:val="18"/>
        </w:rPr>
        <w:t>Connecting Global Priorities: Biodiversity and Human Health</w:t>
      </w:r>
      <w:r w:rsidRPr="001A62AC">
        <w:rPr>
          <w:rFonts w:ascii="Times New Roman" w:hAnsi="Times New Roman" w:cs="Times New Roman"/>
          <w:sz w:val="18"/>
          <w:szCs w:val="18"/>
        </w:rPr>
        <w:t xml:space="preserve"> and contributed to the regional capacity-building workshops on the interlinkages between biodiversity and human co-</w:t>
      </w:r>
      <w:r>
        <w:rPr>
          <w:rFonts w:ascii="Times New Roman" w:hAnsi="Times New Roman" w:cs="Times New Roman"/>
          <w:sz w:val="18"/>
          <w:szCs w:val="18"/>
        </w:rPr>
        <w:t xml:space="preserve">convened by the CBD and WHO may </w:t>
      </w:r>
      <w:r w:rsidRPr="001A62AC">
        <w:rPr>
          <w:rFonts w:ascii="Times New Roman" w:hAnsi="Times New Roman" w:cs="Times New Roman"/>
          <w:sz w:val="18"/>
          <w:szCs w:val="18"/>
        </w:rPr>
        <w:t>be invited to participate, as expert</w:t>
      </w:r>
      <w:r>
        <w:rPr>
          <w:rFonts w:ascii="Times New Roman" w:hAnsi="Times New Roman" w:cs="Times New Roman"/>
          <w:sz w:val="18"/>
          <w:szCs w:val="18"/>
        </w:rPr>
        <w:t xml:space="preserve"> observer</w:t>
      </w:r>
      <w:r w:rsidRPr="001A62AC">
        <w:rPr>
          <w:rFonts w:ascii="Times New Roman" w:hAnsi="Times New Roman" w:cs="Times New Roman"/>
          <w:sz w:val="18"/>
          <w:szCs w:val="18"/>
        </w:rPr>
        <w:t>s, in meetings of the</w:t>
      </w:r>
      <w:r>
        <w:rPr>
          <w:rFonts w:ascii="Times New Roman" w:hAnsi="Times New Roman" w:cs="Times New Roman"/>
          <w:sz w:val="18"/>
          <w:szCs w:val="18"/>
        </w:rPr>
        <w:t xml:space="preserve"> i</w:t>
      </w:r>
      <w:r w:rsidRPr="001A62AC">
        <w:rPr>
          <w:rFonts w:ascii="Times New Roman" w:hAnsi="Times New Roman" w:cs="Times New Roman"/>
          <w:sz w:val="18"/>
          <w:szCs w:val="18"/>
        </w:rPr>
        <w:t xml:space="preserve">nteragency liaison group. Other relevant organizations or experts may also be invited on an </w:t>
      </w:r>
      <w:r w:rsidRPr="001A62AC">
        <w:rPr>
          <w:rFonts w:ascii="Times New Roman" w:hAnsi="Times New Roman" w:cs="Times New Roman"/>
          <w:i/>
          <w:sz w:val="18"/>
          <w:szCs w:val="18"/>
        </w:rPr>
        <w:t>ad hoc</w:t>
      </w:r>
      <w:r w:rsidRPr="001A62AC">
        <w:rPr>
          <w:rFonts w:ascii="Times New Roman" w:hAnsi="Times New Roman" w:cs="Times New Roman"/>
          <w:sz w:val="18"/>
          <w:szCs w:val="18"/>
        </w:rPr>
        <w:t xml:space="preserve"> basis</w:t>
      </w:r>
      <w:r>
        <w:rPr>
          <w:rFonts w:ascii="Times New Roman" w:hAnsi="Times New Roman" w:cs="Times New Roman"/>
          <w:sz w:val="18"/>
          <w:szCs w:val="18"/>
        </w:rPr>
        <w:t xml:space="preserve"> as agreed by the co-chairs</w:t>
      </w:r>
      <w:r w:rsidRPr="001A62AC">
        <w:rPr>
          <w:rFonts w:ascii="Times New Roman" w:hAnsi="Times New Roman" w:cs="Times New Roman"/>
          <w:sz w:val="18"/>
          <w:szCs w:val="18"/>
        </w:rPr>
        <w:t>.</w:t>
      </w:r>
    </w:p>
  </w:footnote>
  <w:footnote w:id="8">
    <w:p w:rsidR="00A348A7" w:rsidRPr="001A62AC" w:rsidRDefault="00A348A7" w:rsidP="0014508C">
      <w:pPr>
        <w:pStyle w:val="FootnoteText"/>
        <w:rPr>
          <w:rFonts w:ascii="Times New Roman" w:hAnsi="Times New Roman" w:cs="Times New Roman"/>
          <w:sz w:val="18"/>
          <w:szCs w:val="18"/>
        </w:rPr>
      </w:pPr>
      <w:r w:rsidRPr="001A62AC">
        <w:rPr>
          <w:rStyle w:val="FootnoteReference"/>
          <w:rFonts w:ascii="Times New Roman" w:hAnsi="Times New Roman" w:cs="Times New Roman"/>
          <w:sz w:val="18"/>
          <w:szCs w:val="18"/>
        </w:rPr>
        <w:footnoteRef/>
      </w:r>
      <w:r w:rsidRPr="001A62AC">
        <w:rPr>
          <w:rFonts w:ascii="Times New Roman" w:hAnsi="Times New Roman" w:cs="Times New Roman"/>
          <w:sz w:val="18"/>
          <w:szCs w:val="18"/>
        </w:rPr>
        <w:t xml:space="preserve"> </w:t>
      </w:r>
      <w:hyperlink r:id="rId4" w:history="1">
        <w:r w:rsidRPr="001A62AC">
          <w:rPr>
            <w:rStyle w:val="Hyperlink"/>
            <w:rFonts w:ascii="Times New Roman" w:hAnsi="Times New Roman" w:cs="Times New Roman"/>
            <w:sz w:val="18"/>
            <w:szCs w:val="18"/>
          </w:rPr>
          <w:t>https://www.cbd.int/health/ilg-health/default.shtml</w:t>
        </w:r>
      </w:hyperlink>
      <w:r w:rsidRPr="001A62AC">
        <w:rPr>
          <w:rFonts w:ascii="Times New Roman" w:hAnsi="Times New Roman" w:cs="Times New Roman"/>
          <w:sz w:val="18"/>
          <w:szCs w:val="18"/>
        </w:rPr>
        <w:t xml:space="preserve"> </w:t>
      </w:r>
    </w:p>
    <w:p w:rsidR="00A348A7" w:rsidRPr="00471447" w:rsidRDefault="00A348A7" w:rsidP="001450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93" w:rsidRPr="00A20A93" w:rsidRDefault="00A20A93" w:rsidP="00A20A93">
    <w:pPr>
      <w:rPr>
        <w:rFonts w:ascii="Times New Roman" w:hAnsi="Times New Roman" w:cs="Times New Roman"/>
      </w:rPr>
    </w:pPr>
    <w:r w:rsidRPr="00A20A93">
      <w:rPr>
        <w:rFonts w:ascii="Times New Roman" w:hAnsi="Times New Roman" w:cs="Times New Roman"/>
      </w:rPr>
      <w:t>CBD/HB/LG/2017/1/1</w:t>
    </w:r>
  </w:p>
  <w:p w:rsidR="00A20A93" w:rsidRPr="00471447" w:rsidRDefault="00A20A93">
    <w:pPr>
      <w:pStyle w:val="Header"/>
      <w:rPr>
        <w:rFonts w:ascii="Times New Roman" w:hAnsi="Times New Roman" w:cs="Times New Roman"/>
      </w:rPr>
    </w:pPr>
    <w:r w:rsidRPr="00471447">
      <w:rPr>
        <w:rFonts w:ascii="Times New Roman" w:hAnsi="Times New Roman" w:cs="Times New Roman"/>
      </w:rPr>
      <w:t xml:space="preserve">Page </w:t>
    </w:r>
    <w:r w:rsidRPr="00471447">
      <w:rPr>
        <w:rFonts w:ascii="Times New Roman" w:hAnsi="Times New Roman" w:cs="Times New Roman"/>
      </w:rPr>
      <w:fldChar w:fldCharType="begin"/>
    </w:r>
    <w:r w:rsidRPr="00471447">
      <w:rPr>
        <w:rFonts w:ascii="Times New Roman" w:hAnsi="Times New Roman" w:cs="Times New Roman"/>
      </w:rPr>
      <w:instrText xml:space="preserve"> PAGE   \* MERGEFORMAT </w:instrText>
    </w:r>
    <w:r w:rsidRPr="00471447">
      <w:rPr>
        <w:rFonts w:ascii="Times New Roman" w:hAnsi="Times New Roman" w:cs="Times New Roman"/>
      </w:rPr>
      <w:fldChar w:fldCharType="separate"/>
    </w:r>
    <w:r w:rsidR="0027698D">
      <w:rPr>
        <w:rFonts w:ascii="Times New Roman" w:hAnsi="Times New Roman" w:cs="Times New Roman"/>
        <w:noProof/>
      </w:rPr>
      <w:t>6</w:t>
    </w:r>
    <w:r w:rsidRPr="00471447">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93" w:rsidRPr="009C20A3" w:rsidRDefault="00A20A93" w:rsidP="00471447">
    <w:pPr>
      <w:jc w:val="right"/>
      <w:rPr>
        <w:rFonts w:ascii="Times New Roman" w:hAnsi="Times New Roman" w:cs="Times New Roman"/>
      </w:rPr>
    </w:pPr>
    <w:r w:rsidRPr="00A20A93">
      <w:rPr>
        <w:rFonts w:ascii="Times New Roman" w:hAnsi="Times New Roman" w:cs="Times New Roman"/>
      </w:rPr>
      <w:t>CBD/</w:t>
    </w:r>
    <w:r w:rsidRPr="009C20A3">
      <w:rPr>
        <w:rFonts w:ascii="Times New Roman" w:hAnsi="Times New Roman" w:cs="Times New Roman"/>
      </w:rPr>
      <w:t>HB/LG/2017/1/1</w:t>
    </w:r>
  </w:p>
  <w:p w:rsidR="00A20A93" w:rsidRPr="009C20A3" w:rsidRDefault="00A20A93" w:rsidP="00471447">
    <w:pPr>
      <w:pStyle w:val="Header"/>
      <w:jc w:val="right"/>
      <w:rPr>
        <w:rFonts w:ascii="Times New Roman" w:hAnsi="Times New Roman" w:cs="Times New Roman"/>
      </w:rPr>
    </w:pPr>
    <w:r w:rsidRPr="009C20A3">
      <w:rPr>
        <w:rFonts w:ascii="Times New Roman" w:hAnsi="Times New Roman" w:cs="Times New Roman"/>
      </w:rPr>
      <w:t xml:space="preserve">Page </w:t>
    </w:r>
    <w:r w:rsidRPr="009C20A3">
      <w:rPr>
        <w:rFonts w:ascii="Times New Roman" w:hAnsi="Times New Roman" w:cs="Times New Roman"/>
      </w:rPr>
      <w:fldChar w:fldCharType="begin"/>
    </w:r>
    <w:r w:rsidRPr="009C20A3">
      <w:rPr>
        <w:rFonts w:ascii="Times New Roman" w:hAnsi="Times New Roman" w:cs="Times New Roman"/>
      </w:rPr>
      <w:instrText xml:space="preserve"> PAGE   \* MERGEFORMAT </w:instrText>
    </w:r>
    <w:r w:rsidRPr="009C20A3">
      <w:rPr>
        <w:rFonts w:ascii="Times New Roman" w:hAnsi="Times New Roman" w:cs="Times New Roman"/>
      </w:rPr>
      <w:fldChar w:fldCharType="separate"/>
    </w:r>
    <w:r w:rsidR="0027698D">
      <w:rPr>
        <w:rFonts w:ascii="Times New Roman" w:hAnsi="Times New Roman" w:cs="Times New Roman"/>
        <w:noProof/>
      </w:rPr>
      <w:t>5</w:t>
    </w:r>
    <w:r w:rsidRPr="009C20A3">
      <w:rPr>
        <w:rFonts w:ascii="Times New Roman" w:hAnsi="Times New Roman" w:cs="Times New Roman"/>
        <w:noProof/>
      </w:rPr>
      <w:fldChar w:fldCharType="end"/>
    </w:r>
  </w:p>
  <w:p w:rsidR="00A20A93" w:rsidRDefault="00A20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D"/>
    <w:multiLevelType w:val="hybridMultilevel"/>
    <w:tmpl w:val="308CD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71D11"/>
    <w:multiLevelType w:val="hybridMultilevel"/>
    <w:tmpl w:val="B2BEBE60"/>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524E2"/>
    <w:multiLevelType w:val="hybridMultilevel"/>
    <w:tmpl w:val="465C8576"/>
    <w:lvl w:ilvl="0" w:tplc="4CFCED16">
      <w:start w:val="1"/>
      <w:numFmt w:val="decimal"/>
      <w:lvlText w:val="%1."/>
      <w:lvlJc w:val="left"/>
      <w:pPr>
        <w:ind w:left="4046" w:hanging="360"/>
      </w:pPr>
      <w:rPr>
        <w:rFonts w:asciiTheme="minorHAnsi" w:eastAsia="Cambria" w:hAnsiTheme="minorHAnsi" w:cs="Cambria"/>
        <w:i w:val="0"/>
      </w:rPr>
    </w:lvl>
    <w:lvl w:ilvl="1" w:tplc="CAB40D4C">
      <w:start w:val="1"/>
      <w:numFmt w:val="lowerLetter"/>
      <w:lvlText w:val="(%2)"/>
      <w:lvlJc w:val="left"/>
      <w:pPr>
        <w:ind w:left="1440" w:hanging="360"/>
      </w:pPr>
      <w:rPr>
        <w:rFonts w:hint="default"/>
        <w:b w:val="0"/>
        <w:i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E055C"/>
    <w:multiLevelType w:val="hybridMultilevel"/>
    <w:tmpl w:val="DF36DBA2"/>
    <w:lvl w:ilvl="0" w:tplc="04090017">
      <w:start w:val="1"/>
      <w:numFmt w:val="lowerLetter"/>
      <w:lvlText w:val="%1)"/>
      <w:lvlJc w:val="left"/>
      <w:pPr>
        <w:ind w:left="720" w:hanging="360"/>
      </w:pPr>
      <w:rPr>
        <w:rFonts w:hint="default"/>
      </w:rPr>
    </w:lvl>
    <w:lvl w:ilvl="1" w:tplc="FDAEC98C">
      <w:numFmt w:val="bullet"/>
      <w:lvlText w:val="-"/>
      <w:lvlJc w:val="left"/>
      <w:pPr>
        <w:ind w:left="1440" w:hanging="360"/>
      </w:pPr>
      <w:rPr>
        <w:rFonts w:ascii="Helvetica" w:eastAsia="Times New Roman"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F6A9D"/>
    <w:multiLevelType w:val="hybridMultilevel"/>
    <w:tmpl w:val="916A0536"/>
    <w:lvl w:ilvl="0" w:tplc="CAB40D4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C0F44"/>
    <w:multiLevelType w:val="hybridMultilevel"/>
    <w:tmpl w:val="9334E006"/>
    <w:lvl w:ilvl="0" w:tplc="3C3C3298">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DF442D"/>
    <w:multiLevelType w:val="hybridMultilevel"/>
    <w:tmpl w:val="7C3EF9EC"/>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173DA"/>
    <w:multiLevelType w:val="multilevel"/>
    <w:tmpl w:val="73A29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FCB1478"/>
    <w:multiLevelType w:val="hybridMultilevel"/>
    <w:tmpl w:val="D382BB46"/>
    <w:lvl w:ilvl="0" w:tplc="F89AE9DE">
      <w:start w:val="1"/>
      <w:numFmt w:val="lowerLetter"/>
      <w:lvlText w:val="(%1)"/>
      <w:lvlJc w:val="left"/>
      <w:pPr>
        <w:ind w:left="720" w:hanging="360"/>
      </w:pPr>
      <w:rPr>
        <w:rFonts w:hint="default"/>
        <w:b w:val="0"/>
        <w:i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BB03B4"/>
    <w:multiLevelType w:val="hybridMultilevel"/>
    <w:tmpl w:val="93A00ED2"/>
    <w:lvl w:ilvl="0" w:tplc="D734872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0047E9"/>
    <w:multiLevelType w:val="hybridMultilevel"/>
    <w:tmpl w:val="0E703E10"/>
    <w:lvl w:ilvl="0" w:tplc="C2027A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10C5E"/>
    <w:multiLevelType w:val="hybridMultilevel"/>
    <w:tmpl w:val="31BA1214"/>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317B3"/>
    <w:multiLevelType w:val="hybridMultilevel"/>
    <w:tmpl w:val="ED7A07AE"/>
    <w:lvl w:ilvl="0" w:tplc="F89AE9DE">
      <w:start w:val="1"/>
      <w:numFmt w:val="lowerLetter"/>
      <w:lvlText w:val="(%1)"/>
      <w:lvlJc w:val="left"/>
      <w:pPr>
        <w:ind w:left="720" w:hanging="360"/>
      </w:pPr>
      <w:rPr>
        <w:rFonts w:hint="default"/>
        <w:b w:val="0"/>
        <w:i w:val="0"/>
      </w:rPr>
    </w:lvl>
    <w:lvl w:ilvl="1" w:tplc="E3FCCB7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E67DD"/>
    <w:multiLevelType w:val="hybridMultilevel"/>
    <w:tmpl w:val="A25C4730"/>
    <w:lvl w:ilvl="0" w:tplc="4CFCED16">
      <w:start w:val="1"/>
      <w:numFmt w:val="decimal"/>
      <w:lvlText w:val="%1."/>
      <w:lvlJc w:val="left"/>
      <w:pPr>
        <w:ind w:left="4046" w:hanging="360"/>
      </w:pPr>
      <w:rPr>
        <w:rFonts w:asciiTheme="minorHAnsi" w:eastAsia="Cambria" w:hAnsiTheme="minorHAnsi" w:cs="Cambria"/>
        <w:i w:val="0"/>
      </w:rPr>
    </w:lvl>
    <w:lvl w:ilvl="1" w:tplc="CAB40D4C">
      <w:start w:val="1"/>
      <w:numFmt w:val="lowerLetter"/>
      <w:lvlText w:val="(%2)"/>
      <w:lvlJc w:val="left"/>
      <w:pPr>
        <w:ind w:left="72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9056E"/>
    <w:multiLevelType w:val="hybridMultilevel"/>
    <w:tmpl w:val="1E840D02"/>
    <w:lvl w:ilvl="0" w:tplc="CAB40D4C">
      <w:start w:val="1"/>
      <w:numFmt w:val="lowerLetter"/>
      <w:lvlText w:val="(%1)"/>
      <w:lvlJc w:val="left"/>
      <w:pPr>
        <w:ind w:left="720" w:hanging="360"/>
      </w:pPr>
      <w:rPr>
        <w:rFonts w:hint="default"/>
        <w:b w:val="0"/>
      </w:rPr>
    </w:lvl>
    <w:lvl w:ilvl="1" w:tplc="FDAEC98C">
      <w:numFmt w:val="bullet"/>
      <w:lvlText w:val="-"/>
      <w:lvlJc w:val="left"/>
      <w:pPr>
        <w:ind w:left="1440" w:hanging="360"/>
      </w:pPr>
      <w:rPr>
        <w:rFonts w:ascii="Helvetica" w:eastAsia="Times New Roman"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C5BB4"/>
    <w:multiLevelType w:val="hybridMultilevel"/>
    <w:tmpl w:val="C666E510"/>
    <w:lvl w:ilvl="0" w:tplc="C2027A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13FFB"/>
    <w:multiLevelType w:val="hybridMultilevel"/>
    <w:tmpl w:val="9C866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26F6E"/>
    <w:multiLevelType w:val="hybridMultilevel"/>
    <w:tmpl w:val="5DECB95E"/>
    <w:lvl w:ilvl="0" w:tplc="01D487C0">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353AEB"/>
    <w:multiLevelType w:val="hybridMultilevel"/>
    <w:tmpl w:val="056EB5CE"/>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21297"/>
    <w:multiLevelType w:val="hybridMultilevel"/>
    <w:tmpl w:val="A03EE1A0"/>
    <w:lvl w:ilvl="0" w:tplc="CAB40D4C">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CC23BDB"/>
    <w:multiLevelType w:val="hybridMultilevel"/>
    <w:tmpl w:val="02D88B4A"/>
    <w:lvl w:ilvl="0" w:tplc="3C3C3298">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6B7FE9"/>
    <w:multiLevelType w:val="hybridMultilevel"/>
    <w:tmpl w:val="BE963A7E"/>
    <w:lvl w:ilvl="0" w:tplc="4CFCED16">
      <w:start w:val="1"/>
      <w:numFmt w:val="decimal"/>
      <w:lvlText w:val="%1."/>
      <w:lvlJc w:val="left"/>
      <w:pPr>
        <w:ind w:left="4046" w:hanging="360"/>
      </w:pPr>
      <w:rPr>
        <w:rFonts w:asciiTheme="minorHAnsi" w:eastAsia="Cambria" w:hAnsiTheme="minorHAnsi" w:cs="Cambria"/>
        <w:i w:val="0"/>
      </w:rPr>
    </w:lvl>
    <w:lvl w:ilvl="1" w:tplc="04090017">
      <w:start w:val="1"/>
      <w:numFmt w:val="lowerLetter"/>
      <w:lvlText w:val="%2)"/>
      <w:lvlJc w:val="left"/>
      <w:pPr>
        <w:ind w:left="720" w:hanging="360"/>
      </w:p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1C7511"/>
    <w:multiLevelType w:val="hybridMultilevel"/>
    <w:tmpl w:val="97FC0D42"/>
    <w:lvl w:ilvl="0" w:tplc="4CFCED16">
      <w:start w:val="1"/>
      <w:numFmt w:val="decimal"/>
      <w:lvlText w:val="%1."/>
      <w:lvlJc w:val="left"/>
      <w:pPr>
        <w:ind w:left="720" w:hanging="360"/>
      </w:pPr>
      <w:rPr>
        <w:rFonts w:asciiTheme="minorHAnsi" w:eastAsia="Cambria" w:hAnsiTheme="minorHAnsi" w:cs="Cambria"/>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21D1D"/>
    <w:multiLevelType w:val="hybridMultilevel"/>
    <w:tmpl w:val="3300142A"/>
    <w:lvl w:ilvl="0" w:tplc="C0B43E32">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DA1BC1"/>
    <w:multiLevelType w:val="hybridMultilevel"/>
    <w:tmpl w:val="EE3C1E16"/>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C011C"/>
    <w:multiLevelType w:val="hybridMultilevel"/>
    <w:tmpl w:val="973A0C68"/>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3787C"/>
    <w:multiLevelType w:val="hybridMultilevel"/>
    <w:tmpl w:val="FFC83B80"/>
    <w:lvl w:ilvl="0" w:tplc="CAB40D4C">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0D2F4A"/>
    <w:multiLevelType w:val="hybridMultilevel"/>
    <w:tmpl w:val="AF583C80"/>
    <w:lvl w:ilvl="0" w:tplc="04090001">
      <w:start w:val="1"/>
      <w:numFmt w:val="bullet"/>
      <w:lvlText w:val=""/>
      <w:lvlJc w:val="left"/>
      <w:pPr>
        <w:ind w:left="720" w:hanging="360"/>
      </w:pPr>
      <w:rPr>
        <w:rFonts w:ascii="Symbol" w:hAnsi="Symbol" w:hint="default"/>
      </w:rPr>
    </w:lvl>
    <w:lvl w:ilvl="1" w:tplc="D7348720">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05D15"/>
    <w:multiLevelType w:val="hybridMultilevel"/>
    <w:tmpl w:val="890E5542"/>
    <w:lvl w:ilvl="0" w:tplc="A06860FE">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DD011C"/>
    <w:multiLevelType w:val="hybridMultilevel"/>
    <w:tmpl w:val="6AB8AEFE"/>
    <w:lvl w:ilvl="0" w:tplc="4F88943E">
      <w:start w:val="1"/>
      <w:numFmt w:val="decimal"/>
      <w:lvlText w:val="(%1)"/>
      <w:lvlJc w:val="left"/>
      <w:pPr>
        <w:ind w:left="686" w:hanging="567"/>
      </w:pPr>
      <w:rPr>
        <w:rFonts w:ascii="Times New Roman" w:eastAsia="Times New Roman" w:hAnsi="Times New Roman" w:hint="default"/>
        <w:w w:val="100"/>
        <w:sz w:val="22"/>
        <w:szCs w:val="22"/>
      </w:rPr>
    </w:lvl>
    <w:lvl w:ilvl="1" w:tplc="04090017">
      <w:start w:val="1"/>
      <w:numFmt w:val="lowerLetter"/>
      <w:lvlText w:val="%2)"/>
      <w:lvlJc w:val="left"/>
      <w:pPr>
        <w:ind w:left="1046" w:hanging="360"/>
      </w:pPr>
      <w:rPr>
        <w:rFonts w:hint="default"/>
        <w:w w:val="100"/>
        <w:sz w:val="22"/>
        <w:szCs w:val="22"/>
      </w:rPr>
    </w:lvl>
    <w:lvl w:ilvl="2" w:tplc="86F4E296">
      <w:start w:val="1"/>
      <w:numFmt w:val="bullet"/>
      <w:lvlText w:val="•"/>
      <w:lvlJc w:val="left"/>
      <w:pPr>
        <w:ind w:left="2184" w:hanging="567"/>
      </w:pPr>
      <w:rPr>
        <w:rFonts w:hint="default"/>
      </w:rPr>
    </w:lvl>
    <w:lvl w:ilvl="3" w:tplc="27CE5E62">
      <w:start w:val="1"/>
      <w:numFmt w:val="bullet"/>
      <w:lvlText w:val="•"/>
      <w:lvlJc w:val="left"/>
      <w:pPr>
        <w:ind w:left="3108" w:hanging="567"/>
      </w:pPr>
      <w:rPr>
        <w:rFonts w:hint="default"/>
      </w:rPr>
    </w:lvl>
    <w:lvl w:ilvl="4" w:tplc="380EC6BE">
      <w:start w:val="1"/>
      <w:numFmt w:val="bullet"/>
      <w:lvlText w:val="•"/>
      <w:lvlJc w:val="left"/>
      <w:pPr>
        <w:ind w:left="4033" w:hanging="567"/>
      </w:pPr>
      <w:rPr>
        <w:rFonts w:hint="default"/>
      </w:rPr>
    </w:lvl>
    <w:lvl w:ilvl="5" w:tplc="EDDEF3BE">
      <w:start w:val="1"/>
      <w:numFmt w:val="bullet"/>
      <w:lvlText w:val="•"/>
      <w:lvlJc w:val="left"/>
      <w:pPr>
        <w:ind w:left="4957" w:hanging="567"/>
      </w:pPr>
      <w:rPr>
        <w:rFonts w:hint="default"/>
      </w:rPr>
    </w:lvl>
    <w:lvl w:ilvl="6" w:tplc="75FE0EE4">
      <w:start w:val="1"/>
      <w:numFmt w:val="bullet"/>
      <w:lvlText w:val="•"/>
      <w:lvlJc w:val="left"/>
      <w:pPr>
        <w:ind w:left="5882" w:hanging="567"/>
      </w:pPr>
      <w:rPr>
        <w:rFonts w:hint="default"/>
      </w:rPr>
    </w:lvl>
    <w:lvl w:ilvl="7" w:tplc="A7F284D6">
      <w:start w:val="1"/>
      <w:numFmt w:val="bullet"/>
      <w:lvlText w:val="•"/>
      <w:lvlJc w:val="left"/>
      <w:pPr>
        <w:ind w:left="6806" w:hanging="567"/>
      </w:pPr>
      <w:rPr>
        <w:rFonts w:hint="default"/>
      </w:rPr>
    </w:lvl>
    <w:lvl w:ilvl="8" w:tplc="70981466">
      <w:start w:val="1"/>
      <w:numFmt w:val="bullet"/>
      <w:lvlText w:val="•"/>
      <w:lvlJc w:val="left"/>
      <w:pPr>
        <w:ind w:left="7731" w:hanging="567"/>
      </w:pPr>
      <w:rPr>
        <w:rFonts w:hint="default"/>
      </w:rPr>
    </w:lvl>
  </w:abstractNum>
  <w:abstractNum w:abstractNumId="30" w15:restartNumberingAfterBreak="0">
    <w:nsid w:val="55405303"/>
    <w:multiLevelType w:val="hybridMultilevel"/>
    <w:tmpl w:val="BEF45108"/>
    <w:lvl w:ilvl="0" w:tplc="3C3C3298">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CE1D84"/>
    <w:multiLevelType w:val="hybridMultilevel"/>
    <w:tmpl w:val="113C7896"/>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1487E"/>
    <w:multiLevelType w:val="hybridMultilevel"/>
    <w:tmpl w:val="B922C0D6"/>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279A2"/>
    <w:multiLevelType w:val="hybridMultilevel"/>
    <w:tmpl w:val="8B72233C"/>
    <w:lvl w:ilvl="0" w:tplc="0409001B">
      <w:start w:val="1"/>
      <w:numFmt w:val="lowerRoman"/>
      <w:lvlText w:val="%1."/>
      <w:lvlJc w:val="right"/>
      <w:pPr>
        <w:ind w:left="1069"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1329CF"/>
    <w:multiLevelType w:val="hybridMultilevel"/>
    <w:tmpl w:val="2FB49314"/>
    <w:lvl w:ilvl="0" w:tplc="E7F2ECDE">
      <w:start w:val="1"/>
      <w:numFmt w:val="bullet"/>
      <w:lvlText w:val=""/>
      <w:lvlJc w:val="left"/>
      <w:pPr>
        <w:ind w:left="840" w:hanging="360"/>
      </w:pPr>
      <w:rPr>
        <w:rFonts w:ascii="Symbol" w:eastAsia="Symbol" w:hAnsi="Symbol" w:hint="default"/>
        <w:w w:val="100"/>
        <w:sz w:val="22"/>
        <w:szCs w:val="22"/>
      </w:rPr>
    </w:lvl>
    <w:lvl w:ilvl="1" w:tplc="A26214CE">
      <w:start w:val="1"/>
      <w:numFmt w:val="bullet"/>
      <w:lvlText w:val="•"/>
      <w:lvlJc w:val="left"/>
      <w:pPr>
        <w:ind w:left="1704" w:hanging="360"/>
      </w:pPr>
      <w:rPr>
        <w:rFonts w:hint="default"/>
      </w:rPr>
    </w:lvl>
    <w:lvl w:ilvl="2" w:tplc="787CA720">
      <w:start w:val="1"/>
      <w:numFmt w:val="bullet"/>
      <w:lvlText w:val="•"/>
      <w:lvlJc w:val="left"/>
      <w:pPr>
        <w:ind w:left="2568" w:hanging="360"/>
      </w:pPr>
      <w:rPr>
        <w:rFonts w:hint="default"/>
      </w:rPr>
    </w:lvl>
    <w:lvl w:ilvl="3" w:tplc="175440E6">
      <w:start w:val="1"/>
      <w:numFmt w:val="bullet"/>
      <w:lvlText w:val="•"/>
      <w:lvlJc w:val="left"/>
      <w:pPr>
        <w:ind w:left="3432" w:hanging="360"/>
      </w:pPr>
      <w:rPr>
        <w:rFonts w:hint="default"/>
      </w:rPr>
    </w:lvl>
    <w:lvl w:ilvl="4" w:tplc="112E5A72">
      <w:start w:val="1"/>
      <w:numFmt w:val="bullet"/>
      <w:lvlText w:val="•"/>
      <w:lvlJc w:val="left"/>
      <w:pPr>
        <w:ind w:left="4296" w:hanging="360"/>
      </w:pPr>
      <w:rPr>
        <w:rFonts w:hint="default"/>
      </w:rPr>
    </w:lvl>
    <w:lvl w:ilvl="5" w:tplc="216A537A">
      <w:start w:val="1"/>
      <w:numFmt w:val="bullet"/>
      <w:lvlText w:val="•"/>
      <w:lvlJc w:val="left"/>
      <w:pPr>
        <w:ind w:left="5160" w:hanging="360"/>
      </w:pPr>
      <w:rPr>
        <w:rFonts w:hint="default"/>
      </w:rPr>
    </w:lvl>
    <w:lvl w:ilvl="6" w:tplc="C3ECB910">
      <w:start w:val="1"/>
      <w:numFmt w:val="bullet"/>
      <w:lvlText w:val="•"/>
      <w:lvlJc w:val="left"/>
      <w:pPr>
        <w:ind w:left="6024" w:hanging="360"/>
      </w:pPr>
      <w:rPr>
        <w:rFonts w:hint="default"/>
      </w:rPr>
    </w:lvl>
    <w:lvl w:ilvl="7" w:tplc="3F90E59C">
      <w:start w:val="1"/>
      <w:numFmt w:val="bullet"/>
      <w:lvlText w:val="•"/>
      <w:lvlJc w:val="left"/>
      <w:pPr>
        <w:ind w:left="6888" w:hanging="360"/>
      </w:pPr>
      <w:rPr>
        <w:rFonts w:hint="default"/>
      </w:rPr>
    </w:lvl>
    <w:lvl w:ilvl="8" w:tplc="4A586240">
      <w:start w:val="1"/>
      <w:numFmt w:val="bullet"/>
      <w:lvlText w:val="•"/>
      <w:lvlJc w:val="left"/>
      <w:pPr>
        <w:ind w:left="7752" w:hanging="360"/>
      </w:pPr>
      <w:rPr>
        <w:rFonts w:hint="default"/>
      </w:rPr>
    </w:lvl>
  </w:abstractNum>
  <w:abstractNum w:abstractNumId="35" w15:restartNumberingAfterBreak="0">
    <w:nsid w:val="5EA766F0"/>
    <w:multiLevelType w:val="multilevel"/>
    <w:tmpl w:val="C1D6B5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6" w15:restartNumberingAfterBreak="0">
    <w:nsid w:val="60EE42AF"/>
    <w:multiLevelType w:val="hybridMultilevel"/>
    <w:tmpl w:val="F8F0AA56"/>
    <w:lvl w:ilvl="0" w:tplc="C2027A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7A6BB4"/>
    <w:multiLevelType w:val="hybridMultilevel"/>
    <w:tmpl w:val="9550B0D6"/>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6F1C10AC">
      <w:start w:val="1"/>
      <w:numFmt w:val="lowerLetter"/>
      <w:lvlText w:val="(%2)"/>
      <w:lvlJc w:val="left"/>
      <w:pPr>
        <w:ind w:left="1440" w:hanging="360"/>
      </w:pPr>
      <w:rPr>
        <w:rFonts w:hint="default"/>
        <w:b w:val="0"/>
        <w:sz w:val="22"/>
        <w:szCs w:val="22"/>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259"/>
    <w:multiLevelType w:val="hybridMultilevel"/>
    <w:tmpl w:val="5D643900"/>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04090019">
      <w:start w:val="1"/>
      <w:numFmt w:val="lowerLetter"/>
      <w:lvlText w:val="%2."/>
      <w:lvlJc w:val="left"/>
      <w:pPr>
        <w:ind w:left="1440" w:hanging="360"/>
      </w:p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23244"/>
    <w:multiLevelType w:val="multilevel"/>
    <w:tmpl w:val="5AFE4042"/>
    <w:lvl w:ilvl="0">
      <w:start w:val="43"/>
      <w:numFmt w:val="decimal"/>
      <w:lvlText w:val="%1."/>
      <w:lvlJc w:val="left"/>
      <w:pPr>
        <w:tabs>
          <w:tab w:val="num" w:pos="502"/>
        </w:tabs>
        <w:ind w:left="142" w:firstLine="0"/>
      </w:pPr>
      <w:rPr>
        <w:rFonts w:ascii="Times New Roman" w:hAnsi="Times New Roman" w:hint="default"/>
        <w:b w:val="0"/>
        <w:i w:val="0"/>
        <w:sz w:val="22"/>
      </w:rPr>
    </w:lvl>
    <w:lvl w:ilvl="1">
      <w:start w:val="11"/>
      <w:numFmt w:val="decimal"/>
      <w:lvlText w:val="%2."/>
      <w:lvlJc w:val="left"/>
      <w:pPr>
        <w:tabs>
          <w:tab w:val="num" w:pos="1620"/>
        </w:tabs>
        <w:ind w:left="540" w:firstLine="720"/>
      </w:pPr>
      <w:rPr>
        <w:rFonts w:hint="default"/>
        <w:b w:val="0"/>
        <w:i w:val="0"/>
      </w:rPr>
    </w:lvl>
    <w:lvl w:ilvl="2">
      <w:start w:val="1"/>
      <w:numFmt w:val="lowerRoman"/>
      <w:pStyle w:val="Para3"/>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0" w15:restartNumberingAfterBreak="0">
    <w:nsid w:val="6EE76DBC"/>
    <w:multiLevelType w:val="hybridMultilevel"/>
    <w:tmpl w:val="4B64A728"/>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E4057"/>
    <w:multiLevelType w:val="hybridMultilevel"/>
    <w:tmpl w:val="5C84C240"/>
    <w:lvl w:ilvl="0" w:tplc="4CFCED16">
      <w:start w:val="1"/>
      <w:numFmt w:val="decimal"/>
      <w:lvlText w:val="%1."/>
      <w:lvlJc w:val="left"/>
      <w:pPr>
        <w:ind w:left="4046" w:hanging="360"/>
      </w:pPr>
      <w:rPr>
        <w:rFonts w:asciiTheme="minorHAnsi" w:eastAsia="Cambria" w:hAnsiTheme="minorHAnsi" w:cs="Cambria"/>
        <w:i w:val="0"/>
      </w:rPr>
    </w:lvl>
    <w:lvl w:ilvl="1" w:tplc="ADF41628">
      <w:start w:val="1"/>
      <w:numFmt w:val="lowerRoman"/>
      <w:lvlText w:val="(%2)"/>
      <w:lvlJc w:val="left"/>
      <w:pPr>
        <w:ind w:left="1440" w:hanging="360"/>
      </w:pPr>
      <w:rPr>
        <w:rFonts w:hint="default"/>
        <w:i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01191"/>
    <w:multiLevelType w:val="hybridMultilevel"/>
    <w:tmpl w:val="12E8CD4A"/>
    <w:lvl w:ilvl="0" w:tplc="7CE8464A">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2914CE"/>
    <w:multiLevelType w:val="hybridMultilevel"/>
    <w:tmpl w:val="D0FE2128"/>
    <w:lvl w:ilvl="0" w:tplc="A1360C3E">
      <w:start w:val="1"/>
      <w:numFmt w:val="upperRoman"/>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A24DE8"/>
    <w:multiLevelType w:val="hybridMultilevel"/>
    <w:tmpl w:val="FC84E34A"/>
    <w:lvl w:ilvl="0" w:tplc="3CCEFA4E">
      <w:start w:val="1"/>
      <w:numFmt w:val="decimal"/>
      <w:lvlText w:val="%1."/>
      <w:lvlJc w:val="left"/>
      <w:pPr>
        <w:ind w:left="4046" w:hanging="360"/>
      </w:pPr>
      <w:rPr>
        <w:rFonts w:ascii="Times New Roman" w:eastAsia="Cambria" w:hAnsi="Times New Roman" w:cs="Times New Roman" w:hint="default"/>
        <w:b w:val="0"/>
        <w:i w:val="0"/>
        <w:sz w:val="22"/>
        <w:szCs w:val="22"/>
      </w:rPr>
    </w:lvl>
    <w:lvl w:ilvl="1" w:tplc="CAB40D4C">
      <w:start w:val="1"/>
      <w:numFmt w:val="lowerLetter"/>
      <w:lvlText w:val="(%2)"/>
      <w:lvlJc w:val="left"/>
      <w:pPr>
        <w:ind w:left="1440" w:hanging="360"/>
      </w:pPr>
      <w:rPr>
        <w:rFonts w:hint="default"/>
        <w:b w:val="0"/>
      </w:rPr>
    </w:lvl>
    <w:lvl w:ilvl="2" w:tplc="950432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5"/>
  </w:num>
  <w:num w:numId="3">
    <w:abstractNumId w:val="38"/>
  </w:num>
  <w:num w:numId="4">
    <w:abstractNumId w:val="27"/>
  </w:num>
  <w:num w:numId="5">
    <w:abstractNumId w:val="9"/>
  </w:num>
  <w:num w:numId="6">
    <w:abstractNumId w:val="3"/>
  </w:num>
  <w:num w:numId="7">
    <w:abstractNumId w:val="0"/>
  </w:num>
  <w:num w:numId="8">
    <w:abstractNumId w:val="33"/>
  </w:num>
  <w:num w:numId="9">
    <w:abstractNumId w:val="39"/>
  </w:num>
  <w:num w:numId="10">
    <w:abstractNumId w:val="28"/>
  </w:num>
  <w:num w:numId="11">
    <w:abstractNumId w:val="30"/>
  </w:num>
  <w:num w:numId="12">
    <w:abstractNumId w:val="20"/>
  </w:num>
  <w:num w:numId="13">
    <w:abstractNumId w:val="42"/>
  </w:num>
  <w:num w:numId="14">
    <w:abstractNumId w:val="5"/>
  </w:num>
  <w:num w:numId="15">
    <w:abstractNumId w:val="17"/>
  </w:num>
  <w:num w:numId="16">
    <w:abstractNumId w:val="23"/>
  </w:num>
  <w:num w:numId="17">
    <w:abstractNumId w:val="43"/>
  </w:num>
  <w:num w:numId="18">
    <w:abstractNumId w:val="41"/>
  </w:num>
  <w:num w:numId="19">
    <w:abstractNumId w:val="15"/>
  </w:num>
  <w:num w:numId="20">
    <w:abstractNumId w:val="10"/>
  </w:num>
  <w:num w:numId="21">
    <w:abstractNumId w:val="36"/>
  </w:num>
  <w:num w:numId="22">
    <w:abstractNumId w:val="22"/>
  </w:num>
  <w:num w:numId="23">
    <w:abstractNumId w:val="16"/>
  </w:num>
  <w:num w:numId="24">
    <w:abstractNumId w:val="34"/>
  </w:num>
  <w:num w:numId="25">
    <w:abstractNumId w:val="29"/>
  </w:num>
  <w:num w:numId="26">
    <w:abstractNumId w:val="21"/>
  </w:num>
  <w:num w:numId="27">
    <w:abstractNumId w:val="14"/>
  </w:num>
  <w:num w:numId="28">
    <w:abstractNumId w:val="26"/>
  </w:num>
  <w:num w:numId="29">
    <w:abstractNumId w:val="1"/>
  </w:num>
  <w:num w:numId="30">
    <w:abstractNumId w:val="8"/>
  </w:num>
  <w:num w:numId="31">
    <w:abstractNumId w:val="31"/>
  </w:num>
  <w:num w:numId="32">
    <w:abstractNumId w:val="2"/>
  </w:num>
  <w:num w:numId="33">
    <w:abstractNumId w:val="44"/>
  </w:num>
  <w:num w:numId="34">
    <w:abstractNumId w:val="11"/>
  </w:num>
  <w:num w:numId="35">
    <w:abstractNumId w:val="13"/>
  </w:num>
  <w:num w:numId="36">
    <w:abstractNumId w:val="37"/>
  </w:num>
  <w:num w:numId="37">
    <w:abstractNumId w:val="24"/>
  </w:num>
  <w:num w:numId="38">
    <w:abstractNumId w:val="32"/>
  </w:num>
  <w:num w:numId="39">
    <w:abstractNumId w:val="19"/>
  </w:num>
  <w:num w:numId="40">
    <w:abstractNumId w:val="12"/>
  </w:num>
  <w:num w:numId="41">
    <w:abstractNumId w:val="4"/>
  </w:num>
  <w:num w:numId="42">
    <w:abstractNumId w:val="18"/>
  </w:num>
  <w:num w:numId="43">
    <w:abstractNumId w:val="40"/>
  </w:num>
  <w:num w:numId="44">
    <w:abstractNumId w:val="6"/>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B3"/>
    <w:rsid w:val="000003B3"/>
    <w:rsid w:val="00004246"/>
    <w:rsid w:val="00005D27"/>
    <w:rsid w:val="00006AEE"/>
    <w:rsid w:val="00015683"/>
    <w:rsid w:val="0002143A"/>
    <w:rsid w:val="00022A45"/>
    <w:rsid w:val="00023F86"/>
    <w:rsid w:val="0002556C"/>
    <w:rsid w:val="0004176E"/>
    <w:rsid w:val="0004331C"/>
    <w:rsid w:val="00043A8E"/>
    <w:rsid w:val="000447CC"/>
    <w:rsid w:val="00045170"/>
    <w:rsid w:val="00053A57"/>
    <w:rsid w:val="00065FAB"/>
    <w:rsid w:val="00072C68"/>
    <w:rsid w:val="00076532"/>
    <w:rsid w:val="00085C3D"/>
    <w:rsid w:val="00090EF7"/>
    <w:rsid w:val="00091BFE"/>
    <w:rsid w:val="00092A0F"/>
    <w:rsid w:val="00097648"/>
    <w:rsid w:val="000A0257"/>
    <w:rsid w:val="000A61C0"/>
    <w:rsid w:val="000A6342"/>
    <w:rsid w:val="000B003A"/>
    <w:rsid w:val="000B0A57"/>
    <w:rsid w:val="000B451D"/>
    <w:rsid w:val="000B629E"/>
    <w:rsid w:val="000C0B99"/>
    <w:rsid w:val="000C2677"/>
    <w:rsid w:val="000C6EB0"/>
    <w:rsid w:val="000C7E41"/>
    <w:rsid w:val="000D04EA"/>
    <w:rsid w:val="000D140F"/>
    <w:rsid w:val="000D5A4F"/>
    <w:rsid w:val="000E0DE6"/>
    <w:rsid w:val="000F3C95"/>
    <w:rsid w:val="000F47FA"/>
    <w:rsid w:val="00101B07"/>
    <w:rsid w:val="00104B29"/>
    <w:rsid w:val="001107C8"/>
    <w:rsid w:val="001116A5"/>
    <w:rsid w:val="0012620E"/>
    <w:rsid w:val="0013159D"/>
    <w:rsid w:val="001402F0"/>
    <w:rsid w:val="00140A70"/>
    <w:rsid w:val="0014508C"/>
    <w:rsid w:val="001479AB"/>
    <w:rsid w:val="00170483"/>
    <w:rsid w:val="00171C9B"/>
    <w:rsid w:val="00173E75"/>
    <w:rsid w:val="0018137D"/>
    <w:rsid w:val="00191F62"/>
    <w:rsid w:val="00192AFB"/>
    <w:rsid w:val="00194781"/>
    <w:rsid w:val="001959B1"/>
    <w:rsid w:val="001A62AC"/>
    <w:rsid w:val="001C2AC1"/>
    <w:rsid w:val="001C2F4C"/>
    <w:rsid w:val="001C4D10"/>
    <w:rsid w:val="001C7C05"/>
    <w:rsid w:val="001D335B"/>
    <w:rsid w:val="001D5050"/>
    <w:rsid w:val="001D6FD2"/>
    <w:rsid w:val="001E5958"/>
    <w:rsid w:val="001E7CB1"/>
    <w:rsid w:val="001F0D6E"/>
    <w:rsid w:val="001F34ED"/>
    <w:rsid w:val="00206C27"/>
    <w:rsid w:val="002134D7"/>
    <w:rsid w:val="00213C5E"/>
    <w:rsid w:val="0022153F"/>
    <w:rsid w:val="0022357D"/>
    <w:rsid w:val="002241DB"/>
    <w:rsid w:val="00225041"/>
    <w:rsid w:val="00241FF7"/>
    <w:rsid w:val="00247251"/>
    <w:rsid w:val="00251829"/>
    <w:rsid w:val="0025285F"/>
    <w:rsid w:val="00254955"/>
    <w:rsid w:val="002554E9"/>
    <w:rsid w:val="00261204"/>
    <w:rsid w:val="0027636F"/>
    <w:rsid w:val="0027698D"/>
    <w:rsid w:val="002936BF"/>
    <w:rsid w:val="002B1E62"/>
    <w:rsid w:val="002B3C88"/>
    <w:rsid w:val="002C067C"/>
    <w:rsid w:val="002C504E"/>
    <w:rsid w:val="002D211B"/>
    <w:rsid w:val="002D2DA2"/>
    <w:rsid w:val="002E30D6"/>
    <w:rsid w:val="00300584"/>
    <w:rsid w:val="0030328C"/>
    <w:rsid w:val="00303947"/>
    <w:rsid w:val="003073CC"/>
    <w:rsid w:val="003151F5"/>
    <w:rsid w:val="00315E3C"/>
    <w:rsid w:val="003223B2"/>
    <w:rsid w:val="003363E2"/>
    <w:rsid w:val="00351CDF"/>
    <w:rsid w:val="00354070"/>
    <w:rsid w:val="003541F2"/>
    <w:rsid w:val="00355C53"/>
    <w:rsid w:val="00367081"/>
    <w:rsid w:val="003679BF"/>
    <w:rsid w:val="003739E8"/>
    <w:rsid w:val="00375186"/>
    <w:rsid w:val="00375720"/>
    <w:rsid w:val="003866DB"/>
    <w:rsid w:val="00386863"/>
    <w:rsid w:val="003932DF"/>
    <w:rsid w:val="00395A1E"/>
    <w:rsid w:val="003A164A"/>
    <w:rsid w:val="003A4B93"/>
    <w:rsid w:val="003B5526"/>
    <w:rsid w:val="003C0C3F"/>
    <w:rsid w:val="003D4B50"/>
    <w:rsid w:val="003E50BE"/>
    <w:rsid w:val="003E5B9E"/>
    <w:rsid w:val="003F01E5"/>
    <w:rsid w:val="003F6673"/>
    <w:rsid w:val="00401B0D"/>
    <w:rsid w:val="00407D18"/>
    <w:rsid w:val="0041335A"/>
    <w:rsid w:val="00421504"/>
    <w:rsid w:val="00421624"/>
    <w:rsid w:val="00421DD3"/>
    <w:rsid w:val="004350D5"/>
    <w:rsid w:val="00435901"/>
    <w:rsid w:val="004360F2"/>
    <w:rsid w:val="004366AB"/>
    <w:rsid w:val="00442A9A"/>
    <w:rsid w:val="00452B99"/>
    <w:rsid w:val="00463756"/>
    <w:rsid w:val="00471447"/>
    <w:rsid w:val="0047238A"/>
    <w:rsid w:val="00477AC4"/>
    <w:rsid w:val="004806DB"/>
    <w:rsid w:val="00482070"/>
    <w:rsid w:val="00485D35"/>
    <w:rsid w:val="00495695"/>
    <w:rsid w:val="004A2908"/>
    <w:rsid w:val="004A7F87"/>
    <w:rsid w:val="004B16EA"/>
    <w:rsid w:val="004B783E"/>
    <w:rsid w:val="004C24F4"/>
    <w:rsid w:val="004C4C53"/>
    <w:rsid w:val="004C6EA3"/>
    <w:rsid w:val="004D57ED"/>
    <w:rsid w:val="004D633F"/>
    <w:rsid w:val="004F7446"/>
    <w:rsid w:val="00505EC9"/>
    <w:rsid w:val="00513230"/>
    <w:rsid w:val="00517730"/>
    <w:rsid w:val="00521114"/>
    <w:rsid w:val="00522A17"/>
    <w:rsid w:val="005268C3"/>
    <w:rsid w:val="00527ED6"/>
    <w:rsid w:val="005317FD"/>
    <w:rsid w:val="0055557B"/>
    <w:rsid w:val="00561D0E"/>
    <w:rsid w:val="00570FC6"/>
    <w:rsid w:val="00576F9F"/>
    <w:rsid w:val="005773EA"/>
    <w:rsid w:val="00584CFA"/>
    <w:rsid w:val="00594BBF"/>
    <w:rsid w:val="005A4D9F"/>
    <w:rsid w:val="005C50AC"/>
    <w:rsid w:val="005C5F52"/>
    <w:rsid w:val="005E5A59"/>
    <w:rsid w:val="005E67D0"/>
    <w:rsid w:val="005F058C"/>
    <w:rsid w:val="00600457"/>
    <w:rsid w:val="00601FBB"/>
    <w:rsid w:val="00611834"/>
    <w:rsid w:val="0061487C"/>
    <w:rsid w:val="006228D3"/>
    <w:rsid w:val="00627A15"/>
    <w:rsid w:val="00631A80"/>
    <w:rsid w:val="006334AC"/>
    <w:rsid w:val="00634ECF"/>
    <w:rsid w:val="00637A69"/>
    <w:rsid w:val="00645F63"/>
    <w:rsid w:val="006474CD"/>
    <w:rsid w:val="006520D0"/>
    <w:rsid w:val="00653F2D"/>
    <w:rsid w:val="006540BA"/>
    <w:rsid w:val="006552F7"/>
    <w:rsid w:val="00655335"/>
    <w:rsid w:val="006662DF"/>
    <w:rsid w:val="00667859"/>
    <w:rsid w:val="00671726"/>
    <w:rsid w:val="00675A33"/>
    <w:rsid w:val="00680548"/>
    <w:rsid w:val="006825EF"/>
    <w:rsid w:val="006829CC"/>
    <w:rsid w:val="00694C5C"/>
    <w:rsid w:val="006B24E7"/>
    <w:rsid w:val="006B6881"/>
    <w:rsid w:val="006B75D5"/>
    <w:rsid w:val="006C149A"/>
    <w:rsid w:val="006D24A1"/>
    <w:rsid w:val="006D2F03"/>
    <w:rsid w:val="006D311A"/>
    <w:rsid w:val="006D7CDA"/>
    <w:rsid w:val="006E676D"/>
    <w:rsid w:val="006F0D9B"/>
    <w:rsid w:val="006F16E9"/>
    <w:rsid w:val="00701B85"/>
    <w:rsid w:val="00706D49"/>
    <w:rsid w:val="00706E2D"/>
    <w:rsid w:val="00713B0B"/>
    <w:rsid w:val="00715E72"/>
    <w:rsid w:val="0072149E"/>
    <w:rsid w:val="00730379"/>
    <w:rsid w:val="00730DEC"/>
    <w:rsid w:val="007524B5"/>
    <w:rsid w:val="007535C3"/>
    <w:rsid w:val="00753859"/>
    <w:rsid w:val="007634C8"/>
    <w:rsid w:val="007663CF"/>
    <w:rsid w:val="007721C7"/>
    <w:rsid w:val="007744F4"/>
    <w:rsid w:val="00774A60"/>
    <w:rsid w:val="00777915"/>
    <w:rsid w:val="00786BD4"/>
    <w:rsid w:val="007870CB"/>
    <w:rsid w:val="00787451"/>
    <w:rsid w:val="00787600"/>
    <w:rsid w:val="007A39DB"/>
    <w:rsid w:val="007B7110"/>
    <w:rsid w:val="007D2E5D"/>
    <w:rsid w:val="007D714D"/>
    <w:rsid w:val="007E318A"/>
    <w:rsid w:val="007E5DAB"/>
    <w:rsid w:val="007E72A5"/>
    <w:rsid w:val="007F4DB1"/>
    <w:rsid w:val="007F5487"/>
    <w:rsid w:val="008066A3"/>
    <w:rsid w:val="0081094D"/>
    <w:rsid w:val="00825766"/>
    <w:rsid w:val="0084548B"/>
    <w:rsid w:val="00850A2B"/>
    <w:rsid w:val="0086400C"/>
    <w:rsid w:val="0087466A"/>
    <w:rsid w:val="00890DC8"/>
    <w:rsid w:val="008917BB"/>
    <w:rsid w:val="008928E2"/>
    <w:rsid w:val="008B683C"/>
    <w:rsid w:val="008B7577"/>
    <w:rsid w:val="008C0493"/>
    <w:rsid w:val="008C21A9"/>
    <w:rsid w:val="008C3F9E"/>
    <w:rsid w:val="008C4BD3"/>
    <w:rsid w:val="008D002A"/>
    <w:rsid w:val="008D3BCB"/>
    <w:rsid w:val="008D57D7"/>
    <w:rsid w:val="008D6182"/>
    <w:rsid w:val="008E31AD"/>
    <w:rsid w:val="008E37A2"/>
    <w:rsid w:val="008F078B"/>
    <w:rsid w:val="008F2778"/>
    <w:rsid w:val="008F460B"/>
    <w:rsid w:val="008F59A6"/>
    <w:rsid w:val="008F7E7F"/>
    <w:rsid w:val="00916DAA"/>
    <w:rsid w:val="00922D37"/>
    <w:rsid w:val="0092688B"/>
    <w:rsid w:val="00942FBB"/>
    <w:rsid w:val="00957DC7"/>
    <w:rsid w:val="009957F4"/>
    <w:rsid w:val="0099786C"/>
    <w:rsid w:val="009A4F45"/>
    <w:rsid w:val="009A7195"/>
    <w:rsid w:val="009A77AA"/>
    <w:rsid w:val="009A79D3"/>
    <w:rsid w:val="009B04CA"/>
    <w:rsid w:val="009B1AC6"/>
    <w:rsid w:val="009B58D6"/>
    <w:rsid w:val="009E2F95"/>
    <w:rsid w:val="009E529F"/>
    <w:rsid w:val="009F0DD5"/>
    <w:rsid w:val="009F1447"/>
    <w:rsid w:val="00A02A82"/>
    <w:rsid w:val="00A058B1"/>
    <w:rsid w:val="00A13637"/>
    <w:rsid w:val="00A163E4"/>
    <w:rsid w:val="00A20A93"/>
    <w:rsid w:val="00A212CB"/>
    <w:rsid w:val="00A24157"/>
    <w:rsid w:val="00A27CF8"/>
    <w:rsid w:val="00A30FC1"/>
    <w:rsid w:val="00A32BED"/>
    <w:rsid w:val="00A348A7"/>
    <w:rsid w:val="00A362AD"/>
    <w:rsid w:val="00A428DB"/>
    <w:rsid w:val="00A50F56"/>
    <w:rsid w:val="00A53CF5"/>
    <w:rsid w:val="00A7043A"/>
    <w:rsid w:val="00A73E00"/>
    <w:rsid w:val="00A74BDE"/>
    <w:rsid w:val="00A756F3"/>
    <w:rsid w:val="00A81CFC"/>
    <w:rsid w:val="00A862D7"/>
    <w:rsid w:val="00A91F21"/>
    <w:rsid w:val="00A92669"/>
    <w:rsid w:val="00AA451A"/>
    <w:rsid w:val="00AA6360"/>
    <w:rsid w:val="00AB60E5"/>
    <w:rsid w:val="00AC3810"/>
    <w:rsid w:val="00AD08A5"/>
    <w:rsid w:val="00AD3490"/>
    <w:rsid w:val="00AE0E6C"/>
    <w:rsid w:val="00AE29C1"/>
    <w:rsid w:val="00AF18A9"/>
    <w:rsid w:val="00AF5D7B"/>
    <w:rsid w:val="00AF723C"/>
    <w:rsid w:val="00B011AA"/>
    <w:rsid w:val="00B04861"/>
    <w:rsid w:val="00B0542D"/>
    <w:rsid w:val="00B32B15"/>
    <w:rsid w:val="00B3641F"/>
    <w:rsid w:val="00B36779"/>
    <w:rsid w:val="00B66CF0"/>
    <w:rsid w:val="00B71DBA"/>
    <w:rsid w:val="00B77E3E"/>
    <w:rsid w:val="00B83AF3"/>
    <w:rsid w:val="00B8471D"/>
    <w:rsid w:val="00B878F6"/>
    <w:rsid w:val="00B909AF"/>
    <w:rsid w:val="00B97E7D"/>
    <w:rsid w:val="00BA16A1"/>
    <w:rsid w:val="00BA21F9"/>
    <w:rsid w:val="00BA6721"/>
    <w:rsid w:val="00BC1CC7"/>
    <w:rsid w:val="00BC7676"/>
    <w:rsid w:val="00BD7934"/>
    <w:rsid w:val="00BF4E4E"/>
    <w:rsid w:val="00C00156"/>
    <w:rsid w:val="00C01AA8"/>
    <w:rsid w:val="00C04B54"/>
    <w:rsid w:val="00C067E6"/>
    <w:rsid w:val="00C10135"/>
    <w:rsid w:val="00C11905"/>
    <w:rsid w:val="00C13531"/>
    <w:rsid w:val="00C1671D"/>
    <w:rsid w:val="00C21F40"/>
    <w:rsid w:val="00C31718"/>
    <w:rsid w:val="00C322CD"/>
    <w:rsid w:val="00C32696"/>
    <w:rsid w:val="00C356D8"/>
    <w:rsid w:val="00C35D45"/>
    <w:rsid w:val="00C35FF3"/>
    <w:rsid w:val="00C36CAA"/>
    <w:rsid w:val="00C43F7D"/>
    <w:rsid w:val="00C47DE3"/>
    <w:rsid w:val="00C77C0F"/>
    <w:rsid w:val="00C8093B"/>
    <w:rsid w:val="00C827FA"/>
    <w:rsid w:val="00C83B6B"/>
    <w:rsid w:val="00C83F6E"/>
    <w:rsid w:val="00C951BE"/>
    <w:rsid w:val="00C974C2"/>
    <w:rsid w:val="00CA04FC"/>
    <w:rsid w:val="00CA335C"/>
    <w:rsid w:val="00CA3B8C"/>
    <w:rsid w:val="00CB2EDD"/>
    <w:rsid w:val="00CB3BA5"/>
    <w:rsid w:val="00CB3CB8"/>
    <w:rsid w:val="00CC58B6"/>
    <w:rsid w:val="00CC7CF9"/>
    <w:rsid w:val="00CD0B38"/>
    <w:rsid w:val="00CD2862"/>
    <w:rsid w:val="00CD366E"/>
    <w:rsid w:val="00CD3820"/>
    <w:rsid w:val="00CD6DBF"/>
    <w:rsid w:val="00CE0496"/>
    <w:rsid w:val="00CE5E6B"/>
    <w:rsid w:val="00CF04EC"/>
    <w:rsid w:val="00CF35B9"/>
    <w:rsid w:val="00CF6973"/>
    <w:rsid w:val="00CF7E92"/>
    <w:rsid w:val="00D0261C"/>
    <w:rsid w:val="00D0570E"/>
    <w:rsid w:val="00D11EF9"/>
    <w:rsid w:val="00D13BB3"/>
    <w:rsid w:val="00D24DD2"/>
    <w:rsid w:val="00D304CA"/>
    <w:rsid w:val="00D307FF"/>
    <w:rsid w:val="00D37278"/>
    <w:rsid w:val="00D4547E"/>
    <w:rsid w:val="00D5538E"/>
    <w:rsid w:val="00D56394"/>
    <w:rsid w:val="00D647C5"/>
    <w:rsid w:val="00D65579"/>
    <w:rsid w:val="00D84E10"/>
    <w:rsid w:val="00DB050D"/>
    <w:rsid w:val="00DB2F61"/>
    <w:rsid w:val="00DB7ABE"/>
    <w:rsid w:val="00DC519C"/>
    <w:rsid w:val="00DC6F9C"/>
    <w:rsid w:val="00DD49DF"/>
    <w:rsid w:val="00DE681C"/>
    <w:rsid w:val="00DF2F6A"/>
    <w:rsid w:val="00E02C70"/>
    <w:rsid w:val="00E11C3E"/>
    <w:rsid w:val="00E1321E"/>
    <w:rsid w:val="00E2573C"/>
    <w:rsid w:val="00E3152A"/>
    <w:rsid w:val="00E36668"/>
    <w:rsid w:val="00E42235"/>
    <w:rsid w:val="00E536B5"/>
    <w:rsid w:val="00E7139C"/>
    <w:rsid w:val="00E71D6E"/>
    <w:rsid w:val="00E72E91"/>
    <w:rsid w:val="00E73557"/>
    <w:rsid w:val="00E95259"/>
    <w:rsid w:val="00E95F11"/>
    <w:rsid w:val="00EB7171"/>
    <w:rsid w:val="00EC2B98"/>
    <w:rsid w:val="00EC4539"/>
    <w:rsid w:val="00EE0AAA"/>
    <w:rsid w:val="00EE3694"/>
    <w:rsid w:val="00F0145A"/>
    <w:rsid w:val="00F078E6"/>
    <w:rsid w:val="00F10021"/>
    <w:rsid w:val="00F14833"/>
    <w:rsid w:val="00F14EA1"/>
    <w:rsid w:val="00F2114B"/>
    <w:rsid w:val="00F3226C"/>
    <w:rsid w:val="00F35EBF"/>
    <w:rsid w:val="00F522C6"/>
    <w:rsid w:val="00F67569"/>
    <w:rsid w:val="00F67824"/>
    <w:rsid w:val="00F84C40"/>
    <w:rsid w:val="00F87DB9"/>
    <w:rsid w:val="00F904AC"/>
    <w:rsid w:val="00F90E19"/>
    <w:rsid w:val="00F9200A"/>
    <w:rsid w:val="00F93540"/>
    <w:rsid w:val="00FA47C9"/>
    <w:rsid w:val="00FB061B"/>
    <w:rsid w:val="00FB633E"/>
    <w:rsid w:val="00FC0D9E"/>
    <w:rsid w:val="00FD32B9"/>
    <w:rsid w:val="00FE4B72"/>
    <w:rsid w:val="00FF32C0"/>
    <w:rsid w:val="00FF3FBE"/>
    <w:rsid w:val="00FF6553"/>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C804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IntenseEmphasis">
    <w:name w:val="Intense Emphasis"/>
    <w:basedOn w:val="DefaultParagraphFont"/>
    <w:uiPriority w:val="21"/>
    <w:qFormat/>
    <w:rsid w:val="00AF18A9"/>
    <w:rPr>
      <w:i/>
      <w:iCs/>
      <w:color w:val="5B9BD5" w:themeColor="accent1"/>
    </w:rPr>
  </w:style>
  <w:style w:type="paragraph" w:styleId="ListParagraph">
    <w:name w:val="List Paragraph"/>
    <w:basedOn w:val="Normal"/>
    <w:uiPriority w:val="1"/>
    <w:qFormat/>
    <w:rsid w:val="0061487C"/>
    <w:pPr>
      <w:spacing w:line="240" w:lineRule="auto"/>
    </w:pPr>
  </w:style>
  <w:style w:type="paragraph" w:styleId="Footer">
    <w:name w:val="footer"/>
    <w:basedOn w:val="Normal"/>
    <w:link w:val="FooterChar"/>
    <w:unhideWhenUsed/>
    <w:rsid w:val="003866DB"/>
    <w:pPr>
      <w:tabs>
        <w:tab w:val="center" w:pos="4680"/>
        <w:tab w:val="right" w:pos="9360"/>
      </w:tabs>
      <w:spacing w:line="240" w:lineRule="auto"/>
    </w:pPr>
  </w:style>
  <w:style w:type="character" w:customStyle="1" w:styleId="FooterChar">
    <w:name w:val="Footer Char"/>
    <w:basedOn w:val="DefaultParagraphFont"/>
    <w:link w:val="Footer"/>
    <w:rsid w:val="003866DB"/>
  </w:style>
  <w:style w:type="character" w:styleId="PageNumber">
    <w:name w:val="page number"/>
    <w:basedOn w:val="DefaultParagraphFont"/>
    <w:unhideWhenUsed/>
    <w:rsid w:val="003866DB"/>
  </w:style>
  <w:style w:type="character" w:styleId="Hyperlink">
    <w:name w:val="Hyperlink"/>
    <w:basedOn w:val="DefaultParagraphFont"/>
    <w:uiPriority w:val="99"/>
    <w:unhideWhenUsed/>
    <w:rsid w:val="008D6182"/>
    <w:rPr>
      <w:color w:val="0000FF"/>
      <w:u w:val="single"/>
    </w:rPr>
  </w:style>
  <w:style w:type="character" w:customStyle="1" w:styleId="apple-converted-space">
    <w:name w:val="apple-converted-space"/>
    <w:basedOn w:val="DefaultParagraphFont"/>
    <w:rsid w:val="008D6182"/>
  </w:style>
  <w:style w:type="paragraph" w:styleId="Header">
    <w:name w:val="header"/>
    <w:basedOn w:val="Normal"/>
    <w:link w:val="HeaderChar"/>
    <w:unhideWhenUsed/>
    <w:rsid w:val="00DF2F6A"/>
    <w:pPr>
      <w:tabs>
        <w:tab w:val="center" w:pos="4680"/>
        <w:tab w:val="right" w:pos="9360"/>
      </w:tabs>
      <w:spacing w:line="240" w:lineRule="auto"/>
    </w:pPr>
  </w:style>
  <w:style w:type="character" w:customStyle="1" w:styleId="HeaderChar">
    <w:name w:val="Header Char"/>
    <w:basedOn w:val="DefaultParagraphFont"/>
    <w:link w:val="Header"/>
    <w:rsid w:val="00DF2F6A"/>
  </w:style>
  <w:style w:type="character" w:styleId="FollowedHyperlink">
    <w:name w:val="FollowedHyperlink"/>
    <w:basedOn w:val="DefaultParagraphFont"/>
    <w:uiPriority w:val="99"/>
    <w:semiHidden/>
    <w:unhideWhenUsed/>
    <w:rsid w:val="00B66CF0"/>
    <w:rPr>
      <w:color w:val="954F72" w:themeColor="followedHyperlink"/>
      <w:u w:val="single"/>
    </w:rPr>
  </w:style>
  <w:style w:type="paragraph" w:styleId="FootnoteText">
    <w:name w:val="footnote text"/>
    <w:basedOn w:val="Normal"/>
    <w:link w:val="FootnoteTextChar"/>
    <w:uiPriority w:val="99"/>
    <w:unhideWhenUsed/>
    <w:rsid w:val="00F10021"/>
    <w:pPr>
      <w:spacing w:line="240" w:lineRule="auto"/>
    </w:pPr>
    <w:rPr>
      <w:sz w:val="24"/>
      <w:szCs w:val="24"/>
    </w:rPr>
  </w:style>
  <w:style w:type="character" w:customStyle="1" w:styleId="FootnoteTextChar">
    <w:name w:val="Footnote Text Char"/>
    <w:basedOn w:val="DefaultParagraphFont"/>
    <w:link w:val="FootnoteText"/>
    <w:uiPriority w:val="99"/>
    <w:rsid w:val="00F10021"/>
    <w:rPr>
      <w:sz w:val="24"/>
      <w:szCs w:val="24"/>
    </w:rPr>
  </w:style>
  <w:style w:type="character" w:styleId="FootnoteReference">
    <w:name w:val="footnote reference"/>
    <w:basedOn w:val="DefaultParagraphFont"/>
    <w:uiPriority w:val="99"/>
    <w:unhideWhenUsed/>
    <w:rsid w:val="00F10021"/>
    <w:rPr>
      <w:vertAlign w:val="superscript"/>
    </w:rPr>
  </w:style>
  <w:style w:type="paragraph" w:customStyle="1" w:styleId="Para3">
    <w:name w:val="Para3"/>
    <w:basedOn w:val="Normal"/>
    <w:rsid w:val="004C6EA3"/>
    <w:pPr>
      <w:numPr>
        <w:ilvl w:val="2"/>
        <w:numId w:val="9"/>
      </w:numPr>
      <w:tabs>
        <w:tab w:val="left" w:pos="1985"/>
      </w:tabs>
      <w:spacing w:before="80" w:after="80" w:line="240" w:lineRule="auto"/>
      <w:jc w:val="both"/>
    </w:pPr>
    <w:rPr>
      <w:rFonts w:ascii="Times New Roman" w:eastAsia="MS Mincho" w:hAnsi="Times New Roman" w:cs="Times New Roman"/>
      <w:color w:val="auto"/>
      <w:szCs w:val="20"/>
      <w:lang w:val="en-GB"/>
    </w:rPr>
  </w:style>
  <w:style w:type="paragraph" w:customStyle="1" w:styleId="bodytextnoindent">
    <w:name w:val="body text (no indent)"/>
    <w:basedOn w:val="Normal"/>
    <w:rsid w:val="004C6EA3"/>
    <w:pPr>
      <w:widowControl w:val="0"/>
      <w:overflowPunct w:val="0"/>
      <w:autoSpaceDE w:val="0"/>
      <w:autoSpaceDN w:val="0"/>
      <w:adjustRightInd w:val="0"/>
      <w:spacing w:before="120" w:after="120" w:line="240" w:lineRule="auto"/>
      <w:jc w:val="both"/>
      <w:textAlignment w:val="baseline"/>
    </w:pPr>
    <w:rPr>
      <w:rFonts w:ascii="Times New Roman" w:eastAsia="MS Mincho" w:hAnsi="Times New Roman" w:cs="Times New Roman"/>
      <w:color w:val="auto"/>
      <w:szCs w:val="20"/>
      <w:lang w:val="en-GB" w:eastAsia="de-DE"/>
    </w:rPr>
  </w:style>
  <w:style w:type="paragraph" w:customStyle="1" w:styleId="Cornernotation">
    <w:name w:val="Corner notation"/>
    <w:basedOn w:val="Normal"/>
    <w:rsid w:val="004B783E"/>
    <w:pPr>
      <w:spacing w:line="240" w:lineRule="auto"/>
      <w:jc w:val="both"/>
    </w:pPr>
    <w:rPr>
      <w:rFonts w:ascii="Times New Roman" w:eastAsia="Times New Roman" w:hAnsi="Times New Roman" w:cs="Times New Roman"/>
      <w:color w:val="auto"/>
      <w:szCs w:val="20"/>
      <w:lang w:val="en-GB"/>
    </w:rPr>
  </w:style>
  <w:style w:type="paragraph" w:customStyle="1" w:styleId="HEADINGNOTFORTOC">
    <w:name w:val="HEADING (NOT FOR TOC)"/>
    <w:basedOn w:val="Heading1"/>
    <w:next w:val="Heading2"/>
    <w:rsid w:val="004B783E"/>
    <w:pPr>
      <w:keepLines w:val="0"/>
      <w:tabs>
        <w:tab w:val="left" w:pos="720"/>
      </w:tabs>
      <w:spacing w:before="240" w:after="0" w:line="240" w:lineRule="auto"/>
      <w:contextualSpacing w:val="0"/>
      <w:jc w:val="center"/>
    </w:pPr>
    <w:rPr>
      <w:rFonts w:ascii="Times New Roman" w:eastAsia="Times New Roman" w:hAnsi="Times New Roman" w:cs="Times New Roman"/>
      <w:b/>
      <w:caps/>
      <w:color w:val="auto"/>
      <w:sz w:val="22"/>
      <w:szCs w:val="24"/>
      <w:lang w:val="en-GB"/>
    </w:rPr>
  </w:style>
  <w:style w:type="character" w:styleId="CommentReference">
    <w:name w:val="annotation reference"/>
    <w:basedOn w:val="DefaultParagraphFont"/>
    <w:uiPriority w:val="99"/>
    <w:semiHidden/>
    <w:unhideWhenUsed/>
    <w:rsid w:val="0014508C"/>
    <w:rPr>
      <w:sz w:val="18"/>
      <w:szCs w:val="18"/>
    </w:rPr>
  </w:style>
  <w:style w:type="paragraph" w:styleId="CommentText">
    <w:name w:val="annotation text"/>
    <w:basedOn w:val="Normal"/>
    <w:link w:val="CommentTextChar"/>
    <w:uiPriority w:val="99"/>
    <w:semiHidden/>
    <w:unhideWhenUsed/>
    <w:rsid w:val="0014508C"/>
    <w:pPr>
      <w:widowControl w:val="0"/>
      <w:spacing w:line="240" w:lineRule="auto"/>
    </w:pPr>
    <w:rPr>
      <w:rFonts w:asciiTheme="minorHAnsi" w:eastAsiaTheme="minorHAnsi" w:hAnsiTheme="minorHAnsi" w:cstheme="minorBidi"/>
      <w:color w:val="auto"/>
      <w:sz w:val="24"/>
      <w:szCs w:val="24"/>
    </w:rPr>
  </w:style>
  <w:style w:type="character" w:customStyle="1" w:styleId="CommentTextChar">
    <w:name w:val="Comment Text Char"/>
    <w:basedOn w:val="DefaultParagraphFont"/>
    <w:link w:val="CommentText"/>
    <w:uiPriority w:val="99"/>
    <w:semiHidden/>
    <w:rsid w:val="0014508C"/>
    <w:rPr>
      <w:rFonts w:asciiTheme="minorHAnsi" w:eastAsiaTheme="minorHAnsi" w:hAnsiTheme="minorHAnsi" w:cstheme="minorBidi"/>
      <w:color w:val="auto"/>
      <w:sz w:val="24"/>
      <w:szCs w:val="24"/>
    </w:rPr>
  </w:style>
  <w:style w:type="paragraph" w:styleId="BalloonText">
    <w:name w:val="Balloon Text"/>
    <w:basedOn w:val="Normal"/>
    <w:link w:val="BalloonTextChar"/>
    <w:uiPriority w:val="99"/>
    <w:semiHidden/>
    <w:unhideWhenUsed/>
    <w:rsid w:val="0014508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08C"/>
    <w:rPr>
      <w:rFonts w:ascii="Times New Roman" w:hAnsi="Times New Roman" w:cs="Times New Roman"/>
      <w:sz w:val="18"/>
      <w:szCs w:val="18"/>
    </w:rPr>
  </w:style>
  <w:style w:type="table" w:styleId="TableGrid">
    <w:name w:val="Table Grid"/>
    <w:basedOn w:val="TableNormal"/>
    <w:uiPriority w:val="59"/>
    <w:rsid w:val="00A348A7"/>
    <w:pPr>
      <w:spacing w:line="240" w:lineRule="auto"/>
    </w:pPr>
    <w:rPr>
      <w:rFonts w:asciiTheme="minorHAnsi" w:eastAsiaTheme="minorEastAsia" w:hAnsiTheme="minorHAnsi" w:cstheme="minorBidi"/>
      <w:color w:val="auto"/>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619">
      <w:bodyDiv w:val="1"/>
      <w:marLeft w:val="0"/>
      <w:marRight w:val="0"/>
      <w:marTop w:val="0"/>
      <w:marBottom w:val="0"/>
      <w:divBdr>
        <w:top w:val="none" w:sz="0" w:space="0" w:color="auto"/>
        <w:left w:val="none" w:sz="0" w:space="0" w:color="auto"/>
        <w:bottom w:val="none" w:sz="0" w:space="0" w:color="auto"/>
        <w:right w:val="none" w:sz="0" w:space="0" w:color="auto"/>
      </w:divBdr>
    </w:div>
    <w:div w:id="899756061">
      <w:bodyDiv w:val="1"/>
      <w:marLeft w:val="0"/>
      <w:marRight w:val="0"/>
      <w:marTop w:val="0"/>
      <w:marBottom w:val="0"/>
      <w:divBdr>
        <w:top w:val="none" w:sz="0" w:space="0" w:color="auto"/>
        <w:left w:val="none" w:sz="0" w:space="0" w:color="auto"/>
        <w:bottom w:val="none" w:sz="0" w:space="0" w:color="auto"/>
        <w:right w:val="none" w:sz="0" w:space="0" w:color="auto"/>
      </w:divBdr>
    </w:div>
    <w:div w:id="1302659525">
      <w:bodyDiv w:val="1"/>
      <w:marLeft w:val="0"/>
      <w:marRight w:val="0"/>
      <w:marTop w:val="0"/>
      <w:marBottom w:val="0"/>
      <w:divBdr>
        <w:top w:val="none" w:sz="0" w:space="0" w:color="auto"/>
        <w:left w:val="none" w:sz="0" w:space="0" w:color="auto"/>
        <w:bottom w:val="none" w:sz="0" w:space="0" w:color="auto"/>
        <w:right w:val="none" w:sz="0" w:space="0" w:color="auto"/>
      </w:divBdr>
    </w:div>
    <w:div w:id="1797914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ao.org/home/en/)" TargetMode="External"/><Relationship Id="rId18" Type="http://schemas.openxmlformats.org/officeDocument/2006/relationships/hyperlink" Target="https://www.unisdr.org/)" TargetMode="External"/><Relationship Id="rId26" Type="http://schemas.openxmlformats.org/officeDocument/2006/relationships/hyperlink" Target="https://www.cbd.int/health/ilg-health/default.s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nu.e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giar.org/)" TargetMode="External"/><Relationship Id="rId17" Type="http://schemas.openxmlformats.org/officeDocument/2006/relationships/hyperlink" Target="http://www.worldenvironmentday.global/" TargetMode="External"/><Relationship Id="rId25" Type="http://schemas.openxmlformats.org/officeDocument/2006/relationships/hyperlink" Target="http://www.naturallivestockfarming.com/initiatives/)"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tureearth.org/news/meeting-summary-advancing-planetary-health-linking-health-and-environment-data" TargetMode="External"/><Relationship Id="rId20" Type="http://schemas.openxmlformats.org/officeDocument/2006/relationships/hyperlink" Target="http://www.cbd.int/health)" TargetMode="External"/><Relationship Id="rId29" Type="http://schemas.openxmlformats.org/officeDocument/2006/relationships/hyperlink" Target="https://portal.fiocruz.b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who.int/en/health-topics/environment-and-health/urban-health/publications/2017/urban-green-space-interventions-and-health-a-review-of-impacts-and-effectiveness.-full-report-2017" TargetMode="External"/><Relationship Id="rId24" Type="http://schemas.openxmlformats.org/officeDocument/2006/relationships/hyperlink" Target="http://satoyama-initiative.org" TargetMode="External"/><Relationship Id="rId32" Type="http://schemas.openxmlformats.org/officeDocument/2006/relationships/image" Target="media/image4.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utureearth.org/knowledge-action-networks)" TargetMode="External"/><Relationship Id="rId23" Type="http://schemas.openxmlformats.org/officeDocument/2006/relationships/hyperlink" Target="http://prospernet.ias.unu.edu" TargetMode="External"/><Relationship Id="rId28" Type="http://schemas.openxmlformats.org/officeDocument/2006/relationships/hyperlink" Target="http://www.globalviromeproject.org/)"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newsroom.unfccc.int/" TargetMode="External"/><Relationship Id="rId31" Type="http://schemas.openxmlformats.org/officeDocument/2006/relationships/hyperlink" Target="https://iucnrl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futureearth.org" TargetMode="External"/><Relationship Id="rId22" Type="http://schemas.openxmlformats.org/officeDocument/2006/relationships/hyperlink" Target="http://bachinitiative.org/" TargetMode="External"/><Relationship Id="rId27" Type="http://schemas.openxmlformats.org/officeDocument/2006/relationships/hyperlink" Target="http://www.vetmed.ucdavis.edu/ohi/predict/)" TargetMode="External"/><Relationship Id="rId30" Type="http://schemas.openxmlformats.org/officeDocument/2006/relationships/hyperlink" Target="https://www.globalinnovationexchange.org/innovations/center-information-wildlife-health-ciss"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euro.who.int/__data/assets/pdf_file/0005/321971/Urban-green-spaces-and-health-review-evidence.pdf?ua=1" TargetMode="External"/><Relationship Id="rId2" Type="http://schemas.openxmlformats.org/officeDocument/2006/relationships/hyperlink" Target="https://email.cbd.int/owa/redir.aspx?C=He74h5jdxhfqiT7I9JbPZh9OSfPvryfSc1n65-KrBdBA4BVOlLLUCA..&amp;URL=http%3a%2f%2fwww.euro.who.int%2f__data%2fassets%2fpdf_file%2f0009%2f334269%2fculture-matters.pdf%3fua%3d1" TargetMode="External"/><Relationship Id="rId1" Type="http://schemas.openxmlformats.org/officeDocument/2006/relationships/hyperlink" Target="https://email.cbd.int/owa/redir.aspx?C=3BjvgQ2Yd9kvZENEJamWSeSZlblr4aO4fd-8WUYCrwlA4BVOlLLUCA..&amp;URL=https%3a%2f%2fwww.forestry.gov.uk%2fpdf%2fLONDONI-TREEECOREPORT151202.pdf%2f%24FILE%2fLONDONI-TREEECOREPORT151202.pdf" TargetMode="External"/><Relationship Id="rId4" Type="http://schemas.openxmlformats.org/officeDocument/2006/relationships/hyperlink" Target="https://www.cbd.int/health/ilg-health/defaul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3BF7-E553-484F-B4F8-7F2A1630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37</Pages>
  <Words>20578</Words>
  <Characters>117298</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FIRST MEETING OF THE INTERAGENCY LIAISON GROUP ON BIODIVERSITY AND HEALTH</dc:title>
  <dc:creator>veronique lefebvre</dc:creator>
  <cp:lastModifiedBy>veronique lefebvre</cp:lastModifiedBy>
  <cp:revision>7</cp:revision>
  <dcterms:created xsi:type="dcterms:W3CDTF">2017-12-11T15:01:00Z</dcterms:created>
  <dcterms:modified xsi:type="dcterms:W3CDTF">2017-12-11T17:22:00Z</dcterms:modified>
</cp:coreProperties>
</file>