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4413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4E316A71" w14:textId="7B6C7FF1" w:rsidR="00044132" w:rsidRPr="00044132" w:rsidRDefault="00044132" w:rsidP="00044132">
            <w:pPr>
              <w:tabs>
                <w:tab w:val="clear" w:pos="567"/>
                <w:tab w:val="clear" w:pos="1134"/>
                <w:tab w:val="clear" w:pos="1701"/>
                <w:tab w:val="clear" w:pos="2268"/>
              </w:tabs>
              <w:spacing w:before="60"/>
              <w:rPr>
                <w:rFonts w:eastAsia="SimHei"/>
                <w:sz w:val="24"/>
                <w:lang w:eastAsia="zh-CN"/>
              </w:rPr>
            </w:pPr>
            <w:r w:rsidRPr="00044132">
              <w:rPr>
                <w:rFonts w:eastAsia="SimHei"/>
                <w:noProof/>
                <w:lang w:eastAsia="zh-CN"/>
              </w:rPr>
              <w:drawing>
                <wp:anchor distT="0" distB="0" distL="114300" distR="114300" simplePos="0" relativeHeight="251659264" behindDoc="0" locked="0" layoutInCell="1" allowOverlap="1" wp14:anchorId="583A4D6E" wp14:editId="4FB947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SimHei" w:hint="eastAsia"/>
                <w:sz w:val="24"/>
                <w:lang w:eastAsia="zh-CN"/>
              </w:rPr>
              <w:t>联合国</w:t>
            </w:r>
          </w:p>
          <w:p w14:paraId="23A8F484" w14:textId="58CD54C7" w:rsidR="008A1499" w:rsidRPr="003F1A75" w:rsidRDefault="00044132" w:rsidP="00044132">
            <w:pPr>
              <w:pStyle w:val="AASmallLogo"/>
            </w:pPr>
            <w:r w:rsidRPr="00044132">
              <w:rPr>
                <w:rFonts w:eastAsia="SimHei"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7556492C" w:rsidR="008A1499" w:rsidRPr="003F1A75" w:rsidRDefault="008A1499" w:rsidP="003F1A75">
            <w:pPr>
              <w:pStyle w:val="ABSymbol"/>
            </w:pPr>
            <w:r w:rsidRPr="003F1A75">
              <w:rPr>
                <w:sz w:val="40"/>
              </w:rPr>
              <w:t>CBD</w:t>
            </w:r>
            <w:r w:rsidRPr="003F1A75">
              <w:t>/</w:t>
            </w:r>
            <w:r w:rsidR="00975047">
              <w:t>NP</w:t>
            </w:r>
            <w:r w:rsidRPr="003F1A75">
              <w:t>/</w:t>
            </w:r>
            <w:r w:rsidR="00975047">
              <w:t>MOP/6/</w:t>
            </w:r>
            <w:r w:rsidR="001C3668">
              <w:t>L.5</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44132" w14:paraId="6D3122D5" w14:textId="77777777" w:rsidTr="008A1499">
        <w:trPr>
          <w:trHeight w:val="1814"/>
        </w:trPr>
        <w:tc>
          <w:tcPr>
            <w:tcW w:w="7370" w:type="dxa"/>
          </w:tcPr>
          <w:p w14:paraId="42F36819" w14:textId="32994664" w:rsidR="008A1499" w:rsidRPr="003F1A75" w:rsidRDefault="008A1499" w:rsidP="008A1499">
            <w:pPr>
              <w:pStyle w:val="ACLargeLogo"/>
            </w:pPr>
            <w:r w:rsidRPr="003F1A75">
              <w:t xml:space="preserve"> </w:t>
            </w:r>
            <w:r w:rsidR="00044132" w:rsidRPr="00044132">
              <w:rPr>
                <w:b/>
                <w:noProof/>
                <w:sz w:val="24"/>
                <w:lang w:val="en-US" w:eastAsia="zh-CN"/>
              </w:rPr>
              <w:drawing>
                <wp:inline distT="0" distB="0" distL="0" distR="0" wp14:anchorId="3D2E3D59" wp14:editId="31F4631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044132" w:rsidRDefault="008A1499" w:rsidP="00044132">
            <w:pPr>
              <w:pStyle w:val="AEDistrNormal"/>
              <w:rPr>
                <w:sz w:val="24"/>
              </w:rPr>
            </w:pPr>
            <w:r w:rsidRPr="00044132">
              <w:rPr>
                <w:sz w:val="24"/>
              </w:rPr>
              <w:t xml:space="preserve">Distr.: </w:t>
            </w:r>
            <w:r w:rsidR="0087796A" w:rsidRPr="00044132">
              <w:rPr>
                <w:sz w:val="24"/>
              </w:rPr>
              <w:t>Limited</w:t>
            </w:r>
            <w:r w:rsidRPr="00044132">
              <w:rPr>
                <w:sz w:val="24"/>
              </w:rPr>
              <w:t xml:space="preserve"> </w:t>
            </w:r>
          </w:p>
          <w:p w14:paraId="15BC0C1B" w14:textId="25890AA2" w:rsidR="008A1499" w:rsidRPr="00044132" w:rsidRDefault="001A6A15" w:rsidP="00044132">
            <w:pPr>
              <w:pStyle w:val="AEDistrNormal"/>
              <w:rPr>
                <w:sz w:val="24"/>
              </w:rPr>
            </w:pPr>
            <w:r w:rsidRPr="00044132">
              <w:rPr>
                <w:sz w:val="24"/>
              </w:rPr>
              <w:t>2</w:t>
            </w:r>
            <w:r w:rsidR="001C3668">
              <w:rPr>
                <w:sz w:val="24"/>
              </w:rPr>
              <w:t>3</w:t>
            </w:r>
            <w:r w:rsidR="00BD5749" w:rsidRPr="00044132">
              <w:rPr>
                <w:sz w:val="24"/>
              </w:rPr>
              <w:t xml:space="preserve"> </w:t>
            </w:r>
            <w:r w:rsidR="0087796A" w:rsidRPr="00044132">
              <w:rPr>
                <w:sz w:val="24"/>
              </w:rPr>
              <w:t>October 2026</w:t>
            </w:r>
          </w:p>
          <w:p w14:paraId="34BE77CB" w14:textId="77777777" w:rsidR="00044132" w:rsidRPr="00044132" w:rsidRDefault="00044132" w:rsidP="00044132">
            <w:pPr>
              <w:tabs>
                <w:tab w:val="clear" w:pos="567"/>
                <w:tab w:val="clear" w:pos="1134"/>
                <w:tab w:val="clear" w:pos="1701"/>
                <w:tab w:val="clear" w:pos="2268"/>
              </w:tabs>
              <w:rPr>
                <w:rFonts w:eastAsia="Times New Roman"/>
                <w:sz w:val="24"/>
              </w:rPr>
            </w:pPr>
            <w:r w:rsidRPr="00044132">
              <w:rPr>
                <w:rFonts w:eastAsia="Times New Roman"/>
                <w:sz w:val="24"/>
              </w:rPr>
              <w:t>Chinese</w:t>
            </w:r>
          </w:p>
          <w:p w14:paraId="46956ADB" w14:textId="40F50F0B" w:rsidR="008A1499" w:rsidRPr="00044132" w:rsidRDefault="00044132" w:rsidP="00044132">
            <w:pPr>
              <w:pStyle w:val="AEDistrNormal6pt"/>
              <w:spacing w:before="0"/>
              <w:rPr>
                <w:sz w:val="24"/>
              </w:rPr>
            </w:pPr>
            <w:r w:rsidRPr="00044132">
              <w:rPr>
                <w:rFonts w:eastAsia="Times New Roman"/>
                <w:sz w:val="24"/>
              </w:rPr>
              <w:t>Original: English</w:t>
            </w: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44132" w14:paraId="43E59709" w14:textId="77777777" w:rsidTr="008A1499">
        <w:trPr>
          <w:trHeight w:val="57"/>
        </w:trPr>
        <w:tc>
          <w:tcPr>
            <w:tcW w:w="6094" w:type="dxa"/>
          </w:tcPr>
          <w:p w14:paraId="2B04FBBF" w14:textId="77777777" w:rsidR="00044132" w:rsidRPr="00044132" w:rsidRDefault="00044132" w:rsidP="00044132">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793AA30E" w14:textId="77777777" w:rsidR="00044132" w:rsidRPr="00044132" w:rsidRDefault="00044132" w:rsidP="00044132">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462E33D6" w14:textId="598E3F2A" w:rsidR="008A1499" w:rsidRPr="00044132" w:rsidRDefault="00044132" w:rsidP="00044132">
            <w:pPr>
              <w:pStyle w:val="AFCorNNormal"/>
              <w:rPr>
                <w:sz w:val="24"/>
                <w:lang w:eastAsia="zh-CN"/>
              </w:rPr>
            </w:pPr>
            <w:r w:rsidRPr="00044132">
              <w:rPr>
                <w:rFonts w:ascii="SimSun" w:hAnsi="SimSun" w:hint="eastAsia"/>
                <w:sz w:val="24"/>
                <w:szCs w:val="24"/>
                <w:lang w:val="en-US" w:eastAsia="zh-CN"/>
              </w:rPr>
              <w:t>2026年10月19日至30日，埃里温</w:t>
            </w:r>
          </w:p>
          <w:p w14:paraId="75876936" w14:textId="50EADA2C" w:rsidR="008A1499" w:rsidRPr="00044132" w:rsidRDefault="00044132" w:rsidP="008A1499">
            <w:pPr>
              <w:pStyle w:val="AFCorNNormal"/>
              <w:rPr>
                <w:sz w:val="24"/>
                <w:lang w:eastAsia="zh-CN"/>
              </w:rPr>
            </w:pPr>
            <w:r>
              <w:rPr>
                <w:rFonts w:hint="eastAsia"/>
                <w:sz w:val="24"/>
                <w:lang w:eastAsia="zh-CN"/>
              </w:rPr>
              <w:t>议程项目</w:t>
            </w:r>
            <w:r w:rsidR="008A1499" w:rsidRPr="00044132">
              <w:rPr>
                <w:sz w:val="24"/>
                <w:lang w:eastAsia="zh-CN"/>
              </w:rPr>
              <w:t xml:space="preserve"> </w:t>
            </w:r>
            <w:r w:rsidR="00BD5749" w:rsidRPr="00044132">
              <w:rPr>
                <w:sz w:val="24"/>
                <w:lang w:eastAsia="zh-CN"/>
              </w:rPr>
              <w:t>9</w:t>
            </w:r>
            <w:r w:rsidR="008A1499" w:rsidRPr="00044132">
              <w:rPr>
                <w:sz w:val="24"/>
                <w:lang w:eastAsia="zh-CN"/>
              </w:rPr>
              <w:t xml:space="preserve"> </w:t>
            </w:r>
          </w:p>
          <w:p w14:paraId="1C4E2722" w14:textId="114B45F8" w:rsidR="008A1499" w:rsidRPr="00044132" w:rsidRDefault="00044132" w:rsidP="008A1499">
            <w:pPr>
              <w:pStyle w:val="AFCorNBold"/>
              <w:rPr>
                <w:sz w:val="24"/>
                <w:lang w:eastAsia="zh-CN"/>
              </w:rPr>
            </w:pPr>
            <w:r w:rsidRPr="00044132">
              <w:rPr>
                <w:rFonts w:hint="eastAsia"/>
                <w:sz w:val="24"/>
                <w:lang w:eastAsia="zh-CN"/>
              </w:rPr>
              <w:t>加强《名古屋议定书》的执行</w:t>
            </w:r>
          </w:p>
          <w:p w14:paraId="66DC3FF7" w14:textId="5B4E26B1" w:rsidR="005649FD" w:rsidRPr="005649FD" w:rsidRDefault="005649FD" w:rsidP="005649FD">
            <w:pPr>
              <w:pStyle w:val="AFCorNNormal"/>
              <w:rPr>
                <w:lang w:eastAsia="zh-CN"/>
              </w:rPr>
            </w:pPr>
          </w:p>
        </w:tc>
        <w:tc>
          <w:tcPr>
            <w:tcW w:w="4388" w:type="dxa"/>
          </w:tcPr>
          <w:p w14:paraId="2A8ED09B" w14:textId="77777777" w:rsidR="008A1499" w:rsidRPr="00044132" w:rsidRDefault="008A1499" w:rsidP="008A1499">
            <w:pPr>
              <w:pStyle w:val="CBDNormal"/>
              <w:jc w:val="left"/>
              <w:rPr>
                <w:sz w:val="24"/>
                <w:lang w:eastAsia="zh-CN"/>
              </w:rPr>
            </w:pPr>
          </w:p>
        </w:tc>
      </w:tr>
    </w:tbl>
    <w:p w14:paraId="59E00E1B" w14:textId="5F690312" w:rsidR="00C9161D" w:rsidRPr="003F1A75" w:rsidRDefault="00000000" w:rsidP="001A6A15">
      <w:pPr>
        <w:pStyle w:val="CBDTitle"/>
        <w:rPr>
          <w:caps/>
          <w:lang w:eastAsia="zh-CN"/>
        </w:rPr>
      </w:pPr>
      <w:sdt>
        <w:sdtPr>
          <w:rPr>
            <w:rFonts w:ascii="SimHei" w:eastAsia="SimHei" w:hAnsi="SimHei"/>
            <w:b w:val="0"/>
            <w:bCs/>
            <w:lang w:eastAsia="zh-CN"/>
          </w:r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044132" w:rsidRPr="00044132">
            <w:rPr>
              <w:rFonts w:ascii="SimHei" w:eastAsia="SimHei" w:hAnsi="SimHei" w:hint="eastAsia"/>
              <w:b w:val="0"/>
              <w:bCs/>
              <w:lang w:eastAsia="zh-CN"/>
            </w:rPr>
            <w:t>加强《名古屋议定书》的执行</w:t>
          </w:r>
        </w:sdtContent>
      </w:sdt>
      <w:r w:rsidR="00105372" w:rsidRPr="003F1A75">
        <w:rPr>
          <w:caps/>
          <w:lang w:eastAsia="zh-CN"/>
        </w:rPr>
        <w:t xml:space="preserve"> </w:t>
      </w:r>
    </w:p>
    <w:p w14:paraId="48F29D90" w14:textId="18410B94" w:rsidR="005649FD" w:rsidRDefault="00044132" w:rsidP="005F39C6">
      <w:pPr>
        <w:pStyle w:val="CBDSubTitle"/>
        <w:rPr>
          <w:sz w:val="24"/>
          <w:lang w:eastAsia="zh-CN"/>
        </w:rPr>
      </w:pPr>
      <w:r>
        <w:rPr>
          <w:rFonts w:hint="eastAsia"/>
          <w:sz w:val="24"/>
          <w:lang w:eastAsia="zh-CN"/>
        </w:rPr>
        <w:t>第一工作组主席提交的决定草案</w:t>
      </w:r>
    </w:p>
    <w:p w14:paraId="7E1031A2" w14:textId="77777777" w:rsidR="00044132" w:rsidRPr="00044132" w:rsidRDefault="00044132" w:rsidP="00044132">
      <w:pPr>
        <w:keepNext/>
        <w:tabs>
          <w:tab w:val="clear" w:pos="567"/>
          <w:tab w:val="clear" w:pos="1134"/>
          <w:tab w:val="clear" w:pos="1701"/>
          <w:tab w:val="clear" w:pos="2268"/>
        </w:tabs>
        <w:spacing w:before="120" w:after="120"/>
        <w:ind w:left="490" w:firstLine="490"/>
        <w:rPr>
          <w:rFonts w:ascii="KaiTi" w:eastAsia="KaiTi" w:hAnsi="KaiTi"/>
          <w:sz w:val="24"/>
          <w:szCs w:val="24"/>
          <w:lang w:val="en-CA" w:eastAsia="zh-CN"/>
        </w:rPr>
      </w:pPr>
      <w:r w:rsidRPr="00044132">
        <w:rPr>
          <w:rFonts w:ascii="KaiTi" w:eastAsia="KaiTi" w:hAnsi="KaiTi"/>
          <w:sz w:val="24"/>
          <w:szCs w:val="24"/>
          <w:lang w:val="en-CA" w:eastAsia="zh-CN"/>
        </w:rPr>
        <w:t>作为名古屋议定书缔约方会议的缔约方大会，</w:t>
      </w:r>
    </w:p>
    <w:p w14:paraId="4E4D2271" w14:textId="512DA1C1" w:rsidR="00044132" w:rsidRPr="00044132" w:rsidRDefault="00044132" w:rsidP="00044132">
      <w:pPr>
        <w:keepNext/>
        <w:tabs>
          <w:tab w:val="clear" w:pos="567"/>
          <w:tab w:val="clear" w:pos="1134"/>
          <w:tab w:val="clear" w:pos="1701"/>
          <w:tab w:val="clear" w:pos="2268"/>
        </w:tabs>
        <w:spacing w:after="120"/>
        <w:ind w:left="490"/>
        <w:rPr>
          <w:bCs/>
          <w:sz w:val="24"/>
          <w:u w:color="000000"/>
          <w:bdr w:val="nil"/>
          <w:lang w:val="en-US" w:eastAsia="zh-CN"/>
        </w:rPr>
      </w:pPr>
      <w:r w:rsidRPr="00044132">
        <w:rPr>
          <w:rFonts w:hint="eastAsia"/>
          <w:b/>
          <w:bCs/>
          <w:sz w:val="24"/>
          <w:u w:color="000000"/>
          <w:bdr w:val="nil"/>
          <w:lang w:val="en-US" w:eastAsia="zh-CN"/>
        </w:rPr>
        <w:t>一</w:t>
      </w:r>
      <w:r w:rsidRPr="00044132">
        <w:rPr>
          <w:b/>
          <w:bCs/>
          <w:sz w:val="24"/>
          <w:u w:color="000000"/>
          <w:bdr w:val="nil"/>
          <w:lang w:val="en-US" w:eastAsia="zh-CN"/>
        </w:rPr>
        <w:br/>
      </w:r>
      <w:r w:rsidRPr="00044132">
        <w:rPr>
          <w:b/>
          <w:bCs/>
          <w:sz w:val="24"/>
          <w:u w:color="000000"/>
          <w:bdr w:val="nil"/>
          <w:lang w:val="en-US" w:eastAsia="zh-CN"/>
        </w:rPr>
        <w:t>能力建设和发展</w:t>
      </w:r>
      <w:r w:rsidRPr="00044132">
        <w:rPr>
          <w:rFonts w:hint="eastAsia"/>
          <w:b/>
          <w:bCs/>
          <w:sz w:val="24"/>
          <w:u w:color="000000"/>
          <w:bdr w:val="nil"/>
          <w:lang w:val="en-US" w:eastAsia="zh-CN"/>
        </w:rPr>
        <w:t>与</w:t>
      </w:r>
      <w:r w:rsidRPr="00044132">
        <w:rPr>
          <w:b/>
          <w:bCs/>
          <w:sz w:val="24"/>
          <w:u w:color="000000"/>
          <w:bdr w:val="nil"/>
          <w:lang w:val="en-US" w:eastAsia="zh-CN"/>
        </w:rPr>
        <w:t>提高认识</w:t>
      </w:r>
    </w:p>
    <w:p w14:paraId="002F1602" w14:textId="77777777" w:rsidR="00044132" w:rsidRPr="001C3668" w:rsidRDefault="00044132" w:rsidP="00044132">
      <w:pPr>
        <w:tabs>
          <w:tab w:val="clear" w:pos="567"/>
          <w:tab w:val="clear" w:pos="1134"/>
          <w:tab w:val="clear" w:pos="1701"/>
          <w:tab w:val="clear" w:pos="2268"/>
        </w:tabs>
        <w:spacing w:after="120"/>
        <w:ind w:left="490" w:firstLine="490"/>
        <w:rPr>
          <w:rFonts w:eastAsia="Times New Roman"/>
          <w:color w:val="000000" w:themeColor="text1"/>
          <w:kern w:val="22"/>
          <w:sz w:val="24"/>
          <w:lang w:val="en-US" w:eastAsia="zh-CN"/>
        </w:rPr>
      </w:pPr>
      <w:r w:rsidRPr="001C3668">
        <w:rPr>
          <w:rFonts w:eastAsia="Times New Roman"/>
          <w:color w:val="000000" w:themeColor="text1"/>
          <w:kern w:val="22"/>
          <w:sz w:val="24"/>
          <w:lang w:val="en-US" w:eastAsia="zh-CN"/>
        </w:rPr>
        <w:t>1.</w:t>
      </w:r>
      <w:r w:rsidRPr="001C3668">
        <w:rPr>
          <w:rFonts w:eastAsia="Times New Roman"/>
          <w:color w:val="000000" w:themeColor="text1"/>
          <w:kern w:val="22"/>
          <w:sz w:val="24"/>
          <w:lang w:val="en-US" w:eastAsia="zh-CN"/>
        </w:rPr>
        <w:tab/>
      </w:r>
      <w:r w:rsidRPr="001C3668">
        <w:rPr>
          <w:rFonts w:ascii="KaiTi" w:eastAsia="KaiTi" w:hAnsi="KaiTi"/>
          <w:iCs/>
          <w:color w:val="000000" w:themeColor="text1"/>
          <w:sz w:val="24"/>
          <w:lang w:val="en-US" w:eastAsia="zh-CN"/>
        </w:rPr>
        <w:t>回顾</w:t>
      </w:r>
      <w:r w:rsidRPr="001C3668">
        <w:rPr>
          <w:iCs/>
          <w:color w:val="000000" w:themeColor="text1"/>
          <w:sz w:val="24"/>
          <w:lang w:val="en-US" w:eastAsia="zh-CN"/>
        </w:rPr>
        <w:t>其</w:t>
      </w:r>
      <w:r w:rsidRPr="001C3668">
        <w:rPr>
          <w:rFonts w:hint="eastAsia"/>
          <w:iCs/>
          <w:color w:val="000000" w:themeColor="text1"/>
          <w:sz w:val="24"/>
          <w:lang w:val="en-US" w:eastAsia="zh-CN"/>
        </w:rPr>
        <w:t>2024</w:t>
      </w:r>
      <w:r w:rsidRPr="001C3668">
        <w:rPr>
          <w:iCs/>
          <w:color w:val="000000" w:themeColor="text1"/>
          <w:sz w:val="24"/>
          <w:lang w:val="en-US" w:eastAsia="zh-CN"/>
        </w:rPr>
        <w:t>年</w:t>
      </w:r>
      <w:r w:rsidRPr="001C3668">
        <w:rPr>
          <w:rFonts w:hint="eastAsia"/>
          <w:iCs/>
          <w:color w:val="000000" w:themeColor="text1"/>
          <w:sz w:val="24"/>
          <w:lang w:val="en-US" w:eastAsia="zh-CN"/>
        </w:rPr>
        <w:t>11</w:t>
      </w:r>
      <w:r w:rsidRPr="001C3668">
        <w:rPr>
          <w:iCs/>
          <w:color w:val="000000" w:themeColor="text1"/>
          <w:sz w:val="24"/>
          <w:lang w:val="en-US" w:eastAsia="zh-CN"/>
        </w:rPr>
        <w:t>月</w:t>
      </w:r>
      <w:r w:rsidRPr="001C3668">
        <w:rPr>
          <w:rFonts w:hint="eastAsia"/>
          <w:iCs/>
          <w:color w:val="000000" w:themeColor="text1"/>
          <w:sz w:val="24"/>
          <w:lang w:val="en-US" w:eastAsia="zh-CN"/>
        </w:rPr>
        <w:t>1</w:t>
      </w:r>
      <w:r w:rsidRPr="001C3668">
        <w:rPr>
          <w:iCs/>
          <w:color w:val="000000" w:themeColor="text1"/>
          <w:sz w:val="24"/>
          <w:lang w:val="en-US" w:eastAsia="zh-CN"/>
        </w:rPr>
        <w:t>日</w:t>
      </w:r>
      <w:r w:rsidRPr="001C3668">
        <w:rPr>
          <w:rFonts w:hint="eastAsia"/>
          <w:iCs/>
          <w:color w:val="000000" w:themeColor="text1"/>
          <w:sz w:val="24"/>
          <w:lang w:val="en-US" w:eastAsia="zh-CN"/>
        </w:rPr>
        <w:t>第</w:t>
      </w:r>
      <w:hyperlink r:id="rId15" w:history="1">
        <w:r w:rsidRPr="001C3668">
          <w:rPr>
            <w:iCs/>
            <w:color w:val="000000" w:themeColor="text1"/>
            <w:sz w:val="24"/>
            <w:u w:val="single"/>
            <w:lang w:val="en-US" w:eastAsia="zh-CN"/>
          </w:rPr>
          <w:t>NP-5/3</w:t>
        </w:r>
      </w:hyperlink>
      <w:r w:rsidRPr="001C3668">
        <w:rPr>
          <w:rFonts w:hint="eastAsia"/>
          <w:iCs/>
          <w:color w:val="000000" w:themeColor="text1"/>
          <w:sz w:val="24"/>
          <w:lang w:val="en-US" w:eastAsia="zh-CN"/>
        </w:rPr>
        <w:t>号</w:t>
      </w:r>
      <w:r w:rsidRPr="001C3668">
        <w:rPr>
          <w:iCs/>
          <w:color w:val="000000" w:themeColor="text1"/>
          <w:sz w:val="24"/>
          <w:lang w:val="en-US" w:eastAsia="zh-CN"/>
        </w:rPr>
        <w:t>决定，其中通过了《</w:t>
      </w:r>
      <w:r w:rsidRPr="001C3668">
        <w:rPr>
          <w:rFonts w:hint="eastAsia"/>
          <w:iCs/>
          <w:color w:val="000000" w:themeColor="text1"/>
          <w:sz w:val="24"/>
          <w:lang w:val="en-US" w:eastAsia="zh-CN"/>
        </w:rPr>
        <w:t>关于获取遗传资源和公正和公平分享其利用所产生惠益的名古屋议定书</w:t>
      </w:r>
      <w:r w:rsidRPr="001C3668">
        <w:rPr>
          <w:iCs/>
          <w:color w:val="000000" w:themeColor="text1"/>
          <w:sz w:val="24"/>
          <w:lang w:val="en-US" w:eastAsia="zh-CN"/>
        </w:rPr>
        <w:t>》</w:t>
      </w:r>
      <w:r w:rsidRPr="001C3668">
        <w:rPr>
          <w:iCs/>
          <w:color w:val="000000" w:themeColor="text1"/>
          <w:sz w:val="24"/>
          <w:vertAlign w:val="superscript"/>
          <w:lang w:val="en-US" w:eastAsia="zh-CN"/>
        </w:rPr>
        <w:footnoteReference w:id="1"/>
      </w:r>
      <w:r w:rsidRPr="001C3668">
        <w:rPr>
          <w:iCs/>
          <w:color w:val="000000" w:themeColor="text1"/>
          <w:sz w:val="24"/>
          <w:lang w:val="en-US" w:eastAsia="zh-CN"/>
        </w:rPr>
        <w:t>的能力建设和发展行动计划，以及</w:t>
      </w:r>
      <w:r w:rsidRPr="001C3668">
        <w:rPr>
          <w:rFonts w:hint="eastAsia"/>
          <w:iCs/>
          <w:color w:val="000000" w:themeColor="text1"/>
          <w:sz w:val="24"/>
          <w:lang w:val="en-US" w:eastAsia="zh-CN"/>
        </w:rPr>
        <w:t>第</w:t>
      </w:r>
      <w:hyperlink r:id="rId16" w:history="1">
        <w:r w:rsidRPr="001C3668">
          <w:rPr>
            <w:iCs/>
            <w:color w:val="000000" w:themeColor="text1"/>
            <w:sz w:val="24"/>
            <w:u w:val="single"/>
            <w:lang w:val="en-US" w:eastAsia="zh-CN"/>
          </w:rPr>
          <w:t>NP-1/9</w:t>
        </w:r>
      </w:hyperlink>
      <w:r w:rsidRPr="001C3668">
        <w:rPr>
          <w:rFonts w:hint="eastAsia"/>
          <w:iCs/>
          <w:color w:val="000000" w:themeColor="text1"/>
          <w:sz w:val="24"/>
          <w:lang w:val="en-US" w:eastAsia="zh-CN"/>
        </w:rPr>
        <w:t>号</w:t>
      </w:r>
      <w:r w:rsidRPr="001C3668">
        <w:rPr>
          <w:iCs/>
          <w:color w:val="000000" w:themeColor="text1"/>
          <w:sz w:val="24"/>
          <w:lang w:val="en-US" w:eastAsia="zh-CN"/>
        </w:rPr>
        <w:t>决定，其中通过了《</w:t>
      </w:r>
      <w:r w:rsidRPr="001C3668">
        <w:rPr>
          <w:rFonts w:ascii="SimSun" w:hAnsi="SimSun" w:cs="SimSun" w:hint="eastAsia"/>
          <w:iCs/>
          <w:color w:val="000000" w:themeColor="text1"/>
          <w:sz w:val="24"/>
          <w:szCs w:val="24"/>
          <w:lang w:val="en-US" w:eastAsia="zh-CN"/>
        </w:rPr>
        <w:t>名古屋</w:t>
      </w:r>
      <w:r w:rsidRPr="001C3668">
        <w:rPr>
          <w:iCs/>
          <w:color w:val="000000" w:themeColor="text1"/>
          <w:sz w:val="24"/>
          <w:lang w:val="en-US" w:eastAsia="zh-CN"/>
        </w:rPr>
        <w:t>议定书》的提高认识战略；</w:t>
      </w:r>
    </w:p>
    <w:p w14:paraId="296BECBF" w14:textId="77777777" w:rsidR="00044132" w:rsidRPr="001C3668" w:rsidRDefault="00044132" w:rsidP="00044132">
      <w:pPr>
        <w:tabs>
          <w:tab w:val="clear" w:pos="567"/>
          <w:tab w:val="clear" w:pos="1134"/>
          <w:tab w:val="clear" w:pos="1701"/>
          <w:tab w:val="clear" w:pos="2268"/>
        </w:tabs>
        <w:spacing w:after="120"/>
        <w:ind w:left="490" w:firstLine="490"/>
        <w:rPr>
          <w:rFonts w:ascii="SimSun" w:hAnsi="SimSun" w:cs="SimSun"/>
          <w:iCs/>
          <w:color w:val="000000" w:themeColor="text1"/>
          <w:kern w:val="22"/>
          <w:sz w:val="24"/>
          <w:lang w:val="en-US" w:eastAsia="zh-CN"/>
        </w:rPr>
      </w:pPr>
      <w:r w:rsidRPr="001C3668">
        <w:rPr>
          <w:rFonts w:eastAsia="Times New Roman"/>
          <w:color w:val="000000" w:themeColor="text1"/>
          <w:sz w:val="24"/>
          <w:szCs w:val="24"/>
          <w:lang w:val="en-US" w:eastAsia="zh-CN"/>
        </w:rPr>
        <w:t>2.</w:t>
      </w:r>
      <w:r w:rsidRPr="001C3668">
        <w:rPr>
          <w:rFonts w:eastAsia="Times New Roman"/>
          <w:color w:val="000000" w:themeColor="text1"/>
          <w:sz w:val="24"/>
          <w:szCs w:val="24"/>
          <w:lang w:val="en-US" w:eastAsia="zh-CN"/>
        </w:rPr>
        <w:tab/>
      </w:r>
      <w:r w:rsidRPr="001C3668">
        <w:rPr>
          <w:rFonts w:ascii="KaiTi" w:eastAsia="KaiTi" w:hAnsi="KaiTi" w:cs="SimSun" w:hint="eastAsia"/>
          <w:iCs/>
          <w:color w:val="000000" w:themeColor="text1"/>
          <w:kern w:val="22"/>
          <w:sz w:val="24"/>
          <w:lang w:val="en-US" w:eastAsia="zh-CN"/>
        </w:rPr>
        <w:t>鼓励</w:t>
      </w:r>
      <w:r w:rsidRPr="001C3668">
        <w:rPr>
          <w:rFonts w:ascii="SimSun" w:hAnsi="SimSun" w:cs="SimSun" w:hint="eastAsia"/>
          <w:iCs/>
          <w:color w:val="000000" w:themeColor="text1"/>
          <w:kern w:val="22"/>
          <w:sz w:val="24"/>
          <w:lang w:val="en-US" w:eastAsia="zh-CN"/>
        </w:rPr>
        <w:t>有能力的缔约方、其他国家政府和相关利益攸关方和组织，包括区域和次区域科技合作支持中心，</w:t>
      </w:r>
      <w:r w:rsidRPr="001C3668">
        <w:rPr>
          <w:rFonts w:ascii="SimSun" w:hAnsi="SimSun" w:cs="SimSun" w:hint="eastAsia"/>
          <w:color w:val="000000" w:themeColor="text1"/>
          <w:kern w:val="22"/>
          <w:sz w:val="24"/>
          <w:lang w:val="en-US" w:eastAsia="zh-CN"/>
        </w:rPr>
        <w:t>顾及国情</w:t>
      </w:r>
      <w:r w:rsidRPr="001C3668">
        <w:rPr>
          <w:rFonts w:ascii="SimSun" w:hAnsi="SimSun" w:cs="SimSun" w:hint="eastAsia"/>
          <w:iCs/>
          <w:color w:val="000000" w:themeColor="text1"/>
          <w:kern w:val="22"/>
          <w:sz w:val="24"/>
          <w:lang w:val="en-US" w:eastAsia="zh-CN"/>
        </w:rPr>
        <w:t>、优先事项和法律：</w:t>
      </w:r>
    </w:p>
    <w:p w14:paraId="2C6620B3" w14:textId="77777777" w:rsidR="00044132" w:rsidRPr="001C3668" w:rsidRDefault="00044132" w:rsidP="00044132">
      <w:pPr>
        <w:tabs>
          <w:tab w:val="clear" w:pos="567"/>
          <w:tab w:val="clear" w:pos="1134"/>
          <w:tab w:val="clear" w:pos="1701"/>
          <w:tab w:val="clear" w:pos="2268"/>
        </w:tabs>
        <w:spacing w:after="120"/>
        <w:ind w:left="490" w:firstLine="490"/>
        <w:rPr>
          <w:rFonts w:eastAsia="Times New Roman"/>
          <w:iCs/>
          <w:color w:val="000000" w:themeColor="text1"/>
          <w:sz w:val="24"/>
          <w:szCs w:val="24"/>
          <w:lang w:val="en-US" w:eastAsia="zh-CN"/>
        </w:rPr>
      </w:pPr>
      <w:r w:rsidRPr="001C3668">
        <w:rPr>
          <w:rFonts w:eastAsia="Times New Roman"/>
          <w:iCs/>
          <w:color w:val="000000" w:themeColor="text1"/>
          <w:sz w:val="24"/>
          <w:szCs w:val="24"/>
          <w:lang w:val="en-US" w:eastAsia="zh-CN"/>
        </w:rPr>
        <w:t>(a)</w:t>
      </w:r>
      <w:r w:rsidRPr="001C3668">
        <w:rPr>
          <w:rFonts w:eastAsia="Times New Roman"/>
          <w:iCs/>
          <w:color w:val="000000" w:themeColor="text1"/>
          <w:sz w:val="24"/>
          <w:szCs w:val="24"/>
          <w:lang w:val="en-US" w:eastAsia="zh-CN"/>
        </w:rPr>
        <w:tab/>
      </w:r>
      <w:r w:rsidRPr="001C3668">
        <w:rPr>
          <w:rFonts w:ascii="SimSun" w:hAnsi="SimSun" w:cs="SimSun" w:hint="eastAsia"/>
          <w:iCs/>
          <w:color w:val="000000" w:themeColor="text1"/>
          <w:sz w:val="24"/>
          <w:szCs w:val="24"/>
          <w:lang w:val="en-US" w:eastAsia="zh-CN"/>
        </w:rPr>
        <w:t>根据《名古屋议定书》第</w:t>
      </w:r>
      <w:r w:rsidRPr="001C3668">
        <w:rPr>
          <w:rFonts w:eastAsia="Times New Roman"/>
          <w:iCs/>
          <w:color w:val="000000" w:themeColor="text1"/>
          <w:sz w:val="24"/>
          <w:szCs w:val="24"/>
          <w:lang w:val="en-US" w:eastAsia="zh-CN"/>
        </w:rPr>
        <w:t>22</w:t>
      </w:r>
      <w:r w:rsidRPr="001C3668">
        <w:rPr>
          <w:rFonts w:ascii="SimSun" w:hAnsi="SimSun" w:cs="SimSun" w:hint="eastAsia"/>
          <w:iCs/>
          <w:color w:val="000000" w:themeColor="text1"/>
          <w:sz w:val="24"/>
          <w:szCs w:val="24"/>
          <w:lang w:val="en-US" w:eastAsia="zh-CN"/>
        </w:rPr>
        <w:t>条和能力建设和发展行动计划加大努力，建设执行《名古屋议定书》的长期能力；</w:t>
      </w:r>
    </w:p>
    <w:p w14:paraId="65013590"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4"/>
          <w:lang w:val="en-US" w:eastAsia="zh-CN"/>
        </w:rPr>
        <w:t>(b)</w:t>
      </w:r>
      <w:r w:rsidRPr="00044132">
        <w:rPr>
          <w:rFonts w:eastAsia="DengXian" w:hint="eastAsia"/>
          <w:iCs/>
          <w:sz w:val="24"/>
          <w:szCs w:val="24"/>
          <w:lang w:val="en-US" w:eastAsia="zh-CN"/>
        </w:rPr>
        <w:t xml:space="preserve">  </w:t>
      </w:r>
      <w:r w:rsidRPr="00044132">
        <w:rPr>
          <w:rFonts w:ascii="SimSun" w:hAnsi="SimSun" w:cs="SimSun" w:hint="eastAsia"/>
          <w:iCs/>
          <w:sz w:val="24"/>
          <w:szCs w:val="24"/>
          <w:lang w:val="en-US" w:eastAsia="zh-CN"/>
        </w:rPr>
        <w:t>考虑到《名古屋议定书》成效第二次评估和审查的关键结论和讯息，包括缔约方需要进一步支持的领域，以及为加强执行《</w:t>
      </w:r>
      <w:r w:rsidRPr="00044132">
        <w:rPr>
          <w:rFonts w:ascii="SimSun" w:hAnsi="SimSun" w:cs="SimSun" w:hint="eastAsia"/>
          <w:iCs/>
          <w:color w:val="000080"/>
          <w:sz w:val="24"/>
          <w:szCs w:val="24"/>
          <w:lang w:val="en-US" w:eastAsia="zh-CN"/>
        </w:rPr>
        <w:t>名古屋</w:t>
      </w:r>
      <w:r w:rsidRPr="00044132">
        <w:rPr>
          <w:rFonts w:ascii="SimSun" w:hAnsi="SimSun" w:cs="SimSun" w:hint="eastAsia"/>
          <w:iCs/>
          <w:sz w:val="24"/>
          <w:szCs w:val="24"/>
          <w:lang w:val="en-US" w:eastAsia="zh-CN"/>
        </w:rPr>
        <w:t>议定书》而可以在国家一级采取的指示性行动</w:t>
      </w:r>
      <w:r w:rsidRPr="00044132">
        <w:rPr>
          <w:rFonts w:eastAsia="Times New Roman"/>
          <w:iCs/>
          <w:sz w:val="24"/>
          <w:szCs w:val="24"/>
          <w:vertAlign w:val="superscript"/>
          <w:lang w:val="en-US"/>
        </w:rPr>
        <w:footnoteReference w:id="2"/>
      </w:r>
      <w:r w:rsidRPr="00044132">
        <w:rPr>
          <w:rFonts w:ascii="SimSun" w:hAnsi="SimSun" w:cs="SimSun" w:hint="eastAsia"/>
          <w:iCs/>
          <w:sz w:val="24"/>
          <w:szCs w:val="24"/>
          <w:lang w:val="en-US" w:eastAsia="zh-CN"/>
        </w:rPr>
        <w:t>；</w:t>
      </w:r>
    </w:p>
    <w:p w14:paraId="7A70BA8A" w14:textId="77777777" w:rsidR="00044132" w:rsidRPr="00044132" w:rsidRDefault="00044132" w:rsidP="00044132">
      <w:pPr>
        <w:tabs>
          <w:tab w:val="clear" w:pos="567"/>
          <w:tab w:val="clear" w:pos="1134"/>
          <w:tab w:val="clear" w:pos="1701"/>
          <w:tab w:val="clear" w:pos="2268"/>
        </w:tabs>
        <w:spacing w:after="120"/>
        <w:ind w:left="490" w:firstLine="490"/>
        <w:rPr>
          <w:rFonts w:ascii="SimSun" w:hAnsi="SimSun" w:cs="SimSun"/>
          <w:iCs/>
          <w:sz w:val="24"/>
          <w:szCs w:val="28"/>
          <w:lang w:val="en-US" w:eastAsia="zh-CN"/>
        </w:rPr>
      </w:pPr>
      <w:r w:rsidRPr="00044132">
        <w:rPr>
          <w:rFonts w:eastAsia="Times New Roman"/>
          <w:iCs/>
          <w:sz w:val="24"/>
          <w:szCs w:val="28"/>
          <w:lang w:val="en-US" w:eastAsia="zh-CN"/>
        </w:rPr>
        <w:t>(c)</w:t>
      </w:r>
      <w:r w:rsidRPr="00044132">
        <w:rPr>
          <w:rFonts w:eastAsia="DengXian" w:hint="eastAsia"/>
          <w:iCs/>
          <w:sz w:val="24"/>
          <w:szCs w:val="28"/>
          <w:lang w:val="en-US" w:eastAsia="zh-CN"/>
        </w:rPr>
        <w:t xml:space="preserve">  </w:t>
      </w:r>
      <w:r w:rsidRPr="00044132">
        <w:rPr>
          <w:rFonts w:ascii="SimSun" w:hAnsi="SimSun" w:cs="SimSun" w:hint="eastAsia"/>
          <w:iCs/>
          <w:sz w:val="24"/>
          <w:szCs w:val="28"/>
          <w:lang w:val="en-US" w:eastAsia="zh-CN"/>
        </w:rPr>
        <w:t>强化国家当局执行《名古屋议定书》以及国内获取和惠益分享措施的能力，包括以有效和高效的方式开展以下工作的能力：根据《议定书》</w:t>
      </w:r>
      <w:proofErr w:type="gramStart"/>
      <w:r w:rsidRPr="00044132">
        <w:rPr>
          <w:iCs/>
          <w:sz w:val="24"/>
          <w:szCs w:val="28"/>
          <w:lang w:val="en-US" w:eastAsia="zh-CN"/>
        </w:rPr>
        <w:t>第</w:t>
      </w:r>
      <w:r w:rsidRPr="00044132">
        <w:rPr>
          <w:rFonts w:hint="eastAsia"/>
          <w:iCs/>
          <w:sz w:val="24"/>
          <w:szCs w:val="28"/>
          <w:lang w:val="en-US" w:eastAsia="zh-CN"/>
        </w:rPr>
        <w:t>[10]</w:t>
      </w:r>
      <w:r w:rsidRPr="00044132">
        <w:rPr>
          <w:rFonts w:hint="eastAsia"/>
          <w:iCs/>
          <w:sz w:val="24"/>
          <w:szCs w:val="28"/>
          <w:lang w:val="en-US" w:eastAsia="zh-CN"/>
        </w:rPr>
        <w:t>、</w:t>
      </w:r>
      <w:proofErr w:type="gramEnd"/>
      <w:r w:rsidRPr="00044132">
        <w:rPr>
          <w:iCs/>
          <w:sz w:val="24"/>
          <w:szCs w:val="28"/>
          <w:lang w:val="en-US" w:eastAsia="zh-CN"/>
        </w:rPr>
        <w:t>15</w:t>
      </w:r>
      <w:r w:rsidRPr="00044132">
        <w:rPr>
          <w:iCs/>
          <w:sz w:val="24"/>
          <w:szCs w:val="28"/>
          <w:lang w:val="en-US" w:eastAsia="zh-CN"/>
        </w:rPr>
        <w:t>、</w:t>
      </w:r>
      <w:r w:rsidRPr="00044132">
        <w:rPr>
          <w:iCs/>
          <w:sz w:val="24"/>
          <w:szCs w:val="28"/>
          <w:lang w:val="en-US" w:eastAsia="zh-CN"/>
        </w:rPr>
        <w:t>16</w:t>
      </w:r>
      <w:r w:rsidRPr="00044132">
        <w:rPr>
          <w:iCs/>
          <w:sz w:val="24"/>
          <w:szCs w:val="28"/>
          <w:lang w:val="en-US" w:eastAsia="zh-CN"/>
        </w:rPr>
        <w:t>、</w:t>
      </w:r>
      <w:r w:rsidRPr="00044132">
        <w:rPr>
          <w:iCs/>
          <w:sz w:val="24"/>
          <w:szCs w:val="28"/>
          <w:lang w:val="en-US" w:eastAsia="zh-CN"/>
        </w:rPr>
        <w:t>17</w:t>
      </w:r>
      <w:r w:rsidRPr="00044132">
        <w:rPr>
          <w:iCs/>
          <w:sz w:val="24"/>
          <w:szCs w:val="28"/>
          <w:lang w:val="en-US" w:eastAsia="zh-CN"/>
        </w:rPr>
        <w:t>和</w:t>
      </w:r>
      <w:r w:rsidRPr="00044132">
        <w:rPr>
          <w:iCs/>
          <w:sz w:val="24"/>
          <w:szCs w:val="28"/>
          <w:lang w:val="en-US" w:eastAsia="zh-CN"/>
        </w:rPr>
        <w:t>18</w:t>
      </w:r>
      <w:r w:rsidRPr="00044132">
        <w:rPr>
          <w:rFonts w:ascii="SimSun" w:hAnsi="SimSun" w:cs="SimSun" w:hint="eastAsia"/>
          <w:iCs/>
          <w:sz w:val="24"/>
          <w:szCs w:val="28"/>
          <w:lang w:val="en-US" w:eastAsia="zh-CN"/>
        </w:rPr>
        <w:t>条管理准予获取流程，对遗传资源用户的信息要求及时作出回应，谈判共同商定条件和确保遵守；</w:t>
      </w:r>
    </w:p>
    <w:p w14:paraId="51B1292E" w14:textId="4745CCD9"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8"/>
          <w:lang w:val="en-US" w:eastAsia="zh-CN"/>
        </w:rPr>
        <w:lastRenderedPageBreak/>
        <w:t>(d)</w:t>
      </w:r>
      <w:r w:rsidRPr="00044132">
        <w:rPr>
          <w:rFonts w:eastAsia="Times New Roman"/>
          <w:iCs/>
          <w:sz w:val="24"/>
          <w:szCs w:val="28"/>
          <w:lang w:val="en-US" w:eastAsia="zh-CN"/>
        </w:rPr>
        <w:tab/>
      </w:r>
      <w:r w:rsidRPr="00044132">
        <w:rPr>
          <w:rFonts w:ascii="SimSun" w:hAnsi="SimSun" w:cs="SimSun" w:hint="eastAsia"/>
          <w:iCs/>
          <w:sz w:val="24"/>
          <w:szCs w:val="24"/>
          <w:lang w:val="en-US" w:eastAsia="zh-CN"/>
        </w:rPr>
        <w:t>促进参与获取和惠益分享进程的广泛行为体交流执行《名古屋议定书》的经验、最佳做法、成功事例和教训以及制定指导意见，特别是关键结论和讯息所列领域的指导意见；</w:t>
      </w:r>
    </w:p>
    <w:p w14:paraId="1485BD07"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8"/>
          <w:lang w:val="en-US" w:eastAsia="zh-CN"/>
        </w:rPr>
        <w:t>(e)</w:t>
      </w:r>
      <w:r w:rsidRPr="00044132">
        <w:rPr>
          <w:rFonts w:eastAsia="DengXian" w:hint="eastAsia"/>
          <w:iCs/>
          <w:sz w:val="24"/>
          <w:szCs w:val="28"/>
          <w:lang w:val="en-US" w:eastAsia="zh-CN"/>
        </w:rPr>
        <w:t xml:space="preserve">  </w:t>
      </w:r>
      <w:r w:rsidRPr="00044132">
        <w:rPr>
          <w:rFonts w:ascii="SimSun" w:hAnsi="SimSun" w:cs="SimSun" w:hint="eastAsia"/>
          <w:iCs/>
          <w:sz w:val="24"/>
          <w:szCs w:val="24"/>
          <w:lang w:val="en-US" w:eastAsia="zh-CN"/>
        </w:rPr>
        <w:t>促进制定区域和全球举措，便利不同行为体包括在土著人民和地方社区交流经验教训；</w:t>
      </w:r>
    </w:p>
    <w:p w14:paraId="69B17DEC" w14:textId="77777777" w:rsidR="00044132" w:rsidRPr="00044132" w:rsidRDefault="00044132" w:rsidP="00044132">
      <w:pPr>
        <w:tabs>
          <w:tab w:val="clear" w:pos="567"/>
          <w:tab w:val="clear" w:pos="1134"/>
          <w:tab w:val="clear" w:pos="1701"/>
          <w:tab w:val="clear" w:pos="2268"/>
        </w:tabs>
        <w:spacing w:after="120"/>
        <w:ind w:left="490" w:firstLine="490"/>
        <w:rPr>
          <w:sz w:val="24"/>
          <w:u w:color="000000"/>
          <w:bdr w:val="nil"/>
          <w:lang w:val="en-US" w:eastAsia="zh-CN"/>
        </w:rPr>
      </w:pPr>
      <w:r w:rsidRPr="00044132">
        <w:rPr>
          <w:sz w:val="24"/>
          <w:szCs w:val="24"/>
          <w:u w:color="000000"/>
          <w:bdr w:val="nil"/>
          <w:lang w:val="en-US" w:eastAsia="zh-CN"/>
        </w:rPr>
        <w:t>(f)</w:t>
      </w:r>
      <w:r w:rsidRPr="00044132">
        <w:rPr>
          <w:rFonts w:hint="eastAsia"/>
          <w:sz w:val="24"/>
          <w:szCs w:val="24"/>
          <w:u w:color="000000"/>
          <w:bdr w:val="nil"/>
          <w:lang w:val="en-US" w:eastAsia="zh-CN"/>
        </w:rPr>
        <w:t xml:space="preserve">  </w:t>
      </w:r>
      <w:r w:rsidRPr="00044132">
        <w:rPr>
          <w:sz w:val="24"/>
          <w:u w:color="000000"/>
          <w:bdr w:val="nil"/>
          <w:lang w:val="en-US" w:eastAsia="zh-CN"/>
        </w:rPr>
        <w:t>建立或加强机制，促进遗传资源使用者和提供者和相关传统知识</w:t>
      </w:r>
      <w:r w:rsidRPr="00044132">
        <w:rPr>
          <w:rFonts w:hint="eastAsia"/>
          <w:sz w:val="24"/>
          <w:u w:color="000000"/>
          <w:bdr w:val="nil"/>
          <w:lang w:val="en-US" w:eastAsia="zh-CN"/>
        </w:rPr>
        <w:t>持有者</w:t>
      </w:r>
      <w:r w:rsidRPr="00044132">
        <w:rPr>
          <w:sz w:val="24"/>
          <w:u w:color="000000"/>
          <w:bdr w:val="nil"/>
          <w:lang w:val="en-US" w:eastAsia="zh-CN"/>
        </w:rPr>
        <w:t>之间的伙伴关系；</w:t>
      </w:r>
    </w:p>
    <w:p w14:paraId="5938B26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sz w:val="24"/>
          <w:szCs w:val="24"/>
          <w:u w:color="000000"/>
          <w:bdr w:val="nil"/>
          <w:lang w:val="en-US" w:eastAsia="zh-CN"/>
        </w:rPr>
        <w:t>(</w:t>
      </w:r>
      <w:r w:rsidRPr="00044132">
        <w:rPr>
          <w:rFonts w:hint="eastAsia"/>
          <w:sz w:val="24"/>
          <w:szCs w:val="24"/>
          <w:u w:color="000000"/>
          <w:bdr w:val="nil"/>
          <w:lang w:val="en-US" w:eastAsia="zh-CN"/>
        </w:rPr>
        <w:t>g</w:t>
      </w:r>
      <w:r w:rsidRPr="00044132">
        <w:rPr>
          <w:sz w:val="24"/>
          <w:szCs w:val="24"/>
          <w:u w:color="000000"/>
          <w:bdr w:val="nil"/>
          <w:lang w:val="en-US" w:eastAsia="zh-CN"/>
        </w:rPr>
        <w:t>)</w:t>
      </w:r>
      <w:r w:rsidRPr="00044132">
        <w:rPr>
          <w:rFonts w:hint="eastAsia"/>
          <w:sz w:val="24"/>
          <w:szCs w:val="24"/>
          <w:u w:color="000000"/>
          <w:bdr w:val="nil"/>
          <w:lang w:val="en-US" w:eastAsia="zh-CN"/>
        </w:rPr>
        <w:t xml:space="preserve">  </w:t>
      </w:r>
      <w:r w:rsidRPr="00044132">
        <w:rPr>
          <w:sz w:val="24"/>
          <w:u w:color="000000"/>
          <w:bdr w:val="nil"/>
          <w:lang w:val="en-US" w:eastAsia="zh-CN"/>
        </w:rPr>
        <w:t>通过获取和惠益分享信息交换所记录和分享执行《名古屋议定书》方面的经验教训、最佳做法以及能力建设和发展</w:t>
      </w:r>
      <w:r w:rsidRPr="00044132">
        <w:rPr>
          <w:rFonts w:hint="eastAsia"/>
          <w:sz w:val="24"/>
          <w:u w:color="000000"/>
          <w:bdr w:val="nil"/>
          <w:lang w:val="en-US" w:eastAsia="zh-CN"/>
        </w:rPr>
        <w:t>参考资料</w:t>
      </w:r>
      <w:r w:rsidRPr="00044132">
        <w:rPr>
          <w:sz w:val="24"/>
          <w:u w:color="000000"/>
          <w:bdr w:val="nil"/>
          <w:lang w:val="en-US" w:eastAsia="zh-CN"/>
        </w:rPr>
        <w:t>；</w:t>
      </w:r>
    </w:p>
    <w:p w14:paraId="6F211A4B" w14:textId="77777777" w:rsidR="00044132" w:rsidRPr="00044132" w:rsidRDefault="00044132" w:rsidP="00044132">
      <w:pPr>
        <w:tabs>
          <w:tab w:val="clear" w:pos="567"/>
          <w:tab w:val="clear" w:pos="1134"/>
          <w:tab w:val="clear" w:pos="1701"/>
          <w:tab w:val="clear" w:pos="2268"/>
        </w:tabs>
        <w:spacing w:after="120"/>
        <w:ind w:left="490" w:firstLine="490"/>
        <w:rPr>
          <w:sz w:val="24"/>
          <w:u w:color="000000"/>
          <w:bdr w:val="nil"/>
          <w:lang w:val="en-US" w:eastAsia="zh-CN"/>
        </w:rPr>
      </w:pPr>
      <w:r w:rsidRPr="00044132">
        <w:rPr>
          <w:sz w:val="24"/>
          <w:u w:color="000000"/>
          <w:bdr w:val="nil"/>
          <w:lang w:val="en-US" w:eastAsia="zh-CN"/>
        </w:rPr>
        <w:t>(</w:t>
      </w:r>
      <w:r w:rsidRPr="00044132">
        <w:rPr>
          <w:rFonts w:hint="eastAsia"/>
          <w:sz w:val="24"/>
          <w:u w:color="000000"/>
          <w:bdr w:val="nil"/>
          <w:lang w:val="en-US" w:eastAsia="zh-CN"/>
        </w:rPr>
        <w:t>h</w:t>
      </w:r>
      <w:r w:rsidRPr="00044132">
        <w:rPr>
          <w:sz w:val="24"/>
          <w:u w:color="000000"/>
          <w:bdr w:val="nil"/>
          <w:lang w:val="en-US" w:eastAsia="zh-CN"/>
        </w:rPr>
        <w:t>)</w:t>
      </w:r>
      <w:r w:rsidRPr="00044132">
        <w:rPr>
          <w:sz w:val="24"/>
          <w:u w:color="000000"/>
          <w:bdr w:val="nil"/>
          <w:lang w:val="en-US" w:eastAsia="zh-CN"/>
        </w:rPr>
        <w:tab/>
      </w:r>
      <w:r w:rsidRPr="00044132">
        <w:rPr>
          <w:sz w:val="24"/>
          <w:u w:color="000000"/>
          <w:bdr w:val="nil"/>
          <w:lang w:val="en-US" w:eastAsia="zh-CN"/>
        </w:rPr>
        <w:t>支持有助于获取和惠益分享以及遵守《名古屋议定书》的信息系统工作，并酌情使这些系统能够与获取和惠益分享信息交换所互操作；</w:t>
      </w:r>
    </w:p>
    <w:p w14:paraId="63FA9945" w14:textId="77777777" w:rsidR="00044132" w:rsidRPr="00044132" w:rsidRDefault="00044132" w:rsidP="00044132">
      <w:pPr>
        <w:tabs>
          <w:tab w:val="clear" w:pos="567"/>
          <w:tab w:val="clear" w:pos="1134"/>
          <w:tab w:val="clear" w:pos="1701"/>
          <w:tab w:val="clear" w:pos="2268"/>
        </w:tabs>
        <w:spacing w:after="120"/>
        <w:ind w:left="490" w:firstLine="490"/>
        <w:rPr>
          <w:sz w:val="24"/>
          <w:u w:color="000000"/>
          <w:bdr w:val="nil"/>
          <w:lang w:val="en-US" w:eastAsia="zh-CN"/>
        </w:rPr>
      </w:pPr>
      <w:r w:rsidRPr="00044132">
        <w:rPr>
          <w:sz w:val="24"/>
          <w:u w:color="000000"/>
          <w:bdr w:val="nil"/>
          <w:lang w:val="en-US" w:eastAsia="zh-CN"/>
        </w:rPr>
        <w:t>(</w:t>
      </w:r>
      <w:proofErr w:type="spellStart"/>
      <w:r w:rsidRPr="00044132">
        <w:rPr>
          <w:rFonts w:hint="eastAsia"/>
          <w:sz w:val="24"/>
          <w:u w:color="000000"/>
          <w:bdr w:val="nil"/>
          <w:lang w:val="en-US" w:eastAsia="zh-CN"/>
        </w:rPr>
        <w:t>i</w:t>
      </w:r>
      <w:proofErr w:type="spellEnd"/>
      <w:r w:rsidRPr="00044132">
        <w:rPr>
          <w:sz w:val="24"/>
          <w:u w:color="000000"/>
          <w:bdr w:val="nil"/>
          <w:lang w:val="en-US" w:eastAsia="zh-CN"/>
        </w:rPr>
        <w:t>)</w:t>
      </w:r>
      <w:r w:rsidRPr="00044132">
        <w:rPr>
          <w:sz w:val="24"/>
          <w:u w:color="000000"/>
          <w:bdr w:val="nil"/>
          <w:lang w:val="en-US" w:eastAsia="zh-CN"/>
        </w:rPr>
        <w:tab/>
      </w:r>
      <w:r w:rsidRPr="00044132">
        <w:rPr>
          <w:sz w:val="24"/>
          <w:u w:color="000000"/>
          <w:bdr w:val="nil"/>
          <w:lang w:val="en-US" w:eastAsia="zh-CN"/>
        </w:rPr>
        <w:t>支持土著人民和地方社区在获取和惠益分享信息交换所</w:t>
      </w:r>
      <w:r w:rsidRPr="00044132">
        <w:rPr>
          <w:rFonts w:hint="eastAsia"/>
          <w:sz w:val="24"/>
          <w:u w:color="000000"/>
          <w:bdr w:val="nil"/>
          <w:lang w:val="en-US" w:eastAsia="zh-CN"/>
        </w:rPr>
        <w:t>发布和</w:t>
      </w:r>
      <w:r w:rsidRPr="00044132">
        <w:rPr>
          <w:sz w:val="24"/>
          <w:u w:color="000000"/>
          <w:bdr w:val="nil"/>
          <w:lang w:val="en-US" w:eastAsia="zh-CN"/>
        </w:rPr>
        <w:t>使用信息，例如酌情将关于信息交换所的培训纳入相关的能力建设和发展活动；</w:t>
      </w:r>
    </w:p>
    <w:p w14:paraId="1FD6C6CF" w14:textId="77777777" w:rsidR="00044132" w:rsidRPr="00044132" w:rsidRDefault="00044132" w:rsidP="00044132">
      <w:pPr>
        <w:tabs>
          <w:tab w:val="clear" w:pos="567"/>
          <w:tab w:val="clear" w:pos="1134"/>
          <w:tab w:val="clear" w:pos="1701"/>
          <w:tab w:val="clear" w:pos="2268"/>
        </w:tabs>
        <w:spacing w:after="120"/>
        <w:ind w:left="490" w:firstLine="490"/>
        <w:rPr>
          <w:sz w:val="24"/>
          <w:lang w:val="en-US" w:eastAsia="zh-CN"/>
        </w:rPr>
      </w:pPr>
      <w:r w:rsidRPr="00044132">
        <w:rPr>
          <w:rFonts w:eastAsia="Times New Roman"/>
          <w:sz w:val="24"/>
          <w:lang w:val="en-US" w:eastAsia="zh-CN"/>
        </w:rPr>
        <w:t>3.</w:t>
      </w:r>
      <w:r w:rsidRPr="00044132">
        <w:rPr>
          <w:rFonts w:eastAsia="Times New Roman"/>
          <w:sz w:val="24"/>
          <w:lang w:val="en-US" w:eastAsia="zh-CN"/>
        </w:rPr>
        <w:tab/>
      </w:r>
      <w:r w:rsidRPr="00044132">
        <w:rPr>
          <w:rFonts w:ascii="KaiTi" w:eastAsia="KaiTi" w:hAnsi="KaiTi"/>
          <w:sz w:val="24"/>
          <w:lang w:val="en-US" w:eastAsia="zh-CN"/>
        </w:rPr>
        <w:t>邀请</w:t>
      </w:r>
      <w:r w:rsidRPr="00044132">
        <w:rPr>
          <w:sz w:val="24"/>
          <w:lang w:val="en-US" w:eastAsia="zh-CN"/>
        </w:rPr>
        <w:t>缔约方、其他国家政府、土著人民和地方社区以及相关利益攸关方和组织，</w:t>
      </w:r>
      <w:r w:rsidRPr="00044132">
        <w:rPr>
          <w:rFonts w:ascii="SimSun" w:hAnsi="SimSun" w:cs="SimSun"/>
          <w:iCs/>
          <w:kern w:val="22"/>
          <w:sz w:val="24"/>
          <w:lang w:val="en-US" w:eastAsia="zh-CN"/>
        </w:rPr>
        <w:t>酌情包括各</w:t>
      </w:r>
      <w:r w:rsidRPr="00044132">
        <w:rPr>
          <w:rFonts w:ascii="SimSun" w:hAnsi="SimSun" w:cs="SimSun" w:hint="eastAsia"/>
          <w:iCs/>
          <w:kern w:val="22"/>
          <w:sz w:val="24"/>
          <w:lang w:val="en-US" w:eastAsia="zh-CN"/>
        </w:rPr>
        <w:t>科技</w:t>
      </w:r>
      <w:r w:rsidRPr="00044132">
        <w:rPr>
          <w:rFonts w:ascii="SimSun" w:hAnsi="SimSun" w:cs="SimSun"/>
          <w:iCs/>
          <w:kern w:val="22"/>
          <w:sz w:val="24"/>
          <w:lang w:val="en-US" w:eastAsia="zh-CN"/>
        </w:rPr>
        <w:t>合作支持中心</w:t>
      </w:r>
      <w:r w:rsidRPr="00044132">
        <w:rPr>
          <w:sz w:val="24"/>
          <w:lang w:val="en-US" w:eastAsia="zh-CN"/>
        </w:rPr>
        <w:t>，</w:t>
      </w:r>
      <w:r w:rsidRPr="00044132">
        <w:rPr>
          <w:rFonts w:hint="eastAsia"/>
          <w:sz w:val="24"/>
          <w:lang w:val="en-US" w:eastAsia="zh-CN"/>
        </w:rPr>
        <w:t>在资源和国家优先事项允许的情况下，</w:t>
      </w:r>
      <w:r w:rsidRPr="00044132">
        <w:rPr>
          <w:sz w:val="24"/>
          <w:lang w:val="en-US" w:eastAsia="zh-CN"/>
        </w:rPr>
        <w:t>加强传播努力，包括通过针对不同获取和惠益分享行为体的宣传</w:t>
      </w:r>
      <w:r w:rsidRPr="00044132">
        <w:rPr>
          <w:rFonts w:hint="eastAsia"/>
          <w:sz w:val="24"/>
          <w:lang w:val="en-US" w:eastAsia="zh-CN"/>
        </w:rPr>
        <w:t>活动</w:t>
      </w:r>
      <w:r w:rsidRPr="00044132">
        <w:rPr>
          <w:sz w:val="24"/>
          <w:lang w:val="en-US" w:eastAsia="zh-CN"/>
        </w:rPr>
        <w:t>进行传播，并考虑：</w:t>
      </w:r>
    </w:p>
    <w:p w14:paraId="0D95A56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4"/>
          <w:lang w:val="en-US" w:eastAsia="zh-CN"/>
        </w:rPr>
        <w:t>(a)</w:t>
      </w:r>
      <w:r w:rsidRPr="00044132">
        <w:rPr>
          <w:rFonts w:eastAsia="Times New Roman"/>
          <w:iCs/>
          <w:sz w:val="24"/>
          <w:szCs w:val="24"/>
          <w:lang w:val="en-US" w:eastAsia="zh-CN"/>
        </w:rPr>
        <w:tab/>
      </w:r>
      <w:r w:rsidRPr="009026F2">
        <w:rPr>
          <w:rFonts w:ascii="SimSun" w:hAnsi="SimSun" w:cs="SimSun" w:hint="eastAsia"/>
          <w:iCs/>
          <w:color w:val="000000" w:themeColor="text1"/>
          <w:sz w:val="24"/>
          <w:szCs w:val="24"/>
          <w:lang w:val="en-US" w:eastAsia="zh-CN"/>
        </w:rPr>
        <w:t>根据关键结论和讯息</w:t>
      </w:r>
      <w:r w:rsidRPr="00044132">
        <w:rPr>
          <w:rFonts w:ascii="SimSun" w:hAnsi="SimSun" w:cs="SimSun" w:hint="eastAsia"/>
          <w:iCs/>
          <w:sz w:val="24"/>
          <w:szCs w:val="24"/>
          <w:lang w:val="en-US" w:eastAsia="zh-CN"/>
        </w:rPr>
        <w:t>宣传《生物多样性公约》</w:t>
      </w:r>
      <w:r w:rsidRPr="00044132">
        <w:rPr>
          <w:rFonts w:eastAsia="Times New Roman"/>
          <w:iCs/>
          <w:sz w:val="24"/>
          <w:szCs w:val="24"/>
          <w:vertAlign w:val="superscript"/>
          <w:lang w:val="en-US"/>
        </w:rPr>
        <w:footnoteReference w:id="3"/>
      </w:r>
      <w:r w:rsidRPr="00044132">
        <w:rPr>
          <w:rFonts w:ascii="SimSun" w:hAnsi="SimSun" w:cs="SimSun" w:hint="eastAsia"/>
          <w:iCs/>
          <w:sz w:val="24"/>
          <w:szCs w:val="24"/>
          <w:lang w:val="en-US" w:eastAsia="zh-CN"/>
        </w:rPr>
        <w:t>的第三个目标，即公正和公平分享利用遗传资源所产生的惠益，使其得到确认，被视为确定生物多样性的价值，支持生物多样性的保护和可持续利用，为可持续发展创造机会的一个战略；</w:t>
      </w:r>
    </w:p>
    <w:p w14:paraId="40F72EB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4"/>
          <w:lang w:val="en-US" w:eastAsia="zh-CN"/>
        </w:rPr>
        <w:t>(b)</w:t>
      </w:r>
      <w:r w:rsidRPr="00044132">
        <w:rPr>
          <w:rFonts w:eastAsia="Times New Roman"/>
          <w:iCs/>
          <w:sz w:val="24"/>
          <w:szCs w:val="24"/>
          <w:lang w:val="en-US" w:eastAsia="zh-CN"/>
        </w:rPr>
        <w:tab/>
      </w:r>
      <w:r w:rsidRPr="00044132">
        <w:rPr>
          <w:rFonts w:ascii="SimSun" w:hAnsi="SimSun" w:cs="SimSun" w:hint="eastAsia"/>
          <w:iCs/>
          <w:sz w:val="24"/>
          <w:szCs w:val="24"/>
          <w:lang w:val="en-US" w:eastAsia="zh-CN"/>
        </w:rPr>
        <w:t>继续执行《名古屋议定书》提高认识战略；</w:t>
      </w:r>
    </w:p>
    <w:p w14:paraId="65C81B90"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Cs/>
          <w:sz w:val="24"/>
          <w:szCs w:val="24"/>
          <w:lang w:val="en-US" w:eastAsia="zh-CN"/>
        </w:rPr>
      </w:pPr>
      <w:r w:rsidRPr="00044132">
        <w:rPr>
          <w:rFonts w:eastAsia="Times New Roman"/>
          <w:iCs/>
          <w:sz w:val="24"/>
          <w:szCs w:val="24"/>
          <w:lang w:val="en-US" w:eastAsia="zh-CN"/>
        </w:rPr>
        <w:t>(c)</w:t>
      </w:r>
      <w:r w:rsidRPr="00044132">
        <w:rPr>
          <w:rFonts w:eastAsia="Times New Roman"/>
          <w:iCs/>
          <w:sz w:val="24"/>
          <w:szCs w:val="24"/>
          <w:lang w:val="en-US" w:eastAsia="zh-CN"/>
        </w:rPr>
        <w:tab/>
      </w:r>
      <w:r w:rsidRPr="00044132">
        <w:rPr>
          <w:rFonts w:ascii="SimSun" w:hAnsi="SimSun" w:cs="SimSun" w:hint="eastAsia"/>
          <w:iCs/>
          <w:sz w:val="24"/>
          <w:szCs w:val="24"/>
          <w:lang w:val="en-US" w:eastAsia="zh-CN"/>
        </w:rPr>
        <w:t>利用现有工具，如传播、教育和公众意识工具包</w:t>
      </w:r>
      <w:r w:rsidRPr="00044132">
        <w:rPr>
          <w:rFonts w:eastAsia="Times New Roman"/>
          <w:iCs/>
          <w:sz w:val="24"/>
          <w:szCs w:val="24"/>
          <w:vertAlign w:val="superscript"/>
          <w:lang w:val="en-US"/>
        </w:rPr>
        <w:footnoteReference w:id="4"/>
      </w:r>
      <w:r w:rsidRPr="00044132">
        <w:rPr>
          <w:rFonts w:ascii="SimSun" w:hAnsi="SimSun" w:cs="SimSun" w:hint="eastAsia"/>
          <w:iCs/>
          <w:sz w:val="24"/>
          <w:szCs w:val="24"/>
          <w:lang w:val="en-US" w:eastAsia="zh-CN"/>
        </w:rPr>
        <w:t>，包括获取和利益分享考虑因素；</w:t>
      </w:r>
    </w:p>
    <w:p w14:paraId="48D6518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kern w:val="22"/>
          <w:sz w:val="24"/>
          <w:lang w:val="en-US" w:eastAsia="zh-CN"/>
        </w:rPr>
      </w:pPr>
      <w:r w:rsidRPr="00044132">
        <w:rPr>
          <w:rFonts w:eastAsia="Times New Roman"/>
          <w:kern w:val="22"/>
          <w:sz w:val="24"/>
          <w:lang w:val="en-US" w:eastAsia="zh-CN"/>
        </w:rPr>
        <w:t>4.</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请</w:t>
      </w:r>
      <w:r w:rsidRPr="00044132">
        <w:rPr>
          <w:rFonts w:ascii="SimSun" w:hAnsi="SimSun" w:cs="SimSun" w:hint="eastAsia"/>
          <w:kern w:val="22"/>
          <w:sz w:val="24"/>
          <w:lang w:val="en-US" w:eastAsia="zh-CN"/>
        </w:rPr>
        <w:t>执行秘书在资源允许的情况下：</w:t>
      </w:r>
    </w:p>
    <w:p w14:paraId="6102AFA9"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
          <w:sz w:val="24"/>
          <w:szCs w:val="24"/>
          <w:lang w:val="en-US" w:eastAsia="zh-CN"/>
        </w:rPr>
      </w:pPr>
      <w:r w:rsidRPr="00044132">
        <w:rPr>
          <w:rFonts w:eastAsia="Times New Roman"/>
          <w:sz w:val="24"/>
          <w:szCs w:val="28"/>
          <w:lang w:val="en-US" w:eastAsia="zh-CN"/>
        </w:rPr>
        <w:t>(</w:t>
      </w:r>
      <w:r w:rsidRPr="00044132">
        <w:rPr>
          <w:rFonts w:eastAsia="DengXian" w:hint="eastAsia"/>
          <w:sz w:val="24"/>
          <w:szCs w:val="28"/>
          <w:lang w:val="en-US" w:eastAsia="zh-CN"/>
        </w:rPr>
        <w:t>a</w:t>
      </w:r>
      <w:r w:rsidRPr="00044132">
        <w:rPr>
          <w:rFonts w:eastAsia="Times New Roman"/>
          <w:sz w:val="24"/>
          <w:szCs w:val="28"/>
          <w:lang w:val="en-US" w:eastAsia="zh-CN"/>
        </w:rPr>
        <w:t>)</w:t>
      </w:r>
      <w:r w:rsidRPr="00044132">
        <w:rPr>
          <w:rFonts w:eastAsia="Times New Roman"/>
          <w:sz w:val="24"/>
          <w:szCs w:val="28"/>
          <w:lang w:val="en-US" w:eastAsia="zh-CN"/>
        </w:rPr>
        <w:tab/>
      </w:r>
      <w:r w:rsidRPr="00044132">
        <w:rPr>
          <w:rFonts w:ascii="SimSun" w:hAnsi="SimSun" w:cs="SimSun" w:hint="eastAsia"/>
          <w:sz w:val="24"/>
          <w:szCs w:val="24"/>
          <w:lang w:val="en-US" w:eastAsia="zh-CN"/>
        </w:rPr>
        <w:t>协助和促进以上第</w:t>
      </w:r>
      <w:r w:rsidRPr="00044132">
        <w:rPr>
          <w:rFonts w:eastAsia="Times New Roman"/>
          <w:sz w:val="24"/>
          <w:szCs w:val="24"/>
          <w:lang w:val="en-US" w:eastAsia="zh-CN"/>
        </w:rPr>
        <w:t>3</w:t>
      </w:r>
      <w:r w:rsidRPr="00044132">
        <w:rPr>
          <w:rFonts w:ascii="SimSun" w:hAnsi="SimSun" w:cs="SimSun" w:hint="eastAsia"/>
          <w:sz w:val="24"/>
          <w:szCs w:val="24"/>
          <w:lang w:val="en-US" w:eastAsia="zh-CN"/>
        </w:rPr>
        <w:t>段所述行为体的传播努力，为此制作重点介绍成功事例和最佳做法的针对性宣传材料，并传播这些信息，包括通过获取和惠益分享信息交换所传播；</w:t>
      </w:r>
    </w:p>
    <w:p w14:paraId="3F19DDC1"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
          <w:sz w:val="24"/>
          <w:szCs w:val="24"/>
          <w:lang w:val="en-US" w:eastAsia="zh-CN"/>
        </w:rPr>
      </w:pPr>
      <w:r w:rsidRPr="00044132">
        <w:rPr>
          <w:rFonts w:eastAsia="Times New Roman"/>
          <w:sz w:val="24"/>
          <w:szCs w:val="24"/>
          <w:lang w:val="en-US" w:eastAsia="zh-CN"/>
        </w:rPr>
        <w:t>(b)</w:t>
      </w:r>
      <w:r w:rsidRPr="00044132">
        <w:rPr>
          <w:rFonts w:eastAsia="Times New Roman"/>
          <w:sz w:val="24"/>
          <w:szCs w:val="24"/>
          <w:lang w:val="en-US" w:eastAsia="zh-CN"/>
        </w:rPr>
        <w:tab/>
      </w:r>
      <w:r w:rsidRPr="00044132">
        <w:rPr>
          <w:rFonts w:ascii="SimSun" w:hAnsi="SimSun" w:cs="SimSun" w:hint="eastAsia"/>
          <w:sz w:val="24"/>
          <w:szCs w:val="24"/>
          <w:lang w:val="en-US" w:eastAsia="zh-CN"/>
        </w:rPr>
        <w:t>协助和促进上文第</w:t>
      </w:r>
      <w:r w:rsidRPr="00044132">
        <w:rPr>
          <w:rFonts w:eastAsia="Times New Roman"/>
          <w:sz w:val="24"/>
          <w:szCs w:val="24"/>
          <w:lang w:val="en-US" w:eastAsia="zh-CN"/>
        </w:rPr>
        <w:t>2(</w:t>
      </w:r>
      <w:r w:rsidRPr="00044132">
        <w:rPr>
          <w:rFonts w:eastAsia="DengXian" w:hint="eastAsia"/>
          <w:sz w:val="24"/>
          <w:szCs w:val="24"/>
          <w:lang w:val="en-US" w:eastAsia="zh-CN"/>
        </w:rPr>
        <w:t>d</w:t>
      </w:r>
      <w:r w:rsidRPr="00044132">
        <w:rPr>
          <w:rFonts w:eastAsia="Times New Roman"/>
          <w:sz w:val="24"/>
          <w:szCs w:val="24"/>
          <w:lang w:val="en-US" w:eastAsia="zh-CN"/>
        </w:rPr>
        <w:t>)</w:t>
      </w:r>
      <w:r w:rsidRPr="00044132">
        <w:rPr>
          <w:rFonts w:ascii="SimSun" w:hAnsi="SimSun" w:cs="SimSun" w:hint="eastAsia"/>
          <w:sz w:val="24"/>
          <w:szCs w:val="24"/>
          <w:lang w:val="en-US" w:eastAsia="zh-CN"/>
        </w:rPr>
        <w:t>和</w:t>
      </w:r>
      <w:r w:rsidRPr="00044132">
        <w:rPr>
          <w:rFonts w:eastAsia="Times New Roman"/>
          <w:sz w:val="24"/>
          <w:szCs w:val="24"/>
          <w:lang w:val="en-US" w:eastAsia="zh-CN"/>
        </w:rPr>
        <w:t>(</w:t>
      </w:r>
      <w:r w:rsidRPr="00044132">
        <w:rPr>
          <w:rFonts w:eastAsia="DengXian" w:hint="eastAsia"/>
          <w:sz w:val="24"/>
          <w:szCs w:val="24"/>
          <w:lang w:val="en-US" w:eastAsia="zh-CN"/>
        </w:rPr>
        <w:t>e</w:t>
      </w:r>
      <w:r w:rsidRPr="00044132">
        <w:rPr>
          <w:rFonts w:eastAsia="Times New Roman"/>
          <w:sz w:val="24"/>
          <w:szCs w:val="24"/>
          <w:lang w:val="en-US" w:eastAsia="zh-CN"/>
        </w:rPr>
        <w:t>)</w:t>
      </w:r>
      <w:r w:rsidRPr="00044132">
        <w:rPr>
          <w:rFonts w:ascii="SimSun" w:hAnsi="SimSun" w:cs="SimSun" w:hint="eastAsia"/>
          <w:sz w:val="24"/>
          <w:szCs w:val="24"/>
          <w:lang w:val="en-US" w:eastAsia="zh-CN"/>
        </w:rPr>
        <w:t>分段所述关于关键结论和讯息所列领域的交流，包括为此举办区域研讨会；</w:t>
      </w:r>
    </w:p>
    <w:p w14:paraId="5E5D1C83"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i/>
          <w:sz w:val="24"/>
          <w:szCs w:val="24"/>
          <w:lang w:val="en-US" w:eastAsia="zh-CN"/>
        </w:rPr>
      </w:pPr>
      <w:r w:rsidRPr="00044132">
        <w:rPr>
          <w:rFonts w:eastAsia="Times New Roman"/>
          <w:sz w:val="24"/>
          <w:szCs w:val="28"/>
          <w:lang w:val="en-US" w:eastAsia="zh-CN"/>
        </w:rPr>
        <w:t>(c)</w:t>
      </w:r>
      <w:r w:rsidRPr="00044132">
        <w:rPr>
          <w:rFonts w:eastAsia="Times New Roman"/>
          <w:sz w:val="24"/>
          <w:szCs w:val="28"/>
          <w:lang w:val="en-US" w:eastAsia="zh-CN"/>
        </w:rPr>
        <w:tab/>
      </w:r>
      <w:r w:rsidRPr="00044132">
        <w:rPr>
          <w:rFonts w:ascii="SimSun" w:hAnsi="SimSun" w:cs="SimSun" w:hint="eastAsia"/>
          <w:sz w:val="24"/>
          <w:szCs w:val="24"/>
          <w:lang w:val="en-US" w:eastAsia="zh-CN"/>
        </w:rPr>
        <w:t>促进获取和惠益分享纳入区域或次区域能力建设和发展举措、现有合作框架以及包括科技合作支持中心在内的相关区域和次区域机构的工作，通过这些中心支持《名古屋议定书》第17条所述检查点的设立和实施；</w:t>
      </w:r>
    </w:p>
    <w:p w14:paraId="351BC0E8" w14:textId="2ED668C2" w:rsidR="00044132" w:rsidRPr="00044132" w:rsidRDefault="00044132" w:rsidP="00044132">
      <w:pPr>
        <w:tabs>
          <w:tab w:val="clear" w:pos="567"/>
          <w:tab w:val="clear" w:pos="1134"/>
          <w:tab w:val="clear" w:pos="1701"/>
          <w:tab w:val="clear" w:pos="2268"/>
        </w:tabs>
        <w:spacing w:after="120"/>
        <w:ind w:left="490" w:firstLine="490"/>
        <w:rPr>
          <w:rFonts w:eastAsia="Times New Roman"/>
          <w:i/>
          <w:sz w:val="24"/>
          <w:szCs w:val="28"/>
          <w:lang w:val="en-US" w:eastAsia="zh-CN"/>
        </w:rPr>
      </w:pPr>
      <w:r w:rsidRPr="00044132">
        <w:rPr>
          <w:rFonts w:eastAsia="Times New Roman"/>
          <w:iCs/>
          <w:sz w:val="24"/>
          <w:szCs w:val="28"/>
          <w:lang w:val="en-US" w:eastAsia="zh-CN"/>
        </w:rPr>
        <w:t>(d)</w:t>
      </w:r>
      <w:r w:rsidRPr="00044132">
        <w:rPr>
          <w:rFonts w:eastAsia="Times New Roman"/>
          <w:iCs/>
          <w:sz w:val="24"/>
          <w:szCs w:val="28"/>
          <w:lang w:val="en-US" w:eastAsia="zh-CN"/>
        </w:rPr>
        <w:tab/>
      </w:r>
      <w:r w:rsidRPr="00044132">
        <w:rPr>
          <w:rFonts w:ascii="SimSun" w:hAnsi="SimSun" w:cs="SimSun" w:hint="eastAsia"/>
          <w:iCs/>
          <w:sz w:val="24"/>
          <w:szCs w:val="24"/>
          <w:lang w:val="en-US" w:eastAsia="zh-CN"/>
        </w:rPr>
        <w:t>促进</w:t>
      </w:r>
      <w:r w:rsidR="005C67A8">
        <w:rPr>
          <w:rFonts w:ascii="SimSun" w:hAnsi="SimSun" w:cs="SimSun" w:hint="eastAsia"/>
          <w:iCs/>
          <w:sz w:val="24"/>
          <w:szCs w:val="24"/>
          <w:lang w:val="en-US" w:eastAsia="zh-CN"/>
        </w:rPr>
        <w:t>与</w:t>
      </w:r>
      <w:r w:rsidR="005C67A8" w:rsidRPr="005C67A8">
        <w:rPr>
          <w:rFonts w:ascii="SimSun" w:hAnsi="SimSun" w:cs="SimSun" w:hint="eastAsia"/>
          <w:iCs/>
          <w:sz w:val="24"/>
          <w:szCs w:val="24"/>
          <w:lang w:val="en-US" w:eastAsia="zh-CN"/>
        </w:rPr>
        <w:t>相关多边环境协定</w:t>
      </w:r>
      <w:r w:rsidR="005C67A8">
        <w:rPr>
          <w:rFonts w:ascii="SimSun" w:hAnsi="SimSun" w:cs="SimSun" w:hint="eastAsia"/>
          <w:iCs/>
          <w:sz w:val="24"/>
          <w:szCs w:val="24"/>
          <w:lang w:val="en-US" w:eastAsia="zh-CN"/>
        </w:rPr>
        <w:t>以及</w:t>
      </w:r>
      <w:r w:rsidR="005C67A8" w:rsidRPr="005C67A8">
        <w:rPr>
          <w:rFonts w:ascii="SimSun" w:hAnsi="SimSun" w:cs="SimSun" w:hint="eastAsia"/>
          <w:iCs/>
          <w:sz w:val="24"/>
          <w:szCs w:val="24"/>
          <w:lang w:val="en-US" w:eastAsia="zh-CN"/>
        </w:rPr>
        <w:t>其他处理获取和惠益分享的</w:t>
      </w:r>
      <w:r w:rsidR="005C67A8">
        <w:rPr>
          <w:rFonts w:ascii="SimSun" w:hAnsi="SimSun" w:cs="SimSun" w:hint="eastAsia"/>
          <w:iCs/>
          <w:sz w:val="24"/>
          <w:szCs w:val="24"/>
          <w:lang w:val="en-US" w:eastAsia="zh-CN"/>
        </w:rPr>
        <w:t>国际协定和</w:t>
      </w:r>
      <w:r w:rsidR="005C67A8" w:rsidRPr="005C67A8">
        <w:rPr>
          <w:rFonts w:ascii="SimSun" w:hAnsi="SimSun" w:cs="SimSun" w:hint="eastAsia"/>
          <w:iCs/>
          <w:sz w:val="24"/>
          <w:szCs w:val="24"/>
          <w:lang w:val="en-US" w:eastAsia="zh-CN"/>
        </w:rPr>
        <w:t>相关国际组织</w:t>
      </w:r>
      <w:r w:rsidR="005C67A8">
        <w:rPr>
          <w:rFonts w:ascii="SimSun" w:hAnsi="SimSun" w:cs="SimSun" w:hint="eastAsia"/>
          <w:iCs/>
          <w:sz w:val="24"/>
          <w:szCs w:val="24"/>
          <w:lang w:val="en-US" w:eastAsia="zh-CN"/>
        </w:rPr>
        <w:t>秘书处</w:t>
      </w:r>
      <w:r w:rsidR="005C67A8" w:rsidRPr="005C67A8">
        <w:rPr>
          <w:rFonts w:ascii="SimSun" w:hAnsi="SimSun" w:cs="SimSun" w:hint="eastAsia"/>
          <w:iCs/>
          <w:sz w:val="24"/>
          <w:szCs w:val="24"/>
          <w:lang w:val="en-US" w:eastAsia="zh-CN"/>
        </w:rPr>
        <w:t>之间的合作、协作和协同</w:t>
      </w:r>
      <w:r w:rsidR="005C67A8">
        <w:rPr>
          <w:rFonts w:ascii="SimSun" w:hAnsi="SimSun" w:cs="SimSun" w:hint="eastAsia"/>
          <w:iCs/>
          <w:sz w:val="24"/>
          <w:szCs w:val="24"/>
          <w:lang w:val="en-US" w:eastAsia="zh-CN"/>
        </w:rPr>
        <w:t>增效</w:t>
      </w:r>
      <w:r w:rsidR="005C67A8" w:rsidRPr="005C67A8">
        <w:rPr>
          <w:rFonts w:ascii="SimSun" w:hAnsi="SimSun" w:cs="SimSun" w:hint="eastAsia"/>
          <w:iCs/>
          <w:sz w:val="24"/>
          <w:szCs w:val="24"/>
          <w:lang w:val="en-US" w:eastAsia="zh-CN"/>
        </w:rPr>
        <w:t>，</w:t>
      </w:r>
      <w:r w:rsidR="005C67A8">
        <w:rPr>
          <w:rFonts w:ascii="SimSun" w:hAnsi="SimSun" w:cs="SimSun" w:hint="eastAsia"/>
          <w:iCs/>
          <w:sz w:val="24"/>
          <w:szCs w:val="24"/>
          <w:lang w:val="en-US" w:eastAsia="zh-CN"/>
        </w:rPr>
        <w:t>同时</w:t>
      </w:r>
      <w:r w:rsidR="005C67A8" w:rsidRPr="005C67A8">
        <w:rPr>
          <w:rFonts w:ascii="SimSun" w:hAnsi="SimSun" w:cs="SimSun" w:hint="eastAsia"/>
          <w:iCs/>
          <w:sz w:val="24"/>
          <w:szCs w:val="24"/>
          <w:lang w:val="en-US" w:eastAsia="zh-CN"/>
        </w:rPr>
        <w:t>考虑到它们各自的任务和范围；</w:t>
      </w:r>
    </w:p>
    <w:p w14:paraId="04C44CAA" w14:textId="77777777" w:rsidR="00044132" w:rsidRPr="00044132" w:rsidRDefault="00044132" w:rsidP="00044132">
      <w:pPr>
        <w:tabs>
          <w:tab w:val="clear" w:pos="567"/>
          <w:tab w:val="clear" w:pos="1134"/>
          <w:tab w:val="clear" w:pos="1701"/>
          <w:tab w:val="clear" w:pos="2268"/>
        </w:tabs>
        <w:spacing w:before="240" w:after="120"/>
        <w:ind w:left="490"/>
        <w:rPr>
          <w:bCs/>
          <w:sz w:val="24"/>
          <w:lang w:val="en-US" w:eastAsia="zh-CN"/>
        </w:rPr>
      </w:pPr>
      <w:r w:rsidRPr="00044132">
        <w:rPr>
          <w:rFonts w:hint="eastAsia"/>
          <w:b/>
          <w:bCs/>
          <w:sz w:val="24"/>
          <w:lang w:val="en-US" w:eastAsia="zh-CN"/>
        </w:rPr>
        <w:lastRenderedPageBreak/>
        <w:t>二</w:t>
      </w:r>
      <w:r w:rsidRPr="00044132">
        <w:rPr>
          <w:b/>
          <w:bCs/>
          <w:sz w:val="24"/>
          <w:lang w:val="en-US" w:eastAsia="zh-CN"/>
        </w:rPr>
        <w:br/>
      </w:r>
      <w:r w:rsidRPr="00044132">
        <w:rPr>
          <w:b/>
          <w:bCs/>
          <w:sz w:val="24"/>
          <w:lang w:val="en-US" w:eastAsia="zh-CN"/>
        </w:rPr>
        <w:t>获取和惠益分享信息交换所</w:t>
      </w:r>
      <w:r w:rsidRPr="00044132">
        <w:rPr>
          <w:rFonts w:hint="eastAsia"/>
          <w:b/>
          <w:bCs/>
          <w:sz w:val="24"/>
          <w:lang w:val="en-US" w:eastAsia="zh-CN"/>
        </w:rPr>
        <w:t>与</w:t>
      </w:r>
      <w:r w:rsidRPr="00044132">
        <w:rPr>
          <w:b/>
          <w:bCs/>
          <w:sz w:val="24"/>
          <w:lang w:val="en-US" w:eastAsia="zh-CN"/>
        </w:rPr>
        <w:t>信息分享</w:t>
      </w:r>
    </w:p>
    <w:p w14:paraId="79BDDB10"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kern w:val="22"/>
          <w:sz w:val="24"/>
          <w:lang w:val="en-US" w:eastAsia="zh-CN"/>
        </w:rPr>
      </w:pPr>
      <w:r w:rsidRPr="00044132">
        <w:rPr>
          <w:rFonts w:eastAsia="Times New Roman"/>
          <w:kern w:val="22"/>
          <w:sz w:val="24"/>
          <w:lang w:val="en-US" w:eastAsia="zh-CN"/>
        </w:rPr>
        <w:t>5.</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强调</w:t>
      </w:r>
      <w:r w:rsidRPr="00044132">
        <w:rPr>
          <w:rFonts w:ascii="SimSun" w:hAnsi="SimSun" w:cs="SimSun" w:hint="eastAsia"/>
          <w:kern w:val="22"/>
          <w:sz w:val="24"/>
          <w:lang w:val="en-US" w:eastAsia="zh-CN"/>
        </w:rPr>
        <w:t>获取和惠益分享信息交换所在支持有效执行《名古屋议定书》方面的关键作用；</w:t>
      </w:r>
    </w:p>
    <w:p w14:paraId="0389F5B1" w14:textId="6D5FC6B6" w:rsidR="00044132" w:rsidRPr="00044132" w:rsidRDefault="00044132" w:rsidP="00C34046">
      <w:pPr>
        <w:tabs>
          <w:tab w:val="clear" w:pos="567"/>
          <w:tab w:val="clear" w:pos="1134"/>
          <w:tab w:val="clear" w:pos="1701"/>
          <w:tab w:val="clear" w:pos="2268"/>
          <w:tab w:val="left" w:pos="1530"/>
        </w:tabs>
        <w:spacing w:after="120"/>
        <w:ind w:left="490" w:firstLine="500"/>
        <w:rPr>
          <w:rFonts w:eastAsia="Times New Roman"/>
          <w:kern w:val="22"/>
          <w:sz w:val="24"/>
          <w:lang w:val="en-US" w:eastAsia="zh-CN"/>
        </w:rPr>
      </w:pPr>
      <w:r w:rsidRPr="00044132">
        <w:rPr>
          <w:rFonts w:eastAsia="Times New Roman"/>
          <w:kern w:val="22"/>
          <w:sz w:val="24"/>
          <w:lang w:val="en-US" w:eastAsia="zh-CN"/>
        </w:rPr>
        <w:t>6.</w:t>
      </w:r>
      <w:r w:rsidR="00C34046">
        <w:rPr>
          <w:rFonts w:eastAsia="Times New Roman"/>
          <w:kern w:val="22"/>
          <w:sz w:val="24"/>
          <w:lang w:val="en-US" w:eastAsia="zh-CN"/>
        </w:rPr>
        <w:tab/>
      </w:r>
      <w:r w:rsidRPr="00044132">
        <w:rPr>
          <w:rFonts w:ascii="KaiTi" w:eastAsia="KaiTi" w:hAnsi="KaiTi" w:cs="SimSun" w:hint="eastAsia"/>
          <w:kern w:val="22"/>
          <w:sz w:val="24"/>
          <w:lang w:val="en-US" w:eastAsia="zh-CN"/>
        </w:rPr>
        <w:t>强调</w:t>
      </w:r>
      <w:r w:rsidRPr="00044132">
        <w:rPr>
          <w:rFonts w:ascii="SimSun" w:hAnsi="SimSun" w:cs="SimSun" w:hint="eastAsia"/>
          <w:kern w:val="22"/>
          <w:sz w:val="24"/>
          <w:lang w:val="en-US" w:eastAsia="zh-CN"/>
        </w:rPr>
        <w:t>缔约方必须通过获取和惠益分享信息交换所发布其掌握的所有规定信息，确保不断更新这些信息，以提高《名古屋议定书》的成效；</w:t>
      </w:r>
    </w:p>
    <w:p w14:paraId="5EA34AF6"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kern w:val="22"/>
          <w:sz w:val="24"/>
          <w:lang w:val="en-US" w:eastAsia="zh-CN"/>
        </w:rPr>
      </w:pPr>
      <w:r w:rsidRPr="00044132">
        <w:rPr>
          <w:rFonts w:eastAsia="Times New Roman"/>
          <w:kern w:val="22"/>
          <w:sz w:val="24"/>
          <w:lang w:val="en-US" w:eastAsia="zh-CN"/>
        </w:rPr>
        <w:t>7.</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请</w:t>
      </w:r>
      <w:r w:rsidRPr="00044132">
        <w:rPr>
          <w:rFonts w:ascii="SimSun" w:hAnsi="SimSun" w:cs="SimSun" w:hint="eastAsia"/>
          <w:kern w:val="22"/>
          <w:sz w:val="24"/>
          <w:lang w:val="en-US" w:eastAsia="zh-CN"/>
        </w:rPr>
        <w:t>缔约方按照《名古屋议定书》第</w:t>
      </w:r>
      <w:r w:rsidRPr="00044132">
        <w:rPr>
          <w:rFonts w:eastAsia="Times New Roman"/>
          <w:kern w:val="22"/>
          <w:sz w:val="24"/>
          <w:lang w:val="en-US" w:eastAsia="zh-CN"/>
        </w:rPr>
        <w:t>14</w:t>
      </w:r>
      <w:r w:rsidRPr="00044132">
        <w:rPr>
          <w:rFonts w:ascii="SimSun" w:hAnsi="SimSun" w:cs="SimSun" w:hint="eastAsia"/>
          <w:kern w:val="22"/>
          <w:sz w:val="24"/>
          <w:lang w:val="en-US" w:eastAsia="zh-CN"/>
        </w:rPr>
        <w:t>条，在获取和惠益分享信息交换所提供最新、准确和实用的信息，介绍获取和惠益分享程序以及国家示范合同条款；</w:t>
      </w:r>
    </w:p>
    <w:p w14:paraId="397F9A0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color w:val="000080"/>
          <w:kern w:val="22"/>
          <w:sz w:val="24"/>
          <w:lang w:val="en-US" w:eastAsia="zh-CN"/>
        </w:rPr>
      </w:pPr>
      <w:r w:rsidRPr="00044132">
        <w:rPr>
          <w:rFonts w:eastAsia="Times New Roman"/>
          <w:kern w:val="22"/>
          <w:sz w:val="24"/>
          <w:lang w:val="en-US" w:eastAsia="zh-CN"/>
        </w:rPr>
        <w:t>8.</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关切地注意到</w:t>
      </w:r>
      <w:r w:rsidRPr="00044132">
        <w:rPr>
          <w:rFonts w:ascii="SimSun" w:hAnsi="SimSun" w:cs="SimSun" w:hint="eastAsia"/>
          <w:kern w:val="22"/>
          <w:sz w:val="24"/>
          <w:lang w:val="en-US" w:eastAsia="zh-CN"/>
        </w:rPr>
        <w:t>许多缔约方尚未通过获取和惠益分享信息交换所发布其掌握的所有规定信息，敦促这些缔约方按照《名古屋议定书》第</w:t>
      </w:r>
      <w:r w:rsidRPr="00044132">
        <w:rPr>
          <w:rFonts w:eastAsia="Times New Roman"/>
          <w:kern w:val="22"/>
          <w:sz w:val="24"/>
          <w:lang w:val="en-US" w:eastAsia="zh-CN"/>
        </w:rPr>
        <w:t>14</w:t>
      </w:r>
      <w:r w:rsidRPr="00044132">
        <w:rPr>
          <w:rFonts w:ascii="SimSun" w:hAnsi="SimSun" w:cs="SimSun" w:hint="eastAsia"/>
          <w:kern w:val="22"/>
          <w:sz w:val="24"/>
          <w:lang w:val="en-US" w:eastAsia="zh-CN"/>
        </w:rPr>
        <w:t>条的要求尽快发布这些信息，并不断加以更新；</w:t>
      </w:r>
    </w:p>
    <w:p w14:paraId="6F44F680"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kern w:val="22"/>
          <w:sz w:val="24"/>
          <w:lang w:val="en-US" w:eastAsia="zh-CN"/>
        </w:rPr>
      </w:pPr>
      <w:r w:rsidRPr="00044132">
        <w:rPr>
          <w:rFonts w:eastAsia="Times New Roman"/>
          <w:kern w:val="22"/>
          <w:sz w:val="24"/>
          <w:lang w:val="en-US" w:eastAsia="zh-CN"/>
        </w:rPr>
        <w:t>9.</w:t>
      </w:r>
      <w:r w:rsidRPr="00044132">
        <w:rPr>
          <w:rFonts w:eastAsia="Times New Roman"/>
          <w:kern w:val="22"/>
          <w:sz w:val="24"/>
          <w:lang w:val="en-US" w:eastAsia="zh-CN"/>
        </w:rPr>
        <w:tab/>
      </w:r>
      <w:r w:rsidRPr="00044132">
        <w:rPr>
          <w:rFonts w:ascii="KaiTi" w:eastAsia="KaiTi" w:hAnsi="KaiTi"/>
          <w:sz w:val="24"/>
          <w:lang w:val="en-US" w:eastAsia="zh-CN"/>
        </w:rPr>
        <w:t>鼓励</w:t>
      </w:r>
      <w:r w:rsidRPr="00044132">
        <w:rPr>
          <w:sz w:val="24"/>
          <w:lang w:val="en-US" w:eastAsia="zh-CN"/>
        </w:rPr>
        <w:t>缔约方利用获取和惠益分享信息交换所与相关国家信息系统之间的互操作性，</w:t>
      </w:r>
      <w:r w:rsidRPr="00044132">
        <w:rPr>
          <w:rFonts w:hint="eastAsia"/>
          <w:sz w:val="24"/>
          <w:lang w:val="en-US" w:eastAsia="zh-CN"/>
        </w:rPr>
        <w:t>为</w:t>
      </w:r>
      <w:r w:rsidRPr="00044132">
        <w:rPr>
          <w:sz w:val="24"/>
          <w:lang w:val="en-US" w:eastAsia="zh-CN"/>
        </w:rPr>
        <w:t>发布与国际公认</w:t>
      </w:r>
      <w:r w:rsidRPr="00044132">
        <w:rPr>
          <w:rFonts w:hint="eastAsia"/>
          <w:sz w:val="24"/>
          <w:lang w:val="en-US" w:eastAsia="zh-CN"/>
        </w:rPr>
        <w:t>遵守</w:t>
      </w:r>
      <w:r w:rsidRPr="00044132">
        <w:rPr>
          <w:sz w:val="24"/>
          <w:lang w:val="en-US" w:eastAsia="zh-CN"/>
        </w:rPr>
        <w:t>证书和检查点公报有关的信息</w:t>
      </w:r>
      <w:r w:rsidRPr="00044132">
        <w:rPr>
          <w:rFonts w:hint="eastAsia"/>
          <w:sz w:val="24"/>
          <w:lang w:val="en-US" w:eastAsia="zh-CN"/>
        </w:rPr>
        <w:t>提供便利</w:t>
      </w:r>
      <w:r w:rsidRPr="00044132">
        <w:rPr>
          <w:sz w:val="24"/>
          <w:lang w:val="en-US" w:eastAsia="zh-CN"/>
        </w:rPr>
        <w:t>；</w:t>
      </w:r>
    </w:p>
    <w:p w14:paraId="43B18549" w14:textId="77777777" w:rsidR="00044132" w:rsidRPr="00044132" w:rsidRDefault="00044132" w:rsidP="00044132">
      <w:pPr>
        <w:keepNext/>
        <w:tabs>
          <w:tab w:val="clear" w:pos="567"/>
          <w:tab w:val="clear" w:pos="1134"/>
          <w:tab w:val="clear" w:pos="1701"/>
          <w:tab w:val="clear" w:pos="2268"/>
        </w:tabs>
        <w:spacing w:after="120"/>
        <w:ind w:left="490" w:firstLine="490"/>
        <w:rPr>
          <w:rFonts w:eastAsia="Times New Roman"/>
          <w:color w:val="000080"/>
          <w:kern w:val="22"/>
          <w:sz w:val="24"/>
          <w:lang w:val="en-US" w:eastAsia="zh-CN"/>
        </w:rPr>
      </w:pPr>
      <w:r w:rsidRPr="00044132">
        <w:rPr>
          <w:rFonts w:eastAsia="Times New Roman"/>
          <w:kern w:val="22"/>
          <w:sz w:val="24"/>
          <w:lang w:val="en-US" w:eastAsia="zh-CN"/>
        </w:rPr>
        <w:t>10.</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请</w:t>
      </w:r>
      <w:r w:rsidRPr="00044132">
        <w:rPr>
          <w:rFonts w:ascii="SimSun" w:hAnsi="SimSun" w:cs="SimSun" w:hint="eastAsia"/>
          <w:kern w:val="22"/>
          <w:sz w:val="24"/>
          <w:lang w:val="en-US" w:eastAsia="zh-CN"/>
        </w:rPr>
        <w:t>执行秘书在资源允许的情况下：</w:t>
      </w:r>
    </w:p>
    <w:p w14:paraId="0C5313DF" w14:textId="77777777" w:rsidR="00044132" w:rsidRPr="00044132" w:rsidRDefault="00044132" w:rsidP="00044132">
      <w:pPr>
        <w:tabs>
          <w:tab w:val="clear" w:pos="567"/>
          <w:tab w:val="clear" w:pos="1134"/>
          <w:tab w:val="clear" w:pos="1701"/>
          <w:tab w:val="clear" w:pos="2268"/>
        </w:tabs>
        <w:spacing w:after="120"/>
        <w:ind w:left="490" w:firstLine="490"/>
        <w:rPr>
          <w:sz w:val="24"/>
          <w:lang w:val="en-US" w:eastAsia="zh-CN"/>
        </w:rPr>
      </w:pPr>
      <w:r w:rsidRPr="00044132">
        <w:rPr>
          <w:sz w:val="24"/>
          <w:lang w:val="en-US" w:eastAsia="zh-CN"/>
        </w:rPr>
        <w:t>(a)</w:t>
      </w:r>
      <w:r w:rsidRPr="00044132">
        <w:rPr>
          <w:sz w:val="24"/>
          <w:lang w:val="en-US" w:eastAsia="zh-CN"/>
        </w:rPr>
        <w:tab/>
      </w:r>
      <w:bookmarkStart w:id="0" w:name="_Hlk235005115"/>
      <w:r w:rsidRPr="00044132">
        <w:rPr>
          <w:sz w:val="24"/>
          <w:lang w:val="en-US" w:eastAsia="zh-CN"/>
        </w:rPr>
        <w:t>进一步发展获取和惠益分享信息交换所，并鼓励按照信息交换所的运作模式通过其发布和使用信息，同时</w:t>
      </w:r>
      <w:r w:rsidRPr="00044132">
        <w:rPr>
          <w:rFonts w:hint="eastAsia"/>
          <w:sz w:val="24"/>
          <w:lang w:val="en-US" w:eastAsia="zh-CN"/>
        </w:rPr>
        <w:t>顾及：</w:t>
      </w:r>
    </w:p>
    <w:p w14:paraId="6A2DF706" w14:textId="77777777" w:rsidR="00044132" w:rsidRPr="00044132" w:rsidRDefault="00044132" w:rsidP="00044132">
      <w:pPr>
        <w:tabs>
          <w:tab w:val="clear" w:pos="567"/>
          <w:tab w:val="clear" w:pos="1134"/>
          <w:tab w:val="clear" w:pos="1701"/>
          <w:tab w:val="clear" w:pos="2268"/>
        </w:tabs>
        <w:spacing w:before="120" w:after="120"/>
        <w:ind w:left="1469" w:hanging="490"/>
        <w:rPr>
          <w:rFonts w:eastAsia="Times New Roman"/>
          <w:sz w:val="24"/>
          <w:szCs w:val="24"/>
          <w:lang w:eastAsia="zh-CN"/>
        </w:rPr>
      </w:pPr>
      <w:r w:rsidRPr="00044132">
        <w:rPr>
          <w:sz w:val="24"/>
          <w:szCs w:val="24"/>
          <w:lang w:eastAsia="zh-CN"/>
        </w:rPr>
        <w:t>(</w:t>
      </w:r>
      <w:r w:rsidRPr="00044132">
        <w:rPr>
          <w:sz w:val="24"/>
          <w:szCs w:val="24"/>
          <w:lang w:eastAsia="zh-CN"/>
        </w:rPr>
        <w:t>一</w:t>
      </w:r>
      <w:r w:rsidRPr="00044132">
        <w:rPr>
          <w:sz w:val="24"/>
          <w:szCs w:val="24"/>
          <w:lang w:eastAsia="zh-CN"/>
        </w:rPr>
        <w:t>)</w:t>
      </w:r>
      <w:r w:rsidRPr="00044132">
        <w:rPr>
          <w:rFonts w:eastAsia="Times New Roman"/>
          <w:sz w:val="24"/>
          <w:szCs w:val="24"/>
          <w:lang w:eastAsia="zh-CN"/>
        </w:rPr>
        <w:tab/>
      </w:r>
      <w:r w:rsidRPr="00044132">
        <w:rPr>
          <w:sz w:val="24"/>
          <w:lang w:eastAsia="zh-CN"/>
        </w:rPr>
        <w:t>收到的反馈，特别是来自缔约方以及</w:t>
      </w:r>
      <w:r w:rsidRPr="00044132">
        <w:rPr>
          <w:sz w:val="24"/>
          <w:lang w:val="en-US" w:eastAsia="zh-CN"/>
        </w:rPr>
        <w:t>获取和惠益分享信息交换所非正式咨询委员会</w:t>
      </w:r>
      <w:r w:rsidRPr="00044132">
        <w:rPr>
          <w:sz w:val="24"/>
          <w:lang w:eastAsia="zh-CN"/>
        </w:rPr>
        <w:t>的反馈，包括与秘书处管理和进一步发展信息交换所的目标和优先事项有关的反馈</w:t>
      </w:r>
      <w:r w:rsidRPr="00044132">
        <w:rPr>
          <w:rFonts w:eastAsia="Times New Roman"/>
          <w:iCs/>
          <w:sz w:val="24"/>
          <w:szCs w:val="24"/>
          <w:vertAlign w:val="superscript"/>
        </w:rPr>
        <w:footnoteReference w:id="5"/>
      </w:r>
      <w:r w:rsidRPr="00044132">
        <w:rPr>
          <w:rFonts w:hint="eastAsia"/>
          <w:sz w:val="24"/>
          <w:lang w:eastAsia="zh-CN"/>
        </w:rPr>
        <w:t>；</w:t>
      </w:r>
    </w:p>
    <w:bookmarkEnd w:id="0"/>
    <w:p w14:paraId="006A970C" w14:textId="77777777" w:rsidR="00044132" w:rsidRPr="00044132" w:rsidRDefault="00044132" w:rsidP="00044132">
      <w:pPr>
        <w:tabs>
          <w:tab w:val="clear" w:pos="567"/>
          <w:tab w:val="clear" w:pos="1134"/>
          <w:tab w:val="clear" w:pos="1701"/>
          <w:tab w:val="clear" w:pos="2268"/>
        </w:tabs>
        <w:spacing w:before="120" w:after="120"/>
        <w:ind w:left="1469" w:hanging="490"/>
        <w:rPr>
          <w:rFonts w:eastAsia="Times New Roman"/>
          <w:sz w:val="24"/>
          <w:szCs w:val="24"/>
          <w:lang w:eastAsia="zh-CN"/>
        </w:rPr>
      </w:pPr>
      <w:r w:rsidRPr="00044132">
        <w:rPr>
          <w:sz w:val="24"/>
          <w:szCs w:val="24"/>
          <w:lang w:eastAsia="zh-CN"/>
        </w:rPr>
        <w:t>(</w:t>
      </w:r>
      <w:r w:rsidRPr="00044132">
        <w:rPr>
          <w:sz w:val="24"/>
          <w:szCs w:val="24"/>
          <w:lang w:eastAsia="zh-CN"/>
        </w:rPr>
        <w:t>二</w:t>
      </w:r>
      <w:r w:rsidRPr="00044132">
        <w:rPr>
          <w:sz w:val="24"/>
          <w:szCs w:val="24"/>
          <w:lang w:eastAsia="zh-CN"/>
        </w:rPr>
        <w:t>)</w:t>
      </w:r>
      <w:r w:rsidRPr="00044132">
        <w:rPr>
          <w:rFonts w:eastAsia="Times New Roman"/>
          <w:sz w:val="24"/>
          <w:szCs w:val="24"/>
          <w:lang w:eastAsia="zh-CN"/>
        </w:rPr>
        <w:tab/>
      </w:r>
      <w:r w:rsidRPr="00044132">
        <w:rPr>
          <w:sz w:val="24"/>
          <w:szCs w:val="24"/>
          <w:lang w:eastAsia="zh-CN"/>
        </w:rPr>
        <w:t>来自第二次评估和审查的相关信息；</w:t>
      </w:r>
    </w:p>
    <w:p w14:paraId="14315020"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sz w:val="24"/>
          <w:szCs w:val="24"/>
          <w:lang w:val="en-US" w:eastAsia="zh-CN"/>
        </w:rPr>
      </w:pPr>
      <w:r w:rsidRPr="00044132">
        <w:rPr>
          <w:rFonts w:eastAsia="Times New Roman"/>
          <w:sz w:val="24"/>
          <w:szCs w:val="24"/>
          <w:lang w:val="en-US" w:eastAsia="zh-CN"/>
        </w:rPr>
        <w:t>(b)</w:t>
      </w:r>
      <w:r w:rsidRPr="00044132">
        <w:rPr>
          <w:rFonts w:eastAsia="Times New Roman"/>
          <w:sz w:val="24"/>
          <w:szCs w:val="24"/>
          <w:lang w:val="en-US" w:eastAsia="zh-CN"/>
        </w:rPr>
        <w:tab/>
      </w:r>
      <w:r w:rsidRPr="00044132">
        <w:rPr>
          <w:rFonts w:ascii="SimSun" w:hAnsi="SimSun" w:cs="SimSun" w:hint="eastAsia"/>
          <w:sz w:val="24"/>
          <w:szCs w:val="24"/>
          <w:lang w:val="en-US" w:eastAsia="zh-CN"/>
        </w:rPr>
        <w:t>在作为名古屋议定书缔约方会议的缔约方大会第七次会议之前举行一次获取和惠益分享信息交换所非正式咨询委员会会议，并视需要举行非正式在线讨论，向第七次会议报告委员会的工作成果；</w:t>
      </w:r>
    </w:p>
    <w:p w14:paraId="3B9C5629" w14:textId="77777777" w:rsidR="009C7F3C" w:rsidRDefault="009C7F3C" w:rsidP="00044132">
      <w:pPr>
        <w:keepNext/>
        <w:tabs>
          <w:tab w:val="clear" w:pos="567"/>
          <w:tab w:val="clear" w:pos="1134"/>
          <w:tab w:val="clear" w:pos="1701"/>
          <w:tab w:val="clear" w:pos="2268"/>
        </w:tabs>
        <w:spacing w:after="120"/>
        <w:ind w:left="490"/>
        <w:rPr>
          <w:b/>
          <w:bCs/>
          <w:sz w:val="24"/>
          <w:u w:color="000000"/>
          <w:bdr w:val="nil"/>
          <w:lang w:val="en-US" w:eastAsia="zh-CN"/>
        </w:rPr>
      </w:pPr>
    </w:p>
    <w:p w14:paraId="42DB87E9" w14:textId="5EA3590E" w:rsidR="00044132" w:rsidRPr="00044132" w:rsidRDefault="00044132" w:rsidP="00044132">
      <w:pPr>
        <w:keepNext/>
        <w:tabs>
          <w:tab w:val="clear" w:pos="567"/>
          <w:tab w:val="clear" w:pos="1134"/>
          <w:tab w:val="clear" w:pos="1701"/>
          <w:tab w:val="clear" w:pos="2268"/>
        </w:tabs>
        <w:spacing w:after="120"/>
        <w:ind w:left="490"/>
        <w:rPr>
          <w:bCs/>
          <w:sz w:val="24"/>
          <w:u w:color="000000"/>
          <w:bdr w:val="nil"/>
          <w:lang w:val="en-US" w:eastAsia="zh-CN"/>
        </w:rPr>
      </w:pPr>
      <w:r w:rsidRPr="00044132">
        <w:rPr>
          <w:rFonts w:hint="eastAsia"/>
          <w:b/>
          <w:bCs/>
          <w:sz w:val="24"/>
          <w:u w:color="000000"/>
          <w:bdr w:val="nil"/>
          <w:lang w:val="en-US" w:eastAsia="zh-CN"/>
        </w:rPr>
        <w:t>三</w:t>
      </w:r>
      <w:r w:rsidRPr="00044132">
        <w:rPr>
          <w:b/>
          <w:bCs/>
          <w:sz w:val="24"/>
          <w:u w:color="000000"/>
          <w:bdr w:val="nil"/>
          <w:lang w:val="en-US" w:eastAsia="zh-CN"/>
        </w:rPr>
        <w:br/>
      </w:r>
      <w:r w:rsidRPr="00044132">
        <w:rPr>
          <w:b/>
          <w:bCs/>
          <w:sz w:val="24"/>
          <w:u w:color="000000"/>
          <w:bdr w:val="nil"/>
          <w:lang w:val="en-US" w:eastAsia="zh-CN"/>
        </w:rPr>
        <w:t>《昆明</w:t>
      </w:r>
      <w:r w:rsidRPr="00044132">
        <w:rPr>
          <w:b/>
          <w:bCs/>
          <w:sz w:val="24"/>
          <w:u w:color="000000"/>
          <w:bdr w:val="nil"/>
          <w:lang w:val="en-US" w:eastAsia="zh-CN"/>
        </w:rPr>
        <w:t>-</w:t>
      </w:r>
      <w:r w:rsidRPr="00044132">
        <w:rPr>
          <w:b/>
          <w:bCs/>
          <w:sz w:val="24"/>
          <w:u w:color="000000"/>
          <w:bdr w:val="nil"/>
          <w:lang w:val="en-US" w:eastAsia="zh-CN"/>
        </w:rPr>
        <w:t>蒙特利尔全球生物多样性框架》</w:t>
      </w:r>
      <w:r w:rsidRPr="00044132">
        <w:rPr>
          <w:rFonts w:hint="eastAsia"/>
          <w:b/>
          <w:bCs/>
          <w:sz w:val="24"/>
          <w:u w:color="000000"/>
          <w:bdr w:val="nil"/>
          <w:lang w:val="en-US" w:eastAsia="zh-CN"/>
        </w:rPr>
        <w:t>背景下的</w:t>
      </w:r>
      <w:r w:rsidRPr="00044132">
        <w:rPr>
          <w:b/>
          <w:bCs/>
          <w:sz w:val="24"/>
          <w:u w:color="000000"/>
          <w:bdr w:val="nil"/>
          <w:lang w:val="en-US" w:eastAsia="zh-CN"/>
        </w:rPr>
        <w:t>《</w:t>
      </w:r>
      <w:r w:rsidRPr="00044132">
        <w:rPr>
          <w:rFonts w:hint="eastAsia"/>
          <w:b/>
          <w:bCs/>
          <w:sz w:val="24"/>
          <w:u w:color="000000"/>
          <w:bdr w:val="nil"/>
          <w:lang w:val="en-US" w:eastAsia="zh-CN"/>
        </w:rPr>
        <w:t>名古屋</w:t>
      </w:r>
      <w:r w:rsidRPr="00044132">
        <w:rPr>
          <w:b/>
          <w:bCs/>
          <w:sz w:val="24"/>
          <w:u w:color="000000"/>
          <w:bdr w:val="nil"/>
          <w:lang w:val="en-US" w:eastAsia="zh-CN"/>
        </w:rPr>
        <w:t>议定书》</w:t>
      </w:r>
    </w:p>
    <w:p w14:paraId="7AF9C208" w14:textId="77777777" w:rsidR="00044132" w:rsidRPr="00044132" w:rsidRDefault="00044132" w:rsidP="00044132">
      <w:pPr>
        <w:tabs>
          <w:tab w:val="clear" w:pos="567"/>
          <w:tab w:val="clear" w:pos="1134"/>
          <w:tab w:val="clear" w:pos="1701"/>
          <w:tab w:val="clear" w:pos="2268"/>
        </w:tabs>
        <w:spacing w:after="120"/>
        <w:ind w:left="490" w:firstLine="490"/>
        <w:rPr>
          <w:rFonts w:eastAsia="Times New Roman"/>
          <w:color w:val="000080"/>
          <w:kern w:val="22"/>
          <w:sz w:val="24"/>
          <w:lang w:val="en-US" w:eastAsia="zh-CN"/>
        </w:rPr>
      </w:pPr>
      <w:r w:rsidRPr="00044132">
        <w:rPr>
          <w:rFonts w:eastAsia="Times New Roman"/>
          <w:kern w:val="22"/>
          <w:sz w:val="24"/>
          <w:lang w:val="en-US" w:eastAsia="zh-CN"/>
        </w:rPr>
        <w:t>11.</w:t>
      </w:r>
      <w:r w:rsidRPr="00044132">
        <w:rPr>
          <w:rFonts w:eastAsia="Times New Roman"/>
          <w:kern w:val="22"/>
          <w:sz w:val="24"/>
          <w:lang w:val="en-US" w:eastAsia="zh-CN"/>
        </w:rPr>
        <w:tab/>
      </w:r>
      <w:r w:rsidRPr="00044132">
        <w:rPr>
          <w:rFonts w:ascii="KaiTi" w:eastAsia="KaiTi" w:hAnsi="KaiTi"/>
          <w:sz w:val="24"/>
          <w:lang w:val="en-US" w:eastAsia="zh-CN"/>
        </w:rPr>
        <w:t>回顾</w:t>
      </w:r>
      <w:r w:rsidRPr="00044132">
        <w:rPr>
          <w:sz w:val="24"/>
          <w:lang w:val="en-US" w:eastAsia="zh-CN"/>
        </w:rPr>
        <w:t>其</w:t>
      </w:r>
      <w:r w:rsidRPr="00044132">
        <w:rPr>
          <w:sz w:val="24"/>
          <w:lang w:val="en-US" w:eastAsia="zh-CN"/>
        </w:rPr>
        <w:t>2024</w:t>
      </w:r>
      <w:r w:rsidRPr="00044132">
        <w:rPr>
          <w:sz w:val="24"/>
          <w:lang w:val="en-US" w:eastAsia="zh-CN"/>
        </w:rPr>
        <w:t>年</w:t>
      </w:r>
      <w:r w:rsidRPr="00044132">
        <w:rPr>
          <w:sz w:val="24"/>
          <w:lang w:val="en-US" w:eastAsia="zh-CN"/>
        </w:rPr>
        <w:t>10</w:t>
      </w:r>
      <w:r w:rsidRPr="00044132">
        <w:rPr>
          <w:sz w:val="24"/>
          <w:lang w:val="en-US" w:eastAsia="zh-CN"/>
        </w:rPr>
        <w:t>月</w:t>
      </w:r>
      <w:r w:rsidRPr="00044132">
        <w:rPr>
          <w:sz w:val="24"/>
          <w:lang w:val="en-US" w:eastAsia="zh-CN"/>
        </w:rPr>
        <w:t>25</w:t>
      </w:r>
      <w:r w:rsidRPr="00044132">
        <w:rPr>
          <w:sz w:val="24"/>
          <w:lang w:val="en-US" w:eastAsia="zh-CN"/>
        </w:rPr>
        <w:t>日第</w:t>
      </w:r>
      <w:hyperlink r:id="rId17" w:history="1">
        <w:r w:rsidRPr="00044132">
          <w:rPr>
            <w:color w:val="0563C1"/>
            <w:sz w:val="24"/>
            <w:u w:val="single"/>
            <w:lang w:val="en-US" w:eastAsia="zh-CN"/>
          </w:rPr>
          <w:t>NP-5/6</w:t>
        </w:r>
      </w:hyperlink>
      <w:r w:rsidRPr="00044132">
        <w:rPr>
          <w:sz w:val="24"/>
          <w:lang w:val="en-US" w:eastAsia="zh-CN"/>
        </w:rPr>
        <w:t>号决定；</w:t>
      </w:r>
    </w:p>
    <w:p w14:paraId="5A95A0E5" w14:textId="77777777" w:rsidR="00044132" w:rsidRPr="00044132" w:rsidRDefault="00044132" w:rsidP="00044132">
      <w:pPr>
        <w:tabs>
          <w:tab w:val="clear" w:pos="567"/>
          <w:tab w:val="clear" w:pos="1134"/>
          <w:tab w:val="clear" w:pos="1701"/>
          <w:tab w:val="clear" w:pos="2268"/>
        </w:tabs>
        <w:spacing w:after="120"/>
        <w:ind w:left="490" w:firstLine="490"/>
        <w:rPr>
          <w:rFonts w:ascii="SimSun" w:hAnsi="SimSun" w:cs="SimSun"/>
          <w:kern w:val="22"/>
          <w:sz w:val="24"/>
          <w:lang w:val="en-US" w:eastAsia="zh-CN"/>
        </w:rPr>
      </w:pPr>
      <w:r w:rsidRPr="00044132">
        <w:rPr>
          <w:rFonts w:eastAsia="Times New Roman"/>
          <w:kern w:val="22"/>
          <w:sz w:val="24"/>
          <w:lang w:val="en-US" w:eastAsia="zh-CN"/>
        </w:rPr>
        <w:t>12.</w:t>
      </w:r>
      <w:r w:rsidRPr="00044132">
        <w:rPr>
          <w:rFonts w:eastAsia="Times New Roman"/>
          <w:kern w:val="22"/>
          <w:sz w:val="24"/>
          <w:lang w:val="en-US" w:eastAsia="zh-CN"/>
        </w:rPr>
        <w:tab/>
      </w:r>
      <w:r w:rsidRPr="00044132">
        <w:rPr>
          <w:rFonts w:ascii="KaiTi" w:eastAsia="KaiTi" w:hAnsi="KaiTi" w:cs="SimSun" w:hint="eastAsia"/>
          <w:kern w:val="22"/>
          <w:sz w:val="24"/>
          <w:lang w:val="en-US" w:eastAsia="zh-CN"/>
        </w:rPr>
        <w:t>鼓励</w:t>
      </w:r>
      <w:r w:rsidRPr="00044132">
        <w:rPr>
          <w:rFonts w:ascii="SimSun" w:hAnsi="SimSun" w:cs="SimSun" w:hint="eastAsia"/>
          <w:kern w:val="22"/>
          <w:sz w:val="24"/>
          <w:lang w:val="en-US" w:eastAsia="zh-CN"/>
        </w:rPr>
        <w:t>缔约方根据</w:t>
      </w:r>
      <w:r w:rsidRPr="00044132">
        <w:rPr>
          <w:rFonts w:ascii="SimSun" w:hAnsi="SimSun" w:cs="SimSun"/>
          <w:kern w:val="22"/>
          <w:sz w:val="24"/>
          <w:lang w:val="en-US" w:eastAsia="zh-CN"/>
        </w:rPr>
        <w:t>国家法律</w:t>
      </w:r>
      <w:r w:rsidRPr="00044132">
        <w:rPr>
          <w:rFonts w:ascii="SimSun" w:hAnsi="SimSun" w:cs="SimSun" w:hint="eastAsia"/>
          <w:kern w:val="22"/>
          <w:sz w:val="24"/>
          <w:lang w:val="en-US" w:eastAsia="zh-CN"/>
        </w:rPr>
        <w:t>和在</w:t>
      </w:r>
      <w:r w:rsidRPr="00044132">
        <w:rPr>
          <w:rFonts w:ascii="SimSun" w:hAnsi="SimSun" w:cs="SimSun"/>
          <w:kern w:val="22"/>
          <w:sz w:val="24"/>
          <w:lang w:val="en-US" w:eastAsia="zh-CN"/>
        </w:rPr>
        <w:t>不影响</w:t>
      </w:r>
      <w:r w:rsidRPr="00044132">
        <w:rPr>
          <w:rFonts w:ascii="SimSun" w:hAnsi="SimSun" w:cs="SimSun" w:hint="eastAsia"/>
          <w:kern w:val="22"/>
          <w:sz w:val="24"/>
          <w:lang w:val="en-US" w:eastAsia="zh-CN"/>
        </w:rPr>
        <w:t>保护</w:t>
      </w:r>
      <w:r w:rsidRPr="00044132">
        <w:rPr>
          <w:rFonts w:ascii="SimSun" w:hAnsi="SimSun" w:cs="SimSun"/>
          <w:kern w:val="22"/>
          <w:sz w:val="24"/>
          <w:lang w:val="en-US" w:eastAsia="zh-CN"/>
        </w:rPr>
        <w:t>机密信息的</w:t>
      </w:r>
      <w:r w:rsidRPr="00044132">
        <w:rPr>
          <w:rFonts w:ascii="SimSun" w:hAnsi="SimSun" w:cs="SimSun" w:hint="eastAsia"/>
          <w:kern w:val="22"/>
          <w:sz w:val="24"/>
          <w:lang w:val="en-US" w:eastAsia="zh-CN"/>
        </w:rPr>
        <w:t>情况下，在《名古屋议定书》执行情况第二次国家报告中提供全面和细分的信息，说明获得的惠益，包括酌情详细说明通过利用遗传资源和相关传统知识获得的货币和非货币惠益，包括土著人民和地方社区在内的惠益接受方，以及用于保护和可持续利用生物多样性的惠益所占的比例；</w:t>
      </w:r>
    </w:p>
    <w:p w14:paraId="394A51ED" w14:textId="77777777" w:rsidR="00044132" w:rsidRPr="00044132" w:rsidRDefault="00044132" w:rsidP="00044132">
      <w:pPr>
        <w:tabs>
          <w:tab w:val="clear" w:pos="567"/>
          <w:tab w:val="clear" w:pos="1134"/>
          <w:tab w:val="clear" w:pos="1701"/>
          <w:tab w:val="clear" w:pos="2268"/>
        </w:tabs>
        <w:spacing w:after="120"/>
        <w:ind w:left="490" w:firstLine="490"/>
        <w:rPr>
          <w:color w:val="000080"/>
          <w:kern w:val="22"/>
          <w:sz w:val="24"/>
          <w:szCs w:val="24"/>
          <w:lang w:val="en-US" w:eastAsia="zh-CN"/>
        </w:rPr>
      </w:pPr>
      <w:r w:rsidRPr="00044132">
        <w:rPr>
          <w:kern w:val="22"/>
          <w:sz w:val="24"/>
          <w:szCs w:val="24"/>
          <w:lang w:val="en-US" w:eastAsia="zh-CN"/>
        </w:rPr>
        <w:lastRenderedPageBreak/>
        <w:t>13.</w:t>
      </w:r>
      <w:r w:rsidRPr="00044132">
        <w:rPr>
          <w:sz w:val="24"/>
          <w:szCs w:val="24"/>
          <w:lang w:val="en-US" w:eastAsia="zh-CN"/>
        </w:rPr>
        <w:tab/>
      </w:r>
      <w:r w:rsidRPr="00044132">
        <w:rPr>
          <w:rFonts w:eastAsia="KaiTi"/>
          <w:kern w:val="22"/>
          <w:sz w:val="24"/>
          <w:szCs w:val="24"/>
          <w:lang w:val="en-US" w:eastAsia="zh-CN"/>
        </w:rPr>
        <w:t>注意到</w:t>
      </w:r>
      <w:r w:rsidRPr="00044132">
        <w:rPr>
          <w:kern w:val="22"/>
          <w:sz w:val="24"/>
          <w:szCs w:val="24"/>
          <w:lang w:val="en-US" w:eastAsia="zh-CN"/>
        </w:rPr>
        <w:t>第二次评估和审查的结果得到了《公约》缔约方大会关于《昆明</w:t>
      </w:r>
      <w:r w:rsidRPr="00044132">
        <w:rPr>
          <w:kern w:val="22"/>
          <w:sz w:val="24"/>
          <w:szCs w:val="24"/>
          <w:lang w:val="en-US" w:eastAsia="zh-CN"/>
        </w:rPr>
        <w:t>-</w:t>
      </w:r>
      <w:r w:rsidRPr="00044132">
        <w:rPr>
          <w:kern w:val="22"/>
          <w:sz w:val="24"/>
          <w:szCs w:val="24"/>
          <w:lang w:val="en-US" w:eastAsia="zh-CN"/>
        </w:rPr>
        <w:t>蒙特利尔全球生物多样性框架》</w:t>
      </w:r>
      <w:r w:rsidRPr="00044132">
        <w:rPr>
          <w:rFonts w:hint="eastAsia"/>
          <w:kern w:val="22"/>
          <w:sz w:val="24"/>
          <w:szCs w:val="24"/>
          <w:lang w:val="en-US" w:eastAsia="zh-CN"/>
        </w:rPr>
        <w:t>集体执行进度</w:t>
      </w:r>
      <w:r w:rsidRPr="00044132">
        <w:rPr>
          <w:kern w:val="22"/>
          <w:sz w:val="24"/>
          <w:szCs w:val="24"/>
          <w:lang w:val="en-US" w:eastAsia="zh-CN"/>
        </w:rPr>
        <w:t>全球审查的第</w:t>
      </w:r>
      <w:r w:rsidRPr="00044132">
        <w:rPr>
          <w:kern w:val="22"/>
          <w:sz w:val="24"/>
          <w:szCs w:val="24"/>
          <w:lang w:val="en-US" w:eastAsia="zh-CN"/>
        </w:rPr>
        <w:t>17/--</w:t>
      </w:r>
      <w:r w:rsidRPr="00044132">
        <w:rPr>
          <w:kern w:val="22"/>
          <w:sz w:val="24"/>
          <w:szCs w:val="24"/>
          <w:lang w:val="en-US" w:eastAsia="zh-CN"/>
        </w:rPr>
        <w:t>号决定</w:t>
      </w:r>
      <w:r w:rsidRPr="00044132">
        <w:rPr>
          <w:color w:val="000080"/>
          <w:kern w:val="22"/>
          <w:sz w:val="24"/>
          <w:szCs w:val="24"/>
          <w:vertAlign w:val="superscript"/>
          <w:lang w:val="en-US"/>
        </w:rPr>
        <w:footnoteReference w:id="6"/>
      </w:r>
      <w:r w:rsidRPr="00044132">
        <w:rPr>
          <w:kern w:val="22"/>
          <w:sz w:val="24"/>
          <w:szCs w:val="24"/>
          <w:lang w:val="en-US" w:eastAsia="zh-CN"/>
        </w:rPr>
        <w:t>的补充，特别是关于</w:t>
      </w:r>
      <w:r w:rsidRPr="00044132">
        <w:rPr>
          <w:rFonts w:hint="eastAsia"/>
          <w:kern w:val="22"/>
          <w:sz w:val="24"/>
          <w:szCs w:val="24"/>
          <w:lang w:val="en-US" w:eastAsia="zh-CN"/>
        </w:rPr>
        <w:t>《昆蒙框架》</w:t>
      </w:r>
      <w:r w:rsidRPr="00044132">
        <w:rPr>
          <w:kern w:val="22"/>
          <w:sz w:val="24"/>
          <w:szCs w:val="24"/>
          <w:lang w:val="en-US" w:eastAsia="zh-CN"/>
        </w:rPr>
        <w:t>长期目标</w:t>
      </w:r>
      <w:r w:rsidRPr="00044132">
        <w:rPr>
          <w:kern w:val="22"/>
          <w:sz w:val="24"/>
          <w:szCs w:val="24"/>
          <w:lang w:val="en-US" w:eastAsia="zh-CN"/>
        </w:rPr>
        <w:t>C</w:t>
      </w:r>
      <w:r w:rsidRPr="00044132">
        <w:rPr>
          <w:kern w:val="22"/>
          <w:sz w:val="24"/>
          <w:szCs w:val="24"/>
          <w:lang w:val="en-US" w:eastAsia="zh-CN"/>
        </w:rPr>
        <w:t>和行动目标</w:t>
      </w:r>
      <w:r w:rsidRPr="00044132">
        <w:rPr>
          <w:kern w:val="22"/>
          <w:sz w:val="24"/>
          <w:szCs w:val="24"/>
          <w:lang w:val="en-US" w:eastAsia="zh-CN"/>
        </w:rPr>
        <w:t>13</w:t>
      </w:r>
      <w:r w:rsidRPr="00044132">
        <w:rPr>
          <w:kern w:val="22"/>
          <w:sz w:val="24"/>
          <w:szCs w:val="24"/>
          <w:lang w:val="en-US" w:eastAsia="zh-CN"/>
        </w:rPr>
        <w:t>的内容</w:t>
      </w:r>
      <w:r w:rsidRPr="00044132">
        <w:rPr>
          <w:rFonts w:hint="eastAsia"/>
          <w:kern w:val="22"/>
          <w:sz w:val="24"/>
          <w:szCs w:val="24"/>
          <w:lang w:val="en-US" w:eastAsia="zh-CN"/>
        </w:rPr>
        <w:t>。</w:t>
      </w:r>
    </w:p>
    <w:p w14:paraId="1DCB2640" w14:textId="16A060C5" w:rsidR="00E8556C" w:rsidRPr="00044132" w:rsidRDefault="00E8556C" w:rsidP="00E8556C">
      <w:pPr>
        <w:pStyle w:val="CBDNormalNoNumber"/>
        <w:tabs>
          <w:tab w:val="clear" w:pos="567"/>
          <w:tab w:val="clear" w:pos="1134"/>
        </w:tabs>
        <w:ind w:firstLine="567"/>
        <w:rPr>
          <w:rFonts w:eastAsia="Times New Roman"/>
          <w:color w:val="000000" w:themeColor="text1"/>
          <w:kern w:val="22"/>
          <w:sz w:val="24"/>
          <w:lang w:val="en-US" w:eastAsia="zh-CN"/>
        </w:rPr>
      </w:pPr>
    </w:p>
    <w:p w14:paraId="23D7BBA9" w14:textId="77777777" w:rsidR="005649FD" w:rsidRPr="00044132" w:rsidRDefault="005649FD" w:rsidP="005649FD">
      <w:pPr>
        <w:pStyle w:val="CBDNormalNoNumber"/>
        <w:rPr>
          <w:sz w:val="24"/>
          <w:lang w:eastAsia="zh-CN"/>
        </w:rPr>
      </w:pPr>
    </w:p>
    <w:p w14:paraId="5F2B403A" w14:textId="791488F9" w:rsidR="00A111D1" w:rsidRPr="00044132" w:rsidRDefault="00A111D1" w:rsidP="005649FD">
      <w:pPr>
        <w:pStyle w:val="CBDNormalNoNumber"/>
        <w:jc w:val="center"/>
        <w:rPr>
          <w:sz w:val="24"/>
        </w:rPr>
      </w:pPr>
      <w:r w:rsidRPr="00044132">
        <w:rPr>
          <w:sz w:val="24"/>
        </w:rPr>
        <w:t>__________</w:t>
      </w:r>
    </w:p>
    <w:sectPr w:rsidR="00A111D1" w:rsidRPr="00044132"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68A4F" w14:textId="77777777" w:rsidR="00CD42D5" w:rsidRPr="003F1A75" w:rsidRDefault="00CD42D5" w:rsidP="00CF1848">
      <w:r w:rsidRPr="003F1A75">
        <w:separator/>
      </w:r>
    </w:p>
  </w:endnote>
  <w:endnote w:type="continuationSeparator" w:id="0">
    <w:p w14:paraId="113EC6E4" w14:textId="77777777" w:rsidR="00CD42D5" w:rsidRPr="003F1A75" w:rsidRDefault="00CD42D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Footer"/>
              <w:jc w:val="left"/>
            </w:pPr>
            <w:r w:rsidRPr="00D44CD7">
              <w:rPr>
                <w:szCs w:val="20"/>
              </w:rPr>
              <w:fldChar w:fldCharType="begin"/>
            </w:r>
            <w:r w:rsidRPr="00D44CD7">
              <w:rPr>
                <w:szCs w:val="20"/>
              </w:rPr>
              <w:instrText xml:space="preserve"> PAGE </w:instrText>
            </w:r>
            <w:r w:rsidRPr="00D44CD7">
              <w:rPr>
                <w:szCs w:val="20"/>
              </w:rPr>
              <w:fldChar w:fldCharType="separate"/>
            </w:r>
            <w:r w:rsidRPr="00D44CD7">
              <w:rPr>
                <w:noProof/>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noProof/>
                <w:szCs w:val="20"/>
              </w:rPr>
              <w:t>2</w:t>
            </w:r>
            <w:r w:rsidRPr="00D44CD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D44CD7" w:rsidRDefault="00D75CA6" w:rsidP="00D44CD7">
        <w:pPr>
          <w:pStyle w:val="Footer"/>
          <w:jc w:val="right"/>
        </w:pPr>
        <w:r w:rsidRPr="00D44CD7">
          <w:rPr>
            <w:szCs w:val="20"/>
          </w:rPr>
          <w:fldChar w:fldCharType="begin"/>
        </w:r>
        <w:r w:rsidRPr="00D44CD7">
          <w:rPr>
            <w:szCs w:val="20"/>
          </w:rPr>
          <w:instrText xml:space="preserve"> PAGE </w:instrText>
        </w:r>
        <w:r w:rsidRPr="00D44CD7">
          <w:rPr>
            <w:szCs w:val="20"/>
          </w:rPr>
          <w:fldChar w:fldCharType="separate"/>
        </w:r>
        <w:r w:rsidRPr="00D44CD7">
          <w:rPr>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szCs w:val="20"/>
          </w:rPr>
          <w:t>3</w:t>
        </w:r>
        <w:r w:rsidRPr="00D44CD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E4561" w14:textId="77777777" w:rsidR="00CD42D5" w:rsidRPr="003F1A75" w:rsidRDefault="00CD42D5" w:rsidP="00CF1848">
      <w:r w:rsidRPr="003F1A75">
        <w:separator/>
      </w:r>
    </w:p>
  </w:footnote>
  <w:footnote w:type="continuationSeparator" w:id="0">
    <w:p w14:paraId="5370014C" w14:textId="77777777" w:rsidR="00CD42D5" w:rsidRPr="003F1A75" w:rsidRDefault="00CD42D5" w:rsidP="00CF1848">
      <w:r w:rsidRPr="003F1A75">
        <w:continuationSeparator/>
      </w:r>
    </w:p>
  </w:footnote>
  <w:footnote w:id="1">
    <w:p w14:paraId="7335B7AD" w14:textId="77777777" w:rsidR="00044132" w:rsidRPr="000A0CF5" w:rsidRDefault="00044132" w:rsidP="00044132">
      <w:pPr>
        <w:pStyle w:val="FootnoteText"/>
        <w:spacing w:after="60"/>
        <w:rPr>
          <w:sz w:val="20"/>
          <w:lang w:eastAsia="zh-CN"/>
        </w:rPr>
      </w:pPr>
      <w:r w:rsidRPr="000A0CF5">
        <w:rPr>
          <w:rStyle w:val="FootnoteReference"/>
          <w:sz w:val="20"/>
        </w:rPr>
        <w:footnoteRef/>
      </w:r>
      <w:r w:rsidRPr="000A0CF5">
        <w:rPr>
          <w:sz w:val="20"/>
          <w:lang w:eastAsia="zh-CN"/>
        </w:rPr>
        <w:t xml:space="preserve">  </w:t>
      </w:r>
      <w:r w:rsidRPr="000A0CF5">
        <w:rPr>
          <w:sz w:val="20"/>
          <w:lang w:eastAsia="zh-CN"/>
        </w:rPr>
        <w:t>联合国，《条约汇编》，第</w:t>
      </w:r>
      <w:r w:rsidRPr="000A0CF5">
        <w:rPr>
          <w:sz w:val="20"/>
          <w:lang w:eastAsia="zh-CN"/>
        </w:rPr>
        <w:t>3008</w:t>
      </w:r>
      <w:r w:rsidRPr="000A0CF5">
        <w:rPr>
          <w:sz w:val="20"/>
          <w:lang w:eastAsia="zh-CN"/>
        </w:rPr>
        <w:t>卷，第</w:t>
      </w:r>
      <w:r w:rsidRPr="000A0CF5">
        <w:rPr>
          <w:sz w:val="20"/>
          <w:lang w:eastAsia="zh-CN"/>
        </w:rPr>
        <w:t>30619</w:t>
      </w:r>
      <w:r w:rsidRPr="000A0CF5">
        <w:rPr>
          <w:sz w:val="20"/>
          <w:lang w:eastAsia="zh-CN"/>
        </w:rPr>
        <w:t>号。</w:t>
      </w:r>
    </w:p>
  </w:footnote>
  <w:footnote w:id="2">
    <w:p w14:paraId="6ED46C18" w14:textId="77777777" w:rsidR="00044132" w:rsidRPr="00302EB6" w:rsidRDefault="00044132" w:rsidP="00044132">
      <w:pPr>
        <w:pStyle w:val="FootnoteText"/>
        <w:spacing w:after="60"/>
        <w:rPr>
          <w:sz w:val="20"/>
          <w:lang w:val="it-IT" w:eastAsia="zh-CN"/>
        </w:rPr>
      </w:pPr>
      <w:r w:rsidRPr="000A0CF5">
        <w:rPr>
          <w:rStyle w:val="FootnoteReference"/>
          <w:sz w:val="20"/>
        </w:rPr>
        <w:footnoteRef/>
      </w:r>
      <w:r w:rsidRPr="000A0CF5">
        <w:rPr>
          <w:sz w:val="20"/>
          <w:lang w:eastAsia="zh-CN"/>
        </w:rPr>
        <w:t xml:space="preserve">  </w:t>
      </w:r>
      <w:r w:rsidRPr="000A0CF5">
        <w:rPr>
          <w:sz w:val="20"/>
          <w:lang w:eastAsia="zh-CN"/>
        </w:rPr>
        <w:t>见</w:t>
      </w:r>
      <w:hyperlink r:id="rId1" w:history="1">
        <w:r w:rsidRPr="000A0CF5">
          <w:rPr>
            <w:rStyle w:val="Hyperlink"/>
            <w:iCs/>
            <w:sz w:val="20"/>
            <w:lang w:val="it-IT" w:eastAsia="zh-CN"/>
          </w:rPr>
          <w:t>CBD/SBI/7/7</w:t>
        </w:r>
      </w:hyperlink>
      <w:r w:rsidRPr="000A0CF5">
        <w:rPr>
          <w:iCs/>
          <w:sz w:val="20"/>
          <w:lang w:val="it-IT" w:eastAsia="zh-CN"/>
        </w:rPr>
        <w:t>，</w:t>
      </w:r>
      <w:r w:rsidRPr="000A0CF5">
        <w:rPr>
          <w:iCs/>
          <w:sz w:val="20"/>
          <w:lang w:eastAsia="zh-CN"/>
        </w:rPr>
        <w:t>附件一和附件二。</w:t>
      </w:r>
    </w:p>
  </w:footnote>
  <w:footnote w:id="3">
    <w:p w14:paraId="6643C57C" w14:textId="77777777" w:rsidR="00044132" w:rsidRPr="000A0CF5" w:rsidRDefault="00044132" w:rsidP="00044132">
      <w:pPr>
        <w:pStyle w:val="FootnoteText"/>
        <w:spacing w:after="60"/>
        <w:rPr>
          <w:sz w:val="20"/>
          <w:lang w:val="it-IT" w:eastAsia="zh-CN"/>
        </w:rPr>
      </w:pPr>
      <w:r w:rsidRPr="000A0CF5">
        <w:rPr>
          <w:rStyle w:val="FootnoteReference"/>
          <w:sz w:val="20"/>
        </w:rPr>
        <w:footnoteRef/>
      </w:r>
      <w:r w:rsidRPr="0094052E">
        <w:rPr>
          <w:sz w:val="20"/>
          <w:lang w:val="it-IT" w:eastAsia="zh-CN"/>
        </w:rPr>
        <w:t xml:space="preserve">  </w:t>
      </w:r>
      <w:r w:rsidRPr="000A0CF5">
        <w:rPr>
          <w:sz w:val="20"/>
          <w:lang w:eastAsia="zh-CN"/>
        </w:rPr>
        <w:t>联合国</w:t>
      </w:r>
      <w:r w:rsidRPr="000A0CF5">
        <w:rPr>
          <w:sz w:val="20"/>
          <w:lang w:val="it-IT" w:eastAsia="zh-CN"/>
        </w:rPr>
        <w:t>，</w:t>
      </w:r>
      <w:r w:rsidRPr="000A0CF5">
        <w:rPr>
          <w:sz w:val="20"/>
          <w:lang w:eastAsia="zh-CN"/>
        </w:rPr>
        <w:t>《条约汇编》</w:t>
      </w:r>
      <w:r w:rsidRPr="000A0CF5">
        <w:rPr>
          <w:sz w:val="20"/>
          <w:lang w:val="it-IT" w:eastAsia="zh-CN"/>
        </w:rPr>
        <w:t>，</w:t>
      </w:r>
      <w:r w:rsidRPr="000A0CF5">
        <w:rPr>
          <w:sz w:val="20"/>
          <w:lang w:eastAsia="zh-CN"/>
        </w:rPr>
        <w:t>第</w:t>
      </w:r>
      <w:r w:rsidRPr="000A0CF5">
        <w:rPr>
          <w:sz w:val="20"/>
          <w:lang w:val="it-IT" w:eastAsia="zh-CN"/>
        </w:rPr>
        <w:t>1760</w:t>
      </w:r>
      <w:r w:rsidRPr="000A0CF5">
        <w:rPr>
          <w:sz w:val="20"/>
          <w:lang w:eastAsia="zh-CN"/>
        </w:rPr>
        <w:t>卷</w:t>
      </w:r>
      <w:r w:rsidRPr="000A0CF5">
        <w:rPr>
          <w:sz w:val="20"/>
          <w:lang w:val="it-IT" w:eastAsia="zh-CN"/>
        </w:rPr>
        <w:t>，</w:t>
      </w:r>
      <w:r w:rsidRPr="000A0CF5">
        <w:rPr>
          <w:sz w:val="20"/>
          <w:lang w:eastAsia="zh-CN"/>
        </w:rPr>
        <w:t>第</w:t>
      </w:r>
      <w:r w:rsidRPr="000A0CF5">
        <w:rPr>
          <w:sz w:val="20"/>
          <w:lang w:val="it-IT" w:eastAsia="zh-CN"/>
        </w:rPr>
        <w:t>30619</w:t>
      </w:r>
      <w:r w:rsidRPr="000A0CF5">
        <w:rPr>
          <w:sz w:val="20"/>
          <w:lang w:eastAsia="zh-CN"/>
        </w:rPr>
        <w:t>号。</w:t>
      </w:r>
    </w:p>
  </w:footnote>
  <w:footnote w:id="4">
    <w:p w14:paraId="50FC0E1F" w14:textId="4A7F6D54" w:rsidR="00044132" w:rsidRPr="000A0CF5" w:rsidRDefault="00044132" w:rsidP="00044132">
      <w:pPr>
        <w:pStyle w:val="FootnoteText"/>
        <w:spacing w:after="60"/>
        <w:rPr>
          <w:sz w:val="20"/>
          <w:lang w:val="it-IT"/>
        </w:rPr>
      </w:pPr>
      <w:r w:rsidRPr="000A0CF5">
        <w:rPr>
          <w:rStyle w:val="FootnoteReference"/>
          <w:sz w:val="20"/>
        </w:rPr>
        <w:footnoteRef/>
      </w:r>
      <w:r w:rsidRPr="000A0CF5">
        <w:rPr>
          <w:sz w:val="20"/>
          <w:lang w:val="it-IT" w:eastAsia="zh-CN"/>
        </w:rPr>
        <w:t xml:space="preserve">  </w:t>
      </w:r>
      <w:hyperlink r:id="rId2" w:history="1">
        <w:r w:rsidR="009026F2">
          <w:rPr>
            <w:rStyle w:val="Hyperlink"/>
            <w:sz w:val="20"/>
            <w:lang w:val="it-IT"/>
          </w:rPr>
          <w:t>www.cbd.int/abs/doc/cepa-toolkit-zh.pdf</w:t>
        </w:r>
      </w:hyperlink>
      <w:r w:rsidRPr="000A0CF5">
        <w:rPr>
          <w:sz w:val="20"/>
          <w:lang w:eastAsia="zh-CN"/>
        </w:rPr>
        <w:t>。</w:t>
      </w:r>
    </w:p>
  </w:footnote>
  <w:footnote w:id="5">
    <w:p w14:paraId="293AA455" w14:textId="77777777" w:rsidR="00044132" w:rsidRPr="000A0CF5" w:rsidRDefault="00044132" w:rsidP="00044132">
      <w:pPr>
        <w:pStyle w:val="FootnoteText"/>
        <w:spacing w:after="60"/>
        <w:rPr>
          <w:sz w:val="20"/>
          <w:lang w:val="it-IT" w:eastAsia="zh-CN"/>
        </w:rPr>
      </w:pPr>
      <w:r w:rsidRPr="000A0CF5">
        <w:rPr>
          <w:rStyle w:val="FootnoteReference"/>
          <w:sz w:val="20"/>
        </w:rPr>
        <w:footnoteRef/>
      </w:r>
      <w:r w:rsidRPr="00015516">
        <w:rPr>
          <w:rFonts w:hint="eastAsia"/>
          <w:sz w:val="20"/>
          <w:lang w:val="it-IT" w:eastAsia="zh-CN"/>
        </w:rPr>
        <w:t xml:space="preserve">  </w:t>
      </w:r>
      <w:r w:rsidRPr="000A0CF5">
        <w:rPr>
          <w:rFonts w:hint="eastAsia"/>
          <w:sz w:val="20"/>
          <w:lang w:val="en-CA" w:eastAsia="zh-CN"/>
        </w:rPr>
        <w:t>见</w:t>
      </w:r>
      <w:r>
        <w:fldChar w:fldCharType="begin"/>
      </w:r>
      <w:r w:rsidRPr="0094052E">
        <w:rPr>
          <w:lang w:val="it-IT"/>
        </w:rPr>
        <w:instrText>HYPERLINK "https://www.cbd.int/documents/CBD/NP/ABSCH-IAC/6/3"</w:instrText>
      </w:r>
      <w:r>
        <w:fldChar w:fldCharType="separate"/>
      </w:r>
      <w:r w:rsidRPr="000A0CF5">
        <w:rPr>
          <w:rStyle w:val="Hyperlink"/>
          <w:sz w:val="20"/>
          <w:lang w:val="it-IT" w:eastAsia="zh-CN"/>
        </w:rPr>
        <w:t>CBD/NP/ABSCH-IAC/6/3</w:t>
      </w:r>
      <w:r>
        <w:fldChar w:fldCharType="end"/>
      </w:r>
      <w:r w:rsidRPr="000A0CF5">
        <w:rPr>
          <w:rFonts w:hint="eastAsia"/>
          <w:sz w:val="20"/>
          <w:lang w:val="en-CA" w:eastAsia="zh-CN"/>
        </w:rPr>
        <w:t>。</w:t>
      </w:r>
    </w:p>
  </w:footnote>
  <w:footnote w:id="6">
    <w:p w14:paraId="49BF19A2" w14:textId="77777777" w:rsidR="00044132" w:rsidRPr="00015516" w:rsidRDefault="00044132" w:rsidP="00044132">
      <w:pPr>
        <w:pStyle w:val="FootnoteText"/>
        <w:spacing w:after="60"/>
        <w:rPr>
          <w:sz w:val="20"/>
          <w:lang w:val="it-IT" w:eastAsia="zh-CN"/>
        </w:rPr>
      </w:pPr>
      <w:r w:rsidRPr="000A0CF5">
        <w:rPr>
          <w:rStyle w:val="FootnoteReference"/>
          <w:sz w:val="20"/>
        </w:rPr>
        <w:footnoteRef/>
      </w:r>
      <w:r w:rsidRPr="00015516">
        <w:rPr>
          <w:rFonts w:hint="eastAsia"/>
          <w:sz w:val="20"/>
          <w:lang w:val="it-IT" w:eastAsia="zh-CN"/>
        </w:rPr>
        <w:t xml:space="preserve">  </w:t>
      </w:r>
      <w:r w:rsidRPr="000A0CF5">
        <w:rPr>
          <w:rFonts w:hint="eastAsia"/>
          <w:sz w:val="20"/>
          <w:lang w:eastAsia="zh-CN"/>
        </w:rPr>
        <w:t>第</w:t>
      </w:r>
      <w:hyperlink r:id="rId3" w:history="1">
        <w:r w:rsidRPr="00015516">
          <w:rPr>
            <w:rStyle w:val="Hyperlink"/>
            <w:sz w:val="20"/>
            <w:lang w:val="it-IT" w:eastAsia="zh-CN"/>
          </w:rPr>
          <w:t>15/4</w:t>
        </w:r>
      </w:hyperlink>
      <w:r w:rsidRPr="000A0CF5">
        <w:rPr>
          <w:rFonts w:hint="eastAsia"/>
          <w:sz w:val="20"/>
          <w:lang w:eastAsia="zh-CN"/>
        </w:rPr>
        <w:t>号决定</w:t>
      </w:r>
      <w:r w:rsidRPr="00015516">
        <w:rPr>
          <w:rFonts w:hint="eastAsia"/>
          <w:sz w:val="20"/>
          <w:lang w:val="it-IT" w:eastAsia="zh-CN"/>
        </w:rPr>
        <w:t>，</w:t>
      </w:r>
      <w:r w:rsidRPr="000A0CF5">
        <w:rPr>
          <w:rFonts w:hint="eastAsia"/>
          <w:sz w:val="20"/>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23CAC2E"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71C57">
          <w:rPr>
            <w:szCs w:val="20"/>
          </w:rPr>
          <w:t>CBD/NP/MOP/6/</w:t>
        </w:r>
        <w:r w:rsidR="009026F2">
          <w:rPr>
            <w:szCs w:val="20"/>
          </w:rPr>
          <w:t>L.5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4CB4DE34" w:rsidR="009505C9" w:rsidRPr="003F1A75" w:rsidRDefault="009026F2" w:rsidP="007C4951">
        <w:pPr>
          <w:pStyle w:val="Header"/>
          <w:spacing w:after="240"/>
          <w:jc w:val="right"/>
        </w:pPr>
        <w:r>
          <w:t>CBD/NP/MOP/6/L.5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44132"/>
    <w:rsid w:val="0007171B"/>
    <w:rsid w:val="000904A0"/>
    <w:rsid w:val="000D0F68"/>
    <w:rsid w:val="000E673A"/>
    <w:rsid w:val="000F349B"/>
    <w:rsid w:val="000F6945"/>
    <w:rsid w:val="000F74F5"/>
    <w:rsid w:val="000F78FC"/>
    <w:rsid w:val="001031DF"/>
    <w:rsid w:val="00105372"/>
    <w:rsid w:val="001054A6"/>
    <w:rsid w:val="00105649"/>
    <w:rsid w:val="001078A1"/>
    <w:rsid w:val="001312AD"/>
    <w:rsid w:val="00131E7A"/>
    <w:rsid w:val="00134846"/>
    <w:rsid w:val="00172AF6"/>
    <w:rsid w:val="00176CEE"/>
    <w:rsid w:val="001847AD"/>
    <w:rsid w:val="00186DD8"/>
    <w:rsid w:val="001A35EC"/>
    <w:rsid w:val="001A6A15"/>
    <w:rsid w:val="001B13FE"/>
    <w:rsid w:val="001C3668"/>
    <w:rsid w:val="001F62E8"/>
    <w:rsid w:val="00227D0F"/>
    <w:rsid w:val="00227D4E"/>
    <w:rsid w:val="00252A30"/>
    <w:rsid w:val="00274761"/>
    <w:rsid w:val="002B0C13"/>
    <w:rsid w:val="003008FE"/>
    <w:rsid w:val="00301239"/>
    <w:rsid w:val="0030169D"/>
    <w:rsid w:val="003060EB"/>
    <w:rsid w:val="003153EB"/>
    <w:rsid w:val="0032136E"/>
    <w:rsid w:val="00321985"/>
    <w:rsid w:val="00351205"/>
    <w:rsid w:val="003531D4"/>
    <w:rsid w:val="00372F74"/>
    <w:rsid w:val="003E3608"/>
    <w:rsid w:val="003F1A75"/>
    <w:rsid w:val="003F7224"/>
    <w:rsid w:val="00427D21"/>
    <w:rsid w:val="00443340"/>
    <w:rsid w:val="00447F4A"/>
    <w:rsid w:val="00456F67"/>
    <w:rsid w:val="004644C2"/>
    <w:rsid w:val="00467F9C"/>
    <w:rsid w:val="0051006C"/>
    <w:rsid w:val="00534681"/>
    <w:rsid w:val="00540EC9"/>
    <w:rsid w:val="0056068E"/>
    <w:rsid w:val="00563442"/>
    <w:rsid w:val="0056348E"/>
    <w:rsid w:val="005649FD"/>
    <w:rsid w:val="00565B42"/>
    <w:rsid w:val="005B35E2"/>
    <w:rsid w:val="005C4CE6"/>
    <w:rsid w:val="005C67A8"/>
    <w:rsid w:val="005F39C6"/>
    <w:rsid w:val="006122BA"/>
    <w:rsid w:val="006478BF"/>
    <w:rsid w:val="006A73C1"/>
    <w:rsid w:val="006B2290"/>
    <w:rsid w:val="00717D88"/>
    <w:rsid w:val="00720E54"/>
    <w:rsid w:val="00726A43"/>
    <w:rsid w:val="00735206"/>
    <w:rsid w:val="00761A81"/>
    <w:rsid w:val="00786056"/>
    <w:rsid w:val="007942D3"/>
    <w:rsid w:val="007A1AC2"/>
    <w:rsid w:val="007B2099"/>
    <w:rsid w:val="007B6C09"/>
    <w:rsid w:val="007B7741"/>
    <w:rsid w:val="007C4951"/>
    <w:rsid w:val="007E09DA"/>
    <w:rsid w:val="007E0F8A"/>
    <w:rsid w:val="007F718D"/>
    <w:rsid w:val="00801FAD"/>
    <w:rsid w:val="008178B6"/>
    <w:rsid w:val="0086189E"/>
    <w:rsid w:val="00862473"/>
    <w:rsid w:val="00865B74"/>
    <w:rsid w:val="00866063"/>
    <w:rsid w:val="0087796A"/>
    <w:rsid w:val="008974F0"/>
    <w:rsid w:val="008A1499"/>
    <w:rsid w:val="008B012A"/>
    <w:rsid w:val="008E471B"/>
    <w:rsid w:val="009026F2"/>
    <w:rsid w:val="00906E17"/>
    <w:rsid w:val="00930BA1"/>
    <w:rsid w:val="0093169E"/>
    <w:rsid w:val="0094052E"/>
    <w:rsid w:val="009505C9"/>
    <w:rsid w:val="00950752"/>
    <w:rsid w:val="00966424"/>
    <w:rsid w:val="00975047"/>
    <w:rsid w:val="009C2DE6"/>
    <w:rsid w:val="009C7F3C"/>
    <w:rsid w:val="009F6B2D"/>
    <w:rsid w:val="00A111D1"/>
    <w:rsid w:val="00A422C1"/>
    <w:rsid w:val="00A81121"/>
    <w:rsid w:val="00A83AC8"/>
    <w:rsid w:val="00AA6F92"/>
    <w:rsid w:val="00AB6934"/>
    <w:rsid w:val="00AD38EF"/>
    <w:rsid w:val="00AF42DE"/>
    <w:rsid w:val="00B3369F"/>
    <w:rsid w:val="00B51FC6"/>
    <w:rsid w:val="00B94E6C"/>
    <w:rsid w:val="00BB4606"/>
    <w:rsid w:val="00BD1372"/>
    <w:rsid w:val="00BD5749"/>
    <w:rsid w:val="00C23D2F"/>
    <w:rsid w:val="00C34046"/>
    <w:rsid w:val="00C443BD"/>
    <w:rsid w:val="00C451C5"/>
    <w:rsid w:val="00C70DA0"/>
    <w:rsid w:val="00C75225"/>
    <w:rsid w:val="00C9161D"/>
    <w:rsid w:val="00CA0C1D"/>
    <w:rsid w:val="00CD42D5"/>
    <w:rsid w:val="00CD7C07"/>
    <w:rsid w:val="00CF1848"/>
    <w:rsid w:val="00D12044"/>
    <w:rsid w:val="00D170D9"/>
    <w:rsid w:val="00D33EFC"/>
    <w:rsid w:val="00D40DBC"/>
    <w:rsid w:val="00D44CD7"/>
    <w:rsid w:val="00D61C85"/>
    <w:rsid w:val="00D71C57"/>
    <w:rsid w:val="00D75CA6"/>
    <w:rsid w:val="00D76A18"/>
    <w:rsid w:val="00D80849"/>
    <w:rsid w:val="00D82E8F"/>
    <w:rsid w:val="00D94E20"/>
    <w:rsid w:val="00DB5E0F"/>
    <w:rsid w:val="00DD118C"/>
    <w:rsid w:val="00DE765C"/>
    <w:rsid w:val="00E16B0E"/>
    <w:rsid w:val="00E57E8D"/>
    <w:rsid w:val="00E66235"/>
    <w:rsid w:val="00E83C24"/>
    <w:rsid w:val="00E8556C"/>
    <w:rsid w:val="00E9318D"/>
    <w:rsid w:val="00E93F3E"/>
    <w:rsid w:val="00F063C2"/>
    <w:rsid w:val="00F30F12"/>
    <w:rsid w:val="00F53193"/>
    <w:rsid w:val="00F5357E"/>
    <w:rsid w:val="00F6586C"/>
    <w:rsid w:val="00F9038B"/>
    <w:rsid w:val="00F94774"/>
    <w:rsid w:val="00FA4FFD"/>
    <w:rsid w:val="00FA663B"/>
    <w:rsid w:val="00FB3431"/>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8556C"/>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E8556C"/>
    <w:pPr>
      <w:tabs>
        <w:tab w:val="left" w:pos="1701"/>
      </w:tabs>
      <w:spacing w:before="120" w:after="120"/>
      <w:jc w:val="both"/>
    </w:pPr>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abs/doc/cepa-toolkit-zh.pdf" TargetMode="External"/><Relationship Id="rId1"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393045">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274761"/>
    <w:rsid w:val="00337072"/>
    <w:rsid w:val="003578B5"/>
    <w:rsid w:val="00393045"/>
    <w:rsid w:val="0043120D"/>
    <w:rsid w:val="004E170C"/>
    <w:rsid w:val="00651A0E"/>
    <w:rsid w:val="00660EAD"/>
    <w:rsid w:val="00761A81"/>
    <w:rsid w:val="00960DB2"/>
    <w:rsid w:val="009F6B2D"/>
    <w:rsid w:val="00A422C1"/>
    <w:rsid w:val="00B26A57"/>
    <w:rsid w:val="00E16B0E"/>
    <w:rsid w:val="00EB7993"/>
    <w:rsid w:val="00FB343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B01B42CB-80EE-40E7-BDD1-F9501CCBE8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TotalTime>
  <Pages>4</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加强《名古屋议定书》的执行</dc:title>
  <dc:subject>CBD/NP/MOP/6/L.5</dc:subject>
  <dc:creator>Veronique Lefebvre</dc:creator>
  <cp:keywords>Convention on Biological Diversity</cp:keywords>
  <cp:lastModifiedBy>Mariko Nishi</cp:lastModifiedBy>
  <cp:revision>6</cp:revision>
  <cp:lastPrinted>2020-01-21T16:56:00Z</cp:lastPrinted>
  <dcterms:created xsi:type="dcterms:W3CDTF">2026-10-23T13:19:00Z</dcterms:created>
  <dcterms:modified xsi:type="dcterms:W3CDTF">2026-10-23T13:39:00Z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