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9F4D84" w14:paraId="5F80464A" w14:textId="77777777" w:rsidTr="00934E97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3E9F210" w14:textId="77777777" w:rsidR="00207A6E" w:rsidRPr="009F4D84" w:rsidRDefault="00207A6E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>
              <w:rPr>
                <w:noProof/>
                <w:snapToGrid w:val="0"/>
              </w:rPr>
              <w:drawing>
                <wp:inline distT="0" distB="0" distL="0" distR="0" wp14:anchorId="302C0408" wp14:editId="23A3809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60F8072F" w14:textId="2EA1D835" w:rsidR="00207A6E" w:rsidRPr="009F4D84" w:rsidRDefault="00FF3E46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2842EC">
              <w:rPr>
                <w:noProof/>
                <w:snapToGrid w:val="0"/>
                <w:lang w:eastAsia="ru-RU"/>
              </w:rPr>
              <w:drawing>
                <wp:inline distT="0" distB="0" distL="0" distR="0" wp14:anchorId="11F04126" wp14:editId="490004C1">
                  <wp:extent cx="388620" cy="426720"/>
                  <wp:effectExtent l="19050" t="0" r="0" b="0"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63878D5" w14:textId="5F9E76B3" w:rsidR="00207A6E" w:rsidRPr="009F4D84" w:rsidRDefault="00CA5F5C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9F4D84" w14:paraId="3F50ECA1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57156697" w14:textId="77777777" w:rsidR="00F16F02" w:rsidRPr="00DE5DC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14:paraId="6B0D834C" w14:textId="428E61E7" w:rsidR="00F16F02" w:rsidRPr="00DE5DC4" w:rsidRDefault="00BC6946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2842EC">
              <w:rPr>
                <w:noProof/>
                <w:snapToGrid w:val="0"/>
                <w:lang w:eastAsia="ru-RU"/>
              </w:rPr>
              <w:drawing>
                <wp:inline distT="0" distB="0" distL="0" distR="0" wp14:anchorId="6B4EB26F" wp14:editId="45202C28">
                  <wp:extent cx="2623185" cy="1077595"/>
                  <wp:effectExtent l="19050" t="0" r="5715" b="0"/>
                  <wp:docPr id="4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2EFA7" w14:textId="77777777" w:rsidR="00F16F02" w:rsidRPr="00DE5DC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546082A7" w14:textId="77777777" w:rsidR="00F16F02" w:rsidRPr="0049005C" w:rsidRDefault="00F16F02" w:rsidP="009F4D84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15812839" w14:textId="77777777" w:rsidR="00F16F02" w:rsidRPr="00A255FB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Distr</w:t>
            </w:r>
            <w:proofErr w:type="spellEnd"/>
            <w:r>
              <w:rPr>
                <w:snapToGrid w:val="0"/>
                <w:szCs w:val="22"/>
              </w:rPr>
              <w:t>.</w:t>
            </w:r>
          </w:p>
          <w:p w14:paraId="16F0D2B3" w14:textId="77777777" w:rsidR="00F16F02" w:rsidRPr="00E3671F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14:paraId="2FCFD526" w14:textId="77777777" w:rsidR="00F16F02" w:rsidRPr="009F4D8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snapToGrid w:val="0"/>
                <w:kern w:val="22"/>
                <w:szCs w:val="22"/>
              </w:rPr>
              <w:alias w:val="Предмет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330EE84" w14:textId="77777777" w:rsidR="00F16F02" w:rsidRPr="00DE5DC4" w:rsidRDefault="00301CD4" w:rsidP="009F4D84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</w:rPr>
                </w:pPr>
                <w:r w:rsidRPr="009F4D84">
                  <w:rPr>
                    <w:snapToGrid w:val="0"/>
                    <w:kern w:val="22"/>
                    <w:szCs w:val="22"/>
                  </w:rPr>
                  <w:t>CBD/SBI/2/6</w:t>
                </w:r>
              </w:p>
            </w:sdtContent>
          </w:sdt>
          <w:p w14:paraId="173B2462" w14:textId="77777777" w:rsidR="00F16F02" w:rsidRPr="004A102D" w:rsidRDefault="00D15589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 xml:space="preserve">14 </w:t>
            </w:r>
            <w:proofErr w:type="spellStart"/>
            <w:r>
              <w:rPr>
                <w:snapToGrid w:val="0"/>
                <w:szCs w:val="22"/>
              </w:rPr>
              <w:t>May</w:t>
            </w:r>
            <w:proofErr w:type="spellEnd"/>
            <w:r>
              <w:rPr>
                <w:snapToGrid w:val="0"/>
                <w:szCs w:val="22"/>
              </w:rPr>
              <w:t xml:space="preserve"> 2018</w:t>
            </w:r>
          </w:p>
          <w:p w14:paraId="52EF82B1" w14:textId="77777777" w:rsidR="00F16F02" w:rsidRPr="0049005C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</w:rPr>
            </w:pPr>
          </w:p>
          <w:p w14:paraId="497597E4" w14:textId="370CDF15" w:rsidR="00F16F02" w:rsidRPr="009F4D84" w:rsidRDefault="00F16F02" w:rsidP="009F4D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 xml:space="preserve">RUSSIAN </w:t>
            </w:r>
            <w:r>
              <w:rPr>
                <w:snapToGrid w:val="0"/>
                <w:szCs w:val="22"/>
              </w:rPr>
              <w:br/>
              <w:t>ORIGINAL: ENGLISH</w:t>
            </w:r>
          </w:p>
        </w:tc>
      </w:tr>
    </w:tbl>
    <w:bookmarkStart w:id="0" w:name="Meeting"/>
    <w:p w14:paraId="1E92BE6C" w14:textId="77777777" w:rsidR="00CA6B87" w:rsidRPr="00BA2AE3" w:rsidRDefault="004A0384" w:rsidP="00721FCC">
      <w:pPr>
        <w:pStyle w:val="meetingname"/>
        <w:ind w:right="4398"/>
        <w:rPr>
          <w:kern w:val="22"/>
          <w:szCs w:val="22"/>
        </w:rPr>
      </w:pPr>
      <w:sdt>
        <w:sdtPr>
          <w:rPr>
            <w:kern w:val="22"/>
          </w:rPr>
          <w:alias w:val="Совещание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9F4D84">
            <w:t>ВСПОМОГАТЕЛЬНЫЙ ОРГАН ПО ОСУЩЕСТВЛЕНИЮ</w:t>
          </w:r>
        </w:sdtContent>
      </w:sdt>
      <w:bookmarkEnd w:id="0"/>
    </w:p>
    <w:p w14:paraId="7E9FF837" w14:textId="77777777" w:rsidR="00D51069" w:rsidRPr="001F2EA9" w:rsidRDefault="002E0627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Второе совещание</w:t>
      </w:r>
    </w:p>
    <w:p w14:paraId="5A026504" w14:textId="77777777" w:rsidR="00CA6B87" w:rsidRPr="00E3671F" w:rsidRDefault="00D51069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Монреаль, Канада, 9-13 июля 2018 года</w:t>
      </w:r>
    </w:p>
    <w:p w14:paraId="28EA4137" w14:textId="77777777" w:rsidR="00CA6B87" w:rsidRPr="00BA2AE3" w:rsidRDefault="00D51069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 7 предварительной повестки дня</w:t>
      </w:r>
      <w:r>
        <w:rPr>
          <w:rStyle w:val="Appelnotedebasdep"/>
          <w:snapToGrid w:val="0"/>
          <w:kern w:val="22"/>
          <w:sz w:val="22"/>
          <w:szCs w:val="22"/>
          <w:u w:val="none"/>
          <w:lang w:eastAsia="nb-NO"/>
        </w:rPr>
        <w:footnoteReference w:customMarkFollows="1" w:id="1"/>
        <w:t>*</w:t>
      </w:r>
    </w:p>
    <w:p w14:paraId="75FC7754" w14:textId="01FF9397" w:rsidR="00406BC6" w:rsidRPr="00EE6B81" w:rsidRDefault="004A0384" w:rsidP="009F4D84">
      <w:pPr>
        <w:pStyle w:val="Titre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Cs/>
          <w:snapToGrid w:val="0"/>
          <w:kern w:val="22"/>
          <w:szCs w:val="22"/>
          <w:lang w:val="en-US"/>
        </w:rPr>
      </w:pPr>
      <w:sdt>
        <w:sdtPr>
          <w:rPr>
            <w:rFonts w:ascii="Times New Roman Bold" w:hAnsi="Times New Roman Bold" w:cs="Times New Roman Bold"/>
            <w:bCs/>
            <w:snapToGrid w:val="0"/>
            <w:kern w:val="22"/>
            <w:szCs w:val="22"/>
            <w:lang w:val="en-US"/>
          </w:rPr>
          <w:alias w:val="Специализированные международные инструменты для регулирования доступа к генетическим ресурсам и совместного использования выгод в контексте пункта 4 статьи 4 Нагойского протокола"/>
          <w:tag w:val=""/>
          <w:id w:val="1706287378"/>
          <w:placeholder>
            <w:docPart w:val="9055457EAF9D477A93FD183372AAB2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Специализированные международные </w:t>
          </w:r>
          <w:r w:rsidR="00F96458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документы</w:t>
          </w:r>
          <w:r w:rsidR="00635884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,</w:t>
          </w:r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 регулир</w:t>
          </w:r>
          <w:r w:rsidR="00635884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ующие</w:t>
          </w:r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 доступ к генетическим ресурсам и совместно</w:t>
          </w:r>
          <w:r w:rsidR="00360C8F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е</w:t>
          </w:r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 использовани</w:t>
          </w:r>
          <w:r w:rsidR="00EE6B81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е</w:t>
          </w:r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 выгод</w:t>
          </w:r>
          <w:r w:rsidR="00360C8F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>,</w:t>
          </w:r>
          <w:r w:rsidR="0033353A" w:rsidRPr="00EE6B81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n-US"/>
            </w:rPr>
            <w:t xml:space="preserve"> в контексте пункта 4 статьи 4 Нагойского протокола</w:t>
          </w:r>
        </w:sdtContent>
      </w:sdt>
    </w:p>
    <w:p w14:paraId="717AD95C" w14:textId="77777777" w:rsidR="00C85EA4" w:rsidRDefault="00C85EA4" w:rsidP="009F4D84">
      <w:pPr>
        <w:pStyle w:val="Titre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</w:rPr>
      </w:pPr>
      <w:r>
        <w:rPr>
          <w:b w:val="0"/>
          <w:i/>
          <w:snapToGrid w:val="0"/>
          <w:szCs w:val="22"/>
        </w:rPr>
        <w:t>Записка Исполнительного секретаря</w:t>
      </w:r>
    </w:p>
    <w:p w14:paraId="10F18467" w14:textId="77777777" w:rsidR="001F2EA9" w:rsidRPr="009F4D84" w:rsidRDefault="001F2EA9" w:rsidP="009F4D84">
      <w:pPr>
        <w:jc w:val="center"/>
        <w:rPr>
          <w:rFonts w:ascii="Times New Roman Bold" w:hAnsi="Times New Roman Bold" w:cs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Введение</w:t>
      </w:r>
    </w:p>
    <w:p w14:paraId="1C711F23" w14:textId="288E8D82" w:rsidR="00297FD8" w:rsidRPr="009F4D84" w:rsidRDefault="00297FD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На своем втором совещании Конференция Сторон, выступающая в качестве совещания Сторон Нагойского протокола, поруч</w:t>
      </w:r>
      <w:r w:rsidR="007C702C">
        <w:t>и</w:t>
      </w:r>
      <w:r>
        <w:t xml:space="preserve">ла Исполнительному секретарю в контексте пункта 4 </w:t>
      </w:r>
      <w:hyperlink r:id="rId11" w:history="1">
        <w:r>
          <w:rPr>
            <w:rStyle w:val="Lienhypertexte"/>
          </w:rPr>
          <w:t>статьи 4</w:t>
        </w:r>
      </w:hyperlink>
      <w:r>
        <w:t xml:space="preserve"> Протокола провести исследование критериев, которые можно было бы использовать для определения того, что именно является специализированным международным документом для регулирования доступа к генетическим ресурсам и совместного использования выгод и каким может быть возможный процесс для признания такого документа, и направить это исследование для дальнейшего рассмотрения Вспомогательному органу по осуществлению до его изучения Конференцией Сторон, выступающей в качестве совещания Сторон, на ее третьем совещании (пункт 3 решения NP-2/5).</w:t>
      </w:r>
    </w:p>
    <w:p w14:paraId="3AC452A3" w14:textId="26919046" w:rsidR="00082C5E" w:rsidRPr="009F4D84" w:rsidRDefault="00082C5E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соответствии с этим решением и при финансовой поддержке Европейского </w:t>
      </w:r>
      <w:r w:rsidR="00951CFF">
        <w:t>с</w:t>
      </w:r>
      <w:r>
        <w:t xml:space="preserve">оюза Исполнительный секретарь поручил исследовательской группе Центра по вопросам экологического права и управления университета </w:t>
      </w:r>
      <w:proofErr w:type="spellStart"/>
      <w:r>
        <w:t>Стратклайда</w:t>
      </w:r>
      <w:proofErr w:type="spellEnd"/>
      <w:r>
        <w:t xml:space="preserve"> провести соответствующее исследование.</w:t>
      </w:r>
    </w:p>
    <w:p w14:paraId="18A317A6" w14:textId="0A215EF1" w:rsidR="008D5BFE" w:rsidRPr="009F4D84" w:rsidRDefault="008D5BFE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 разделе I настоящего документа представлен обзор исследования, а в разделе II содержатся предлагаемые элементы проекта рекомендации. Полный текст исследования приводится в информационном документе (</w:t>
      </w:r>
      <w:r w:rsidRPr="00E957DE">
        <w:t>CBD/SBI/2/INF/17</w:t>
      </w:r>
      <w:r>
        <w:t>).</w:t>
      </w:r>
    </w:p>
    <w:p w14:paraId="43CF0C61" w14:textId="77777777" w:rsidR="00AF5D39" w:rsidRPr="009F4D84" w:rsidRDefault="0049005C" w:rsidP="00676C95">
      <w:pPr>
        <w:pStyle w:val="Titre1"/>
        <w:numPr>
          <w:ilvl w:val="0"/>
          <w:numId w:val="6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152" w:right="713" w:hanging="432"/>
        <w:jc w:val="both"/>
        <w:rPr>
          <w:rFonts w:ascii="Times New Roman Bold" w:hAnsi="Times New Roman Bold" w:cs="Times New Roman Bold"/>
          <w:bCs/>
          <w:snapToGrid w:val="0"/>
          <w:kern w:val="22"/>
          <w:szCs w:val="22"/>
        </w:rPr>
      </w:pPr>
      <w:r>
        <w:rPr>
          <w:rFonts w:ascii="Times New Roman Bold" w:hAnsi="Times New Roman Bold"/>
          <w:bCs/>
          <w:snapToGrid w:val="0"/>
          <w:szCs w:val="22"/>
        </w:rPr>
        <w:t>Обзор исследования критериев для определения специализированных международных документов для регулирования доступа к генетическим ресурсам и совместного использования выгод и возможного процесса для признания таких документов</w:t>
      </w:r>
    </w:p>
    <w:p w14:paraId="791AAD3E" w14:textId="77777777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Задача исследования заключалась в изучении критериев, которые можно было бы использовать для определения того, что именно является специализированным международным документом для регулирования доступа к генетическим ресурсам и совместного использования выгод в контексте пункта 4 статьи 4 Нагойского протокола, а также возможного процесса для признания такого документа.</w:t>
      </w:r>
    </w:p>
    <w:p w14:paraId="0F7512B8" w14:textId="37C6840E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lastRenderedPageBreak/>
        <w:t>В исследовании пункт 4 статьи 4 анализируется с текстуальной, контекстуальной (в контексте соответствующих положений Протокола, в частности других положений статьи 4) и телеологической (в контексте цели и задачи Протокола) точек зрения в соответствии с общими правилами толкования договоров, содержащимися в Венской конвенции о праве международных договоров</w:t>
      </w:r>
      <w:r w:rsidR="000F5587" w:rsidRPr="009F4D84">
        <w:rPr>
          <w:rStyle w:val="Appelnotedebasdep"/>
          <w:kern w:val="22"/>
          <w:sz w:val="22"/>
          <w:szCs w:val="22"/>
          <w:u w:val="none"/>
          <w:vertAlign w:val="superscript"/>
        </w:rPr>
        <w:footnoteReference w:id="2"/>
      </w:r>
      <w:r>
        <w:t>. Затем в нем рассматривается вопрос актуальност</w:t>
      </w:r>
      <w:r w:rsidR="00631B1F">
        <w:t>и</w:t>
      </w:r>
      <w:r>
        <w:t xml:space="preserve"> концепции </w:t>
      </w:r>
      <w:proofErr w:type="spellStart"/>
      <w:r w:rsidRPr="00E06614">
        <w:rPr>
          <w:i/>
        </w:rPr>
        <w:t>lex</w:t>
      </w:r>
      <w:proofErr w:type="spellEnd"/>
      <w:r w:rsidRPr="00E06614">
        <w:rPr>
          <w:i/>
        </w:rPr>
        <w:t xml:space="preserve"> </w:t>
      </w:r>
      <w:proofErr w:type="spellStart"/>
      <w:r w:rsidRPr="00E06614">
        <w:rPr>
          <w:i/>
        </w:rPr>
        <w:t>specialis</w:t>
      </w:r>
      <w:proofErr w:type="spellEnd"/>
      <w:r>
        <w:t xml:space="preserve"> в общем международном праве</w:t>
      </w:r>
      <w:r w:rsidR="007D1705">
        <w:t xml:space="preserve"> </w:t>
      </w:r>
      <w:r w:rsidR="00A6466A">
        <w:t>и</w:t>
      </w:r>
      <w:r>
        <w:t xml:space="preserve"> работ</w:t>
      </w:r>
      <w:r w:rsidR="00A6466A">
        <w:t>а</w:t>
      </w:r>
      <w:r>
        <w:t xml:space="preserve"> Комиссии международного права в области фрагментации международного права, а также принцип взаим</w:t>
      </w:r>
      <w:r w:rsidR="00BC1E7F">
        <w:t>одополняемости</w:t>
      </w:r>
      <w:r>
        <w:t xml:space="preserve"> как более широкого понятия, применяемого не только </w:t>
      </w:r>
      <w:r w:rsidR="00BC1E7F">
        <w:t>к</w:t>
      </w:r>
      <w:r>
        <w:t xml:space="preserve"> международны</w:t>
      </w:r>
      <w:r w:rsidR="00BC1E7F">
        <w:t>м</w:t>
      </w:r>
      <w:r>
        <w:t xml:space="preserve"> договор</w:t>
      </w:r>
      <w:r w:rsidR="00BC1E7F">
        <w:t>ам</w:t>
      </w:r>
      <w:r>
        <w:t xml:space="preserve">. Эти соображения подводят основу для ряда возможных критериев определения специализированного международного документа для регулирования ДГРСИВ. </w:t>
      </w:r>
      <w:r w:rsidR="00130AC7">
        <w:t>Далее</w:t>
      </w:r>
      <w:r>
        <w:t xml:space="preserve"> в исследовании рассматриваются соответствующ</w:t>
      </w:r>
      <w:r w:rsidR="006B073C">
        <w:t>ая</w:t>
      </w:r>
      <w:r>
        <w:t xml:space="preserve"> международн</w:t>
      </w:r>
      <w:r w:rsidR="006B073C">
        <w:t>ая</w:t>
      </w:r>
      <w:r>
        <w:t xml:space="preserve"> практик</w:t>
      </w:r>
      <w:r w:rsidR="006B073C">
        <w:t>а</w:t>
      </w:r>
      <w:r>
        <w:t xml:space="preserve"> и научные теории в области взаимодействия правовых режимов с тем, чтобы предложить элементы возможного процесса для признания таких </w:t>
      </w:r>
      <w:r w:rsidR="00CA1040">
        <w:t>документов</w:t>
      </w:r>
      <w:r>
        <w:t>. Наконец, в нем рассматриваются три сценария признани</w:t>
      </w:r>
      <w:r w:rsidR="00505C2D">
        <w:t>я</w:t>
      </w:r>
      <w:r>
        <w:t xml:space="preserve"> специализированного международного документа для регулирования ДГРСИВ, и предлагается соответствующий оптимальный процесс. Исследование опирается на общее международное право, включая право международных договоров, общие принципы международного права и теории международной нормотворческой деятельности и взаимодействия правовых режимов.</w:t>
      </w:r>
    </w:p>
    <w:p w14:paraId="758406BB" w14:textId="77777777" w:rsidR="00082280" w:rsidRPr="009F4D84" w:rsidRDefault="00787708" w:rsidP="009F4D84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iCs/>
          <w:kern w:val="22"/>
          <w:szCs w:val="22"/>
        </w:rPr>
      </w:pPr>
      <w:r>
        <w:rPr>
          <w:b/>
          <w:bCs/>
          <w:iCs/>
          <w:szCs w:val="22"/>
        </w:rPr>
        <w:t>A.</w:t>
      </w:r>
      <w:r>
        <w:rPr>
          <w:b/>
          <w:bCs/>
          <w:iCs/>
          <w:szCs w:val="22"/>
        </w:rPr>
        <w:tab/>
        <w:t>Анализ пункта 4 статьи 4 и определение критериев</w:t>
      </w:r>
    </w:p>
    <w:p w14:paraId="65032034" w14:textId="3F51039C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статье 4 Нагойского протокола рассматривается вопрос взаимоотношений Протокола с другими международными соглашениями и документами. В пункте 4 </w:t>
      </w:r>
      <w:r w:rsidR="000F69D2">
        <w:t>с</w:t>
      </w:r>
      <w:r>
        <w:t>татьи предусмотрено, что:</w:t>
      </w:r>
    </w:p>
    <w:p w14:paraId="43F756DD" w14:textId="77777777" w:rsidR="00F957CA" w:rsidRPr="009F4D84" w:rsidRDefault="00F957CA" w:rsidP="009F4D8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kern w:val="22"/>
          <w:szCs w:val="22"/>
        </w:rPr>
      </w:pPr>
      <w:r>
        <w:t>Настоящий Протокол является инструментом для осуществления положений Конвенции о доступе к генетическим ресурсам и совместном использовании выгод. В случаях применения специализированного международного документа, регулирующего доступ к генетическим ресурсам и совместное использование выгод, который соответствует целям Конвенции и настоящего Протокола и не противоречит им, настоящий Протокол не применяется для Стороны или Сторон специализированного документа в отношении конкретного генетического ресурса, регулируемого специализированным документом и используемого для его целей.</w:t>
      </w:r>
    </w:p>
    <w:p w14:paraId="02CC2C50" w14:textId="5AEBE2C4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первом предложении пункта 4 статьи 4 указывается, что Нагойский протокол представляет собой общие рамки по вопросам регулирования ДГРСИВ для целей Конвенции. Во втором предложении отмечается, что Нагойский протокол не </w:t>
      </w:r>
      <w:r w:rsidR="00847471">
        <w:t xml:space="preserve">заменяет </w:t>
      </w:r>
      <w:r>
        <w:t>другие соглашения, касающиеся регулирования ДГРСИВ, а скорее функционирует в качестве остаточного правового режима, действующего в отсутствие специализированных документов для регулирования ДГРСИВ, отвечающих определенным условиям. Таким образом, цели Конвенции о биологическом разнообразии и Нагойского протокола могут служить основой для разработки критериев для определения специализированных документов для регулирования ДГРСИВ.</w:t>
      </w:r>
    </w:p>
    <w:p w14:paraId="6DCCAC3C" w14:textId="09D28DCC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этой связи специализированные документы для регулирования ДГРСИВ, которые соответствуют целям Конвенции и Протокола, будут считаться </w:t>
      </w:r>
      <w:proofErr w:type="spellStart"/>
      <w:r w:rsidRPr="005F6A73">
        <w:rPr>
          <w:i/>
        </w:rPr>
        <w:t>lex</w:t>
      </w:r>
      <w:proofErr w:type="spellEnd"/>
      <w:r w:rsidRPr="005F6A73">
        <w:rPr>
          <w:i/>
        </w:rPr>
        <w:t xml:space="preserve"> </w:t>
      </w:r>
      <w:proofErr w:type="spellStart"/>
      <w:r w:rsidRPr="005F6A73">
        <w:rPr>
          <w:i/>
        </w:rPr>
        <w:t>specialis</w:t>
      </w:r>
      <w:proofErr w:type="spellEnd"/>
      <w:r>
        <w:t xml:space="preserve"> по отношению к Протоколу для тех Сторон, которые являются Сторонами обоих документов. В </w:t>
      </w:r>
      <w:r w:rsidR="00DA42D0">
        <w:t>соответствующем</w:t>
      </w:r>
      <w:r>
        <w:t xml:space="preserve"> случае будут применяться положения специализированных документов для регулирования ДГРСИВ, а не более общие положения Нагойского протокола в отношении конкретного генетического ресурса, регулируемого специализированным документом и используемого для его целей. Согласно принципу </w:t>
      </w:r>
      <w:proofErr w:type="spellStart"/>
      <w:r w:rsidRPr="005F6A73">
        <w:rPr>
          <w:i/>
        </w:rPr>
        <w:t>lex</w:t>
      </w:r>
      <w:proofErr w:type="spellEnd"/>
      <w:r w:rsidRPr="005F6A73">
        <w:rPr>
          <w:i/>
        </w:rPr>
        <w:t xml:space="preserve"> </w:t>
      </w:r>
      <w:proofErr w:type="spellStart"/>
      <w:r w:rsidRPr="005F6A73">
        <w:rPr>
          <w:i/>
        </w:rPr>
        <w:t>specialis</w:t>
      </w:r>
      <w:proofErr w:type="spellEnd"/>
      <w:r>
        <w:t xml:space="preserve"> специализированное правило преобладает над общ</w:t>
      </w:r>
      <w:r w:rsidR="00100589">
        <w:t>и</w:t>
      </w:r>
      <w:r>
        <w:t>м правилом. Этот принцип является общепринятым, поскольку считается, что специализированное правило более эффективно регулируют соответствующий вопрос.</w:t>
      </w:r>
    </w:p>
    <w:p w14:paraId="5FF87C53" w14:textId="7C20A3CC" w:rsidR="00F957CA" w:rsidRPr="009F4D84" w:rsidRDefault="00BE2C46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</w:t>
      </w:r>
      <w:r w:rsidR="00F957CA">
        <w:t>ункт 4 статьи 4 говорит о «документах» и таким образом охватывает (имеющие обязательную силу) договоры, а также други</w:t>
      </w:r>
      <w:r w:rsidR="00056D1D">
        <w:t>е</w:t>
      </w:r>
      <w:r w:rsidR="00F957CA">
        <w:t>, официально не имеющи</w:t>
      </w:r>
      <w:r w:rsidR="0034360D">
        <w:t>е</w:t>
      </w:r>
      <w:r w:rsidR="00F957CA">
        <w:t xml:space="preserve"> обязательной силы международные соглашения, утвержденные на межправительственном уровне в рамках договора </w:t>
      </w:r>
      <w:r w:rsidR="00F957CA">
        <w:lastRenderedPageBreak/>
        <w:t>(например, под эгидой международной организации, созданной согласно договору). Термин «документ» не является юридическим термином в международном праве, однако можно утверждать, что такой термин может охватывать как имеющие, так и не имеющие обязательную силу документы межправительственного характера. Упоминание «Сторон» документа, а также «применение» документов, как представляется, подтверждают довод о</w:t>
      </w:r>
      <w:r w:rsidR="00791B23">
        <w:t xml:space="preserve"> его</w:t>
      </w:r>
      <w:r w:rsidR="00F957CA">
        <w:t xml:space="preserve"> утверждении на межправительственном уровне. Это также подтверждается тем фактом, что в статьях 19 и 20 Нагойского протокола рассматривается вопрос документов </w:t>
      </w:r>
      <w:r w:rsidR="00770424">
        <w:t>заинтересованных сторон</w:t>
      </w:r>
      <w:r w:rsidR="00F957CA">
        <w:t>.</w:t>
      </w:r>
    </w:p>
    <w:p w14:paraId="5AC656BD" w14:textId="3E941D99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преамбуле протокола содержится ряд указаний </w:t>
      </w:r>
      <w:r w:rsidR="00FC5182">
        <w:t>на</w:t>
      </w:r>
      <w:r>
        <w:t xml:space="preserve"> аспект</w:t>
      </w:r>
      <w:r w:rsidR="000D1EFE">
        <w:t>ы</w:t>
      </w:r>
      <w:r>
        <w:t xml:space="preserve">, которые могут иметь отношение к целям пункта 4 статьи 4, однако не следует считать, что их перечень носит исчерпывающий характер. В преамбуле признается особый характер биоразнообразия сельского хозяйства, присущие ему особенности и проблемы, требующие особых решений, а также принципиальная роль Международного договора о генетических ресурсах растений для производства продовольствия и напоминается, что его </w:t>
      </w:r>
      <w:r w:rsidR="00B1012F">
        <w:t>м</w:t>
      </w:r>
      <w:r>
        <w:t xml:space="preserve">ногосторонняя система была разработана в согласовании с Конвенцией о биологическом разнообразии. В решении </w:t>
      </w:r>
      <w:hyperlink r:id="rId12" w:history="1">
        <w:r>
          <w:rPr>
            <w:rStyle w:val="Lienhypertexte"/>
          </w:rPr>
          <w:t>X/1</w:t>
        </w:r>
      </w:hyperlink>
      <w:r>
        <w:t xml:space="preserve">, которым был принят Нагойский протокол, признается, что </w:t>
      </w:r>
      <w:r w:rsidR="0067163C">
        <w:t>Договор</w:t>
      </w:r>
      <w:r>
        <w:t xml:space="preserve"> также является частью международного режима регулирования ДГРСИВ. В преамбуле также признается принципиальн</w:t>
      </w:r>
      <w:r w:rsidR="0042571C">
        <w:t>ая</w:t>
      </w:r>
      <w:r>
        <w:t xml:space="preserve"> роль Комиссии по генетическим ресурсам для производства продовольствия и ведения сельского хозяйства Продовольственной и сельскохозяйственной организацией Объединенных Наций (ФАО), которая постоянно поддерживает законотворческ</w:t>
      </w:r>
      <w:r w:rsidR="0058233E">
        <w:t>ую</w:t>
      </w:r>
      <w:r>
        <w:t xml:space="preserve"> деятельност</w:t>
      </w:r>
      <w:r w:rsidR="0058233E">
        <w:t>ь</w:t>
      </w:r>
      <w:r>
        <w:t xml:space="preserve"> в области регулирования ДГРСИВ на национальном уровне для различных подсекторов генетических ресурсов для производства продовольствия и ведения сельского хозяйства. Кроме того, в преамбуле упоминаются Международные медико-санитарные правила (2005 г.) Всемирной организации здравоохранения (ВОЗ) и важность гарантирования доступа к патогенам человека для обеспечения готовности в области общественного здравоохранения и принятия мер реагирования.</w:t>
      </w:r>
    </w:p>
    <w:p w14:paraId="05FA81A8" w14:textId="509DFA2D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Пункт 4 статьи 4 следует понимать в контексте других положений этой статьи. В пункт</w:t>
      </w:r>
      <w:r w:rsidR="000975BD">
        <w:t>е</w:t>
      </w:r>
      <w:r>
        <w:t xml:space="preserve"> 2 статьи 4 предусматривается, что Стороны могут разрабатывать другие соответствующие международные соглашения, включая специализированные соглашения для регулирования ДГРСИВ, «при условии, что они соответствуют целям Конвенции и настоящего Протокола и не противоречат им». Таким образом, Сторонам необходимо обеспечить, чтобы специализированные соглашения для регулирования ДГРСИВ не только не подрывали усилия по достижению этих целей, но и способствовали их реализации. Это соответствует пониманию общего принципа взаимодополняемости, который фактически лежит в основе применения всей статьи 4.</w:t>
      </w:r>
    </w:p>
    <w:p w14:paraId="764CBA35" w14:textId="77777777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Далее пункт 3 статьи 4 предписывает Сторонам осуществлять Протокол взаимодополняющим образом с другими международными документами, «имеющими значение» для Протокола. Пункт 3 статьи 4 также призывает при осуществлении Протокола «уделять должное внимание полезной и актуальной текущей работе или практике в рамках таких международных документов и соответствующих международных организаций, при условии, что они соответствуют целям Конвенции и настоящего Протокола и не противоречат им».</w:t>
      </w:r>
    </w:p>
    <w:p w14:paraId="78907B96" w14:textId="43BBE06C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Принцип взаимодополняемости основывается на концепции международного права в качестве «системы», благодаря чему международные нормы могут применя</w:t>
      </w:r>
      <w:r w:rsidR="00E153D4">
        <w:t>ться</w:t>
      </w:r>
      <w:r>
        <w:t xml:space="preserve"> и в более общем плане понима</w:t>
      </w:r>
      <w:r w:rsidR="00E153D4">
        <w:t>ться</w:t>
      </w:r>
      <w:r>
        <w:t xml:space="preserve"> как взаимодополняющие друг друга. Это предполагает два последствия для государств. Во-первых, он ориентирует толкование государств таким образом, чтобы в случа</w:t>
      </w:r>
      <w:r w:rsidR="00BF6C38">
        <w:t>е</w:t>
      </w:r>
      <w:r>
        <w:t xml:space="preserve"> возникновения конфликта компетенции между конкурирующими режимами они исключали решения, предполагающие подчинение одного режима другому. Во-вторых, это требует от государств добросовестных усилий в целях проведения переговоров и подписания документов, четко оговаривающих отношения между потенциально конкурирующими режимами. Взаимодополняемость – это широкое понятие, которое охватывает нормотворческую деятельность и толкование. Оно не ограничивается договорами и может применяться к другим международным «документам».</w:t>
      </w:r>
    </w:p>
    <w:p w14:paraId="59E21EE7" w14:textId="65945BEB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lastRenderedPageBreak/>
        <w:t>В соответствии с общим международным правом предмет и цель договора являются одним из основных критериев</w:t>
      </w:r>
      <w:r w:rsidR="00984D6E">
        <w:rPr>
          <w:lang w:val="fr-FR"/>
        </w:rPr>
        <w:t xml:space="preserve"> </w:t>
      </w:r>
      <w:r w:rsidR="00984D6E">
        <w:t>его</w:t>
      </w:r>
      <w:r>
        <w:t xml:space="preserve"> толкования. В статье 1 Нагойского протокола уточняется, что обеспечение совместного использования «на справедливой и равной основе» выгод от применения генетических ресурсов является «основной целью» Протокола. Далее указываются три средства ее достижения – доступ к генетическим ресурсам, передача технологий и финансирование. </w:t>
      </w:r>
      <w:r w:rsidR="00F728D8">
        <w:t>С</w:t>
      </w:r>
      <w:r>
        <w:t>тать</w:t>
      </w:r>
      <w:r w:rsidR="00F728D8">
        <w:t>я</w:t>
      </w:r>
      <w:r>
        <w:t xml:space="preserve"> 1 также устанавливает прям</w:t>
      </w:r>
      <w:r w:rsidR="00F728D8">
        <w:t>ую</w:t>
      </w:r>
      <w:r>
        <w:t xml:space="preserve"> взаимосвязь между совместным использованием выгод и двумя другими целями Конвенции – сохранением и устойчивым использованием.</w:t>
      </w:r>
    </w:p>
    <w:p w14:paraId="52C87608" w14:textId="7294A47D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 преамбуле подтверждается, что Протокол направлен на осуществление третьей цели Конвенции посредством изложения шагов по практической реализации статьи 15 Конвенции о доступе к генетическим ресурсам в целях оказания дальнейшей поддержки эффективному осуществлению положений Конвенции о ДГРСИВ. В преамбуле также отмечается необходимость обеспечения юридической определенности в отношении ДГРСИВ и стимулирования равенства и справедливости на переговорах между</w:t>
      </w:r>
      <w:r w:rsidR="00DB1A8E">
        <w:t xml:space="preserve"> </w:t>
      </w:r>
      <w:r>
        <w:t xml:space="preserve">поставщиками </w:t>
      </w:r>
      <w:r w:rsidR="00433471">
        <w:t xml:space="preserve">и </w:t>
      </w:r>
      <w:r>
        <w:t>пользователями генетических ресурсов. Широкое понятие устойчивого развития, которое неоднократно упоминается в преамбуле, также можно рассматривать в качестве части предмета и цели Нагойского протокола.</w:t>
      </w:r>
    </w:p>
    <w:p w14:paraId="6F65033F" w14:textId="70D4D2DC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Несмотря на то, что традиционные знания не упоминаются в статье 1 Протокола, они являются ключевым компонентом правового режима, созданного Протоколом. Поскольку предмет и цель договора следует в том числе из его преамбулы и других программных статей, </w:t>
      </w:r>
      <w:r w:rsidR="009C0656">
        <w:t>необходимо</w:t>
      </w:r>
      <w:r>
        <w:t xml:space="preserve"> обратить внимание на несколько основных положений Протокола, которые полностью или в значительной степени посвящены традиционным знаниям, связанным с генетическими ресурсами, а также на несколько упоминаний традиционных знаний в преамбуле, в том числе их значение для сохранения и устойчивого использования биоразнообразия.</w:t>
      </w:r>
    </w:p>
    <w:p w14:paraId="113A68C6" w14:textId="57DC2B4F" w:rsidR="00C84E3A" w:rsidRPr="005E6462" w:rsidRDefault="00F957CA" w:rsidP="00F74FC5">
      <w:pPr>
        <w:pStyle w:val="Para1"/>
        <w:numPr>
          <w:ilvl w:val="0"/>
          <w:numId w:val="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</w:pPr>
      <w:r>
        <w:t>Вышеизложенный анализ может послужить основой для разработки критериев для определения специализированных международных документов для регулирования ДГРСИВ в соответствии с пунктом 4 статьи 4. В широком смысле, чтобы рассматриваться в качестве специализированного международного документа для регулирования ДГРСИВ, соответствующий документ должен быть:</w:t>
      </w:r>
    </w:p>
    <w:p w14:paraId="08D2222A" w14:textId="77777777" w:rsidR="00C84E3A" w:rsidRPr="009F4D84" w:rsidRDefault="00F957CA" w:rsidP="00F74FC5">
      <w:pPr>
        <w:pStyle w:val="Para1"/>
        <w:numPr>
          <w:ilvl w:val="1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142" w:firstLine="567"/>
        <w:rPr>
          <w:kern w:val="22"/>
          <w:szCs w:val="22"/>
        </w:rPr>
      </w:pPr>
      <w:r>
        <w:t>согласованным в рамках межправительственного процесса (он может иметь или не иметь обязательную силу);</w:t>
      </w:r>
    </w:p>
    <w:p w14:paraId="00755B83" w14:textId="77777777" w:rsidR="00C84E3A" w:rsidRPr="009F4D84" w:rsidRDefault="003D2989" w:rsidP="00F74FC5">
      <w:pPr>
        <w:pStyle w:val="Para1"/>
        <w:numPr>
          <w:ilvl w:val="1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142" w:firstLine="567"/>
        <w:rPr>
          <w:kern w:val="22"/>
          <w:szCs w:val="22"/>
        </w:rPr>
      </w:pPr>
      <w:r>
        <w:t>специализированным:</w:t>
      </w:r>
    </w:p>
    <w:p w14:paraId="3144512F" w14:textId="77777777" w:rsidR="001133EF" w:rsidRPr="009F4D84" w:rsidRDefault="003D2989" w:rsidP="00F74FC5">
      <w:pPr>
        <w:pStyle w:val="Para1"/>
        <w:numPr>
          <w:ilvl w:val="5"/>
          <w:numId w:val="9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>документ применяется в отношении определенного набора генетических ресурсов и/или традиционных знаний, связанных с генетическими ресурсами, которые в противном случае подпадают под действие Нагойского протокола;</w:t>
      </w:r>
    </w:p>
    <w:p w14:paraId="24EB5271" w14:textId="5ECA9C92" w:rsidR="001133EF" w:rsidRPr="009F4D84" w:rsidRDefault="003D2989" w:rsidP="00F74FC5">
      <w:pPr>
        <w:pStyle w:val="Para1"/>
        <w:numPr>
          <w:ilvl w:val="5"/>
          <w:numId w:val="9"/>
        </w:numPr>
        <w:suppressLineNumbers/>
        <w:tabs>
          <w:tab w:val="clear" w:pos="21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>документ применяется в отношении определенных видов использования генетических ресурсов и/или традиционных знаний, связанных с генетическими ресурсами, что предполагает дифференцированный и, следовательно, специализированный подход;</w:t>
      </w:r>
    </w:p>
    <w:p w14:paraId="72C67A46" w14:textId="0BA00E68" w:rsidR="00C84E3A" w:rsidRPr="009F4D84" w:rsidRDefault="001133EF" w:rsidP="00F74FC5">
      <w:pPr>
        <w:pStyle w:val="Para1"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 xml:space="preserve">взаимодополняющим с Конвенцией о биологическом разнообразии и </w:t>
      </w:r>
      <w:proofErr w:type="spellStart"/>
      <w:r>
        <w:t>Нагойским</w:t>
      </w:r>
      <w:proofErr w:type="spellEnd"/>
      <w:r>
        <w:t xml:space="preserve"> протоколом, что означает документ, который соответствует целям Конвенции и Нагойского протокола</w:t>
      </w:r>
      <w:r w:rsidR="00264937">
        <w:t>,</w:t>
      </w:r>
      <w:r>
        <w:t xml:space="preserve"> поддерживает их и не противоречит этим целям, в том числе применительно к следующим аспектам:</w:t>
      </w:r>
    </w:p>
    <w:p w14:paraId="434DC0FC" w14:textId="77777777" w:rsidR="00C84E3A" w:rsidRPr="009F4D84" w:rsidRDefault="00F957CA" w:rsidP="00F74FC5">
      <w:pPr>
        <w:pStyle w:val="Para1"/>
        <w:numPr>
          <w:ilvl w:val="5"/>
          <w:numId w:val="10"/>
        </w:numPr>
        <w:suppressLineNumbers/>
        <w:tabs>
          <w:tab w:val="clear" w:pos="2160"/>
          <w:tab w:val="num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>соответствие целям сохранения и устойчивого использования биоразнообразия;</w:t>
      </w:r>
    </w:p>
    <w:p w14:paraId="18F154D9" w14:textId="77777777" w:rsidR="00C84E3A" w:rsidRPr="009F4D84" w:rsidRDefault="00F957CA" w:rsidP="00F74FC5">
      <w:pPr>
        <w:pStyle w:val="Para1"/>
        <w:numPr>
          <w:ilvl w:val="5"/>
          <w:numId w:val="10"/>
        </w:numPr>
        <w:suppressLineNumbers/>
        <w:tabs>
          <w:tab w:val="clear" w:pos="2160"/>
          <w:tab w:val="num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>справедливость и равенство при совместном использовании выгод;</w:t>
      </w:r>
    </w:p>
    <w:p w14:paraId="7D50BF60" w14:textId="77777777" w:rsidR="00C84E3A" w:rsidRPr="009F4D84" w:rsidRDefault="00F957CA" w:rsidP="00F74FC5">
      <w:pPr>
        <w:pStyle w:val="Para1"/>
        <w:numPr>
          <w:ilvl w:val="5"/>
          <w:numId w:val="10"/>
        </w:numPr>
        <w:suppressLineNumbers/>
        <w:tabs>
          <w:tab w:val="clear" w:pos="2160"/>
          <w:tab w:val="num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>правовая определенность в отношении доступа к генетическим ресурсам или традиционным знаниям, связанным с генетическими ресурсами, и совместного использования выгод;</w:t>
      </w:r>
    </w:p>
    <w:p w14:paraId="1DCACF12" w14:textId="77777777" w:rsidR="00C84E3A" w:rsidRPr="009F4D84" w:rsidRDefault="00F957CA" w:rsidP="00F74FC5">
      <w:pPr>
        <w:pStyle w:val="Para1"/>
        <w:numPr>
          <w:ilvl w:val="5"/>
          <w:numId w:val="10"/>
        </w:numPr>
        <w:suppressLineNumbers/>
        <w:tabs>
          <w:tab w:val="clear" w:pos="2160"/>
          <w:tab w:val="num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t xml:space="preserve">вклад в устойчивое развитие, олицетворяемый согласованными на международном уровне целями; </w:t>
      </w:r>
    </w:p>
    <w:p w14:paraId="0876AF7F" w14:textId="77777777" w:rsidR="00F957CA" w:rsidRPr="009F4D84" w:rsidRDefault="00F957CA" w:rsidP="00F74FC5">
      <w:pPr>
        <w:pStyle w:val="Para1"/>
        <w:numPr>
          <w:ilvl w:val="5"/>
          <w:numId w:val="10"/>
        </w:numPr>
        <w:suppressLineNumbers/>
        <w:tabs>
          <w:tab w:val="clear" w:pos="2160"/>
          <w:tab w:val="num" w:pos="1418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0"/>
        <w:ind w:left="1418" w:hanging="709"/>
        <w:rPr>
          <w:kern w:val="22"/>
          <w:szCs w:val="22"/>
        </w:rPr>
      </w:pPr>
      <w:r>
        <w:lastRenderedPageBreak/>
        <w:t>другие общие принципы права, включая добросовестность, эффективность и законные ожидания.</w:t>
      </w:r>
    </w:p>
    <w:p w14:paraId="4C375954" w14:textId="695FDA71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 полном тексте исследовани</w:t>
      </w:r>
      <w:r w:rsidR="00076357">
        <w:t>я</w:t>
      </w:r>
      <w:r>
        <w:t xml:space="preserve"> содержится дополнительная информация относительно понимания и применения этих критериев.</w:t>
      </w:r>
    </w:p>
    <w:p w14:paraId="1857FDE3" w14:textId="7A35E56F" w:rsidR="00200F59" w:rsidRPr="009F4D84" w:rsidRDefault="00200F59" w:rsidP="00200F59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iCs/>
          <w:kern w:val="22"/>
          <w:szCs w:val="22"/>
        </w:rPr>
      </w:pPr>
      <w:r>
        <w:rPr>
          <w:b/>
          <w:bCs/>
          <w:iCs/>
          <w:szCs w:val="22"/>
        </w:rPr>
        <w:t>B.</w:t>
      </w:r>
      <w:r w:rsidR="00993473">
        <w:rPr>
          <w:b/>
          <w:bCs/>
          <w:iCs/>
          <w:szCs w:val="22"/>
        </w:rPr>
        <w:tab/>
      </w:r>
      <w:r>
        <w:rPr>
          <w:b/>
          <w:bCs/>
          <w:iCs/>
          <w:szCs w:val="22"/>
        </w:rPr>
        <w:t xml:space="preserve">Содействие сотрудничеству и взаимодействию между </w:t>
      </w:r>
      <w:r w:rsidR="00993473">
        <w:rPr>
          <w:b/>
          <w:bCs/>
          <w:iCs/>
          <w:szCs w:val="22"/>
        </w:rPr>
        <w:t>документами</w:t>
      </w:r>
    </w:p>
    <w:p w14:paraId="02B3B999" w14:textId="43883152" w:rsidR="00200F59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 xml:space="preserve">В целях предоставления элементов по поводу возможного процесса признания специализированных </w:t>
      </w:r>
      <w:r w:rsidR="00794A6F">
        <w:t>документов</w:t>
      </w:r>
      <w:r>
        <w:t xml:space="preserve"> для регулирования ДГРСИВ в исследовании рассматриваются различные аспекты взаимодействия международных правовых режимов. Анализ показывает, что международное право не предлагает четких решений в отношении взаимодействия между международными соглашениями. Применение вышеуказанных критериев предусматривает необходимость обоснованного обсуждения в контексте каждого конкретного случая, требующего принятия прагматичных решений, основанных на расширени</w:t>
      </w:r>
      <w:r w:rsidR="007D587B">
        <w:t>и</w:t>
      </w:r>
      <w:r>
        <w:t xml:space="preserve"> сотрудничества. Кроме того, анализ показывает, что взаимодействие правовых режимов может предоставить возможности для непрерывного </w:t>
      </w:r>
      <w:r w:rsidR="006F0701">
        <w:t>взаимного обучения</w:t>
      </w:r>
      <w:r>
        <w:t xml:space="preserve"> и плодотворного сотрудничества, являющихся взаимовыгодными факторами для реализации различных международных </w:t>
      </w:r>
      <w:r w:rsidR="00890F3E">
        <w:t>документов</w:t>
      </w:r>
      <w:r>
        <w:t>.</w:t>
      </w:r>
    </w:p>
    <w:p w14:paraId="43E3C4AD" w14:textId="45204154" w:rsidR="00200F59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 xml:space="preserve">Признание специализированных </w:t>
      </w:r>
      <w:r w:rsidR="004D7E1D">
        <w:t xml:space="preserve">документов </w:t>
      </w:r>
      <w:r>
        <w:t xml:space="preserve">в соответствии с пунктом 4 статьи 4 станет одним из этапов в процессе текущего управления для обеспечения постоянной взаимодополняемости соответствующих </w:t>
      </w:r>
      <w:r w:rsidR="00F735AB">
        <w:t xml:space="preserve">документов </w:t>
      </w:r>
      <w:r>
        <w:t>с целями Конвенции и Протокола. Этот процесс не отменяет необходимости рассмотрения вопроса об управлении взаимодействием с другими международными инструментами, которое обычно требует постоянного обмена информацией и налаживания сотрудничества с целью достижения синергетических результатов. В этой связи следует уделять внимание максимальному расширению возможностей для проведение взаимного обучения между правовыми режимами.</w:t>
      </w:r>
    </w:p>
    <w:p w14:paraId="13FCED21" w14:textId="583B52D0" w:rsidR="00200F59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 xml:space="preserve">Существует несколько практических примеров институционального взаимодействия, которые могут послужить </w:t>
      </w:r>
      <w:r w:rsidR="006E6BD4">
        <w:t>основой</w:t>
      </w:r>
      <w:r>
        <w:t xml:space="preserve"> для осуществления пункта 4 статьи 4 Нагойского протокола, в том числе в других областях международного права.</w:t>
      </w:r>
    </w:p>
    <w:p w14:paraId="6921D205" w14:textId="174E029E" w:rsidR="00200F59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 xml:space="preserve">Во-первых, переговоры о новом </w:t>
      </w:r>
      <w:r w:rsidR="00C30C26">
        <w:t>документе</w:t>
      </w:r>
      <w:r>
        <w:t xml:space="preserve"> можно вести на взаимодополняющей основе</w:t>
      </w:r>
      <w:r w:rsidR="009D43BA">
        <w:t xml:space="preserve"> с самого начального этапа</w:t>
      </w:r>
      <w:r>
        <w:t xml:space="preserve">, например, путем </w:t>
      </w:r>
      <w:r w:rsidR="00283BA8">
        <w:t>принятия</w:t>
      </w:r>
      <w:r w:rsidR="002C6D07">
        <w:t xml:space="preserve"> переговорного</w:t>
      </w:r>
      <w:r>
        <w:t xml:space="preserve"> мандата, обеспечивающего согласованность с существующим </w:t>
      </w:r>
      <w:r w:rsidR="000D5C1B">
        <w:t>документом</w:t>
      </w:r>
      <w:r>
        <w:t xml:space="preserve">, информирования руководящего органа существующего </w:t>
      </w:r>
      <w:r w:rsidR="00CB5FA1">
        <w:t>документа</w:t>
      </w:r>
      <w:r>
        <w:t xml:space="preserve"> о ходе переговоров и/или разработки положений нового </w:t>
      </w:r>
      <w:r w:rsidR="00DD68EC">
        <w:t>документа</w:t>
      </w:r>
      <w:r>
        <w:t>, ориентирован</w:t>
      </w:r>
      <w:r w:rsidR="00686F71">
        <w:t>ных</w:t>
      </w:r>
      <w:r>
        <w:t xml:space="preserve"> непосредственно на взаимодополняемость. В качестве конкретного примера можно привести Международный договор о генетических ресурсах растений для производства продовольствия и ведения сельского хозяйства. Сотрудничество между этими двумя </w:t>
      </w:r>
      <w:r w:rsidR="00F6413D">
        <w:t xml:space="preserve">документами </w:t>
      </w:r>
      <w:r>
        <w:t xml:space="preserve">уже было предусмотрено на этапе переговоров и разработки проекта Договора и четко отражено в его положениях. Помимо нормотворческого аспекта взаимодополняемости сотрудничество также упрощается за счет административных договоренностей между секретариатами, возможностями для обмена информацией в ходе совещаний руководящих органов соответствующих </w:t>
      </w:r>
      <w:r w:rsidR="008B3F83">
        <w:t>документов</w:t>
      </w:r>
      <w:r>
        <w:t xml:space="preserve"> и в процессе работы, в частности, за счет реализации совместных инициатив по созданию потенциала.</w:t>
      </w:r>
    </w:p>
    <w:p w14:paraId="5182EB26" w14:textId="513EFCFE" w:rsidR="00200F59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 xml:space="preserve">Примерами других правовых режимов, взаимодействующих с Конференцией Сторон Конвенции о биологическом разнообразии, являются Всемирная организация интеллектуальной собственности в </w:t>
      </w:r>
      <w:r w:rsidR="00C916BB">
        <w:t>контексте</w:t>
      </w:r>
      <w:r>
        <w:t xml:space="preserve"> Межправительственного комитета по интеллектуальной собственности и генетическим ресурсам, традиционным знаниям и фольклору и текущие переговоры по морскому биоразнообразию в районах за пределами национальной юрисдикции в рамках Генеральной Ассамблеи Организации Объединенных Наций.</w:t>
      </w:r>
    </w:p>
    <w:p w14:paraId="2683E8C6" w14:textId="199E2DAC" w:rsidR="00200F59" w:rsidRPr="009F4D84" w:rsidRDefault="00815377" w:rsidP="00200F59">
      <w:pPr>
        <w:pStyle w:val="Para1"/>
        <w:tabs>
          <w:tab w:val="clear" w:pos="360"/>
        </w:tabs>
      </w:pPr>
      <w:r>
        <w:t>Кроме того, в</w:t>
      </w:r>
      <w:r w:rsidR="00200F59">
        <w:t xml:space="preserve"> качестве примеров взаимодействия правовых режимов можно привести процессы периодического совместного анализа или отчетности, дискуссионные стратегии, направленные на содействие обучению и обмену информацией, и налаживание регулярного диалога между межправительственными режимами. Примером такого диалога может стать </w:t>
      </w:r>
      <w:proofErr w:type="spellStart"/>
      <w:r w:rsidR="00200F59" w:rsidRPr="00A67D42">
        <w:lastRenderedPageBreak/>
        <w:t>Межучрежденческая</w:t>
      </w:r>
      <w:proofErr w:type="spellEnd"/>
      <w:r w:rsidR="00200F59" w:rsidRPr="00A67D42">
        <w:t xml:space="preserve"> контактная группа по инвазивным чужеродным видам</w:t>
      </w:r>
      <w:r w:rsidR="00E12678">
        <w:t xml:space="preserve"> –</w:t>
      </w:r>
      <w:r w:rsidR="00200F59">
        <w:t xml:space="preserve"> инициатива секретариата Конвенции о биологическом разнообразии, членами которой являются 10 секретариатов межправительственных организаций, включая ФАО, Международную морскую организацию (ИМО), Международную организацию гражданской авиации (ИКАО) и Всемирную торговую организацию (ВТО). Регулярная возможность проведения диалога, </w:t>
      </w:r>
      <w:r w:rsidR="000610CD">
        <w:t>предоставляемая</w:t>
      </w:r>
      <w:r w:rsidR="00200F59">
        <w:t xml:space="preserve"> </w:t>
      </w:r>
      <w:proofErr w:type="spellStart"/>
      <w:r w:rsidR="00200F59">
        <w:t>Межучрежденческой</w:t>
      </w:r>
      <w:proofErr w:type="spellEnd"/>
      <w:r w:rsidR="00200F59">
        <w:t xml:space="preserve"> группой, направлена на «устранение пробелов и несоответствий в международных правовых рамках, связанных с предотвращением, контролем и искоренением инвазивных чужеродных видов» и на содействие разработке норм и стандартов, а также поощрение обмена информацией и создания потенциала.</w:t>
      </w:r>
    </w:p>
    <w:p w14:paraId="6D8350AE" w14:textId="2D85B0D9" w:rsidR="00F957CA" w:rsidRPr="009F4D84" w:rsidRDefault="00200F59" w:rsidP="00200F59">
      <w:pPr>
        <w:pStyle w:val="Para1"/>
        <w:tabs>
          <w:tab w:val="clear" w:pos="360"/>
        </w:tabs>
        <w:rPr>
          <w:kern w:val="22"/>
          <w:szCs w:val="22"/>
        </w:rPr>
      </w:pPr>
      <w:r>
        <w:t>С практической точки зрения приведенные выше примеры иллюстрируют различные способы (более или менее формальные), в которых частичное наложение друг на друга правовых режимов можно тщательно контролировать с тем, чтобы добиться совместных результатов даже без согласования членства между соответствующими правовыми режимами.</w:t>
      </w:r>
    </w:p>
    <w:p w14:paraId="61BB2356" w14:textId="77777777" w:rsidR="00082280" w:rsidRPr="009F4D84" w:rsidRDefault="002A30BC" w:rsidP="002A1411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18" w:right="429" w:hanging="567"/>
        <w:rPr>
          <w:b/>
          <w:bCs/>
          <w:iCs/>
          <w:kern w:val="22"/>
          <w:szCs w:val="22"/>
        </w:rPr>
      </w:pPr>
      <w:r>
        <w:rPr>
          <w:b/>
          <w:bCs/>
          <w:iCs/>
          <w:szCs w:val="22"/>
        </w:rPr>
        <w:t>C.</w:t>
      </w:r>
      <w:r>
        <w:rPr>
          <w:b/>
          <w:bCs/>
          <w:iCs/>
          <w:szCs w:val="22"/>
        </w:rPr>
        <w:tab/>
        <w:t>Сценарии процесса признания специализированного международного документа для регулирования ДГРСИВ</w:t>
      </w:r>
    </w:p>
    <w:p w14:paraId="634796D9" w14:textId="55F890DF" w:rsidR="00F61003" w:rsidRPr="009F4D84" w:rsidRDefault="00F6100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Процесс признания специализированных соглашений не предусматривается и не предписывается в пункте 4 статьи 4 Нагойского протокола. Однако вышеприведенный анализ показывает, что при рассмотрении вопроса о процессе признания специализированного документа следует учитывать следующие аспекты: а) инициативы по признанию или (в других случаях) по взаимодействию специализированных документов могут осуществляться на различных уровнях, причем различные субъекты и органы могут играть различные роли; в) само признание не устран</w:t>
      </w:r>
      <w:r w:rsidR="00181462">
        <w:t>яет</w:t>
      </w:r>
      <w:r>
        <w:t xml:space="preserve"> необходимости рассмотрения вопроса об управлении взаимодействием с другими международными документами, что, как правило, требует постоянных усилий по обмену информацией и сотрудничеству; и c) следует уделять внимание </w:t>
      </w:r>
      <w:r w:rsidR="00E337E2">
        <w:t>максимальному расширению возможностей для проведени</w:t>
      </w:r>
      <w:r w:rsidR="00994E36">
        <w:t>я</w:t>
      </w:r>
      <w:r w:rsidR="00E337E2">
        <w:t xml:space="preserve"> взаимного обучения</w:t>
      </w:r>
      <w:r>
        <w:t xml:space="preserve"> между правовыми режимами.</w:t>
      </w:r>
    </w:p>
    <w:p w14:paraId="4C72DF4B" w14:textId="6FAC957E" w:rsidR="00F607FE" w:rsidRPr="009F4D84" w:rsidRDefault="002C1230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На основе анализа можно предположить три сценария признания (или другой формы управления взаимодействием режимов) Нагойского протокола и специализированных документов. Эти сценарии не являются взаимоисключающими, но могут дублировать и в идеале дополнять друг друга.</w:t>
      </w:r>
    </w:p>
    <w:p w14:paraId="6DED1FA1" w14:textId="645A8D52" w:rsidR="00D11FC2" w:rsidRPr="009F4D84" w:rsidRDefault="00082280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i/>
          <w:iCs/>
        </w:rPr>
        <w:t>Признание Конференци</w:t>
      </w:r>
      <w:r w:rsidR="003C4649">
        <w:rPr>
          <w:i/>
          <w:iCs/>
        </w:rPr>
        <w:t>ей</w:t>
      </w:r>
      <w:r>
        <w:rPr>
          <w:i/>
          <w:iCs/>
        </w:rPr>
        <w:t xml:space="preserve"> Сторон, выступающей в качестве совещания Сторон Нагойского протокола</w:t>
      </w:r>
      <w:r>
        <w:t xml:space="preserve"> – Решение принима</w:t>
      </w:r>
      <w:r w:rsidR="007373CC">
        <w:t>ется</w:t>
      </w:r>
      <w:r>
        <w:t xml:space="preserve"> Сторонами совместно на более авторитетной, транспарентной и систематической основе в контексте Конференции Сторон, выступающей в качестве совещания Сторон. </w:t>
      </w:r>
      <w:proofErr w:type="spellStart"/>
      <w:r>
        <w:t>Вышеобозначенные</w:t>
      </w:r>
      <w:proofErr w:type="spellEnd"/>
      <w:r>
        <w:t xml:space="preserve"> критерии только выиграли бы от многостороннего обмена мнениями между Сторонами Нагойского протокола и поиска широко признанного подхода. Кроме того, с учетом необходимости обеспечения соответствия целям Конвенции и Нагойского протокола, касающимся сохранения биоразнообразия, которые считаются общей задачей человечества, Конференция Сторон, выступающая </w:t>
      </w:r>
      <w:r w:rsidR="0090463F">
        <w:t xml:space="preserve">в </w:t>
      </w:r>
      <w:r>
        <w:t>качестве совещания Сторон Нагойского протокола, является форумом для принятия решений на транспарентной и всеобъемлющей основе</w:t>
      </w:r>
      <w:r w:rsidR="00233A47">
        <w:t xml:space="preserve">, </w:t>
      </w:r>
      <w:r w:rsidR="00F731E0">
        <w:t>позволяющим</w:t>
      </w:r>
      <w:r>
        <w:t xml:space="preserve"> обсужд</w:t>
      </w:r>
      <w:r w:rsidR="00F731E0">
        <w:t>ать</w:t>
      </w:r>
      <w:r>
        <w:t xml:space="preserve"> сотрудничеств</w:t>
      </w:r>
      <w:r w:rsidR="00F731E0">
        <w:t>о</w:t>
      </w:r>
      <w:r>
        <w:t xml:space="preserve"> по вопросам, представляющим </w:t>
      </w:r>
      <w:r w:rsidR="00BD55C0">
        <w:t>взаимный</w:t>
      </w:r>
      <w:r>
        <w:t xml:space="preserve"> интерес, котор</w:t>
      </w:r>
      <w:r w:rsidR="00F731E0">
        <w:t>ый</w:t>
      </w:r>
      <w:r>
        <w:t xml:space="preserve"> дол</w:t>
      </w:r>
      <w:r w:rsidR="00F731E0">
        <w:t>жен</w:t>
      </w:r>
      <w:r>
        <w:t xml:space="preserve"> превалировать над интересами отдельных государств.</w:t>
      </w:r>
    </w:p>
    <w:p w14:paraId="3CE34618" w14:textId="18DC7068" w:rsidR="00F957CA" w:rsidRPr="009F4D84" w:rsidRDefault="00E14868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Тот факт, что решение Конференции </w:t>
      </w:r>
      <w:r w:rsidR="00FF1890">
        <w:t>С</w:t>
      </w:r>
      <w:r>
        <w:t>торон, выступающей в качестве совещания Сторон, по этому вопросу будет приниматься на основе консенсуса, придаст большую легитимность признанию специализированного соглашения, содействуя обеспечению согласованности практики государств. Кроме того, у Конференци</w:t>
      </w:r>
      <w:r w:rsidR="00264031">
        <w:t>и</w:t>
      </w:r>
      <w:r>
        <w:t xml:space="preserve"> Сторон, выступающ</w:t>
      </w:r>
      <w:r w:rsidR="00264031">
        <w:t>ей</w:t>
      </w:r>
      <w:r>
        <w:t xml:space="preserve"> </w:t>
      </w:r>
      <w:r w:rsidR="0090463F">
        <w:t>в</w:t>
      </w:r>
      <w:r>
        <w:t xml:space="preserve"> качестве совещания Сторон, будет возможность изучить пожелания всех </w:t>
      </w:r>
      <w:r w:rsidR="00FF1890">
        <w:t>С</w:t>
      </w:r>
      <w:r>
        <w:t xml:space="preserve">торон Нагойского протокола и обсудить характер рассматриваемых документов. Она будет также учитывать различные мнения по поводу того, как наиболее целесообразно применять инструменты с минимальным ущербом для функционирования правовой системы. Существующие полномочия Конференции </w:t>
      </w:r>
      <w:r w:rsidR="00FF1890">
        <w:t>С</w:t>
      </w:r>
      <w:r>
        <w:t>торон, выступающей в качестве совещания Сторон Нагойского протокола, позволят ей выполнять такую функцию, в частности полномочия в отношении вынесения рекомендаци</w:t>
      </w:r>
      <w:r w:rsidR="00521080">
        <w:t>й</w:t>
      </w:r>
      <w:r>
        <w:t xml:space="preserve"> по любым вопросам, которые необходимы для </w:t>
      </w:r>
      <w:r>
        <w:lastRenderedPageBreak/>
        <w:t>осуществления Протокола, в рамках ее общей функции обзора и содействия эффективному осуществлению.</w:t>
      </w:r>
    </w:p>
    <w:p w14:paraId="7604E20E" w14:textId="316CF7A7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К недостаткам такого подхода можно отнести потенциальн</w:t>
      </w:r>
      <w:r w:rsidR="00402B56">
        <w:t>ый</w:t>
      </w:r>
      <w:r>
        <w:t xml:space="preserve"> </w:t>
      </w:r>
      <w:r w:rsidR="00402B56">
        <w:t>недостаточный уровень</w:t>
      </w:r>
      <w:r>
        <w:t xml:space="preserve"> экспертных знаний в рамках Конференции Сторон, выступающей в качестве совещания Сторон, </w:t>
      </w:r>
      <w:r w:rsidR="00BB2CD8">
        <w:t>по</w:t>
      </w:r>
      <w:r>
        <w:t xml:space="preserve"> специализированны</w:t>
      </w:r>
      <w:r w:rsidR="00BB2CD8">
        <w:t>м</w:t>
      </w:r>
      <w:r>
        <w:t xml:space="preserve"> тем</w:t>
      </w:r>
      <w:r w:rsidR="00BB2CD8">
        <w:t>ам</w:t>
      </w:r>
      <w:r>
        <w:t>, а также деликатность вопроса с дипломатической точки зрения, связанную с необходимостью уважать мандат других международных организаций и автономность других международных режимов. Различия в составе государств</w:t>
      </w:r>
      <w:r w:rsidR="00A71240">
        <w:t>-членов</w:t>
      </w:r>
      <w:r>
        <w:t xml:space="preserve"> могут создавать дополнительные проблемы для принятия решений в рамках различных форумов.</w:t>
      </w:r>
    </w:p>
    <w:p w14:paraId="34611D09" w14:textId="5C7877C5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свете вышеизложенных соображений Сторонам Нагойского протокола было бы целесообразно обеспечить международный диалог, непосредственно ориентированный на взаимодополняемость и </w:t>
      </w:r>
      <w:r w:rsidR="00102531">
        <w:t>взаимное обучение</w:t>
      </w:r>
      <w:r w:rsidR="00FE45E8">
        <w:t>,</w:t>
      </w:r>
      <w:r>
        <w:t xml:space="preserve"> между Конференцией Сторон, выступающей в качестве совещания Сторон, и форумом, на котором может обсуждаться новый документ. Кроме того, на внутригосударственном уровне соответствующие органы </w:t>
      </w:r>
      <w:r w:rsidR="00147DC5">
        <w:t>С</w:t>
      </w:r>
      <w:r>
        <w:t>торон (возможно в различных секторах) должны будут обеспечивать применение взаимодополняющего подхода, предложенного Конференцией Сторон, выступающей в качестве совещания Сторон, при толковани</w:t>
      </w:r>
      <w:r w:rsidR="0090463F">
        <w:t>и</w:t>
      </w:r>
      <w:r>
        <w:t xml:space="preserve"> и осуществлении в рамках других форумов и других специализированных международных документов.</w:t>
      </w:r>
    </w:p>
    <w:p w14:paraId="0CA3B61E" w14:textId="647F4291" w:rsidR="00E14868" w:rsidRPr="009F4D84" w:rsidRDefault="00082280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i/>
          <w:iCs/>
        </w:rPr>
        <w:t xml:space="preserve">Признание другим </w:t>
      </w:r>
      <w:r w:rsidR="00811B07">
        <w:rPr>
          <w:i/>
          <w:iCs/>
        </w:rPr>
        <w:t>м</w:t>
      </w:r>
      <w:r>
        <w:rPr>
          <w:i/>
          <w:iCs/>
        </w:rPr>
        <w:t>еждународным форумом</w:t>
      </w:r>
      <w:r>
        <w:t xml:space="preserve"> – Другой сценарий предполагает, что инициатива о признании исходит от других международных форумов. Это также обеспечит многосторонний подход, который </w:t>
      </w:r>
      <w:r w:rsidR="00A821A3">
        <w:t>необходим для соблюдения</w:t>
      </w:r>
      <w:r>
        <w:t xml:space="preserve"> критери</w:t>
      </w:r>
      <w:r w:rsidR="00A821A3">
        <w:t>ев</w:t>
      </w:r>
      <w:r>
        <w:t>, приняты</w:t>
      </w:r>
      <w:r w:rsidR="00A821A3">
        <w:t>х</w:t>
      </w:r>
      <w:r>
        <w:t xml:space="preserve"> Конференцией Сторон, выступающей в качестве совещания Сторон Нагойского протокола, для обоснования утверждения о том, что специализированный документ соответствует целям Протокола и Конвенции. Основным преимуществом такого подхода является то, что более специализированный форум наилучшим образом подходит для принятия решения относительно специализированного документа для регулирования ДГРСИВ в свете его мандата и экспертных знаний его участников. Вместе с тем могут возникнуть вопросы правовой определенности в связи с тем, что не все Стороны </w:t>
      </w:r>
      <w:r w:rsidR="00DB4952">
        <w:t>П</w:t>
      </w:r>
      <w:r>
        <w:t>ротокола участвуют в обсуждениях в рамках других форумов.</w:t>
      </w:r>
    </w:p>
    <w:p w14:paraId="7F8E5A30" w14:textId="7AE5EB6C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свете этих правовых соображений и неопределенностей Сторонам Нагойского протокола или другим правительствам, участвующим в других форумах или межправительственной организации, в рамках которых разрабатывается документ, было бы целесообразно проинформировать Конференцию Сторон, выступающую в качестве совещания Сторон Нагойского протокола, о предлагаемом признании в целях создания механизмов для содействия сотрудничеству. Если на раннем этапе переговоров между двумя форумами налажены обмен информацией и сотрудничество, это будет упрощать отношения между </w:t>
      </w:r>
      <w:proofErr w:type="spellStart"/>
      <w:r>
        <w:t>Нагойским</w:t>
      </w:r>
      <w:proofErr w:type="spellEnd"/>
      <w:r>
        <w:t xml:space="preserve"> протоколом и другим документом после его утверждения и поможет избегать трудностей. В частности, диалог, непосредственно ориентированный на </w:t>
      </w:r>
      <w:r w:rsidR="009303F2">
        <w:t xml:space="preserve">взаимное обучение </w:t>
      </w:r>
      <w:r>
        <w:t xml:space="preserve">между Конференцией Сторон, выступающей в качестве совещания Сторон Протокола, и другим форумом в целях применения критериев, принятых Конференцией </w:t>
      </w:r>
      <w:r w:rsidR="00FF1890">
        <w:t>С</w:t>
      </w:r>
      <w:r>
        <w:t xml:space="preserve">торон, выступающей в качестве совещания Сторон Протокола, предоставит наилучшую возможность для обеспечения взаимодополняемости. В идеале этот диалог можно было бы начать с ранних этапов переговоров, включая </w:t>
      </w:r>
      <w:r w:rsidR="007D4BD1">
        <w:t>принятие</w:t>
      </w:r>
      <w:r w:rsidR="00505A6C">
        <w:t xml:space="preserve"> </w:t>
      </w:r>
      <w:r>
        <w:t>переговорн</w:t>
      </w:r>
      <w:r w:rsidR="00505A6C">
        <w:t>ого</w:t>
      </w:r>
      <w:r>
        <w:t xml:space="preserve"> мандат</w:t>
      </w:r>
      <w:r w:rsidR="00505A6C">
        <w:t>а</w:t>
      </w:r>
      <w:r>
        <w:t xml:space="preserve">, </w:t>
      </w:r>
      <w:r w:rsidR="0090463F">
        <w:t>для обеспечения</w:t>
      </w:r>
      <w:r>
        <w:t xml:space="preserve"> согласованности между двумя документами.</w:t>
      </w:r>
    </w:p>
    <w:p w14:paraId="1326D39C" w14:textId="5999C8BF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Даже при отсутствии возражений от Сторон Нагойского протокола в компетенции Конференции </w:t>
      </w:r>
      <w:r w:rsidR="00FF1890">
        <w:t>С</w:t>
      </w:r>
      <w:r>
        <w:t>торон, выступающей в качестве совещания Сторон Протокола, оста</w:t>
      </w:r>
      <w:r w:rsidR="00CE12E6">
        <w:t>н</w:t>
      </w:r>
      <w:r>
        <w:t>ется принятие к сведению инициативы другого форума и рассмотрение последствия(</w:t>
      </w:r>
      <w:proofErr w:type="spellStart"/>
      <w:r>
        <w:t>ий</w:t>
      </w:r>
      <w:proofErr w:type="spellEnd"/>
      <w:r>
        <w:t>) признания в свете пункта 4 статьи 4, а именно неприменение Протокола в отношении конкретного генетического ресурса и использование специализированного соглашения в отношении Сторон Протокола, которые являются Сторонами специализированного документа.</w:t>
      </w:r>
    </w:p>
    <w:p w14:paraId="5390B800" w14:textId="61AE516D" w:rsidR="00F957CA" w:rsidRPr="009F4D84" w:rsidRDefault="00082280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rPr>
          <w:i/>
          <w:iCs/>
        </w:rPr>
        <w:t>Инициатива Стороны или группы Сторон</w:t>
      </w:r>
      <w:r>
        <w:t xml:space="preserve"> – Возможен сценарий, при котором Сторона или группа Сторон Нагойского протокола могут признать конкретные специализированные международные документы в соответствии с пунктом 4 статьи 4 Нагойского протокола. </w:t>
      </w:r>
      <w:r>
        <w:lastRenderedPageBreak/>
        <w:t xml:space="preserve">Недостаток этого подхода заключается в том, что он в наименьшей степени способствует систематическому и структурному улучшению </w:t>
      </w:r>
      <w:proofErr w:type="spellStart"/>
      <w:r>
        <w:t>межучрежденческой</w:t>
      </w:r>
      <w:proofErr w:type="spellEnd"/>
      <w:r>
        <w:t xml:space="preserve"> координации правового режима. Он также с больш</w:t>
      </w:r>
      <w:r w:rsidR="00B22D47">
        <w:t>о</w:t>
      </w:r>
      <w:r>
        <w:t>й вероятностью отрицательным образом скажется на правовой определенност</w:t>
      </w:r>
      <w:r w:rsidR="00B84CC2">
        <w:t>и</w:t>
      </w:r>
      <w:r>
        <w:t xml:space="preserve"> между Сторонами Нагойского протокола. С другой стороны, инициативы Стороны или группы Сторон могут внести вклад в будущую многостороннюю инициативу, выступив «лабораторией» для изучения того, как</w:t>
      </w:r>
      <w:r w:rsidR="00F40C6E">
        <w:t>им образом</w:t>
      </w:r>
      <w:r>
        <w:t xml:space="preserve"> режимы могут сочетаться на практике; </w:t>
      </w:r>
      <w:r w:rsidR="00B028DE">
        <w:t>это</w:t>
      </w:r>
      <w:r>
        <w:t xml:space="preserve"> мо</w:t>
      </w:r>
      <w:r w:rsidR="00B028DE">
        <w:t>жет</w:t>
      </w:r>
      <w:r>
        <w:t xml:space="preserve"> даже содействовать осуществлению Нагойского протокола путем создания сетей взаимодействия на уровне принятия решений в отношении регулирования ДГРСИВ на региональном или субрегиональном уровне. В этой связи Конференция Сторон, выступающая в качестве совещания Сторон Протокола, могла бы играть важную роль в области обмена информацией и ее распространения, предоставляя таким образом руководящие указания для дальнейших действий на плюрилатеральной или многосторонней основе.</w:t>
      </w:r>
    </w:p>
    <w:p w14:paraId="71EFB7E8" w14:textId="768DB0ED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Аналогично второму сценарию Сторона или стороны, принимающие решение о признании специализированного международного документа, должны придерживаться критериев, приняты</w:t>
      </w:r>
      <w:r w:rsidR="00BA519E">
        <w:t>х</w:t>
      </w:r>
      <w:r>
        <w:t xml:space="preserve"> Конференцией Сторон, выступающей в качестве совещания Сторон Нагойского протокола, для обоснования утверждения о том, что специализированный документ соответствует целям Протокола и Конвенции. </w:t>
      </w:r>
      <w:r w:rsidR="0099069C">
        <w:t>Как и</w:t>
      </w:r>
      <w:r w:rsidR="007D0476">
        <w:t xml:space="preserve"> в случае второго сценария </w:t>
      </w:r>
      <w:r w:rsidR="0099069C">
        <w:t>м</w:t>
      </w:r>
      <w:r>
        <w:t xml:space="preserve">огут возникнуть вопросы, связанные с правовой неопределенностью. В этой связи, Сторонам было бы целесообразно проинформировать Конференцию Сторон, выступающую в качестве совещания Сторон Протокола, для рассмотрения </w:t>
      </w:r>
      <w:r w:rsidR="00FC1B12">
        <w:t xml:space="preserve">ею </w:t>
      </w:r>
      <w:r>
        <w:t xml:space="preserve">этого вопроса и создания механизмов для содействия сотрудничеству. Конференции </w:t>
      </w:r>
      <w:r w:rsidR="00036009">
        <w:t>С</w:t>
      </w:r>
      <w:r>
        <w:t>торон, выступающей в качестве совещания Сторон Протокола, будет необходимо рассмотреть последствия признания в свете пункта 4 статьи 4, а именно неприменение Протокола в отношении конкретного генетического ресурса и использование специализированного соглашения в отношении Сторон Протокола, которые являются Сторонами специализированного документа.</w:t>
      </w:r>
    </w:p>
    <w:p w14:paraId="146F2C4E" w14:textId="6E511954" w:rsidR="00F957CA" w:rsidRPr="00997809" w:rsidRDefault="00B411E6" w:rsidP="002A1411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560" w:right="429" w:hanging="709"/>
        <w:rPr>
          <w:b/>
          <w:bCs/>
          <w:iCs/>
          <w:szCs w:val="22"/>
        </w:rPr>
      </w:pPr>
      <w:r>
        <w:rPr>
          <w:b/>
          <w:bCs/>
          <w:iCs/>
          <w:szCs w:val="22"/>
          <w:lang w:val="fr-FR"/>
        </w:rPr>
        <w:t>D.</w:t>
      </w:r>
      <w:r>
        <w:rPr>
          <w:b/>
          <w:bCs/>
          <w:iCs/>
          <w:szCs w:val="22"/>
          <w:lang w:val="fr-FR"/>
        </w:rPr>
        <w:tab/>
      </w:r>
      <w:r w:rsidR="002A30BC">
        <w:rPr>
          <w:b/>
          <w:bCs/>
          <w:iCs/>
          <w:szCs w:val="22"/>
        </w:rPr>
        <w:t>Элементы оптимального процесса признания специализированного международного документа для регулирования доступа к генетическим ресурсам и совместного использования выгод</w:t>
      </w:r>
    </w:p>
    <w:p w14:paraId="08036AE8" w14:textId="2903F772" w:rsidR="00F957CA" w:rsidRPr="009F4D84" w:rsidRDefault="00CF2CF3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Принимая во внимание преимущества каждого из сценариев, рассмотренных в предыдущем подразделе, с</w:t>
      </w:r>
      <w:r w:rsidR="00F957CA">
        <w:t xml:space="preserve">ледующие элементы могут учитываться применительно к процессу, касающемуся международных документов для регулирования ДГРСИВ, которые потенциально могут считаться специализированными для целей пункта статьи 4 Нагойского протокола. </w:t>
      </w:r>
    </w:p>
    <w:p w14:paraId="0628ED19" w14:textId="6C11BF68" w:rsidR="00F957CA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случае, если Конференция Сторон, выступающая в качестве Совещания Сторон Нагойского протокола, примет критерии для признания специализированного документа в соответствии с пунктом 4 статьи 4, оптимальный процесс для максимального использования возможностей взаимодополняемости и взаимного </w:t>
      </w:r>
      <w:r w:rsidR="00296DA9">
        <w:t>обучения</w:t>
      </w:r>
      <w:r>
        <w:t xml:space="preserve"> между Протоколом и специализированным документом для регулирования ДГРСИВ мог бы включать следующие этапы:</w:t>
      </w:r>
    </w:p>
    <w:p w14:paraId="6B1C8F01" w14:textId="77777777" w:rsidR="00F957CA" w:rsidRPr="009F4D84" w:rsidRDefault="00F957CA" w:rsidP="00F74FC5">
      <w:pPr>
        <w:pStyle w:val="Para3"/>
        <w:numPr>
          <w:ilvl w:val="1"/>
          <w:numId w:val="4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Конференция Сторон, выступающая в качестве совещания Сторон Протокола, рассматривает необходимую информацию (включая получение консультации или запрос на консультацию со стороны своих вспомогательных органов и получение или запрос информации о потенциальных или существующих инициативах со стороны других правовых режимов или Сторон) в рамках пункта своей повестки дня, касающегося международного сотрудничества;</w:t>
      </w:r>
    </w:p>
    <w:p w14:paraId="41A6F8AC" w14:textId="27C98944" w:rsidR="00F957CA" w:rsidRPr="009F4D84" w:rsidRDefault="00F957CA" w:rsidP="00F74FC5">
      <w:pPr>
        <w:pStyle w:val="Para3"/>
        <w:numPr>
          <w:ilvl w:val="1"/>
          <w:numId w:val="4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Конференция Сторон, выступающая в качестве совещания Сторон Протокола, призывает другие межправительственные форумы и/или Стороны или другие правительства, планирующие разработать международный документ, который может быть признан в качестве специализированного международного документ</w:t>
      </w:r>
      <w:r w:rsidR="0048611F">
        <w:rPr>
          <w:snapToGrid w:val="0"/>
          <w:szCs w:val="22"/>
        </w:rPr>
        <w:t>а</w:t>
      </w:r>
      <w:r>
        <w:rPr>
          <w:snapToGrid w:val="0"/>
          <w:szCs w:val="22"/>
        </w:rPr>
        <w:t xml:space="preserve"> для регулирования ДГРСИВ: i)</w:t>
      </w:r>
      <w:r w:rsidR="00283BA8">
        <w:rPr>
          <w:snapToGrid w:val="0"/>
          <w:szCs w:val="22"/>
        </w:rPr>
        <w:t xml:space="preserve"> принять</w:t>
      </w:r>
      <w:r>
        <w:rPr>
          <w:snapToGrid w:val="0"/>
          <w:szCs w:val="22"/>
        </w:rPr>
        <w:t xml:space="preserve"> переговорный мандат, ориентированный на обеспечение согласованности с </w:t>
      </w:r>
      <w:proofErr w:type="spellStart"/>
      <w:r>
        <w:rPr>
          <w:snapToGrid w:val="0"/>
          <w:szCs w:val="22"/>
        </w:rPr>
        <w:t>Нагойским</w:t>
      </w:r>
      <w:proofErr w:type="spellEnd"/>
      <w:r>
        <w:rPr>
          <w:snapToGrid w:val="0"/>
          <w:szCs w:val="22"/>
        </w:rPr>
        <w:t xml:space="preserve"> протоколом в свете критериев признания, принятых в соответствии с пунктом 4 статьи 4; </w:t>
      </w:r>
      <w:proofErr w:type="spellStart"/>
      <w:r>
        <w:rPr>
          <w:snapToGrid w:val="0"/>
          <w:szCs w:val="22"/>
        </w:rPr>
        <w:t>ii</w:t>
      </w:r>
      <w:proofErr w:type="spellEnd"/>
      <w:r>
        <w:rPr>
          <w:snapToGrid w:val="0"/>
          <w:szCs w:val="22"/>
        </w:rPr>
        <w:t xml:space="preserve">) информировать Конференцию Сторон, выступающую в качестве совещания Сторон Протокола, о ходе переговоров; </w:t>
      </w:r>
      <w:proofErr w:type="spellStart"/>
      <w:r>
        <w:rPr>
          <w:snapToGrid w:val="0"/>
          <w:szCs w:val="22"/>
        </w:rPr>
        <w:t>iii</w:t>
      </w:r>
      <w:proofErr w:type="spellEnd"/>
      <w:r>
        <w:rPr>
          <w:snapToGrid w:val="0"/>
          <w:szCs w:val="22"/>
        </w:rPr>
        <w:t xml:space="preserve">) разработать специальные положения нового документа, которые </w:t>
      </w:r>
      <w:r>
        <w:rPr>
          <w:snapToGrid w:val="0"/>
          <w:szCs w:val="22"/>
        </w:rPr>
        <w:lastRenderedPageBreak/>
        <w:t xml:space="preserve">ориентированы на взаимодополняемость; и </w:t>
      </w:r>
      <w:proofErr w:type="spellStart"/>
      <w:r>
        <w:rPr>
          <w:snapToGrid w:val="0"/>
          <w:szCs w:val="22"/>
        </w:rPr>
        <w:t>iv</w:t>
      </w:r>
      <w:proofErr w:type="spellEnd"/>
      <w:r>
        <w:rPr>
          <w:snapToGrid w:val="0"/>
          <w:szCs w:val="22"/>
        </w:rPr>
        <w:t>) наладить/укрепить сотрудничество между секретариатами (например, обмен информацией и совместные инициативы в области создания потенциала);</w:t>
      </w:r>
    </w:p>
    <w:p w14:paraId="3D9EBA1F" w14:textId="28ACD112" w:rsidR="00F957CA" w:rsidRPr="009F4D84" w:rsidRDefault="00F957CA" w:rsidP="00F74FC5">
      <w:pPr>
        <w:pStyle w:val="Para3"/>
        <w:numPr>
          <w:ilvl w:val="1"/>
          <w:numId w:val="4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Конференция Сторон, выступающая в качестве совещания Сторон Протокола, изучает последствия признания другими форумами или Сторонами Нагойского протокола на основе принятых критериев и/или принимает решение о том, признает ли она международный документ в качестве специализированного соглашения для регулирования ДГРСИВ;</w:t>
      </w:r>
    </w:p>
    <w:p w14:paraId="0D5716B9" w14:textId="68EEB46C" w:rsidR="00F607FE" w:rsidRPr="009F4D84" w:rsidRDefault="00F957CA" w:rsidP="00F74FC5">
      <w:pPr>
        <w:pStyle w:val="Para3"/>
        <w:numPr>
          <w:ilvl w:val="1"/>
          <w:numId w:val="4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/>
        <w:ind w:left="0" w:firstLine="720"/>
        <w:rPr>
          <w:snapToGrid w:val="0"/>
          <w:kern w:val="22"/>
          <w:szCs w:val="22"/>
        </w:rPr>
      </w:pPr>
      <w:r>
        <w:rPr>
          <w:snapToGrid w:val="0"/>
          <w:szCs w:val="22"/>
        </w:rPr>
        <w:t>Конференция Сторон, выступающая в качестве совещания Сторон Протокола, при</w:t>
      </w:r>
      <w:r w:rsidR="00D11F3E">
        <w:rPr>
          <w:snapToGrid w:val="0"/>
          <w:szCs w:val="22"/>
        </w:rPr>
        <w:t>ни</w:t>
      </w:r>
      <w:r>
        <w:rPr>
          <w:snapToGrid w:val="0"/>
          <w:szCs w:val="22"/>
        </w:rPr>
        <w:t>мает решение о создании систематического и непрерывного процесса взаимодействия между режимами в целях обеспечения согласованности и взаимодействия на уровне принятия решений, институциональном уровне и на уровне осуществления. Можно рассматривать различные варианты, включая создание постоянной платформы для диалога и координации (см. примеры в пункте 5.3 исследования). Обоснованием для реализации таких вариантов могло бы стать использование преимуществ взаимн</w:t>
      </w:r>
      <w:r w:rsidR="00520C03">
        <w:rPr>
          <w:snapToGrid w:val="0"/>
          <w:szCs w:val="22"/>
        </w:rPr>
        <w:t>ого обучения</w:t>
      </w:r>
      <w:r>
        <w:rPr>
          <w:snapToGrid w:val="0"/>
          <w:szCs w:val="22"/>
        </w:rPr>
        <w:t>, а также обеспечение постоянной эффективности комплекса режимов регулирования ДГРСИВ.</w:t>
      </w:r>
    </w:p>
    <w:p w14:paraId="610F7A6B" w14:textId="35DDFE4B" w:rsidR="00082280" w:rsidRPr="009F4D84" w:rsidRDefault="00F957CA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>В целях оптимизации этого процесса Стороны Нагойского протокола должны обеспечить на национальном уровне, чтобы соответствующие органы (возможно, в различных секторах) придерживались взаимодополняющего подхода, предложенного Конференцией Сторон, выступающей в качестве совещания Сторон, в ходе переговоров, а также при толковании и осуществлении в рамках других форумов и других специализированных международных документов. В этой связи Сторонам необходимо</w:t>
      </w:r>
      <w:r w:rsidR="003746E8">
        <w:t>:</w:t>
      </w:r>
      <w:r>
        <w:t xml:space="preserve"> а) довести критерии до сведения соответствующих органов, которые могут участвовать в переговорах, толковании или осуществлении специализированного документа для регулирования ДГРСИВ</w:t>
      </w:r>
      <w:r w:rsidR="00337420">
        <w:t>,</w:t>
      </w:r>
      <w:r>
        <w:t xml:space="preserve"> и b) наладить регулярный диалог, направленный на обеспечение взаимодополн</w:t>
      </w:r>
      <w:r w:rsidR="004A0895">
        <w:t>я</w:t>
      </w:r>
      <w:r>
        <w:t xml:space="preserve">емости и взаимного </w:t>
      </w:r>
      <w:r w:rsidR="002743C1">
        <w:t>обучения</w:t>
      </w:r>
      <w:r>
        <w:t xml:space="preserve"> на национальном уровне.</w:t>
      </w:r>
    </w:p>
    <w:p w14:paraId="29D83217" w14:textId="77777777" w:rsidR="00AF5D39" w:rsidRPr="009F4D84" w:rsidRDefault="008B0995" w:rsidP="00F74FC5">
      <w:pPr>
        <w:pStyle w:val="Titre1"/>
        <w:numPr>
          <w:ilvl w:val="0"/>
          <w:numId w:val="6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rFonts w:ascii="Times New Roman Bold" w:hAnsi="Times New Roman Bold" w:cs="Times New Roman Bold"/>
          <w:bCs/>
          <w:snapToGrid w:val="0"/>
          <w:kern w:val="22"/>
          <w:szCs w:val="22"/>
        </w:rPr>
      </w:pPr>
      <w:r>
        <w:rPr>
          <w:rFonts w:ascii="Times New Roman Bold" w:hAnsi="Times New Roman Bold"/>
          <w:bCs/>
          <w:snapToGrid w:val="0"/>
          <w:szCs w:val="22"/>
        </w:rPr>
        <w:t>Предлагаемые элементы проекта решения</w:t>
      </w:r>
    </w:p>
    <w:p w14:paraId="66066050" w14:textId="41F97F40" w:rsidR="00C2564D" w:rsidRPr="009F4D84" w:rsidRDefault="00636007" w:rsidP="009F4D84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>
        <w:t xml:space="preserve">В свете критериев и элементов для оптимизации процесса, определенных на </w:t>
      </w:r>
      <w:r w:rsidR="0063128D">
        <w:t xml:space="preserve">основе </w:t>
      </w:r>
      <w:proofErr w:type="spellStart"/>
      <w:r>
        <w:t>вышеобозначенного</w:t>
      </w:r>
      <w:proofErr w:type="spellEnd"/>
      <w:r>
        <w:t xml:space="preserve"> анализа, Вспомогательный орган по осуществлению, возможно, пожелает рассмотреть вопрос о том, чтобы рекомендовать Конференции Сторон, выступающей в качестве Совещания Сторон Нагойского протокола, на ее третьем совещании:</w:t>
      </w:r>
    </w:p>
    <w:p w14:paraId="1DA9D39A" w14:textId="77777777" w:rsidR="002559D4" w:rsidRPr="009F4D84" w:rsidRDefault="00317D0D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принять критерии для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 4 статьи 4 Нагойского протокола, изложенные в приложении ниже;</w:t>
      </w:r>
    </w:p>
    <w:p w14:paraId="17277C10" w14:textId="7A516D2A" w:rsidR="005C6405" w:rsidRPr="009F4D84" w:rsidRDefault="00317D0D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 xml:space="preserve">направить критерии другим межправительственным организациям и </w:t>
      </w:r>
      <w:proofErr w:type="gramStart"/>
      <w:r>
        <w:t>Сторонам</w:t>
      </w:r>
      <w:proofErr w:type="gramEnd"/>
      <w:r>
        <w:t xml:space="preserve"> и другим правительствам в целях их применения при разработке и/или признании потенциальных специализированных международных документов для регулирования доступа к генетическим ресурсам и совместного использования выгод;</w:t>
      </w:r>
    </w:p>
    <w:p w14:paraId="60CF1F5E" w14:textId="77777777" w:rsidR="0032188A" w:rsidRPr="009F4D84" w:rsidRDefault="0032188A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 xml:space="preserve">предложить другим межправительственным организациям, Сторонам и другим правительствам, планирующим разработать международный документ, который может быть признан в качестве специализированного международного документа для регулирования доступа к генетическим ресурсам и совместного использования выгод, обеспечить его согласованность с </w:t>
      </w:r>
      <w:proofErr w:type="spellStart"/>
      <w:r>
        <w:t>Нагойским</w:t>
      </w:r>
      <w:proofErr w:type="spellEnd"/>
      <w:r>
        <w:t xml:space="preserve"> протоколом в свете критериев признания, принятых в </w:t>
      </w:r>
      <w:proofErr w:type="gramStart"/>
      <w:r>
        <w:t>пункте</w:t>
      </w:r>
      <w:proofErr w:type="gramEnd"/>
      <w:r>
        <w:t xml:space="preserve"> а) выше;</w:t>
      </w:r>
    </w:p>
    <w:p w14:paraId="04F343C6" w14:textId="029F5548" w:rsidR="0032188A" w:rsidRPr="009F4D84" w:rsidRDefault="0032188A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предложить другим межправительственным организациям и/или Сторонам или другим правительствам обмениваться информацией с Конференци</w:t>
      </w:r>
      <w:r w:rsidR="00053F2F">
        <w:t>ей</w:t>
      </w:r>
      <w:r>
        <w:t xml:space="preserve"> Сторон, выступающ</w:t>
      </w:r>
      <w:r w:rsidR="00ED2DD3">
        <w:t>ей</w:t>
      </w:r>
      <w:r>
        <w:t xml:space="preserve"> в качестве </w:t>
      </w:r>
      <w:r w:rsidR="00ED2DD3">
        <w:t>с</w:t>
      </w:r>
      <w:r>
        <w:t xml:space="preserve">овещания Сторон Нагойского протокола, о шагах, предпринятых в целях разработки и/или признания специализированных международных документов для регулирования доступа к генетическим ресурсам и совместного использования выгод; </w:t>
      </w:r>
    </w:p>
    <w:p w14:paraId="037BC89E" w14:textId="77777777" w:rsidR="0032188A" w:rsidRPr="009F4D84" w:rsidRDefault="0032188A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lastRenderedPageBreak/>
        <w:t>поручить Исполнительному секретарю продолжать отслеживать развитие событий на соответствующих международных форумах;</w:t>
      </w:r>
    </w:p>
    <w:p w14:paraId="3ECC0607" w14:textId="77777777" w:rsidR="0032188A" w:rsidRPr="009F4D84" w:rsidRDefault="005C6405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постановить включить в повестку дня своих будущих совещаний постоянный пункт, озаглавленный «сотрудничество с другими международными организациями», для оценки событий в рамках соответствующих международных форумов;</w:t>
      </w:r>
    </w:p>
    <w:p w14:paraId="34100FF6" w14:textId="6D7278B6" w:rsidR="005C6405" w:rsidRPr="009F4D84" w:rsidRDefault="00B61873" w:rsidP="00F74FC5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постанов</w:t>
      </w:r>
      <w:r w:rsidR="00316C49">
        <w:t>ить</w:t>
      </w:r>
      <w:r>
        <w:t xml:space="preserve"> рассм</w:t>
      </w:r>
      <w:r w:rsidR="00316C49">
        <w:t>а</w:t>
      </w:r>
      <w:r>
        <w:t>тр</w:t>
      </w:r>
      <w:r w:rsidR="00316C49">
        <w:t>ива</w:t>
      </w:r>
      <w:r>
        <w:t>ть, прин</w:t>
      </w:r>
      <w:r w:rsidR="00316C49">
        <w:t>има</w:t>
      </w:r>
      <w:r>
        <w:t>ть к сведению или одобр</w:t>
      </w:r>
      <w:r w:rsidR="00316C49">
        <w:t>я</w:t>
      </w:r>
      <w:r>
        <w:t>ть признание другим межправительственным органом и/или Стороной или группой Сторон специализированного международного документа для регулирования доступа к генетическим ресурсам и совместного использования выгод;</w:t>
      </w:r>
    </w:p>
    <w:p w14:paraId="67412CE7" w14:textId="77777777" w:rsidR="0032188A" w:rsidRPr="009F4D84" w:rsidRDefault="0032188A" w:rsidP="00F74FC5">
      <w:pPr>
        <w:pStyle w:val="Para1"/>
        <w:numPr>
          <w:ilvl w:val="1"/>
          <w:numId w:val="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поручить Исполнительному секретарю обратиться к секретариатам других соответствующих межправительственных организаций с предложением создать контактную группу по вопросам регулирования доступа к генетическим ресурсам и совместного использования выгод в целях облегчения и расширения обмена информацией и координации;</w:t>
      </w:r>
    </w:p>
    <w:p w14:paraId="4A648045" w14:textId="66C8E1D1" w:rsidR="00D41624" w:rsidRPr="009F4D84" w:rsidRDefault="00D41624" w:rsidP="00F74FC5">
      <w:pPr>
        <w:pStyle w:val="Para1"/>
        <w:numPr>
          <w:ilvl w:val="1"/>
          <w:numId w:val="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 xml:space="preserve">призвать </w:t>
      </w:r>
      <w:proofErr w:type="gramStart"/>
      <w:r>
        <w:t>Стороны</w:t>
      </w:r>
      <w:proofErr w:type="gramEnd"/>
      <w:r>
        <w:t xml:space="preserve"> и другие Правительства координировать на национальном уровне вопросы регулирования доступа к генетическим ресурсам и совместного использования выгод, рассматриваемые в рамках различных международных форумов, в интересах поддержки согласованного международного режима регулирования доступа к генетическим ресурсам и совместного использования выгод;</w:t>
      </w:r>
    </w:p>
    <w:p w14:paraId="0C99B58E" w14:textId="77777777" w:rsidR="00D41624" w:rsidRPr="009F4D84" w:rsidRDefault="00D41624" w:rsidP="00F74FC5">
      <w:pPr>
        <w:pStyle w:val="Para1"/>
        <w:numPr>
          <w:ilvl w:val="1"/>
          <w:numId w:val="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>
        <w:t>призвать Стороны и другие правительства, которые являются или могут стать Сторонами Нагойского протокола и специализированного международного документа для регулирования доступа к генетическим ресурсам и совместного использования выгод, предпринять шаги по осуществлению обоих документов на взаимодополняющей основе.</w:t>
      </w:r>
    </w:p>
    <w:p w14:paraId="7FD6BDEE" w14:textId="77777777" w:rsidR="00E14868" w:rsidRPr="009F4D84" w:rsidRDefault="00E14868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outlineLvl w:val="0"/>
        <w:rPr>
          <w:bCs/>
          <w:snapToGrid w:val="0"/>
          <w:kern w:val="22"/>
          <w:szCs w:val="22"/>
        </w:rPr>
      </w:pPr>
    </w:p>
    <w:p w14:paraId="6C416040" w14:textId="77777777" w:rsidR="004A4C07" w:rsidRPr="009F4D84" w:rsidRDefault="004A4C07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0"/>
        <w:rPr>
          <w:i/>
          <w:snapToGrid w:val="0"/>
          <w:kern w:val="22"/>
          <w:szCs w:val="22"/>
        </w:rPr>
      </w:pPr>
      <w:r>
        <w:rPr>
          <w:i/>
          <w:snapToGrid w:val="0"/>
          <w:szCs w:val="22"/>
        </w:rPr>
        <w:t>Приложение</w:t>
      </w:r>
    </w:p>
    <w:p w14:paraId="23165CC8" w14:textId="61ADBC7E" w:rsidR="00975032" w:rsidRPr="009F4D84" w:rsidRDefault="00975032" w:rsidP="009F4D84">
      <w:pPr>
        <w:pStyle w:val="Titre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bCs/>
          <w:snapToGrid w:val="0"/>
          <w:kern w:val="22"/>
          <w:szCs w:val="22"/>
        </w:rPr>
      </w:pPr>
      <w:r>
        <w:rPr>
          <w:rFonts w:ascii="Times New Roman Bold" w:hAnsi="Times New Roman Bold"/>
          <w:bCs/>
          <w:snapToGrid w:val="0"/>
          <w:szCs w:val="22"/>
        </w:rPr>
        <w:t>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 4 статьи 4 Нагойского протокола</w:t>
      </w:r>
      <w:r w:rsidR="00C71B9E">
        <w:rPr>
          <w:rFonts w:ascii="Times New Roman Bold" w:hAnsi="Times New Roman Bold"/>
          <w:bCs/>
          <w:snapToGrid w:val="0"/>
          <w:szCs w:val="22"/>
        </w:rPr>
        <w:t xml:space="preserve"> </w:t>
      </w:r>
      <w:r w:rsidR="00C71B9E" w:rsidRPr="00C71B9E">
        <w:rPr>
          <w:rFonts w:ascii="Times New Roman Bold" w:hAnsi="Times New Roman Bold"/>
          <w:bCs/>
          <w:snapToGrid w:val="0"/>
          <w:szCs w:val="22"/>
        </w:rPr>
        <w:t>регулирования доступа к генетическим ресурсам и совместного использования на справедливой и равной основе выгод от их применения</w:t>
      </w:r>
    </w:p>
    <w:p w14:paraId="2BF21CEE" w14:textId="77777777" w:rsidR="00975032" w:rsidRPr="009F4D84" w:rsidRDefault="008B0995" w:rsidP="009F4D84">
      <w:pPr>
        <w:pStyle w:val="Paragraphedelis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snapToGrid w:val="0"/>
          <w:kern w:val="22"/>
          <w:szCs w:val="22"/>
        </w:rPr>
      </w:pPr>
      <w:r>
        <w:rPr>
          <w:bCs/>
          <w:snapToGrid w:val="0"/>
          <w:szCs w:val="22"/>
        </w:rPr>
        <w:t>1.</w:t>
      </w:r>
      <w:r>
        <w:rPr>
          <w:bCs/>
          <w:snapToGrid w:val="0"/>
          <w:szCs w:val="22"/>
        </w:rPr>
        <w:tab/>
      </w:r>
      <w:r w:rsidRPr="005775E9">
        <w:rPr>
          <w:i/>
          <w:snapToGrid w:val="0"/>
          <w:szCs w:val="22"/>
        </w:rPr>
        <w:t>Согласованность на межправительственном уровне</w:t>
      </w:r>
      <w:r>
        <w:rPr>
          <w:snapToGrid w:val="0"/>
          <w:szCs w:val="22"/>
        </w:rPr>
        <w:t xml:space="preserve"> – Документ разрабатывается и согласовывается в рамках межправительственного процесса. Документ может иметь или не иметь обязательную силу.</w:t>
      </w:r>
    </w:p>
    <w:p w14:paraId="024C99C0" w14:textId="77777777" w:rsidR="0012000A" w:rsidRPr="009F4D84" w:rsidRDefault="008B0995" w:rsidP="009F4D84">
      <w:pPr>
        <w:pStyle w:val="Paragraphedelist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  <w:contextualSpacing w:val="0"/>
        <w:rPr>
          <w:b/>
          <w:snapToGrid w:val="0"/>
          <w:kern w:val="22"/>
          <w:szCs w:val="22"/>
        </w:rPr>
      </w:pPr>
      <w:r>
        <w:rPr>
          <w:bCs/>
          <w:snapToGrid w:val="0"/>
          <w:szCs w:val="22"/>
        </w:rPr>
        <w:t>2.</w:t>
      </w:r>
      <w:r>
        <w:rPr>
          <w:bCs/>
          <w:snapToGrid w:val="0"/>
          <w:szCs w:val="22"/>
        </w:rPr>
        <w:tab/>
      </w:r>
      <w:r w:rsidRPr="005775E9">
        <w:rPr>
          <w:i/>
          <w:snapToGrid w:val="0"/>
          <w:szCs w:val="22"/>
        </w:rPr>
        <w:t>Специализированный характер</w:t>
      </w:r>
      <w:r>
        <w:rPr>
          <w:snapToGrid w:val="0"/>
          <w:szCs w:val="22"/>
        </w:rPr>
        <w:t xml:space="preserve"> – Документ: </w:t>
      </w:r>
    </w:p>
    <w:p w14:paraId="4FB31292" w14:textId="77777777" w:rsidR="00975032" w:rsidRPr="009F4D84" w:rsidRDefault="00700C64" w:rsidP="00F74FC5">
      <w:pPr>
        <w:pStyle w:val="Paragraphedeliste"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применяется в отношении определенного набора генетических ресурсов и/или традиционных знаний, связанных с генетическими ресурсами, которые в противном случае подпадают под действие Нагойского протокола;</w:t>
      </w:r>
    </w:p>
    <w:p w14:paraId="23DC513F" w14:textId="77777777" w:rsidR="00975032" w:rsidRPr="009F4D84" w:rsidRDefault="00700C64" w:rsidP="00F74FC5">
      <w:pPr>
        <w:pStyle w:val="Paragraphedeliste"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применяется в отношении определенных видов использования генетических ресурсов и/или традиционных знаний, связанных с генетическими ресурсами, что предполагает дифференцированный и, следовательно, специализированный подход;</w:t>
      </w:r>
    </w:p>
    <w:p w14:paraId="56259F13" w14:textId="101176E9" w:rsidR="0012000A" w:rsidRPr="009F4D84" w:rsidRDefault="008B0995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snapToGrid w:val="0"/>
          <w:kern w:val="22"/>
          <w:szCs w:val="22"/>
        </w:rPr>
      </w:pPr>
      <w:r>
        <w:rPr>
          <w:bCs/>
          <w:snapToGrid w:val="0"/>
          <w:szCs w:val="22"/>
        </w:rPr>
        <w:t>3.</w:t>
      </w:r>
      <w:r>
        <w:rPr>
          <w:bCs/>
          <w:snapToGrid w:val="0"/>
          <w:szCs w:val="22"/>
        </w:rPr>
        <w:tab/>
      </w:r>
      <w:r w:rsidRPr="00373041">
        <w:rPr>
          <w:i/>
          <w:snapToGrid w:val="0"/>
          <w:szCs w:val="22"/>
        </w:rPr>
        <w:t>Взаимодополняемость</w:t>
      </w:r>
      <w:r>
        <w:rPr>
          <w:snapToGrid w:val="0"/>
          <w:szCs w:val="22"/>
        </w:rPr>
        <w:t xml:space="preserve"> – Документ соответствует целям</w:t>
      </w:r>
      <w:bookmarkStart w:id="1" w:name="_GoBack"/>
      <w:bookmarkEnd w:id="1"/>
      <w:r>
        <w:rPr>
          <w:snapToGrid w:val="0"/>
          <w:szCs w:val="22"/>
        </w:rPr>
        <w:t xml:space="preserve"> Конвенции о биологическом разнообразии и Нагойского протокола</w:t>
      </w:r>
      <w:r w:rsidR="001D4899">
        <w:rPr>
          <w:snapToGrid w:val="0"/>
          <w:szCs w:val="22"/>
          <w:lang w:val="fr-FR"/>
        </w:rPr>
        <w:t>,</w:t>
      </w:r>
      <w:r>
        <w:rPr>
          <w:snapToGrid w:val="0"/>
          <w:szCs w:val="22"/>
        </w:rPr>
        <w:t xml:space="preserve"> поддерживает их и не противоречит этим целям, в том числе применительно к следующим аспектам:</w:t>
      </w:r>
    </w:p>
    <w:p w14:paraId="7C5476C9" w14:textId="77777777" w:rsidR="00975032" w:rsidRPr="009F4D84" w:rsidRDefault="00975032" w:rsidP="00F74FC5">
      <w:pPr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rPr>
          <w:snapToGrid w:val="0"/>
          <w:kern w:val="22"/>
          <w:szCs w:val="22"/>
        </w:rPr>
      </w:pPr>
      <w:r>
        <w:rPr>
          <w:snapToGrid w:val="0"/>
          <w:szCs w:val="22"/>
        </w:rPr>
        <w:t>соответствие целям сохранения и устойчивого использования биоразнообразия;</w:t>
      </w:r>
    </w:p>
    <w:p w14:paraId="4F5E09E2" w14:textId="77777777" w:rsidR="00975032" w:rsidRPr="009F4D84" w:rsidRDefault="00975032" w:rsidP="00F74FC5">
      <w:pPr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rPr>
          <w:snapToGrid w:val="0"/>
          <w:kern w:val="22"/>
          <w:szCs w:val="22"/>
        </w:rPr>
      </w:pPr>
      <w:r>
        <w:rPr>
          <w:snapToGrid w:val="0"/>
          <w:szCs w:val="22"/>
        </w:rPr>
        <w:t>справедливость и равенство при совместном использовании выгод;</w:t>
      </w:r>
    </w:p>
    <w:p w14:paraId="65AE0F85" w14:textId="77777777" w:rsidR="00975032" w:rsidRPr="009F4D84" w:rsidRDefault="00975032" w:rsidP="00F74FC5">
      <w:pPr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rPr>
          <w:snapToGrid w:val="0"/>
          <w:kern w:val="22"/>
          <w:szCs w:val="22"/>
        </w:rPr>
      </w:pPr>
      <w:r>
        <w:rPr>
          <w:snapToGrid w:val="0"/>
          <w:szCs w:val="22"/>
        </w:rPr>
        <w:lastRenderedPageBreak/>
        <w:t>правовая определенность в отношении доступа к генетическим ресурсам или традиционным знаниям и совместного использования выгод;</w:t>
      </w:r>
    </w:p>
    <w:p w14:paraId="61965B26" w14:textId="77777777" w:rsidR="00975032" w:rsidRPr="009F4D84" w:rsidRDefault="00975032" w:rsidP="00F74FC5">
      <w:pPr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rPr>
          <w:snapToGrid w:val="0"/>
          <w:kern w:val="22"/>
          <w:szCs w:val="22"/>
          <w:vertAlign w:val="superscript"/>
        </w:rPr>
      </w:pPr>
      <w:r>
        <w:rPr>
          <w:snapToGrid w:val="0"/>
          <w:szCs w:val="22"/>
        </w:rPr>
        <w:t>вклад в устойчивое развитие, воплощенный согласованными на международном уровне целями;</w:t>
      </w:r>
    </w:p>
    <w:p w14:paraId="6033A7FB" w14:textId="77777777" w:rsidR="00975032" w:rsidRPr="009F4D84" w:rsidRDefault="00975032" w:rsidP="00F74FC5">
      <w:pPr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567"/>
        <w:rPr>
          <w:snapToGrid w:val="0"/>
          <w:kern w:val="22"/>
          <w:szCs w:val="22"/>
        </w:rPr>
      </w:pPr>
      <w:r>
        <w:rPr>
          <w:snapToGrid w:val="0"/>
          <w:szCs w:val="22"/>
        </w:rPr>
        <w:t>другие общие принципы права, включая добросовестность, эффективность и законные ожидания.</w:t>
      </w:r>
    </w:p>
    <w:p w14:paraId="38C02698" w14:textId="77777777" w:rsidR="00736BC2" w:rsidRPr="0049005C" w:rsidRDefault="00CA6B87" w:rsidP="009F4D8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r>
        <w:rPr>
          <w:snapToGrid w:val="0"/>
          <w:szCs w:val="22"/>
        </w:rPr>
        <w:t>______</w:t>
      </w:r>
    </w:p>
    <w:sectPr w:rsidR="00736BC2" w:rsidRPr="0049005C" w:rsidSect="00CA1572">
      <w:headerReference w:type="even" r:id="rId13"/>
      <w:headerReference w:type="default" r:id="rId14"/>
      <w:footerReference w:type="even" r:id="rId15"/>
      <w:footerReference w:type="first" r:id="rId16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974C" w14:textId="77777777" w:rsidR="00F74FC5" w:rsidRDefault="00F74FC5">
      <w:r>
        <w:separator/>
      </w:r>
    </w:p>
  </w:endnote>
  <w:endnote w:type="continuationSeparator" w:id="0">
    <w:p w14:paraId="3EE33241" w14:textId="77777777" w:rsidR="00F74FC5" w:rsidRDefault="00F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26AC" w14:textId="77777777" w:rsidR="004A102D" w:rsidRDefault="004A102D" w:rsidP="009F4D84">
    <w:pPr>
      <w:pStyle w:val="Pieddepage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73F2" w14:textId="77777777" w:rsidR="004A102D" w:rsidRDefault="004A102D" w:rsidP="009F4D84">
    <w:pPr>
      <w:pStyle w:val="Pieddepage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DCEB" w14:textId="77777777" w:rsidR="00F74FC5" w:rsidRDefault="00F74FC5">
      <w:r>
        <w:separator/>
      </w:r>
    </w:p>
  </w:footnote>
  <w:footnote w:type="continuationSeparator" w:id="0">
    <w:p w14:paraId="63FF6EE9" w14:textId="77777777" w:rsidR="00F74FC5" w:rsidRDefault="00F74FC5">
      <w:r>
        <w:continuationSeparator/>
      </w:r>
    </w:p>
  </w:footnote>
  <w:footnote w:id="1">
    <w:p w14:paraId="1AF80288" w14:textId="2FA0562C" w:rsidR="008B70C1" w:rsidRPr="009F4D84" w:rsidRDefault="008B70C1" w:rsidP="009F4D84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</w:rPr>
      </w:pPr>
      <w:r>
        <w:rPr>
          <w:rStyle w:val="Appelnotedebasdep"/>
          <w:u w:val="none"/>
        </w:rPr>
        <w:t>*</w:t>
      </w:r>
      <w:r>
        <w:t xml:space="preserve"> </w:t>
      </w:r>
      <w:hyperlink r:id="rId1" w:history="1">
        <w:r>
          <w:rPr>
            <w:rStyle w:val="Lienhypertexte"/>
          </w:rPr>
          <w:t>CBD/SBI/2/1</w:t>
        </w:r>
      </w:hyperlink>
      <w:r>
        <w:t>.</w:t>
      </w:r>
    </w:p>
  </w:footnote>
  <w:footnote w:id="2">
    <w:p w14:paraId="7C8FE456" w14:textId="5D3556A7" w:rsidR="000F5587" w:rsidRPr="009F4D84" w:rsidRDefault="000F5587" w:rsidP="000F5587">
      <w:pPr>
        <w:pStyle w:val="Notedebasdepage"/>
        <w:ind w:firstLine="0"/>
      </w:pPr>
      <w:r>
        <w:rPr>
          <w:rStyle w:val="Appelnotedebasdep"/>
          <w:u w:val="none"/>
          <w:vertAlign w:val="superscript"/>
        </w:rPr>
        <w:footnoteRef/>
      </w:r>
      <w:r w:rsidR="00100589">
        <w:t xml:space="preserve"> </w:t>
      </w:r>
      <w:r>
        <w:t xml:space="preserve">Сборник договоров Организации Объединенных Наций, том 1155, </w:t>
      </w:r>
      <w:proofErr w:type="spellStart"/>
      <w:r w:rsidRPr="00EB3E3F">
        <w:t>No</w:t>
      </w:r>
      <w:proofErr w:type="spellEnd"/>
      <w:r w:rsidRPr="00EB3E3F">
        <w:t>. 18232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50EECEB" w14:textId="77777777" w:rsidR="008B70C1" w:rsidRPr="004A102D" w:rsidRDefault="009770C9" w:rsidP="009F4D84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 w:rsidRPr="004A102D">
          <w:rPr>
            <w:noProof/>
            <w:kern w:val="22"/>
          </w:rPr>
          <w:t>CBD/SBI/2/6</w:t>
        </w:r>
      </w:p>
    </w:sdtContent>
  </w:sdt>
  <w:p w14:paraId="28A3B216" w14:textId="771F9C35" w:rsidR="008B70C1" w:rsidRPr="004A102D" w:rsidRDefault="008B4DB3" w:rsidP="009F4D84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t>Страница</w:t>
    </w:r>
    <w:r w:rsidR="008B70C1">
      <w:t xml:space="preserve"> </w:t>
    </w:r>
    <w:r w:rsidR="008B70C1" w:rsidRPr="004A102D">
      <w:fldChar w:fldCharType="begin"/>
    </w:r>
    <w:r w:rsidR="008B70C1" w:rsidRPr="009F4D84">
      <w:instrText xml:space="preserve"> PAGE   \* MERGEFORMAT </w:instrText>
    </w:r>
    <w:r w:rsidR="008B70C1" w:rsidRPr="004A102D">
      <w:fldChar w:fldCharType="separate"/>
    </w:r>
    <w:r w:rsidR="009F4D84">
      <w:t>8</w:t>
    </w:r>
    <w:r w:rsidR="008B70C1" w:rsidRPr="004A102D">
      <w:fldChar w:fldCharType="end"/>
    </w:r>
  </w:p>
  <w:p w14:paraId="2AF3D11B" w14:textId="77777777" w:rsidR="008B70C1" w:rsidRPr="0049005C" w:rsidRDefault="008B70C1" w:rsidP="009F4D84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4B0442" w14:textId="77777777" w:rsidR="008B70C1" w:rsidRPr="005440A6" w:rsidRDefault="009770C9" w:rsidP="009F4D84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CBD/SBI/2/6</w:t>
        </w:r>
      </w:p>
    </w:sdtContent>
  </w:sdt>
  <w:p w14:paraId="27EF0636" w14:textId="4264A144" w:rsidR="008B70C1" w:rsidRPr="005440A6" w:rsidRDefault="008B4DB3" w:rsidP="009F4D84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t xml:space="preserve">Страница </w:t>
    </w:r>
    <w:r w:rsidR="008B70C1" w:rsidRPr="005440A6">
      <w:fldChar w:fldCharType="begin"/>
    </w:r>
    <w:r w:rsidR="008B70C1" w:rsidRPr="005440A6">
      <w:instrText xml:space="preserve"> PAGE   \* MERGEFORMAT </w:instrText>
    </w:r>
    <w:r w:rsidR="008B70C1" w:rsidRPr="005440A6">
      <w:fldChar w:fldCharType="separate"/>
    </w:r>
    <w:r w:rsidR="009F4D84">
      <w:t>9</w:t>
    </w:r>
    <w:r w:rsidR="008B70C1" w:rsidRPr="005440A6">
      <w:fldChar w:fldCharType="end"/>
    </w:r>
  </w:p>
  <w:p w14:paraId="17CDFBDE" w14:textId="77777777" w:rsidR="008B70C1" w:rsidRPr="005440A6" w:rsidRDefault="008B70C1" w:rsidP="009F4D84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41812A27"/>
    <w:multiLevelType w:val="multilevel"/>
    <w:tmpl w:val="BEFA30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5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5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0442B4"/>
    <w:multiLevelType w:val="multilevel"/>
    <w:tmpl w:val="C23C220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5"/>
      <w:numFmt w:val="lowerRoman"/>
      <w:pStyle w:val="Para3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5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F276264"/>
    <w:multiLevelType w:val="multilevel"/>
    <w:tmpl w:val="B5D096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5"/>
      <w:numFmt w:val="lowerRoman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5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FE43483"/>
    <w:multiLevelType w:val="hybridMultilevel"/>
    <w:tmpl w:val="A1DAD2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3BF1"/>
    <w:multiLevelType w:val="multilevel"/>
    <w:tmpl w:val="750E24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97308E7"/>
    <w:multiLevelType w:val="multilevel"/>
    <w:tmpl w:val="935EE0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4"/>
    <w:lvlOverride w:ilvl="0">
      <w:startOverride w:val="17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B"/>
    <w:rsid w:val="00006E5C"/>
    <w:rsid w:val="000076A8"/>
    <w:rsid w:val="00013606"/>
    <w:rsid w:val="000151FE"/>
    <w:rsid w:val="000219AC"/>
    <w:rsid w:val="00023AE4"/>
    <w:rsid w:val="00031D24"/>
    <w:rsid w:val="00036009"/>
    <w:rsid w:val="0003707F"/>
    <w:rsid w:val="00037873"/>
    <w:rsid w:val="00041BC3"/>
    <w:rsid w:val="00044BEE"/>
    <w:rsid w:val="00053F2F"/>
    <w:rsid w:val="00054381"/>
    <w:rsid w:val="00056D1D"/>
    <w:rsid w:val="00057387"/>
    <w:rsid w:val="000610CD"/>
    <w:rsid w:val="00061A11"/>
    <w:rsid w:val="0006758E"/>
    <w:rsid w:val="00067B4A"/>
    <w:rsid w:val="00067D96"/>
    <w:rsid w:val="000711A0"/>
    <w:rsid w:val="000711E1"/>
    <w:rsid w:val="00072C30"/>
    <w:rsid w:val="00073708"/>
    <w:rsid w:val="00076357"/>
    <w:rsid w:val="00076F25"/>
    <w:rsid w:val="00082280"/>
    <w:rsid w:val="00082C5E"/>
    <w:rsid w:val="00091A03"/>
    <w:rsid w:val="000975BD"/>
    <w:rsid w:val="000B60F0"/>
    <w:rsid w:val="000C580B"/>
    <w:rsid w:val="000D1EFE"/>
    <w:rsid w:val="000D2984"/>
    <w:rsid w:val="000D442D"/>
    <w:rsid w:val="000D5C1B"/>
    <w:rsid w:val="000E637D"/>
    <w:rsid w:val="000E7E6A"/>
    <w:rsid w:val="000F4C96"/>
    <w:rsid w:val="000F5587"/>
    <w:rsid w:val="000F63AB"/>
    <w:rsid w:val="000F69D2"/>
    <w:rsid w:val="000F721D"/>
    <w:rsid w:val="00100589"/>
    <w:rsid w:val="00102531"/>
    <w:rsid w:val="001133EF"/>
    <w:rsid w:val="0012000A"/>
    <w:rsid w:val="0012214B"/>
    <w:rsid w:val="00126BD2"/>
    <w:rsid w:val="00130AC7"/>
    <w:rsid w:val="0013173C"/>
    <w:rsid w:val="00137CA9"/>
    <w:rsid w:val="00147DC5"/>
    <w:rsid w:val="00152C56"/>
    <w:rsid w:val="001567DE"/>
    <w:rsid w:val="00166367"/>
    <w:rsid w:val="001701AA"/>
    <w:rsid w:val="001733F1"/>
    <w:rsid w:val="00174241"/>
    <w:rsid w:val="00181462"/>
    <w:rsid w:val="00183CF8"/>
    <w:rsid w:val="00192A28"/>
    <w:rsid w:val="00192E06"/>
    <w:rsid w:val="00193288"/>
    <w:rsid w:val="0019468B"/>
    <w:rsid w:val="00197A5E"/>
    <w:rsid w:val="001A24EF"/>
    <w:rsid w:val="001A45D9"/>
    <w:rsid w:val="001A5072"/>
    <w:rsid w:val="001B37E0"/>
    <w:rsid w:val="001C5176"/>
    <w:rsid w:val="001D1553"/>
    <w:rsid w:val="001D4899"/>
    <w:rsid w:val="001D522F"/>
    <w:rsid w:val="001D5FD7"/>
    <w:rsid w:val="001E06B7"/>
    <w:rsid w:val="001E755C"/>
    <w:rsid w:val="001F2EA9"/>
    <w:rsid w:val="001F6379"/>
    <w:rsid w:val="00200F59"/>
    <w:rsid w:val="00204415"/>
    <w:rsid w:val="00205335"/>
    <w:rsid w:val="00206CF9"/>
    <w:rsid w:val="00207A6E"/>
    <w:rsid w:val="00221613"/>
    <w:rsid w:val="0022338A"/>
    <w:rsid w:val="00224B92"/>
    <w:rsid w:val="0022662E"/>
    <w:rsid w:val="00227CD0"/>
    <w:rsid w:val="00232AC9"/>
    <w:rsid w:val="00233A47"/>
    <w:rsid w:val="002357E1"/>
    <w:rsid w:val="00243E4A"/>
    <w:rsid w:val="00246318"/>
    <w:rsid w:val="00252897"/>
    <w:rsid w:val="00254FB5"/>
    <w:rsid w:val="002559D4"/>
    <w:rsid w:val="00264031"/>
    <w:rsid w:val="00264937"/>
    <w:rsid w:val="00266400"/>
    <w:rsid w:val="002743C1"/>
    <w:rsid w:val="0027701A"/>
    <w:rsid w:val="00283BA8"/>
    <w:rsid w:val="00296DA9"/>
    <w:rsid w:val="00297FD8"/>
    <w:rsid w:val="002A1411"/>
    <w:rsid w:val="002A30BC"/>
    <w:rsid w:val="002B0942"/>
    <w:rsid w:val="002B0DBE"/>
    <w:rsid w:val="002B64A1"/>
    <w:rsid w:val="002C1230"/>
    <w:rsid w:val="002C468B"/>
    <w:rsid w:val="002C4BDB"/>
    <w:rsid w:val="002C56EB"/>
    <w:rsid w:val="002C6D07"/>
    <w:rsid w:val="002D68DC"/>
    <w:rsid w:val="002E0627"/>
    <w:rsid w:val="002E18A7"/>
    <w:rsid w:val="002F09C0"/>
    <w:rsid w:val="002F2DED"/>
    <w:rsid w:val="002F4679"/>
    <w:rsid w:val="00301CD4"/>
    <w:rsid w:val="00301ED8"/>
    <w:rsid w:val="00306034"/>
    <w:rsid w:val="00316C49"/>
    <w:rsid w:val="00317D0D"/>
    <w:rsid w:val="003210FF"/>
    <w:rsid w:val="0032188A"/>
    <w:rsid w:val="00324700"/>
    <w:rsid w:val="00325DE3"/>
    <w:rsid w:val="0033353A"/>
    <w:rsid w:val="00335425"/>
    <w:rsid w:val="00336766"/>
    <w:rsid w:val="00337420"/>
    <w:rsid w:val="003417B3"/>
    <w:rsid w:val="0034355C"/>
    <w:rsid w:val="0034360D"/>
    <w:rsid w:val="00345676"/>
    <w:rsid w:val="0034652B"/>
    <w:rsid w:val="003468D4"/>
    <w:rsid w:val="003506B4"/>
    <w:rsid w:val="00351F3F"/>
    <w:rsid w:val="0035760C"/>
    <w:rsid w:val="00360C8F"/>
    <w:rsid w:val="00361332"/>
    <w:rsid w:val="00373041"/>
    <w:rsid w:val="0037418F"/>
    <w:rsid w:val="003746E8"/>
    <w:rsid w:val="00376E3E"/>
    <w:rsid w:val="00377DEA"/>
    <w:rsid w:val="003949F9"/>
    <w:rsid w:val="00394BC9"/>
    <w:rsid w:val="00396240"/>
    <w:rsid w:val="00396AB2"/>
    <w:rsid w:val="003A5670"/>
    <w:rsid w:val="003B10B9"/>
    <w:rsid w:val="003B5C33"/>
    <w:rsid w:val="003B7611"/>
    <w:rsid w:val="003C113F"/>
    <w:rsid w:val="003C15BC"/>
    <w:rsid w:val="003C2000"/>
    <w:rsid w:val="003C4649"/>
    <w:rsid w:val="003D2989"/>
    <w:rsid w:val="003E2DAE"/>
    <w:rsid w:val="003E370D"/>
    <w:rsid w:val="003E4E83"/>
    <w:rsid w:val="003E6814"/>
    <w:rsid w:val="003F39ED"/>
    <w:rsid w:val="003F6E44"/>
    <w:rsid w:val="00401398"/>
    <w:rsid w:val="00402B56"/>
    <w:rsid w:val="00406BC6"/>
    <w:rsid w:val="0040713F"/>
    <w:rsid w:val="0041016D"/>
    <w:rsid w:val="004125D5"/>
    <w:rsid w:val="00416A9A"/>
    <w:rsid w:val="004239B1"/>
    <w:rsid w:val="0042571C"/>
    <w:rsid w:val="00431BEB"/>
    <w:rsid w:val="00433471"/>
    <w:rsid w:val="00440371"/>
    <w:rsid w:val="004412AD"/>
    <w:rsid w:val="0044424E"/>
    <w:rsid w:val="00446A40"/>
    <w:rsid w:val="00456993"/>
    <w:rsid w:val="004621BF"/>
    <w:rsid w:val="00467A63"/>
    <w:rsid w:val="00482978"/>
    <w:rsid w:val="004842E7"/>
    <w:rsid w:val="0048611F"/>
    <w:rsid w:val="0049005C"/>
    <w:rsid w:val="00491904"/>
    <w:rsid w:val="00492350"/>
    <w:rsid w:val="0049367F"/>
    <w:rsid w:val="004A0384"/>
    <w:rsid w:val="004A0895"/>
    <w:rsid w:val="004A102D"/>
    <w:rsid w:val="004A1EAC"/>
    <w:rsid w:val="004A4C07"/>
    <w:rsid w:val="004A52C0"/>
    <w:rsid w:val="004A791D"/>
    <w:rsid w:val="004B4451"/>
    <w:rsid w:val="004B597A"/>
    <w:rsid w:val="004C060A"/>
    <w:rsid w:val="004C77D4"/>
    <w:rsid w:val="004D1F20"/>
    <w:rsid w:val="004D7E1D"/>
    <w:rsid w:val="004E298C"/>
    <w:rsid w:val="004F2A44"/>
    <w:rsid w:val="00500530"/>
    <w:rsid w:val="005032C9"/>
    <w:rsid w:val="00505A6C"/>
    <w:rsid w:val="00505C2D"/>
    <w:rsid w:val="00506213"/>
    <w:rsid w:val="005146DF"/>
    <w:rsid w:val="00515764"/>
    <w:rsid w:val="00516C26"/>
    <w:rsid w:val="00520C03"/>
    <w:rsid w:val="00521080"/>
    <w:rsid w:val="0052404A"/>
    <w:rsid w:val="00526B6A"/>
    <w:rsid w:val="00530D4B"/>
    <w:rsid w:val="0053768E"/>
    <w:rsid w:val="005433A9"/>
    <w:rsid w:val="005440A6"/>
    <w:rsid w:val="00574714"/>
    <w:rsid w:val="00575CD5"/>
    <w:rsid w:val="005775E9"/>
    <w:rsid w:val="005821D9"/>
    <w:rsid w:val="0058233E"/>
    <w:rsid w:val="00585925"/>
    <w:rsid w:val="00587CAC"/>
    <w:rsid w:val="005955D2"/>
    <w:rsid w:val="005A3D91"/>
    <w:rsid w:val="005A4284"/>
    <w:rsid w:val="005A6BCB"/>
    <w:rsid w:val="005B1B34"/>
    <w:rsid w:val="005B67F1"/>
    <w:rsid w:val="005C62C5"/>
    <w:rsid w:val="005C6405"/>
    <w:rsid w:val="005D139C"/>
    <w:rsid w:val="005E6462"/>
    <w:rsid w:val="005F4C74"/>
    <w:rsid w:val="005F6A73"/>
    <w:rsid w:val="00601B38"/>
    <w:rsid w:val="00621871"/>
    <w:rsid w:val="00625852"/>
    <w:rsid w:val="006260D5"/>
    <w:rsid w:val="0063128D"/>
    <w:rsid w:val="00631B1F"/>
    <w:rsid w:val="00635884"/>
    <w:rsid w:val="00636007"/>
    <w:rsid w:val="00646B31"/>
    <w:rsid w:val="006507F2"/>
    <w:rsid w:val="00651A68"/>
    <w:rsid w:val="00651B3B"/>
    <w:rsid w:val="00651D5C"/>
    <w:rsid w:val="00662DBB"/>
    <w:rsid w:val="006675CA"/>
    <w:rsid w:val="0067163C"/>
    <w:rsid w:val="00676C95"/>
    <w:rsid w:val="00676FD7"/>
    <w:rsid w:val="00680351"/>
    <w:rsid w:val="00685603"/>
    <w:rsid w:val="0068580C"/>
    <w:rsid w:val="00686F71"/>
    <w:rsid w:val="00687842"/>
    <w:rsid w:val="00690847"/>
    <w:rsid w:val="006951E4"/>
    <w:rsid w:val="006A40BA"/>
    <w:rsid w:val="006A4C70"/>
    <w:rsid w:val="006B073C"/>
    <w:rsid w:val="006B074E"/>
    <w:rsid w:val="006B2BD5"/>
    <w:rsid w:val="006C0AFD"/>
    <w:rsid w:val="006C3B70"/>
    <w:rsid w:val="006D0E3D"/>
    <w:rsid w:val="006E6BD4"/>
    <w:rsid w:val="006F0701"/>
    <w:rsid w:val="006F284C"/>
    <w:rsid w:val="006F7227"/>
    <w:rsid w:val="006F78C0"/>
    <w:rsid w:val="00700C64"/>
    <w:rsid w:val="00702366"/>
    <w:rsid w:val="0071051C"/>
    <w:rsid w:val="00714535"/>
    <w:rsid w:val="007163BC"/>
    <w:rsid w:val="00721F27"/>
    <w:rsid w:val="00721FCC"/>
    <w:rsid w:val="00730AE3"/>
    <w:rsid w:val="00735D15"/>
    <w:rsid w:val="00736BC2"/>
    <w:rsid w:val="007373CC"/>
    <w:rsid w:val="00741678"/>
    <w:rsid w:val="007603DB"/>
    <w:rsid w:val="007646BE"/>
    <w:rsid w:val="00770424"/>
    <w:rsid w:val="00774CFF"/>
    <w:rsid w:val="00780E36"/>
    <w:rsid w:val="00783D88"/>
    <w:rsid w:val="00787708"/>
    <w:rsid w:val="00791B23"/>
    <w:rsid w:val="0079325E"/>
    <w:rsid w:val="00794A6F"/>
    <w:rsid w:val="007A1F4B"/>
    <w:rsid w:val="007B1587"/>
    <w:rsid w:val="007C5285"/>
    <w:rsid w:val="007C633B"/>
    <w:rsid w:val="007C702C"/>
    <w:rsid w:val="007C7CA4"/>
    <w:rsid w:val="007D0476"/>
    <w:rsid w:val="007D0BB6"/>
    <w:rsid w:val="007D0C51"/>
    <w:rsid w:val="007D1705"/>
    <w:rsid w:val="007D3182"/>
    <w:rsid w:val="007D4BD1"/>
    <w:rsid w:val="007D587B"/>
    <w:rsid w:val="007F1791"/>
    <w:rsid w:val="00810BC1"/>
    <w:rsid w:val="00811B07"/>
    <w:rsid w:val="00815377"/>
    <w:rsid w:val="008209A9"/>
    <w:rsid w:val="00825524"/>
    <w:rsid w:val="00831253"/>
    <w:rsid w:val="0083211E"/>
    <w:rsid w:val="0084380E"/>
    <w:rsid w:val="00843FF1"/>
    <w:rsid w:val="00847471"/>
    <w:rsid w:val="0085578C"/>
    <w:rsid w:val="00860AAA"/>
    <w:rsid w:val="00870D40"/>
    <w:rsid w:val="00877024"/>
    <w:rsid w:val="0088297C"/>
    <w:rsid w:val="00890F3E"/>
    <w:rsid w:val="00891902"/>
    <w:rsid w:val="00896120"/>
    <w:rsid w:val="008B0995"/>
    <w:rsid w:val="008B3F83"/>
    <w:rsid w:val="008B4DB3"/>
    <w:rsid w:val="008B59E8"/>
    <w:rsid w:val="008B70C1"/>
    <w:rsid w:val="008B74E9"/>
    <w:rsid w:val="008B7AD8"/>
    <w:rsid w:val="008C013C"/>
    <w:rsid w:val="008C1E35"/>
    <w:rsid w:val="008C6D6D"/>
    <w:rsid w:val="008D50C9"/>
    <w:rsid w:val="008D5AA2"/>
    <w:rsid w:val="008D5BFE"/>
    <w:rsid w:val="008E1A62"/>
    <w:rsid w:val="008E1C14"/>
    <w:rsid w:val="008E5F84"/>
    <w:rsid w:val="008E7500"/>
    <w:rsid w:val="008E7EF3"/>
    <w:rsid w:val="008F0C32"/>
    <w:rsid w:val="008F200E"/>
    <w:rsid w:val="008F4022"/>
    <w:rsid w:val="00902618"/>
    <w:rsid w:val="0090463F"/>
    <w:rsid w:val="009067F8"/>
    <w:rsid w:val="00917F3C"/>
    <w:rsid w:val="00922EAD"/>
    <w:rsid w:val="00925FE9"/>
    <w:rsid w:val="00926FB4"/>
    <w:rsid w:val="0092794B"/>
    <w:rsid w:val="009303F2"/>
    <w:rsid w:val="00933045"/>
    <w:rsid w:val="00934E97"/>
    <w:rsid w:val="0095160D"/>
    <w:rsid w:val="00951CFF"/>
    <w:rsid w:val="00953856"/>
    <w:rsid w:val="009554D5"/>
    <w:rsid w:val="0096548D"/>
    <w:rsid w:val="009716A4"/>
    <w:rsid w:val="00975032"/>
    <w:rsid w:val="00975096"/>
    <w:rsid w:val="009770C9"/>
    <w:rsid w:val="009812FD"/>
    <w:rsid w:val="00983501"/>
    <w:rsid w:val="00984D6E"/>
    <w:rsid w:val="009854D5"/>
    <w:rsid w:val="00986388"/>
    <w:rsid w:val="0099069C"/>
    <w:rsid w:val="00990CB1"/>
    <w:rsid w:val="00993473"/>
    <w:rsid w:val="00994E36"/>
    <w:rsid w:val="0099597A"/>
    <w:rsid w:val="00997809"/>
    <w:rsid w:val="009A1211"/>
    <w:rsid w:val="009B1C09"/>
    <w:rsid w:val="009B4D74"/>
    <w:rsid w:val="009B5943"/>
    <w:rsid w:val="009B5E1D"/>
    <w:rsid w:val="009B5E7B"/>
    <w:rsid w:val="009C0656"/>
    <w:rsid w:val="009C1B01"/>
    <w:rsid w:val="009C5FB7"/>
    <w:rsid w:val="009D2F92"/>
    <w:rsid w:val="009D43BA"/>
    <w:rsid w:val="009D57E8"/>
    <w:rsid w:val="009D6100"/>
    <w:rsid w:val="009E2B79"/>
    <w:rsid w:val="009F40E4"/>
    <w:rsid w:val="009F4D84"/>
    <w:rsid w:val="00A10051"/>
    <w:rsid w:val="00A11BB6"/>
    <w:rsid w:val="00A15891"/>
    <w:rsid w:val="00A20F36"/>
    <w:rsid w:val="00A21AFB"/>
    <w:rsid w:val="00A25337"/>
    <w:rsid w:val="00A255FB"/>
    <w:rsid w:val="00A30DAD"/>
    <w:rsid w:val="00A32EA4"/>
    <w:rsid w:val="00A336DB"/>
    <w:rsid w:val="00A373EF"/>
    <w:rsid w:val="00A412BD"/>
    <w:rsid w:val="00A41775"/>
    <w:rsid w:val="00A436CE"/>
    <w:rsid w:val="00A45096"/>
    <w:rsid w:val="00A51599"/>
    <w:rsid w:val="00A55CD8"/>
    <w:rsid w:val="00A60B8C"/>
    <w:rsid w:val="00A60E04"/>
    <w:rsid w:val="00A632AD"/>
    <w:rsid w:val="00A6466A"/>
    <w:rsid w:val="00A651DE"/>
    <w:rsid w:val="00A669E0"/>
    <w:rsid w:val="00A70EB6"/>
    <w:rsid w:val="00A71240"/>
    <w:rsid w:val="00A76462"/>
    <w:rsid w:val="00A821A3"/>
    <w:rsid w:val="00A914C6"/>
    <w:rsid w:val="00A97565"/>
    <w:rsid w:val="00AA014E"/>
    <w:rsid w:val="00AA1FE4"/>
    <w:rsid w:val="00AA3FEB"/>
    <w:rsid w:val="00AA4A85"/>
    <w:rsid w:val="00AA6BE5"/>
    <w:rsid w:val="00AC0418"/>
    <w:rsid w:val="00AC0CD9"/>
    <w:rsid w:val="00AC1E69"/>
    <w:rsid w:val="00AC2339"/>
    <w:rsid w:val="00AD1381"/>
    <w:rsid w:val="00AD2312"/>
    <w:rsid w:val="00AE3652"/>
    <w:rsid w:val="00AF05F2"/>
    <w:rsid w:val="00AF1E58"/>
    <w:rsid w:val="00AF5D39"/>
    <w:rsid w:val="00B00484"/>
    <w:rsid w:val="00B02531"/>
    <w:rsid w:val="00B028DE"/>
    <w:rsid w:val="00B1012F"/>
    <w:rsid w:val="00B131D5"/>
    <w:rsid w:val="00B17E54"/>
    <w:rsid w:val="00B22D47"/>
    <w:rsid w:val="00B271A0"/>
    <w:rsid w:val="00B3299A"/>
    <w:rsid w:val="00B411E6"/>
    <w:rsid w:val="00B51F76"/>
    <w:rsid w:val="00B56B11"/>
    <w:rsid w:val="00B61873"/>
    <w:rsid w:val="00B63092"/>
    <w:rsid w:val="00B73723"/>
    <w:rsid w:val="00B740EC"/>
    <w:rsid w:val="00B84CC2"/>
    <w:rsid w:val="00B85F9B"/>
    <w:rsid w:val="00B85FC0"/>
    <w:rsid w:val="00B90131"/>
    <w:rsid w:val="00BA1498"/>
    <w:rsid w:val="00BA2AE3"/>
    <w:rsid w:val="00BA3233"/>
    <w:rsid w:val="00BA519E"/>
    <w:rsid w:val="00BB0300"/>
    <w:rsid w:val="00BB2CD8"/>
    <w:rsid w:val="00BC1E7F"/>
    <w:rsid w:val="00BC6946"/>
    <w:rsid w:val="00BD0DF5"/>
    <w:rsid w:val="00BD55C0"/>
    <w:rsid w:val="00BE2C46"/>
    <w:rsid w:val="00BE37A4"/>
    <w:rsid w:val="00BE3F56"/>
    <w:rsid w:val="00BE45DE"/>
    <w:rsid w:val="00BE53EB"/>
    <w:rsid w:val="00BE6777"/>
    <w:rsid w:val="00BF560B"/>
    <w:rsid w:val="00BF6C38"/>
    <w:rsid w:val="00C05456"/>
    <w:rsid w:val="00C076A9"/>
    <w:rsid w:val="00C15BBB"/>
    <w:rsid w:val="00C16533"/>
    <w:rsid w:val="00C2564D"/>
    <w:rsid w:val="00C30C26"/>
    <w:rsid w:val="00C31A6E"/>
    <w:rsid w:val="00C31FC0"/>
    <w:rsid w:val="00C37FF1"/>
    <w:rsid w:val="00C42C50"/>
    <w:rsid w:val="00C4411D"/>
    <w:rsid w:val="00C451DB"/>
    <w:rsid w:val="00C507CD"/>
    <w:rsid w:val="00C71B9E"/>
    <w:rsid w:val="00C84E3A"/>
    <w:rsid w:val="00C85EA4"/>
    <w:rsid w:val="00C90DC9"/>
    <w:rsid w:val="00C912FE"/>
    <w:rsid w:val="00C916BB"/>
    <w:rsid w:val="00C95FC8"/>
    <w:rsid w:val="00CA0F71"/>
    <w:rsid w:val="00CA1040"/>
    <w:rsid w:val="00CA1572"/>
    <w:rsid w:val="00CA5753"/>
    <w:rsid w:val="00CA5F5C"/>
    <w:rsid w:val="00CA6B87"/>
    <w:rsid w:val="00CB47A1"/>
    <w:rsid w:val="00CB5D6E"/>
    <w:rsid w:val="00CB5FA1"/>
    <w:rsid w:val="00CC2031"/>
    <w:rsid w:val="00CC37F3"/>
    <w:rsid w:val="00CC47BF"/>
    <w:rsid w:val="00CD3B99"/>
    <w:rsid w:val="00CD6393"/>
    <w:rsid w:val="00CE12E6"/>
    <w:rsid w:val="00CE1E08"/>
    <w:rsid w:val="00CE51C3"/>
    <w:rsid w:val="00CF2CF3"/>
    <w:rsid w:val="00CF42A0"/>
    <w:rsid w:val="00CF4F69"/>
    <w:rsid w:val="00D11F3E"/>
    <w:rsid w:val="00D11FC2"/>
    <w:rsid w:val="00D13CB0"/>
    <w:rsid w:val="00D15589"/>
    <w:rsid w:val="00D22AE8"/>
    <w:rsid w:val="00D250D4"/>
    <w:rsid w:val="00D27394"/>
    <w:rsid w:val="00D3228D"/>
    <w:rsid w:val="00D409C0"/>
    <w:rsid w:val="00D41029"/>
    <w:rsid w:val="00D4118C"/>
    <w:rsid w:val="00D41624"/>
    <w:rsid w:val="00D4257C"/>
    <w:rsid w:val="00D432AD"/>
    <w:rsid w:val="00D51069"/>
    <w:rsid w:val="00D53EE3"/>
    <w:rsid w:val="00D760EB"/>
    <w:rsid w:val="00D82EAB"/>
    <w:rsid w:val="00D87AE6"/>
    <w:rsid w:val="00D9537D"/>
    <w:rsid w:val="00DA19C3"/>
    <w:rsid w:val="00DA42D0"/>
    <w:rsid w:val="00DA4F9B"/>
    <w:rsid w:val="00DA5DB4"/>
    <w:rsid w:val="00DB0F7F"/>
    <w:rsid w:val="00DB1A8E"/>
    <w:rsid w:val="00DB486C"/>
    <w:rsid w:val="00DB4952"/>
    <w:rsid w:val="00DB58DF"/>
    <w:rsid w:val="00DC71D9"/>
    <w:rsid w:val="00DD52CC"/>
    <w:rsid w:val="00DD68EC"/>
    <w:rsid w:val="00DE308B"/>
    <w:rsid w:val="00DE5DC4"/>
    <w:rsid w:val="00E0175C"/>
    <w:rsid w:val="00E04636"/>
    <w:rsid w:val="00E06614"/>
    <w:rsid w:val="00E12678"/>
    <w:rsid w:val="00E14868"/>
    <w:rsid w:val="00E153D4"/>
    <w:rsid w:val="00E2571A"/>
    <w:rsid w:val="00E31836"/>
    <w:rsid w:val="00E31C99"/>
    <w:rsid w:val="00E337E2"/>
    <w:rsid w:val="00E3671F"/>
    <w:rsid w:val="00E37A7A"/>
    <w:rsid w:val="00E41BEC"/>
    <w:rsid w:val="00E47030"/>
    <w:rsid w:val="00E47630"/>
    <w:rsid w:val="00E55B3B"/>
    <w:rsid w:val="00E55E91"/>
    <w:rsid w:val="00E6675A"/>
    <w:rsid w:val="00E80DD0"/>
    <w:rsid w:val="00E8277D"/>
    <w:rsid w:val="00E918B9"/>
    <w:rsid w:val="00E957DE"/>
    <w:rsid w:val="00EA7525"/>
    <w:rsid w:val="00EB3E3F"/>
    <w:rsid w:val="00EC0891"/>
    <w:rsid w:val="00ED2DD3"/>
    <w:rsid w:val="00ED418E"/>
    <w:rsid w:val="00ED56ED"/>
    <w:rsid w:val="00ED737F"/>
    <w:rsid w:val="00ED752D"/>
    <w:rsid w:val="00EE25C8"/>
    <w:rsid w:val="00EE2C7A"/>
    <w:rsid w:val="00EE51DB"/>
    <w:rsid w:val="00EE6B81"/>
    <w:rsid w:val="00EE7748"/>
    <w:rsid w:val="00EF74BB"/>
    <w:rsid w:val="00F01665"/>
    <w:rsid w:val="00F030A4"/>
    <w:rsid w:val="00F06373"/>
    <w:rsid w:val="00F13DC0"/>
    <w:rsid w:val="00F13ECB"/>
    <w:rsid w:val="00F14485"/>
    <w:rsid w:val="00F16F02"/>
    <w:rsid w:val="00F246E2"/>
    <w:rsid w:val="00F26A60"/>
    <w:rsid w:val="00F40C6E"/>
    <w:rsid w:val="00F43BCE"/>
    <w:rsid w:val="00F461D2"/>
    <w:rsid w:val="00F465B6"/>
    <w:rsid w:val="00F607FE"/>
    <w:rsid w:val="00F61003"/>
    <w:rsid w:val="00F6413D"/>
    <w:rsid w:val="00F64CB9"/>
    <w:rsid w:val="00F67181"/>
    <w:rsid w:val="00F728D8"/>
    <w:rsid w:val="00F731E0"/>
    <w:rsid w:val="00F735AB"/>
    <w:rsid w:val="00F74D8E"/>
    <w:rsid w:val="00F74FC5"/>
    <w:rsid w:val="00F763AC"/>
    <w:rsid w:val="00F77628"/>
    <w:rsid w:val="00F81A78"/>
    <w:rsid w:val="00F838DD"/>
    <w:rsid w:val="00F8715B"/>
    <w:rsid w:val="00F90B7C"/>
    <w:rsid w:val="00F92076"/>
    <w:rsid w:val="00F94E42"/>
    <w:rsid w:val="00F957CA"/>
    <w:rsid w:val="00F96458"/>
    <w:rsid w:val="00F97F9F"/>
    <w:rsid w:val="00FA0D29"/>
    <w:rsid w:val="00FA4763"/>
    <w:rsid w:val="00FB2829"/>
    <w:rsid w:val="00FB3B70"/>
    <w:rsid w:val="00FB6831"/>
    <w:rsid w:val="00FB69DF"/>
    <w:rsid w:val="00FB6B13"/>
    <w:rsid w:val="00FC1B12"/>
    <w:rsid w:val="00FC5182"/>
    <w:rsid w:val="00FC6159"/>
    <w:rsid w:val="00FD061C"/>
    <w:rsid w:val="00FD3406"/>
    <w:rsid w:val="00FD4BE5"/>
    <w:rsid w:val="00FE45E8"/>
    <w:rsid w:val="00FE7BA9"/>
    <w:rsid w:val="00FF1890"/>
    <w:rsid w:val="00FF3E46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F40957"/>
  <w15:docId w15:val="{210AF8B0-026A-4F67-BFE1-9D65702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4A4C07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Pr>
      <w:sz w:val="18"/>
      <w:u w:val="single"/>
      <w:vertAlign w:val="baseline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ru-RU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ru-RU"/>
    </w:rPr>
  </w:style>
  <w:style w:type="paragraph" w:styleId="Rvision">
    <w:name w:val="Revision"/>
    <w:hidden/>
    <w:uiPriority w:val="99"/>
    <w:semiHidden/>
    <w:rsid w:val="00D9537D"/>
    <w:rPr>
      <w:sz w:val="22"/>
      <w:szCs w:val="24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01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0/cop-10-dec-01-ru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abs/text/articles/default.shtml?sec=abs-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c/6ada/4011/af94c4f5feeba81fc82c6db0/sbi-02-01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  <w:docPart>
      <w:docPartPr>
        <w:name w:val="9055457EAF9D477A93FD183372AA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9CE4-A93E-400F-A95C-704C8D82D730}"/>
      </w:docPartPr>
      <w:docPartBody>
        <w:p w:rsidR="00101B3A" w:rsidRDefault="00B852C6">
          <w:r w:rsidRPr="00B852C6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2CE5"/>
    <w:rsid w:val="00015BC6"/>
    <w:rsid w:val="000573CB"/>
    <w:rsid w:val="00101B3A"/>
    <w:rsid w:val="0014256C"/>
    <w:rsid w:val="001B29AF"/>
    <w:rsid w:val="001F4858"/>
    <w:rsid w:val="00201F55"/>
    <w:rsid w:val="00340AAF"/>
    <w:rsid w:val="0037757D"/>
    <w:rsid w:val="004A69EC"/>
    <w:rsid w:val="004F41F9"/>
    <w:rsid w:val="007451A6"/>
    <w:rsid w:val="00765B1F"/>
    <w:rsid w:val="007E501A"/>
    <w:rsid w:val="0083264A"/>
    <w:rsid w:val="00A27574"/>
    <w:rsid w:val="00AB1246"/>
    <w:rsid w:val="00B36C7B"/>
    <w:rsid w:val="00B852C6"/>
    <w:rsid w:val="00BB2CFE"/>
    <w:rsid w:val="00BD4C58"/>
    <w:rsid w:val="00D051DB"/>
    <w:rsid w:val="00D12F2D"/>
    <w:rsid w:val="00D5481D"/>
    <w:rsid w:val="00DE0A09"/>
    <w:rsid w:val="00DE5857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B852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1A5D-4964-4572-A123-D036F110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276</TotalTime>
  <Pages>11</Pages>
  <Words>5618</Words>
  <Characters>30902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Специализированные международные инструменты для регулирования доступа к генетическим ресурсам и совместного использования выгод в контексте пункта 4 статьи 4 Нагойского протокола</vt:lpstr>
      <vt:lpstr>Specialized international access and benefit-sharing instruments in the context of Article 4, paragraph 4, of the Nagoya Protocol</vt:lpstr>
    </vt:vector>
  </TitlesOfParts>
  <Company>Biodiversity</Company>
  <LinksUpToDate>false</LinksUpToDate>
  <CharactersWithSpaces>36448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</dc:title>
  <dc:subject>CBD/SBI/2/6</dc:subject>
  <dc:creator>SCBD</dc:creator>
  <cp:lastModifiedBy>L A</cp:lastModifiedBy>
  <cp:revision>221</cp:revision>
  <cp:lastPrinted>2018-05-14T13:51:00Z</cp:lastPrinted>
  <dcterms:created xsi:type="dcterms:W3CDTF">2018-05-29T19:18:00Z</dcterms:created>
  <dcterms:modified xsi:type="dcterms:W3CDTF">2018-06-04T12:53:00Z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ОСУЩЕСТВЛЕНИЮ</vt:lpwstr>
  </property>
</Properties>
</file>