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992"/>
        <w:gridCol w:w="5245"/>
        <w:gridCol w:w="3544"/>
      </w:tblGrid>
      <w:tr w:rsidR="00F60E81" w:rsidRPr="00D74928" w14:paraId="461846FF" w14:textId="77777777" w:rsidTr="004E24DA">
        <w:trPr>
          <w:trHeight w:val="709"/>
        </w:trPr>
        <w:tc>
          <w:tcPr>
            <w:tcW w:w="992" w:type="dxa"/>
            <w:tcBorders>
              <w:bottom w:val="single" w:sz="12" w:space="0" w:color="auto"/>
            </w:tcBorders>
            <w:shd w:val="clear" w:color="auto" w:fill="auto"/>
          </w:tcPr>
          <w:p w14:paraId="39FE7C63" w14:textId="5B401703" w:rsidR="00F60E81" w:rsidRPr="00E86995" w:rsidRDefault="00DE0036" w:rsidP="00E86995">
            <w:pPr>
              <w:suppressLineNumbers/>
              <w:suppressAutoHyphens/>
              <w:kinsoku w:val="0"/>
              <w:overflowPunct w:val="0"/>
              <w:autoSpaceDE w:val="0"/>
              <w:autoSpaceDN w:val="0"/>
              <w:rPr>
                <w:rFonts w:ascii="Cambria" w:eastAsia="MS Mincho" w:hAnsi="Cambria"/>
                <w:snapToGrid w:val="0"/>
                <w:kern w:val="22"/>
              </w:rPr>
            </w:pPr>
            <w:r w:rsidRPr="00E86995">
              <w:rPr>
                <w:rFonts w:ascii="Cambria" w:eastAsia="MS Mincho" w:hAnsi="Cambria"/>
                <w:noProof/>
                <w:snapToGrid w:val="0"/>
                <w:kern w:val="22"/>
                <w:lang w:eastAsia="zh-CN"/>
              </w:rPr>
              <w:drawing>
                <wp:inline distT="0" distB="0" distL="0" distR="0" wp14:anchorId="6BB74423" wp14:editId="73569286">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245" w:type="dxa"/>
            <w:tcBorders>
              <w:bottom w:val="single" w:sz="12" w:space="0" w:color="auto"/>
            </w:tcBorders>
            <w:shd w:val="clear" w:color="auto" w:fill="auto"/>
          </w:tcPr>
          <w:p w14:paraId="72F6A879" w14:textId="7F5FA354" w:rsidR="00F60E81" w:rsidRPr="00E86995" w:rsidRDefault="00DE0036" w:rsidP="00E86995">
            <w:pPr>
              <w:suppressLineNumbers/>
              <w:suppressAutoHyphens/>
              <w:kinsoku w:val="0"/>
              <w:overflowPunct w:val="0"/>
              <w:autoSpaceDE w:val="0"/>
              <w:autoSpaceDN w:val="0"/>
              <w:rPr>
                <w:rFonts w:ascii="Cambria" w:eastAsia="MS Mincho" w:hAnsi="Cambria"/>
                <w:snapToGrid w:val="0"/>
                <w:kern w:val="22"/>
              </w:rPr>
            </w:pPr>
            <w:r w:rsidRPr="00E86995">
              <w:rPr>
                <w:rFonts w:ascii="Cambria" w:eastAsia="MS Mincho" w:hAnsi="Cambria"/>
                <w:noProof/>
                <w:snapToGrid w:val="0"/>
                <w:kern w:val="22"/>
                <w:lang w:eastAsia="zh-CN"/>
              </w:rPr>
              <w:drawing>
                <wp:inline distT="0" distB="0" distL="0" distR="0" wp14:anchorId="70BDEC52" wp14:editId="42E2518F">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3544" w:type="dxa"/>
            <w:tcBorders>
              <w:bottom w:val="single" w:sz="12" w:space="0" w:color="auto"/>
            </w:tcBorders>
            <w:shd w:val="clear" w:color="auto" w:fill="auto"/>
          </w:tcPr>
          <w:p w14:paraId="7BAA0F42" w14:textId="77777777" w:rsidR="00F60E81" w:rsidRPr="00E86995" w:rsidRDefault="00F60E81" w:rsidP="00E86995">
            <w:pPr>
              <w:suppressLineNumbers/>
              <w:suppressAutoHyphens/>
              <w:kinsoku w:val="0"/>
              <w:overflowPunct w:val="0"/>
              <w:autoSpaceDE w:val="0"/>
              <w:autoSpaceDN w:val="0"/>
              <w:jc w:val="right"/>
              <w:rPr>
                <w:rFonts w:ascii="Arial" w:eastAsia="MS Mincho" w:hAnsi="Arial" w:cs="Arial"/>
                <w:b/>
                <w:snapToGrid w:val="0"/>
                <w:kern w:val="22"/>
                <w:sz w:val="32"/>
                <w:szCs w:val="32"/>
              </w:rPr>
            </w:pPr>
            <w:r w:rsidRPr="00E86995">
              <w:rPr>
                <w:rFonts w:ascii="Arial" w:eastAsia="MS Mincho" w:hAnsi="Arial" w:cs="Arial"/>
                <w:b/>
                <w:snapToGrid w:val="0"/>
                <w:kern w:val="22"/>
                <w:sz w:val="32"/>
                <w:szCs w:val="32"/>
              </w:rPr>
              <w:t>CBD</w:t>
            </w:r>
          </w:p>
        </w:tc>
      </w:tr>
    </w:tbl>
    <w:p w14:paraId="2C686D65" w14:textId="77777777" w:rsidR="004E24DA" w:rsidRPr="00E86995" w:rsidRDefault="004E24DA" w:rsidP="00E86995">
      <w:pPr>
        <w:suppressLineNumbers/>
        <w:suppressAutoHyphens/>
        <w:kinsoku w:val="0"/>
        <w:overflowPunct w:val="0"/>
        <w:autoSpaceDE w:val="0"/>
        <w:autoSpaceDN w:val="0"/>
        <w:rPr>
          <w:snapToGrid w:val="0"/>
          <w:vanish/>
          <w:kern w:val="22"/>
        </w:rPr>
      </w:pPr>
    </w:p>
    <w:tbl>
      <w:tblPr>
        <w:tblW w:w="9781" w:type="dxa"/>
        <w:tblInd w:w="-34" w:type="dxa"/>
        <w:tblBorders>
          <w:bottom w:val="single" w:sz="36" w:space="0" w:color="000000"/>
        </w:tblBorders>
        <w:tblLayout w:type="fixed"/>
        <w:tblLook w:val="0000" w:firstRow="0" w:lastRow="0" w:firstColumn="0" w:lastColumn="0" w:noHBand="0" w:noVBand="0"/>
      </w:tblPr>
      <w:tblGrid>
        <w:gridCol w:w="5802"/>
        <w:gridCol w:w="1144"/>
        <w:gridCol w:w="2835"/>
      </w:tblGrid>
      <w:tr w:rsidR="00407B50" w:rsidRPr="00D74928" w14:paraId="224B839F" w14:textId="77777777" w:rsidTr="00E87FF7">
        <w:trPr>
          <w:trHeight w:val="1693"/>
        </w:trPr>
        <w:tc>
          <w:tcPr>
            <w:tcW w:w="5802" w:type="dxa"/>
            <w:tcBorders>
              <w:top w:val="nil"/>
              <w:bottom w:val="single" w:sz="36" w:space="0" w:color="000000"/>
            </w:tcBorders>
          </w:tcPr>
          <w:p w14:paraId="3D397D7B" w14:textId="77777777" w:rsidR="00407B50" w:rsidRPr="00D74928" w:rsidRDefault="00407B50" w:rsidP="00E86995">
            <w:pPr>
              <w:suppressLineNumbers/>
              <w:suppressAutoHyphens/>
              <w:kinsoku w:val="0"/>
              <w:overflowPunct w:val="0"/>
              <w:autoSpaceDE w:val="0"/>
              <w:autoSpaceDN w:val="0"/>
              <w:rPr>
                <w:snapToGrid w:val="0"/>
                <w:kern w:val="22"/>
              </w:rPr>
            </w:pPr>
          </w:p>
          <w:p w14:paraId="618F9D97" w14:textId="7567E78F" w:rsidR="00407B50" w:rsidRPr="00D74928" w:rsidRDefault="00DE0036" w:rsidP="00E86995">
            <w:pPr>
              <w:suppressLineNumbers/>
              <w:suppressAutoHyphens/>
              <w:kinsoku w:val="0"/>
              <w:overflowPunct w:val="0"/>
              <w:autoSpaceDE w:val="0"/>
              <w:autoSpaceDN w:val="0"/>
              <w:rPr>
                <w:snapToGrid w:val="0"/>
                <w:kern w:val="22"/>
              </w:rPr>
            </w:pPr>
            <w:r w:rsidRPr="00E86995">
              <w:rPr>
                <w:noProof/>
                <w:snapToGrid w:val="0"/>
                <w:kern w:val="22"/>
                <w:lang w:eastAsia="zh-CN"/>
              </w:rPr>
              <w:drawing>
                <wp:inline distT="0" distB="0" distL="0" distR="0" wp14:anchorId="411FFE80" wp14:editId="3376F37E">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14:paraId="5D9D95C0" w14:textId="77777777" w:rsidR="00407B50" w:rsidRPr="00D74928" w:rsidRDefault="00407B50" w:rsidP="00E86995">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14:paraId="0186D62C" w14:textId="77777777" w:rsidR="00407B50" w:rsidRPr="00E86995" w:rsidRDefault="00407B50" w:rsidP="00E86995">
            <w:pPr>
              <w:pStyle w:val="Header"/>
              <w:suppressLineNumbers/>
              <w:tabs>
                <w:tab w:val="clear" w:pos="4320"/>
                <w:tab w:val="clear" w:pos="8640"/>
              </w:tabs>
              <w:suppressAutoHyphens/>
              <w:kinsoku w:val="0"/>
              <w:overflowPunct w:val="0"/>
              <w:autoSpaceDE w:val="0"/>
              <w:autoSpaceDN w:val="0"/>
              <w:rPr>
                <w:bCs/>
                <w:snapToGrid w:val="0"/>
                <w:kern w:val="22"/>
                <w:szCs w:val="22"/>
              </w:rPr>
            </w:pPr>
          </w:p>
        </w:tc>
        <w:tc>
          <w:tcPr>
            <w:tcW w:w="2835" w:type="dxa"/>
            <w:tcBorders>
              <w:top w:val="nil"/>
              <w:bottom w:val="single" w:sz="36" w:space="0" w:color="000000"/>
            </w:tcBorders>
          </w:tcPr>
          <w:p w14:paraId="2CD30D48" w14:textId="77777777" w:rsidR="00407B50" w:rsidRPr="00E27994" w:rsidRDefault="00407B50" w:rsidP="00E86995">
            <w:pPr>
              <w:suppressLineNumbers/>
              <w:suppressAutoHyphens/>
              <w:kinsoku w:val="0"/>
              <w:overflowPunct w:val="0"/>
              <w:autoSpaceDE w:val="0"/>
              <w:autoSpaceDN w:val="0"/>
              <w:ind w:left="63"/>
              <w:rPr>
                <w:snapToGrid w:val="0"/>
                <w:kern w:val="22"/>
                <w:szCs w:val="22"/>
              </w:rPr>
            </w:pPr>
            <w:r w:rsidRPr="00E27994">
              <w:rPr>
                <w:snapToGrid w:val="0"/>
                <w:kern w:val="22"/>
                <w:szCs w:val="22"/>
              </w:rPr>
              <w:t>Distr.</w:t>
            </w:r>
          </w:p>
          <w:p w14:paraId="37B15EF2" w14:textId="77777777" w:rsidR="00407B50" w:rsidRPr="00E27994" w:rsidRDefault="00407B50" w:rsidP="00E86995">
            <w:pPr>
              <w:suppressLineNumbers/>
              <w:suppressAutoHyphens/>
              <w:kinsoku w:val="0"/>
              <w:overflowPunct w:val="0"/>
              <w:autoSpaceDE w:val="0"/>
              <w:autoSpaceDN w:val="0"/>
              <w:ind w:left="63"/>
              <w:rPr>
                <w:snapToGrid w:val="0"/>
                <w:kern w:val="22"/>
                <w:szCs w:val="22"/>
              </w:rPr>
            </w:pPr>
            <w:r w:rsidRPr="00E27994">
              <w:rPr>
                <w:snapToGrid w:val="0"/>
                <w:kern w:val="22"/>
                <w:szCs w:val="22"/>
              </w:rPr>
              <w:t>GENERAL</w:t>
            </w:r>
          </w:p>
          <w:p w14:paraId="2A943C73" w14:textId="77777777" w:rsidR="00407B50" w:rsidRPr="00E27994" w:rsidRDefault="00407B50" w:rsidP="00E86995">
            <w:pPr>
              <w:suppressLineNumbers/>
              <w:suppressAutoHyphens/>
              <w:kinsoku w:val="0"/>
              <w:overflowPunct w:val="0"/>
              <w:autoSpaceDE w:val="0"/>
              <w:autoSpaceDN w:val="0"/>
              <w:ind w:left="63"/>
              <w:rPr>
                <w:snapToGrid w:val="0"/>
                <w:kern w:val="22"/>
                <w:szCs w:val="22"/>
              </w:rPr>
            </w:pPr>
          </w:p>
          <w:p w14:paraId="13DFD15C" w14:textId="0321C422" w:rsidR="00407B50" w:rsidRPr="00E27994" w:rsidRDefault="00407B50" w:rsidP="00E86995">
            <w:pPr>
              <w:suppressLineNumbers/>
              <w:suppressAutoHyphens/>
              <w:kinsoku w:val="0"/>
              <w:overflowPunct w:val="0"/>
              <w:autoSpaceDE w:val="0"/>
              <w:autoSpaceDN w:val="0"/>
              <w:ind w:left="63"/>
              <w:rPr>
                <w:snapToGrid w:val="0"/>
                <w:kern w:val="22"/>
                <w:szCs w:val="22"/>
              </w:rPr>
            </w:pPr>
            <w:r w:rsidRPr="00E86995">
              <w:rPr>
                <w:snapToGrid w:val="0"/>
                <w:kern w:val="22"/>
                <w:szCs w:val="22"/>
              </w:rPr>
              <w:t>CBD/CP/CC/</w:t>
            </w:r>
            <w:r w:rsidR="00B95368" w:rsidRPr="00E86995">
              <w:rPr>
                <w:snapToGrid w:val="0"/>
                <w:kern w:val="22"/>
                <w:szCs w:val="22"/>
              </w:rPr>
              <w:t>15</w:t>
            </w:r>
            <w:r w:rsidRPr="00E86995">
              <w:rPr>
                <w:snapToGrid w:val="0"/>
                <w:kern w:val="22"/>
                <w:szCs w:val="22"/>
              </w:rPr>
              <w:t>/</w:t>
            </w:r>
            <w:r w:rsidR="00382C1D" w:rsidRPr="00E86995">
              <w:rPr>
                <w:snapToGrid w:val="0"/>
                <w:kern w:val="22"/>
                <w:szCs w:val="22"/>
              </w:rPr>
              <w:t>INF/</w:t>
            </w:r>
            <w:r w:rsidR="00B95368" w:rsidRPr="00E86995">
              <w:rPr>
                <w:snapToGrid w:val="0"/>
                <w:kern w:val="22"/>
                <w:szCs w:val="22"/>
              </w:rPr>
              <w:t>2</w:t>
            </w:r>
          </w:p>
          <w:p w14:paraId="0C6F7823" w14:textId="75BA787A" w:rsidR="00407B50" w:rsidRPr="00E27994" w:rsidRDefault="003B2DD6" w:rsidP="00E86995">
            <w:pPr>
              <w:suppressLineNumbers/>
              <w:suppressAutoHyphens/>
              <w:kinsoku w:val="0"/>
              <w:overflowPunct w:val="0"/>
              <w:autoSpaceDE w:val="0"/>
              <w:autoSpaceDN w:val="0"/>
              <w:ind w:left="63"/>
              <w:rPr>
                <w:snapToGrid w:val="0"/>
                <w:kern w:val="22"/>
                <w:szCs w:val="22"/>
              </w:rPr>
            </w:pPr>
            <w:r w:rsidRPr="00E27994">
              <w:rPr>
                <w:snapToGrid w:val="0"/>
                <w:kern w:val="22"/>
                <w:szCs w:val="22"/>
              </w:rPr>
              <w:t>9</w:t>
            </w:r>
            <w:r w:rsidR="00376D82" w:rsidRPr="00E27994">
              <w:rPr>
                <w:snapToGrid w:val="0"/>
                <w:kern w:val="22"/>
                <w:szCs w:val="22"/>
              </w:rPr>
              <w:t xml:space="preserve">April </w:t>
            </w:r>
            <w:r w:rsidR="00407B50" w:rsidRPr="00E27994">
              <w:rPr>
                <w:snapToGrid w:val="0"/>
                <w:kern w:val="22"/>
                <w:szCs w:val="22"/>
              </w:rPr>
              <w:t>201</w:t>
            </w:r>
            <w:r w:rsidR="00B95368" w:rsidRPr="00E27994">
              <w:rPr>
                <w:snapToGrid w:val="0"/>
                <w:kern w:val="22"/>
                <w:szCs w:val="22"/>
              </w:rPr>
              <w:t>8</w:t>
            </w:r>
          </w:p>
          <w:p w14:paraId="2B6095A8" w14:textId="77777777" w:rsidR="00407B50" w:rsidRPr="00E27994" w:rsidRDefault="00407B50" w:rsidP="00E86995">
            <w:pPr>
              <w:suppressLineNumbers/>
              <w:suppressAutoHyphens/>
              <w:kinsoku w:val="0"/>
              <w:overflowPunct w:val="0"/>
              <w:autoSpaceDE w:val="0"/>
              <w:autoSpaceDN w:val="0"/>
              <w:ind w:left="63"/>
              <w:rPr>
                <w:snapToGrid w:val="0"/>
                <w:kern w:val="22"/>
                <w:szCs w:val="22"/>
              </w:rPr>
            </w:pPr>
          </w:p>
          <w:p w14:paraId="335A17B0" w14:textId="77777777" w:rsidR="00407B50" w:rsidRPr="00E27994" w:rsidRDefault="00407B50" w:rsidP="00E86995">
            <w:pPr>
              <w:suppressLineNumbers/>
              <w:suppressAutoHyphens/>
              <w:kinsoku w:val="0"/>
              <w:overflowPunct w:val="0"/>
              <w:autoSpaceDE w:val="0"/>
              <w:autoSpaceDN w:val="0"/>
              <w:ind w:left="63"/>
              <w:rPr>
                <w:snapToGrid w:val="0"/>
                <w:kern w:val="22"/>
                <w:szCs w:val="22"/>
                <w:u w:val="single"/>
              </w:rPr>
            </w:pPr>
            <w:r w:rsidRPr="00E27994">
              <w:rPr>
                <w:snapToGrid w:val="0"/>
                <w:kern w:val="22"/>
                <w:szCs w:val="22"/>
              </w:rPr>
              <w:t>ENGLISH</w:t>
            </w:r>
            <w:r w:rsidR="009841D9" w:rsidRPr="00E27994">
              <w:rPr>
                <w:snapToGrid w:val="0"/>
                <w:kern w:val="22"/>
                <w:szCs w:val="22"/>
              </w:rPr>
              <w:t xml:space="preserve"> ONLY</w:t>
            </w:r>
          </w:p>
        </w:tc>
      </w:tr>
    </w:tbl>
    <w:p w14:paraId="46052595" w14:textId="77777777" w:rsidR="00471DE9" w:rsidRPr="00E86995" w:rsidRDefault="00471DE9" w:rsidP="00E86995">
      <w:pPr>
        <w:pStyle w:val="Cornernotation"/>
        <w:suppressLineNumbers/>
        <w:suppressAutoHyphens/>
        <w:kinsoku w:val="0"/>
        <w:overflowPunct w:val="0"/>
        <w:autoSpaceDE w:val="0"/>
        <w:autoSpaceDN w:val="0"/>
        <w:ind w:left="284" w:right="4682" w:hanging="283"/>
        <w:rPr>
          <w:snapToGrid w:val="0"/>
          <w:kern w:val="22"/>
          <w:szCs w:val="22"/>
        </w:rPr>
      </w:pPr>
      <w:r w:rsidRPr="00E86995">
        <w:rPr>
          <w:snapToGrid w:val="0"/>
          <w:kern w:val="22"/>
          <w:szCs w:val="22"/>
        </w:rPr>
        <w:t>COMPLIANCE COMMITTEE UNDER THE CARTAGENA PROTOCOL ON BIOSAFETY</w:t>
      </w:r>
    </w:p>
    <w:p w14:paraId="4E7F8F28" w14:textId="77777777" w:rsidR="00471DE9" w:rsidRPr="00E86995" w:rsidRDefault="00A07256" w:rsidP="00E86995">
      <w:pPr>
        <w:pStyle w:val="Cornernotation"/>
        <w:suppressLineNumbers/>
        <w:suppressAutoHyphens/>
        <w:kinsoku w:val="0"/>
        <w:overflowPunct w:val="0"/>
        <w:autoSpaceDE w:val="0"/>
        <w:autoSpaceDN w:val="0"/>
        <w:ind w:left="0" w:firstLine="0"/>
        <w:rPr>
          <w:snapToGrid w:val="0"/>
          <w:kern w:val="22"/>
          <w:szCs w:val="22"/>
        </w:rPr>
      </w:pPr>
      <w:r w:rsidRPr="00E86995">
        <w:rPr>
          <w:snapToGrid w:val="0"/>
          <w:kern w:val="22"/>
          <w:szCs w:val="22"/>
        </w:rPr>
        <w:t>Four</w:t>
      </w:r>
      <w:r w:rsidR="00731A65" w:rsidRPr="00E86995">
        <w:rPr>
          <w:snapToGrid w:val="0"/>
          <w:kern w:val="22"/>
          <w:szCs w:val="22"/>
        </w:rPr>
        <w:t>teen</w:t>
      </w:r>
      <w:r w:rsidR="006B7858" w:rsidRPr="00E86995">
        <w:rPr>
          <w:snapToGrid w:val="0"/>
          <w:kern w:val="22"/>
          <w:szCs w:val="22"/>
        </w:rPr>
        <w:t>th</w:t>
      </w:r>
      <w:r w:rsidR="00471DE9" w:rsidRPr="00E86995">
        <w:rPr>
          <w:snapToGrid w:val="0"/>
          <w:kern w:val="22"/>
          <w:szCs w:val="22"/>
        </w:rPr>
        <w:t xml:space="preserve"> meeting</w:t>
      </w:r>
    </w:p>
    <w:p w14:paraId="0EA3DD0F" w14:textId="7E8473C9" w:rsidR="00000000" w:rsidRPr="00E86995" w:rsidRDefault="00E46F16" w:rsidP="00E86995">
      <w:pPr>
        <w:pStyle w:val="Cornernotation"/>
        <w:suppressLineNumbers/>
        <w:suppressAutoHyphens/>
        <w:kinsoku w:val="0"/>
        <w:overflowPunct w:val="0"/>
        <w:autoSpaceDE w:val="0"/>
        <w:autoSpaceDN w:val="0"/>
        <w:ind w:left="0" w:firstLine="0"/>
        <w:rPr>
          <w:snapToGrid w:val="0"/>
          <w:kern w:val="22"/>
          <w:szCs w:val="22"/>
        </w:rPr>
        <w:sectPr w:rsidR="00000000" w:rsidRPr="00E86995" w:rsidSect="00FB0D30">
          <w:headerReference w:type="default" r:id="rId12"/>
          <w:footerReference w:type="even" r:id="rId13"/>
          <w:footerReference w:type="default" r:id="rId14"/>
          <w:pgSz w:w="12240" w:h="15840" w:code="1"/>
          <w:pgMar w:top="567" w:right="1440" w:bottom="1134" w:left="1440" w:header="0" w:footer="720" w:gutter="0"/>
          <w:cols w:space="720"/>
          <w:titlePg/>
        </w:sectPr>
      </w:pPr>
      <w:r w:rsidRPr="00E86995">
        <w:rPr>
          <w:snapToGrid w:val="0"/>
          <w:kern w:val="22"/>
          <w:szCs w:val="22"/>
        </w:rPr>
        <w:t>Montreal</w:t>
      </w:r>
      <w:r w:rsidR="00F31C1C" w:rsidRPr="00E86995">
        <w:rPr>
          <w:snapToGrid w:val="0"/>
          <w:kern w:val="22"/>
          <w:szCs w:val="22"/>
        </w:rPr>
        <w:t>, Canada</w:t>
      </w:r>
      <w:r w:rsidR="00BB48F2" w:rsidRPr="00E86995">
        <w:rPr>
          <w:snapToGrid w:val="0"/>
          <w:kern w:val="22"/>
          <w:szCs w:val="22"/>
        </w:rPr>
        <w:t xml:space="preserve">, </w:t>
      </w:r>
      <w:r w:rsidR="00B95368" w:rsidRPr="00E86995">
        <w:rPr>
          <w:snapToGrid w:val="0"/>
          <w:kern w:val="22"/>
          <w:szCs w:val="22"/>
        </w:rPr>
        <w:t>8</w:t>
      </w:r>
      <w:r w:rsidR="00A07256" w:rsidRPr="00E86995">
        <w:rPr>
          <w:snapToGrid w:val="0"/>
          <w:kern w:val="22"/>
          <w:szCs w:val="22"/>
        </w:rPr>
        <w:t>-</w:t>
      </w:r>
      <w:r w:rsidR="00B95368" w:rsidRPr="00E86995">
        <w:rPr>
          <w:snapToGrid w:val="0"/>
          <w:kern w:val="22"/>
          <w:szCs w:val="22"/>
        </w:rPr>
        <w:t xml:space="preserve">10 </w:t>
      </w:r>
      <w:r w:rsidR="00A07256" w:rsidRPr="00E86995">
        <w:rPr>
          <w:snapToGrid w:val="0"/>
          <w:kern w:val="22"/>
          <w:szCs w:val="22"/>
        </w:rPr>
        <w:t>May</w:t>
      </w:r>
      <w:r w:rsidR="006B7858" w:rsidRPr="00E86995">
        <w:rPr>
          <w:snapToGrid w:val="0"/>
          <w:kern w:val="22"/>
          <w:szCs w:val="22"/>
        </w:rPr>
        <w:t xml:space="preserve"> </w:t>
      </w:r>
      <w:r w:rsidR="00B95368" w:rsidRPr="00E86995">
        <w:rPr>
          <w:snapToGrid w:val="0"/>
          <w:kern w:val="22"/>
          <w:szCs w:val="22"/>
        </w:rPr>
        <w:t>2018</w:t>
      </w:r>
    </w:p>
    <w:p w14:paraId="3F642EAA" w14:textId="6FE5D97D" w:rsidR="00471DE9" w:rsidRPr="00E86995" w:rsidRDefault="00966A19" w:rsidP="00E86995">
      <w:pPr>
        <w:pStyle w:val="HEADINGNOTFORTOC"/>
        <w:keepNext w:val="0"/>
        <w:suppressLineNumbers/>
        <w:tabs>
          <w:tab w:val="clear" w:pos="720"/>
        </w:tabs>
        <w:suppressAutoHyphens/>
        <w:kinsoku w:val="0"/>
        <w:overflowPunct w:val="0"/>
        <w:autoSpaceDE w:val="0"/>
        <w:autoSpaceDN w:val="0"/>
        <w:rPr>
          <w:rFonts w:eastAsia="MS Mincho"/>
          <w:b w:val="0"/>
          <w:i/>
          <w:iCs/>
          <w:caps w:val="0"/>
          <w:snapToGrid w:val="0"/>
          <w:kern w:val="22"/>
          <w:szCs w:val="22"/>
        </w:rPr>
      </w:pPr>
      <w:r w:rsidRPr="00E86995">
        <w:rPr>
          <w:rFonts w:ascii="Times New Roman Bold" w:hAnsi="Times New Roman Bold" w:cs="Times New Roman Bold"/>
          <w:bCs/>
          <w:snapToGrid w:val="0"/>
          <w:kern w:val="22"/>
          <w:szCs w:val="22"/>
        </w:rPr>
        <w:lastRenderedPageBreak/>
        <w:t xml:space="preserve">Individual cases of non-compliance: </w:t>
      </w:r>
      <w:r w:rsidR="00965958" w:rsidRPr="00E86995">
        <w:rPr>
          <w:rFonts w:ascii="Times New Roman Bold" w:hAnsi="Times New Roman Bold" w:cs="Times New Roman Bold"/>
          <w:bCs/>
          <w:snapToGrid w:val="0"/>
          <w:kern w:val="22"/>
          <w:szCs w:val="22"/>
        </w:rPr>
        <w:t xml:space="preserve">consideration by the </w:t>
      </w:r>
      <w:r w:rsidR="00667D9D" w:rsidRPr="00E86995">
        <w:rPr>
          <w:rFonts w:ascii="Times New Roman Bold" w:hAnsi="Times New Roman Bold" w:cs="Times New Roman Bold"/>
          <w:bCs/>
          <w:snapToGrid w:val="0"/>
          <w:kern w:val="22"/>
          <w:szCs w:val="22"/>
        </w:rPr>
        <w:t xml:space="preserve">Compliance Committee </w:t>
      </w:r>
      <w:r w:rsidR="00965958" w:rsidRPr="00E86995">
        <w:rPr>
          <w:rFonts w:ascii="Times New Roman Bold" w:hAnsi="Times New Roman Bold" w:cs="Times New Roman Bold"/>
          <w:bCs/>
          <w:snapToGrid w:val="0"/>
          <w:kern w:val="22"/>
          <w:szCs w:val="22"/>
        </w:rPr>
        <w:t xml:space="preserve">of </w:t>
      </w:r>
      <w:r w:rsidR="00961376" w:rsidRPr="00E86995">
        <w:rPr>
          <w:rFonts w:ascii="Times New Roman Bold" w:hAnsi="Times New Roman Bold" w:cs="Times New Roman Bold"/>
          <w:bCs/>
          <w:snapToGrid w:val="0"/>
          <w:kern w:val="22"/>
          <w:szCs w:val="22"/>
        </w:rPr>
        <w:t xml:space="preserve">the </w:t>
      </w:r>
      <w:r w:rsidR="00667D9D" w:rsidRPr="00E86995">
        <w:rPr>
          <w:rFonts w:ascii="Times New Roman Bold" w:hAnsi="Times New Roman Bold" w:cs="Times New Roman Bold"/>
          <w:bCs/>
          <w:snapToGrid w:val="0"/>
          <w:kern w:val="22"/>
          <w:szCs w:val="22"/>
        </w:rPr>
        <w:t>obligation to submit national reports in the context of decision</w:t>
      </w:r>
      <w:r w:rsidR="00965958" w:rsidRPr="00E86995">
        <w:rPr>
          <w:rFonts w:ascii="Times New Roman Bold" w:hAnsi="Times New Roman Bold" w:cs="Times New Roman Bold"/>
          <w:bCs/>
          <w:snapToGrid w:val="0"/>
          <w:kern w:val="22"/>
          <w:szCs w:val="22"/>
        </w:rPr>
        <w:t xml:space="preserve"> BS</w:t>
      </w:r>
      <w:r w:rsidR="00A9728E" w:rsidRPr="00E86995">
        <w:rPr>
          <w:rFonts w:ascii="Times New Roman Bold" w:hAnsi="Times New Roman Bold" w:cs="Times New Roman Bold"/>
          <w:bCs/>
          <w:snapToGrid w:val="0"/>
          <w:kern w:val="22"/>
          <w:szCs w:val="22"/>
        </w:rPr>
        <w:t>-</w:t>
      </w:r>
      <w:r w:rsidR="00965958" w:rsidRPr="00E86995">
        <w:rPr>
          <w:rFonts w:ascii="Times New Roman Bold" w:hAnsi="Times New Roman Bold" w:cs="Times New Roman Bold"/>
          <w:bCs/>
          <w:snapToGrid w:val="0"/>
          <w:kern w:val="22"/>
          <w:szCs w:val="22"/>
        </w:rPr>
        <w:t>V/1</w:t>
      </w:r>
    </w:p>
    <w:p w14:paraId="015EFBAA" w14:textId="77777777" w:rsidR="00FA63B2" w:rsidRPr="00E86995" w:rsidRDefault="00FA63B2" w:rsidP="00E86995">
      <w:pPr>
        <w:suppressLineNumbers/>
        <w:suppressAutoHyphens/>
        <w:kinsoku w:val="0"/>
        <w:overflowPunct w:val="0"/>
        <w:autoSpaceDE w:val="0"/>
        <w:autoSpaceDN w:val="0"/>
        <w:spacing w:before="120" w:after="120"/>
        <w:jc w:val="center"/>
        <w:outlineLvl w:val="1"/>
        <w:rPr>
          <w:rFonts w:eastAsia="MS Mincho"/>
          <w:i/>
          <w:iCs/>
          <w:snapToGrid w:val="0"/>
          <w:kern w:val="22"/>
          <w:szCs w:val="22"/>
        </w:rPr>
      </w:pPr>
      <w:r w:rsidRPr="00E86995">
        <w:rPr>
          <w:rFonts w:eastAsia="MS Mincho"/>
          <w:i/>
          <w:iCs/>
          <w:snapToGrid w:val="0"/>
          <w:kern w:val="22"/>
          <w:szCs w:val="22"/>
        </w:rPr>
        <w:t>Note by the Executive Secretary</w:t>
      </w:r>
    </w:p>
    <w:p w14:paraId="33E95C4F" w14:textId="5FD585AC" w:rsidR="00FA63B2" w:rsidRPr="00E86995" w:rsidRDefault="00FA63B2" w:rsidP="00E86995">
      <w:pPr>
        <w:pStyle w:val="Heading2"/>
        <w:keepNext w:val="0"/>
        <w:suppressLineNumbers/>
        <w:suppressAutoHyphens/>
        <w:kinsoku w:val="0"/>
        <w:overflowPunct w:val="0"/>
        <w:autoSpaceDE w:val="0"/>
        <w:autoSpaceDN w:val="0"/>
        <w:rPr>
          <w:snapToGrid w:val="0"/>
          <w:kern w:val="22"/>
          <w:szCs w:val="22"/>
        </w:rPr>
      </w:pPr>
      <w:r w:rsidRPr="00E86995">
        <w:rPr>
          <w:rFonts w:eastAsia="MS Mincho"/>
          <w:bCs w:val="0"/>
          <w:i w:val="0"/>
          <w:iCs w:val="0"/>
          <w:snapToGrid w:val="0"/>
          <w:kern w:val="22"/>
          <w:szCs w:val="22"/>
        </w:rPr>
        <w:t>INTRODUCTION</w:t>
      </w:r>
    </w:p>
    <w:p w14:paraId="1A871B58" w14:textId="3DB99EAB" w:rsidR="004C7ACF" w:rsidRPr="00E86995" w:rsidRDefault="00B64F96"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 xml:space="preserve">At its fourteenth meeting, </w:t>
      </w:r>
      <w:r w:rsidR="000B4A24" w:rsidRPr="00E86995">
        <w:rPr>
          <w:kern w:val="22"/>
          <w:szCs w:val="22"/>
        </w:rPr>
        <w:t xml:space="preserve">the Compliance Committee reviewed </w:t>
      </w:r>
      <w:r w:rsidRPr="00E86995">
        <w:rPr>
          <w:kern w:val="22"/>
          <w:szCs w:val="22"/>
        </w:rPr>
        <w:t xml:space="preserve">decision CP-VIII/1 </w:t>
      </w:r>
      <w:r w:rsidR="000B4A24" w:rsidRPr="00E86995">
        <w:rPr>
          <w:kern w:val="22"/>
          <w:szCs w:val="22"/>
        </w:rPr>
        <w:t xml:space="preserve">of </w:t>
      </w:r>
      <w:r w:rsidR="00FC4D62" w:rsidRPr="00E86995">
        <w:rPr>
          <w:kern w:val="22"/>
          <w:szCs w:val="22"/>
        </w:rPr>
        <w:t xml:space="preserve">the Conference of the Parties serving as the meeting of the Parties to the Cartagena Protocol on </w:t>
      </w:r>
      <w:proofErr w:type="gramStart"/>
      <w:r w:rsidR="00FC4D62" w:rsidRPr="00E86995">
        <w:rPr>
          <w:kern w:val="22"/>
          <w:szCs w:val="22"/>
        </w:rPr>
        <w:t xml:space="preserve">Biosafety </w:t>
      </w:r>
      <w:r w:rsidR="000B4A24" w:rsidRPr="00E86995">
        <w:rPr>
          <w:kern w:val="22"/>
          <w:szCs w:val="22"/>
        </w:rPr>
        <w:t xml:space="preserve"> and</w:t>
      </w:r>
      <w:proofErr w:type="gramEnd"/>
      <w:r w:rsidR="00FC4D62" w:rsidRPr="00E86995">
        <w:rPr>
          <w:kern w:val="22"/>
          <w:szCs w:val="22"/>
        </w:rPr>
        <w:t xml:space="preserve"> </w:t>
      </w:r>
      <w:r w:rsidRPr="00E86995">
        <w:rPr>
          <w:kern w:val="22"/>
          <w:szCs w:val="22"/>
        </w:rPr>
        <w:t>decided to include a standing item on the agenda of its future meetings to facilitate consideration of ongoing individual cases of non-compliance.</w:t>
      </w:r>
    </w:p>
    <w:p w14:paraId="4C30B960" w14:textId="7DFD760C" w:rsidR="00765101" w:rsidRPr="00E86995" w:rsidRDefault="00B64F96"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There is currently one ongoing individual case of non-compliance before the Committee</w:t>
      </w:r>
      <w:r w:rsidR="0024020E" w:rsidRPr="00E86995">
        <w:rPr>
          <w:kern w:val="22"/>
          <w:szCs w:val="22"/>
        </w:rPr>
        <w:t>,</w:t>
      </w:r>
      <w:r w:rsidRPr="00E86995">
        <w:rPr>
          <w:kern w:val="22"/>
          <w:szCs w:val="22"/>
        </w:rPr>
        <w:t xml:space="preserve"> concerning the Marshall Islands and the obligation to submit national reports.</w:t>
      </w:r>
      <w:r w:rsidR="004C7ACF" w:rsidRPr="00E86995">
        <w:rPr>
          <w:kern w:val="22"/>
          <w:szCs w:val="22"/>
        </w:rPr>
        <w:t xml:space="preserve"> </w:t>
      </w:r>
      <w:r w:rsidR="00765101" w:rsidRPr="00E86995">
        <w:rPr>
          <w:kern w:val="22"/>
          <w:szCs w:val="22"/>
        </w:rPr>
        <w:t xml:space="preserve">In order to </w:t>
      </w:r>
      <w:r w:rsidR="008953DA" w:rsidRPr="00E86995">
        <w:rPr>
          <w:kern w:val="22"/>
          <w:szCs w:val="22"/>
        </w:rPr>
        <w:t xml:space="preserve">inform the </w:t>
      </w:r>
      <w:r w:rsidR="00765101" w:rsidRPr="00E86995">
        <w:rPr>
          <w:kern w:val="22"/>
          <w:szCs w:val="22"/>
        </w:rPr>
        <w:t xml:space="preserve">Committee </w:t>
      </w:r>
      <w:r w:rsidR="008953DA" w:rsidRPr="00E86995">
        <w:rPr>
          <w:kern w:val="22"/>
          <w:szCs w:val="22"/>
        </w:rPr>
        <w:t xml:space="preserve">in its consideration </w:t>
      </w:r>
      <w:r w:rsidR="00765101" w:rsidRPr="00E86995">
        <w:rPr>
          <w:kern w:val="22"/>
          <w:szCs w:val="22"/>
        </w:rPr>
        <w:t>of this item,</w:t>
      </w:r>
      <w:r w:rsidR="00C30E45" w:rsidRPr="00257BE0">
        <w:rPr>
          <w:rStyle w:val="FootnoteReference"/>
          <w:kern w:val="22"/>
          <w:sz w:val="22"/>
          <w:szCs w:val="22"/>
          <w:u w:val="none"/>
          <w:vertAlign w:val="superscript"/>
        </w:rPr>
        <w:footnoteReference w:id="1"/>
      </w:r>
      <w:r w:rsidR="00765101" w:rsidRPr="00E86995">
        <w:rPr>
          <w:kern w:val="22"/>
          <w:szCs w:val="22"/>
        </w:rPr>
        <w:t xml:space="preserve"> the present document provides an overview of the previous efforts of the Committee to encourage and assist Parties that had not complied with their reporting obligation, </w:t>
      </w:r>
      <w:r w:rsidR="00C15804" w:rsidRPr="00E27994">
        <w:rPr>
          <w:kern w:val="22"/>
          <w:szCs w:val="22"/>
        </w:rPr>
        <w:t>including</w:t>
      </w:r>
      <w:r w:rsidR="005A3410" w:rsidRPr="00E27994">
        <w:rPr>
          <w:kern w:val="22"/>
          <w:szCs w:val="22"/>
        </w:rPr>
        <w:t xml:space="preserve"> actions taken in respect of the Marshall Islands</w:t>
      </w:r>
      <w:r w:rsidR="00765101" w:rsidRPr="00E27994">
        <w:rPr>
          <w:kern w:val="22"/>
          <w:szCs w:val="22"/>
        </w:rPr>
        <w:t>.</w:t>
      </w:r>
    </w:p>
    <w:p w14:paraId="04447521" w14:textId="558942ED" w:rsidR="008953DA" w:rsidRPr="00E86995" w:rsidRDefault="008953DA" w:rsidP="00E86995">
      <w:pPr>
        <w:pStyle w:val="Heading2"/>
        <w:suppressLineNumbers/>
        <w:tabs>
          <w:tab w:val="clear" w:pos="720"/>
          <w:tab w:val="left" w:pos="270"/>
        </w:tabs>
        <w:suppressAutoHyphens/>
        <w:kinsoku w:val="0"/>
        <w:overflowPunct w:val="0"/>
        <w:autoSpaceDE w:val="0"/>
        <w:autoSpaceDN w:val="0"/>
        <w:rPr>
          <w:caps/>
          <w:snapToGrid w:val="0"/>
          <w:kern w:val="22"/>
          <w:szCs w:val="22"/>
        </w:rPr>
      </w:pPr>
      <w:r w:rsidRPr="00E86995">
        <w:rPr>
          <w:rFonts w:eastAsia="MS Mincho"/>
          <w:bCs w:val="0"/>
          <w:i w:val="0"/>
          <w:iCs w:val="0"/>
          <w:caps/>
          <w:snapToGrid w:val="0"/>
          <w:kern w:val="22"/>
          <w:szCs w:val="22"/>
        </w:rPr>
        <w:t>I.</w:t>
      </w:r>
      <w:r w:rsidRPr="00E86995">
        <w:rPr>
          <w:rFonts w:eastAsia="MS Mincho"/>
          <w:bCs w:val="0"/>
          <w:i w:val="0"/>
          <w:iCs w:val="0"/>
          <w:caps/>
          <w:snapToGrid w:val="0"/>
          <w:kern w:val="22"/>
          <w:szCs w:val="22"/>
        </w:rPr>
        <w:tab/>
      </w:r>
      <w:r w:rsidR="0024020E" w:rsidRPr="00E86995">
        <w:rPr>
          <w:rFonts w:eastAsia="MS Mincho"/>
          <w:bCs w:val="0"/>
          <w:i w:val="0"/>
          <w:iCs w:val="0"/>
          <w:caps/>
          <w:snapToGrid w:val="0"/>
          <w:kern w:val="22"/>
          <w:szCs w:val="22"/>
        </w:rPr>
        <w:t xml:space="preserve">The role </w:t>
      </w:r>
      <w:r w:rsidR="002161C9">
        <w:rPr>
          <w:rFonts w:eastAsia="MS Mincho"/>
          <w:bCs w:val="0"/>
          <w:i w:val="0"/>
          <w:iCs w:val="0"/>
          <w:caps/>
          <w:snapToGrid w:val="0"/>
          <w:kern w:val="22"/>
          <w:szCs w:val="22"/>
        </w:rPr>
        <w:t xml:space="preserve">of the </w:t>
      </w:r>
      <w:r w:rsidR="002161C9" w:rsidRPr="009D7EF3">
        <w:rPr>
          <w:rFonts w:eastAsia="MS Mincho"/>
          <w:bCs w:val="0"/>
          <w:i w:val="0"/>
          <w:iCs w:val="0"/>
          <w:caps/>
          <w:snapToGrid w:val="0"/>
          <w:kern w:val="22"/>
          <w:szCs w:val="22"/>
        </w:rPr>
        <w:t xml:space="preserve">Committee </w:t>
      </w:r>
      <w:r w:rsidR="0024020E" w:rsidRPr="00E86995">
        <w:rPr>
          <w:rFonts w:eastAsia="MS Mincho"/>
          <w:bCs w:val="0"/>
          <w:i w:val="0"/>
          <w:iCs w:val="0"/>
          <w:caps/>
          <w:snapToGrid w:val="0"/>
          <w:kern w:val="22"/>
          <w:szCs w:val="22"/>
        </w:rPr>
        <w:t>in reviewing compliance with the obligation to submit national reports</w:t>
      </w:r>
    </w:p>
    <w:p w14:paraId="514E154E" w14:textId="29FD12F0" w:rsidR="000A46CC" w:rsidRPr="00E86995" w:rsidRDefault="00D02BB7"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In accordance with section IV of the procedures and mechanisms on compliance under the Cartagena Protocol</w:t>
      </w:r>
      <w:r w:rsidR="000A46CC" w:rsidRPr="00E86995">
        <w:rPr>
          <w:kern w:val="22"/>
          <w:szCs w:val="22"/>
        </w:rPr>
        <w:t xml:space="preserve"> adopted</w:t>
      </w:r>
      <w:r w:rsidR="00C108B7" w:rsidRPr="00E86995">
        <w:rPr>
          <w:kern w:val="22"/>
          <w:szCs w:val="22"/>
        </w:rPr>
        <w:t xml:space="preserve"> by the Conference of the Parties serving as the meeting of the Parties to the Cartagena Protocol on Biosafety </w:t>
      </w:r>
      <w:r w:rsidR="00C108B7" w:rsidRPr="00E27994">
        <w:rPr>
          <w:kern w:val="22"/>
          <w:szCs w:val="22"/>
        </w:rPr>
        <w:t>in its</w:t>
      </w:r>
      <w:r w:rsidR="000A46CC" w:rsidRPr="00E86995">
        <w:rPr>
          <w:kern w:val="22"/>
          <w:szCs w:val="22"/>
        </w:rPr>
        <w:t xml:space="preserve"> </w:t>
      </w:r>
      <w:r w:rsidRPr="00E86995">
        <w:rPr>
          <w:kern w:val="22"/>
          <w:szCs w:val="22"/>
        </w:rPr>
        <w:t xml:space="preserve">decision BS-I/7 (procedures and mechanisms), the Committee receives submissions relating to compliance from a Party with respect to itself or with respect to another Party. Section VI of the procedures and mechanisms provides a number of measures the Committee may take </w:t>
      </w:r>
      <w:r w:rsidR="000A46CC" w:rsidRPr="00E86995">
        <w:rPr>
          <w:kern w:val="22"/>
          <w:szCs w:val="22"/>
        </w:rPr>
        <w:t>with a view to promoting compliance and addressing cases of non-compli</w:t>
      </w:r>
      <w:r w:rsidR="00BE37EE" w:rsidRPr="00E86995">
        <w:rPr>
          <w:kern w:val="22"/>
          <w:szCs w:val="22"/>
        </w:rPr>
        <w:t>a</w:t>
      </w:r>
      <w:r w:rsidR="000A46CC" w:rsidRPr="00E86995">
        <w:rPr>
          <w:kern w:val="22"/>
          <w:szCs w:val="22"/>
        </w:rPr>
        <w:t>nce.</w:t>
      </w:r>
    </w:p>
    <w:p w14:paraId="3B943285" w14:textId="6CCC5D59" w:rsidR="00CF7234" w:rsidRPr="00E86995" w:rsidRDefault="00B745FA"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In d</w:t>
      </w:r>
      <w:r w:rsidR="00FA63B2" w:rsidRPr="00E86995">
        <w:rPr>
          <w:kern w:val="22"/>
          <w:szCs w:val="22"/>
        </w:rPr>
        <w:t>ecision BS-V/1</w:t>
      </w:r>
      <w:r w:rsidR="004E45FC" w:rsidRPr="00E86995">
        <w:rPr>
          <w:kern w:val="22"/>
          <w:szCs w:val="22"/>
        </w:rPr>
        <w:t xml:space="preserve">, </w:t>
      </w:r>
      <w:r w:rsidR="00E87FF7" w:rsidRPr="00E86995">
        <w:rPr>
          <w:kern w:val="22"/>
          <w:szCs w:val="22"/>
        </w:rPr>
        <w:t xml:space="preserve">the Conference of the Parties serving as the meeting of the Parties to the Cartagena Protocol on Biosafety </w:t>
      </w:r>
      <w:r w:rsidR="002A5ABD" w:rsidRPr="00E27994">
        <w:rPr>
          <w:kern w:val="22"/>
          <w:szCs w:val="22"/>
        </w:rPr>
        <w:t>decided</w:t>
      </w:r>
      <w:r w:rsidR="002D3323" w:rsidRPr="00E86995">
        <w:rPr>
          <w:kern w:val="22"/>
          <w:szCs w:val="22"/>
        </w:rPr>
        <w:t xml:space="preserve"> that the Committee may consider taking certain measures where a Party fails to submit its national report or information has been received through a national report or the Secretariat, based on information fr</w:t>
      </w:r>
      <w:r w:rsidR="00E87FF7" w:rsidRPr="00E86995">
        <w:rPr>
          <w:kern w:val="22"/>
          <w:szCs w:val="22"/>
        </w:rPr>
        <w:t>om the Biosafety Clearing-House</w:t>
      </w:r>
      <w:r w:rsidR="002D3323" w:rsidRPr="00E86995">
        <w:rPr>
          <w:kern w:val="22"/>
          <w:szCs w:val="22"/>
        </w:rPr>
        <w:t xml:space="preserve"> that shows that the Party concerned is faced with difficulties complying with its obligations under the Protocol.</w:t>
      </w:r>
    </w:p>
    <w:p w14:paraId="371AEF5A" w14:textId="2D4976FD" w:rsidR="00AE5320" w:rsidRPr="00E86995" w:rsidRDefault="00CF7234"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lastRenderedPageBreak/>
        <w:t xml:space="preserve">Failure to submit a national report was initially considered by the Committee as a general issue of compliance, in accordance with section </w:t>
      </w:r>
      <w:proofErr w:type="gramStart"/>
      <w:r w:rsidRPr="00E86995">
        <w:rPr>
          <w:kern w:val="22"/>
          <w:szCs w:val="22"/>
        </w:rPr>
        <w:t>III(</w:t>
      </w:r>
      <w:proofErr w:type="gramEnd"/>
      <w:r w:rsidRPr="00E86995">
        <w:rPr>
          <w:kern w:val="22"/>
          <w:szCs w:val="22"/>
        </w:rPr>
        <w:t>1)(d) of the procedures and mechanisms.</w:t>
      </w:r>
      <w:r w:rsidRPr="00E86995">
        <w:footnoteReference w:id="2"/>
      </w:r>
      <w:r w:rsidRPr="00E86995">
        <w:rPr>
          <w:kern w:val="22"/>
          <w:szCs w:val="22"/>
        </w:rPr>
        <w:t xml:space="preserve"> The Committee has reviewed the issue extensively since its second meeting and made several recommendations to </w:t>
      </w:r>
      <w:r w:rsidR="00E87FF7" w:rsidRPr="00E86995">
        <w:rPr>
          <w:kern w:val="22"/>
          <w:szCs w:val="22"/>
        </w:rPr>
        <w:t>the Conference of the Parties serving as the meeting of the Parties to the Cartagena Protocol on Biosafety</w:t>
      </w:r>
      <w:r w:rsidRPr="00E86995">
        <w:rPr>
          <w:kern w:val="22"/>
          <w:szCs w:val="22"/>
        </w:rPr>
        <w:t>. Following the cycle for the second national reports and in accordance with decision BS-V/1, the Committee also began addressing individual cases of Parties that had failed to submit their national report</w:t>
      </w:r>
      <w:r w:rsidR="00AE5320" w:rsidRPr="00E86995">
        <w:rPr>
          <w:kern w:val="22"/>
          <w:szCs w:val="22"/>
        </w:rPr>
        <w:t>, as set out below</w:t>
      </w:r>
      <w:r w:rsidRPr="00E86995">
        <w:rPr>
          <w:kern w:val="22"/>
          <w:szCs w:val="22"/>
        </w:rPr>
        <w:t>.</w:t>
      </w:r>
    </w:p>
    <w:p w14:paraId="51F8967F" w14:textId="75EF985A" w:rsidR="00961376" w:rsidRPr="00E86995" w:rsidRDefault="00961376" w:rsidP="00E86995">
      <w:pPr>
        <w:pStyle w:val="Heading1"/>
        <w:suppressLineNumbers/>
        <w:suppressAutoHyphens/>
        <w:kinsoku w:val="0"/>
        <w:overflowPunct w:val="0"/>
        <w:autoSpaceDE w:val="0"/>
        <w:autoSpaceDN w:val="0"/>
        <w:spacing w:before="120"/>
        <w:ind w:left="2016" w:right="720" w:hanging="720"/>
        <w:jc w:val="left"/>
        <w:rPr>
          <w:bCs/>
          <w:snapToGrid w:val="0"/>
          <w:kern w:val="22"/>
          <w:szCs w:val="22"/>
        </w:rPr>
      </w:pPr>
      <w:r w:rsidRPr="00E86995">
        <w:rPr>
          <w:bCs/>
          <w:snapToGrid w:val="0"/>
          <w:kern w:val="22"/>
          <w:szCs w:val="22"/>
        </w:rPr>
        <w:t>II.</w:t>
      </w:r>
      <w:r w:rsidRPr="00E86995">
        <w:rPr>
          <w:bCs/>
          <w:snapToGrid w:val="0"/>
          <w:kern w:val="22"/>
          <w:szCs w:val="22"/>
        </w:rPr>
        <w:tab/>
      </w:r>
      <w:r w:rsidR="006A6FB2" w:rsidRPr="00E86995">
        <w:rPr>
          <w:bCs/>
          <w:snapToGrid w:val="0"/>
          <w:kern w:val="22"/>
          <w:szCs w:val="22"/>
        </w:rPr>
        <w:t xml:space="preserve">Consideration </w:t>
      </w:r>
      <w:r w:rsidR="001A1599" w:rsidRPr="00E86995">
        <w:rPr>
          <w:bCs/>
          <w:snapToGrid w:val="0"/>
          <w:kern w:val="22"/>
          <w:szCs w:val="22"/>
        </w:rPr>
        <w:t xml:space="preserve">of and activities undertaken </w:t>
      </w:r>
      <w:r w:rsidRPr="00E86995">
        <w:rPr>
          <w:bCs/>
          <w:snapToGrid w:val="0"/>
          <w:kern w:val="22"/>
          <w:szCs w:val="22"/>
        </w:rPr>
        <w:t xml:space="preserve">by the </w:t>
      </w:r>
      <w:r w:rsidR="006A6FB2" w:rsidRPr="00E86995">
        <w:rPr>
          <w:bCs/>
          <w:snapToGrid w:val="0"/>
          <w:kern w:val="22"/>
          <w:szCs w:val="22"/>
        </w:rPr>
        <w:t xml:space="preserve">Committee </w:t>
      </w:r>
      <w:r w:rsidR="004E45FC" w:rsidRPr="00E86995">
        <w:rPr>
          <w:bCs/>
          <w:snapToGrid w:val="0"/>
          <w:kern w:val="22"/>
          <w:szCs w:val="22"/>
        </w:rPr>
        <w:t>with regard to the obl</w:t>
      </w:r>
      <w:r w:rsidR="00376E2B" w:rsidRPr="00E86995">
        <w:rPr>
          <w:bCs/>
          <w:snapToGrid w:val="0"/>
          <w:kern w:val="22"/>
          <w:szCs w:val="22"/>
        </w:rPr>
        <w:t xml:space="preserve">igation to submit </w:t>
      </w:r>
      <w:r w:rsidRPr="00E86995">
        <w:rPr>
          <w:bCs/>
          <w:snapToGrid w:val="0"/>
          <w:kern w:val="22"/>
          <w:szCs w:val="22"/>
        </w:rPr>
        <w:t>national report</w:t>
      </w:r>
      <w:r w:rsidR="00376E2B" w:rsidRPr="00E86995">
        <w:rPr>
          <w:bCs/>
          <w:snapToGrid w:val="0"/>
          <w:kern w:val="22"/>
          <w:szCs w:val="22"/>
        </w:rPr>
        <w:t>s</w:t>
      </w:r>
    </w:p>
    <w:p w14:paraId="48B25EC7" w14:textId="524CCA9A" w:rsidR="006F2F1F" w:rsidRPr="00E86995" w:rsidRDefault="00453F35"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27994">
        <w:rPr>
          <w:kern w:val="22"/>
          <w:szCs w:val="22"/>
        </w:rPr>
        <w:t>The Conference of the Parties serving as the meeting of the Parties to the Cartagena Protocol</w:t>
      </w:r>
      <w:r w:rsidR="00FA63B2" w:rsidRPr="00E27994">
        <w:rPr>
          <w:kern w:val="22"/>
          <w:szCs w:val="22"/>
        </w:rPr>
        <w:t xml:space="preserve"> </w:t>
      </w:r>
      <w:r w:rsidR="00B71C12" w:rsidRPr="00E27994">
        <w:rPr>
          <w:kern w:val="22"/>
          <w:szCs w:val="22"/>
        </w:rPr>
        <w:t xml:space="preserve">on Biosafety </w:t>
      </w:r>
      <w:r w:rsidR="00913D68" w:rsidRPr="00E27994">
        <w:rPr>
          <w:kern w:val="22"/>
          <w:szCs w:val="22"/>
        </w:rPr>
        <w:t>decide</w:t>
      </w:r>
      <w:r w:rsidR="003F3CAE" w:rsidRPr="00E27994">
        <w:rPr>
          <w:kern w:val="22"/>
          <w:szCs w:val="22"/>
        </w:rPr>
        <w:t>s</w:t>
      </w:r>
      <w:r w:rsidR="00FA63B2" w:rsidRPr="00E27994">
        <w:rPr>
          <w:kern w:val="22"/>
          <w:szCs w:val="22"/>
        </w:rPr>
        <w:t xml:space="preserve"> </w:t>
      </w:r>
      <w:r w:rsidR="00913D68" w:rsidRPr="00E27994">
        <w:rPr>
          <w:kern w:val="22"/>
          <w:szCs w:val="22"/>
        </w:rPr>
        <w:t xml:space="preserve">on </w:t>
      </w:r>
      <w:r w:rsidR="003F3CAE" w:rsidRPr="00E27994">
        <w:rPr>
          <w:kern w:val="22"/>
          <w:szCs w:val="22"/>
        </w:rPr>
        <w:t xml:space="preserve">the </w:t>
      </w:r>
      <w:r w:rsidR="00913D68" w:rsidRPr="00E27994">
        <w:rPr>
          <w:kern w:val="22"/>
          <w:szCs w:val="22"/>
        </w:rPr>
        <w:t>timing</w:t>
      </w:r>
      <w:r w:rsidR="003F3CAE" w:rsidRPr="00E27994">
        <w:rPr>
          <w:kern w:val="22"/>
          <w:szCs w:val="22"/>
        </w:rPr>
        <w:t xml:space="preserve"> for submission of national reports </w:t>
      </w:r>
      <w:r w:rsidR="00802000" w:rsidRPr="00E27994">
        <w:rPr>
          <w:kern w:val="22"/>
          <w:szCs w:val="22"/>
        </w:rPr>
        <w:t xml:space="preserve">for each </w:t>
      </w:r>
      <w:r w:rsidR="009F07CD" w:rsidRPr="00E27994">
        <w:rPr>
          <w:kern w:val="22"/>
          <w:szCs w:val="22"/>
        </w:rPr>
        <w:t xml:space="preserve">reporting </w:t>
      </w:r>
      <w:r w:rsidR="00802000" w:rsidRPr="00E27994">
        <w:rPr>
          <w:kern w:val="22"/>
          <w:szCs w:val="22"/>
        </w:rPr>
        <w:t>cycle</w:t>
      </w:r>
      <w:r w:rsidR="00FA63B2" w:rsidRPr="00E27994">
        <w:rPr>
          <w:kern w:val="22"/>
          <w:szCs w:val="22"/>
        </w:rPr>
        <w:t xml:space="preserve">. The Secretariat issues notifications and subsequent reminders concerning the date of submission of national reports. </w:t>
      </w:r>
      <w:r w:rsidR="001A1599" w:rsidRPr="00E27994">
        <w:rPr>
          <w:kern w:val="22"/>
          <w:szCs w:val="22"/>
        </w:rPr>
        <w:t>E-mail</w:t>
      </w:r>
      <w:r w:rsidR="00802000" w:rsidRPr="00E27994">
        <w:rPr>
          <w:kern w:val="22"/>
          <w:szCs w:val="22"/>
        </w:rPr>
        <w:t xml:space="preserve"> </w:t>
      </w:r>
      <w:r w:rsidR="001A1599" w:rsidRPr="00E27994">
        <w:rPr>
          <w:kern w:val="22"/>
          <w:szCs w:val="22"/>
        </w:rPr>
        <w:t>messages</w:t>
      </w:r>
      <w:r w:rsidR="00802000" w:rsidRPr="00E27994">
        <w:rPr>
          <w:kern w:val="22"/>
          <w:szCs w:val="22"/>
        </w:rPr>
        <w:t xml:space="preserve"> are also routinely sent to </w:t>
      </w:r>
      <w:r w:rsidR="00B02BB0" w:rsidRPr="00E27994">
        <w:rPr>
          <w:kern w:val="22"/>
          <w:szCs w:val="22"/>
        </w:rPr>
        <w:t xml:space="preserve">the </w:t>
      </w:r>
      <w:r w:rsidR="00C74F10" w:rsidRPr="00E27994">
        <w:rPr>
          <w:kern w:val="22"/>
          <w:szCs w:val="22"/>
        </w:rPr>
        <w:t xml:space="preserve">Biosafety Clearing-House </w:t>
      </w:r>
      <w:r w:rsidR="00802000" w:rsidRPr="00E27994">
        <w:rPr>
          <w:kern w:val="22"/>
          <w:szCs w:val="22"/>
        </w:rPr>
        <w:t>national focal points</w:t>
      </w:r>
      <w:r w:rsidR="001A1599" w:rsidRPr="00E27994">
        <w:rPr>
          <w:kern w:val="22"/>
          <w:szCs w:val="22"/>
        </w:rPr>
        <w:t xml:space="preserve"> as an additional reminder</w:t>
      </w:r>
      <w:r w:rsidR="00802000" w:rsidRPr="00E27994">
        <w:rPr>
          <w:kern w:val="22"/>
          <w:szCs w:val="22"/>
        </w:rPr>
        <w:t xml:space="preserve">. </w:t>
      </w:r>
      <w:r w:rsidR="00CC1889" w:rsidRPr="00E27994">
        <w:rPr>
          <w:kern w:val="22"/>
          <w:szCs w:val="22"/>
        </w:rPr>
        <w:t>At relevant meetings, t</w:t>
      </w:r>
      <w:r w:rsidR="001A1599" w:rsidRPr="00E27994">
        <w:rPr>
          <w:kern w:val="22"/>
          <w:szCs w:val="22"/>
        </w:rPr>
        <w:t>he</w:t>
      </w:r>
      <w:r w:rsidR="00FA63B2" w:rsidRPr="00E27994">
        <w:rPr>
          <w:kern w:val="22"/>
          <w:szCs w:val="22"/>
        </w:rPr>
        <w:t xml:space="preserve"> Secretariat </w:t>
      </w:r>
      <w:r w:rsidR="00D659F6" w:rsidRPr="00E27994">
        <w:rPr>
          <w:kern w:val="22"/>
          <w:szCs w:val="22"/>
        </w:rPr>
        <w:t>informs</w:t>
      </w:r>
      <w:r w:rsidR="00FA63B2" w:rsidRPr="00E27994">
        <w:rPr>
          <w:kern w:val="22"/>
          <w:szCs w:val="22"/>
        </w:rPr>
        <w:t xml:space="preserve"> the Committee </w:t>
      </w:r>
      <w:r w:rsidR="00D659F6" w:rsidRPr="00E27994">
        <w:rPr>
          <w:kern w:val="22"/>
          <w:szCs w:val="22"/>
        </w:rPr>
        <w:t xml:space="preserve">of </w:t>
      </w:r>
      <w:r w:rsidR="00FA63B2" w:rsidRPr="00E27994">
        <w:rPr>
          <w:kern w:val="22"/>
          <w:szCs w:val="22"/>
        </w:rPr>
        <w:t xml:space="preserve">the </w:t>
      </w:r>
      <w:r w:rsidR="00CC1889" w:rsidRPr="00E27994">
        <w:rPr>
          <w:kern w:val="22"/>
          <w:szCs w:val="22"/>
        </w:rPr>
        <w:t xml:space="preserve">number of reports received and </w:t>
      </w:r>
      <w:r w:rsidR="00B5175E" w:rsidRPr="00E27994">
        <w:rPr>
          <w:kern w:val="22"/>
          <w:szCs w:val="22"/>
        </w:rPr>
        <w:t xml:space="preserve">provides an overview of the </w:t>
      </w:r>
      <w:r w:rsidR="00FA63B2" w:rsidRPr="00E27994">
        <w:rPr>
          <w:kern w:val="22"/>
          <w:szCs w:val="22"/>
        </w:rPr>
        <w:t xml:space="preserve">Parties </w:t>
      </w:r>
      <w:r w:rsidR="00B5175E" w:rsidRPr="00E27994">
        <w:rPr>
          <w:kern w:val="22"/>
          <w:szCs w:val="22"/>
        </w:rPr>
        <w:t xml:space="preserve">that </w:t>
      </w:r>
      <w:r w:rsidR="00FA63B2" w:rsidRPr="00E27994">
        <w:rPr>
          <w:kern w:val="22"/>
          <w:szCs w:val="22"/>
        </w:rPr>
        <w:t>have failed</w:t>
      </w:r>
      <w:r w:rsidR="00802000" w:rsidRPr="00E27994">
        <w:rPr>
          <w:kern w:val="22"/>
          <w:szCs w:val="22"/>
        </w:rPr>
        <w:t xml:space="preserve"> to submit their national report</w:t>
      </w:r>
      <w:r w:rsidR="001A1599" w:rsidRPr="00E27994">
        <w:rPr>
          <w:kern w:val="22"/>
          <w:szCs w:val="22"/>
        </w:rPr>
        <w:t xml:space="preserve">. </w:t>
      </w:r>
      <w:r w:rsidR="00FA63B2" w:rsidRPr="00E27994">
        <w:rPr>
          <w:kern w:val="22"/>
          <w:szCs w:val="22"/>
        </w:rPr>
        <w:t>The Committee may, depending on the circumstances, such as the number of P</w:t>
      </w:r>
      <w:r w:rsidR="00802000" w:rsidRPr="00E27994">
        <w:rPr>
          <w:kern w:val="22"/>
          <w:szCs w:val="22"/>
        </w:rPr>
        <w:t>arties concerned</w:t>
      </w:r>
      <w:r w:rsidR="00244CFF" w:rsidRPr="00E27994">
        <w:rPr>
          <w:kern w:val="22"/>
          <w:szCs w:val="22"/>
        </w:rPr>
        <w:t xml:space="preserve"> and </w:t>
      </w:r>
      <w:r w:rsidR="00602B07" w:rsidRPr="00E27994">
        <w:rPr>
          <w:kern w:val="22"/>
          <w:szCs w:val="22"/>
        </w:rPr>
        <w:t xml:space="preserve">on previous </w:t>
      </w:r>
      <w:r w:rsidR="00244CFF" w:rsidRPr="00E27994">
        <w:rPr>
          <w:kern w:val="22"/>
          <w:szCs w:val="22"/>
        </w:rPr>
        <w:t>actions taken</w:t>
      </w:r>
      <w:r w:rsidR="00802000" w:rsidRPr="00E27994">
        <w:rPr>
          <w:kern w:val="22"/>
          <w:szCs w:val="22"/>
        </w:rPr>
        <w:t>, decide to consider</w:t>
      </w:r>
      <w:r w:rsidR="00FA63B2" w:rsidRPr="00E27994">
        <w:rPr>
          <w:kern w:val="22"/>
          <w:szCs w:val="22"/>
        </w:rPr>
        <w:t xml:space="preserve"> the matter either as a g</w:t>
      </w:r>
      <w:r w:rsidR="00FB66D0" w:rsidRPr="00E27994">
        <w:rPr>
          <w:kern w:val="22"/>
          <w:szCs w:val="22"/>
        </w:rPr>
        <w:t xml:space="preserve">eneral issue of compliance or </w:t>
      </w:r>
      <w:r w:rsidR="00802000" w:rsidRPr="00E27994">
        <w:rPr>
          <w:kern w:val="22"/>
          <w:szCs w:val="22"/>
        </w:rPr>
        <w:t xml:space="preserve">as </w:t>
      </w:r>
      <w:r w:rsidR="00FB66D0" w:rsidRPr="00E27994">
        <w:rPr>
          <w:kern w:val="22"/>
          <w:szCs w:val="22"/>
        </w:rPr>
        <w:t xml:space="preserve">individual </w:t>
      </w:r>
      <w:r w:rsidR="00FA63B2" w:rsidRPr="00E27994">
        <w:rPr>
          <w:kern w:val="22"/>
          <w:szCs w:val="22"/>
        </w:rPr>
        <w:t>case</w:t>
      </w:r>
      <w:r w:rsidR="00C74F10" w:rsidRPr="00E27994">
        <w:rPr>
          <w:kern w:val="22"/>
          <w:szCs w:val="22"/>
        </w:rPr>
        <w:t>s</w:t>
      </w:r>
      <w:r w:rsidR="00FA63B2" w:rsidRPr="00E27994">
        <w:rPr>
          <w:kern w:val="22"/>
          <w:szCs w:val="22"/>
        </w:rPr>
        <w:t xml:space="preserve"> of non-compliance, or both.</w:t>
      </w:r>
    </w:p>
    <w:p w14:paraId="7DEACD8F" w14:textId="670549A3" w:rsidR="00F5105B" w:rsidRPr="00E86995" w:rsidRDefault="00FB66D0"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lang w:eastAsia="en-CA"/>
        </w:rPr>
      </w:pPr>
      <w:r w:rsidRPr="00E27994">
        <w:rPr>
          <w:kern w:val="22"/>
          <w:szCs w:val="22"/>
        </w:rPr>
        <w:t>The</w:t>
      </w:r>
      <w:r w:rsidR="006F2F1F" w:rsidRPr="00E27994">
        <w:rPr>
          <w:kern w:val="22"/>
          <w:szCs w:val="22"/>
        </w:rPr>
        <w:t xml:space="preserve"> deadline for the submission of s</w:t>
      </w:r>
      <w:r w:rsidR="009E6220" w:rsidRPr="00E86995">
        <w:rPr>
          <w:kern w:val="22"/>
          <w:szCs w:val="22"/>
          <w:lang w:eastAsia="en-CA"/>
        </w:rPr>
        <w:t xml:space="preserve">econd national reports </w:t>
      </w:r>
      <w:r w:rsidR="00F5105B" w:rsidRPr="00E86995">
        <w:rPr>
          <w:kern w:val="22"/>
          <w:szCs w:val="22"/>
          <w:lang w:eastAsia="en-CA"/>
        </w:rPr>
        <w:t xml:space="preserve">was </w:t>
      </w:r>
      <w:r w:rsidR="00505339" w:rsidRPr="00E86995">
        <w:rPr>
          <w:kern w:val="22"/>
          <w:szCs w:val="22"/>
          <w:lang w:eastAsia="en-CA"/>
        </w:rPr>
        <w:t xml:space="preserve">initially </w:t>
      </w:r>
      <w:r w:rsidR="00CF0E01" w:rsidRPr="00E86995">
        <w:rPr>
          <w:kern w:val="22"/>
          <w:szCs w:val="22"/>
          <w:lang w:eastAsia="en-CA"/>
        </w:rPr>
        <w:t>30</w:t>
      </w:r>
      <w:r w:rsidR="009E6220" w:rsidRPr="00E86995">
        <w:rPr>
          <w:kern w:val="22"/>
          <w:szCs w:val="22"/>
          <w:lang w:eastAsia="en-CA"/>
        </w:rPr>
        <w:t xml:space="preserve"> September 2011</w:t>
      </w:r>
      <w:r w:rsidR="00D659F6" w:rsidRPr="00E86995">
        <w:rPr>
          <w:kern w:val="22"/>
          <w:szCs w:val="22"/>
          <w:lang w:eastAsia="en-CA"/>
        </w:rPr>
        <w:t>. At its eighth meeting</w:t>
      </w:r>
      <w:r w:rsidR="00CC1889" w:rsidRPr="00E86995">
        <w:rPr>
          <w:kern w:val="22"/>
          <w:szCs w:val="22"/>
          <w:lang w:eastAsia="en-CA"/>
        </w:rPr>
        <w:t>, held</w:t>
      </w:r>
      <w:r w:rsidR="00D659F6" w:rsidRPr="00E86995">
        <w:rPr>
          <w:kern w:val="22"/>
          <w:szCs w:val="22"/>
          <w:lang w:eastAsia="en-CA"/>
        </w:rPr>
        <w:t xml:space="preserve"> in October 2011, the Committee</w:t>
      </w:r>
      <w:r w:rsidR="006F2F1F" w:rsidRPr="00E86995">
        <w:rPr>
          <w:kern w:val="22"/>
          <w:szCs w:val="22"/>
          <w:lang w:eastAsia="en-CA"/>
        </w:rPr>
        <w:t xml:space="preserve"> </w:t>
      </w:r>
      <w:r w:rsidR="00F5105B" w:rsidRPr="00E86995">
        <w:rPr>
          <w:kern w:val="22"/>
          <w:szCs w:val="22"/>
          <w:lang w:eastAsia="en-CA"/>
        </w:rPr>
        <w:t>agreed to consider compliance-related information specific to individual Parties as case-studies in developing experience in the app</w:t>
      </w:r>
      <w:r w:rsidR="00E87FF7" w:rsidRPr="00E86995">
        <w:rPr>
          <w:kern w:val="22"/>
          <w:szCs w:val="22"/>
          <w:lang w:eastAsia="en-CA"/>
        </w:rPr>
        <w:t>lication of decision BS</w:t>
      </w:r>
      <w:r w:rsidR="00E87FF7" w:rsidRPr="00E86995">
        <w:rPr>
          <w:kern w:val="22"/>
          <w:szCs w:val="22"/>
          <w:lang w:eastAsia="en-CA"/>
        </w:rPr>
        <w:noBreakHyphen/>
      </w:r>
      <w:r w:rsidR="00593FCB" w:rsidRPr="00E86995">
        <w:rPr>
          <w:kern w:val="22"/>
          <w:szCs w:val="22"/>
          <w:lang w:eastAsia="en-CA"/>
        </w:rPr>
        <w:t>V/1</w:t>
      </w:r>
      <w:r w:rsidR="00CC1889" w:rsidRPr="00E86995">
        <w:rPr>
          <w:kern w:val="22"/>
          <w:szCs w:val="22"/>
          <w:lang w:eastAsia="en-CA"/>
        </w:rPr>
        <w:t>.</w:t>
      </w:r>
      <w:r w:rsidR="00593FCB" w:rsidRPr="00E86995">
        <w:rPr>
          <w:kern w:val="22"/>
          <w:szCs w:val="22"/>
          <w:lang w:eastAsia="en-CA"/>
        </w:rPr>
        <w:t xml:space="preserve"> </w:t>
      </w:r>
      <w:r w:rsidR="00CC1889" w:rsidRPr="00E86995">
        <w:rPr>
          <w:kern w:val="22"/>
          <w:szCs w:val="22"/>
          <w:lang w:eastAsia="en-CA"/>
        </w:rPr>
        <w:t>I</w:t>
      </w:r>
      <w:r w:rsidR="00593FCB" w:rsidRPr="00E86995">
        <w:rPr>
          <w:kern w:val="22"/>
          <w:szCs w:val="22"/>
          <w:lang w:eastAsia="en-CA"/>
        </w:rPr>
        <w:t xml:space="preserve">n </w:t>
      </w:r>
      <w:r w:rsidR="00F5105B" w:rsidRPr="00E86995">
        <w:rPr>
          <w:kern w:val="22"/>
          <w:szCs w:val="22"/>
          <w:lang w:eastAsia="en-CA"/>
        </w:rPr>
        <w:t xml:space="preserve">that regard, </w:t>
      </w:r>
      <w:r w:rsidR="00CC1889" w:rsidRPr="00E86995">
        <w:rPr>
          <w:kern w:val="22"/>
          <w:szCs w:val="22"/>
          <w:lang w:eastAsia="en-CA"/>
        </w:rPr>
        <w:t xml:space="preserve">it </w:t>
      </w:r>
      <w:r w:rsidR="00F5105B" w:rsidRPr="00E86995">
        <w:rPr>
          <w:kern w:val="22"/>
          <w:szCs w:val="22"/>
          <w:lang w:eastAsia="en-CA"/>
        </w:rPr>
        <w:t xml:space="preserve">requested the Secretariat to </w:t>
      </w:r>
      <w:r w:rsidR="001A1599" w:rsidRPr="00E86995">
        <w:rPr>
          <w:kern w:val="22"/>
          <w:szCs w:val="22"/>
          <w:lang w:eastAsia="en-CA"/>
        </w:rPr>
        <w:t>inform the Committee,</w:t>
      </w:r>
      <w:r w:rsidR="00F5105B" w:rsidRPr="00E86995">
        <w:rPr>
          <w:kern w:val="22"/>
          <w:szCs w:val="22"/>
          <w:lang w:eastAsia="en-CA"/>
        </w:rPr>
        <w:t xml:space="preserve"> for consideration at its </w:t>
      </w:r>
      <w:r w:rsidR="00CC1889" w:rsidRPr="00E86995">
        <w:rPr>
          <w:kern w:val="22"/>
          <w:szCs w:val="22"/>
          <w:lang w:eastAsia="en-CA"/>
        </w:rPr>
        <w:t xml:space="preserve">ninth </w:t>
      </w:r>
      <w:r w:rsidR="00F5105B" w:rsidRPr="00E86995">
        <w:rPr>
          <w:kern w:val="22"/>
          <w:szCs w:val="22"/>
          <w:lang w:eastAsia="en-CA"/>
        </w:rPr>
        <w:t>meeting</w:t>
      </w:r>
      <w:r w:rsidR="001A1599" w:rsidRPr="00E86995">
        <w:rPr>
          <w:kern w:val="22"/>
          <w:szCs w:val="22"/>
          <w:lang w:eastAsia="en-CA"/>
        </w:rPr>
        <w:t>,</w:t>
      </w:r>
      <w:r w:rsidR="00F5105B" w:rsidRPr="00E86995">
        <w:rPr>
          <w:kern w:val="22"/>
          <w:szCs w:val="22"/>
          <w:lang w:eastAsia="en-CA"/>
        </w:rPr>
        <w:t xml:space="preserve"> </w:t>
      </w:r>
      <w:r w:rsidR="001A1599" w:rsidRPr="00E86995">
        <w:rPr>
          <w:kern w:val="22"/>
          <w:szCs w:val="22"/>
          <w:lang w:eastAsia="en-CA"/>
        </w:rPr>
        <w:t xml:space="preserve">which </w:t>
      </w:r>
      <w:r w:rsidR="00F5105B" w:rsidRPr="00E86995">
        <w:rPr>
          <w:kern w:val="22"/>
          <w:szCs w:val="22"/>
          <w:lang w:eastAsia="en-CA"/>
        </w:rPr>
        <w:t>Partie</w:t>
      </w:r>
      <w:r w:rsidR="001A1599" w:rsidRPr="00E86995">
        <w:rPr>
          <w:kern w:val="22"/>
          <w:szCs w:val="22"/>
          <w:lang w:eastAsia="en-CA"/>
        </w:rPr>
        <w:t>s</w:t>
      </w:r>
      <w:r w:rsidR="00F5105B" w:rsidRPr="00E86995">
        <w:rPr>
          <w:kern w:val="22"/>
          <w:szCs w:val="22"/>
          <w:lang w:eastAsia="en-CA"/>
        </w:rPr>
        <w:t xml:space="preserve"> had the obligation to submit the interim, first, and second national reports but ha</w:t>
      </w:r>
      <w:r w:rsidR="00C74F10" w:rsidRPr="00E86995">
        <w:rPr>
          <w:kern w:val="22"/>
          <w:szCs w:val="22"/>
          <w:lang w:eastAsia="en-CA"/>
        </w:rPr>
        <w:t>d</w:t>
      </w:r>
      <w:r w:rsidR="00F5105B" w:rsidRPr="00E86995">
        <w:rPr>
          <w:kern w:val="22"/>
          <w:szCs w:val="22"/>
          <w:lang w:eastAsia="en-CA"/>
        </w:rPr>
        <w:t xml:space="preserve"> not done so.</w:t>
      </w:r>
      <w:r w:rsidR="00F5105B" w:rsidRPr="00E86995">
        <w:rPr>
          <w:rStyle w:val="FootnoteReference"/>
          <w:kern w:val="22"/>
          <w:sz w:val="22"/>
          <w:szCs w:val="22"/>
          <w:u w:val="none"/>
          <w:vertAlign w:val="superscript"/>
          <w:lang w:eastAsia="en-CA"/>
        </w:rPr>
        <w:footnoteReference w:id="3"/>
      </w:r>
    </w:p>
    <w:p w14:paraId="33DCDBEA" w14:textId="50E6EE4C" w:rsidR="009E6220" w:rsidRPr="00E86995" w:rsidRDefault="00593FCB"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lang w:eastAsia="en-CA"/>
        </w:rPr>
        <w:t xml:space="preserve">By the extended deadline </w:t>
      </w:r>
      <w:r w:rsidR="009E6220" w:rsidRPr="00E86995">
        <w:rPr>
          <w:kern w:val="22"/>
          <w:szCs w:val="22"/>
          <w:lang w:eastAsia="en-CA"/>
        </w:rPr>
        <w:t>for submission of second national reports</w:t>
      </w:r>
      <w:r w:rsidRPr="00E86995">
        <w:rPr>
          <w:kern w:val="22"/>
          <w:szCs w:val="22"/>
          <w:lang w:eastAsia="en-CA"/>
        </w:rPr>
        <w:t xml:space="preserve"> on 30 December 2011, </w:t>
      </w:r>
      <w:r w:rsidR="009E6220" w:rsidRPr="00E86995">
        <w:rPr>
          <w:kern w:val="22"/>
          <w:szCs w:val="22"/>
        </w:rPr>
        <w:t>reports were still due from 17 Parties, namely, the Bahamas, Barbados, Belize, Georgia, Greece, Luxembourg, the Marshall Islands, Montenegro, Nauru, Nicaragua, Oman, Pakistan, Palau, Paraguay, Suriname, Trinidad and Tobago and Turkmenistan. The Executive Secretary sent individual reminders to these Parties in March 2012.</w:t>
      </w:r>
    </w:p>
    <w:p w14:paraId="3AED6850" w14:textId="1FD621E7" w:rsidR="009E6220" w:rsidRPr="00E86995" w:rsidRDefault="003245C2"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At its ninth meeting</w:t>
      </w:r>
      <w:r w:rsidR="00C74136" w:rsidRPr="00E86995">
        <w:rPr>
          <w:kern w:val="22"/>
          <w:szCs w:val="22"/>
        </w:rPr>
        <w:t>, held</w:t>
      </w:r>
      <w:r w:rsidR="00AD4C1E" w:rsidRPr="00E86995">
        <w:rPr>
          <w:kern w:val="22"/>
          <w:szCs w:val="22"/>
        </w:rPr>
        <w:t xml:space="preserve"> in May-June 2012</w:t>
      </w:r>
      <w:r w:rsidRPr="00E86995">
        <w:rPr>
          <w:kern w:val="22"/>
          <w:szCs w:val="22"/>
        </w:rPr>
        <w:t xml:space="preserve">, the Committee considered the rate of submission of second national reports. It welcomed the high rate of reporting and noted the contribution of the financial resources made available by the </w:t>
      </w:r>
      <w:r w:rsidR="00C74136" w:rsidRPr="00E86995">
        <w:rPr>
          <w:kern w:val="22"/>
          <w:szCs w:val="22"/>
        </w:rPr>
        <w:t>Global Environment Facility (</w:t>
      </w:r>
      <w:r w:rsidRPr="00E86995">
        <w:rPr>
          <w:kern w:val="22"/>
          <w:szCs w:val="22"/>
        </w:rPr>
        <w:t>GEF</w:t>
      </w:r>
      <w:r w:rsidR="00C74136" w:rsidRPr="00E86995">
        <w:rPr>
          <w:kern w:val="22"/>
          <w:szCs w:val="22"/>
        </w:rPr>
        <w:t>)</w:t>
      </w:r>
      <w:r w:rsidRPr="00E86995">
        <w:rPr>
          <w:kern w:val="22"/>
          <w:szCs w:val="22"/>
        </w:rPr>
        <w:t xml:space="preserve"> in achieving the high rate of reporting and the importance of maintaining such support in the future.</w:t>
      </w:r>
    </w:p>
    <w:p w14:paraId="40C7A9C4" w14:textId="2C1122EA" w:rsidR="00D7128C" w:rsidRPr="00E86995" w:rsidRDefault="003245C2"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In considering the number of reports received, the Committee noted that</w:t>
      </w:r>
      <w:r w:rsidR="00E71A5F" w:rsidRPr="00E27994">
        <w:rPr>
          <w:kern w:val="22"/>
          <w:szCs w:val="22"/>
        </w:rPr>
        <w:t>,</w:t>
      </w:r>
      <w:r w:rsidRPr="00E86995">
        <w:rPr>
          <w:kern w:val="22"/>
          <w:szCs w:val="22"/>
        </w:rPr>
        <w:t xml:space="preserve"> </w:t>
      </w:r>
      <w:r w:rsidR="006F2F1F" w:rsidRPr="00E86995">
        <w:rPr>
          <w:kern w:val="22"/>
          <w:szCs w:val="22"/>
        </w:rPr>
        <w:t xml:space="preserve">among the </w:t>
      </w:r>
      <w:r w:rsidRPr="00E86995">
        <w:rPr>
          <w:kern w:val="22"/>
          <w:szCs w:val="22"/>
        </w:rPr>
        <w:t>17 Parties</w:t>
      </w:r>
      <w:r w:rsidR="00001E3B" w:rsidRPr="00E86995">
        <w:rPr>
          <w:kern w:val="22"/>
          <w:szCs w:val="22"/>
        </w:rPr>
        <w:t xml:space="preserve"> that had not yet submitted their second national report</w:t>
      </w:r>
      <w:r w:rsidR="006F2F1F" w:rsidRPr="00E86995">
        <w:rPr>
          <w:kern w:val="22"/>
          <w:szCs w:val="22"/>
        </w:rPr>
        <w:t xml:space="preserve">, </w:t>
      </w:r>
      <w:r w:rsidR="006F2F1F" w:rsidRPr="00E86995">
        <w:rPr>
          <w:kern w:val="22"/>
          <w:szCs w:val="22"/>
          <w:lang w:eastAsia="en-CA"/>
        </w:rPr>
        <w:t>7 Parties</w:t>
      </w:r>
      <w:r w:rsidR="00E71A5F" w:rsidRPr="00E27994">
        <w:rPr>
          <w:kern w:val="22"/>
          <w:szCs w:val="22"/>
          <w:lang w:eastAsia="en-CA"/>
        </w:rPr>
        <w:t xml:space="preserve"> —</w:t>
      </w:r>
      <w:r w:rsidR="006F2F1F" w:rsidRPr="00E86995">
        <w:rPr>
          <w:kern w:val="22"/>
          <w:szCs w:val="22"/>
          <w:lang w:eastAsia="en-CA"/>
        </w:rPr>
        <w:t xml:space="preserve"> namely </w:t>
      </w:r>
      <w:r w:rsidR="006F2F1F" w:rsidRPr="00E86995">
        <w:rPr>
          <w:kern w:val="22"/>
          <w:szCs w:val="22"/>
        </w:rPr>
        <w:t>Bahamas, Luxembourg, Marshall Islands, Nicaragua, Nauru, Oman and Paraguay</w:t>
      </w:r>
      <w:r w:rsidR="00E71A5F" w:rsidRPr="00E27994">
        <w:rPr>
          <w:kern w:val="22"/>
          <w:szCs w:val="22"/>
        </w:rPr>
        <w:t xml:space="preserve"> —</w:t>
      </w:r>
      <w:r w:rsidR="006F2F1F" w:rsidRPr="00E86995">
        <w:rPr>
          <w:kern w:val="22"/>
          <w:szCs w:val="22"/>
          <w:lang w:eastAsia="en-CA"/>
        </w:rPr>
        <w:t xml:space="preserve"> had never submitted an interim,</w:t>
      </w:r>
      <w:r w:rsidR="009E2C72" w:rsidRPr="00E86995">
        <w:rPr>
          <w:kern w:val="22"/>
          <w:szCs w:val="22"/>
          <w:lang w:eastAsia="en-CA"/>
        </w:rPr>
        <w:t xml:space="preserve"> first or second report</w:t>
      </w:r>
      <w:r w:rsidR="006F2F1F" w:rsidRPr="00E86995">
        <w:rPr>
          <w:kern w:val="22"/>
          <w:szCs w:val="22"/>
          <w:lang w:eastAsia="en-CA"/>
        </w:rPr>
        <w:t xml:space="preserve"> despite having had an obligation to do so. </w:t>
      </w:r>
      <w:r w:rsidRPr="00E86995">
        <w:rPr>
          <w:kern w:val="22"/>
          <w:szCs w:val="22"/>
        </w:rPr>
        <w:t xml:space="preserve">The Committee requested </w:t>
      </w:r>
      <w:r w:rsidR="009E2C72" w:rsidRPr="00E86995">
        <w:rPr>
          <w:kern w:val="22"/>
          <w:szCs w:val="22"/>
        </w:rPr>
        <w:t xml:space="preserve">that </w:t>
      </w:r>
      <w:r w:rsidRPr="00E86995">
        <w:rPr>
          <w:kern w:val="22"/>
          <w:szCs w:val="22"/>
        </w:rPr>
        <w:t xml:space="preserve">the </w:t>
      </w:r>
      <w:r w:rsidR="00D7128C" w:rsidRPr="00E86995">
        <w:rPr>
          <w:kern w:val="22"/>
          <w:szCs w:val="22"/>
        </w:rPr>
        <w:t>Chair of the Committee send letters to the</w:t>
      </w:r>
      <w:r w:rsidR="005F71C1" w:rsidRPr="00E86995">
        <w:rPr>
          <w:kern w:val="22"/>
          <w:szCs w:val="22"/>
        </w:rPr>
        <w:t>se</w:t>
      </w:r>
      <w:r w:rsidR="00D7128C" w:rsidRPr="00E86995">
        <w:rPr>
          <w:kern w:val="22"/>
          <w:szCs w:val="22"/>
        </w:rPr>
        <w:t xml:space="preserve"> </w:t>
      </w:r>
      <w:r w:rsidR="00496785" w:rsidRPr="00E27994">
        <w:rPr>
          <w:kern w:val="22"/>
          <w:szCs w:val="22"/>
        </w:rPr>
        <w:t>seven</w:t>
      </w:r>
      <w:r w:rsidR="00496785" w:rsidRPr="00E86995">
        <w:rPr>
          <w:kern w:val="22"/>
          <w:szCs w:val="22"/>
        </w:rPr>
        <w:t xml:space="preserve"> </w:t>
      </w:r>
      <w:r w:rsidR="00D7128C" w:rsidRPr="00E86995">
        <w:rPr>
          <w:kern w:val="22"/>
          <w:szCs w:val="22"/>
        </w:rPr>
        <w:t>Parties with a view to</w:t>
      </w:r>
      <w:r w:rsidR="009A727F" w:rsidRPr="00E27994">
        <w:rPr>
          <w:kern w:val="22"/>
          <w:szCs w:val="22"/>
        </w:rPr>
        <w:t>:</w:t>
      </w:r>
      <w:r w:rsidR="00D7128C" w:rsidRPr="00E86995">
        <w:rPr>
          <w:kern w:val="22"/>
          <w:szCs w:val="22"/>
        </w:rPr>
        <w:t xml:space="preserve"> (a) urging them to complete the format for the second national report</w:t>
      </w:r>
      <w:r w:rsidR="00C74F10" w:rsidRPr="00E86995">
        <w:rPr>
          <w:kern w:val="22"/>
          <w:szCs w:val="22"/>
        </w:rPr>
        <w:t>;</w:t>
      </w:r>
      <w:r w:rsidR="00D7128C" w:rsidRPr="00E86995">
        <w:rPr>
          <w:kern w:val="22"/>
          <w:szCs w:val="22"/>
        </w:rPr>
        <w:t xml:space="preserve"> (b) seeking an explanation of the situation that may have prevented them from </w:t>
      </w:r>
      <w:r w:rsidR="00D7128C" w:rsidRPr="00E86995">
        <w:rPr>
          <w:kern w:val="22"/>
          <w:szCs w:val="22"/>
        </w:rPr>
        <w:lastRenderedPageBreak/>
        <w:t>submitting national reports</w:t>
      </w:r>
      <w:r w:rsidR="00C74F10" w:rsidRPr="00E86995">
        <w:rPr>
          <w:kern w:val="22"/>
          <w:szCs w:val="22"/>
        </w:rPr>
        <w:t>;</w:t>
      </w:r>
      <w:r w:rsidR="00D7128C" w:rsidRPr="00E86995">
        <w:rPr>
          <w:kern w:val="22"/>
          <w:szCs w:val="22"/>
        </w:rPr>
        <w:t xml:space="preserve"> and (c) offering them any advice or assistance, as appropriate, that they might wish to receive from the Committee. The letters were sent in June </w:t>
      </w:r>
      <w:r w:rsidR="00846BAC" w:rsidRPr="00E86995">
        <w:rPr>
          <w:kern w:val="22"/>
          <w:szCs w:val="22"/>
        </w:rPr>
        <w:t xml:space="preserve">and </w:t>
      </w:r>
      <w:r w:rsidR="00D7128C" w:rsidRPr="00E86995">
        <w:rPr>
          <w:kern w:val="22"/>
          <w:szCs w:val="22"/>
        </w:rPr>
        <w:t>July 2012</w:t>
      </w:r>
      <w:r w:rsidR="00593FCB" w:rsidRPr="00E86995">
        <w:rPr>
          <w:kern w:val="22"/>
          <w:szCs w:val="22"/>
        </w:rPr>
        <w:t>.</w:t>
      </w:r>
      <w:r w:rsidR="009E2C72" w:rsidRPr="00E86995">
        <w:rPr>
          <w:rStyle w:val="FootnoteReference"/>
          <w:kern w:val="22"/>
          <w:sz w:val="22"/>
          <w:szCs w:val="22"/>
          <w:u w:val="none"/>
          <w:vertAlign w:val="superscript"/>
        </w:rPr>
        <w:footnoteReference w:id="4"/>
      </w:r>
      <w:r w:rsidR="00D7128C" w:rsidRPr="00E86995">
        <w:rPr>
          <w:kern w:val="22"/>
          <w:szCs w:val="22"/>
        </w:rPr>
        <w:t xml:space="preserve"> The Committee also requested the </w:t>
      </w:r>
      <w:r w:rsidRPr="00E86995">
        <w:rPr>
          <w:kern w:val="22"/>
          <w:szCs w:val="22"/>
        </w:rPr>
        <w:t xml:space="preserve">Secretariat to </w:t>
      </w:r>
      <w:r w:rsidR="006F2F1F" w:rsidRPr="00E86995">
        <w:rPr>
          <w:kern w:val="22"/>
          <w:szCs w:val="22"/>
        </w:rPr>
        <w:t>follow up with</w:t>
      </w:r>
      <w:r w:rsidR="00D7128C" w:rsidRPr="00E86995">
        <w:rPr>
          <w:kern w:val="22"/>
          <w:szCs w:val="22"/>
        </w:rPr>
        <w:t xml:space="preserve"> the remaining 10</w:t>
      </w:r>
      <w:r w:rsidRPr="00E86995">
        <w:rPr>
          <w:kern w:val="22"/>
          <w:szCs w:val="22"/>
        </w:rPr>
        <w:t xml:space="preserve"> Parties with a view to seeking information on the difficulties that may have prevented them from submitting a report and offering assistance, as appropriate, and to remind them of the need to submit their report without further delay.</w:t>
      </w:r>
    </w:p>
    <w:p w14:paraId="46C8A2D6" w14:textId="77777777" w:rsidR="00D7128C" w:rsidRPr="00E86995" w:rsidRDefault="00D7128C" w:rsidP="00E86995">
      <w:pPr>
        <w:pStyle w:val="Para1"/>
        <w:numPr>
          <w:ilvl w:val="0"/>
          <w:numId w:val="31"/>
        </w:numPr>
        <w:suppressLineNumbers/>
        <w:tabs>
          <w:tab w:val="clear" w:pos="720"/>
          <w:tab w:val="num" w:pos="709"/>
        </w:tabs>
        <w:suppressAutoHyphens/>
        <w:kinsoku w:val="0"/>
        <w:overflowPunct w:val="0"/>
        <w:autoSpaceDE w:val="0"/>
        <w:autoSpaceDN w:val="0"/>
        <w:ind w:left="709" w:hanging="709"/>
        <w:rPr>
          <w:kern w:val="22"/>
          <w:szCs w:val="22"/>
        </w:rPr>
      </w:pPr>
      <w:r w:rsidRPr="00E86995">
        <w:rPr>
          <w:kern w:val="22"/>
          <w:szCs w:val="22"/>
        </w:rPr>
        <w:t>Nauru, Paraguay and Suriname submitted reports in the latter half of 2012.</w:t>
      </w:r>
    </w:p>
    <w:p w14:paraId="1A1BD565" w14:textId="77777777" w:rsidR="009E6220" w:rsidRPr="00E86995" w:rsidRDefault="003245C2"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 xml:space="preserve">By </w:t>
      </w:r>
      <w:r w:rsidR="00E87FF7" w:rsidRPr="00E86995">
        <w:rPr>
          <w:kern w:val="22"/>
          <w:szCs w:val="22"/>
        </w:rPr>
        <w:t>the sixth meeting of the Conference of the Parties serving as the meeting of the Parties to the Cartagena Protocol on Biosafety</w:t>
      </w:r>
      <w:r w:rsidR="00C74F10" w:rsidRPr="00E86995">
        <w:rPr>
          <w:kern w:val="22"/>
          <w:szCs w:val="22"/>
        </w:rPr>
        <w:t xml:space="preserve"> </w:t>
      </w:r>
      <w:r w:rsidR="00F60E81" w:rsidRPr="00E86995">
        <w:rPr>
          <w:kern w:val="22"/>
          <w:szCs w:val="22"/>
        </w:rPr>
        <w:t xml:space="preserve">held </w:t>
      </w:r>
      <w:r w:rsidR="00C74F10" w:rsidRPr="00E86995">
        <w:rPr>
          <w:kern w:val="22"/>
          <w:szCs w:val="22"/>
        </w:rPr>
        <w:t>in September-October 2012</w:t>
      </w:r>
      <w:r w:rsidRPr="00E86995">
        <w:rPr>
          <w:kern w:val="22"/>
          <w:szCs w:val="22"/>
        </w:rPr>
        <w:t xml:space="preserve">, </w:t>
      </w:r>
      <w:r w:rsidR="00D7128C" w:rsidRPr="00E86995">
        <w:rPr>
          <w:kern w:val="22"/>
          <w:szCs w:val="22"/>
        </w:rPr>
        <w:t xml:space="preserve">therefore, </w:t>
      </w:r>
      <w:r w:rsidRPr="00E86995">
        <w:rPr>
          <w:kern w:val="22"/>
          <w:szCs w:val="22"/>
        </w:rPr>
        <w:t>14 Parties had not submitted their second national reports, including 5 Parties that had never fulfilled their rep</w:t>
      </w:r>
      <w:r w:rsidR="00453F35" w:rsidRPr="00E86995">
        <w:rPr>
          <w:kern w:val="22"/>
          <w:szCs w:val="22"/>
        </w:rPr>
        <w:t>orting obligation under Article </w:t>
      </w:r>
      <w:r w:rsidRPr="00E86995">
        <w:rPr>
          <w:kern w:val="22"/>
          <w:szCs w:val="22"/>
        </w:rPr>
        <w:t>33 of the Protocol</w:t>
      </w:r>
      <w:r w:rsidR="00D7128C" w:rsidRPr="00E86995">
        <w:rPr>
          <w:kern w:val="22"/>
          <w:szCs w:val="22"/>
        </w:rPr>
        <w:t>.</w:t>
      </w:r>
      <w:r w:rsidR="001D0E98" w:rsidRPr="00E86995">
        <w:rPr>
          <w:rStyle w:val="FootnoteReference"/>
          <w:kern w:val="22"/>
          <w:sz w:val="22"/>
          <w:szCs w:val="22"/>
          <w:u w:val="none"/>
          <w:vertAlign w:val="superscript"/>
        </w:rPr>
        <w:footnoteReference w:id="5"/>
      </w:r>
      <w:r w:rsidR="00D7128C" w:rsidRPr="00E86995">
        <w:rPr>
          <w:kern w:val="22"/>
          <w:szCs w:val="22"/>
        </w:rPr>
        <w:t xml:space="preserve"> </w:t>
      </w:r>
      <w:r w:rsidR="006224A5" w:rsidRPr="00E86995">
        <w:rPr>
          <w:kern w:val="22"/>
          <w:szCs w:val="22"/>
        </w:rPr>
        <w:t xml:space="preserve">In its decision BS-VI/14, </w:t>
      </w:r>
      <w:r w:rsidR="00E87FF7" w:rsidRPr="00E86995">
        <w:rPr>
          <w:kern w:val="22"/>
          <w:szCs w:val="22"/>
        </w:rPr>
        <w:t xml:space="preserve">the Conference of the Parties serving as the meeting of the Parties to the Cartagena Protocol on Biosafety </w:t>
      </w:r>
      <w:r w:rsidR="006224A5" w:rsidRPr="00E86995">
        <w:rPr>
          <w:kern w:val="22"/>
          <w:szCs w:val="22"/>
        </w:rPr>
        <w:t>urged these</w:t>
      </w:r>
      <w:r w:rsidR="00D7128C" w:rsidRPr="00E86995">
        <w:rPr>
          <w:kern w:val="22"/>
          <w:szCs w:val="22"/>
        </w:rPr>
        <w:t xml:space="preserve"> Parties </w:t>
      </w:r>
      <w:r w:rsidR="00BC3DD3" w:rsidRPr="00E86995">
        <w:rPr>
          <w:kern w:val="22"/>
          <w:szCs w:val="22"/>
        </w:rPr>
        <w:t xml:space="preserve">to </w:t>
      </w:r>
      <w:r w:rsidRPr="00E86995">
        <w:rPr>
          <w:kern w:val="22"/>
          <w:szCs w:val="22"/>
        </w:rPr>
        <w:t>submit their national reports</w:t>
      </w:r>
      <w:r w:rsidR="009E6220" w:rsidRPr="00E86995">
        <w:rPr>
          <w:kern w:val="22"/>
          <w:szCs w:val="22"/>
        </w:rPr>
        <w:t xml:space="preserve"> at the earliest opportunity.</w:t>
      </w:r>
      <w:r w:rsidR="009E2C72" w:rsidRPr="00E86995">
        <w:rPr>
          <w:rStyle w:val="FootnoteReference"/>
          <w:kern w:val="22"/>
          <w:sz w:val="22"/>
          <w:szCs w:val="22"/>
          <w:u w:val="none"/>
          <w:vertAlign w:val="superscript"/>
        </w:rPr>
        <w:footnoteReference w:id="6"/>
      </w:r>
    </w:p>
    <w:p w14:paraId="38D63B84" w14:textId="77777777" w:rsidR="00D918DA" w:rsidRPr="00E86995" w:rsidRDefault="003245C2"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In respo</w:t>
      </w:r>
      <w:r w:rsidR="009E6220" w:rsidRPr="00E86995">
        <w:rPr>
          <w:kern w:val="22"/>
          <w:szCs w:val="22"/>
        </w:rPr>
        <w:t xml:space="preserve">nse to the Committee’s request </w:t>
      </w:r>
      <w:r w:rsidRPr="00E86995">
        <w:rPr>
          <w:kern w:val="22"/>
          <w:szCs w:val="22"/>
        </w:rPr>
        <w:t>and in keeping with d</w:t>
      </w:r>
      <w:r w:rsidR="009E6220" w:rsidRPr="00E86995">
        <w:rPr>
          <w:kern w:val="22"/>
          <w:szCs w:val="22"/>
        </w:rPr>
        <w:t>ecision BS-VI/14, the Executive</w:t>
      </w:r>
      <w:r w:rsidR="00BC3DD3" w:rsidRPr="00E86995">
        <w:rPr>
          <w:kern w:val="22"/>
          <w:szCs w:val="22"/>
        </w:rPr>
        <w:t xml:space="preserve"> </w:t>
      </w:r>
      <w:r w:rsidRPr="00E86995">
        <w:rPr>
          <w:kern w:val="22"/>
          <w:szCs w:val="22"/>
        </w:rPr>
        <w:t xml:space="preserve">Secretary sent a </w:t>
      </w:r>
      <w:r w:rsidR="00BC3DD3" w:rsidRPr="00E86995">
        <w:rPr>
          <w:kern w:val="22"/>
          <w:szCs w:val="22"/>
        </w:rPr>
        <w:t xml:space="preserve">follow-up </w:t>
      </w:r>
      <w:r w:rsidRPr="00E86995">
        <w:rPr>
          <w:kern w:val="22"/>
          <w:szCs w:val="22"/>
        </w:rPr>
        <w:t xml:space="preserve">letter </w:t>
      </w:r>
      <w:r w:rsidR="00BC3DD3" w:rsidRPr="00E86995">
        <w:rPr>
          <w:kern w:val="22"/>
          <w:szCs w:val="22"/>
        </w:rPr>
        <w:t xml:space="preserve">in December 2012 </w:t>
      </w:r>
      <w:r w:rsidRPr="00E86995">
        <w:rPr>
          <w:kern w:val="22"/>
          <w:szCs w:val="22"/>
        </w:rPr>
        <w:t xml:space="preserve">to the national focal points of the Parties that </w:t>
      </w:r>
      <w:r w:rsidR="00D81842" w:rsidRPr="00E86995">
        <w:rPr>
          <w:kern w:val="22"/>
          <w:szCs w:val="22"/>
        </w:rPr>
        <w:t>had not yet</w:t>
      </w:r>
      <w:r w:rsidRPr="00E86995">
        <w:rPr>
          <w:kern w:val="22"/>
          <w:szCs w:val="22"/>
        </w:rPr>
        <w:t xml:space="preserve"> submit</w:t>
      </w:r>
      <w:r w:rsidR="00D81842" w:rsidRPr="00E86995">
        <w:rPr>
          <w:kern w:val="22"/>
          <w:szCs w:val="22"/>
        </w:rPr>
        <w:t>ted</w:t>
      </w:r>
      <w:r w:rsidRPr="00E86995">
        <w:rPr>
          <w:kern w:val="22"/>
          <w:szCs w:val="22"/>
        </w:rPr>
        <w:t xml:space="preserve"> a second national report and had not responded to previous communications from the Secretariat. The Executive Secretary sought information from the Parties on the difficulties that may have prevented them from submitting a report, reminded them of the need for the submission of their report without further delay, and offered assistance.</w:t>
      </w:r>
      <w:r w:rsidR="00AF1851" w:rsidRPr="00E86995">
        <w:rPr>
          <w:rStyle w:val="FootnoteReference"/>
          <w:kern w:val="22"/>
          <w:sz w:val="22"/>
          <w:szCs w:val="22"/>
          <w:u w:val="none"/>
          <w:vertAlign w:val="superscript"/>
        </w:rPr>
        <w:footnoteReference w:id="7"/>
      </w:r>
    </w:p>
    <w:p w14:paraId="0DB5F6CC" w14:textId="14119F76" w:rsidR="00714334" w:rsidRPr="00E86995" w:rsidRDefault="003245C2"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At the tenth meeting of the Committee, the Secretariat inform</w:t>
      </w:r>
      <w:r w:rsidR="00AA5310" w:rsidRPr="00E86995">
        <w:rPr>
          <w:kern w:val="22"/>
          <w:szCs w:val="22"/>
        </w:rPr>
        <w:t>ed</w:t>
      </w:r>
      <w:r w:rsidRPr="00E86995">
        <w:rPr>
          <w:kern w:val="22"/>
          <w:szCs w:val="22"/>
        </w:rPr>
        <w:t xml:space="preserve"> members that an additional report had been </w:t>
      </w:r>
      <w:r w:rsidR="00AA5310" w:rsidRPr="00E86995">
        <w:rPr>
          <w:kern w:val="22"/>
          <w:szCs w:val="22"/>
        </w:rPr>
        <w:t>submitted</w:t>
      </w:r>
      <w:r w:rsidR="00BC3DD3" w:rsidRPr="00E86995">
        <w:rPr>
          <w:rStyle w:val="FootnoteReference"/>
          <w:kern w:val="22"/>
          <w:sz w:val="22"/>
          <w:szCs w:val="22"/>
          <w:u w:val="none"/>
          <w:vertAlign w:val="superscript"/>
        </w:rPr>
        <w:footnoteReference w:id="8"/>
      </w:r>
      <w:r w:rsidRPr="00E86995">
        <w:rPr>
          <w:kern w:val="22"/>
          <w:szCs w:val="22"/>
        </w:rPr>
        <w:t xml:space="preserve"> and therefore, reports were now due from 13 Parties. The Committee decided that the Chair of the</w:t>
      </w:r>
      <w:r w:rsidR="001743D5" w:rsidRPr="00E86995">
        <w:rPr>
          <w:kern w:val="22"/>
          <w:szCs w:val="22"/>
        </w:rPr>
        <w:t xml:space="preserve"> Committee should send a letter to the Parties</w:t>
      </w:r>
      <w:r w:rsidR="00CB1704" w:rsidRPr="00CB1704">
        <w:rPr>
          <w:kern w:val="22"/>
          <w:szCs w:val="22"/>
        </w:rPr>
        <w:t xml:space="preserve"> </w:t>
      </w:r>
      <w:r w:rsidR="00CB1704" w:rsidRPr="00E215AC">
        <w:rPr>
          <w:kern w:val="22"/>
          <w:szCs w:val="22"/>
        </w:rPr>
        <w:t>concerned</w:t>
      </w:r>
      <w:r w:rsidR="001743D5" w:rsidRPr="00E86995">
        <w:rPr>
          <w:kern w:val="22"/>
          <w:szCs w:val="22"/>
        </w:rPr>
        <w:t>.</w:t>
      </w:r>
    </w:p>
    <w:p w14:paraId="18C99A4C" w14:textId="031F3A8D" w:rsidR="00640724" w:rsidRPr="00E86995" w:rsidRDefault="00640724"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 xml:space="preserve">Accordingly, </w:t>
      </w:r>
      <w:r w:rsidR="008D5ACC" w:rsidRPr="00E86995">
        <w:rPr>
          <w:kern w:val="22"/>
          <w:szCs w:val="22"/>
        </w:rPr>
        <w:t>a letter signe</w:t>
      </w:r>
      <w:r w:rsidR="00F60E81" w:rsidRPr="00E86995">
        <w:rPr>
          <w:kern w:val="22"/>
          <w:szCs w:val="22"/>
        </w:rPr>
        <w:t>d by the Chair of the Committee</w:t>
      </w:r>
      <w:r w:rsidR="008D5ACC" w:rsidRPr="00E86995">
        <w:rPr>
          <w:kern w:val="22"/>
          <w:szCs w:val="22"/>
        </w:rPr>
        <w:t xml:space="preserve"> was sent </w:t>
      </w:r>
      <w:r w:rsidRPr="00E86995">
        <w:rPr>
          <w:kern w:val="22"/>
          <w:szCs w:val="22"/>
        </w:rPr>
        <w:t xml:space="preserve">in September 2013 </w:t>
      </w:r>
      <w:r w:rsidR="008D5ACC" w:rsidRPr="00E86995">
        <w:rPr>
          <w:kern w:val="22"/>
          <w:szCs w:val="22"/>
        </w:rPr>
        <w:t>to 12 Parties that had not submitted their second national report.</w:t>
      </w:r>
      <w:r w:rsidR="008D5ACC" w:rsidRPr="00E86995">
        <w:rPr>
          <w:rStyle w:val="FootnoteReference"/>
          <w:kern w:val="22"/>
          <w:sz w:val="22"/>
          <w:szCs w:val="22"/>
          <w:u w:val="none"/>
          <w:vertAlign w:val="superscript"/>
        </w:rPr>
        <w:footnoteReference w:id="9"/>
      </w:r>
      <w:r w:rsidR="008D5ACC" w:rsidRPr="00E86995">
        <w:rPr>
          <w:kern w:val="22"/>
          <w:szCs w:val="22"/>
        </w:rPr>
        <w:t xml:space="preserve"> Consequently, second national reports were received from Trinidad and Tobago and Georgia in September and November of 2013, respectively.</w:t>
      </w:r>
    </w:p>
    <w:p w14:paraId="09311334" w14:textId="4459E607" w:rsidR="007A144B" w:rsidRPr="00E86995" w:rsidRDefault="008D5ACC"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86995">
        <w:rPr>
          <w:kern w:val="22"/>
          <w:szCs w:val="22"/>
        </w:rPr>
        <w:t xml:space="preserve">The Committee was informed at its eleventh meeting, that </w:t>
      </w:r>
      <w:r w:rsidR="00EA2A4C">
        <w:rPr>
          <w:kern w:val="22"/>
          <w:szCs w:val="22"/>
        </w:rPr>
        <w:t>the</w:t>
      </w:r>
      <w:r w:rsidRPr="00E86995">
        <w:rPr>
          <w:kern w:val="22"/>
          <w:szCs w:val="22"/>
        </w:rPr>
        <w:t xml:space="preserve"> second national report was </w:t>
      </w:r>
      <w:r w:rsidR="00640724" w:rsidRPr="00E86995">
        <w:rPr>
          <w:kern w:val="22"/>
          <w:szCs w:val="22"/>
        </w:rPr>
        <w:t xml:space="preserve">still </w:t>
      </w:r>
      <w:r w:rsidRPr="00E86995">
        <w:rPr>
          <w:kern w:val="22"/>
          <w:szCs w:val="22"/>
        </w:rPr>
        <w:t>due from 10 Parties. The Commit</w:t>
      </w:r>
      <w:r w:rsidR="00714334" w:rsidRPr="00E86995">
        <w:rPr>
          <w:kern w:val="22"/>
          <w:szCs w:val="22"/>
        </w:rPr>
        <w:t>tee agreed to recommend that</w:t>
      </w:r>
      <w:r w:rsidRPr="00E86995">
        <w:rPr>
          <w:kern w:val="22"/>
          <w:szCs w:val="22"/>
        </w:rPr>
        <w:t xml:space="preserve"> </w:t>
      </w:r>
      <w:r w:rsidR="00714334" w:rsidRPr="00E86995">
        <w:rPr>
          <w:kern w:val="22"/>
          <w:szCs w:val="22"/>
        </w:rPr>
        <w:t xml:space="preserve">at </w:t>
      </w:r>
      <w:r w:rsidR="00E87FF7" w:rsidRPr="00E86995">
        <w:rPr>
          <w:kern w:val="22"/>
          <w:szCs w:val="22"/>
        </w:rPr>
        <w:t>the seventh meeting of the Conference of the Parties serving as the meeting of the Parties to the Cartagena Protocol on Biosafety</w:t>
      </w:r>
      <w:r w:rsidRPr="00E86995">
        <w:rPr>
          <w:kern w:val="22"/>
          <w:szCs w:val="22"/>
        </w:rPr>
        <w:t>, Part</w:t>
      </w:r>
      <w:r w:rsidR="00714334" w:rsidRPr="00E86995">
        <w:rPr>
          <w:kern w:val="22"/>
          <w:szCs w:val="22"/>
        </w:rPr>
        <w:t xml:space="preserve">ies request </w:t>
      </w:r>
      <w:r w:rsidRPr="00E86995">
        <w:rPr>
          <w:kern w:val="22"/>
          <w:szCs w:val="22"/>
        </w:rPr>
        <w:t xml:space="preserve">the Bureau to follow </w:t>
      </w:r>
      <w:r w:rsidR="00714334" w:rsidRPr="00E86995">
        <w:rPr>
          <w:kern w:val="22"/>
          <w:szCs w:val="22"/>
        </w:rPr>
        <w:t xml:space="preserve">up with the </w:t>
      </w:r>
      <w:r w:rsidR="009135C8">
        <w:rPr>
          <w:kern w:val="22"/>
          <w:szCs w:val="22"/>
        </w:rPr>
        <w:t>10</w:t>
      </w:r>
      <w:r w:rsidR="009135C8" w:rsidRPr="00E86995">
        <w:rPr>
          <w:kern w:val="22"/>
          <w:szCs w:val="22"/>
        </w:rPr>
        <w:t xml:space="preserve"> </w:t>
      </w:r>
      <w:r w:rsidR="00714334" w:rsidRPr="00E86995">
        <w:rPr>
          <w:kern w:val="22"/>
          <w:szCs w:val="22"/>
        </w:rPr>
        <w:t>Parties that st</w:t>
      </w:r>
      <w:r w:rsidRPr="00E86995">
        <w:rPr>
          <w:kern w:val="22"/>
          <w:szCs w:val="22"/>
        </w:rPr>
        <w:t>ill need</w:t>
      </w:r>
      <w:r w:rsidR="00640724" w:rsidRPr="00E86995">
        <w:rPr>
          <w:kern w:val="22"/>
          <w:szCs w:val="22"/>
        </w:rPr>
        <w:t>ed</w:t>
      </w:r>
      <w:r w:rsidRPr="00E86995">
        <w:rPr>
          <w:kern w:val="22"/>
          <w:szCs w:val="22"/>
        </w:rPr>
        <w:t xml:space="preserve"> to submit their second</w:t>
      </w:r>
      <w:r w:rsidR="00714334" w:rsidRPr="00E86995">
        <w:rPr>
          <w:kern w:val="22"/>
          <w:szCs w:val="22"/>
        </w:rPr>
        <w:t xml:space="preserve"> nat</w:t>
      </w:r>
      <w:r w:rsidRPr="00E86995">
        <w:rPr>
          <w:kern w:val="22"/>
          <w:szCs w:val="22"/>
        </w:rPr>
        <w:t>ional report to encourage the</w:t>
      </w:r>
      <w:r w:rsidR="00714334" w:rsidRPr="00E86995">
        <w:rPr>
          <w:kern w:val="22"/>
          <w:szCs w:val="22"/>
        </w:rPr>
        <w:t>m to do so as part of their nat</w:t>
      </w:r>
      <w:r w:rsidRPr="00E86995">
        <w:rPr>
          <w:kern w:val="22"/>
          <w:szCs w:val="22"/>
        </w:rPr>
        <w:t>ional processes to complete their third</w:t>
      </w:r>
      <w:r w:rsidR="00714334" w:rsidRPr="00E86995">
        <w:rPr>
          <w:kern w:val="22"/>
          <w:szCs w:val="22"/>
        </w:rPr>
        <w:t xml:space="preserve"> national report. While this recommendation was not taken up by </w:t>
      </w:r>
      <w:r w:rsidR="00E87FF7" w:rsidRPr="00E86995">
        <w:rPr>
          <w:kern w:val="22"/>
          <w:szCs w:val="22"/>
        </w:rPr>
        <w:t>the Conference of the Parties serving as the meeting of the Parties to the Cartagena Protocol on Biosafety</w:t>
      </w:r>
      <w:r w:rsidR="00714334" w:rsidRPr="00E27994">
        <w:rPr>
          <w:kern w:val="22"/>
          <w:szCs w:val="22"/>
        </w:rPr>
        <w:t>,</w:t>
      </w:r>
      <w:r w:rsidR="00714334" w:rsidRPr="00E86995">
        <w:rPr>
          <w:rStyle w:val="FootnoteReference"/>
          <w:kern w:val="22"/>
          <w:sz w:val="22"/>
          <w:szCs w:val="22"/>
          <w:u w:val="none"/>
          <w:vertAlign w:val="superscript"/>
        </w:rPr>
        <w:footnoteReference w:id="10"/>
      </w:r>
      <w:r w:rsidR="00714334" w:rsidRPr="00E27994">
        <w:rPr>
          <w:kern w:val="22"/>
          <w:szCs w:val="22"/>
        </w:rPr>
        <w:t xml:space="preserve"> </w:t>
      </w:r>
      <w:r w:rsidR="00995E25" w:rsidRPr="00E27994">
        <w:rPr>
          <w:kern w:val="22"/>
          <w:szCs w:val="22"/>
        </w:rPr>
        <w:t xml:space="preserve">a further two Parties, </w:t>
      </w:r>
      <w:r w:rsidR="0018020E" w:rsidRPr="00E27994">
        <w:rPr>
          <w:kern w:val="22"/>
          <w:szCs w:val="22"/>
        </w:rPr>
        <w:t xml:space="preserve">Belize </w:t>
      </w:r>
      <w:r w:rsidR="00995E25" w:rsidRPr="00E27994">
        <w:rPr>
          <w:kern w:val="22"/>
          <w:szCs w:val="22"/>
        </w:rPr>
        <w:t xml:space="preserve">and </w:t>
      </w:r>
      <w:r w:rsidR="00714334" w:rsidRPr="00E27994">
        <w:rPr>
          <w:kern w:val="22"/>
          <w:szCs w:val="22"/>
        </w:rPr>
        <w:t>Pakistan</w:t>
      </w:r>
      <w:r w:rsidR="00995E25" w:rsidRPr="00E27994">
        <w:rPr>
          <w:kern w:val="22"/>
          <w:szCs w:val="22"/>
        </w:rPr>
        <w:t>,</w:t>
      </w:r>
      <w:r w:rsidR="00714334" w:rsidRPr="00E27994">
        <w:rPr>
          <w:kern w:val="22"/>
          <w:szCs w:val="22"/>
        </w:rPr>
        <w:t xml:space="preserve"> submit</w:t>
      </w:r>
      <w:r w:rsidR="00E50C6E" w:rsidRPr="00E27994">
        <w:rPr>
          <w:kern w:val="22"/>
          <w:szCs w:val="22"/>
        </w:rPr>
        <w:t>ted</w:t>
      </w:r>
      <w:r w:rsidR="00995E25" w:rsidRPr="00E27994">
        <w:rPr>
          <w:kern w:val="22"/>
          <w:szCs w:val="22"/>
        </w:rPr>
        <w:t xml:space="preserve"> their</w:t>
      </w:r>
      <w:r w:rsidR="00714334" w:rsidRPr="00E27994">
        <w:rPr>
          <w:kern w:val="22"/>
          <w:szCs w:val="22"/>
        </w:rPr>
        <w:t xml:space="preserve"> report</w:t>
      </w:r>
      <w:r w:rsidR="00995E25" w:rsidRPr="00E27994">
        <w:rPr>
          <w:kern w:val="22"/>
          <w:szCs w:val="22"/>
        </w:rPr>
        <w:t>s</w:t>
      </w:r>
      <w:r w:rsidR="00714334" w:rsidRPr="00E27994">
        <w:rPr>
          <w:kern w:val="22"/>
          <w:szCs w:val="22"/>
        </w:rPr>
        <w:t xml:space="preserve"> in </w:t>
      </w:r>
      <w:r w:rsidR="00995E25" w:rsidRPr="00E27994">
        <w:rPr>
          <w:kern w:val="22"/>
          <w:szCs w:val="22"/>
        </w:rPr>
        <w:t xml:space="preserve">December 2013 and September </w:t>
      </w:r>
      <w:r w:rsidR="00714334" w:rsidRPr="00E27994">
        <w:rPr>
          <w:kern w:val="22"/>
          <w:szCs w:val="22"/>
        </w:rPr>
        <w:t>2014</w:t>
      </w:r>
      <w:r w:rsidR="00995E25" w:rsidRPr="00E27994">
        <w:rPr>
          <w:kern w:val="22"/>
          <w:szCs w:val="22"/>
        </w:rPr>
        <w:t>, respectively</w:t>
      </w:r>
      <w:r w:rsidR="00714334" w:rsidRPr="00E27994">
        <w:rPr>
          <w:kern w:val="22"/>
          <w:szCs w:val="22"/>
        </w:rPr>
        <w:t>.</w:t>
      </w:r>
    </w:p>
    <w:p w14:paraId="3ABA7135" w14:textId="77777777" w:rsidR="007A144B" w:rsidRPr="00E86995" w:rsidRDefault="007A144B"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27994">
        <w:rPr>
          <w:kern w:val="22"/>
          <w:szCs w:val="22"/>
        </w:rPr>
        <w:t xml:space="preserve">At the </w:t>
      </w:r>
      <w:r w:rsidR="00714334" w:rsidRPr="00E27994">
        <w:rPr>
          <w:kern w:val="22"/>
          <w:szCs w:val="22"/>
        </w:rPr>
        <w:t>twelfth meeting</w:t>
      </w:r>
      <w:r w:rsidRPr="00E27994">
        <w:rPr>
          <w:kern w:val="22"/>
          <w:szCs w:val="22"/>
        </w:rPr>
        <w:t xml:space="preserve"> </w:t>
      </w:r>
      <w:r w:rsidR="00453F35" w:rsidRPr="00E27994">
        <w:rPr>
          <w:kern w:val="22"/>
          <w:szCs w:val="22"/>
        </w:rPr>
        <w:t xml:space="preserve">of the Committee, </w:t>
      </w:r>
      <w:r w:rsidRPr="00E27994">
        <w:rPr>
          <w:kern w:val="22"/>
          <w:szCs w:val="22"/>
        </w:rPr>
        <w:t>in May 2015,</w:t>
      </w:r>
      <w:r w:rsidR="00714334" w:rsidRPr="00E27994">
        <w:rPr>
          <w:kern w:val="22"/>
          <w:szCs w:val="22"/>
        </w:rPr>
        <w:t xml:space="preserve"> </w:t>
      </w:r>
      <w:r w:rsidRPr="00E27994">
        <w:rPr>
          <w:kern w:val="22"/>
          <w:szCs w:val="22"/>
        </w:rPr>
        <w:t>s</w:t>
      </w:r>
      <w:r w:rsidR="00714334" w:rsidRPr="00E27994">
        <w:rPr>
          <w:kern w:val="22"/>
          <w:szCs w:val="22"/>
        </w:rPr>
        <w:t xml:space="preserve">ome members briefed the Committee on their efforts to encourage Parties in their respective regions </w:t>
      </w:r>
      <w:r w:rsidR="00AA5310" w:rsidRPr="00E27994">
        <w:rPr>
          <w:kern w:val="22"/>
          <w:szCs w:val="22"/>
        </w:rPr>
        <w:t xml:space="preserve">that had not yet done so, </w:t>
      </w:r>
      <w:r w:rsidR="00714334" w:rsidRPr="00E27994">
        <w:rPr>
          <w:kern w:val="22"/>
          <w:szCs w:val="22"/>
        </w:rPr>
        <w:t xml:space="preserve">to submit their </w:t>
      </w:r>
      <w:r w:rsidR="00714334" w:rsidRPr="00E27994">
        <w:rPr>
          <w:kern w:val="22"/>
          <w:szCs w:val="22"/>
        </w:rPr>
        <w:lastRenderedPageBreak/>
        <w:t xml:space="preserve">second national reports. The Committee agreed that members would continue to remind Parties in their respective regions to fulfil their reporting obligations </w:t>
      </w:r>
      <w:r w:rsidR="00140006" w:rsidRPr="00E27994">
        <w:rPr>
          <w:kern w:val="22"/>
          <w:szCs w:val="22"/>
        </w:rPr>
        <w:t>as regards</w:t>
      </w:r>
      <w:r w:rsidR="00AA5310" w:rsidRPr="00E27994">
        <w:rPr>
          <w:kern w:val="22"/>
          <w:szCs w:val="22"/>
        </w:rPr>
        <w:t xml:space="preserve"> the</w:t>
      </w:r>
      <w:r w:rsidR="00140006" w:rsidRPr="00E27994">
        <w:rPr>
          <w:kern w:val="22"/>
          <w:szCs w:val="22"/>
        </w:rPr>
        <w:t xml:space="preserve"> submission of</w:t>
      </w:r>
      <w:r w:rsidR="00AA5310" w:rsidRPr="00E27994">
        <w:rPr>
          <w:kern w:val="22"/>
          <w:szCs w:val="22"/>
        </w:rPr>
        <w:t xml:space="preserve"> third</w:t>
      </w:r>
      <w:r w:rsidR="00140006" w:rsidRPr="00E27994">
        <w:rPr>
          <w:kern w:val="22"/>
          <w:szCs w:val="22"/>
        </w:rPr>
        <w:t xml:space="preserve"> national</w:t>
      </w:r>
      <w:r w:rsidR="00AA5310" w:rsidRPr="00E27994">
        <w:rPr>
          <w:kern w:val="22"/>
          <w:szCs w:val="22"/>
        </w:rPr>
        <w:t xml:space="preserve"> report</w:t>
      </w:r>
      <w:r w:rsidR="00140006" w:rsidRPr="00E27994">
        <w:rPr>
          <w:kern w:val="22"/>
          <w:szCs w:val="22"/>
        </w:rPr>
        <w:t>s</w:t>
      </w:r>
      <w:r w:rsidR="00714334" w:rsidRPr="00E27994">
        <w:rPr>
          <w:kern w:val="22"/>
          <w:szCs w:val="22"/>
        </w:rPr>
        <w:t>.</w:t>
      </w:r>
    </w:p>
    <w:p w14:paraId="1D95C464" w14:textId="77777777" w:rsidR="00714334" w:rsidRPr="00E86995" w:rsidRDefault="00714334" w:rsidP="00E86995">
      <w:pPr>
        <w:pStyle w:val="Para1"/>
        <w:numPr>
          <w:ilvl w:val="0"/>
          <w:numId w:val="31"/>
        </w:numPr>
        <w:suppressLineNumbers/>
        <w:tabs>
          <w:tab w:val="clear" w:pos="720"/>
          <w:tab w:val="num" w:pos="0"/>
        </w:tabs>
        <w:suppressAutoHyphens/>
        <w:kinsoku w:val="0"/>
        <w:overflowPunct w:val="0"/>
        <w:autoSpaceDE w:val="0"/>
        <w:autoSpaceDN w:val="0"/>
        <w:ind w:left="0" w:firstLine="0"/>
        <w:rPr>
          <w:kern w:val="22"/>
          <w:szCs w:val="22"/>
        </w:rPr>
      </w:pPr>
      <w:r w:rsidRPr="00E27994">
        <w:rPr>
          <w:kern w:val="22"/>
          <w:szCs w:val="22"/>
        </w:rPr>
        <w:t>The Committee requested the Secretariat to inform Parties that they could direct any questions on the reporting format to the Secretariat for clarification. The Committee also requested the Secretariat to make available online any clarifications that it provided so that others might also benefit.</w:t>
      </w:r>
      <w:r w:rsidR="007A144B" w:rsidRPr="00E27994">
        <w:rPr>
          <w:kern w:val="22"/>
          <w:szCs w:val="22"/>
        </w:rPr>
        <w:t xml:space="preserve"> Accordingly, the Secretariat set up a </w:t>
      </w:r>
      <w:r w:rsidR="00D83EA5" w:rsidRPr="00E27994">
        <w:rPr>
          <w:kern w:val="22"/>
          <w:szCs w:val="22"/>
        </w:rPr>
        <w:t xml:space="preserve">Frequently Asked Questions (FAQs) page on the </w:t>
      </w:r>
      <w:r w:rsidR="00453F35" w:rsidRPr="00E27994">
        <w:rPr>
          <w:kern w:val="22"/>
          <w:szCs w:val="22"/>
        </w:rPr>
        <w:t>Biosafety Clearing-House</w:t>
      </w:r>
      <w:r w:rsidR="00D83EA5" w:rsidRPr="00E27994">
        <w:rPr>
          <w:kern w:val="22"/>
          <w:szCs w:val="22"/>
        </w:rPr>
        <w:t xml:space="preserve"> which provides answers on the preparation and submission of </w:t>
      </w:r>
      <w:r w:rsidR="00C74F10" w:rsidRPr="00E86995">
        <w:rPr>
          <w:kern w:val="22"/>
          <w:szCs w:val="22"/>
        </w:rPr>
        <w:t>t</w:t>
      </w:r>
      <w:r w:rsidR="00D83EA5" w:rsidRPr="00E86995">
        <w:rPr>
          <w:kern w:val="22"/>
          <w:szCs w:val="22"/>
        </w:rPr>
        <w:t xml:space="preserve">hird </w:t>
      </w:r>
      <w:r w:rsidR="00C74F10" w:rsidRPr="00E86995">
        <w:rPr>
          <w:kern w:val="22"/>
          <w:szCs w:val="22"/>
        </w:rPr>
        <w:t>n</w:t>
      </w:r>
      <w:r w:rsidR="00D83EA5" w:rsidRPr="00E86995">
        <w:rPr>
          <w:kern w:val="22"/>
          <w:szCs w:val="22"/>
        </w:rPr>
        <w:t xml:space="preserve">ational </w:t>
      </w:r>
      <w:r w:rsidR="00C74F10" w:rsidRPr="00E86995">
        <w:rPr>
          <w:kern w:val="22"/>
          <w:szCs w:val="22"/>
        </w:rPr>
        <w:t>r</w:t>
      </w:r>
      <w:r w:rsidR="00D83EA5" w:rsidRPr="00E86995">
        <w:rPr>
          <w:kern w:val="22"/>
          <w:szCs w:val="22"/>
        </w:rPr>
        <w:t xml:space="preserve">eports and </w:t>
      </w:r>
      <w:r w:rsidR="00C74F10" w:rsidRPr="00E86995">
        <w:rPr>
          <w:kern w:val="22"/>
          <w:szCs w:val="22"/>
        </w:rPr>
        <w:t xml:space="preserve">has </w:t>
      </w:r>
      <w:r w:rsidR="00CE082C" w:rsidRPr="00E86995">
        <w:rPr>
          <w:kern w:val="22"/>
          <w:szCs w:val="22"/>
        </w:rPr>
        <w:t xml:space="preserve">also </w:t>
      </w:r>
      <w:r w:rsidR="00D83EA5" w:rsidRPr="00E86995">
        <w:rPr>
          <w:kern w:val="22"/>
          <w:szCs w:val="22"/>
        </w:rPr>
        <w:t>ma</w:t>
      </w:r>
      <w:r w:rsidR="00C74F10" w:rsidRPr="00E86995">
        <w:rPr>
          <w:kern w:val="22"/>
          <w:szCs w:val="22"/>
        </w:rPr>
        <w:t>d</w:t>
      </w:r>
      <w:r w:rsidR="00D83EA5" w:rsidRPr="00E86995">
        <w:rPr>
          <w:kern w:val="22"/>
          <w:szCs w:val="22"/>
        </w:rPr>
        <w:t>e available a</w:t>
      </w:r>
      <w:r w:rsidR="00640724" w:rsidRPr="00E86995">
        <w:rPr>
          <w:kern w:val="22"/>
          <w:szCs w:val="22"/>
        </w:rPr>
        <w:t xml:space="preserve"> dedicated</w:t>
      </w:r>
      <w:r w:rsidR="00D83EA5" w:rsidRPr="00E86995">
        <w:rPr>
          <w:kern w:val="22"/>
          <w:szCs w:val="22"/>
        </w:rPr>
        <w:t xml:space="preserve"> </w:t>
      </w:r>
      <w:r w:rsidR="00640724" w:rsidRPr="00E86995">
        <w:rPr>
          <w:kern w:val="22"/>
          <w:szCs w:val="22"/>
        </w:rPr>
        <w:t>online f</w:t>
      </w:r>
      <w:r w:rsidR="00D83EA5" w:rsidRPr="00E86995">
        <w:rPr>
          <w:kern w:val="22"/>
          <w:szCs w:val="22"/>
        </w:rPr>
        <w:t>orum where additional questions may be posted.</w:t>
      </w:r>
      <w:r w:rsidR="00640724" w:rsidRPr="00E86995">
        <w:rPr>
          <w:rStyle w:val="FootnoteReference"/>
          <w:kern w:val="22"/>
          <w:sz w:val="22"/>
          <w:szCs w:val="22"/>
          <w:u w:val="none"/>
          <w:vertAlign w:val="superscript"/>
        </w:rPr>
        <w:footnoteReference w:id="11"/>
      </w:r>
    </w:p>
    <w:p w14:paraId="159BE468" w14:textId="47DA76B4" w:rsidR="006C10DC" w:rsidRPr="00E86995" w:rsidRDefault="00D83EA5"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By the thirteenth meeting of the Committee</w:t>
      </w:r>
      <w:r w:rsidR="00B663F8" w:rsidRPr="00E86995">
        <w:rPr>
          <w:kern w:val="22"/>
          <w:szCs w:val="22"/>
        </w:rPr>
        <w:t>, held</w:t>
      </w:r>
      <w:r w:rsidRPr="00E86995">
        <w:rPr>
          <w:kern w:val="22"/>
          <w:szCs w:val="22"/>
        </w:rPr>
        <w:t xml:space="preserve"> in February 2016, 153 </w:t>
      </w:r>
      <w:r w:rsidR="00633FC7" w:rsidRPr="00E86995">
        <w:rPr>
          <w:kern w:val="22"/>
          <w:szCs w:val="22"/>
        </w:rPr>
        <w:t xml:space="preserve">out of 161 </w:t>
      </w:r>
      <w:r w:rsidRPr="00E86995">
        <w:rPr>
          <w:kern w:val="22"/>
          <w:szCs w:val="22"/>
        </w:rPr>
        <w:t>Parties had</w:t>
      </w:r>
      <w:r w:rsidR="007A144B" w:rsidRPr="00E86995">
        <w:rPr>
          <w:kern w:val="22"/>
          <w:szCs w:val="22"/>
        </w:rPr>
        <w:t xml:space="preserve"> submitted their second national report</w:t>
      </w:r>
      <w:r w:rsidR="00B663F8" w:rsidRPr="00E86995">
        <w:rPr>
          <w:kern w:val="22"/>
          <w:szCs w:val="22"/>
        </w:rPr>
        <w:t xml:space="preserve">. The Committee recognized that </w:t>
      </w:r>
      <w:r w:rsidR="00140006" w:rsidRPr="00E86995">
        <w:rPr>
          <w:kern w:val="22"/>
          <w:szCs w:val="22"/>
        </w:rPr>
        <w:t>its</w:t>
      </w:r>
      <w:r w:rsidR="00B663F8" w:rsidRPr="00E86995">
        <w:rPr>
          <w:kern w:val="22"/>
          <w:szCs w:val="22"/>
        </w:rPr>
        <w:t xml:space="preserve"> efforts and</w:t>
      </w:r>
      <w:r w:rsidR="00140006" w:rsidRPr="00E86995">
        <w:rPr>
          <w:kern w:val="22"/>
          <w:szCs w:val="22"/>
        </w:rPr>
        <w:t xml:space="preserve"> the efforts</w:t>
      </w:r>
      <w:r w:rsidR="00B663F8" w:rsidRPr="00E86995">
        <w:rPr>
          <w:kern w:val="22"/>
          <w:szCs w:val="22"/>
        </w:rPr>
        <w:t xml:space="preserve"> </w:t>
      </w:r>
      <w:r w:rsidR="00B02BB0" w:rsidRPr="00E86995">
        <w:rPr>
          <w:kern w:val="22"/>
          <w:szCs w:val="22"/>
        </w:rPr>
        <w:t xml:space="preserve">of </w:t>
      </w:r>
      <w:r w:rsidR="00B663F8" w:rsidRPr="00E86995">
        <w:rPr>
          <w:kern w:val="22"/>
          <w:szCs w:val="22"/>
        </w:rPr>
        <w:t>individual members had contributed positively to the high rate of submission of second national reports as well as reports that were long overdue</w:t>
      </w:r>
      <w:r w:rsidRPr="00E86995">
        <w:rPr>
          <w:kern w:val="22"/>
          <w:szCs w:val="22"/>
        </w:rPr>
        <w:t xml:space="preserve">. </w:t>
      </w:r>
      <w:r w:rsidR="00B663F8" w:rsidRPr="00E86995">
        <w:rPr>
          <w:kern w:val="22"/>
          <w:szCs w:val="22"/>
        </w:rPr>
        <w:t xml:space="preserve">It also welcomed the efforts made by the Secretariat in assisting Parties in submitting national reports and ensuring their completeness. </w:t>
      </w:r>
      <w:r w:rsidRPr="00E86995">
        <w:rPr>
          <w:kern w:val="22"/>
          <w:szCs w:val="22"/>
        </w:rPr>
        <w:t>O</w:t>
      </w:r>
      <w:r w:rsidR="007A144B" w:rsidRPr="00E86995">
        <w:rPr>
          <w:kern w:val="22"/>
          <w:szCs w:val="22"/>
        </w:rPr>
        <w:t>nly eight Parties had not submitted a second national report</w:t>
      </w:r>
      <w:r w:rsidR="00633FC7" w:rsidRPr="00E86995">
        <w:rPr>
          <w:kern w:val="22"/>
          <w:szCs w:val="22"/>
        </w:rPr>
        <w:t>,</w:t>
      </w:r>
      <w:r w:rsidR="007A144B" w:rsidRPr="00E86995">
        <w:rPr>
          <w:rStyle w:val="FootnoteReference"/>
          <w:kern w:val="22"/>
          <w:sz w:val="22"/>
          <w:szCs w:val="22"/>
          <w:u w:val="none"/>
          <w:vertAlign w:val="superscript"/>
        </w:rPr>
        <w:footnoteReference w:id="12"/>
      </w:r>
      <w:r w:rsidR="00633FC7" w:rsidRPr="00E86995">
        <w:rPr>
          <w:kern w:val="22"/>
          <w:szCs w:val="22"/>
        </w:rPr>
        <w:t xml:space="preserve"> three of which, </w:t>
      </w:r>
      <w:r w:rsidR="00165FCA" w:rsidRPr="00E86995">
        <w:rPr>
          <w:kern w:val="22"/>
          <w:szCs w:val="22"/>
          <w:lang w:eastAsia="en-CA"/>
        </w:rPr>
        <w:t>Luxembourg, the Marshall Islands and Nicaragua</w:t>
      </w:r>
      <w:r w:rsidR="00633FC7" w:rsidRPr="00E86995">
        <w:rPr>
          <w:kern w:val="22"/>
          <w:szCs w:val="22"/>
          <w:lang w:eastAsia="en-CA"/>
        </w:rPr>
        <w:t>,</w:t>
      </w:r>
      <w:r w:rsidR="00165FCA" w:rsidRPr="00E86995">
        <w:rPr>
          <w:kern w:val="22"/>
          <w:szCs w:val="22"/>
          <w:lang w:eastAsia="en-CA"/>
        </w:rPr>
        <w:t xml:space="preserve"> had not submitted an interim, first,</w:t>
      </w:r>
      <w:r w:rsidR="006F790D" w:rsidRPr="00E86995">
        <w:rPr>
          <w:kern w:val="22"/>
          <w:szCs w:val="22"/>
          <w:lang w:eastAsia="en-CA"/>
        </w:rPr>
        <w:t xml:space="preserve"> second or third report</w:t>
      </w:r>
      <w:r w:rsidR="0055028F" w:rsidRPr="00E86995">
        <w:rPr>
          <w:kern w:val="22"/>
          <w:szCs w:val="22"/>
          <w:lang w:eastAsia="en-CA"/>
        </w:rPr>
        <w:t>.</w:t>
      </w:r>
    </w:p>
    <w:p w14:paraId="1896267A" w14:textId="37F279CA" w:rsidR="001B59DB" w:rsidRPr="00E86995" w:rsidRDefault="005F71C1"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At its thirteenth meeting, t</w:t>
      </w:r>
      <w:r w:rsidR="006C10DC" w:rsidRPr="00E86995">
        <w:rPr>
          <w:kern w:val="22"/>
          <w:szCs w:val="22"/>
        </w:rPr>
        <w:t xml:space="preserve">he Committee also considered the rate of reporting for the third national reports and noted that third national reports had </w:t>
      </w:r>
      <w:r w:rsidR="000D1BCC" w:rsidRPr="00E86995">
        <w:rPr>
          <w:kern w:val="22"/>
          <w:szCs w:val="22"/>
        </w:rPr>
        <w:t xml:space="preserve">only </w:t>
      </w:r>
      <w:r w:rsidR="006C10DC" w:rsidRPr="00E86995">
        <w:rPr>
          <w:kern w:val="22"/>
          <w:szCs w:val="22"/>
        </w:rPr>
        <w:t xml:space="preserve">been </w:t>
      </w:r>
      <w:r w:rsidR="000D1BCC" w:rsidRPr="00E86995">
        <w:rPr>
          <w:kern w:val="22"/>
          <w:szCs w:val="22"/>
        </w:rPr>
        <w:t>submitted by 112 out of the 170 Parties that had an obligation to do so.</w:t>
      </w:r>
      <w:r w:rsidR="006C10DC" w:rsidRPr="00E86995">
        <w:rPr>
          <w:kern w:val="22"/>
          <w:szCs w:val="22"/>
        </w:rPr>
        <w:t xml:space="preserve"> </w:t>
      </w:r>
      <w:r w:rsidR="00944ADF" w:rsidRPr="00E86995">
        <w:rPr>
          <w:kern w:val="22"/>
          <w:szCs w:val="22"/>
        </w:rPr>
        <w:t>The Committee further examined to what extent eligible Parties had accessed GEF funds available to them for the preparation of their third national reports and</w:t>
      </w:r>
      <w:r w:rsidR="00944ADF" w:rsidRPr="00E86995">
        <w:rPr>
          <w:bCs/>
          <w:kern w:val="22"/>
          <w:szCs w:val="22"/>
        </w:rPr>
        <w:t xml:space="preserve"> requested the Secretariat to contact GEF and </w:t>
      </w:r>
      <w:r w:rsidR="00AB61FA" w:rsidRPr="00E86995">
        <w:rPr>
          <w:bCs/>
          <w:kern w:val="22"/>
          <w:szCs w:val="22"/>
        </w:rPr>
        <w:t xml:space="preserve">to </w:t>
      </w:r>
      <w:r w:rsidR="00944ADF" w:rsidRPr="00E86995">
        <w:rPr>
          <w:bCs/>
          <w:kern w:val="22"/>
          <w:szCs w:val="22"/>
        </w:rPr>
        <w:t xml:space="preserve">explore the possibility of extending the deadline for eligible Parties to apply for GEF funds. </w:t>
      </w:r>
      <w:r w:rsidR="00F4019E" w:rsidRPr="00E27994">
        <w:rPr>
          <w:kern w:val="22"/>
          <w:szCs w:val="22"/>
        </w:rPr>
        <w:t xml:space="preserve">The Committee decided to recommend that, at its eighth meeting, the Conference of the Parties serving as the meeting of the Parties </w:t>
      </w:r>
      <w:r w:rsidR="002149F9" w:rsidRPr="00E27994">
        <w:rPr>
          <w:kern w:val="22"/>
          <w:szCs w:val="22"/>
        </w:rPr>
        <w:t xml:space="preserve">to the </w:t>
      </w:r>
      <w:r w:rsidR="00B71C12" w:rsidRPr="00E27994">
        <w:rPr>
          <w:kern w:val="22"/>
          <w:szCs w:val="22"/>
        </w:rPr>
        <w:t xml:space="preserve">Cartagena </w:t>
      </w:r>
      <w:r w:rsidR="002149F9" w:rsidRPr="00E27994">
        <w:rPr>
          <w:kern w:val="22"/>
          <w:szCs w:val="22"/>
        </w:rPr>
        <w:t>Protocol</w:t>
      </w:r>
      <w:r w:rsidR="00AD2F17" w:rsidRPr="00E27994">
        <w:rPr>
          <w:kern w:val="22"/>
          <w:szCs w:val="22"/>
        </w:rPr>
        <w:t xml:space="preserve"> on Bio</w:t>
      </w:r>
      <w:r w:rsidR="009F2DB6" w:rsidRPr="00E27994">
        <w:rPr>
          <w:kern w:val="22"/>
          <w:szCs w:val="22"/>
        </w:rPr>
        <w:t>s</w:t>
      </w:r>
      <w:r w:rsidR="00AD2F17" w:rsidRPr="00E27994">
        <w:rPr>
          <w:kern w:val="22"/>
          <w:szCs w:val="22"/>
        </w:rPr>
        <w:t>afety</w:t>
      </w:r>
      <w:r w:rsidR="002149F9" w:rsidRPr="00E27994">
        <w:rPr>
          <w:kern w:val="22"/>
          <w:szCs w:val="22"/>
        </w:rPr>
        <w:t xml:space="preserve"> </w:t>
      </w:r>
      <w:r w:rsidR="00F4019E" w:rsidRPr="00E86995">
        <w:rPr>
          <w:kern w:val="22"/>
          <w:szCs w:val="22"/>
        </w:rPr>
        <w:t xml:space="preserve">express concern </w:t>
      </w:r>
      <w:r w:rsidR="006C10DC" w:rsidRPr="00E27994">
        <w:rPr>
          <w:kern w:val="22"/>
          <w:szCs w:val="22"/>
        </w:rPr>
        <w:t>about the lower rate of submission of third national reports in comparison with the previous reporting cycle, and urge</w:t>
      </w:r>
      <w:r w:rsidR="006C10DC" w:rsidRPr="00E27994">
        <w:rPr>
          <w:i/>
          <w:kern w:val="22"/>
          <w:szCs w:val="22"/>
        </w:rPr>
        <w:t xml:space="preserve"> </w:t>
      </w:r>
      <w:r w:rsidR="006C10DC" w:rsidRPr="00E27994">
        <w:rPr>
          <w:kern w:val="22"/>
          <w:szCs w:val="22"/>
        </w:rPr>
        <w:t>the Parties that have not yet submitted their third national report to do so as soon as possible</w:t>
      </w:r>
      <w:r w:rsidR="00537594" w:rsidRPr="00E27994">
        <w:rPr>
          <w:kern w:val="22"/>
          <w:szCs w:val="22"/>
        </w:rPr>
        <w:t>.</w:t>
      </w:r>
      <w:r w:rsidR="00537594" w:rsidRPr="00E86995">
        <w:rPr>
          <w:rStyle w:val="FootnoteReference"/>
          <w:kern w:val="22"/>
          <w:sz w:val="22"/>
          <w:szCs w:val="22"/>
          <w:u w:val="none"/>
          <w:vertAlign w:val="superscript"/>
        </w:rPr>
        <w:footnoteReference w:id="13"/>
      </w:r>
    </w:p>
    <w:p w14:paraId="534ECEBE" w14:textId="3E1FD55A" w:rsidR="00CC4F7E" w:rsidRPr="00E86995" w:rsidRDefault="001B59DB"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lang w:eastAsia="en-CA"/>
        </w:rPr>
        <w:t xml:space="preserve">In </w:t>
      </w:r>
      <w:r w:rsidR="0007517D" w:rsidRPr="00E86995">
        <w:rPr>
          <w:kern w:val="22"/>
          <w:szCs w:val="22"/>
          <w:lang w:eastAsia="en-CA"/>
        </w:rPr>
        <w:t xml:space="preserve">this context, </w:t>
      </w:r>
      <w:r w:rsidR="009E4773">
        <w:rPr>
          <w:kern w:val="22"/>
          <w:szCs w:val="22"/>
          <w:lang w:eastAsia="en-CA"/>
        </w:rPr>
        <w:t>the</w:t>
      </w:r>
      <w:bookmarkStart w:id="0" w:name="_GoBack"/>
      <w:bookmarkEnd w:id="0"/>
      <w:r w:rsidR="0007517D" w:rsidRPr="00E86995">
        <w:rPr>
          <w:kern w:val="22"/>
          <w:szCs w:val="22"/>
          <w:lang w:eastAsia="en-CA"/>
        </w:rPr>
        <w:t xml:space="preserve"> Committee reviewed </w:t>
      </w:r>
      <w:r w:rsidRPr="00E86995">
        <w:rPr>
          <w:kern w:val="22"/>
          <w:szCs w:val="22"/>
          <w:lang w:eastAsia="en-CA"/>
        </w:rPr>
        <w:t>the individual cases of non-compliance</w:t>
      </w:r>
      <w:r w:rsidR="00114BC1" w:rsidRPr="00E86995">
        <w:rPr>
          <w:kern w:val="22"/>
          <w:szCs w:val="22"/>
          <w:lang w:eastAsia="en-CA"/>
        </w:rPr>
        <w:t xml:space="preserve"> of Luxembourg, the Marshall Islands and Nicaragua</w:t>
      </w:r>
      <w:r w:rsidRPr="00E86995">
        <w:rPr>
          <w:kern w:val="22"/>
          <w:szCs w:val="22"/>
          <w:lang w:eastAsia="en-CA"/>
        </w:rPr>
        <w:t xml:space="preserve">, </w:t>
      </w:r>
      <w:r w:rsidR="009E6100" w:rsidRPr="00E86995">
        <w:rPr>
          <w:kern w:val="22"/>
          <w:szCs w:val="22"/>
          <w:lang w:eastAsia="en-CA"/>
        </w:rPr>
        <w:t xml:space="preserve">expressing </w:t>
      </w:r>
      <w:r w:rsidR="00633FC7" w:rsidRPr="00E86995">
        <w:rPr>
          <w:kern w:val="22"/>
          <w:szCs w:val="22"/>
          <w:lang w:eastAsia="en-CA"/>
        </w:rPr>
        <w:t xml:space="preserve">profound concern </w:t>
      </w:r>
      <w:r w:rsidR="00CF4316" w:rsidRPr="00E86995">
        <w:rPr>
          <w:kern w:val="22"/>
          <w:szCs w:val="22"/>
          <w:lang w:eastAsia="en-CA"/>
        </w:rPr>
        <w:t>that</w:t>
      </w:r>
      <w:r w:rsidR="00633FC7" w:rsidRPr="00E86995">
        <w:rPr>
          <w:kern w:val="22"/>
          <w:szCs w:val="22"/>
          <w:lang w:eastAsia="en-CA"/>
        </w:rPr>
        <w:t xml:space="preserve"> </w:t>
      </w:r>
      <w:r w:rsidR="00AA5E05" w:rsidRPr="00E86995">
        <w:rPr>
          <w:kern w:val="22"/>
          <w:szCs w:val="22"/>
          <w:lang w:eastAsia="en-CA"/>
        </w:rPr>
        <w:t xml:space="preserve">these </w:t>
      </w:r>
      <w:r w:rsidR="00421D75" w:rsidRPr="00E86995">
        <w:rPr>
          <w:kern w:val="22"/>
          <w:szCs w:val="22"/>
          <w:lang w:eastAsia="en-CA"/>
        </w:rPr>
        <w:t xml:space="preserve">three </w:t>
      </w:r>
      <w:r w:rsidR="00633FC7" w:rsidRPr="00E86995">
        <w:rPr>
          <w:kern w:val="22"/>
          <w:szCs w:val="22"/>
          <w:lang w:eastAsia="en-CA"/>
        </w:rPr>
        <w:t xml:space="preserve">Parties </w:t>
      </w:r>
      <w:r w:rsidR="00CF4316" w:rsidRPr="00E86995">
        <w:rPr>
          <w:kern w:val="22"/>
          <w:szCs w:val="22"/>
          <w:lang w:eastAsia="en-CA"/>
        </w:rPr>
        <w:t>had not</w:t>
      </w:r>
      <w:r w:rsidR="00633FC7" w:rsidRPr="00E86995">
        <w:rPr>
          <w:kern w:val="22"/>
          <w:szCs w:val="22"/>
          <w:lang w:eastAsia="en-CA"/>
        </w:rPr>
        <w:t xml:space="preserve"> submit</w:t>
      </w:r>
      <w:r w:rsidR="00CF4316" w:rsidRPr="00E86995">
        <w:rPr>
          <w:kern w:val="22"/>
          <w:szCs w:val="22"/>
          <w:lang w:eastAsia="en-CA"/>
        </w:rPr>
        <w:t>ted</w:t>
      </w:r>
      <w:r w:rsidR="00633FC7" w:rsidRPr="00E86995">
        <w:rPr>
          <w:kern w:val="22"/>
          <w:szCs w:val="22"/>
          <w:lang w:eastAsia="en-CA"/>
        </w:rPr>
        <w:t xml:space="preserve"> any report</w:t>
      </w:r>
      <w:r w:rsidR="00F43FFE" w:rsidRPr="00E86995">
        <w:rPr>
          <w:kern w:val="22"/>
          <w:szCs w:val="22"/>
          <w:lang w:eastAsia="en-CA"/>
        </w:rPr>
        <w:t xml:space="preserve"> since they became Parties </w:t>
      </w:r>
      <w:r w:rsidR="000E2122" w:rsidRPr="00E86995">
        <w:rPr>
          <w:kern w:val="22"/>
          <w:szCs w:val="22"/>
          <w:lang w:eastAsia="en-CA"/>
        </w:rPr>
        <w:t xml:space="preserve">at </w:t>
      </w:r>
      <w:r w:rsidR="00F43FFE" w:rsidRPr="00E86995">
        <w:rPr>
          <w:kern w:val="22"/>
          <w:szCs w:val="22"/>
          <w:lang w:eastAsia="en-CA"/>
        </w:rPr>
        <w:t>the entry into force of the Protocol in September 2003</w:t>
      </w:r>
      <w:r w:rsidR="00254E1F" w:rsidRPr="00E86995">
        <w:rPr>
          <w:kern w:val="22"/>
          <w:szCs w:val="22"/>
          <w:lang w:eastAsia="en-CA"/>
        </w:rPr>
        <w:t>.</w:t>
      </w:r>
      <w:r w:rsidRPr="00E86995">
        <w:rPr>
          <w:kern w:val="22"/>
          <w:szCs w:val="22"/>
          <w:lang w:eastAsia="en-CA"/>
        </w:rPr>
        <w:t xml:space="preserve"> </w:t>
      </w:r>
      <w:r w:rsidR="00421D75" w:rsidRPr="00E86995">
        <w:rPr>
          <w:kern w:val="22"/>
          <w:szCs w:val="22"/>
          <w:lang w:eastAsia="en-CA"/>
        </w:rPr>
        <w:t xml:space="preserve">The Committee decided that </w:t>
      </w:r>
      <w:r w:rsidR="003154B8" w:rsidRPr="00E86995">
        <w:rPr>
          <w:kern w:val="22"/>
          <w:szCs w:val="22"/>
          <w:lang w:eastAsia="en-CA"/>
        </w:rPr>
        <w:t>the Chair would send a further follow-up letter to the Ministries</w:t>
      </w:r>
      <w:r w:rsidR="00F33E3D" w:rsidRPr="00F33E3D">
        <w:rPr>
          <w:kern w:val="22"/>
          <w:szCs w:val="22"/>
          <w:lang w:eastAsia="en-CA"/>
        </w:rPr>
        <w:t xml:space="preserve"> </w:t>
      </w:r>
      <w:r w:rsidR="00F33E3D">
        <w:rPr>
          <w:kern w:val="22"/>
          <w:szCs w:val="22"/>
          <w:lang w:eastAsia="en-CA"/>
        </w:rPr>
        <w:t xml:space="preserve">of </w:t>
      </w:r>
      <w:r w:rsidR="00F33E3D" w:rsidRPr="00655B24">
        <w:rPr>
          <w:kern w:val="22"/>
          <w:szCs w:val="22"/>
          <w:lang w:eastAsia="en-CA"/>
        </w:rPr>
        <w:t>Foreign</w:t>
      </w:r>
      <w:r w:rsidR="00F33E3D">
        <w:rPr>
          <w:kern w:val="22"/>
          <w:szCs w:val="22"/>
          <w:lang w:eastAsia="en-CA"/>
        </w:rPr>
        <w:t xml:space="preserve"> Affairs</w:t>
      </w:r>
      <w:r w:rsidR="003154B8" w:rsidRPr="00E86995">
        <w:rPr>
          <w:kern w:val="22"/>
          <w:szCs w:val="22"/>
          <w:lang w:eastAsia="en-CA"/>
        </w:rPr>
        <w:t xml:space="preserve"> of Luxembourg, the Marshall Islands and Nicaragua, with a copy to their national focal points, seeking an explanation of the situation that ha</w:t>
      </w:r>
      <w:r w:rsidR="00125CAF" w:rsidRPr="00E86995">
        <w:rPr>
          <w:kern w:val="22"/>
          <w:szCs w:val="22"/>
          <w:lang w:eastAsia="en-CA"/>
        </w:rPr>
        <w:t>d</w:t>
      </w:r>
      <w:r w:rsidR="003154B8" w:rsidRPr="00E86995">
        <w:rPr>
          <w:kern w:val="22"/>
          <w:szCs w:val="22"/>
          <w:lang w:eastAsia="en-CA"/>
        </w:rPr>
        <w:t xml:space="preserve"> prevented them from submitting their interim, first, second or third national reports to date and informing them that the Committee would recommend to </w:t>
      </w:r>
      <w:r w:rsidR="003154B8" w:rsidRPr="00E86995">
        <w:rPr>
          <w:kern w:val="22"/>
          <w:szCs w:val="22"/>
        </w:rPr>
        <w:t xml:space="preserve">the Conference of the Parties serving as the meeting of the Parties </w:t>
      </w:r>
      <w:r w:rsidR="00CC4F7E" w:rsidRPr="00E86995">
        <w:rPr>
          <w:kern w:val="22"/>
          <w:szCs w:val="22"/>
        </w:rPr>
        <w:t xml:space="preserve">to the Cartagena Protocol </w:t>
      </w:r>
      <w:r w:rsidR="00B71C12" w:rsidRPr="00E86995">
        <w:rPr>
          <w:kern w:val="22"/>
          <w:szCs w:val="22"/>
        </w:rPr>
        <w:t xml:space="preserve">on Biosafety </w:t>
      </w:r>
      <w:r w:rsidR="003154B8" w:rsidRPr="00E86995">
        <w:rPr>
          <w:kern w:val="22"/>
          <w:szCs w:val="22"/>
        </w:rPr>
        <w:t xml:space="preserve">that it issue a caution </w:t>
      </w:r>
      <w:r w:rsidR="00125CAF" w:rsidRPr="00E86995">
        <w:rPr>
          <w:kern w:val="22"/>
          <w:szCs w:val="22"/>
        </w:rPr>
        <w:t xml:space="preserve">at its eighth meeting </w:t>
      </w:r>
      <w:r w:rsidR="003154B8" w:rsidRPr="00E86995">
        <w:rPr>
          <w:kern w:val="22"/>
          <w:szCs w:val="22"/>
        </w:rPr>
        <w:t>to these Parties as provided for in section VI, paragraph 2(b), of the Procedures and Mechanisms on Compliance under the Cartagena Protocol on Biosafety as contained in the annex to decision BS-I/7, unless a response was received before the eighth meeting of the Conference of the Parties serving as the meeting of the Parties</w:t>
      </w:r>
      <w:r w:rsidR="00B71C12" w:rsidRPr="00E86995">
        <w:rPr>
          <w:kern w:val="22"/>
          <w:szCs w:val="22"/>
        </w:rPr>
        <w:t xml:space="preserve"> to the Cartagena Protocol on Biosafety</w:t>
      </w:r>
      <w:r w:rsidR="003154B8" w:rsidRPr="00E86995">
        <w:rPr>
          <w:kern w:val="22"/>
          <w:szCs w:val="22"/>
        </w:rPr>
        <w:t>.</w:t>
      </w:r>
    </w:p>
    <w:p w14:paraId="115E2040" w14:textId="77777777" w:rsidR="001B59DB" w:rsidRPr="00E86995" w:rsidRDefault="003154B8"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 xml:space="preserve">Nicaragua and Luxembourg submitted their third national reports on </w:t>
      </w:r>
      <w:r w:rsidR="00AB61FA" w:rsidRPr="00E86995">
        <w:rPr>
          <w:kern w:val="22"/>
          <w:szCs w:val="22"/>
        </w:rPr>
        <w:t>4 April</w:t>
      </w:r>
      <w:r w:rsidRPr="00E86995">
        <w:rPr>
          <w:kern w:val="22"/>
          <w:szCs w:val="22"/>
        </w:rPr>
        <w:t xml:space="preserve"> 2016 and </w:t>
      </w:r>
      <w:r w:rsidR="00DF7669" w:rsidRPr="00E86995">
        <w:rPr>
          <w:kern w:val="22"/>
          <w:szCs w:val="22"/>
        </w:rPr>
        <w:t>9 </w:t>
      </w:r>
      <w:r w:rsidR="00AB61FA" w:rsidRPr="00E86995">
        <w:rPr>
          <w:kern w:val="22"/>
          <w:szCs w:val="22"/>
        </w:rPr>
        <w:t>November</w:t>
      </w:r>
      <w:r w:rsidRPr="00E86995">
        <w:rPr>
          <w:kern w:val="22"/>
          <w:szCs w:val="22"/>
        </w:rPr>
        <w:t xml:space="preserve"> 2016, respectively</w:t>
      </w:r>
      <w:r w:rsidR="00CC4F7E" w:rsidRPr="00E86995">
        <w:rPr>
          <w:kern w:val="22"/>
          <w:szCs w:val="22"/>
        </w:rPr>
        <w:t>, before the eighth meeting of the Conference of the Parties serving as the meeting of the Parties to the Cartagena Protocol</w:t>
      </w:r>
      <w:r w:rsidR="00B817AC" w:rsidRPr="00E86995">
        <w:rPr>
          <w:kern w:val="22"/>
          <w:szCs w:val="22"/>
        </w:rPr>
        <w:t xml:space="preserve"> on Biosafety</w:t>
      </w:r>
      <w:r w:rsidR="00CC4F7E" w:rsidRPr="00E86995">
        <w:rPr>
          <w:kern w:val="22"/>
          <w:szCs w:val="22"/>
        </w:rPr>
        <w:t>.</w:t>
      </w:r>
    </w:p>
    <w:p w14:paraId="6307E6D4" w14:textId="3A243B96" w:rsidR="0052460D" w:rsidRPr="00E27994" w:rsidRDefault="00CC4F7E"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lastRenderedPageBreak/>
        <w:t xml:space="preserve">Consequently, </w:t>
      </w:r>
      <w:r w:rsidR="00165FCA" w:rsidRPr="00E86995">
        <w:rPr>
          <w:kern w:val="22"/>
          <w:szCs w:val="22"/>
        </w:rPr>
        <w:t>the Marshall Islands was the only Party considered</w:t>
      </w:r>
      <w:r w:rsidRPr="00E86995">
        <w:rPr>
          <w:kern w:val="22"/>
          <w:szCs w:val="22"/>
        </w:rPr>
        <w:t xml:space="preserve"> </w:t>
      </w:r>
      <w:r w:rsidR="00421D75" w:rsidRPr="00E86995">
        <w:rPr>
          <w:kern w:val="22"/>
          <w:szCs w:val="22"/>
        </w:rPr>
        <w:t xml:space="preserve">by </w:t>
      </w:r>
      <w:r w:rsidR="00DF4C6F" w:rsidRPr="00E86995">
        <w:rPr>
          <w:kern w:val="22"/>
          <w:szCs w:val="22"/>
        </w:rPr>
        <w:t xml:space="preserve">the Conference of the Parties serving as the meeting of the Parties to the </w:t>
      </w:r>
      <w:r w:rsidR="00B71C12" w:rsidRPr="00E86995">
        <w:rPr>
          <w:kern w:val="22"/>
          <w:szCs w:val="22"/>
        </w:rPr>
        <w:t xml:space="preserve">Cartagena </w:t>
      </w:r>
      <w:r w:rsidR="00DF4C6F" w:rsidRPr="00E86995">
        <w:rPr>
          <w:kern w:val="22"/>
          <w:szCs w:val="22"/>
        </w:rPr>
        <w:t>Protocol</w:t>
      </w:r>
      <w:r w:rsidR="00E35A01" w:rsidRPr="00E86995">
        <w:rPr>
          <w:kern w:val="22"/>
          <w:szCs w:val="22"/>
        </w:rPr>
        <w:t xml:space="preserve"> </w:t>
      </w:r>
      <w:r w:rsidR="00BF2F74" w:rsidRPr="00E86995">
        <w:rPr>
          <w:kern w:val="22"/>
          <w:szCs w:val="22"/>
        </w:rPr>
        <w:t xml:space="preserve">on Biosafety </w:t>
      </w:r>
      <w:r w:rsidRPr="00E86995">
        <w:rPr>
          <w:kern w:val="22"/>
          <w:szCs w:val="22"/>
        </w:rPr>
        <w:t>for the issuance of a caution</w:t>
      </w:r>
      <w:r w:rsidR="00165FCA" w:rsidRPr="00E86995">
        <w:rPr>
          <w:kern w:val="22"/>
          <w:szCs w:val="22"/>
        </w:rPr>
        <w:t xml:space="preserve">. </w:t>
      </w:r>
      <w:r w:rsidR="0052460D" w:rsidRPr="00E27994">
        <w:rPr>
          <w:kern w:val="22"/>
          <w:szCs w:val="22"/>
        </w:rPr>
        <w:t xml:space="preserve">The </w:t>
      </w:r>
      <w:r w:rsidR="00DF4C6F" w:rsidRPr="00E27994">
        <w:rPr>
          <w:kern w:val="22"/>
          <w:szCs w:val="22"/>
        </w:rPr>
        <w:t>meeting of the Parties</w:t>
      </w:r>
      <w:r w:rsidR="00657847" w:rsidRPr="00E27994">
        <w:rPr>
          <w:kern w:val="22"/>
          <w:szCs w:val="22"/>
        </w:rPr>
        <w:t xml:space="preserve"> </w:t>
      </w:r>
      <w:r w:rsidR="0052460D" w:rsidRPr="00E27994">
        <w:rPr>
          <w:kern w:val="22"/>
          <w:szCs w:val="22"/>
        </w:rPr>
        <w:t xml:space="preserve">did not adopt the recommendation of the Committee to caution the </w:t>
      </w:r>
      <w:r w:rsidR="00FA6660" w:rsidRPr="00E27994">
        <w:rPr>
          <w:kern w:val="22"/>
          <w:szCs w:val="22"/>
        </w:rPr>
        <w:t>Marshall Islands</w:t>
      </w:r>
      <w:r w:rsidR="00F66C01" w:rsidRPr="00E27994">
        <w:rPr>
          <w:kern w:val="22"/>
          <w:szCs w:val="22"/>
        </w:rPr>
        <w:t xml:space="preserve"> </w:t>
      </w:r>
      <w:r w:rsidR="006C57EA" w:rsidRPr="00E27994">
        <w:rPr>
          <w:kern w:val="22"/>
          <w:szCs w:val="22"/>
        </w:rPr>
        <w:t>but</w:t>
      </w:r>
      <w:r w:rsidR="00F66C01" w:rsidRPr="00E27994">
        <w:rPr>
          <w:kern w:val="22"/>
          <w:szCs w:val="22"/>
        </w:rPr>
        <w:t xml:space="preserve"> </w:t>
      </w:r>
      <w:r w:rsidR="0052460D" w:rsidRPr="00E27994">
        <w:rPr>
          <w:kern w:val="22"/>
          <w:szCs w:val="22"/>
        </w:rPr>
        <w:t xml:space="preserve">noted with regret that one Party had not submitted its </w:t>
      </w:r>
      <w:proofErr w:type="gramStart"/>
      <w:r w:rsidR="0052460D" w:rsidRPr="00E27994">
        <w:rPr>
          <w:kern w:val="22"/>
          <w:szCs w:val="22"/>
        </w:rPr>
        <w:t>interim,</w:t>
      </w:r>
      <w:proofErr w:type="gramEnd"/>
      <w:r w:rsidR="0052460D" w:rsidRPr="00E27994">
        <w:rPr>
          <w:kern w:val="22"/>
          <w:szCs w:val="22"/>
        </w:rPr>
        <w:t xml:space="preserve"> first, second or third national reports and urged the Party to submit its third national report to fulfil its obligation. </w:t>
      </w:r>
      <w:r w:rsidR="00F770F3" w:rsidRPr="00E27994">
        <w:rPr>
          <w:kern w:val="22"/>
          <w:szCs w:val="22"/>
        </w:rPr>
        <w:t xml:space="preserve">The </w:t>
      </w:r>
      <w:r w:rsidR="00567966" w:rsidRPr="00E27994">
        <w:rPr>
          <w:kern w:val="22"/>
          <w:szCs w:val="22"/>
        </w:rPr>
        <w:t>meeting of the Parties</w:t>
      </w:r>
      <w:r w:rsidR="00F770F3" w:rsidRPr="00E27994">
        <w:rPr>
          <w:kern w:val="22"/>
          <w:szCs w:val="22"/>
        </w:rPr>
        <w:t xml:space="preserve"> also noted that the Committee and the Executive Secretary had contacted the Party on numerous occasions</w:t>
      </w:r>
      <w:r w:rsidR="00AF37CC" w:rsidRPr="00E27994">
        <w:rPr>
          <w:kern w:val="22"/>
          <w:szCs w:val="22"/>
        </w:rPr>
        <w:t>, in accordance with decision BS-V/1, including by offering support in preparing its reports.</w:t>
      </w:r>
      <w:r w:rsidR="00F770F3" w:rsidRPr="00E27994">
        <w:rPr>
          <w:kern w:val="22"/>
          <w:szCs w:val="22"/>
        </w:rPr>
        <w:t xml:space="preserve"> </w:t>
      </w:r>
      <w:r w:rsidR="006C57EA" w:rsidRPr="00E27994">
        <w:rPr>
          <w:kern w:val="22"/>
          <w:szCs w:val="22"/>
        </w:rPr>
        <w:t xml:space="preserve">The </w:t>
      </w:r>
      <w:r w:rsidR="00496303" w:rsidRPr="00E27994">
        <w:rPr>
          <w:kern w:val="22"/>
          <w:szCs w:val="22"/>
        </w:rPr>
        <w:t>meeting of the Parties</w:t>
      </w:r>
      <w:r w:rsidR="006C57EA" w:rsidRPr="00E27994">
        <w:rPr>
          <w:kern w:val="22"/>
          <w:szCs w:val="22"/>
        </w:rPr>
        <w:t xml:space="preserve"> </w:t>
      </w:r>
      <w:r w:rsidR="0052460D" w:rsidRPr="00E27994">
        <w:rPr>
          <w:kern w:val="22"/>
          <w:szCs w:val="22"/>
        </w:rPr>
        <w:t>encouraged the Party to accept the offers of assistance of the Committee and any other assistance, should it require support to prepare its report.</w:t>
      </w:r>
    </w:p>
    <w:p w14:paraId="4BCFA899" w14:textId="1B0EBA6B" w:rsidR="00B80294" w:rsidRPr="00E86995" w:rsidRDefault="00807161"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At its fourteenth meeting</w:t>
      </w:r>
      <w:r w:rsidR="008A4A39" w:rsidRPr="00E86995">
        <w:rPr>
          <w:kern w:val="22"/>
          <w:szCs w:val="22"/>
        </w:rPr>
        <w:t xml:space="preserve">, in the context of the assessment of the outcomes of the eighth meeting of the Conference of the Parties serving as the meeting of the Parties to the </w:t>
      </w:r>
      <w:r w:rsidR="00840788" w:rsidRPr="00E86995">
        <w:rPr>
          <w:kern w:val="22"/>
          <w:szCs w:val="22"/>
        </w:rPr>
        <w:t xml:space="preserve">Cartagena </w:t>
      </w:r>
      <w:r w:rsidR="008A4A39" w:rsidRPr="00E86995">
        <w:rPr>
          <w:kern w:val="22"/>
          <w:szCs w:val="22"/>
        </w:rPr>
        <w:t>Protocol on Biosafety, the Committee reviewed decision CP-VIII/1</w:t>
      </w:r>
      <w:r w:rsidR="00BC7E70" w:rsidRPr="00E86995">
        <w:rPr>
          <w:kern w:val="22"/>
          <w:szCs w:val="22"/>
        </w:rPr>
        <w:t xml:space="preserve"> </w:t>
      </w:r>
      <w:r w:rsidR="008A4A39" w:rsidRPr="00E86995">
        <w:rPr>
          <w:kern w:val="22"/>
          <w:szCs w:val="22"/>
        </w:rPr>
        <w:t>on compliance</w:t>
      </w:r>
      <w:r w:rsidR="00B80294" w:rsidRPr="00E86995">
        <w:rPr>
          <w:kern w:val="22"/>
          <w:szCs w:val="22"/>
        </w:rPr>
        <w:t xml:space="preserve"> and recalled all the previous efforts of the </w:t>
      </w:r>
      <w:r w:rsidR="008953B5" w:rsidRPr="00E86995">
        <w:rPr>
          <w:kern w:val="22"/>
          <w:szCs w:val="22"/>
        </w:rPr>
        <w:t>C</w:t>
      </w:r>
      <w:r w:rsidR="00B80294" w:rsidRPr="00E86995">
        <w:rPr>
          <w:kern w:val="22"/>
          <w:szCs w:val="22"/>
        </w:rPr>
        <w:t>ommittee to encourage and assist Parties that had no</w:t>
      </w:r>
      <w:r w:rsidR="008953B5" w:rsidRPr="00E86995">
        <w:rPr>
          <w:kern w:val="22"/>
          <w:szCs w:val="22"/>
        </w:rPr>
        <w:t>t</w:t>
      </w:r>
      <w:r w:rsidR="00B80294" w:rsidRPr="00E86995">
        <w:rPr>
          <w:kern w:val="22"/>
          <w:szCs w:val="22"/>
        </w:rPr>
        <w:t xml:space="preserve"> complied with their reporting obligations. The Committee deci</w:t>
      </w:r>
      <w:r w:rsidR="00992563" w:rsidRPr="00E86995">
        <w:rPr>
          <w:kern w:val="22"/>
          <w:szCs w:val="22"/>
        </w:rPr>
        <w:t xml:space="preserve">ded that the recommendation to </w:t>
      </w:r>
      <w:r w:rsidR="00B80294" w:rsidRPr="00E86995">
        <w:rPr>
          <w:kern w:val="22"/>
          <w:szCs w:val="22"/>
        </w:rPr>
        <w:t xml:space="preserve">issue a caution, although not taken up by the </w:t>
      </w:r>
      <w:r w:rsidR="00BC7E70" w:rsidRPr="00E86995">
        <w:rPr>
          <w:kern w:val="22"/>
          <w:szCs w:val="22"/>
        </w:rPr>
        <w:t>meeting of the Parties</w:t>
      </w:r>
      <w:r w:rsidR="00B80294" w:rsidRPr="00E86995">
        <w:rPr>
          <w:kern w:val="22"/>
          <w:szCs w:val="22"/>
        </w:rPr>
        <w:t>, was nevertheles</w:t>
      </w:r>
      <w:r w:rsidR="00992563" w:rsidRPr="00E86995">
        <w:rPr>
          <w:kern w:val="22"/>
          <w:szCs w:val="22"/>
        </w:rPr>
        <w:t xml:space="preserve">s very useful and likely encouraged two </w:t>
      </w:r>
      <w:r w:rsidR="00B80294" w:rsidRPr="00E86995">
        <w:rPr>
          <w:kern w:val="22"/>
          <w:szCs w:val="22"/>
        </w:rPr>
        <w:t>o</w:t>
      </w:r>
      <w:r w:rsidR="00992563" w:rsidRPr="00E86995">
        <w:rPr>
          <w:kern w:val="22"/>
          <w:szCs w:val="22"/>
        </w:rPr>
        <w:t>f</w:t>
      </w:r>
      <w:r w:rsidR="00B80294" w:rsidRPr="00E86995">
        <w:rPr>
          <w:kern w:val="22"/>
          <w:szCs w:val="22"/>
        </w:rPr>
        <w:t xml:space="preserve"> the Parties concerned to submit their third national reports. </w:t>
      </w:r>
      <w:r w:rsidR="00B80294" w:rsidRPr="00E86995">
        <w:rPr>
          <w:iCs/>
          <w:kern w:val="22"/>
          <w:szCs w:val="22"/>
        </w:rPr>
        <w:t>The Committee furthermore noted that informal follow-up with the Marshall Islands could be beneficial and agreed that a report on any informal discussions with the Marshall Islands could be addressed at the Committee’s fifteenth meeting. The Committee was also of the opinion that a videoconference could be set up during its fifteenth meeting with a representative of the Marshall Islands, if necessary.</w:t>
      </w:r>
    </w:p>
    <w:p w14:paraId="7883D6B0" w14:textId="2054DD2F" w:rsidR="0053234B" w:rsidRPr="00E86995" w:rsidRDefault="0093611A" w:rsidP="00E86995">
      <w:pPr>
        <w:pStyle w:val="Para1"/>
        <w:numPr>
          <w:ilvl w:val="0"/>
          <w:numId w:val="31"/>
        </w:numPr>
        <w:suppressLineNumbers/>
        <w:tabs>
          <w:tab w:val="clear" w:pos="720"/>
        </w:tabs>
        <w:suppressAutoHyphens/>
        <w:kinsoku w:val="0"/>
        <w:overflowPunct w:val="0"/>
        <w:autoSpaceDE w:val="0"/>
        <w:autoSpaceDN w:val="0"/>
        <w:ind w:left="0" w:firstLine="0"/>
        <w:rPr>
          <w:kern w:val="22"/>
          <w:szCs w:val="22"/>
        </w:rPr>
      </w:pPr>
      <w:r w:rsidRPr="00E86995">
        <w:rPr>
          <w:kern w:val="22"/>
          <w:szCs w:val="22"/>
        </w:rPr>
        <w:t>At its fourteenth meeting, the Committee also considered the reporting rate of third national report</w:t>
      </w:r>
      <w:r w:rsidR="00AD590D" w:rsidRPr="00E86995">
        <w:rPr>
          <w:kern w:val="22"/>
          <w:szCs w:val="22"/>
        </w:rPr>
        <w:t>s</w:t>
      </w:r>
      <w:r w:rsidRPr="00E86995">
        <w:rPr>
          <w:kern w:val="22"/>
          <w:szCs w:val="22"/>
        </w:rPr>
        <w:t xml:space="preserve"> in the context of its consideration of general issues of compliance</w:t>
      </w:r>
      <w:r w:rsidR="008B3A43" w:rsidRPr="00E86995">
        <w:rPr>
          <w:kern w:val="22"/>
          <w:szCs w:val="22"/>
        </w:rPr>
        <w:t xml:space="preserve"> and decided that the Chair </w:t>
      </w:r>
      <w:r w:rsidR="00AD590D" w:rsidRPr="00E86995">
        <w:rPr>
          <w:kern w:val="22"/>
          <w:szCs w:val="22"/>
        </w:rPr>
        <w:t xml:space="preserve">of the Committee </w:t>
      </w:r>
      <w:r w:rsidR="008B3A43" w:rsidRPr="00E86995">
        <w:rPr>
          <w:kern w:val="22"/>
          <w:szCs w:val="22"/>
        </w:rPr>
        <w:t xml:space="preserve">would send a letter to those Parties that had not submitted a third national report and a separate letter to those Parties that had submitted </w:t>
      </w:r>
      <w:r w:rsidR="003C310F">
        <w:rPr>
          <w:kern w:val="22"/>
          <w:szCs w:val="22"/>
        </w:rPr>
        <w:t xml:space="preserve">neither </w:t>
      </w:r>
      <w:r w:rsidR="008B3A43" w:rsidRPr="00E86995">
        <w:rPr>
          <w:kern w:val="22"/>
          <w:szCs w:val="22"/>
        </w:rPr>
        <w:t xml:space="preserve">their second </w:t>
      </w:r>
      <w:r w:rsidR="003C310F">
        <w:rPr>
          <w:kern w:val="22"/>
          <w:szCs w:val="22"/>
        </w:rPr>
        <w:t>n</w:t>
      </w:r>
      <w:r w:rsidR="001A7666">
        <w:rPr>
          <w:kern w:val="22"/>
          <w:szCs w:val="22"/>
        </w:rPr>
        <w:t>or</w:t>
      </w:r>
      <w:r w:rsidR="008B3A43" w:rsidRPr="00E86995">
        <w:rPr>
          <w:kern w:val="22"/>
          <w:szCs w:val="22"/>
        </w:rPr>
        <w:t xml:space="preserve"> </w:t>
      </w:r>
      <w:r w:rsidR="003C310F">
        <w:rPr>
          <w:kern w:val="22"/>
          <w:szCs w:val="22"/>
        </w:rPr>
        <w:t xml:space="preserve">their </w:t>
      </w:r>
      <w:r w:rsidR="008B3A43" w:rsidRPr="00E86995">
        <w:rPr>
          <w:kern w:val="22"/>
          <w:szCs w:val="22"/>
        </w:rPr>
        <w:t>third national reports</w:t>
      </w:r>
      <w:r w:rsidRPr="00E86995">
        <w:rPr>
          <w:kern w:val="22"/>
          <w:szCs w:val="22"/>
        </w:rPr>
        <w:t xml:space="preserve">. More information </w:t>
      </w:r>
      <w:r w:rsidR="0019434B" w:rsidRPr="00E86995">
        <w:rPr>
          <w:kern w:val="22"/>
          <w:szCs w:val="22"/>
        </w:rPr>
        <w:t xml:space="preserve">on this issue </w:t>
      </w:r>
      <w:r w:rsidRPr="00E86995">
        <w:rPr>
          <w:kern w:val="22"/>
          <w:szCs w:val="22"/>
        </w:rPr>
        <w:t xml:space="preserve">is </w:t>
      </w:r>
      <w:r w:rsidR="00D525FF" w:rsidRPr="00E86995">
        <w:rPr>
          <w:kern w:val="22"/>
          <w:szCs w:val="22"/>
        </w:rPr>
        <w:t>contained</w:t>
      </w:r>
      <w:r w:rsidRPr="00E86995">
        <w:rPr>
          <w:kern w:val="22"/>
          <w:szCs w:val="22"/>
        </w:rPr>
        <w:t xml:space="preserve"> in CBD/CP/CC/15/3.</w:t>
      </w:r>
    </w:p>
    <w:p w14:paraId="74D0075C" w14:textId="10172536" w:rsidR="00471DE9" w:rsidRPr="00E86995" w:rsidRDefault="00E27994" w:rsidP="00E86995">
      <w:pPr>
        <w:pStyle w:val="Para1"/>
        <w:numPr>
          <w:ilvl w:val="0"/>
          <w:numId w:val="0"/>
        </w:numPr>
        <w:suppressLineNumbers/>
        <w:suppressAutoHyphens/>
        <w:kinsoku w:val="0"/>
        <w:overflowPunct w:val="0"/>
        <w:autoSpaceDE w:val="0"/>
        <w:autoSpaceDN w:val="0"/>
        <w:jc w:val="center"/>
        <w:rPr>
          <w:kern w:val="22"/>
          <w:szCs w:val="22"/>
        </w:rPr>
      </w:pPr>
      <w:r w:rsidRPr="00E86995">
        <w:rPr>
          <w:kern w:val="22"/>
          <w:szCs w:val="22"/>
        </w:rPr>
        <w:t>__________</w:t>
      </w:r>
    </w:p>
    <w:sectPr w:rsidR="00471DE9" w:rsidRPr="00E86995" w:rsidSect="00544C48">
      <w:headerReference w:type="even" r:id="rId15"/>
      <w:headerReference w:type="default" r:id="rId16"/>
      <w:type w:val="continuous"/>
      <w:pgSz w:w="12240" w:h="15840" w:code="1"/>
      <w:pgMar w:top="1021" w:right="1440" w:bottom="1077" w:left="1440" w:header="454"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33F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33FF5" w16cid:durableId="1E75B7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B915C" w14:textId="77777777" w:rsidR="00283599" w:rsidRDefault="00283599">
      <w:r>
        <w:separator/>
      </w:r>
    </w:p>
  </w:endnote>
  <w:endnote w:type="continuationSeparator" w:id="0">
    <w:p w14:paraId="19E7C4E8" w14:textId="77777777" w:rsidR="00283599" w:rsidRDefault="0028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01E15" w14:textId="77777777" w:rsidR="00DB68E9" w:rsidRDefault="00DB68E9" w:rsidP="00E86995">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2AC6B" w14:textId="77777777" w:rsidR="00DB68E9" w:rsidRDefault="00DB68E9" w:rsidP="00E86995">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CDF2D" w14:textId="77777777" w:rsidR="00283599" w:rsidRDefault="00283599">
      <w:r>
        <w:separator/>
      </w:r>
    </w:p>
  </w:footnote>
  <w:footnote w:type="continuationSeparator" w:id="0">
    <w:p w14:paraId="7BBD9DBF" w14:textId="77777777" w:rsidR="00283599" w:rsidRDefault="00283599">
      <w:r>
        <w:continuationSeparator/>
      </w:r>
    </w:p>
  </w:footnote>
  <w:footnote w:id="1">
    <w:p w14:paraId="1DB4B509" w14:textId="52E06495" w:rsidR="00C30E45" w:rsidRPr="00E86995" w:rsidRDefault="00C30E45" w:rsidP="00E86995">
      <w:pPr>
        <w:pStyle w:val="FootnoteText"/>
        <w:kinsoku w:val="0"/>
        <w:overflowPunct w:val="0"/>
        <w:autoSpaceDE w:val="0"/>
        <w:autoSpaceDN w:val="0"/>
        <w:ind w:firstLine="0"/>
        <w:jc w:val="left"/>
        <w:rPr>
          <w:kern w:val="18"/>
          <w:szCs w:val="18"/>
          <w:lang w:val="en-US"/>
        </w:rPr>
      </w:pPr>
      <w:r w:rsidRPr="00E86995">
        <w:rPr>
          <w:rStyle w:val="FootnoteReference"/>
          <w:kern w:val="18"/>
          <w:szCs w:val="18"/>
          <w:u w:val="none"/>
          <w:vertAlign w:val="superscript"/>
        </w:rPr>
        <w:footnoteRef/>
      </w:r>
      <w:r w:rsidRPr="00E86995">
        <w:rPr>
          <w:kern w:val="18"/>
          <w:szCs w:val="18"/>
        </w:rPr>
        <w:t xml:space="preserve"> </w:t>
      </w:r>
      <w:proofErr w:type="gramStart"/>
      <w:r w:rsidRPr="00E86995">
        <w:rPr>
          <w:kern w:val="18"/>
          <w:szCs w:val="18"/>
          <w:lang w:val="en-US"/>
        </w:rPr>
        <w:t xml:space="preserve">Item 6 of the provisional agenda </w:t>
      </w:r>
      <w:r w:rsidR="003A0C9B" w:rsidRPr="00E86995">
        <w:rPr>
          <w:kern w:val="18"/>
          <w:szCs w:val="18"/>
          <w:lang w:val="en-US"/>
        </w:rPr>
        <w:t>(</w:t>
      </w:r>
      <w:hyperlink r:id="rId1" w:history="1">
        <w:r w:rsidRPr="00E86995">
          <w:rPr>
            <w:rStyle w:val="Hyperlink"/>
            <w:kern w:val="18"/>
            <w:szCs w:val="18"/>
            <w:lang w:val="en-US"/>
          </w:rPr>
          <w:t>CBD/CP/CC/15/1</w:t>
        </w:r>
      </w:hyperlink>
      <w:r w:rsidR="003A0C9B" w:rsidRPr="00E86995">
        <w:rPr>
          <w:kern w:val="18"/>
          <w:szCs w:val="18"/>
          <w:lang w:val="en-US"/>
        </w:rPr>
        <w:t>)</w:t>
      </w:r>
      <w:r w:rsidRPr="00E86995">
        <w:rPr>
          <w:kern w:val="18"/>
          <w:szCs w:val="18"/>
          <w:lang w:val="en-US"/>
        </w:rPr>
        <w:t>.</w:t>
      </w:r>
      <w:proofErr w:type="gramEnd"/>
    </w:p>
  </w:footnote>
  <w:footnote w:id="2">
    <w:p w14:paraId="3891DAEF" w14:textId="7E3531BC" w:rsidR="00CF7234" w:rsidRPr="00E86995" w:rsidRDefault="00CF7234" w:rsidP="00E86995">
      <w:pPr>
        <w:pStyle w:val="FootnoteText"/>
        <w:kinsoku w:val="0"/>
        <w:overflowPunct w:val="0"/>
        <w:autoSpaceDE w:val="0"/>
        <w:autoSpaceDN w:val="0"/>
        <w:ind w:firstLine="0"/>
        <w:jc w:val="left"/>
        <w:rPr>
          <w:kern w:val="18"/>
          <w:szCs w:val="18"/>
          <w:lang w:val="en-US"/>
        </w:rPr>
      </w:pPr>
      <w:r w:rsidRPr="00E86995">
        <w:rPr>
          <w:rStyle w:val="FootnoteReference"/>
          <w:kern w:val="18"/>
          <w:szCs w:val="18"/>
          <w:u w:val="none"/>
          <w:vertAlign w:val="superscript"/>
        </w:rPr>
        <w:footnoteRef/>
      </w:r>
      <w:r w:rsidRPr="00E86995">
        <w:rPr>
          <w:kern w:val="18"/>
          <w:szCs w:val="18"/>
          <w:lang w:val="en-US"/>
        </w:rPr>
        <w:t xml:space="preserve"> Document UNEP/CBD/BS/CC/13/INF/1</w:t>
      </w:r>
      <w:r w:rsidR="00342BB7" w:rsidRPr="00E86995">
        <w:rPr>
          <w:kern w:val="18"/>
          <w:szCs w:val="18"/>
          <w:lang w:val="en-US"/>
        </w:rPr>
        <w:t>,</w:t>
      </w:r>
      <w:r w:rsidRPr="00E86995">
        <w:rPr>
          <w:kern w:val="18"/>
          <w:szCs w:val="18"/>
        </w:rPr>
        <w:t xml:space="preserve"> prepared for the thirteenth meeting of the Compliance Committee</w:t>
      </w:r>
      <w:r w:rsidR="00342BB7" w:rsidRPr="00E86995">
        <w:rPr>
          <w:kern w:val="18"/>
          <w:szCs w:val="18"/>
        </w:rPr>
        <w:t xml:space="preserve">, </w:t>
      </w:r>
      <w:r w:rsidRPr="00E86995">
        <w:rPr>
          <w:kern w:val="18"/>
          <w:szCs w:val="18"/>
        </w:rPr>
        <w:t xml:space="preserve">provides an overview of </w:t>
      </w:r>
      <w:r w:rsidR="00342BB7" w:rsidRPr="00E86995">
        <w:rPr>
          <w:kern w:val="18"/>
          <w:szCs w:val="18"/>
        </w:rPr>
        <w:t>the Committee’s</w:t>
      </w:r>
      <w:r w:rsidRPr="00E86995">
        <w:rPr>
          <w:kern w:val="18"/>
          <w:szCs w:val="18"/>
        </w:rPr>
        <w:t xml:space="preserve"> consideration of </w:t>
      </w:r>
      <w:r w:rsidR="00342BB7" w:rsidRPr="00E86995">
        <w:rPr>
          <w:kern w:val="18"/>
          <w:szCs w:val="18"/>
        </w:rPr>
        <w:t>national reporting as a general issue of compliance</w:t>
      </w:r>
      <w:r w:rsidR="00067051" w:rsidRPr="00E86995">
        <w:rPr>
          <w:kern w:val="18"/>
          <w:szCs w:val="18"/>
        </w:rPr>
        <w:t xml:space="preserve"> </w:t>
      </w:r>
      <w:r w:rsidR="00342BB7" w:rsidRPr="00E86995">
        <w:rPr>
          <w:kern w:val="18"/>
          <w:szCs w:val="18"/>
        </w:rPr>
        <w:t>from</w:t>
      </w:r>
      <w:r w:rsidRPr="00E86995">
        <w:rPr>
          <w:kern w:val="18"/>
          <w:szCs w:val="18"/>
        </w:rPr>
        <w:t xml:space="preserve"> its second meeting up until the adoption of decision BS</w:t>
      </w:r>
      <w:r w:rsidR="00FA3AE3" w:rsidRPr="00E86995">
        <w:rPr>
          <w:kern w:val="18"/>
          <w:szCs w:val="18"/>
        </w:rPr>
        <w:t>-</w:t>
      </w:r>
      <w:r w:rsidRPr="00E86995">
        <w:rPr>
          <w:kern w:val="18"/>
          <w:szCs w:val="18"/>
        </w:rPr>
        <w:t>V/1 (paras</w:t>
      </w:r>
      <w:r w:rsidR="00674485" w:rsidRPr="00E86995">
        <w:rPr>
          <w:kern w:val="18"/>
          <w:szCs w:val="18"/>
        </w:rPr>
        <w:t>.</w:t>
      </w:r>
      <w:r w:rsidRPr="00E86995">
        <w:rPr>
          <w:kern w:val="18"/>
          <w:szCs w:val="18"/>
        </w:rPr>
        <w:t xml:space="preserve"> 7-20). It also includes the changes adopted by the Committee to its work plan and activities as a result of decision BS-V/1 and how it has approached the consideration of the reporting rate under the second reporting cycle as a result (paras</w:t>
      </w:r>
      <w:r w:rsidR="003044B2" w:rsidRPr="00E86995">
        <w:rPr>
          <w:kern w:val="18"/>
          <w:szCs w:val="18"/>
        </w:rPr>
        <w:t>.</w:t>
      </w:r>
      <w:r w:rsidRPr="00E86995">
        <w:rPr>
          <w:kern w:val="18"/>
          <w:szCs w:val="18"/>
        </w:rPr>
        <w:t xml:space="preserve"> 21-32). The relevant latter information i</w:t>
      </w:r>
      <w:r w:rsidR="00FA3AE3" w:rsidRPr="00E86995">
        <w:rPr>
          <w:kern w:val="18"/>
          <w:szCs w:val="18"/>
        </w:rPr>
        <w:t>s</w:t>
      </w:r>
      <w:r w:rsidRPr="00E86995">
        <w:rPr>
          <w:kern w:val="18"/>
          <w:szCs w:val="18"/>
        </w:rPr>
        <w:t xml:space="preserve"> reproduced in the present document for ease of reference.</w:t>
      </w:r>
    </w:p>
  </w:footnote>
  <w:footnote w:id="3">
    <w:p w14:paraId="721EE798" w14:textId="7E9C5720" w:rsidR="00F5105B" w:rsidRPr="00E86995" w:rsidRDefault="00F5105B"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00421D75" w:rsidRPr="00E86995">
        <w:rPr>
          <w:kern w:val="18"/>
          <w:szCs w:val="18"/>
        </w:rPr>
        <w:t xml:space="preserve"> </w:t>
      </w:r>
      <w:proofErr w:type="gramStart"/>
      <w:r w:rsidR="00421D75" w:rsidRPr="00E86995">
        <w:rPr>
          <w:kern w:val="18"/>
          <w:szCs w:val="18"/>
        </w:rPr>
        <w:t>R</w:t>
      </w:r>
      <w:r w:rsidRPr="00E86995">
        <w:rPr>
          <w:kern w:val="18"/>
          <w:szCs w:val="18"/>
        </w:rPr>
        <w:t>eport of the Compliance Committee</w:t>
      </w:r>
      <w:r w:rsidR="003A30FE" w:rsidRPr="00E86995">
        <w:rPr>
          <w:kern w:val="18"/>
          <w:szCs w:val="18"/>
        </w:rPr>
        <w:t xml:space="preserve"> on its eighth session</w:t>
      </w:r>
      <w:r w:rsidRPr="00E86995">
        <w:rPr>
          <w:kern w:val="18"/>
          <w:szCs w:val="18"/>
        </w:rPr>
        <w:t xml:space="preserve"> (</w:t>
      </w:r>
      <w:r w:rsidR="00593FCB" w:rsidRPr="00E86995">
        <w:rPr>
          <w:kern w:val="18"/>
          <w:szCs w:val="18"/>
        </w:rPr>
        <w:t>UNEP/CBD/BS/CC/8/3)</w:t>
      </w:r>
      <w:r w:rsidR="003A30FE" w:rsidRPr="00E86995">
        <w:rPr>
          <w:kern w:val="18"/>
          <w:szCs w:val="18"/>
        </w:rPr>
        <w:t>, para.</w:t>
      </w:r>
      <w:proofErr w:type="gramEnd"/>
      <w:r w:rsidR="003A30FE" w:rsidRPr="00E86995">
        <w:rPr>
          <w:kern w:val="18"/>
          <w:szCs w:val="18"/>
        </w:rPr>
        <w:t> 21</w:t>
      </w:r>
      <w:r w:rsidR="00593FCB" w:rsidRPr="00E86995">
        <w:rPr>
          <w:kern w:val="18"/>
          <w:szCs w:val="18"/>
        </w:rPr>
        <w:t>.</w:t>
      </w:r>
    </w:p>
  </w:footnote>
  <w:footnote w:id="4">
    <w:p w14:paraId="26A79C05" w14:textId="77777777" w:rsidR="009E2C72" w:rsidRPr="00E86995" w:rsidRDefault="009E2C72"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E86995">
        <w:rPr>
          <w:kern w:val="18"/>
          <w:szCs w:val="18"/>
        </w:rPr>
        <w:t xml:space="preserve"> Paraguay was not contacted at this time since it had already responded to the reminder sent by the Executive Secretary in March 2012.</w:t>
      </w:r>
    </w:p>
  </w:footnote>
  <w:footnote w:id="5">
    <w:p w14:paraId="07193194" w14:textId="4EC772E4" w:rsidR="001D0E98" w:rsidRPr="00E86995" w:rsidRDefault="001D0E98" w:rsidP="00E86995">
      <w:pPr>
        <w:keepLines/>
        <w:kinsoku w:val="0"/>
        <w:overflowPunct w:val="0"/>
        <w:autoSpaceDE w:val="0"/>
        <w:autoSpaceDN w:val="0"/>
        <w:spacing w:after="60"/>
        <w:jc w:val="left"/>
        <w:rPr>
          <w:kern w:val="18"/>
          <w:sz w:val="18"/>
          <w:szCs w:val="18"/>
        </w:rPr>
      </w:pPr>
      <w:r w:rsidRPr="00E86995">
        <w:rPr>
          <w:rStyle w:val="FootnoteReference"/>
          <w:kern w:val="18"/>
          <w:szCs w:val="18"/>
          <w:u w:val="none"/>
          <w:vertAlign w:val="superscript"/>
        </w:rPr>
        <w:footnoteRef/>
      </w:r>
      <w:r w:rsidRPr="00E86995">
        <w:rPr>
          <w:kern w:val="18"/>
          <w:sz w:val="18"/>
          <w:szCs w:val="18"/>
        </w:rPr>
        <w:t xml:space="preserve"> </w:t>
      </w:r>
      <w:proofErr w:type="gramStart"/>
      <w:r w:rsidRPr="00E86995">
        <w:rPr>
          <w:kern w:val="18"/>
          <w:sz w:val="18"/>
          <w:szCs w:val="18"/>
        </w:rPr>
        <w:t>Bahamas, Luxembourg, the Marshall Islands, Nicaragua and Oman.</w:t>
      </w:r>
      <w:proofErr w:type="gramEnd"/>
      <w:r w:rsidRPr="00E86995">
        <w:rPr>
          <w:kern w:val="18"/>
          <w:sz w:val="18"/>
          <w:szCs w:val="18"/>
        </w:rPr>
        <w:t xml:space="preserve"> These Parties were required to submit an interim, first, second and third national report.</w:t>
      </w:r>
    </w:p>
  </w:footnote>
  <w:footnote w:id="6">
    <w:p w14:paraId="6C8FB25C" w14:textId="77777777" w:rsidR="009E2C72" w:rsidRPr="00E86995" w:rsidRDefault="009E2C72"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E86995">
        <w:rPr>
          <w:kern w:val="18"/>
          <w:szCs w:val="18"/>
        </w:rPr>
        <w:t xml:space="preserve"> Decision BS-VI/14, paragraph 3 urge</w:t>
      </w:r>
      <w:r w:rsidR="00876140" w:rsidRPr="00E86995">
        <w:rPr>
          <w:kern w:val="18"/>
          <w:szCs w:val="18"/>
        </w:rPr>
        <w:t>d</w:t>
      </w:r>
      <w:r w:rsidRPr="00E86995">
        <w:rPr>
          <w:kern w:val="18"/>
          <w:szCs w:val="18"/>
        </w:rPr>
        <w:t xml:space="preserve"> the 14 Parties that ha</w:t>
      </w:r>
      <w:r w:rsidR="00876140" w:rsidRPr="00E86995">
        <w:rPr>
          <w:kern w:val="18"/>
          <w:szCs w:val="18"/>
        </w:rPr>
        <w:t>d</w:t>
      </w:r>
      <w:r w:rsidRPr="00E86995">
        <w:rPr>
          <w:kern w:val="18"/>
          <w:szCs w:val="18"/>
        </w:rPr>
        <w:t xml:space="preserve"> not yet submitted their national reports to do so at the earliest opportunity by fully completing the report form for the second national report, as contained in the annex to decision BS-V/14.</w:t>
      </w:r>
    </w:p>
  </w:footnote>
  <w:footnote w:id="7">
    <w:p w14:paraId="5FBA6B15" w14:textId="548F6FDD" w:rsidR="00AF1851" w:rsidRPr="00E86995" w:rsidRDefault="00AF1851" w:rsidP="00E86995">
      <w:pPr>
        <w:pStyle w:val="FootnoteText"/>
        <w:kinsoku w:val="0"/>
        <w:overflowPunct w:val="0"/>
        <w:autoSpaceDE w:val="0"/>
        <w:autoSpaceDN w:val="0"/>
        <w:ind w:firstLine="0"/>
        <w:jc w:val="left"/>
        <w:rPr>
          <w:kern w:val="18"/>
          <w:szCs w:val="18"/>
          <w:lang w:val="en-US"/>
        </w:rPr>
      </w:pPr>
      <w:r w:rsidRPr="00E86995">
        <w:rPr>
          <w:rStyle w:val="FootnoteReference"/>
          <w:kern w:val="18"/>
          <w:szCs w:val="18"/>
          <w:u w:val="none"/>
          <w:vertAlign w:val="superscript"/>
        </w:rPr>
        <w:footnoteRef/>
      </w:r>
      <w:r w:rsidRPr="00E86995">
        <w:rPr>
          <w:kern w:val="18"/>
          <w:szCs w:val="18"/>
        </w:rPr>
        <w:t xml:space="preserve"> A full account and sample letters sent by the Chair of the Committee and the Executive Secretary in 2012 are available in the document prepared for the tenth meeting of the Committee updating the status of national reporting (</w:t>
      </w:r>
      <w:r w:rsidRPr="00E86995">
        <w:rPr>
          <w:kern w:val="18"/>
          <w:szCs w:val="18"/>
          <w:lang w:val="en-US"/>
        </w:rPr>
        <w:t>UNEP/CBD/BS/CC/10/2)</w:t>
      </w:r>
      <w:r w:rsidR="00876140" w:rsidRPr="00E86995">
        <w:rPr>
          <w:kern w:val="18"/>
          <w:szCs w:val="18"/>
          <w:lang w:val="en-US"/>
        </w:rPr>
        <w:t>.</w:t>
      </w:r>
    </w:p>
  </w:footnote>
  <w:footnote w:id="8">
    <w:p w14:paraId="0DAAE19E" w14:textId="77777777" w:rsidR="00BC3DD3" w:rsidRPr="00E86995" w:rsidRDefault="00BC3DD3" w:rsidP="00E86995">
      <w:pPr>
        <w:keepLines/>
        <w:kinsoku w:val="0"/>
        <w:overflowPunct w:val="0"/>
        <w:autoSpaceDE w:val="0"/>
        <w:autoSpaceDN w:val="0"/>
        <w:spacing w:after="60"/>
        <w:jc w:val="left"/>
        <w:rPr>
          <w:kern w:val="18"/>
          <w:sz w:val="18"/>
          <w:szCs w:val="18"/>
        </w:rPr>
      </w:pPr>
      <w:r w:rsidRPr="00E86995">
        <w:rPr>
          <w:rStyle w:val="FootnoteReference"/>
          <w:kern w:val="18"/>
          <w:szCs w:val="18"/>
          <w:u w:val="none"/>
          <w:vertAlign w:val="superscript"/>
        </w:rPr>
        <w:footnoteRef/>
      </w:r>
      <w:r w:rsidRPr="00E86995">
        <w:rPr>
          <w:kern w:val="18"/>
          <w:sz w:val="18"/>
          <w:szCs w:val="18"/>
        </w:rPr>
        <w:t xml:space="preserve"> Oman submitted its report in March of 2013.</w:t>
      </w:r>
    </w:p>
  </w:footnote>
  <w:footnote w:id="9">
    <w:p w14:paraId="6F9E2DD5" w14:textId="77777777" w:rsidR="008D5ACC" w:rsidRPr="00E86995" w:rsidRDefault="008D5ACC"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E86995">
        <w:rPr>
          <w:kern w:val="18"/>
          <w:szCs w:val="18"/>
        </w:rPr>
        <w:t xml:space="preserve"> Palau </w:t>
      </w:r>
      <w:r w:rsidR="00FE3FCA" w:rsidRPr="00E86995">
        <w:rPr>
          <w:kern w:val="18"/>
          <w:szCs w:val="18"/>
        </w:rPr>
        <w:t xml:space="preserve">had </w:t>
      </w:r>
      <w:r w:rsidRPr="00E86995">
        <w:rPr>
          <w:kern w:val="18"/>
          <w:szCs w:val="18"/>
        </w:rPr>
        <w:t>submitted its report in June 2013.</w:t>
      </w:r>
    </w:p>
  </w:footnote>
  <w:footnote w:id="10">
    <w:p w14:paraId="22513081" w14:textId="77777777" w:rsidR="00714334" w:rsidRPr="00B2614A" w:rsidRDefault="00714334"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B2614A">
        <w:rPr>
          <w:kern w:val="18"/>
          <w:szCs w:val="18"/>
        </w:rPr>
        <w:t xml:space="preserve"> This was due to the inadvertent omission of the recommendation of the Committee from the suggested elements for a draft decision contained in the document on monitoring and reporting (UNEP/CBD/BS/COP-MOP/7/12).</w:t>
      </w:r>
    </w:p>
  </w:footnote>
  <w:footnote w:id="11">
    <w:p w14:paraId="1FBE7C8A" w14:textId="77777777" w:rsidR="00640724" w:rsidRPr="00E86995" w:rsidRDefault="00640724"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E86995">
        <w:rPr>
          <w:kern w:val="18"/>
          <w:szCs w:val="18"/>
        </w:rPr>
        <w:t xml:space="preserve"> The FAQ page is available at: </w:t>
      </w:r>
      <w:hyperlink r:id="rId2" w:history="1">
        <w:r w:rsidR="00CE082C" w:rsidRPr="00E86995">
          <w:rPr>
            <w:rStyle w:val="Hyperlink"/>
            <w:kern w:val="18"/>
            <w:szCs w:val="18"/>
          </w:rPr>
          <w:t>https://bch.cbd.int/protocol/ThirdNationalReportFAQ.shtml</w:t>
        </w:r>
      </w:hyperlink>
      <w:r w:rsidR="00CE082C" w:rsidRPr="00E86995">
        <w:rPr>
          <w:kern w:val="18"/>
          <w:szCs w:val="18"/>
        </w:rPr>
        <w:t xml:space="preserve"> </w:t>
      </w:r>
    </w:p>
  </w:footnote>
  <w:footnote w:id="12">
    <w:p w14:paraId="69BC6C08" w14:textId="77777777" w:rsidR="007A144B" w:rsidRPr="00E86995" w:rsidRDefault="007A144B" w:rsidP="00E86995">
      <w:pPr>
        <w:pStyle w:val="FootnoteText"/>
        <w:kinsoku w:val="0"/>
        <w:overflowPunct w:val="0"/>
        <w:autoSpaceDE w:val="0"/>
        <w:autoSpaceDN w:val="0"/>
        <w:ind w:firstLine="0"/>
        <w:jc w:val="left"/>
        <w:rPr>
          <w:kern w:val="18"/>
          <w:szCs w:val="18"/>
        </w:rPr>
      </w:pPr>
      <w:r w:rsidRPr="00E86995">
        <w:rPr>
          <w:rStyle w:val="FootnoteReference"/>
          <w:kern w:val="18"/>
          <w:szCs w:val="18"/>
          <w:u w:val="none"/>
          <w:vertAlign w:val="superscript"/>
        </w:rPr>
        <w:footnoteRef/>
      </w:r>
      <w:r w:rsidRPr="00B2614A">
        <w:rPr>
          <w:kern w:val="18"/>
          <w:szCs w:val="18"/>
        </w:rPr>
        <w:t xml:space="preserve"> Second national r</w:t>
      </w:r>
      <w:r w:rsidR="00633FC7" w:rsidRPr="00E86995">
        <w:rPr>
          <w:kern w:val="18"/>
          <w:szCs w:val="18"/>
        </w:rPr>
        <w:t>eports had</w:t>
      </w:r>
      <w:r w:rsidRPr="00E86995">
        <w:rPr>
          <w:kern w:val="18"/>
          <w:szCs w:val="18"/>
        </w:rPr>
        <w:t xml:space="preserve"> not</w:t>
      </w:r>
      <w:r w:rsidR="00633FC7" w:rsidRPr="00E86995">
        <w:rPr>
          <w:kern w:val="18"/>
          <w:szCs w:val="18"/>
        </w:rPr>
        <w:t xml:space="preserve"> been</w:t>
      </w:r>
      <w:r w:rsidRPr="00E86995">
        <w:rPr>
          <w:kern w:val="18"/>
          <w:szCs w:val="18"/>
        </w:rPr>
        <w:t xml:space="preserve"> received from the Bahamas, Barbados, Greece, Luxembourg, the Marshall Islands, Montenegro, Nicaragua or Turkmenistan. It is encouraging to point out, however, that the Bahamas, which had been identified by the Committee at its last review of compliance as never having fulfilled its reporting obligations, duly submitted a </w:t>
      </w:r>
      <w:r w:rsidRPr="00E86995">
        <w:rPr>
          <w:bCs/>
          <w:iCs/>
          <w:kern w:val="18"/>
          <w:szCs w:val="18"/>
        </w:rPr>
        <w:t>third</w:t>
      </w:r>
      <w:r w:rsidRPr="00E86995">
        <w:rPr>
          <w:b/>
          <w:i/>
          <w:kern w:val="18"/>
          <w:szCs w:val="18"/>
        </w:rPr>
        <w:t xml:space="preserve"> </w:t>
      </w:r>
      <w:r w:rsidRPr="00E86995">
        <w:rPr>
          <w:kern w:val="18"/>
          <w:szCs w:val="18"/>
        </w:rPr>
        <w:t>national report before the due date of 31 October 2015.</w:t>
      </w:r>
      <w:r w:rsidR="00F43FFE" w:rsidRPr="00E86995">
        <w:rPr>
          <w:kern w:val="18"/>
          <w:szCs w:val="18"/>
        </w:rPr>
        <w:t xml:space="preserve"> Barbados also submitted </w:t>
      </w:r>
      <w:r w:rsidR="00125CAF" w:rsidRPr="00E86995">
        <w:rPr>
          <w:kern w:val="18"/>
          <w:szCs w:val="18"/>
        </w:rPr>
        <w:t xml:space="preserve">its </w:t>
      </w:r>
      <w:r w:rsidR="00125CAF" w:rsidRPr="00E86995">
        <w:rPr>
          <w:bCs/>
          <w:iCs/>
          <w:kern w:val="18"/>
          <w:szCs w:val="18"/>
        </w:rPr>
        <w:t>second</w:t>
      </w:r>
      <w:r w:rsidR="00125CAF" w:rsidRPr="00E86995">
        <w:rPr>
          <w:kern w:val="18"/>
          <w:szCs w:val="18"/>
        </w:rPr>
        <w:t xml:space="preserve"> and</w:t>
      </w:r>
      <w:r w:rsidR="00F43FFE" w:rsidRPr="00E86995">
        <w:rPr>
          <w:kern w:val="18"/>
          <w:szCs w:val="18"/>
        </w:rPr>
        <w:t xml:space="preserve"> </w:t>
      </w:r>
      <w:r w:rsidR="00F43FFE" w:rsidRPr="00E86995">
        <w:rPr>
          <w:bCs/>
          <w:iCs/>
          <w:kern w:val="18"/>
          <w:szCs w:val="18"/>
        </w:rPr>
        <w:t>third</w:t>
      </w:r>
      <w:r w:rsidR="00F43FFE" w:rsidRPr="00E86995">
        <w:rPr>
          <w:kern w:val="18"/>
          <w:szCs w:val="18"/>
        </w:rPr>
        <w:t xml:space="preserve"> national report</w:t>
      </w:r>
      <w:r w:rsidR="00125CAF" w:rsidRPr="00E86995">
        <w:rPr>
          <w:kern w:val="18"/>
          <w:szCs w:val="18"/>
        </w:rPr>
        <w:t>s</w:t>
      </w:r>
      <w:r w:rsidR="00F43FFE" w:rsidRPr="00E86995">
        <w:rPr>
          <w:kern w:val="18"/>
          <w:szCs w:val="18"/>
        </w:rPr>
        <w:t xml:space="preserve"> in November 2016.</w:t>
      </w:r>
    </w:p>
  </w:footnote>
  <w:footnote w:id="13">
    <w:p w14:paraId="7C896E0E" w14:textId="77777777" w:rsidR="00537594" w:rsidRPr="00E86995" w:rsidRDefault="00537594" w:rsidP="00E86995">
      <w:pPr>
        <w:pStyle w:val="FootnoteText"/>
        <w:kinsoku w:val="0"/>
        <w:overflowPunct w:val="0"/>
        <w:autoSpaceDE w:val="0"/>
        <w:autoSpaceDN w:val="0"/>
        <w:ind w:firstLine="0"/>
        <w:jc w:val="left"/>
        <w:rPr>
          <w:kern w:val="18"/>
          <w:szCs w:val="18"/>
          <w:lang w:val="en-US"/>
        </w:rPr>
      </w:pPr>
      <w:r w:rsidRPr="00E86995">
        <w:rPr>
          <w:rStyle w:val="FootnoteReference"/>
          <w:kern w:val="18"/>
          <w:szCs w:val="18"/>
          <w:u w:val="none"/>
          <w:vertAlign w:val="superscript"/>
        </w:rPr>
        <w:footnoteRef/>
      </w:r>
      <w:r w:rsidRPr="00E86995">
        <w:rPr>
          <w:kern w:val="18"/>
          <w:szCs w:val="18"/>
        </w:rPr>
        <w:t xml:space="preserve"> The recommendation included a footnote identifying the Parties concerned. See UNEP/CBD/BS/CC/13/6, para.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986A" w14:textId="77777777" w:rsidR="003154B8" w:rsidRDefault="003154B8">
    <w:pPr>
      <w:pStyle w:val="Header"/>
    </w:pPr>
    <w:r>
      <w:t>UNEP/CBD/XXXX</w:t>
    </w:r>
  </w:p>
  <w:p w14:paraId="3CBCF732" w14:textId="77777777" w:rsidR="003154B8" w:rsidRDefault="003154B8">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8640717" w14:textId="77777777" w:rsidR="003154B8" w:rsidRDefault="003154B8" w:rsidP="00471DE9">
    <w:pPr>
      <w:pStyle w:val="Header"/>
      <w:tabs>
        <w:tab w:val="left" w:pos="6379"/>
        <w:tab w:val="left" w:pos="6480"/>
        <w:tab w:val="left" w:pos="7088"/>
      </w:tabs>
      <w:ind w:left="627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2710B" w14:textId="5D67FD6E" w:rsidR="003154B8" w:rsidRPr="00421D75" w:rsidRDefault="00421D75" w:rsidP="00E86995">
    <w:pPr>
      <w:kinsoku w:val="0"/>
      <w:overflowPunct w:val="0"/>
      <w:autoSpaceDE w:val="0"/>
      <w:autoSpaceDN w:val="0"/>
      <w:jc w:val="left"/>
      <w:rPr>
        <w:snapToGrid w:val="0"/>
        <w:kern w:val="22"/>
        <w:szCs w:val="22"/>
      </w:rPr>
    </w:pPr>
    <w:r w:rsidRPr="004D4AA5">
      <w:rPr>
        <w:snapToGrid w:val="0"/>
        <w:kern w:val="22"/>
        <w:szCs w:val="22"/>
        <w:lang w:val="en-US"/>
      </w:rPr>
      <w:t>CBD/CP/CC/</w:t>
    </w:r>
    <w:r w:rsidR="005F71C1" w:rsidRPr="004D4AA5">
      <w:rPr>
        <w:snapToGrid w:val="0"/>
        <w:kern w:val="22"/>
        <w:szCs w:val="22"/>
        <w:lang w:val="en-US"/>
      </w:rPr>
      <w:t>1</w:t>
    </w:r>
    <w:r w:rsidR="005F71C1">
      <w:rPr>
        <w:snapToGrid w:val="0"/>
        <w:kern w:val="22"/>
        <w:szCs w:val="22"/>
        <w:lang w:val="en-US"/>
      </w:rPr>
      <w:t>5</w:t>
    </w:r>
    <w:r w:rsidRPr="004D4AA5">
      <w:rPr>
        <w:snapToGrid w:val="0"/>
        <w:kern w:val="22"/>
        <w:szCs w:val="22"/>
        <w:lang w:val="en-US"/>
      </w:rPr>
      <w:t>/</w:t>
    </w:r>
    <w:r>
      <w:rPr>
        <w:snapToGrid w:val="0"/>
        <w:kern w:val="22"/>
        <w:szCs w:val="22"/>
        <w:lang w:val="en-US"/>
      </w:rPr>
      <w:t>INF/</w:t>
    </w:r>
    <w:r w:rsidR="005F71C1">
      <w:rPr>
        <w:snapToGrid w:val="0"/>
        <w:kern w:val="22"/>
        <w:szCs w:val="22"/>
        <w:lang w:val="en-US"/>
      </w:rPr>
      <w:t>2</w:t>
    </w:r>
  </w:p>
  <w:p w14:paraId="48679288" w14:textId="77777777" w:rsidR="003154B8" w:rsidRDefault="003154B8" w:rsidP="00E86995">
    <w:pPr>
      <w:pStyle w:val="Header"/>
      <w:kinsoku w:val="0"/>
      <w:overflowPunct w:val="0"/>
      <w:autoSpaceDE w:val="0"/>
      <w:autoSpaceDN w:val="0"/>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E4773">
      <w:rPr>
        <w:rStyle w:val="PageNumber"/>
        <w:noProof/>
      </w:rPr>
      <w:t>4</w:t>
    </w:r>
    <w:r>
      <w:rPr>
        <w:rStyle w:val="PageNumber"/>
      </w:rPr>
      <w:fldChar w:fldCharType="end"/>
    </w:r>
  </w:p>
  <w:p w14:paraId="7BEBEA55" w14:textId="77777777" w:rsidR="00A1549B" w:rsidRDefault="00A1549B" w:rsidP="00E86995">
    <w:pPr>
      <w:pStyle w:val="Header"/>
      <w:kinsoku w:val="0"/>
      <w:overflowPunct w:val="0"/>
      <w:autoSpaceDE w:val="0"/>
      <w:autoSpaceDN w:val="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8E97" w14:textId="30589F34" w:rsidR="00421D75" w:rsidRPr="00DB68E9" w:rsidRDefault="00421D75" w:rsidP="00E86995">
    <w:pPr>
      <w:kinsoku w:val="0"/>
      <w:overflowPunct w:val="0"/>
      <w:autoSpaceDE w:val="0"/>
      <w:autoSpaceDN w:val="0"/>
      <w:jc w:val="right"/>
      <w:rPr>
        <w:snapToGrid w:val="0"/>
        <w:kern w:val="22"/>
        <w:szCs w:val="22"/>
        <w:lang w:val="fr-FR"/>
      </w:rPr>
    </w:pPr>
    <w:r w:rsidRPr="00DB68E9">
      <w:rPr>
        <w:snapToGrid w:val="0"/>
        <w:kern w:val="22"/>
        <w:szCs w:val="22"/>
        <w:lang w:val="fr-FR"/>
      </w:rPr>
      <w:t>CBD/CP/CC/</w:t>
    </w:r>
    <w:r w:rsidR="005F71C1" w:rsidRPr="00DB68E9">
      <w:rPr>
        <w:snapToGrid w:val="0"/>
        <w:kern w:val="22"/>
        <w:szCs w:val="22"/>
        <w:lang w:val="fr-FR"/>
      </w:rPr>
      <w:t>15</w:t>
    </w:r>
    <w:r w:rsidRPr="00DB68E9">
      <w:rPr>
        <w:snapToGrid w:val="0"/>
        <w:kern w:val="22"/>
        <w:szCs w:val="22"/>
        <w:lang w:val="fr-FR"/>
      </w:rPr>
      <w:t>/INF/</w:t>
    </w:r>
    <w:r w:rsidR="005F71C1" w:rsidRPr="00DB68E9">
      <w:rPr>
        <w:snapToGrid w:val="0"/>
        <w:kern w:val="22"/>
        <w:szCs w:val="22"/>
        <w:lang w:val="fr-FR"/>
      </w:rPr>
      <w:t>2</w:t>
    </w:r>
  </w:p>
  <w:p w14:paraId="3D43FB31" w14:textId="77777777" w:rsidR="003154B8" w:rsidRPr="00E86995" w:rsidRDefault="00421D75" w:rsidP="00E86995">
    <w:pPr>
      <w:pStyle w:val="Header"/>
      <w:kinsoku w:val="0"/>
      <w:overflowPunct w:val="0"/>
      <w:autoSpaceDE w:val="0"/>
      <w:autoSpaceDN w:val="0"/>
      <w:jc w:val="right"/>
      <w:rPr>
        <w:rStyle w:val="PageNumber"/>
        <w:snapToGrid w:val="0"/>
        <w:kern w:val="22"/>
      </w:rPr>
    </w:pPr>
    <w:r w:rsidRPr="00E86995">
      <w:rPr>
        <w:snapToGrid w:val="0"/>
        <w:kern w:val="22"/>
        <w:lang w:val="fr-FR"/>
      </w:rPr>
      <w:t>P</w:t>
    </w:r>
    <w:r w:rsidR="003154B8" w:rsidRPr="00E86995">
      <w:rPr>
        <w:snapToGrid w:val="0"/>
        <w:kern w:val="22"/>
        <w:lang w:val="fr-FR"/>
      </w:rPr>
      <w:t xml:space="preserve">age </w:t>
    </w:r>
    <w:r w:rsidR="003154B8" w:rsidRPr="00E86995">
      <w:rPr>
        <w:rStyle w:val="PageNumber"/>
        <w:snapToGrid w:val="0"/>
        <w:kern w:val="22"/>
      </w:rPr>
      <w:fldChar w:fldCharType="begin"/>
    </w:r>
    <w:r w:rsidR="003154B8" w:rsidRPr="00E86995">
      <w:rPr>
        <w:rStyle w:val="PageNumber"/>
        <w:snapToGrid w:val="0"/>
        <w:kern w:val="22"/>
        <w:lang w:val="fr-FR"/>
      </w:rPr>
      <w:instrText xml:space="preserve"> PAGE </w:instrText>
    </w:r>
    <w:r w:rsidR="003154B8" w:rsidRPr="00E86995">
      <w:rPr>
        <w:rStyle w:val="PageNumber"/>
        <w:snapToGrid w:val="0"/>
        <w:kern w:val="22"/>
      </w:rPr>
      <w:fldChar w:fldCharType="separate"/>
    </w:r>
    <w:r w:rsidR="009E4773">
      <w:rPr>
        <w:rStyle w:val="PageNumber"/>
        <w:noProof/>
        <w:snapToGrid w:val="0"/>
        <w:kern w:val="22"/>
        <w:lang w:val="fr-FR"/>
      </w:rPr>
      <w:t>3</w:t>
    </w:r>
    <w:r w:rsidR="003154B8" w:rsidRPr="00E86995">
      <w:rPr>
        <w:rStyle w:val="PageNumber"/>
        <w:snapToGrid w:val="0"/>
        <w:kern w:val="22"/>
      </w:rPr>
      <w:fldChar w:fldCharType="end"/>
    </w:r>
  </w:p>
  <w:p w14:paraId="4E636626" w14:textId="77777777" w:rsidR="00DB68E9" w:rsidRPr="00E86995" w:rsidRDefault="00DB68E9" w:rsidP="00E86995">
    <w:pPr>
      <w:pStyle w:val="Header"/>
      <w:kinsoku w:val="0"/>
      <w:overflowPunct w:val="0"/>
      <w:autoSpaceDE w:val="0"/>
      <w:autoSpaceDN w:val="0"/>
      <w:jc w:val="right"/>
      <w:rPr>
        <w:snapToGrid w:val="0"/>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A14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
    <w:nsid w:val="2B5C1BC0"/>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F9C371A"/>
    <w:multiLevelType w:val="hybridMultilevel"/>
    <w:tmpl w:val="F2D2039C"/>
    <w:lvl w:ilvl="0" w:tplc="08090001">
      <w:start w:val="2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E43C91"/>
    <w:multiLevelType w:val="singleLevel"/>
    <w:tmpl w:val="7174E9C0"/>
    <w:lvl w:ilvl="0">
      <w:start w:val="1"/>
      <w:numFmt w:val="decimal"/>
      <w:lvlText w:val="%1."/>
      <w:lvlJc w:val="left"/>
      <w:pPr>
        <w:tabs>
          <w:tab w:val="num" w:pos="360"/>
        </w:tabs>
        <w:ind w:left="0" w:firstLine="0"/>
      </w:pPr>
    </w:lvl>
  </w:abstractNum>
  <w:abstractNum w:abstractNumId="14">
    <w:nsid w:val="3D25008A"/>
    <w:multiLevelType w:val="multilevel"/>
    <w:tmpl w:val="C37E435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0"/>
        </w:tabs>
        <w:ind w:left="490" w:firstLine="720"/>
      </w:pPr>
      <w:rPr>
        <w:rFonts w:hint="default"/>
        <w:b/>
        <w:i/>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24">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E23244"/>
    <w:multiLevelType w:val="multilevel"/>
    <w:tmpl w:val="FD6A64C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27"/>
  </w:num>
  <w:num w:numId="5">
    <w:abstractNumId w:val="10"/>
  </w:num>
  <w:num w:numId="6">
    <w:abstractNumId w:val="19"/>
  </w:num>
  <w:num w:numId="7">
    <w:abstractNumId w:val="15"/>
  </w:num>
  <w:num w:numId="8">
    <w:abstractNumId w:val="12"/>
  </w:num>
  <w:num w:numId="9">
    <w:abstractNumId w:val="19"/>
  </w:num>
  <w:num w:numId="10">
    <w:abstractNumId w:val="18"/>
  </w:num>
  <w:num w:numId="11">
    <w:abstractNumId w:val="13"/>
  </w:num>
  <w:num w:numId="12">
    <w:abstractNumId w:val="4"/>
  </w:num>
  <w:num w:numId="13">
    <w:abstractNumId w:val="17"/>
  </w:num>
  <w:num w:numId="14">
    <w:abstractNumId w:val="1"/>
  </w:num>
  <w:num w:numId="15">
    <w:abstractNumId w:val="28"/>
  </w:num>
  <w:num w:numId="16">
    <w:abstractNumId w:val="21"/>
  </w:num>
  <w:num w:numId="17">
    <w:abstractNumId w:val="3"/>
  </w:num>
  <w:num w:numId="18">
    <w:abstractNumId w:val="19"/>
    <w:lvlOverride w:ilvl="0">
      <w:startOverride w:val="1"/>
    </w:lvlOverride>
    <w:lvlOverride w:ilvl="1">
      <w:startOverride w:val="1"/>
    </w:lvlOverride>
    <w:lvlOverride w:ilvl="2">
      <w:startOverride w:val="2"/>
    </w:lvlOverride>
  </w:num>
  <w:num w:numId="19">
    <w:abstractNumId w:val="19"/>
    <w:lvlOverride w:ilvl="0">
      <w:startOverride w:val="1"/>
    </w:lvlOverride>
    <w:lvlOverride w:ilvl="1">
      <w:startOverride w:val="1"/>
    </w:lvlOverride>
    <w:lvlOverride w:ilvl="2">
      <w:startOverride w:val="3"/>
    </w:lvlOverride>
  </w:num>
  <w:num w:numId="20">
    <w:abstractNumId w:val="2"/>
  </w:num>
  <w:num w:numId="21">
    <w:abstractNumId w:val="22"/>
  </w:num>
  <w:num w:numId="22">
    <w:abstractNumId w:val="20"/>
  </w:num>
  <w:num w:numId="23">
    <w:abstractNumId w:val="5"/>
  </w:num>
  <w:num w:numId="24">
    <w:abstractNumId w:val="24"/>
  </w:num>
  <w:num w:numId="25">
    <w:abstractNumId w:val="25"/>
  </w:num>
  <w:num w:numId="26">
    <w:abstractNumId w:val="16"/>
  </w:num>
  <w:num w:numId="27">
    <w:abstractNumId w:val="19"/>
  </w:num>
  <w:num w:numId="28">
    <w:abstractNumId w:val="19"/>
  </w:num>
  <w:num w:numId="29">
    <w:abstractNumId w:val="19"/>
  </w:num>
  <w:num w:numId="30">
    <w:abstractNumId w:val="19"/>
  </w:num>
  <w:num w:numId="31">
    <w:abstractNumId w:val="23"/>
  </w:num>
  <w:num w:numId="32">
    <w:abstractNumId w:val="0"/>
  </w:num>
  <w:num w:numId="33">
    <w:abstractNumId w:val="11"/>
  </w:num>
  <w:num w:numId="34">
    <w:abstractNumId w:val="14"/>
  </w:num>
  <w:num w:numId="35">
    <w:abstractNumId w:val="26"/>
  </w:num>
  <w:num w:numId="36">
    <w:abstractNumId w:val="6"/>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B6"/>
    <w:rsid w:val="00001E3B"/>
    <w:rsid w:val="000067A5"/>
    <w:rsid w:val="00007AF7"/>
    <w:rsid w:val="00011BF3"/>
    <w:rsid w:val="00020637"/>
    <w:rsid w:val="00025B4B"/>
    <w:rsid w:val="00027730"/>
    <w:rsid w:val="00033462"/>
    <w:rsid w:val="00037FF4"/>
    <w:rsid w:val="00066F7B"/>
    <w:rsid w:val="00067051"/>
    <w:rsid w:val="00070C98"/>
    <w:rsid w:val="00073EC1"/>
    <w:rsid w:val="0007517D"/>
    <w:rsid w:val="00082E64"/>
    <w:rsid w:val="0008676D"/>
    <w:rsid w:val="000A46CC"/>
    <w:rsid w:val="000B1F6A"/>
    <w:rsid w:val="000B4A24"/>
    <w:rsid w:val="000B6D68"/>
    <w:rsid w:val="000C2D7E"/>
    <w:rsid w:val="000C36E2"/>
    <w:rsid w:val="000C7436"/>
    <w:rsid w:val="000D1BCC"/>
    <w:rsid w:val="000E2122"/>
    <w:rsid w:val="000E2CCA"/>
    <w:rsid w:val="000E3998"/>
    <w:rsid w:val="000F10A2"/>
    <w:rsid w:val="000F1414"/>
    <w:rsid w:val="000F71F6"/>
    <w:rsid w:val="00103070"/>
    <w:rsid w:val="001034BB"/>
    <w:rsid w:val="001060E0"/>
    <w:rsid w:val="00113A65"/>
    <w:rsid w:val="00114BC1"/>
    <w:rsid w:val="00115B2E"/>
    <w:rsid w:val="00125CAF"/>
    <w:rsid w:val="00140006"/>
    <w:rsid w:val="00141156"/>
    <w:rsid w:val="00141FA9"/>
    <w:rsid w:val="00157095"/>
    <w:rsid w:val="001574CD"/>
    <w:rsid w:val="0015785B"/>
    <w:rsid w:val="00157D9A"/>
    <w:rsid w:val="001613CC"/>
    <w:rsid w:val="001628D7"/>
    <w:rsid w:val="00162A8F"/>
    <w:rsid w:val="00165FCA"/>
    <w:rsid w:val="00166275"/>
    <w:rsid w:val="001743D5"/>
    <w:rsid w:val="0018020E"/>
    <w:rsid w:val="00180EB9"/>
    <w:rsid w:val="00181FC9"/>
    <w:rsid w:val="001831F6"/>
    <w:rsid w:val="00186ADA"/>
    <w:rsid w:val="0019434B"/>
    <w:rsid w:val="001A1599"/>
    <w:rsid w:val="001A3813"/>
    <w:rsid w:val="001A7666"/>
    <w:rsid w:val="001B59DB"/>
    <w:rsid w:val="001C5193"/>
    <w:rsid w:val="001C5AC5"/>
    <w:rsid w:val="001D0E98"/>
    <w:rsid w:val="001D5F7E"/>
    <w:rsid w:val="001E1381"/>
    <w:rsid w:val="001E5BB2"/>
    <w:rsid w:val="001E73D0"/>
    <w:rsid w:val="001F0B76"/>
    <w:rsid w:val="001F411A"/>
    <w:rsid w:val="00204AC4"/>
    <w:rsid w:val="00207310"/>
    <w:rsid w:val="002126C3"/>
    <w:rsid w:val="002149F9"/>
    <w:rsid w:val="002161C9"/>
    <w:rsid w:val="002273A7"/>
    <w:rsid w:val="0024020E"/>
    <w:rsid w:val="002432D1"/>
    <w:rsid w:val="00244CFF"/>
    <w:rsid w:val="00254CF6"/>
    <w:rsid w:val="00254E1F"/>
    <w:rsid w:val="00257BE0"/>
    <w:rsid w:val="00264F7B"/>
    <w:rsid w:val="00267539"/>
    <w:rsid w:val="00272010"/>
    <w:rsid w:val="002756CB"/>
    <w:rsid w:val="002759A7"/>
    <w:rsid w:val="0028027B"/>
    <w:rsid w:val="00283599"/>
    <w:rsid w:val="00291700"/>
    <w:rsid w:val="00291D77"/>
    <w:rsid w:val="002948FE"/>
    <w:rsid w:val="00294EA3"/>
    <w:rsid w:val="00295D4D"/>
    <w:rsid w:val="002A4ADE"/>
    <w:rsid w:val="002A5ABD"/>
    <w:rsid w:val="002B0947"/>
    <w:rsid w:val="002B6AC2"/>
    <w:rsid w:val="002B6BFD"/>
    <w:rsid w:val="002B78C5"/>
    <w:rsid w:val="002C24FE"/>
    <w:rsid w:val="002C3B56"/>
    <w:rsid w:val="002D3323"/>
    <w:rsid w:val="002D5E11"/>
    <w:rsid w:val="002E1880"/>
    <w:rsid w:val="002E38D6"/>
    <w:rsid w:val="002E4D57"/>
    <w:rsid w:val="002F58FB"/>
    <w:rsid w:val="00303DEC"/>
    <w:rsid w:val="003044B2"/>
    <w:rsid w:val="003154B8"/>
    <w:rsid w:val="003157F4"/>
    <w:rsid w:val="003245C2"/>
    <w:rsid w:val="00336636"/>
    <w:rsid w:val="00342BB7"/>
    <w:rsid w:val="00344F6D"/>
    <w:rsid w:val="00362AF2"/>
    <w:rsid w:val="00370CB5"/>
    <w:rsid w:val="00376D82"/>
    <w:rsid w:val="00376E2B"/>
    <w:rsid w:val="00382C1D"/>
    <w:rsid w:val="00385E36"/>
    <w:rsid w:val="003908BB"/>
    <w:rsid w:val="0039750B"/>
    <w:rsid w:val="00397F15"/>
    <w:rsid w:val="003A0C9B"/>
    <w:rsid w:val="003A30FE"/>
    <w:rsid w:val="003A3C56"/>
    <w:rsid w:val="003A4D31"/>
    <w:rsid w:val="003B2DD6"/>
    <w:rsid w:val="003B7E84"/>
    <w:rsid w:val="003C310F"/>
    <w:rsid w:val="003F066A"/>
    <w:rsid w:val="003F2409"/>
    <w:rsid w:val="003F3CAE"/>
    <w:rsid w:val="003F748E"/>
    <w:rsid w:val="00405087"/>
    <w:rsid w:val="00407B50"/>
    <w:rsid w:val="004107BE"/>
    <w:rsid w:val="00414374"/>
    <w:rsid w:val="00421D75"/>
    <w:rsid w:val="00430DA1"/>
    <w:rsid w:val="00442C7F"/>
    <w:rsid w:val="0044461E"/>
    <w:rsid w:val="00450727"/>
    <w:rsid w:val="004522EA"/>
    <w:rsid w:val="0045379A"/>
    <w:rsid w:val="00453F35"/>
    <w:rsid w:val="00455F4D"/>
    <w:rsid w:val="00457512"/>
    <w:rsid w:val="004605E3"/>
    <w:rsid w:val="00462059"/>
    <w:rsid w:val="00465861"/>
    <w:rsid w:val="00471DE9"/>
    <w:rsid w:val="00473038"/>
    <w:rsid w:val="0047434A"/>
    <w:rsid w:val="00474705"/>
    <w:rsid w:val="00477A2B"/>
    <w:rsid w:val="004863F8"/>
    <w:rsid w:val="00496303"/>
    <w:rsid w:val="00496785"/>
    <w:rsid w:val="004B1E6D"/>
    <w:rsid w:val="004B618F"/>
    <w:rsid w:val="004B7915"/>
    <w:rsid w:val="004C2162"/>
    <w:rsid w:val="004C2C7C"/>
    <w:rsid w:val="004C2E60"/>
    <w:rsid w:val="004C50C1"/>
    <w:rsid w:val="004C7203"/>
    <w:rsid w:val="004C7ACF"/>
    <w:rsid w:val="004D298C"/>
    <w:rsid w:val="004D3C9B"/>
    <w:rsid w:val="004D4AA5"/>
    <w:rsid w:val="004D6937"/>
    <w:rsid w:val="004E24DA"/>
    <w:rsid w:val="004E45FC"/>
    <w:rsid w:val="004E66E4"/>
    <w:rsid w:val="004F7823"/>
    <w:rsid w:val="00502FB0"/>
    <w:rsid w:val="00505339"/>
    <w:rsid w:val="00506F90"/>
    <w:rsid w:val="005128E1"/>
    <w:rsid w:val="00512913"/>
    <w:rsid w:val="00513A4A"/>
    <w:rsid w:val="0052460D"/>
    <w:rsid w:val="005267B5"/>
    <w:rsid w:val="00530E8B"/>
    <w:rsid w:val="0053234B"/>
    <w:rsid w:val="00536EAE"/>
    <w:rsid w:val="00537594"/>
    <w:rsid w:val="005406DD"/>
    <w:rsid w:val="005447C9"/>
    <w:rsid w:val="00544C48"/>
    <w:rsid w:val="0055028F"/>
    <w:rsid w:val="00553538"/>
    <w:rsid w:val="005654D6"/>
    <w:rsid w:val="005656E7"/>
    <w:rsid w:val="00567966"/>
    <w:rsid w:val="00584846"/>
    <w:rsid w:val="00590212"/>
    <w:rsid w:val="00593FCB"/>
    <w:rsid w:val="005A3410"/>
    <w:rsid w:val="005B191D"/>
    <w:rsid w:val="005B7E3C"/>
    <w:rsid w:val="005C4F03"/>
    <w:rsid w:val="005D1BE7"/>
    <w:rsid w:val="005D5613"/>
    <w:rsid w:val="005E2E8C"/>
    <w:rsid w:val="005E7460"/>
    <w:rsid w:val="005F2901"/>
    <w:rsid w:val="005F30FA"/>
    <w:rsid w:val="005F71C1"/>
    <w:rsid w:val="00602B07"/>
    <w:rsid w:val="00607C63"/>
    <w:rsid w:val="00612619"/>
    <w:rsid w:val="00614245"/>
    <w:rsid w:val="00620B40"/>
    <w:rsid w:val="006224A5"/>
    <w:rsid w:val="00633907"/>
    <w:rsid w:val="00633FC7"/>
    <w:rsid w:val="0064018C"/>
    <w:rsid w:val="00640724"/>
    <w:rsid w:val="00641BDF"/>
    <w:rsid w:val="00645802"/>
    <w:rsid w:val="0065522C"/>
    <w:rsid w:val="00657847"/>
    <w:rsid w:val="00667D9D"/>
    <w:rsid w:val="0067046B"/>
    <w:rsid w:val="00674485"/>
    <w:rsid w:val="0069429F"/>
    <w:rsid w:val="006A03D5"/>
    <w:rsid w:val="006A1481"/>
    <w:rsid w:val="006A6FB2"/>
    <w:rsid w:val="006B4C37"/>
    <w:rsid w:val="006B68A6"/>
    <w:rsid w:val="006B7858"/>
    <w:rsid w:val="006C10DC"/>
    <w:rsid w:val="006C57EA"/>
    <w:rsid w:val="006E5555"/>
    <w:rsid w:val="006F2F1F"/>
    <w:rsid w:val="006F790D"/>
    <w:rsid w:val="007070C9"/>
    <w:rsid w:val="0071154A"/>
    <w:rsid w:val="00711FEC"/>
    <w:rsid w:val="007142DD"/>
    <w:rsid w:val="00714334"/>
    <w:rsid w:val="007167E8"/>
    <w:rsid w:val="00724E93"/>
    <w:rsid w:val="00731A65"/>
    <w:rsid w:val="00740D7F"/>
    <w:rsid w:val="00742C84"/>
    <w:rsid w:val="00743668"/>
    <w:rsid w:val="00745FCA"/>
    <w:rsid w:val="00754064"/>
    <w:rsid w:val="0075628F"/>
    <w:rsid w:val="00765101"/>
    <w:rsid w:val="00775E3F"/>
    <w:rsid w:val="00795AC6"/>
    <w:rsid w:val="007A0525"/>
    <w:rsid w:val="007A144B"/>
    <w:rsid w:val="007A69B5"/>
    <w:rsid w:val="007C0681"/>
    <w:rsid w:val="007C604E"/>
    <w:rsid w:val="007D2C51"/>
    <w:rsid w:val="007D3589"/>
    <w:rsid w:val="007D7428"/>
    <w:rsid w:val="007F03D6"/>
    <w:rsid w:val="00802000"/>
    <w:rsid w:val="00804EC4"/>
    <w:rsid w:val="00806FB6"/>
    <w:rsid w:val="00807161"/>
    <w:rsid w:val="008139F1"/>
    <w:rsid w:val="00815B39"/>
    <w:rsid w:val="00827755"/>
    <w:rsid w:val="00832C05"/>
    <w:rsid w:val="008356F6"/>
    <w:rsid w:val="00837A3B"/>
    <w:rsid w:val="00840788"/>
    <w:rsid w:val="00846BAC"/>
    <w:rsid w:val="008548E4"/>
    <w:rsid w:val="008738AE"/>
    <w:rsid w:val="00875EF1"/>
    <w:rsid w:val="00876140"/>
    <w:rsid w:val="008776ED"/>
    <w:rsid w:val="00882BF5"/>
    <w:rsid w:val="00883C9B"/>
    <w:rsid w:val="008949A7"/>
    <w:rsid w:val="008953B5"/>
    <w:rsid w:val="008953DA"/>
    <w:rsid w:val="008A1A0A"/>
    <w:rsid w:val="008A4A39"/>
    <w:rsid w:val="008B3A43"/>
    <w:rsid w:val="008B3F18"/>
    <w:rsid w:val="008B6DD0"/>
    <w:rsid w:val="008D203A"/>
    <w:rsid w:val="008D5ACC"/>
    <w:rsid w:val="008D6AE2"/>
    <w:rsid w:val="008E411E"/>
    <w:rsid w:val="009053EA"/>
    <w:rsid w:val="00905967"/>
    <w:rsid w:val="009060AA"/>
    <w:rsid w:val="009071E8"/>
    <w:rsid w:val="00911B84"/>
    <w:rsid w:val="00911CC0"/>
    <w:rsid w:val="009135C8"/>
    <w:rsid w:val="00913D68"/>
    <w:rsid w:val="0093611A"/>
    <w:rsid w:val="00941CAB"/>
    <w:rsid w:val="009449A3"/>
    <w:rsid w:val="00944ADF"/>
    <w:rsid w:val="0095338D"/>
    <w:rsid w:val="0095376F"/>
    <w:rsid w:val="00955AB2"/>
    <w:rsid w:val="00960794"/>
    <w:rsid w:val="00961376"/>
    <w:rsid w:val="00965958"/>
    <w:rsid w:val="00966A19"/>
    <w:rsid w:val="0098203C"/>
    <w:rsid w:val="009841D9"/>
    <w:rsid w:val="0098424B"/>
    <w:rsid w:val="0099178D"/>
    <w:rsid w:val="00992563"/>
    <w:rsid w:val="0099350D"/>
    <w:rsid w:val="00995E25"/>
    <w:rsid w:val="009A16E2"/>
    <w:rsid w:val="009A1A9B"/>
    <w:rsid w:val="009A2A2B"/>
    <w:rsid w:val="009A2B53"/>
    <w:rsid w:val="009A6226"/>
    <w:rsid w:val="009A727F"/>
    <w:rsid w:val="009B1D12"/>
    <w:rsid w:val="009B3464"/>
    <w:rsid w:val="009B3C42"/>
    <w:rsid w:val="009C45A1"/>
    <w:rsid w:val="009C6037"/>
    <w:rsid w:val="009C6FF1"/>
    <w:rsid w:val="009D065F"/>
    <w:rsid w:val="009D46DA"/>
    <w:rsid w:val="009D5A41"/>
    <w:rsid w:val="009E1A6A"/>
    <w:rsid w:val="009E2C72"/>
    <w:rsid w:val="009E4773"/>
    <w:rsid w:val="009E6100"/>
    <w:rsid w:val="009E6220"/>
    <w:rsid w:val="009F07CD"/>
    <w:rsid w:val="009F2439"/>
    <w:rsid w:val="009F2DB6"/>
    <w:rsid w:val="009F3406"/>
    <w:rsid w:val="009F723D"/>
    <w:rsid w:val="00A020D3"/>
    <w:rsid w:val="00A04116"/>
    <w:rsid w:val="00A055E7"/>
    <w:rsid w:val="00A07256"/>
    <w:rsid w:val="00A07EB5"/>
    <w:rsid w:val="00A1549B"/>
    <w:rsid w:val="00A17137"/>
    <w:rsid w:val="00A3094E"/>
    <w:rsid w:val="00A3378C"/>
    <w:rsid w:val="00A41A7E"/>
    <w:rsid w:val="00A64A12"/>
    <w:rsid w:val="00A65004"/>
    <w:rsid w:val="00A87BC6"/>
    <w:rsid w:val="00A90B4D"/>
    <w:rsid w:val="00A918DC"/>
    <w:rsid w:val="00A9728E"/>
    <w:rsid w:val="00AA4C04"/>
    <w:rsid w:val="00AA5310"/>
    <w:rsid w:val="00AA5E05"/>
    <w:rsid w:val="00AB2A8B"/>
    <w:rsid w:val="00AB61FA"/>
    <w:rsid w:val="00AC1E87"/>
    <w:rsid w:val="00AD2626"/>
    <w:rsid w:val="00AD2F17"/>
    <w:rsid w:val="00AD416C"/>
    <w:rsid w:val="00AD4C1E"/>
    <w:rsid w:val="00AD590D"/>
    <w:rsid w:val="00AE5320"/>
    <w:rsid w:val="00AE6B60"/>
    <w:rsid w:val="00AF0843"/>
    <w:rsid w:val="00AF1851"/>
    <w:rsid w:val="00AF37CC"/>
    <w:rsid w:val="00AF3CF0"/>
    <w:rsid w:val="00B02BB0"/>
    <w:rsid w:val="00B052E6"/>
    <w:rsid w:val="00B0602C"/>
    <w:rsid w:val="00B07D82"/>
    <w:rsid w:val="00B17241"/>
    <w:rsid w:val="00B178E2"/>
    <w:rsid w:val="00B2614A"/>
    <w:rsid w:val="00B3038B"/>
    <w:rsid w:val="00B340C2"/>
    <w:rsid w:val="00B375BF"/>
    <w:rsid w:val="00B4196C"/>
    <w:rsid w:val="00B50023"/>
    <w:rsid w:val="00B5175E"/>
    <w:rsid w:val="00B556C1"/>
    <w:rsid w:val="00B57C1C"/>
    <w:rsid w:val="00B64BE1"/>
    <w:rsid w:val="00B64F96"/>
    <w:rsid w:val="00B663F8"/>
    <w:rsid w:val="00B71C12"/>
    <w:rsid w:val="00B745FA"/>
    <w:rsid w:val="00B75C91"/>
    <w:rsid w:val="00B77014"/>
    <w:rsid w:val="00B80294"/>
    <w:rsid w:val="00B81144"/>
    <w:rsid w:val="00B817AC"/>
    <w:rsid w:val="00B83811"/>
    <w:rsid w:val="00B849E2"/>
    <w:rsid w:val="00B95368"/>
    <w:rsid w:val="00BA1512"/>
    <w:rsid w:val="00BA4B3E"/>
    <w:rsid w:val="00BA5582"/>
    <w:rsid w:val="00BB48F2"/>
    <w:rsid w:val="00BB59A5"/>
    <w:rsid w:val="00BB690C"/>
    <w:rsid w:val="00BC3DD3"/>
    <w:rsid w:val="00BC7E70"/>
    <w:rsid w:val="00BD33B1"/>
    <w:rsid w:val="00BD54ED"/>
    <w:rsid w:val="00BE37EE"/>
    <w:rsid w:val="00BE3BE4"/>
    <w:rsid w:val="00BF295F"/>
    <w:rsid w:val="00BF2F74"/>
    <w:rsid w:val="00C01852"/>
    <w:rsid w:val="00C01F39"/>
    <w:rsid w:val="00C10218"/>
    <w:rsid w:val="00C10660"/>
    <w:rsid w:val="00C108B7"/>
    <w:rsid w:val="00C15804"/>
    <w:rsid w:val="00C24DF1"/>
    <w:rsid w:val="00C30E45"/>
    <w:rsid w:val="00C452D5"/>
    <w:rsid w:val="00C45489"/>
    <w:rsid w:val="00C46E3D"/>
    <w:rsid w:val="00C4705F"/>
    <w:rsid w:val="00C47D15"/>
    <w:rsid w:val="00C611D7"/>
    <w:rsid w:val="00C65056"/>
    <w:rsid w:val="00C74136"/>
    <w:rsid w:val="00C74F10"/>
    <w:rsid w:val="00C949DC"/>
    <w:rsid w:val="00CA5F44"/>
    <w:rsid w:val="00CB1704"/>
    <w:rsid w:val="00CB2526"/>
    <w:rsid w:val="00CB3129"/>
    <w:rsid w:val="00CB65DE"/>
    <w:rsid w:val="00CC1889"/>
    <w:rsid w:val="00CC3124"/>
    <w:rsid w:val="00CC4406"/>
    <w:rsid w:val="00CC4F7E"/>
    <w:rsid w:val="00CC5725"/>
    <w:rsid w:val="00CC6397"/>
    <w:rsid w:val="00CD48CF"/>
    <w:rsid w:val="00CE0724"/>
    <w:rsid w:val="00CE082C"/>
    <w:rsid w:val="00CE738B"/>
    <w:rsid w:val="00CF0E01"/>
    <w:rsid w:val="00CF4316"/>
    <w:rsid w:val="00CF7234"/>
    <w:rsid w:val="00D0174C"/>
    <w:rsid w:val="00D02BB7"/>
    <w:rsid w:val="00D13B16"/>
    <w:rsid w:val="00D432B2"/>
    <w:rsid w:val="00D45108"/>
    <w:rsid w:val="00D46DF2"/>
    <w:rsid w:val="00D46F4F"/>
    <w:rsid w:val="00D525FF"/>
    <w:rsid w:val="00D54C4D"/>
    <w:rsid w:val="00D569DC"/>
    <w:rsid w:val="00D659F6"/>
    <w:rsid w:val="00D65B57"/>
    <w:rsid w:val="00D7128C"/>
    <w:rsid w:val="00D74928"/>
    <w:rsid w:val="00D76ED1"/>
    <w:rsid w:val="00D770C4"/>
    <w:rsid w:val="00D805E0"/>
    <w:rsid w:val="00D81842"/>
    <w:rsid w:val="00D83EA5"/>
    <w:rsid w:val="00D843BF"/>
    <w:rsid w:val="00D918DA"/>
    <w:rsid w:val="00DA23D0"/>
    <w:rsid w:val="00DA28CD"/>
    <w:rsid w:val="00DA563B"/>
    <w:rsid w:val="00DB0077"/>
    <w:rsid w:val="00DB68E9"/>
    <w:rsid w:val="00DC53E1"/>
    <w:rsid w:val="00DE0036"/>
    <w:rsid w:val="00DE6F7C"/>
    <w:rsid w:val="00DF1385"/>
    <w:rsid w:val="00DF15BB"/>
    <w:rsid w:val="00DF4C6F"/>
    <w:rsid w:val="00DF4FC5"/>
    <w:rsid w:val="00DF7669"/>
    <w:rsid w:val="00E0046D"/>
    <w:rsid w:val="00E017B3"/>
    <w:rsid w:val="00E15CB4"/>
    <w:rsid w:val="00E2121A"/>
    <w:rsid w:val="00E24E07"/>
    <w:rsid w:val="00E24ECE"/>
    <w:rsid w:val="00E27994"/>
    <w:rsid w:val="00E35A01"/>
    <w:rsid w:val="00E425CF"/>
    <w:rsid w:val="00E46F16"/>
    <w:rsid w:val="00E50C6E"/>
    <w:rsid w:val="00E51406"/>
    <w:rsid w:val="00E5479E"/>
    <w:rsid w:val="00E643B3"/>
    <w:rsid w:val="00E66224"/>
    <w:rsid w:val="00E71A5F"/>
    <w:rsid w:val="00E82352"/>
    <w:rsid w:val="00E86995"/>
    <w:rsid w:val="00E87FF7"/>
    <w:rsid w:val="00EA2A4C"/>
    <w:rsid w:val="00EB5150"/>
    <w:rsid w:val="00ED3EFC"/>
    <w:rsid w:val="00ED5C04"/>
    <w:rsid w:val="00EE07CE"/>
    <w:rsid w:val="00EE2E81"/>
    <w:rsid w:val="00EE7BEE"/>
    <w:rsid w:val="00F1063E"/>
    <w:rsid w:val="00F15B90"/>
    <w:rsid w:val="00F17EED"/>
    <w:rsid w:val="00F217FE"/>
    <w:rsid w:val="00F22389"/>
    <w:rsid w:val="00F2256D"/>
    <w:rsid w:val="00F30A68"/>
    <w:rsid w:val="00F31C1C"/>
    <w:rsid w:val="00F33E3D"/>
    <w:rsid w:val="00F4019E"/>
    <w:rsid w:val="00F40C5F"/>
    <w:rsid w:val="00F416CF"/>
    <w:rsid w:val="00F42C58"/>
    <w:rsid w:val="00F43FFE"/>
    <w:rsid w:val="00F4591B"/>
    <w:rsid w:val="00F509BC"/>
    <w:rsid w:val="00F50F32"/>
    <w:rsid w:val="00F5105B"/>
    <w:rsid w:val="00F5265B"/>
    <w:rsid w:val="00F54400"/>
    <w:rsid w:val="00F60E81"/>
    <w:rsid w:val="00F66C01"/>
    <w:rsid w:val="00F71BC4"/>
    <w:rsid w:val="00F73D70"/>
    <w:rsid w:val="00F75396"/>
    <w:rsid w:val="00F770F3"/>
    <w:rsid w:val="00F902F2"/>
    <w:rsid w:val="00F92B0B"/>
    <w:rsid w:val="00FA2C4C"/>
    <w:rsid w:val="00FA355D"/>
    <w:rsid w:val="00FA3AE3"/>
    <w:rsid w:val="00FA63B2"/>
    <w:rsid w:val="00FA6660"/>
    <w:rsid w:val="00FB0D30"/>
    <w:rsid w:val="00FB2935"/>
    <w:rsid w:val="00FB66D0"/>
    <w:rsid w:val="00FC1C89"/>
    <w:rsid w:val="00FC4D62"/>
    <w:rsid w:val="00FC6962"/>
    <w:rsid w:val="00FE1E13"/>
    <w:rsid w:val="00FE3FCA"/>
    <w:rsid w:val="00FE584F"/>
    <w:rsid w:val="00FE5AD4"/>
    <w:rsid w:val="00FE62C6"/>
    <w:rsid w:val="00FF2C62"/>
    <w:rsid w:val="00FF30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CF0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basedOn w:val="Normal"/>
    <w:link w:val="FootnoteTextChar"/>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character" w:customStyle="1" w:styleId="Para1Char">
    <w:name w:val="Para1 Char"/>
    <w:link w:val="Para1"/>
    <w:rsid w:val="00FA63B2"/>
    <w:rPr>
      <w:snapToGrid w:val="0"/>
      <w:sz w:val="22"/>
      <w:szCs w:val="18"/>
      <w:lang w:val="en-GB"/>
    </w:rPr>
  </w:style>
  <w:style w:type="paragraph" w:customStyle="1" w:styleId="Para10">
    <w:name w:val="Para 1"/>
    <w:basedOn w:val="Normal"/>
    <w:rsid w:val="00FA63B2"/>
    <w:pPr>
      <w:tabs>
        <w:tab w:val="num" w:pos="360"/>
      </w:tabs>
    </w:pPr>
  </w:style>
  <w:style w:type="character" w:customStyle="1" w:styleId="FootnoteTextChar">
    <w:name w:val="Footnote Text Char"/>
    <w:link w:val="FootnoteText"/>
    <w:semiHidden/>
    <w:rsid w:val="00961376"/>
    <w:rPr>
      <w:sz w:val="18"/>
      <w:szCs w:val="24"/>
      <w:lang w:val="en-GB"/>
    </w:rPr>
  </w:style>
  <w:style w:type="paragraph" w:styleId="CommentSubject">
    <w:name w:val="annotation subject"/>
    <w:basedOn w:val="CommentText"/>
    <w:next w:val="CommentText"/>
    <w:link w:val="CommentSubjectChar"/>
    <w:rsid w:val="00EE7BEE"/>
    <w:pPr>
      <w:spacing w:after="0" w:line="240" w:lineRule="auto"/>
    </w:pPr>
    <w:rPr>
      <w:b/>
      <w:bCs/>
      <w:sz w:val="20"/>
      <w:szCs w:val="20"/>
    </w:rPr>
  </w:style>
  <w:style w:type="character" w:customStyle="1" w:styleId="CommentTextChar">
    <w:name w:val="Comment Text Char"/>
    <w:link w:val="CommentText"/>
    <w:semiHidden/>
    <w:rsid w:val="00EE7BEE"/>
    <w:rPr>
      <w:sz w:val="22"/>
      <w:szCs w:val="24"/>
      <w:lang w:val="en-GB"/>
    </w:rPr>
  </w:style>
  <w:style w:type="character" w:customStyle="1" w:styleId="CommentSubjectChar">
    <w:name w:val="Comment Subject Char"/>
    <w:link w:val="CommentSubject"/>
    <w:rsid w:val="00EE7BEE"/>
    <w:rPr>
      <w:b/>
      <w:bCs/>
      <w:sz w:val="22"/>
      <w:szCs w:val="24"/>
      <w:lang w:val="en-GB"/>
    </w:rPr>
  </w:style>
  <w:style w:type="paragraph" w:styleId="Revision">
    <w:name w:val="Revision"/>
    <w:hidden/>
    <w:uiPriority w:val="99"/>
    <w:semiHidden/>
    <w:rsid w:val="00EE7BEE"/>
    <w:rPr>
      <w:sz w:val="22"/>
      <w:szCs w:val="24"/>
      <w:lang w:val="en-GB"/>
    </w:rPr>
  </w:style>
  <w:style w:type="character" w:styleId="Hyperlink">
    <w:name w:val="Hyperlink"/>
    <w:rsid w:val="00CE082C"/>
    <w:rPr>
      <w:color w:val="0000FF"/>
      <w:u w:val="single"/>
    </w:rPr>
  </w:style>
  <w:style w:type="paragraph" w:customStyle="1" w:styleId="Paraa">
    <w:name w:val="Para (a)"/>
    <w:basedOn w:val="Normal"/>
    <w:rsid w:val="006C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lang w:eastAsia="zh-CN"/>
    </w:rPr>
  </w:style>
  <w:style w:type="table" w:styleId="TableGrid">
    <w:name w:val="Table Grid"/>
    <w:basedOn w:val="TableNormal"/>
    <w:uiPriority w:val="59"/>
    <w:rsid w:val="00F60E81"/>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pPr>
      <w:numPr>
        <w:numId w:val="6"/>
      </w:numPr>
      <w:spacing w:before="120" w:after="120"/>
    </w:pPr>
    <w:rPr>
      <w:snapToGrid w:val="0"/>
      <w:szCs w:val="18"/>
    </w:rPr>
  </w:style>
  <w:style w:type="paragraph" w:styleId="FootnoteText">
    <w:name w:val="footnote text"/>
    <w:basedOn w:val="Normal"/>
    <w:link w:val="FootnoteTextChar"/>
    <w:semiHidden/>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semiHidden/>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2"/>
      </w:numPr>
      <w:spacing w:before="120" w:after="120"/>
    </w:pPr>
    <w:rPr>
      <w:i/>
      <w:iCs/>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character" w:customStyle="1" w:styleId="Para1Char">
    <w:name w:val="Para1 Char"/>
    <w:link w:val="Para1"/>
    <w:rsid w:val="00FA63B2"/>
    <w:rPr>
      <w:snapToGrid w:val="0"/>
      <w:sz w:val="22"/>
      <w:szCs w:val="18"/>
      <w:lang w:val="en-GB"/>
    </w:rPr>
  </w:style>
  <w:style w:type="paragraph" w:customStyle="1" w:styleId="Para10">
    <w:name w:val="Para 1"/>
    <w:basedOn w:val="Normal"/>
    <w:rsid w:val="00FA63B2"/>
    <w:pPr>
      <w:tabs>
        <w:tab w:val="num" w:pos="360"/>
      </w:tabs>
    </w:pPr>
  </w:style>
  <w:style w:type="character" w:customStyle="1" w:styleId="FootnoteTextChar">
    <w:name w:val="Footnote Text Char"/>
    <w:link w:val="FootnoteText"/>
    <w:semiHidden/>
    <w:rsid w:val="00961376"/>
    <w:rPr>
      <w:sz w:val="18"/>
      <w:szCs w:val="24"/>
      <w:lang w:val="en-GB"/>
    </w:rPr>
  </w:style>
  <w:style w:type="paragraph" w:styleId="CommentSubject">
    <w:name w:val="annotation subject"/>
    <w:basedOn w:val="CommentText"/>
    <w:next w:val="CommentText"/>
    <w:link w:val="CommentSubjectChar"/>
    <w:rsid w:val="00EE7BEE"/>
    <w:pPr>
      <w:spacing w:after="0" w:line="240" w:lineRule="auto"/>
    </w:pPr>
    <w:rPr>
      <w:b/>
      <w:bCs/>
      <w:sz w:val="20"/>
      <w:szCs w:val="20"/>
    </w:rPr>
  </w:style>
  <w:style w:type="character" w:customStyle="1" w:styleId="CommentTextChar">
    <w:name w:val="Comment Text Char"/>
    <w:link w:val="CommentText"/>
    <w:semiHidden/>
    <w:rsid w:val="00EE7BEE"/>
    <w:rPr>
      <w:sz w:val="22"/>
      <w:szCs w:val="24"/>
      <w:lang w:val="en-GB"/>
    </w:rPr>
  </w:style>
  <w:style w:type="character" w:customStyle="1" w:styleId="CommentSubjectChar">
    <w:name w:val="Comment Subject Char"/>
    <w:link w:val="CommentSubject"/>
    <w:rsid w:val="00EE7BEE"/>
    <w:rPr>
      <w:b/>
      <w:bCs/>
      <w:sz w:val="22"/>
      <w:szCs w:val="24"/>
      <w:lang w:val="en-GB"/>
    </w:rPr>
  </w:style>
  <w:style w:type="paragraph" w:styleId="Revision">
    <w:name w:val="Revision"/>
    <w:hidden/>
    <w:uiPriority w:val="99"/>
    <w:semiHidden/>
    <w:rsid w:val="00EE7BEE"/>
    <w:rPr>
      <w:sz w:val="22"/>
      <w:szCs w:val="24"/>
      <w:lang w:val="en-GB"/>
    </w:rPr>
  </w:style>
  <w:style w:type="character" w:styleId="Hyperlink">
    <w:name w:val="Hyperlink"/>
    <w:rsid w:val="00CE082C"/>
    <w:rPr>
      <w:color w:val="0000FF"/>
      <w:u w:val="single"/>
    </w:rPr>
  </w:style>
  <w:style w:type="paragraph" w:customStyle="1" w:styleId="Paraa">
    <w:name w:val="Para (a)"/>
    <w:basedOn w:val="Normal"/>
    <w:rsid w:val="006C10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lang w:eastAsia="zh-CN"/>
    </w:rPr>
  </w:style>
  <w:style w:type="table" w:styleId="TableGrid">
    <w:name w:val="Table Grid"/>
    <w:basedOn w:val="TableNormal"/>
    <w:uiPriority w:val="59"/>
    <w:rsid w:val="00F60E81"/>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bch.cbd.int/protocol/ThirdNationalReportFAQ.shtml" TargetMode="External"/><Relationship Id="rId1" Type="http://schemas.openxmlformats.org/officeDocument/2006/relationships/hyperlink" Target="https://www.cbd.int/doc/c/cc66/f97c/31e3735e724efc8437443122/cp-cc-15-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C43E9-AA4D-4B4F-8172-C489CFD8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2355</Words>
  <Characters>13094</Characters>
  <Application>Microsoft Office Word</Application>
  <DocSecurity>0</DocSecurity>
  <Lines>198</Lines>
  <Paragraphs>86</Paragraphs>
  <ScaleCrop>false</ScaleCrop>
  <HeadingPairs>
    <vt:vector size="2" baseType="variant">
      <vt:variant>
        <vt:lpstr>Title</vt:lpstr>
      </vt:variant>
      <vt:variant>
        <vt:i4>1</vt:i4>
      </vt:variant>
    </vt:vector>
  </HeadingPairs>
  <TitlesOfParts>
    <vt:vector size="1" baseType="lpstr">
      <vt:lpstr>Individual cases of non-compliance: consideration by the Compliance Committee of the obligation to submit national reports in the context of decision BS-V/1</vt:lpstr>
    </vt:vector>
  </TitlesOfParts>
  <Company>Biodiversity</Company>
  <LinksUpToDate>false</LinksUpToDate>
  <CharactersWithSpaces>15363</CharactersWithSpaces>
  <SharedDoc>false</SharedDoc>
  <HyperlinkBase/>
  <HLinks>
    <vt:vector size="6" baseType="variant">
      <vt:variant>
        <vt:i4>2031630</vt:i4>
      </vt:variant>
      <vt:variant>
        <vt:i4>0</vt:i4>
      </vt:variant>
      <vt:variant>
        <vt:i4>0</vt:i4>
      </vt:variant>
      <vt:variant>
        <vt:i4>5</vt:i4>
      </vt:variant>
      <vt:variant>
        <vt:lpwstr>https://bch.cbd.int/protocol/ThirdNationalReportFAQ.shtml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cases of non-compliance: consideration by the Compliance Committee of the obligation to submit national reports in the context of decision BS-V/1</dc:title>
  <dc:subject>COMPLIANCE COMMITTEE UNDER THE CARTAGENA PROTOCOL ON BIOSAFETY</dc:subject>
  <dc:creator>SCBD</dc:creator>
  <cp:lastModifiedBy>Orestes Plasencia</cp:lastModifiedBy>
  <cp:revision>4</cp:revision>
  <cp:lastPrinted>2012-04-03T13:37:00Z</cp:lastPrinted>
  <dcterms:created xsi:type="dcterms:W3CDTF">2018-04-10T20:42:00Z</dcterms:created>
  <dcterms:modified xsi:type="dcterms:W3CDTF">2018-04-10T20:44:00Z</dcterms:modified>
  <cp:category>biosafety</cp:category>
</cp:coreProperties>
</file>